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D48D" w14:textId="77777777" w:rsidR="00FE3C88" w:rsidRDefault="00E63AB3" w:rsidP="00FE3C88">
      <w:pPr>
        <w:pStyle w:val="Heading1"/>
        <w:spacing w:before="0" w:after="0" w:line="360" w:lineRule="auto"/>
        <w:jc w:val="center"/>
      </w:pPr>
      <w:proofErr w:type="gramStart"/>
      <w:r w:rsidRPr="00B8476F">
        <w:t>NORTH EAST</w:t>
      </w:r>
      <w:proofErr w:type="gramEnd"/>
      <w:r w:rsidRPr="00B8476F">
        <w:t xml:space="preserve"> QUALITY OBSERVATORY SERVICE (NATIONAL COLLABORATING CENTRE </w:t>
      </w:r>
    </w:p>
    <w:p w14:paraId="212746FC" w14:textId="190757F3" w:rsidR="00E63AB3" w:rsidRPr="00B8476F" w:rsidRDefault="00E63AB3" w:rsidP="00FE3C88">
      <w:pPr>
        <w:pStyle w:val="Heading1"/>
        <w:spacing w:before="0" w:after="0" w:line="360" w:lineRule="auto"/>
        <w:jc w:val="center"/>
      </w:pPr>
      <w:r w:rsidRPr="00B8476F">
        <w:t>FOR INDICATOR DEVELOPMENT)</w:t>
      </w:r>
    </w:p>
    <w:p w14:paraId="7ADAF74D" w14:textId="77777777" w:rsidR="00E63AB3" w:rsidRPr="00B8476F" w:rsidRDefault="00E63AB3" w:rsidP="00E63AB3"/>
    <w:p w14:paraId="3D4E494C" w14:textId="77777777" w:rsidR="00E63AB3" w:rsidRPr="00B8476F" w:rsidRDefault="00E63AB3" w:rsidP="00E63AB3">
      <w:pPr>
        <w:jc w:val="center"/>
        <w:rPr>
          <w:b/>
          <w:sz w:val="32"/>
          <w:szCs w:val="32"/>
        </w:rPr>
      </w:pPr>
      <w:r w:rsidRPr="00B8476F">
        <w:rPr>
          <w:b/>
          <w:sz w:val="32"/>
          <w:szCs w:val="32"/>
        </w:rPr>
        <w:t>FOR</w:t>
      </w:r>
    </w:p>
    <w:p w14:paraId="2B992C21" w14:textId="77777777" w:rsidR="00AC4951" w:rsidRPr="00B8476F" w:rsidRDefault="00AC4951" w:rsidP="00461419">
      <w:pPr>
        <w:pStyle w:val="Heading1"/>
        <w:jc w:val="center"/>
      </w:pPr>
      <w:r w:rsidRPr="00B8476F">
        <w:t>NATIONAL INSTITUTE FOR HEALTH AND CARE EXCELLENCE</w:t>
      </w:r>
    </w:p>
    <w:p w14:paraId="2E3ECB0D" w14:textId="77777777" w:rsidR="00AC4951" w:rsidRPr="00B8476F" w:rsidRDefault="00AC4951" w:rsidP="00461419">
      <w:pPr>
        <w:pStyle w:val="Heading1"/>
        <w:jc w:val="center"/>
      </w:pPr>
      <w:r w:rsidRPr="00B8476F">
        <w:t>INDICATOR DEVELOPMENT PROGRAMME</w:t>
      </w:r>
    </w:p>
    <w:p w14:paraId="3A007C21" w14:textId="77777777" w:rsidR="00461419" w:rsidRPr="00B8476F" w:rsidRDefault="00461419" w:rsidP="00461419">
      <w:pPr>
        <w:pStyle w:val="Heading2"/>
      </w:pPr>
    </w:p>
    <w:p w14:paraId="777B2AA1" w14:textId="4FCA89E9" w:rsidR="00F31A16" w:rsidRPr="00B8476F" w:rsidRDefault="00A134B6" w:rsidP="00F31A16">
      <w:pPr>
        <w:pStyle w:val="Heading1"/>
        <w:jc w:val="center"/>
      </w:pPr>
      <w:r>
        <w:t>Contextual data in support of</w:t>
      </w:r>
      <w:r w:rsidR="00F31A16" w:rsidRPr="00B8476F">
        <w:t xml:space="preserve"> piloted indicators</w:t>
      </w:r>
    </w:p>
    <w:p w14:paraId="05178E08" w14:textId="77777777" w:rsidR="004037BA" w:rsidRPr="00B8476F" w:rsidRDefault="004037BA" w:rsidP="004037BA"/>
    <w:p w14:paraId="057FEBA6" w14:textId="66BDA4C4" w:rsidR="00AC4951" w:rsidRPr="00B8476F" w:rsidRDefault="00AC4951" w:rsidP="005D2833">
      <w:pPr>
        <w:pStyle w:val="Heading2"/>
        <w:spacing w:after="120"/>
        <w:jc w:val="center"/>
        <w:rPr>
          <w:b w:val="0"/>
          <w:sz w:val="32"/>
        </w:rPr>
      </w:pPr>
      <w:r w:rsidRPr="00B8476F">
        <w:rPr>
          <w:sz w:val="32"/>
        </w:rPr>
        <w:t xml:space="preserve">Topic area: </w:t>
      </w:r>
      <w:proofErr w:type="gramStart"/>
      <w:r w:rsidR="002737B8">
        <w:rPr>
          <w:sz w:val="32"/>
        </w:rPr>
        <w:t>Chronic kidney disease</w:t>
      </w:r>
      <w:proofErr w:type="gramEnd"/>
    </w:p>
    <w:p w14:paraId="15713DD8" w14:textId="0B68A1CC" w:rsidR="005D2833" w:rsidRDefault="005D2833" w:rsidP="005D2833"/>
    <w:p w14:paraId="4813C19C" w14:textId="77777777" w:rsidR="00F14EE4" w:rsidRPr="00B8476F" w:rsidRDefault="00F14EE4" w:rsidP="005D2833"/>
    <w:p w14:paraId="7FA04CF8" w14:textId="4A365DAF" w:rsidR="006B5C73" w:rsidRPr="00B8476F" w:rsidRDefault="00E07FE4" w:rsidP="006B5C73">
      <w:pPr>
        <w:spacing w:before="240" w:after="0"/>
        <w:rPr>
          <w:rFonts w:eastAsiaTheme="majorEastAsia" w:cstheme="majorBidi"/>
          <w:b/>
          <w:sz w:val="28"/>
          <w:szCs w:val="26"/>
        </w:rPr>
      </w:pPr>
      <w:r w:rsidRPr="00B8476F">
        <w:rPr>
          <w:rFonts w:eastAsiaTheme="majorEastAsia" w:cstheme="majorBidi"/>
          <w:b/>
          <w:sz w:val="28"/>
          <w:szCs w:val="26"/>
        </w:rPr>
        <w:t xml:space="preserve">Pilot period: </w:t>
      </w:r>
      <w:r w:rsidR="00094923">
        <w:rPr>
          <w:rFonts w:eastAsiaTheme="majorEastAsia" w:cstheme="majorBidi"/>
          <w:sz w:val="28"/>
          <w:szCs w:val="26"/>
        </w:rPr>
        <w:t>January – March 2022</w:t>
      </w:r>
    </w:p>
    <w:p w14:paraId="44D86ACC" w14:textId="791A5D7E" w:rsidR="006B5C73" w:rsidRPr="00B8476F" w:rsidRDefault="006B5C73" w:rsidP="00F14EE4">
      <w:pPr>
        <w:pStyle w:val="Heading2"/>
        <w:spacing w:before="120"/>
      </w:pPr>
      <w:r w:rsidRPr="00B8476F">
        <w:t xml:space="preserve">IAC meeting </w:t>
      </w:r>
      <w:r w:rsidRPr="00094923">
        <w:t xml:space="preserve">date: </w:t>
      </w:r>
      <w:r w:rsidR="00094923" w:rsidRPr="00094923">
        <w:rPr>
          <w:b w:val="0"/>
        </w:rPr>
        <w:t>14th June 2022</w:t>
      </w:r>
    </w:p>
    <w:p w14:paraId="30530912" w14:textId="4612BCB8" w:rsidR="00154FD1" w:rsidRDefault="00AC4951" w:rsidP="00D5777A">
      <w:pPr>
        <w:pStyle w:val="Heading2"/>
      </w:pPr>
      <w:r w:rsidRPr="00B8476F">
        <w:t xml:space="preserve">Output: </w:t>
      </w:r>
      <w:r w:rsidR="00DB0C5F" w:rsidRPr="00DB0C5F">
        <w:rPr>
          <w:b w:val="0"/>
        </w:rPr>
        <w:t>Supporting contextual information</w:t>
      </w:r>
      <w:r w:rsidR="002F13F1">
        <w:rPr>
          <w:b w:val="0"/>
        </w:rPr>
        <w:t xml:space="preserve">, </w:t>
      </w:r>
      <w:r w:rsidR="00DB0C5F" w:rsidRPr="00DB0C5F">
        <w:rPr>
          <w:b w:val="0"/>
        </w:rPr>
        <w:t>national prescribing data relating to oral non-steroidal anti-inflammatory (NSAID) drug use and f</w:t>
      </w:r>
      <w:r w:rsidR="00154FD1" w:rsidRPr="00DB0C5F">
        <w:rPr>
          <w:b w:val="0"/>
        </w:rPr>
        <w:t xml:space="preserve">indings from </w:t>
      </w:r>
      <w:r w:rsidR="00F14EE4">
        <w:rPr>
          <w:b w:val="0"/>
        </w:rPr>
        <w:t xml:space="preserve">practice system </w:t>
      </w:r>
      <w:r w:rsidR="00154FD1" w:rsidRPr="00DB0C5F">
        <w:rPr>
          <w:b w:val="0"/>
        </w:rPr>
        <w:t xml:space="preserve">clinical searches </w:t>
      </w:r>
      <w:r w:rsidR="00D5777A" w:rsidRPr="00DB0C5F">
        <w:rPr>
          <w:b w:val="0"/>
        </w:rPr>
        <w:t xml:space="preserve">associated with the qualitative pilot </w:t>
      </w:r>
      <w:r w:rsidR="00154FD1" w:rsidRPr="00DB0C5F">
        <w:rPr>
          <w:b w:val="0"/>
        </w:rPr>
        <w:t>to contribute towards recommendations</w:t>
      </w:r>
      <w:r w:rsidR="00154FD1" w:rsidRPr="00D5777A">
        <w:rPr>
          <w:b w:val="0"/>
        </w:rPr>
        <w:t xml:space="preserve"> for NICE indicator menu</w:t>
      </w:r>
    </w:p>
    <w:p w14:paraId="3E1B002D" w14:textId="4F16A6F8" w:rsidR="008A651E" w:rsidRPr="00B8476F" w:rsidRDefault="008A651E">
      <w:pPr>
        <w:spacing w:after="160" w:line="259" w:lineRule="auto"/>
        <w:rPr>
          <w:rFonts w:eastAsiaTheme="majorEastAsia" w:cstheme="majorBidi"/>
          <w:b/>
          <w:sz w:val="32"/>
          <w:szCs w:val="32"/>
        </w:rPr>
      </w:pPr>
    </w:p>
    <w:p w14:paraId="1ED55FA4" w14:textId="77777777" w:rsidR="00F14EE4" w:rsidRDefault="00F14EE4">
      <w:pPr>
        <w:spacing w:after="160" w:line="259" w:lineRule="auto"/>
        <w:rPr>
          <w:rFonts w:eastAsiaTheme="majorEastAsia" w:cstheme="majorBidi"/>
          <w:b/>
          <w:sz w:val="32"/>
          <w:szCs w:val="32"/>
        </w:rPr>
      </w:pPr>
      <w:r>
        <w:br w:type="page"/>
      </w:r>
    </w:p>
    <w:p w14:paraId="07BE2524" w14:textId="6B2252F5" w:rsidR="00D06527" w:rsidRPr="00B8476F" w:rsidRDefault="006D6FE1" w:rsidP="007F7578">
      <w:pPr>
        <w:pStyle w:val="Heading1"/>
      </w:pPr>
      <w:r w:rsidRPr="00B8476F">
        <w:lastRenderedPageBreak/>
        <w:t>Contents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794"/>
      </w:tblGrid>
      <w:tr w:rsidR="002737B8" w:rsidRPr="00B8476F" w14:paraId="0F4F4190" w14:textId="77777777" w:rsidTr="00E7553B">
        <w:trPr>
          <w:trHeight w:val="355"/>
        </w:trPr>
        <w:tc>
          <w:tcPr>
            <w:tcW w:w="8222" w:type="dxa"/>
          </w:tcPr>
          <w:p w14:paraId="017341C9" w14:textId="0A4ACD55" w:rsidR="002737B8" w:rsidRPr="001B4DAD" w:rsidRDefault="002737B8" w:rsidP="001A6C28">
            <w:pPr>
              <w:tabs>
                <w:tab w:val="left" w:pos="2920"/>
              </w:tabs>
              <w:spacing w:before="120" w:line="259" w:lineRule="auto"/>
              <w:ind w:left="34"/>
              <w:rPr>
                <w:b/>
              </w:rPr>
            </w:pPr>
            <w:r>
              <w:rPr>
                <w:b/>
              </w:rPr>
              <w:t xml:space="preserve">Contextual information from </w:t>
            </w:r>
            <w:r w:rsidR="00456F5E">
              <w:rPr>
                <w:b/>
              </w:rPr>
              <w:t xml:space="preserve">publicly </w:t>
            </w:r>
            <w:r>
              <w:rPr>
                <w:b/>
              </w:rPr>
              <w:t>available data sources</w:t>
            </w:r>
          </w:p>
        </w:tc>
        <w:tc>
          <w:tcPr>
            <w:tcW w:w="794" w:type="dxa"/>
          </w:tcPr>
          <w:p w14:paraId="3DAF7604" w14:textId="2EC9A689" w:rsidR="002737B8" w:rsidRPr="00B8476F" w:rsidRDefault="006F2AE8" w:rsidP="001A6C28">
            <w:pPr>
              <w:spacing w:before="120" w:line="259" w:lineRule="auto"/>
              <w:jc w:val="right"/>
            </w:pPr>
            <w:r>
              <w:t>3</w:t>
            </w:r>
          </w:p>
        </w:tc>
      </w:tr>
      <w:tr w:rsidR="002737B8" w:rsidRPr="00B8476F" w14:paraId="5288E8C1" w14:textId="77777777" w:rsidTr="00E7553B">
        <w:trPr>
          <w:trHeight w:val="417"/>
        </w:trPr>
        <w:tc>
          <w:tcPr>
            <w:tcW w:w="8222" w:type="dxa"/>
          </w:tcPr>
          <w:p w14:paraId="6E92E28A" w14:textId="208D5673" w:rsidR="002737B8" w:rsidRPr="00B8476F" w:rsidRDefault="002737B8" w:rsidP="001A6C28">
            <w:pPr>
              <w:tabs>
                <w:tab w:val="left" w:pos="2920"/>
              </w:tabs>
              <w:spacing w:before="120" w:line="259" w:lineRule="auto"/>
            </w:pPr>
            <w:r>
              <w:t>CKD disease register</w:t>
            </w:r>
          </w:p>
        </w:tc>
        <w:tc>
          <w:tcPr>
            <w:tcW w:w="794" w:type="dxa"/>
          </w:tcPr>
          <w:p w14:paraId="1409AEF0" w14:textId="3A7814E2" w:rsidR="002737B8" w:rsidRPr="00B8476F" w:rsidRDefault="006F2AE8" w:rsidP="001A6C28">
            <w:pPr>
              <w:spacing w:before="120" w:line="259" w:lineRule="auto"/>
              <w:jc w:val="right"/>
            </w:pPr>
            <w:r>
              <w:t>3</w:t>
            </w:r>
          </w:p>
        </w:tc>
      </w:tr>
      <w:tr w:rsidR="006F2AE8" w:rsidRPr="00B8476F" w14:paraId="34F7367E" w14:textId="77777777" w:rsidTr="00406C58">
        <w:tc>
          <w:tcPr>
            <w:tcW w:w="8222" w:type="dxa"/>
          </w:tcPr>
          <w:p w14:paraId="4CE85ABF" w14:textId="143E7FFD" w:rsidR="006F2AE8" w:rsidRPr="009F01FD" w:rsidRDefault="006F2AE8" w:rsidP="001A6C28">
            <w:pPr>
              <w:spacing w:before="120" w:line="259" w:lineRule="auto"/>
            </w:pPr>
            <w:r>
              <w:t>Chronic kidney disease indicators from Indicators No Longer in QOF</w:t>
            </w:r>
          </w:p>
        </w:tc>
        <w:tc>
          <w:tcPr>
            <w:tcW w:w="794" w:type="dxa"/>
          </w:tcPr>
          <w:p w14:paraId="08EE31C0" w14:textId="79B00FB3" w:rsidR="006F2AE8" w:rsidRDefault="006F2AE8" w:rsidP="001A6C28">
            <w:pPr>
              <w:spacing w:before="120" w:line="259" w:lineRule="auto"/>
              <w:jc w:val="right"/>
            </w:pPr>
            <w:r>
              <w:t>4</w:t>
            </w:r>
          </w:p>
        </w:tc>
      </w:tr>
      <w:tr w:rsidR="002737B8" w:rsidRPr="00B8476F" w14:paraId="3D64F53C" w14:textId="77777777" w:rsidTr="00406C58">
        <w:tc>
          <w:tcPr>
            <w:tcW w:w="8222" w:type="dxa"/>
          </w:tcPr>
          <w:p w14:paraId="0DF827A2" w14:textId="707ED08A" w:rsidR="002737B8" w:rsidRDefault="006F2AE8" w:rsidP="001A6C28">
            <w:pPr>
              <w:spacing w:before="120" w:line="259" w:lineRule="auto"/>
              <w:rPr>
                <w:b/>
              </w:rPr>
            </w:pPr>
            <w:r>
              <w:t>CVDPREVENT</w:t>
            </w:r>
            <w:r w:rsidR="002737B8" w:rsidRPr="009F01FD">
              <w:t xml:space="preserve"> audit findings</w:t>
            </w:r>
          </w:p>
        </w:tc>
        <w:tc>
          <w:tcPr>
            <w:tcW w:w="794" w:type="dxa"/>
          </w:tcPr>
          <w:p w14:paraId="04153A29" w14:textId="7DAF2DBF" w:rsidR="002737B8" w:rsidRDefault="006F2AE8" w:rsidP="001A6C28">
            <w:pPr>
              <w:spacing w:before="120" w:line="259" w:lineRule="auto"/>
              <w:jc w:val="right"/>
            </w:pPr>
            <w:r>
              <w:t>5</w:t>
            </w:r>
          </w:p>
        </w:tc>
      </w:tr>
      <w:tr w:rsidR="002737B8" w:rsidRPr="00B8476F" w14:paraId="5EC674DB" w14:textId="77777777" w:rsidTr="00406C58">
        <w:tc>
          <w:tcPr>
            <w:tcW w:w="8222" w:type="dxa"/>
          </w:tcPr>
          <w:p w14:paraId="6520DD6E" w14:textId="136C2B13" w:rsidR="002737B8" w:rsidRPr="006F2AE8" w:rsidRDefault="006F2AE8" w:rsidP="001A6C28">
            <w:pPr>
              <w:spacing w:before="120" w:line="259" w:lineRule="auto"/>
            </w:pPr>
            <w:r>
              <w:t>Network Contract Directed Enhanced Service (Investment and Impact Fund) 2020/21 and 2021/22</w:t>
            </w:r>
          </w:p>
        </w:tc>
        <w:tc>
          <w:tcPr>
            <w:tcW w:w="794" w:type="dxa"/>
          </w:tcPr>
          <w:p w14:paraId="38DBAE9C" w14:textId="2742C91D" w:rsidR="002737B8" w:rsidRDefault="006F2AE8" w:rsidP="001A6C28">
            <w:pPr>
              <w:spacing w:before="120" w:line="259" w:lineRule="auto"/>
              <w:jc w:val="right"/>
            </w:pPr>
            <w:r>
              <w:t>6</w:t>
            </w:r>
          </w:p>
        </w:tc>
      </w:tr>
      <w:tr w:rsidR="002871AC" w:rsidRPr="00B8476F" w14:paraId="5736F1FE" w14:textId="77777777" w:rsidTr="00406C58">
        <w:tc>
          <w:tcPr>
            <w:tcW w:w="8222" w:type="dxa"/>
          </w:tcPr>
          <w:p w14:paraId="7E7DDBC2" w14:textId="36BE9DC0" w:rsidR="00160847" w:rsidRPr="006C52BF" w:rsidRDefault="006C52BF" w:rsidP="001A6C28">
            <w:pPr>
              <w:pStyle w:val="Heading2"/>
              <w:spacing w:before="120" w:after="120" w:line="276" w:lineRule="auto"/>
              <w:outlineLvl w:val="1"/>
              <w:rPr>
                <w:rFonts w:eastAsiaTheme="minorHAnsi" w:cstheme="minorBidi"/>
                <w:sz w:val="24"/>
                <w:szCs w:val="22"/>
              </w:rPr>
            </w:pPr>
            <w:r w:rsidRPr="006C52BF">
              <w:rPr>
                <w:rFonts w:eastAsiaTheme="minorHAnsi" w:cstheme="minorBidi"/>
                <w:sz w:val="24"/>
                <w:szCs w:val="22"/>
              </w:rPr>
              <w:t>Oral non-steroidal anti-inflammatory drugs (NSAIDs) prescribing data from NHS Business Services Authority (NHSBSA)</w:t>
            </w:r>
          </w:p>
        </w:tc>
        <w:tc>
          <w:tcPr>
            <w:tcW w:w="794" w:type="dxa"/>
          </w:tcPr>
          <w:p w14:paraId="3D649863" w14:textId="1623578D" w:rsidR="002871AC" w:rsidRDefault="001A6C28" w:rsidP="001A6C28">
            <w:pPr>
              <w:spacing w:before="120" w:line="259" w:lineRule="auto"/>
              <w:jc w:val="right"/>
            </w:pPr>
            <w:r>
              <w:t>7</w:t>
            </w:r>
          </w:p>
        </w:tc>
      </w:tr>
      <w:tr w:rsidR="002737B8" w:rsidRPr="00B8476F" w14:paraId="048D7B48" w14:textId="77777777" w:rsidTr="00406C58">
        <w:tc>
          <w:tcPr>
            <w:tcW w:w="8222" w:type="dxa"/>
          </w:tcPr>
          <w:p w14:paraId="45FB1C83" w14:textId="67C4B057" w:rsidR="002737B8" w:rsidRDefault="002737B8" w:rsidP="001A6C28">
            <w:pPr>
              <w:spacing w:before="120" w:line="259" w:lineRule="auto"/>
              <w:rPr>
                <w:b/>
              </w:rPr>
            </w:pPr>
            <w:r>
              <w:rPr>
                <w:b/>
              </w:rPr>
              <w:t>Contextual information from practice clinical searches</w:t>
            </w:r>
          </w:p>
        </w:tc>
        <w:tc>
          <w:tcPr>
            <w:tcW w:w="794" w:type="dxa"/>
          </w:tcPr>
          <w:p w14:paraId="4D81B870" w14:textId="17CF8BA9" w:rsidR="002737B8" w:rsidRDefault="00945E1C" w:rsidP="001A6C28">
            <w:pPr>
              <w:spacing w:before="120" w:line="259" w:lineRule="auto"/>
              <w:jc w:val="right"/>
            </w:pPr>
            <w:r>
              <w:t>19</w:t>
            </w:r>
          </w:p>
        </w:tc>
      </w:tr>
      <w:tr w:rsidR="002737B8" w:rsidRPr="00B8476F" w14:paraId="4E2FFE1F" w14:textId="77777777" w:rsidTr="001A6C28">
        <w:tc>
          <w:tcPr>
            <w:tcW w:w="8222" w:type="dxa"/>
          </w:tcPr>
          <w:p w14:paraId="56E6F44A" w14:textId="7FADF7B5" w:rsidR="002737B8" w:rsidRDefault="002737B8" w:rsidP="001A6C28">
            <w:pPr>
              <w:spacing w:before="120" w:line="259" w:lineRule="auto"/>
              <w:rPr>
                <w:b/>
              </w:rPr>
            </w:pPr>
            <w:r>
              <w:t>Clinical search findings</w:t>
            </w:r>
          </w:p>
        </w:tc>
        <w:tc>
          <w:tcPr>
            <w:tcW w:w="794" w:type="dxa"/>
          </w:tcPr>
          <w:p w14:paraId="7536B0F8" w14:textId="30584B83" w:rsidR="002737B8" w:rsidRDefault="001A6C28" w:rsidP="001A6C28">
            <w:pPr>
              <w:spacing w:before="120" w:line="259" w:lineRule="auto"/>
              <w:jc w:val="right"/>
            </w:pPr>
            <w:r>
              <w:t>19</w:t>
            </w:r>
          </w:p>
        </w:tc>
      </w:tr>
      <w:tr w:rsidR="001A6C28" w14:paraId="382FDEC1" w14:textId="77777777" w:rsidTr="001A6C28">
        <w:tc>
          <w:tcPr>
            <w:tcW w:w="8222" w:type="dxa"/>
          </w:tcPr>
          <w:p w14:paraId="34626F38" w14:textId="312D9510" w:rsidR="001A6C28" w:rsidRDefault="001A6C28" w:rsidP="001A6C28">
            <w:pPr>
              <w:spacing w:before="120" w:line="259" w:lineRule="auto"/>
              <w:rPr>
                <w:b/>
              </w:rPr>
            </w:pPr>
            <w:r>
              <w:rPr>
                <w:b/>
              </w:rPr>
              <w:t>Summary of key findings</w:t>
            </w:r>
          </w:p>
        </w:tc>
        <w:tc>
          <w:tcPr>
            <w:tcW w:w="794" w:type="dxa"/>
          </w:tcPr>
          <w:p w14:paraId="3F51978D" w14:textId="719ED736" w:rsidR="001A6C28" w:rsidRDefault="001A6C28" w:rsidP="001A6C28">
            <w:pPr>
              <w:spacing w:before="120" w:line="259" w:lineRule="auto"/>
              <w:jc w:val="right"/>
            </w:pPr>
            <w:r>
              <w:t>22</w:t>
            </w:r>
          </w:p>
        </w:tc>
      </w:tr>
      <w:tr w:rsidR="001A6C28" w14:paraId="7C1D416E" w14:textId="77777777" w:rsidTr="001A6C28">
        <w:tc>
          <w:tcPr>
            <w:tcW w:w="8222" w:type="dxa"/>
          </w:tcPr>
          <w:p w14:paraId="1F81667C" w14:textId="4079C30C" w:rsidR="001A6C28" w:rsidRDefault="001A6C28" w:rsidP="001A6C28">
            <w:pPr>
              <w:spacing w:before="120" w:line="259" w:lineRule="auto"/>
              <w:rPr>
                <w:b/>
              </w:rPr>
            </w:pPr>
            <w:r>
              <w:rPr>
                <w:b/>
              </w:rPr>
              <w:t>Appendix 1</w:t>
            </w:r>
          </w:p>
        </w:tc>
        <w:tc>
          <w:tcPr>
            <w:tcW w:w="794" w:type="dxa"/>
          </w:tcPr>
          <w:p w14:paraId="42456AC1" w14:textId="1910901F" w:rsidR="001A6C28" w:rsidRDefault="001A6C28" w:rsidP="001A6C28">
            <w:pPr>
              <w:spacing w:before="120" w:line="259" w:lineRule="auto"/>
              <w:jc w:val="right"/>
            </w:pPr>
            <w:r>
              <w:t>23</w:t>
            </w:r>
          </w:p>
        </w:tc>
      </w:tr>
      <w:tr w:rsidR="001A6C28" w14:paraId="058B7296" w14:textId="77777777" w:rsidTr="001A6C28">
        <w:tc>
          <w:tcPr>
            <w:tcW w:w="8222" w:type="dxa"/>
          </w:tcPr>
          <w:p w14:paraId="25255FF8" w14:textId="22021B58" w:rsidR="001A6C28" w:rsidRDefault="001A6C28" w:rsidP="001A6C28">
            <w:pPr>
              <w:spacing w:before="120" w:line="259" w:lineRule="auto"/>
              <w:rPr>
                <w:b/>
              </w:rPr>
            </w:pPr>
            <w:r>
              <w:rPr>
                <w:b/>
              </w:rPr>
              <w:t>Appendix 2</w:t>
            </w:r>
          </w:p>
        </w:tc>
        <w:tc>
          <w:tcPr>
            <w:tcW w:w="794" w:type="dxa"/>
          </w:tcPr>
          <w:p w14:paraId="25DF60A5" w14:textId="3E630FB0" w:rsidR="001A6C28" w:rsidRDefault="001A6C28" w:rsidP="001A6C28">
            <w:pPr>
              <w:spacing w:before="120" w:line="259" w:lineRule="auto"/>
              <w:jc w:val="right"/>
            </w:pPr>
            <w:r>
              <w:t>28</w:t>
            </w:r>
          </w:p>
        </w:tc>
      </w:tr>
    </w:tbl>
    <w:p w14:paraId="41FA38EA" w14:textId="639E3B63" w:rsidR="00D5777A" w:rsidRDefault="00D5777A" w:rsidP="00D5777A"/>
    <w:p w14:paraId="485937FB" w14:textId="77777777" w:rsidR="00D5777A" w:rsidRPr="00D5777A" w:rsidRDefault="00D5777A" w:rsidP="00D5777A"/>
    <w:p w14:paraId="6D4A5D08" w14:textId="78772C0B" w:rsidR="00D5777A" w:rsidRDefault="00D5777A">
      <w:pPr>
        <w:spacing w:after="160" w:line="259" w:lineRule="auto"/>
        <w:rPr>
          <w:rFonts w:eastAsiaTheme="majorEastAsia" w:cstheme="majorBidi"/>
          <w:b/>
          <w:sz w:val="32"/>
          <w:szCs w:val="32"/>
        </w:rPr>
      </w:pPr>
    </w:p>
    <w:p w14:paraId="058BEBD6" w14:textId="77777777" w:rsidR="00D5777A" w:rsidRDefault="00D5777A">
      <w:pPr>
        <w:spacing w:after="160" w:line="259" w:lineRule="auto"/>
        <w:rPr>
          <w:rFonts w:eastAsiaTheme="majorEastAsia" w:cstheme="majorBidi"/>
          <w:b/>
          <w:sz w:val="28"/>
          <w:szCs w:val="26"/>
        </w:rPr>
      </w:pPr>
      <w:r>
        <w:br w:type="page"/>
      </w:r>
    </w:p>
    <w:p w14:paraId="1D7533D1" w14:textId="77777777" w:rsidR="001E0CD4" w:rsidRDefault="001E0CD4" w:rsidP="001E0CD4">
      <w:pPr>
        <w:pStyle w:val="Heading2"/>
      </w:pPr>
      <w:r>
        <w:lastRenderedPageBreak/>
        <w:t>Introduction</w:t>
      </w:r>
    </w:p>
    <w:p w14:paraId="345193D2" w14:textId="63F76F04" w:rsidR="001E0CD4" w:rsidRDefault="001E0CD4" w:rsidP="001E0CD4">
      <w:r>
        <w:t xml:space="preserve">This paper presents publicly </w:t>
      </w:r>
      <w:r w:rsidR="00B50548">
        <w:t xml:space="preserve">available data from NHS Digital and the CVD Prevent audit, and prescribing information based on a data request to </w:t>
      </w:r>
      <w:r>
        <w:t xml:space="preserve">the NHS Business Services Authority (NHSBSA). Information from clinical system searches undertaken by pilot practices is presented and described from </w:t>
      </w:r>
      <w:r w:rsidRPr="001A6C28">
        <w:t xml:space="preserve">page </w:t>
      </w:r>
      <w:r w:rsidR="00945E1C" w:rsidRPr="001A6C28">
        <w:t>19</w:t>
      </w:r>
      <w:r w:rsidRPr="001A6C28">
        <w:t xml:space="preserve"> onwards</w:t>
      </w:r>
      <w:r>
        <w:t>.</w:t>
      </w:r>
    </w:p>
    <w:p w14:paraId="38A0B04A" w14:textId="43653FF4" w:rsidR="001E0CD4" w:rsidRPr="00DD51A1" w:rsidRDefault="001E0CD4" w:rsidP="001E0CD4">
      <w:r>
        <w:t xml:space="preserve">The relevant key findings are summarised </w:t>
      </w:r>
      <w:r w:rsidR="00B50548">
        <w:t>below.</w:t>
      </w:r>
    </w:p>
    <w:p w14:paraId="5794003A" w14:textId="3535FE6B" w:rsidR="002737B8" w:rsidRDefault="002737B8" w:rsidP="002737B8">
      <w:pPr>
        <w:pStyle w:val="Heading2"/>
      </w:pPr>
      <w:r>
        <w:t xml:space="preserve">Contextual information from </w:t>
      </w:r>
      <w:r w:rsidR="00B50548">
        <w:t xml:space="preserve">publicly </w:t>
      </w:r>
      <w:r>
        <w:t>available data sources</w:t>
      </w:r>
    </w:p>
    <w:p w14:paraId="4A30F11C" w14:textId="77777777" w:rsidR="001D2C28" w:rsidRDefault="002737B8" w:rsidP="00B50548">
      <w:pPr>
        <w:pStyle w:val="Heading3"/>
        <w:spacing w:before="0"/>
      </w:pPr>
      <w:r>
        <w:t>Chronic ki</w:t>
      </w:r>
      <w:r w:rsidR="001D2C28">
        <w:t>dney disease register (QOF 2020/21)</w:t>
      </w:r>
    </w:p>
    <w:p w14:paraId="20EE70D1" w14:textId="2E39BF10" w:rsidR="001D2C28" w:rsidRDefault="001D2C28" w:rsidP="001D2C28">
      <w:r>
        <w:t>Source: NHS Digital</w:t>
      </w:r>
    </w:p>
    <w:p w14:paraId="19AD1EE9" w14:textId="67CD487A" w:rsidR="007A6F7F" w:rsidRDefault="007A6F7F" w:rsidP="007A6F7F">
      <w:r>
        <w:t>The most recent QOF 2020/21</w:t>
      </w:r>
      <w:r w:rsidR="009E41EA">
        <w:t xml:space="preserve"> </w:t>
      </w:r>
      <w:proofErr w:type="gramStart"/>
      <w:r w:rsidR="009E41EA">
        <w:t>Chronic Kidney Disease</w:t>
      </w:r>
      <w:proofErr w:type="gramEnd"/>
      <w:r w:rsidR="009E41EA">
        <w:t xml:space="preserve"> </w:t>
      </w:r>
      <w:r w:rsidR="00175E74">
        <w:t xml:space="preserve">(CKD) </w:t>
      </w:r>
      <w:r w:rsidR="009E41EA">
        <w:t>register</w:t>
      </w:r>
      <w:r>
        <w:t xml:space="preserve"> data</w:t>
      </w:r>
      <w:r w:rsidR="00160847">
        <w:rPr>
          <w:rStyle w:val="FootnoteReference"/>
        </w:rPr>
        <w:footnoteReference w:id="1"/>
      </w:r>
      <w:r>
        <w:t xml:space="preserve"> shows a </w:t>
      </w:r>
      <w:r w:rsidR="00160847">
        <w:t>total number</w:t>
      </w:r>
      <w:r>
        <w:t xml:space="preserve"> of 1,917,102 patients aged 18 or over with CKD classification of G3a-G5 in England. This represents 3.96% of the practice list size</w:t>
      </w:r>
      <w:r w:rsidR="00175E74">
        <w:t xml:space="preserve"> (aged 18 years and over)</w:t>
      </w:r>
      <w:r>
        <w:t>.</w:t>
      </w:r>
      <w:r w:rsidR="00175E74">
        <w:t xml:space="preserve"> This </w:t>
      </w:r>
      <w:r>
        <w:t xml:space="preserve">varies between NHS Regions, from 2.38% in London to 4.93% in the </w:t>
      </w:r>
      <w:proofErr w:type="gramStart"/>
      <w:r w:rsidR="00EF0526">
        <w:t xml:space="preserve">South </w:t>
      </w:r>
      <w:r>
        <w:t>West</w:t>
      </w:r>
      <w:proofErr w:type="gramEnd"/>
      <w:r w:rsidR="00A566C6">
        <w:t xml:space="preserve"> (Figure 1)</w:t>
      </w:r>
      <w:r>
        <w:t>.</w:t>
      </w:r>
    </w:p>
    <w:p w14:paraId="09B90F7B" w14:textId="6CF0E76D" w:rsidR="00160847" w:rsidRDefault="00160847" w:rsidP="00C33A69">
      <w:pPr>
        <w:pStyle w:val="Heading3"/>
        <w:spacing w:after="60"/>
        <w:rPr>
          <w:b w:val="0"/>
          <w:bCs/>
          <w:u w:val="single"/>
        </w:rPr>
      </w:pPr>
      <w:r w:rsidRPr="009E41EA">
        <w:rPr>
          <w:b w:val="0"/>
          <w:bCs/>
          <w:u w:val="single"/>
        </w:rPr>
        <w:t>Figure 1: CKD prevalence by NHS Region</w:t>
      </w:r>
    </w:p>
    <w:p w14:paraId="26EAD2FE" w14:textId="08D80AA6" w:rsidR="007A6F7F" w:rsidRDefault="00175E74" w:rsidP="001D2C28">
      <w:r>
        <w:rPr>
          <w:noProof/>
          <w:lang w:eastAsia="en-GB"/>
        </w:rPr>
        <w:drawing>
          <wp:inline distT="0" distB="0" distL="0" distR="0" wp14:anchorId="05159B9A" wp14:editId="5AFDD438">
            <wp:extent cx="6018663" cy="3162300"/>
            <wp:effectExtent l="0" t="0" r="1270" b="0"/>
            <wp:docPr id="2" name="Picture 2" descr="The most recent QOF 2020/21 Chronic Kidney Disease (CKD) register data  shows a total number of 1,917,102 patients aged 18 or over with CKD classification of G3a-G5 in England. This represents 3.96% of the practice list size (aged 18 years and over). This varies between NHS Regions, from 2.38% in London to 4.93% in the South West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ost recent QOF 2020/21 Chronic Kidney Disease (CKD) register data  shows a total number of 1,917,102 patients aged 18 or over with CKD classification of G3a-G5 in England. This represents 3.96% of the practice list size (aged 18 years and over). This varies between NHS Regions, from 2.38% in London to 4.93% in the South West (Fig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363" cy="3163193"/>
                    </a:xfrm>
                    <a:prstGeom prst="rect">
                      <a:avLst/>
                    </a:prstGeom>
                    <a:noFill/>
                  </pic:spPr>
                </pic:pic>
              </a:graphicData>
            </a:graphic>
          </wp:inline>
        </w:drawing>
      </w:r>
    </w:p>
    <w:p w14:paraId="210929FA" w14:textId="578AF274" w:rsidR="00556948" w:rsidRDefault="00556948" w:rsidP="00556948">
      <w:pPr>
        <w:pStyle w:val="Heading3"/>
        <w:rPr>
          <w:b w:val="0"/>
        </w:rPr>
      </w:pPr>
      <w:r>
        <w:lastRenderedPageBreak/>
        <w:t xml:space="preserve">Chronic kidney disease indicators from </w:t>
      </w:r>
      <w:r w:rsidR="00435E3F">
        <w:t xml:space="preserve">Indicators No Longer in </w:t>
      </w:r>
      <w:r>
        <w:t xml:space="preserve">QOF </w:t>
      </w:r>
      <w:r w:rsidR="00435E3F">
        <w:t xml:space="preserve">(INLIQ) </w:t>
      </w:r>
      <w:r>
        <w:t>2020/21</w:t>
      </w:r>
      <w:r w:rsidR="00A134B6">
        <w:t xml:space="preserve"> </w:t>
      </w:r>
    </w:p>
    <w:p w14:paraId="74965994" w14:textId="7401D09C" w:rsidR="00435E3F" w:rsidRDefault="00435E3F" w:rsidP="00435E3F">
      <w:r>
        <w:t>Three indicators relating to CKD were removed from QOF following the 2014/15 publication and are now published as INLIQ</w:t>
      </w:r>
      <w:r w:rsidR="00C33A69">
        <w:t xml:space="preserve"> indicators. The latest results (2020/21)</w:t>
      </w:r>
      <w:r>
        <w:t xml:space="preserve"> are summarised in Table 1.</w:t>
      </w:r>
    </w:p>
    <w:p w14:paraId="695726BE" w14:textId="09B22BE1" w:rsidR="00EF0526" w:rsidRPr="00404665" w:rsidRDefault="00EF0526" w:rsidP="00EF0526">
      <w:pPr>
        <w:rPr>
          <w:u w:val="single"/>
        </w:rPr>
      </w:pPr>
      <w:r w:rsidRPr="00404665">
        <w:rPr>
          <w:u w:val="single"/>
        </w:rPr>
        <w:t xml:space="preserve">Table </w:t>
      </w:r>
      <w:r>
        <w:rPr>
          <w:u w:val="single"/>
        </w:rPr>
        <w:t>1</w:t>
      </w:r>
      <w:r w:rsidRPr="00404665">
        <w:rPr>
          <w:u w:val="single"/>
        </w:rPr>
        <w:t>:</w:t>
      </w:r>
      <w:r>
        <w:rPr>
          <w:u w:val="single"/>
        </w:rPr>
        <w:t xml:space="preserve"> INLIQ indicators relating to CKD (2020/21)</w:t>
      </w:r>
    </w:p>
    <w:tbl>
      <w:tblPr>
        <w:tblStyle w:val="TableGrid"/>
        <w:tblW w:w="0" w:type="auto"/>
        <w:tblLayout w:type="fixed"/>
        <w:tblLook w:val="04A0" w:firstRow="1" w:lastRow="0" w:firstColumn="1" w:lastColumn="0" w:noHBand="0" w:noVBand="1"/>
      </w:tblPr>
      <w:tblGrid>
        <w:gridCol w:w="3964"/>
        <w:gridCol w:w="1701"/>
        <w:gridCol w:w="1560"/>
        <w:gridCol w:w="1791"/>
      </w:tblGrid>
      <w:tr w:rsidR="00435E3F" w:rsidRPr="00BD400C" w14:paraId="3F2089BF" w14:textId="48070CB1" w:rsidTr="00C33A69">
        <w:tc>
          <w:tcPr>
            <w:tcW w:w="3964" w:type="dxa"/>
          </w:tcPr>
          <w:p w14:paraId="11831137" w14:textId="0D3032C3" w:rsidR="00435E3F" w:rsidRPr="00C33A69" w:rsidRDefault="00435E3F" w:rsidP="00406C58">
            <w:pPr>
              <w:spacing w:before="60" w:after="60" w:line="259" w:lineRule="auto"/>
              <w:rPr>
                <w:b/>
                <w:szCs w:val="26"/>
              </w:rPr>
            </w:pPr>
            <w:r w:rsidRPr="00C33A69">
              <w:rPr>
                <w:b/>
                <w:szCs w:val="26"/>
              </w:rPr>
              <w:t>Indicator</w:t>
            </w:r>
          </w:p>
        </w:tc>
        <w:tc>
          <w:tcPr>
            <w:tcW w:w="1701" w:type="dxa"/>
          </w:tcPr>
          <w:p w14:paraId="6C3818E9" w14:textId="0BE9C79A" w:rsidR="00435E3F" w:rsidRPr="00C33A69" w:rsidRDefault="00435E3F" w:rsidP="00C33A69">
            <w:pPr>
              <w:spacing w:before="60" w:after="60" w:line="259" w:lineRule="auto"/>
              <w:jc w:val="center"/>
              <w:rPr>
                <w:b/>
                <w:szCs w:val="26"/>
              </w:rPr>
            </w:pPr>
            <w:r w:rsidRPr="00C33A69">
              <w:rPr>
                <w:b/>
                <w:szCs w:val="26"/>
              </w:rPr>
              <w:t>Intervention rate</w:t>
            </w:r>
          </w:p>
        </w:tc>
        <w:tc>
          <w:tcPr>
            <w:tcW w:w="1560" w:type="dxa"/>
          </w:tcPr>
          <w:p w14:paraId="06D0DF52" w14:textId="422EAF35" w:rsidR="00435E3F" w:rsidRPr="00C33A69" w:rsidRDefault="00435E3F" w:rsidP="00C33A69">
            <w:pPr>
              <w:spacing w:before="60" w:after="60" w:line="259" w:lineRule="auto"/>
              <w:jc w:val="center"/>
              <w:rPr>
                <w:b/>
                <w:szCs w:val="26"/>
              </w:rPr>
            </w:pPr>
            <w:r w:rsidRPr="00C33A69">
              <w:rPr>
                <w:b/>
                <w:szCs w:val="26"/>
              </w:rPr>
              <w:t>Exception</w:t>
            </w:r>
            <w:r w:rsidR="00C33A69">
              <w:rPr>
                <w:b/>
                <w:szCs w:val="26"/>
              </w:rPr>
              <w:t xml:space="preserve"> </w:t>
            </w:r>
            <w:r w:rsidRPr="00C33A69">
              <w:rPr>
                <w:b/>
                <w:szCs w:val="26"/>
              </w:rPr>
              <w:t>/</w:t>
            </w:r>
            <w:r w:rsidR="00C33A69">
              <w:rPr>
                <w:b/>
                <w:szCs w:val="26"/>
              </w:rPr>
              <w:t xml:space="preserve"> </w:t>
            </w:r>
            <w:r w:rsidRPr="00C33A69">
              <w:rPr>
                <w:b/>
                <w:szCs w:val="26"/>
              </w:rPr>
              <w:t>PCA rate</w:t>
            </w:r>
          </w:p>
        </w:tc>
        <w:tc>
          <w:tcPr>
            <w:tcW w:w="1791" w:type="dxa"/>
          </w:tcPr>
          <w:p w14:paraId="517EBBC4" w14:textId="6B398404" w:rsidR="00435E3F" w:rsidRPr="00C33A69" w:rsidRDefault="00435E3F" w:rsidP="00C33A69">
            <w:pPr>
              <w:spacing w:before="60" w:after="60" w:line="259" w:lineRule="auto"/>
              <w:jc w:val="center"/>
              <w:rPr>
                <w:b/>
                <w:szCs w:val="26"/>
              </w:rPr>
            </w:pPr>
            <w:r w:rsidRPr="00C33A69">
              <w:rPr>
                <w:b/>
                <w:szCs w:val="26"/>
              </w:rPr>
              <w:t>Achievement rate</w:t>
            </w:r>
          </w:p>
        </w:tc>
      </w:tr>
      <w:tr w:rsidR="00435E3F" w:rsidRPr="00BD400C" w14:paraId="3EA4BC52" w14:textId="05F62367" w:rsidTr="00C33A69">
        <w:tc>
          <w:tcPr>
            <w:tcW w:w="3964" w:type="dxa"/>
          </w:tcPr>
          <w:p w14:paraId="5E513BD4" w14:textId="45D44EF3" w:rsidR="00435E3F" w:rsidRPr="003D4F45" w:rsidRDefault="00435E3F" w:rsidP="00406C58">
            <w:pPr>
              <w:spacing w:before="60" w:after="60" w:line="288" w:lineRule="auto"/>
              <w:rPr>
                <w:rFonts w:cs="Arial"/>
              </w:rPr>
            </w:pPr>
            <w:r w:rsidRPr="00126728">
              <w:rPr>
                <w:rFonts w:cs="Arial"/>
              </w:rPr>
              <w:t>CKD002: Percentage of patients on the CKD register in whom the last blood pressure reading (measured in the preceding 12 months) is 140/85 mmHg or less</w:t>
            </w:r>
          </w:p>
        </w:tc>
        <w:tc>
          <w:tcPr>
            <w:tcW w:w="1701" w:type="dxa"/>
          </w:tcPr>
          <w:p w14:paraId="2507FDEA" w14:textId="2708554C" w:rsidR="00435E3F" w:rsidRPr="003D4F45" w:rsidRDefault="008D2467" w:rsidP="003D4F45">
            <w:pPr>
              <w:spacing w:before="60" w:after="60" w:line="288" w:lineRule="auto"/>
              <w:jc w:val="right"/>
            </w:pPr>
            <w:r w:rsidRPr="003D4F45">
              <w:t>47.0%</w:t>
            </w:r>
          </w:p>
        </w:tc>
        <w:tc>
          <w:tcPr>
            <w:tcW w:w="1560" w:type="dxa"/>
          </w:tcPr>
          <w:p w14:paraId="19551720" w14:textId="17464347" w:rsidR="00435E3F" w:rsidRPr="003D4F45" w:rsidRDefault="008D2467" w:rsidP="003D4F45">
            <w:pPr>
              <w:spacing w:before="60" w:after="60" w:line="288" w:lineRule="auto"/>
              <w:jc w:val="right"/>
            </w:pPr>
            <w:r w:rsidRPr="003D4F45">
              <w:t>4.5%</w:t>
            </w:r>
          </w:p>
        </w:tc>
        <w:tc>
          <w:tcPr>
            <w:tcW w:w="1791" w:type="dxa"/>
          </w:tcPr>
          <w:p w14:paraId="4EB8C7B0" w14:textId="7FAEEB0B" w:rsidR="00435E3F" w:rsidRPr="003D4F45" w:rsidRDefault="008D2467" w:rsidP="003D4F45">
            <w:pPr>
              <w:spacing w:before="60" w:after="60" w:line="288" w:lineRule="auto"/>
              <w:jc w:val="right"/>
            </w:pPr>
            <w:r w:rsidRPr="003D4F45">
              <w:t>49.3%</w:t>
            </w:r>
          </w:p>
        </w:tc>
      </w:tr>
      <w:tr w:rsidR="00435E3F" w:rsidRPr="00BD400C" w14:paraId="347967FF" w14:textId="21D1774B" w:rsidTr="00C33A69">
        <w:tc>
          <w:tcPr>
            <w:tcW w:w="3964" w:type="dxa"/>
          </w:tcPr>
          <w:p w14:paraId="50D9661D" w14:textId="71AFA53F" w:rsidR="00435E3F" w:rsidRPr="003D4F45" w:rsidRDefault="00435E3F" w:rsidP="00406C58">
            <w:pPr>
              <w:spacing w:before="60" w:after="60" w:line="288" w:lineRule="auto"/>
            </w:pPr>
            <w:r w:rsidRPr="00126728">
              <w:t xml:space="preserve">CKD004: The percentage of patients on the CKD register whose notes have a record of a urine </w:t>
            </w:r>
            <w:proofErr w:type="spellStart"/>
            <w:r w:rsidRPr="00126728">
              <w:t>albumin:creat</w:t>
            </w:r>
            <w:r w:rsidRPr="008D2467">
              <w:t>inine</w:t>
            </w:r>
            <w:proofErr w:type="spellEnd"/>
            <w:r w:rsidRPr="008D2467">
              <w:t xml:space="preserve"> ratio (or </w:t>
            </w:r>
            <w:proofErr w:type="spellStart"/>
            <w:r w:rsidRPr="008D2467">
              <w:t>protein:creatinine</w:t>
            </w:r>
            <w:proofErr w:type="spellEnd"/>
            <w:r w:rsidRPr="008D2467">
              <w:t xml:space="preserve"> ratio) test in the preceding 12 months</w:t>
            </w:r>
          </w:p>
        </w:tc>
        <w:tc>
          <w:tcPr>
            <w:tcW w:w="1701" w:type="dxa"/>
          </w:tcPr>
          <w:p w14:paraId="1127872C" w14:textId="161F529C" w:rsidR="00435E3F" w:rsidRPr="003D4F45" w:rsidRDefault="008D2467" w:rsidP="003D4F45">
            <w:pPr>
              <w:spacing w:before="60" w:after="60" w:line="288" w:lineRule="auto"/>
              <w:jc w:val="right"/>
            </w:pPr>
            <w:r w:rsidRPr="003D4F45">
              <w:t>26.4%</w:t>
            </w:r>
          </w:p>
        </w:tc>
        <w:tc>
          <w:tcPr>
            <w:tcW w:w="1560" w:type="dxa"/>
          </w:tcPr>
          <w:p w14:paraId="6BC19E91" w14:textId="5ADCF62D" w:rsidR="00435E3F" w:rsidRPr="003D4F45" w:rsidRDefault="008D2467" w:rsidP="003D4F45">
            <w:pPr>
              <w:spacing w:before="60" w:after="60" w:line="288" w:lineRule="auto"/>
              <w:jc w:val="right"/>
            </w:pPr>
            <w:r w:rsidRPr="003D4F45">
              <w:t>2.7%</w:t>
            </w:r>
          </w:p>
        </w:tc>
        <w:tc>
          <w:tcPr>
            <w:tcW w:w="1791" w:type="dxa"/>
          </w:tcPr>
          <w:p w14:paraId="7BDA2F3D" w14:textId="1DE3D5F5" w:rsidR="00435E3F" w:rsidRPr="003D4F45" w:rsidRDefault="008D2467" w:rsidP="003D4F45">
            <w:pPr>
              <w:spacing w:before="60" w:after="60" w:line="288" w:lineRule="auto"/>
              <w:jc w:val="right"/>
            </w:pPr>
            <w:r w:rsidRPr="003D4F45">
              <w:t>27.1%</w:t>
            </w:r>
          </w:p>
        </w:tc>
      </w:tr>
      <w:tr w:rsidR="00435E3F" w:rsidRPr="00BD400C" w14:paraId="5634DDDB" w14:textId="7C5343CC" w:rsidTr="00C33A69">
        <w:tc>
          <w:tcPr>
            <w:tcW w:w="3964" w:type="dxa"/>
          </w:tcPr>
          <w:p w14:paraId="30976047" w14:textId="55EE379D" w:rsidR="00435E3F" w:rsidRPr="003D4F45" w:rsidRDefault="00435E3F" w:rsidP="00406C58">
            <w:pPr>
              <w:spacing w:before="60" w:after="60" w:line="288" w:lineRule="auto"/>
            </w:pPr>
            <w:r w:rsidRPr="00126728">
              <w:t>NM84: The percentage of patie</w:t>
            </w:r>
            <w:r w:rsidRPr="008D2467">
              <w:t>nts on the CKD register with hypertension and proteinuria who are currently treated with renin-angiotensin system antagonists</w:t>
            </w:r>
          </w:p>
        </w:tc>
        <w:tc>
          <w:tcPr>
            <w:tcW w:w="1701" w:type="dxa"/>
          </w:tcPr>
          <w:p w14:paraId="74DCD06D" w14:textId="22AE7537" w:rsidR="00435E3F" w:rsidRPr="003D4F45" w:rsidRDefault="008D2467" w:rsidP="003D4F45">
            <w:pPr>
              <w:spacing w:before="60" w:after="60" w:line="288" w:lineRule="auto"/>
              <w:jc w:val="right"/>
            </w:pPr>
            <w:r w:rsidRPr="003D4F45">
              <w:t>66.7%</w:t>
            </w:r>
          </w:p>
        </w:tc>
        <w:tc>
          <w:tcPr>
            <w:tcW w:w="1560" w:type="dxa"/>
          </w:tcPr>
          <w:p w14:paraId="0B0DC0C4" w14:textId="66EE7837" w:rsidR="00435E3F" w:rsidRPr="003D4F45" w:rsidRDefault="008D2467" w:rsidP="003D4F45">
            <w:pPr>
              <w:spacing w:before="60" w:after="60" w:line="288" w:lineRule="auto"/>
              <w:jc w:val="right"/>
            </w:pPr>
            <w:r w:rsidRPr="003D4F45">
              <w:t>0.9%</w:t>
            </w:r>
          </w:p>
        </w:tc>
        <w:tc>
          <w:tcPr>
            <w:tcW w:w="1791" w:type="dxa"/>
          </w:tcPr>
          <w:p w14:paraId="215CE711" w14:textId="75D40F9D" w:rsidR="00435E3F" w:rsidRPr="003D4F45" w:rsidRDefault="008D2467" w:rsidP="003D4F45">
            <w:pPr>
              <w:spacing w:before="60" w:after="60" w:line="288" w:lineRule="auto"/>
              <w:jc w:val="right"/>
            </w:pPr>
            <w:r w:rsidRPr="003D4F45">
              <w:t>67.3%</w:t>
            </w:r>
          </w:p>
        </w:tc>
      </w:tr>
    </w:tbl>
    <w:p w14:paraId="7BC2F276" w14:textId="77777777" w:rsidR="00435E3F" w:rsidRPr="00435E3F" w:rsidRDefault="00435E3F" w:rsidP="003D4F45"/>
    <w:p w14:paraId="6AEC585E" w14:textId="5A17EF2E" w:rsidR="00D15FD4" w:rsidRDefault="00D15FD4" w:rsidP="001D2C28"/>
    <w:p w14:paraId="2F89109F" w14:textId="52494C61" w:rsidR="001D2C28" w:rsidRDefault="001D2C28" w:rsidP="001D2C28"/>
    <w:p w14:paraId="5794962E" w14:textId="77777777" w:rsidR="00C33A69" w:rsidRDefault="00C33A69">
      <w:pPr>
        <w:spacing w:after="160" w:line="259" w:lineRule="auto"/>
        <w:rPr>
          <w:rFonts w:eastAsiaTheme="majorEastAsia" w:cstheme="majorBidi"/>
          <w:b/>
          <w:szCs w:val="24"/>
        </w:rPr>
      </w:pPr>
      <w:r>
        <w:br w:type="page"/>
      </w:r>
    </w:p>
    <w:p w14:paraId="144AB458" w14:textId="6194EA41" w:rsidR="00E53EB3" w:rsidRDefault="00E53EB3" w:rsidP="00E53EB3">
      <w:pPr>
        <w:pStyle w:val="Heading3"/>
      </w:pPr>
      <w:r w:rsidRPr="009F01FD">
        <w:lastRenderedPageBreak/>
        <w:t>CVD</w:t>
      </w:r>
      <w:r w:rsidR="006F2AE8">
        <w:t>PREVENT</w:t>
      </w:r>
      <w:r w:rsidRPr="009F01FD">
        <w:t xml:space="preserve"> audit findings</w:t>
      </w:r>
      <w:r>
        <w:t xml:space="preserve"> </w:t>
      </w:r>
    </w:p>
    <w:p w14:paraId="5CBBB7EB" w14:textId="77777777" w:rsidR="00C33A69" w:rsidRDefault="00126728" w:rsidP="006F2AE8">
      <w:pPr>
        <w:spacing w:before="120"/>
      </w:pPr>
      <w:r>
        <w:t>CVDPREVENT</w:t>
      </w:r>
      <w:r w:rsidR="00C33A69">
        <w:t xml:space="preserve"> is a national primary care audit that automatically extracts routinely held General Practice data covering the diagnosis and management of 6 high risk conditions that cause stroke, heart attack and dementia: atrial fibrillation, high blood pressure, high cholesterol, diabetes, non-diabetic hyperglycaemia and chronic kidney disease</w:t>
      </w:r>
      <w:r w:rsidR="00160847">
        <w:rPr>
          <w:rStyle w:val="FootnoteReference"/>
        </w:rPr>
        <w:footnoteReference w:id="2"/>
      </w:r>
      <w:r w:rsidR="00C33A69">
        <w:t>.</w:t>
      </w:r>
    </w:p>
    <w:p w14:paraId="1693C81C" w14:textId="6A43200C" w:rsidR="00126728" w:rsidRDefault="00C33A69" w:rsidP="00E53EB3">
      <w:r>
        <w:t>CVDPREVENT data</w:t>
      </w:r>
      <w:r w:rsidR="00126728">
        <w:t xml:space="preserve"> is collected through the General Practice Extraction Service (GPES) by opt-in from practices, therefore will not represent the same data collected in QOF</w:t>
      </w:r>
      <w:r w:rsidR="001E0CD4">
        <w:rPr>
          <w:rStyle w:val="FootnoteReference"/>
        </w:rPr>
        <w:footnoteReference w:id="3"/>
      </w:r>
      <w:r w:rsidR="00126728">
        <w:t>.</w:t>
      </w:r>
    </w:p>
    <w:p w14:paraId="111AD6C3" w14:textId="3CAE9FD2" w:rsidR="002F13F1" w:rsidRDefault="008149CE" w:rsidP="00E53EB3">
      <w:r>
        <w:t>The CVD</w:t>
      </w:r>
      <w:r w:rsidR="00126728">
        <w:t xml:space="preserve">PREVENT </w:t>
      </w:r>
      <w:r>
        <w:t>data explorer</w:t>
      </w:r>
      <w:r w:rsidR="00160847">
        <w:rPr>
          <w:rStyle w:val="FootnoteReference"/>
        </w:rPr>
        <w:footnoteReference w:id="4"/>
      </w:r>
      <w:r>
        <w:t xml:space="preserve"> tool includes data to </w:t>
      </w:r>
      <w:r w:rsidR="00EF0526">
        <w:t xml:space="preserve">September </w:t>
      </w:r>
      <w:r>
        <w:t>2021, this includes indicator CVDP001CKD</w:t>
      </w:r>
      <w:r w:rsidR="007D350A">
        <w:t>:</w:t>
      </w:r>
      <w:r>
        <w:t xml:space="preserve"> </w:t>
      </w:r>
      <w:r w:rsidRPr="008149CE">
        <w:t xml:space="preserve">Prevalence of GP recorded </w:t>
      </w:r>
      <w:proofErr w:type="gramStart"/>
      <w:r w:rsidRPr="008149CE">
        <w:t>Chronic Kidney Disease</w:t>
      </w:r>
      <w:proofErr w:type="gramEnd"/>
      <w:r w:rsidRPr="008149CE">
        <w:t xml:space="preserve"> with classification of categories G3a to G5 (previously stage 3 to 5) in patients aged 18 and over</w:t>
      </w:r>
      <w:r>
        <w:t xml:space="preserve"> – which matches the QOF </w:t>
      </w:r>
      <w:r w:rsidR="00160847">
        <w:t>chronic kidney disease register definition</w:t>
      </w:r>
      <w:r>
        <w:t xml:space="preserve">. The most recent national </w:t>
      </w:r>
      <w:r w:rsidR="002F13F1">
        <w:t>published data for this indicator</w:t>
      </w:r>
      <w:r>
        <w:t xml:space="preserve"> is 3.</w:t>
      </w:r>
      <w:r w:rsidR="00EF0526">
        <w:t>7</w:t>
      </w:r>
      <w:r>
        <w:t>%, and this includes further breakdowns by sex (Male 3.</w:t>
      </w:r>
      <w:r w:rsidR="00EF0526">
        <w:t>1</w:t>
      </w:r>
      <w:r>
        <w:t>%, Female 4.3%), age (18-39 0.1%, 40-59 0.9%, 60-79 7.</w:t>
      </w:r>
      <w:r w:rsidR="00EF0526">
        <w:t>4</w:t>
      </w:r>
      <w:r>
        <w:t>% and 80+ 28.</w:t>
      </w:r>
      <w:r w:rsidR="00627851">
        <w:t>7</w:t>
      </w:r>
      <w:r>
        <w:t>%)</w:t>
      </w:r>
      <w:r w:rsidR="00C06476">
        <w:t xml:space="preserve"> and deprivation quintile which shows </w:t>
      </w:r>
      <w:r w:rsidR="002F13F1">
        <w:t>that prevalence of CKD was lowest in the most deprived areas (unadjusted data)</w:t>
      </w:r>
      <w:r w:rsidR="00627851">
        <w:t xml:space="preserve">. </w:t>
      </w:r>
    </w:p>
    <w:p w14:paraId="6A61CF17" w14:textId="3749464D" w:rsidR="008149CE" w:rsidRDefault="00627851" w:rsidP="00E53EB3">
      <w:r>
        <w:t>T</w:t>
      </w:r>
      <w:r w:rsidR="00C06476">
        <w:t xml:space="preserve">he </w:t>
      </w:r>
      <w:r w:rsidR="009E41EA">
        <w:t>first annual report</w:t>
      </w:r>
      <w:r w:rsidR="009E41EA">
        <w:rPr>
          <w:rStyle w:val="FootnoteReference"/>
        </w:rPr>
        <w:footnoteReference w:id="5"/>
      </w:r>
      <w:r w:rsidR="009E41EA">
        <w:t xml:space="preserve"> (data to March 2020)</w:t>
      </w:r>
      <w:r w:rsidR="00C06476">
        <w:t xml:space="preserve"> investigated </w:t>
      </w:r>
      <w:r w:rsidR="00B87219">
        <w:t>this</w:t>
      </w:r>
      <w:r w:rsidR="009E41EA">
        <w:t xml:space="preserve"> </w:t>
      </w:r>
      <w:r w:rsidR="00C06476">
        <w:t xml:space="preserve">deprivation finding further with synthetic estimates taking account of the age distribution which suggested that </w:t>
      </w:r>
      <w:r w:rsidR="002F13F1">
        <w:t xml:space="preserve">the </w:t>
      </w:r>
      <w:r w:rsidR="00C06476">
        <w:t xml:space="preserve">prevalence </w:t>
      </w:r>
      <w:r w:rsidR="002F13F1">
        <w:t xml:space="preserve">of GP recorded CKD </w:t>
      </w:r>
      <w:r w:rsidR="00C06476">
        <w:t xml:space="preserve">increased </w:t>
      </w:r>
      <w:r w:rsidR="002F13F1">
        <w:t xml:space="preserve">as populations were more deprived, </w:t>
      </w:r>
      <w:r w:rsidR="00C06476">
        <w:t>the most deprived being 1.2 percentage points higher than the least deprived.</w:t>
      </w:r>
      <w:r w:rsidR="00E70C20">
        <w:t xml:space="preserve"> </w:t>
      </w:r>
    </w:p>
    <w:p w14:paraId="63EC6F48" w14:textId="77777777" w:rsidR="00100293" w:rsidRDefault="00100293">
      <w:pPr>
        <w:spacing w:after="160" w:line="259" w:lineRule="auto"/>
        <w:rPr>
          <w:rFonts w:eastAsiaTheme="majorEastAsia" w:cstheme="majorBidi"/>
          <w:b/>
          <w:szCs w:val="24"/>
        </w:rPr>
      </w:pPr>
      <w:r>
        <w:br w:type="page"/>
      </w:r>
    </w:p>
    <w:p w14:paraId="7EFA9BDC" w14:textId="1B7B9F30" w:rsidR="00134D7A" w:rsidRDefault="005F618E" w:rsidP="00134D7A">
      <w:pPr>
        <w:pStyle w:val="Heading3"/>
      </w:pPr>
      <w:r>
        <w:lastRenderedPageBreak/>
        <w:t>Network Contract Directed Enhanced Service (Investment and Impact Fund)</w:t>
      </w:r>
    </w:p>
    <w:p w14:paraId="027603FC" w14:textId="18024B2C" w:rsidR="005F618E" w:rsidRDefault="005F618E" w:rsidP="00736376">
      <w:pPr>
        <w:spacing w:before="60"/>
      </w:pPr>
      <w:r>
        <w:t xml:space="preserve">The Investment and Impact Fund (IIF) </w:t>
      </w:r>
      <w:r w:rsidR="007D350A">
        <w:t xml:space="preserve">is an incentive scheme which was </w:t>
      </w:r>
      <w:r>
        <w:t>introduced as part of the amended 2020/21 Network Contract Directed Enhanced Service (DES)</w:t>
      </w:r>
      <w:r>
        <w:rPr>
          <w:rStyle w:val="FootnoteReference"/>
        </w:rPr>
        <w:footnoteReference w:id="6"/>
      </w:r>
      <w:r>
        <w:t xml:space="preserve"> and was in place for 6 months, from </w:t>
      </w:r>
      <w:r w:rsidR="007D350A">
        <w:t>1 October 2020 to 31 March 2021</w:t>
      </w:r>
      <w:r>
        <w:t xml:space="preserve">. In </w:t>
      </w:r>
      <w:r w:rsidR="00736376">
        <w:t>this</w:t>
      </w:r>
      <w:r w:rsidR="004429A6">
        <w:t xml:space="preserve"> 2020/21</w:t>
      </w:r>
      <w:r w:rsidR="00736376">
        <w:t xml:space="preserve"> scheme</w:t>
      </w:r>
      <w:r w:rsidR="004429A6">
        <w:t xml:space="preserve"> </w:t>
      </w:r>
      <w:r>
        <w:t>was indicator MS01: Percentage of patients aged 65 years and over currently prescribed a non-steroidal anti-inflammatory drug (NSAID) without a gastro-protective medicine.</w:t>
      </w:r>
      <w:r w:rsidR="004A2A19">
        <w:t xml:space="preserve"> The rationale for including this indicator in the IIF was due to the heightened risk of hospitalisation due to gastro-intestinal bleed for patients prescribed medicines in this group</w:t>
      </w:r>
      <w:r w:rsidR="007D350A">
        <w:t xml:space="preserve"> (no data is accessible)</w:t>
      </w:r>
      <w:r w:rsidR="004A2A19">
        <w:t>.</w:t>
      </w:r>
    </w:p>
    <w:p w14:paraId="725033AC" w14:textId="4DC2A317" w:rsidR="004A2A19" w:rsidRDefault="004A2A19" w:rsidP="00736376">
      <w:pPr>
        <w:spacing w:line="240" w:lineRule="auto"/>
      </w:pPr>
      <w:r>
        <w:t>The IIF for 2021/22</w:t>
      </w:r>
      <w:bookmarkStart w:id="0" w:name="_Ref104557432"/>
      <w:r>
        <w:rPr>
          <w:rStyle w:val="FootnoteReference"/>
        </w:rPr>
        <w:footnoteReference w:id="7"/>
      </w:r>
      <w:bookmarkEnd w:id="0"/>
      <w:r>
        <w:t xml:space="preserve"> contained two NSAID-related indicators: </w:t>
      </w:r>
    </w:p>
    <w:p w14:paraId="570C523F" w14:textId="4B375BC7" w:rsidR="004A2A19" w:rsidRPr="00406C58" w:rsidRDefault="004A2A19" w:rsidP="00566C60">
      <w:pPr>
        <w:spacing w:after="60" w:line="336" w:lineRule="auto"/>
        <w:rPr>
          <w:szCs w:val="24"/>
        </w:rPr>
      </w:pPr>
      <w:r w:rsidRPr="00406C58">
        <w:rPr>
          <w:szCs w:val="24"/>
        </w:rPr>
        <w:t xml:space="preserve">SMR-02A: Percentage of patients aged 18 years or over prescribed both a Non-Steroidal Anti-Inflammatory Drug (NSAID) and an oral anticoagulant in the 3 months to 1 April 2022, who in the 3 months to 1 April 2023 were either (i) no longer prescribed an NSAID or (ii) prescribed a gastroprotective in addition to both an NSAID and an oral anticoagulant. </w:t>
      </w:r>
    </w:p>
    <w:p w14:paraId="5ACE2F28" w14:textId="77777777" w:rsidR="004A2A19" w:rsidRPr="00406C58" w:rsidRDefault="004A2A19" w:rsidP="00566C60">
      <w:pPr>
        <w:spacing w:after="240" w:line="336" w:lineRule="auto"/>
        <w:rPr>
          <w:rFonts w:cs="Arial"/>
          <w:color w:val="000000"/>
          <w:szCs w:val="24"/>
        </w:rPr>
      </w:pPr>
      <w:r w:rsidRPr="00406C58">
        <w:rPr>
          <w:rFonts w:cs="Arial"/>
          <w:color w:val="000000"/>
          <w:szCs w:val="24"/>
        </w:rPr>
        <w:t xml:space="preserve">SMR-02B: Percentage of patients aged 65 years or over prescribed a Non-Steroidal Anti-Inflammatory Drug (NSAID) and not an oral anticoagulant in the 3 months to 1 April 2022, who in the 3 months to 1 April 2023 were either (i) no longer prescribed an NSAID or (ii) prescribed a gastroprotective in addition to an NSAID. </w:t>
      </w:r>
    </w:p>
    <w:p w14:paraId="66778880" w14:textId="77777777" w:rsidR="004429A6" w:rsidRDefault="00406C58" w:rsidP="00736376">
      <w:pPr>
        <w:spacing w:after="0"/>
      </w:pPr>
      <w:r>
        <w:rPr>
          <w:szCs w:val="24"/>
        </w:rPr>
        <w:t xml:space="preserve">As part of the </w:t>
      </w:r>
      <w:r w:rsidRPr="00406C58">
        <w:rPr>
          <w:szCs w:val="24"/>
        </w:rPr>
        <w:t>Network Contract DE</w:t>
      </w:r>
      <w:r w:rsidRPr="00406C58">
        <w:t>S</w:t>
      </w:r>
      <w:r w:rsidR="007D350A">
        <w:t xml:space="preserve"> (2021/22)</w:t>
      </w:r>
      <w:r>
        <w:t xml:space="preserve"> data publication</w:t>
      </w:r>
      <w:r w:rsidR="007D350A">
        <w:rPr>
          <w:rStyle w:val="FootnoteReference"/>
        </w:rPr>
        <w:footnoteReference w:id="8"/>
      </w:r>
      <w:r>
        <w:t xml:space="preserve">, </w:t>
      </w:r>
      <w:r w:rsidRPr="00406C58">
        <w:t>monthly data</w:t>
      </w:r>
      <w:r>
        <w:t xml:space="preserve"> </w:t>
      </w:r>
      <w:r w:rsidR="004429A6">
        <w:t xml:space="preserve">is published </w:t>
      </w:r>
      <w:r>
        <w:t>for a</w:t>
      </w:r>
      <w:r w:rsidR="004429A6">
        <w:t>n NSAIDs-related indicator</w:t>
      </w:r>
      <w:r>
        <w:t xml:space="preserve"> similar </w:t>
      </w:r>
      <w:r w:rsidR="004429A6">
        <w:t>to those in the 2021/22 IIF</w:t>
      </w:r>
      <w:r w:rsidR="004429A6" w:rsidRPr="004429A6">
        <w:rPr>
          <w:vertAlign w:val="superscript"/>
        </w:rPr>
        <w:fldChar w:fldCharType="begin"/>
      </w:r>
      <w:r w:rsidR="004429A6" w:rsidRPr="004429A6">
        <w:rPr>
          <w:vertAlign w:val="superscript"/>
        </w:rPr>
        <w:instrText xml:space="preserve"> NOTEREF _Ref104557432 \h </w:instrText>
      </w:r>
      <w:r w:rsidR="004429A6">
        <w:rPr>
          <w:vertAlign w:val="superscript"/>
        </w:rPr>
        <w:instrText xml:space="preserve"> \* MERGEFORMAT </w:instrText>
      </w:r>
      <w:r w:rsidR="004429A6" w:rsidRPr="004429A6">
        <w:rPr>
          <w:vertAlign w:val="superscript"/>
        </w:rPr>
      </w:r>
      <w:r w:rsidR="004429A6" w:rsidRPr="004429A6">
        <w:rPr>
          <w:vertAlign w:val="superscript"/>
        </w:rPr>
        <w:fldChar w:fldCharType="separate"/>
      </w:r>
      <w:r w:rsidR="004429A6" w:rsidRPr="004429A6">
        <w:rPr>
          <w:vertAlign w:val="superscript"/>
        </w:rPr>
        <w:t>7</w:t>
      </w:r>
      <w:r w:rsidR="004429A6" w:rsidRPr="004429A6">
        <w:rPr>
          <w:vertAlign w:val="superscript"/>
        </w:rPr>
        <w:fldChar w:fldCharType="end"/>
      </w:r>
      <w:r>
        <w:t>,</w:t>
      </w:r>
      <w:r w:rsidRPr="00406C58">
        <w:t xml:space="preserve"> </w:t>
      </w:r>
      <w:r w:rsidR="004429A6">
        <w:t xml:space="preserve">which is </w:t>
      </w:r>
      <w:r w:rsidR="007D350A">
        <w:t xml:space="preserve">NCDMI071: </w:t>
      </w:r>
      <w:r w:rsidR="00134D7A" w:rsidRPr="00406C58">
        <w:t>Percentage of patients aged 65 years or over prescribed a non-steroidal anti-inflammatory drug (NSAID), who are also concurrently prescribed a gastro protective</w:t>
      </w:r>
      <w:bookmarkStart w:id="1" w:name="_Ref104557342"/>
      <w:r w:rsidR="004429A6">
        <w:rPr>
          <w:rStyle w:val="FootnoteReference"/>
        </w:rPr>
        <w:footnoteReference w:id="9"/>
      </w:r>
      <w:bookmarkEnd w:id="1"/>
      <w:r w:rsidR="004429A6">
        <w:t>. It is</w:t>
      </w:r>
      <w:r w:rsidR="007D350A">
        <w:t xml:space="preserve"> stated </w:t>
      </w:r>
      <w:r w:rsidR="006F2AE8">
        <w:t xml:space="preserve">by NHS Digital </w:t>
      </w:r>
      <w:r w:rsidR="004429A6">
        <w:t xml:space="preserve">that the published data is </w:t>
      </w:r>
      <w:r>
        <w:t>under-</w:t>
      </w:r>
      <w:r w:rsidR="00134D7A" w:rsidRPr="00406C58">
        <w:t xml:space="preserve">reported in recent months due to errors in medication reference sets. </w:t>
      </w:r>
    </w:p>
    <w:p w14:paraId="61040A64" w14:textId="55382886" w:rsidR="00E53EB3" w:rsidRDefault="007D350A" w:rsidP="00736376">
      <w:pPr>
        <w:spacing w:after="0"/>
        <w:rPr>
          <w:b/>
          <w:highlight w:val="green"/>
        </w:rPr>
      </w:pPr>
      <w:r>
        <w:lastRenderedPageBreak/>
        <w:t>England level d</w:t>
      </w:r>
      <w:r w:rsidR="00406C58">
        <w:t xml:space="preserve">ata for </w:t>
      </w:r>
      <w:r w:rsidR="00340A6A">
        <w:t>March</w:t>
      </w:r>
      <w:r w:rsidR="00134D7A" w:rsidRPr="00406C58">
        <w:t xml:space="preserve"> 202</w:t>
      </w:r>
      <w:r w:rsidR="004429A6">
        <w:t>2</w:t>
      </w:r>
      <w:r w:rsidR="004429A6" w:rsidRPr="004429A6">
        <w:rPr>
          <w:vertAlign w:val="superscript"/>
        </w:rPr>
        <w:fldChar w:fldCharType="begin"/>
      </w:r>
      <w:r w:rsidR="004429A6" w:rsidRPr="004429A6">
        <w:rPr>
          <w:vertAlign w:val="superscript"/>
        </w:rPr>
        <w:instrText xml:space="preserve"> NOTEREF _Ref104557342 \h </w:instrText>
      </w:r>
      <w:r w:rsidR="004429A6">
        <w:rPr>
          <w:vertAlign w:val="superscript"/>
        </w:rPr>
        <w:instrText xml:space="preserve"> \* MERGEFORMAT </w:instrText>
      </w:r>
      <w:r w:rsidR="004429A6" w:rsidRPr="004429A6">
        <w:rPr>
          <w:vertAlign w:val="superscript"/>
        </w:rPr>
      </w:r>
      <w:r w:rsidR="004429A6" w:rsidRPr="004429A6">
        <w:rPr>
          <w:vertAlign w:val="superscript"/>
        </w:rPr>
        <w:fldChar w:fldCharType="separate"/>
      </w:r>
      <w:r w:rsidR="004429A6">
        <w:rPr>
          <w:vertAlign w:val="superscript"/>
        </w:rPr>
        <w:t>9</w:t>
      </w:r>
      <w:r w:rsidR="004429A6" w:rsidRPr="004429A6">
        <w:rPr>
          <w:vertAlign w:val="superscript"/>
        </w:rPr>
        <w:fldChar w:fldCharType="end"/>
      </w:r>
      <w:r w:rsidR="004429A6">
        <w:t xml:space="preserve"> </w:t>
      </w:r>
      <w:r w:rsidR="00406C58">
        <w:t>s</w:t>
      </w:r>
      <w:r>
        <w:t>hows that</w:t>
      </w:r>
      <w:r w:rsidR="00134D7A" w:rsidRPr="00406C58">
        <w:t xml:space="preserve"> </w:t>
      </w:r>
      <w:r w:rsidR="00340A6A">
        <w:t>689,066</w:t>
      </w:r>
      <w:r w:rsidR="0012648D" w:rsidRPr="00406C58">
        <w:t xml:space="preserve"> patients in the cohort </w:t>
      </w:r>
      <w:r w:rsidR="006F2AE8">
        <w:t xml:space="preserve">(aged 65 years and over) </w:t>
      </w:r>
      <w:r w:rsidR="00736376">
        <w:t>we</w:t>
      </w:r>
      <w:r w:rsidR="0012648D" w:rsidRPr="00406C58">
        <w:t xml:space="preserve">re prescribed an NSAID, with </w:t>
      </w:r>
      <w:r w:rsidR="00340A6A">
        <w:t>636,776 (92.4</w:t>
      </w:r>
      <w:r w:rsidR="0012648D" w:rsidRPr="00406C58">
        <w:t xml:space="preserve">%) </w:t>
      </w:r>
      <w:r w:rsidR="00736376">
        <w:t xml:space="preserve">of these </w:t>
      </w:r>
      <w:r w:rsidR="0012648D" w:rsidRPr="00406C58">
        <w:t xml:space="preserve">also </w:t>
      </w:r>
      <w:r w:rsidR="006F2AE8">
        <w:t xml:space="preserve">concurrently </w:t>
      </w:r>
      <w:r w:rsidR="0012648D" w:rsidRPr="00406C58">
        <w:t>prescribed a gastro protective</w:t>
      </w:r>
      <w:r w:rsidR="0012648D">
        <w:t>.</w:t>
      </w:r>
      <w:r w:rsidR="00100293" w:rsidRPr="003D4F45" w:rsidDel="003D4F45">
        <w:rPr>
          <w:b/>
          <w:highlight w:val="green"/>
        </w:rPr>
        <w:t xml:space="preserve"> </w:t>
      </w:r>
    </w:p>
    <w:p w14:paraId="630EE858" w14:textId="412A7661" w:rsidR="00CD7CD4" w:rsidRDefault="006F2AE8" w:rsidP="005F51B9">
      <w:pPr>
        <w:pStyle w:val="Heading2"/>
        <w:spacing w:line="288" w:lineRule="auto"/>
      </w:pPr>
      <w:r>
        <w:t>Oral non-steroidal anti-inflammatory drugs (NSAIDs) prescribing data from NHS Business Services Authority (NHSBSA)</w:t>
      </w:r>
    </w:p>
    <w:p w14:paraId="321E3FB0" w14:textId="77777777" w:rsidR="006F2AE8" w:rsidRPr="00894ADA" w:rsidRDefault="006F2AE8" w:rsidP="006F2AE8">
      <w:pPr>
        <w:pStyle w:val="Heading2"/>
      </w:pPr>
      <w:r w:rsidRPr="00894ADA">
        <w:t>Background</w:t>
      </w:r>
    </w:p>
    <w:p w14:paraId="4D7E0BD8" w14:textId="6C78631D" w:rsidR="006F2AE8" w:rsidRPr="00894ADA" w:rsidRDefault="006F2AE8" w:rsidP="006F2AE8">
      <w:r w:rsidRPr="00894ADA">
        <w:t xml:space="preserve">The NHS Business Services Authority (NHSBSA) manages and provides information relating to prescription data to NHS organisations, patients and the public. To </w:t>
      </w:r>
      <w:r w:rsidRPr="00C91731">
        <w:t xml:space="preserve">contribute to the discussion of the findings of the practice pilot </w:t>
      </w:r>
      <w:r>
        <w:t>including the practice clinical searches</w:t>
      </w:r>
      <w:r w:rsidRPr="00C91731">
        <w:t>, NCCID requested prescribing information from NHSBSA</w:t>
      </w:r>
      <w:r w:rsidRPr="00894ADA">
        <w:t xml:space="preserve"> relating to patients receiving </w:t>
      </w:r>
      <w:r>
        <w:t xml:space="preserve">oral NSAIDs, </w:t>
      </w:r>
      <w:r w:rsidRPr="00C91731">
        <w:t>including age and geographical distribution</w:t>
      </w:r>
      <w:r>
        <w:t>.</w:t>
      </w:r>
      <w:r w:rsidRPr="00C91731">
        <w:t xml:space="preserve"> </w:t>
      </w:r>
      <w:r>
        <w:t xml:space="preserve">The file received also presented data on </w:t>
      </w:r>
      <w:r w:rsidRPr="00C91731">
        <w:t>patients receiving diuretics or Renin Angiotensin System (RAS) drugs</w:t>
      </w:r>
      <w:r>
        <w:t xml:space="preserve"> in addition to oral NSAIDs, and related data from the NHSBSA’s Medicines Safety Dashboard is </w:t>
      </w:r>
      <w:r w:rsidR="00A566C6">
        <w:t xml:space="preserve">also </w:t>
      </w:r>
      <w:r>
        <w:t>presented to show the consequent impact on risk of hospitalisation.</w:t>
      </w:r>
    </w:p>
    <w:p w14:paraId="77992D30" w14:textId="77777777" w:rsidR="006F2AE8" w:rsidRDefault="006F2AE8" w:rsidP="006F2AE8">
      <w:pPr>
        <w:pStyle w:val="Heading2"/>
      </w:pPr>
      <w:r w:rsidRPr="00894ADA">
        <w:t>Methodology</w:t>
      </w:r>
    </w:p>
    <w:p w14:paraId="4A6794D4" w14:textId="77777777" w:rsidR="006F2AE8" w:rsidRDefault="006F2AE8" w:rsidP="006F2AE8">
      <w:r w:rsidRPr="004643FF">
        <w:t xml:space="preserve">Prescribing data was extracted from the NHSBSA Data Warehouse for the period January 2019 to December 2021 for England, with data back to January 2017 </w:t>
      </w:r>
      <w:r>
        <w:t>searched</w:t>
      </w:r>
      <w:r w:rsidRPr="004643FF">
        <w:t xml:space="preserve"> to establish previous prescribing numbers for patients prescribed NSAIDs in </w:t>
      </w:r>
      <w:r>
        <w:t>the period 2019 to 2021</w:t>
      </w:r>
      <w:r w:rsidRPr="004643FF">
        <w:t xml:space="preserve">. The NHSBSA data request extract is based on dispensing in the community that has been submitted to NHSBSA for reimbursement. NHSBSA provided a descriptive analysis of this data at England for the calendar years 2019, </w:t>
      </w:r>
      <w:r w:rsidRPr="0070138B">
        <w:t>2020 and 2021</w:t>
      </w:r>
      <w:bookmarkStart w:id="2" w:name="_Ref103861416"/>
      <w:r w:rsidRPr="0070138B">
        <w:rPr>
          <w:rStyle w:val="FootnoteReference"/>
        </w:rPr>
        <w:footnoteReference w:id="10"/>
      </w:r>
      <w:bookmarkEnd w:id="2"/>
      <w:r w:rsidRPr="0070138B">
        <w:t xml:space="preserve">, </w:t>
      </w:r>
      <w:r>
        <w:t xml:space="preserve">and also at GP practice level for 2021, </w:t>
      </w:r>
      <w:r w:rsidRPr="0070138B">
        <w:t>as described in Appendix 1.</w:t>
      </w:r>
      <w:r>
        <w:t xml:space="preserve"> </w:t>
      </w:r>
    </w:p>
    <w:p w14:paraId="02C575BE" w14:textId="77777777" w:rsidR="006F2AE8" w:rsidRDefault="006F2AE8" w:rsidP="006F2AE8">
      <w:r>
        <w:t xml:space="preserve">An assessment was made whether to consider patients on a ‘within GP’ or ‘any GP’ basis, with a decision made to consider patients on an ‘any GP’ basis (see </w:t>
      </w:r>
      <w:r w:rsidRPr="0070138B">
        <w:t xml:space="preserve">Appendix </w:t>
      </w:r>
      <w:r>
        <w:t xml:space="preserve">1 for definitions and Appendix </w:t>
      </w:r>
      <w:r w:rsidRPr="0070138B">
        <w:t>2 for details).</w:t>
      </w:r>
    </w:p>
    <w:p w14:paraId="6C429CA3" w14:textId="22DDAFE7" w:rsidR="006F2AE8" w:rsidRDefault="00A566C6" w:rsidP="006F2AE8">
      <w:r>
        <w:lastRenderedPageBreak/>
        <w:t>Whilst</w:t>
      </w:r>
      <w:r w:rsidR="006F2AE8">
        <w:t xml:space="preserve"> this report is based on the working definition for long-term use of a patient having</w:t>
      </w:r>
      <w:r w:rsidR="006F2AE8" w:rsidRPr="00724BEF">
        <w:t xml:space="preserve"> had oral NSAIDs prescribed for 12 or more months in the previous 24</w:t>
      </w:r>
      <w:r w:rsidR="006F2AE8">
        <w:t xml:space="preserve">, additional scenarios were explored to assess different ways of defining prescription frequency. The detail is shown in Appendix 2. </w:t>
      </w:r>
    </w:p>
    <w:p w14:paraId="3B20F48B" w14:textId="77777777" w:rsidR="006F2AE8" w:rsidRDefault="006F2AE8" w:rsidP="005F51B9">
      <w:pPr>
        <w:pStyle w:val="Heading2"/>
        <w:tabs>
          <w:tab w:val="left" w:pos="5134"/>
        </w:tabs>
        <w:spacing w:before="360"/>
      </w:pPr>
      <w:r>
        <w:t>Key findings</w:t>
      </w:r>
      <w:r>
        <w:tab/>
      </w:r>
    </w:p>
    <w:p w14:paraId="7A524A2A" w14:textId="77777777" w:rsidR="006F2AE8" w:rsidRDefault="006F2AE8" w:rsidP="005F51B9">
      <w:pPr>
        <w:pStyle w:val="Heading3"/>
        <w:spacing w:after="120"/>
        <w:rPr>
          <w:shd w:val="clear" w:color="auto" w:fill="FFFFFF"/>
        </w:rPr>
      </w:pPr>
      <w:r>
        <w:rPr>
          <w:shd w:val="clear" w:color="auto" w:fill="FFFFFF"/>
        </w:rPr>
        <w:t>Total prescribing of oral NSAIDs</w:t>
      </w:r>
    </w:p>
    <w:p w14:paraId="41F42D03" w14:textId="6F1D263E" w:rsidR="006F2AE8" w:rsidRDefault="006F2AE8" w:rsidP="006F2AE8">
      <w:pPr>
        <w:rPr>
          <w:rFonts w:cs="Arial"/>
          <w:iCs/>
          <w:shd w:val="clear" w:color="auto" w:fill="FFFFFF"/>
        </w:rPr>
      </w:pPr>
      <w:r w:rsidRPr="00AE1B2A">
        <w:rPr>
          <w:rFonts w:cs="Arial"/>
          <w:iCs/>
          <w:shd w:val="clear" w:color="auto" w:fill="FFFFFF"/>
        </w:rPr>
        <w:t xml:space="preserve">The NHSBA </w:t>
      </w:r>
      <w:r>
        <w:rPr>
          <w:rFonts w:cs="Arial"/>
          <w:iCs/>
          <w:shd w:val="clear" w:color="auto" w:fill="FFFFFF"/>
        </w:rPr>
        <w:t xml:space="preserve">identified </w:t>
      </w:r>
      <w:r w:rsidRPr="00AE1B2A">
        <w:rPr>
          <w:rFonts w:cs="Arial"/>
          <w:iCs/>
          <w:shd w:val="clear" w:color="auto" w:fill="FFFFFF"/>
        </w:rPr>
        <w:t xml:space="preserve">3.25 million patients </w:t>
      </w:r>
      <w:r>
        <w:rPr>
          <w:rFonts w:cs="Arial"/>
          <w:iCs/>
          <w:shd w:val="clear" w:color="auto" w:fill="FFFFFF"/>
        </w:rPr>
        <w:t xml:space="preserve">as NSAID users (defined as having </w:t>
      </w:r>
      <w:r w:rsidRPr="00AE1B2A">
        <w:rPr>
          <w:rFonts w:cs="Arial"/>
          <w:iCs/>
          <w:shd w:val="clear" w:color="auto" w:fill="FFFFFF"/>
        </w:rPr>
        <w:t xml:space="preserve">received at least one prescription item for </w:t>
      </w:r>
      <w:r>
        <w:rPr>
          <w:rFonts w:cs="Arial"/>
          <w:iCs/>
          <w:shd w:val="clear" w:color="auto" w:fill="FFFFFF"/>
        </w:rPr>
        <w:t xml:space="preserve">oral </w:t>
      </w:r>
      <w:r w:rsidRPr="00AE1B2A">
        <w:rPr>
          <w:rFonts w:cs="Arial"/>
          <w:iCs/>
          <w:shd w:val="clear" w:color="auto" w:fill="FFFFFF"/>
        </w:rPr>
        <w:t>NSAIDs</w:t>
      </w:r>
      <w:r>
        <w:rPr>
          <w:rFonts w:cs="Arial"/>
          <w:iCs/>
          <w:shd w:val="clear" w:color="auto" w:fill="FFFFFF"/>
        </w:rPr>
        <w:t xml:space="preserve"> in year) in 2021</w:t>
      </w:r>
      <w:r w:rsidRPr="00175312">
        <w:rPr>
          <w:rFonts w:cs="Arial"/>
          <w:iCs/>
          <w:shd w:val="clear" w:color="auto" w:fill="FFFFFF"/>
          <w:vertAlign w:val="superscript"/>
        </w:rPr>
        <w:fldChar w:fldCharType="begin"/>
      </w:r>
      <w:r w:rsidRPr="00175312">
        <w:rPr>
          <w:rFonts w:cs="Arial"/>
          <w:iCs/>
          <w:shd w:val="clear" w:color="auto" w:fill="FFFFFF"/>
          <w:vertAlign w:val="superscript"/>
        </w:rPr>
        <w:instrText xml:space="preserve"> NOTEREF _Ref103861416 \h </w:instrText>
      </w:r>
      <w:r>
        <w:rPr>
          <w:rFonts w:cs="Arial"/>
          <w:iCs/>
          <w:shd w:val="clear" w:color="auto" w:fill="FFFFFF"/>
          <w:vertAlign w:val="superscript"/>
        </w:rPr>
        <w:instrText xml:space="preserve"> \* MERGEFORMAT </w:instrText>
      </w:r>
      <w:r w:rsidRPr="00175312">
        <w:rPr>
          <w:rFonts w:cs="Arial"/>
          <w:iCs/>
          <w:shd w:val="clear" w:color="auto" w:fill="FFFFFF"/>
          <w:vertAlign w:val="superscript"/>
        </w:rPr>
      </w:r>
      <w:r w:rsidRPr="00175312">
        <w:rPr>
          <w:rFonts w:cs="Arial"/>
          <w:iCs/>
          <w:shd w:val="clear" w:color="auto" w:fill="FFFFFF"/>
          <w:vertAlign w:val="superscript"/>
        </w:rPr>
        <w:fldChar w:fldCharType="separate"/>
      </w:r>
      <w:r w:rsidR="004429A6">
        <w:rPr>
          <w:rFonts w:cs="Arial"/>
          <w:iCs/>
          <w:shd w:val="clear" w:color="auto" w:fill="FFFFFF"/>
          <w:vertAlign w:val="superscript"/>
        </w:rPr>
        <w:t>10</w:t>
      </w:r>
      <w:r w:rsidRPr="00175312">
        <w:rPr>
          <w:rFonts w:cs="Arial"/>
          <w:iCs/>
          <w:shd w:val="clear" w:color="auto" w:fill="FFFFFF"/>
          <w:vertAlign w:val="superscript"/>
        </w:rPr>
        <w:fldChar w:fldCharType="end"/>
      </w:r>
      <w:r>
        <w:rPr>
          <w:rFonts w:cs="Arial"/>
          <w:iCs/>
          <w:shd w:val="clear" w:color="auto" w:fill="FFFFFF"/>
        </w:rPr>
        <w:t>. Based on an overall registered adult population in England of 48.5 million</w:t>
      </w:r>
      <w:r w:rsidRPr="00435462">
        <w:rPr>
          <w:rFonts w:cs="Arial"/>
          <w:iCs/>
          <w:shd w:val="clear" w:color="auto" w:fill="FFFFFF"/>
        </w:rPr>
        <w:t xml:space="preserve"> as of 1 April 2021</w:t>
      </w:r>
      <w:bookmarkStart w:id="3" w:name="_Ref104532019"/>
      <w:r>
        <w:rPr>
          <w:rStyle w:val="FootnoteReference"/>
          <w:rFonts w:cs="Arial"/>
          <w:iCs/>
          <w:shd w:val="clear" w:color="auto" w:fill="FFFFFF"/>
        </w:rPr>
        <w:footnoteReference w:id="11"/>
      </w:r>
      <w:bookmarkEnd w:id="3"/>
      <w:r>
        <w:rPr>
          <w:rFonts w:cs="Arial"/>
          <w:iCs/>
          <w:shd w:val="clear" w:color="auto" w:fill="FFFFFF"/>
        </w:rPr>
        <w:t>, this equates to 6.7% of the registered population</w:t>
      </w:r>
      <w:r w:rsidRPr="00435462">
        <w:rPr>
          <w:rFonts w:cs="Arial"/>
          <w:iCs/>
          <w:shd w:val="clear" w:color="auto" w:fill="FFFFFF"/>
        </w:rPr>
        <w:t>.</w:t>
      </w:r>
      <w:r>
        <w:rPr>
          <w:rFonts w:cs="Arial"/>
          <w:iCs/>
          <w:shd w:val="clear" w:color="auto" w:fill="FFFFFF"/>
        </w:rPr>
        <w:t xml:space="preserve"> </w:t>
      </w:r>
    </w:p>
    <w:p w14:paraId="4F6F9A64" w14:textId="77777777" w:rsidR="006F2AE8" w:rsidRDefault="006F2AE8" w:rsidP="005F51B9">
      <w:pPr>
        <w:pStyle w:val="Heading3"/>
        <w:spacing w:before="240" w:after="120"/>
        <w:rPr>
          <w:shd w:val="clear" w:color="auto" w:fill="FFFFFF"/>
        </w:rPr>
      </w:pPr>
      <w:r>
        <w:rPr>
          <w:shd w:val="clear" w:color="auto" w:fill="FFFFFF"/>
        </w:rPr>
        <w:t>Exploring a working long-term definition of ‘12 prescriptions in 24 months’</w:t>
      </w:r>
    </w:p>
    <w:p w14:paraId="49997C75" w14:textId="5BAD6615" w:rsidR="00A566C6" w:rsidRDefault="006F2AE8" w:rsidP="00A566C6">
      <w:pPr>
        <w:rPr>
          <w:rFonts w:cs="Arial"/>
          <w:iCs/>
          <w:shd w:val="clear" w:color="auto" w:fill="FFFFFF"/>
        </w:rPr>
      </w:pPr>
      <w:r>
        <w:rPr>
          <w:rFonts w:cs="Arial"/>
          <w:iCs/>
          <w:shd w:val="clear" w:color="auto" w:fill="FFFFFF"/>
        </w:rPr>
        <w:t xml:space="preserve">The majority (1.9 million, 57.4%) of NSAID users in 2021 had only received NSAID items for one or two months (55.9% in 2020 and 57.9% in 2019), shown in Figure </w:t>
      </w:r>
      <w:r w:rsidR="00A566C6">
        <w:rPr>
          <w:rFonts w:cs="Arial"/>
          <w:iCs/>
          <w:shd w:val="clear" w:color="auto" w:fill="FFFFFF"/>
        </w:rPr>
        <w:t>2</w:t>
      </w:r>
      <w:r>
        <w:rPr>
          <w:rFonts w:cs="Arial"/>
          <w:iCs/>
          <w:shd w:val="clear" w:color="auto" w:fill="FFFFFF"/>
        </w:rPr>
        <w:t xml:space="preserve">. However, in 2021, 496,092 </w:t>
      </w:r>
      <w:bookmarkStart w:id="4" w:name="_Hlk104187529"/>
      <w:r>
        <w:rPr>
          <w:rFonts w:cs="Arial"/>
          <w:iCs/>
          <w:shd w:val="clear" w:color="auto" w:fill="FFFFFF"/>
        </w:rPr>
        <w:t xml:space="preserve">had had oral NSAIDs prescribed for 12 or more months in the </w:t>
      </w:r>
      <w:r w:rsidRPr="00672999">
        <w:rPr>
          <w:rFonts w:cs="Arial"/>
          <w:iCs/>
          <w:shd w:val="clear" w:color="auto" w:fill="FFFFFF"/>
        </w:rPr>
        <w:t>previous 24</w:t>
      </w:r>
      <w:bookmarkEnd w:id="4"/>
      <w:r w:rsidRPr="00672999">
        <w:rPr>
          <w:rFonts w:cs="Arial"/>
          <w:iCs/>
          <w:shd w:val="clear" w:color="auto" w:fill="FFFFFF"/>
        </w:rPr>
        <w:t xml:space="preserve">, meeting the </w:t>
      </w:r>
      <w:r>
        <w:rPr>
          <w:rFonts w:cs="Arial"/>
          <w:iCs/>
          <w:shd w:val="clear" w:color="auto" w:fill="FFFFFF"/>
        </w:rPr>
        <w:t xml:space="preserve">working </w:t>
      </w:r>
      <w:r w:rsidRPr="00672999">
        <w:rPr>
          <w:rFonts w:cs="Arial"/>
          <w:iCs/>
          <w:shd w:val="clear" w:color="auto" w:fill="FFFFFF"/>
        </w:rPr>
        <w:t>definition of long-term NSAID use</w:t>
      </w:r>
      <w:r>
        <w:rPr>
          <w:rFonts w:cs="Arial"/>
          <w:iCs/>
          <w:shd w:val="clear" w:color="auto" w:fill="FFFFFF"/>
        </w:rPr>
        <w:t>rs, which equates to 1.0% of the registered adult population</w:t>
      </w:r>
      <w:r w:rsidR="005F51B9" w:rsidRPr="005F51B9">
        <w:rPr>
          <w:rFonts w:cs="Arial"/>
          <w:iCs/>
          <w:shd w:val="clear" w:color="auto" w:fill="FFFFFF"/>
          <w:vertAlign w:val="superscript"/>
        </w:rPr>
        <w:fldChar w:fldCharType="begin"/>
      </w:r>
      <w:r w:rsidR="005F51B9" w:rsidRPr="005F51B9">
        <w:rPr>
          <w:rFonts w:cs="Arial"/>
          <w:iCs/>
          <w:shd w:val="clear" w:color="auto" w:fill="FFFFFF"/>
          <w:vertAlign w:val="superscript"/>
        </w:rPr>
        <w:instrText xml:space="preserve"> NOTEREF _Ref104532019 \h </w:instrText>
      </w:r>
      <w:r w:rsidR="005F51B9">
        <w:rPr>
          <w:rFonts w:cs="Arial"/>
          <w:iCs/>
          <w:shd w:val="clear" w:color="auto" w:fill="FFFFFF"/>
          <w:vertAlign w:val="superscript"/>
        </w:rPr>
        <w:instrText xml:space="preserve"> \* MERGEFORMAT </w:instrText>
      </w:r>
      <w:r w:rsidR="005F51B9" w:rsidRPr="005F51B9">
        <w:rPr>
          <w:rFonts w:cs="Arial"/>
          <w:iCs/>
          <w:shd w:val="clear" w:color="auto" w:fill="FFFFFF"/>
          <w:vertAlign w:val="superscript"/>
        </w:rPr>
      </w:r>
      <w:r w:rsidR="005F51B9" w:rsidRPr="005F51B9">
        <w:rPr>
          <w:rFonts w:cs="Arial"/>
          <w:iCs/>
          <w:shd w:val="clear" w:color="auto" w:fill="FFFFFF"/>
          <w:vertAlign w:val="superscript"/>
        </w:rPr>
        <w:fldChar w:fldCharType="separate"/>
      </w:r>
      <w:r w:rsidR="004429A6">
        <w:rPr>
          <w:rFonts w:cs="Arial"/>
          <w:iCs/>
          <w:shd w:val="clear" w:color="auto" w:fill="FFFFFF"/>
          <w:vertAlign w:val="superscript"/>
        </w:rPr>
        <w:t>11</w:t>
      </w:r>
      <w:r w:rsidR="005F51B9" w:rsidRPr="005F51B9">
        <w:rPr>
          <w:rFonts w:cs="Arial"/>
          <w:iCs/>
          <w:shd w:val="clear" w:color="auto" w:fill="FFFFFF"/>
          <w:vertAlign w:val="superscript"/>
        </w:rPr>
        <w:fldChar w:fldCharType="end"/>
      </w:r>
      <w:r w:rsidRPr="00435462">
        <w:rPr>
          <w:rFonts w:cs="Arial"/>
          <w:iCs/>
          <w:shd w:val="clear" w:color="auto" w:fill="FFFFFF"/>
        </w:rPr>
        <w:t>.</w:t>
      </w:r>
      <w:r>
        <w:rPr>
          <w:rFonts w:cs="Arial"/>
          <w:iCs/>
          <w:shd w:val="clear" w:color="auto" w:fill="FFFFFF"/>
        </w:rPr>
        <w:t xml:space="preserve"> </w:t>
      </w:r>
      <w:r w:rsidRPr="00672999">
        <w:rPr>
          <w:rFonts w:cs="Arial"/>
          <w:iCs/>
          <w:shd w:val="clear" w:color="auto" w:fill="FFFFFF"/>
        </w:rPr>
        <w:t>Similar</w:t>
      </w:r>
      <w:r>
        <w:rPr>
          <w:rFonts w:cs="Arial"/>
          <w:iCs/>
          <w:shd w:val="clear" w:color="auto" w:fill="FFFFFF"/>
        </w:rPr>
        <w:t xml:space="preserve"> proportions of long-term use were seen when considering data for patients prescribed NSAIDs in 2020 </w:t>
      </w:r>
      <w:r w:rsidR="00A566C6">
        <w:rPr>
          <w:rFonts w:cs="Arial"/>
          <w:iCs/>
          <w:shd w:val="clear" w:color="auto" w:fill="FFFFFF"/>
        </w:rPr>
        <w:t>and in 2019, as shown in Table 2</w:t>
      </w:r>
      <w:r>
        <w:rPr>
          <w:rFonts w:cs="Arial"/>
          <w:iCs/>
          <w:shd w:val="clear" w:color="auto" w:fill="FFFFFF"/>
        </w:rPr>
        <w:t>.</w:t>
      </w:r>
      <w:r w:rsidR="00A566C6" w:rsidRPr="00A566C6">
        <w:rPr>
          <w:rFonts w:cs="Arial"/>
          <w:iCs/>
          <w:shd w:val="clear" w:color="auto" w:fill="FFFFFF"/>
        </w:rPr>
        <w:t xml:space="preserve"> </w:t>
      </w:r>
    </w:p>
    <w:p w14:paraId="22C3A1C7" w14:textId="435E0D45" w:rsidR="00A566C6" w:rsidRDefault="00A566C6" w:rsidP="00A566C6">
      <w:pPr>
        <w:rPr>
          <w:rFonts w:cs="Arial"/>
          <w:iCs/>
          <w:shd w:val="clear" w:color="auto" w:fill="FFFFFF"/>
        </w:rPr>
      </w:pPr>
      <w:r>
        <w:rPr>
          <w:rFonts w:cs="Arial"/>
          <w:iCs/>
          <w:shd w:val="clear" w:color="auto" w:fill="FFFFFF"/>
        </w:rPr>
        <w:t>When broken down by GP practice</w:t>
      </w:r>
      <w:r>
        <w:rPr>
          <w:rStyle w:val="FootnoteReference"/>
          <w:rFonts w:cs="Arial"/>
          <w:iCs/>
          <w:shd w:val="clear" w:color="auto" w:fill="FFFFFF"/>
        </w:rPr>
        <w:footnoteReference w:id="12"/>
      </w:r>
      <w:r>
        <w:rPr>
          <w:rFonts w:cs="Arial"/>
          <w:iCs/>
          <w:shd w:val="clear" w:color="auto" w:fill="FFFFFF"/>
        </w:rPr>
        <w:t>, about half of all practices in England had more than 60 long-term NSAID users in 2021, with 337 practices having at least 200 long-term NSAID users</w:t>
      </w:r>
      <w:r w:rsidR="005F51B9">
        <w:rPr>
          <w:rFonts w:cs="Arial"/>
          <w:iCs/>
          <w:shd w:val="clear" w:color="auto" w:fill="FFFFFF"/>
        </w:rPr>
        <w:t>, as per the working definition</w:t>
      </w:r>
      <w:r>
        <w:rPr>
          <w:rFonts w:cs="Arial"/>
          <w:iCs/>
          <w:shd w:val="clear" w:color="auto" w:fill="FFFFFF"/>
        </w:rPr>
        <w:t>.</w:t>
      </w:r>
    </w:p>
    <w:p w14:paraId="4F05D325" w14:textId="77777777" w:rsidR="00A566C6" w:rsidRDefault="00A566C6">
      <w:pPr>
        <w:spacing w:after="160" w:line="259" w:lineRule="auto"/>
        <w:rPr>
          <w:rFonts w:eastAsiaTheme="majorEastAsia" w:cstheme="majorBidi"/>
          <w:iCs/>
          <w:color w:val="000000" w:themeColor="text1"/>
          <w:u w:val="single"/>
        </w:rPr>
      </w:pPr>
      <w:r>
        <w:br w:type="page"/>
      </w:r>
    </w:p>
    <w:p w14:paraId="67EA9FCB" w14:textId="491BEAA7" w:rsidR="00A566C6" w:rsidRPr="005221B2" w:rsidRDefault="00A566C6" w:rsidP="00A566C6">
      <w:pPr>
        <w:pStyle w:val="Heading4"/>
      </w:pPr>
      <w:r>
        <w:lastRenderedPageBreak/>
        <w:t>Figure 2</w:t>
      </w:r>
      <w:r w:rsidRPr="005221B2">
        <w:t>. Patients who have received at least one prescription item for oral NSAIDs in year, by number of months prescribed NSAIDs in the previous 24 months, England, 2019 to 2021.</w:t>
      </w:r>
    </w:p>
    <w:p w14:paraId="0782C10D" w14:textId="4E076442" w:rsidR="006F2AE8" w:rsidRDefault="00A566C6" w:rsidP="006F2AE8">
      <w:pPr>
        <w:rPr>
          <w:rFonts w:cs="Arial"/>
          <w:iCs/>
          <w:shd w:val="clear" w:color="auto" w:fill="FFFFFF"/>
        </w:rPr>
      </w:pPr>
      <w:r w:rsidRPr="00F91731">
        <w:rPr>
          <w:noProof/>
          <w:lang w:eastAsia="en-GB"/>
        </w:rPr>
        <w:drawing>
          <wp:inline distT="0" distB="0" distL="0" distR="0" wp14:anchorId="0C9E1651" wp14:editId="01E9E8B8">
            <wp:extent cx="5760000" cy="3758400"/>
            <wp:effectExtent l="0" t="0" r="0" b="0"/>
            <wp:docPr id="10" name="Picture 10" descr="Figure 2. Patients who have received at least one prescription item for oral NSAIDs in year, by number of months prescribed NSAIDs in the previous 24 months, England, 2019 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2. Patients who have received at least one prescription item for oral NSAIDs in year, by number of months prescribed NSAIDs in the previous 24 months, England, 2019 to 2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00" cy="3758400"/>
                    </a:xfrm>
                    <a:prstGeom prst="rect">
                      <a:avLst/>
                    </a:prstGeom>
                    <a:noFill/>
                    <a:ln>
                      <a:noFill/>
                    </a:ln>
                  </pic:spPr>
                </pic:pic>
              </a:graphicData>
            </a:graphic>
          </wp:inline>
        </w:drawing>
      </w:r>
    </w:p>
    <w:p w14:paraId="3E34D794" w14:textId="4E89CA4A" w:rsidR="006F2AE8" w:rsidRPr="002D62E0" w:rsidRDefault="00A566C6" w:rsidP="005F51B9">
      <w:pPr>
        <w:pStyle w:val="Heading4"/>
        <w:spacing w:before="240"/>
        <w:rPr>
          <w:rFonts w:eastAsiaTheme="minorHAnsi"/>
        </w:rPr>
      </w:pPr>
      <w:r>
        <w:rPr>
          <w:rFonts w:eastAsiaTheme="minorHAnsi"/>
        </w:rPr>
        <w:t>Table 2</w:t>
      </w:r>
      <w:r w:rsidR="006F2AE8" w:rsidRPr="002D62E0">
        <w:rPr>
          <w:rFonts w:eastAsiaTheme="minorHAnsi"/>
        </w:rPr>
        <w:t>. Numbers and percentages of NSAID users and long-term NSAID users in England, 2019 to 2021</w:t>
      </w:r>
    </w:p>
    <w:tbl>
      <w:tblPr>
        <w:tblW w:w="5500" w:type="pct"/>
        <w:tblLook w:val="04A0" w:firstRow="1" w:lastRow="0" w:firstColumn="1" w:lastColumn="0" w:noHBand="0" w:noVBand="1"/>
      </w:tblPr>
      <w:tblGrid>
        <w:gridCol w:w="804"/>
        <w:gridCol w:w="1351"/>
        <w:gridCol w:w="1443"/>
        <w:gridCol w:w="1443"/>
        <w:gridCol w:w="1151"/>
        <w:gridCol w:w="1443"/>
        <w:gridCol w:w="1443"/>
        <w:gridCol w:w="963"/>
      </w:tblGrid>
      <w:tr w:rsidR="006F2AE8" w:rsidRPr="00E41399" w14:paraId="3FDF35C6" w14:textId="77777777" w:rsidTr="009C7D7F">
        <w:trPr>
          <w:trHeight w:val="1180"/>
        </w:trPr>
        <w:tc>
          <w:tcPr>
            <w:tcW w:w="40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F2A07" w14:textId="77777777" w:rsidR="006F2AE8" w:rsidRPr="005F51B9" w:rsidRDefault="006F2AE8" w:rsidP="005F51B9">
            <w:pPr>
              <w:spacing w:before="40" w:after="80" w:line="288" w:lineRule="auto"/>
              <w:jc w:val="right"/>
              <w:rPr>
                <w:rFonts w:eastAsia="Times New Roman" w:cs="Arial"/>
                <w:b/>
                <w:color w:val="000000"/>
                <w:lang w:eastAsia="en-GB"/>
              </w:rPr>
            </w:pPr>
            <w:r w:rsidRPr="005F51B9">
              <w:rPr>
                <w:rFonts w:eastAsia="Times New Roman" w:cs="Arial"/>
                <w:b/>
                <w:color w:val="000000"/>
                <w:lang w:eastAsia="en-GB"/>
              </w:rPr>
              <w:t>Year </w:t>
            </w:r>
          </w:p>
        </w:tc>
        <w:tc>
          <w:tcPr>
            <w:tcW w:w="2136" w:type="pct"/>
            <w:gridSpan w:val="3"/>
            <w:tcBorders>
              <w:top w:val="single" w:sz="4" w:space="0" w:color="auto"/>
              <w:left w:val="nil"/>
              <w:bottom w:val="single" w:sz="4" w:space="0" w:color="auto"/>
              <w:right w:val="single" w:sz="4" w:space="0" w:color="auto"/>
            </w:tcBorders>
            <w:shd w:val="clear" w:color="auto" w:fill="auto"/>
            <w:vAlign w:val="bottom"/>
            <w:hideMark/>
          </w:tcPr>
          <w:p w14:paraId="6E3BF92D" w14:textId="77777777" w:rsidR="006F2AE8" w:rsidRPr="00A566C6" w:rsidRDefault="006F2AE8" w:rsidP="00A566C6">
            <w:pPr>
              <w:spacing w:before="40" w:after="40" w:line="288" w:lineRule="auto"/>
              <w:jc w:val="center"/>
              <w:rPr>
                <w:rFonts w:eastAsia="Times New Roman" w:cs="Arial"/>
                <w:color w:val="000000"/>
                <w:lang w:eastAsia="en-GB"/>
              </w:rPr>
            </w:pPr>
            <w:r w:rsidRPr="00A566C6">
              <w:rPr>
                <w:rFonts w:eastAsia="Times New Roman" w:cs="Arial"/>
                <w:color w:val="000000"/>
                <w:lang w:eastAsia="en-GB"/>
              </w:rPr>
              <w:t>NSAID users: Patients who had received at least one prescription item for oral NSAIDs in the year</w:t>
            </w:r>
          </w:p>
          <w:p w14:paraId="0DD31AC1" w14:textId="77777777" w:rsidR="006F2AE8" w:rsidRPr="00A566C6" w:rsidRDefault="006F2AE8" w:rsidP="00A566C6">
            <w:pPr>
              <w:spacing w:before="40" w:after="40" w:line="288" w:lineRule="auto"/>
              <w:jc w:val="center"/>
              <w:rPr>
                <w:rFonts w:eastAsia="Times New Roman" w:cs="Arial"/>
                <w:color w:val="000000"/>
                <w:lang w:eastAsia="en-GB"/>
              </w:rPr>
            </w:pPr>
          </w:p>
        </w:tc>
        <w:tc>
          <w:tcPr>
            <w:tcW w:w="2459" w:type="pct"/>
            <w:gridSpan w:val="4"/>
            <w:tcBorders>
              <w:top w:val="single" w:sz="4" w:space="0" w:color="auto"/>
              <w:left w:val="nil"/>
              <w:bottom w:val="single" w:sz="4" w:space="0" w:color="auto"/>
              <w:right w:val="single" w:sz="4" w:space="0" w:color="auto"/>
            </w:tcBorders>
            <w:shd w:val="clear" w:color="auto" w:fill="auto"/>
            <w:vAlign w:val="bottom"/>
            <w:hideMark/>
          </w:tcPr>
          <w:p w14:paraId="76B604B3" w14:textId="3A141F7F" w:rsidR="006F2AE8" w:rsidRPr="00A566C6" w:rsidRDefault="006F2AE8" w:rsidP="00A566C6">
            <w:pPr>
              <w:spacing w:before="40" w:after="40" w:line="288" w:lineRule="auto"/>
              <w:jc w:val="center"/>
              <w:rPr>
                <w:rFonts w:eastAsia="Times New Roman" w:cs="Arial"/>
                <w:color w:val="000000"/>
                <w:lang w:eastAsia="en-GB"/>
              </w:rPr>
            </w:pPr>
            <w:r w:rsidRPr="00A566C6">
              <w:rPr>
                <w:rFonts w:eastAsia="Times New Roman" w:cs="Arial"/>
                <w:color w:val="000000"/>
                <w:lang w:eastAsia="en-GB"/>
              </w:rPr>
              <w:t xml:space="preserve">NSAID long-term users: Patients who had received at least one prescription item for oral NSAIDs in the year, who had had oral NSAIDs prescribed for 12 or more months in the previous 24 months </w:t>
            </w:r>
          </w:p>
        </w:tc>
      </w:tr>
      <w:tr w:rsidR="006F2AE8" w:rsidRPr="00E41399" w14:paraId="130E559F" w14:textId="77777777" w:rsidTr="009C7D7F">
        <w:trPr>
          <w:trHeight w:val="870"/>
        </w:trPr>
        <w:tc>
          <w:tcPr>
            <w:tcW w:w="405" w:type="pct"/>
            <w:vMerge/>
            <w:tcBorders>
              <w:top w:val="single" w:sz="4" w:space="0" w:color="auto"/>
              <w:left w:val="single" w:sz="4" w:space="0" w:color="auto"/>
              <w:bottom w:val="single" w:sz="4" w:space="0" w:color="auto"/>
              <w:right w:val="single" w:sz="4" w:space="0" w:color="auto"/>
            </w:tcBorders>
            <w:vAlign w:val="center"/>
            <w:hideMark/>
          </w:tcPr>
          <w:p w14:paraId="711EB263" w14:textId="77777777" w:rsidR="006F2AE8" w:rsidRPr="00A566C6" w:rsidRDefault="006F2AE8" w:rsidP="00A566C6">
            <w:pPr>
              <w:spacing w:before="40" w:after="40" w:line="288" w:lineRule="auto"/>
              <w:rPr>
                <w:rFonts w:eastAsia="Times New Roman" w:cs="Arial"/>
                <w:color w:val="000000"/>
                <w:lang w:eastAsia="en-GB"/>
              </w:rPr>
            </w:pPr>
          </w:p>
        </w:tc>
        <w:tc>
          <w:tcPr>
            <w:tcW w:w="681" w:type="pct"/>
            <w:tcBorders>
              <w:top w:val="nil"/>
              <w:left w:val="nil"/>
              <w:bottom w:val="single" w:sz="4" w:space="0" w:color="auto"/>
              <w:right w:val="single" w:sz="4" w:space="0" w:color="auto"/>
            </w:tcBorders>
            <w:shd w:val="clear" w:color="auto" w:fill="auto"/>
            <w:vAlign w:val="bottom"/>
            <w:hideMark/>
          </w:tcPr>
          <w:p w14:paraId="41AE686A" w14:textId="77777777" w:rsidR="006F2AE8" w:rsidRPr="005F51B9" w:rsidRDefault="006F2AE8" w:rsidP="005F51B9">
            <w:pPr>
              <w:spacing w:before="80" w:after="80" w:line="288" w:lineRule="auto"/>
              <w:rPr>
                <w:rFonts w:eastAsia="Times New Roman" w:cs="Arial"/>
                <w:b/>
                <w:color w:val="000000"/>
                <w:lang w:eastAsia="en-GB"/>
              </w:rPr>
            </w:pPr>
            <w:r w:rsidRPr="005F51B9">
              <w:rPr>
                <w:rFonts w:eastAsia="Times New Roman" w:cs="Arial"/>
                <w:b/>
                <w:color w:val="000000"/>
                <w:lang w:eastAsia="en-GB"/>
              </w:rPr>
              <w:t>Number</w:t>
            </w:r>
          </w:p>
        </w:tc>
        <w:tc>
          <w:tcPr>
            <w:tcW w:w="727" w:type="pct"/>
            <w:tcBorders>
              <w:top w:val="nil"/>
              <w:left w:val="nil"/>
              <w:bottom w:val="single" w:sz="4" w:space="0" w:color="auto"/>
              <w:right w:val="single" w:sz="4" w:space="0" w:color="auto"/>
            </w:tcBorders>
            <w:shd w:val="clear" w:color="auto" w:fill="auto"/>
            <w:vAlign w:val="bottom"/>
            <w:hideMark/>
          </w:tcPr>
          <w:p w14:paraId="5AE88C70" w14:textId="77777777" w:rsidR="006F2AE8" w:rsidRPr="005F51B9" w:rsidRDefault="006F2AE8" w:rsidP="005F51B9">
            <w:pPr>
              <w:spacing w:before="80" w:after="80" w:line="288" w:lineRule="auto"/>
              <w:rPr>
                <w:rFonts w:eastAsia="Times New Roman" w:cs="Arial"/>
                <w:b/>
                <w:color w:val="000000"/>
                <w:lang w:eastAsia="en-GB"/>
              </w:rPr>
            </w:pPr>
            <w:r w:rsidRPr="005F51B9">
              <w:rPr>
                <w:rFonts w:eastAsia="Times New Roman" w:cs="Arial"/>
                <w:b/>
                <w:color w:val="000000"/>
                <w:lang w:eastAsia="en-GB"/>
              </w:rPr>
              <w:t xml:space="preserve">% </w:t>
            </w:r>
            <w:proofErr w:type="gramStart"/>
            <w:r w:rsidRPr="005F51B9">
              <w:rPr>
                <w:rFonts w:eastAsia="Times New Roman" w:cs="Arial"/>
                <w:b/>
                <w:color w:val="000000"/>
                <w:lang w:eastAsia="en-GB"/>
              </w:rPr>
              <w:t>of</w:t>
            </w:r>
            <w:proofErr w:type="gramEnd"/>
            <w:r w:rsidRPr="005F51B9">
              <w:rPr>
                <w:rFonts w:eastAsia="Times New Roman" w:cs="Arial"/>
                <w:b/>
                <w:color w:val="000000"/>
                <w:lang w:eastAsia="en-GB"/>
              </w:rPr>
              <w:t xml:space="preserve"> total registered population</w:t>
            </w:r>
          </w:p>
        </w:tc>
        <w:tc>
          <w:tcPr>
            <w:tcW w:w="727" w:type="pct"/>
            <w:tcBorders>
              <w:top w:val="nil"/>
              <w:left w:val="nil"/>
              <w:bottom w:val="single" w:sz="4" w:space="0" w:color="auto"/>
              <w:right w:val="single" w:sz="4" w:space="0" w:color="auto"/>
            </w:tcBorders>
            <w:shd w:val="clear" w:color="auto" w:fill="auto"/>
            <w:vAlign w:val="bottom"/>
            <w:hideMark/>
          </w:tcPr>
          <w:p w14:paraId="26608E0A" w14:textId="77777777" w:rsidR="006F2AE8" w:rsidRPr="005F51B9" w:rsidRDefault="006F2AE8" w:rsidP="005F51B9">
            <w:pPr>
              <w:spacing w:before="80" w:after="80" w:line="288" w:lineRule="auto"/>
              <w:rPr>
                <w:rFonts w:eastAsia="Times New Roman" w:cs="Arial"/>
                <w:b/>
                <w:color w:val="000000"/>
                <w:lang w:eastAsia="en-GB"/>
              </w:rPr>
            </w:pPr>
            <w:r w:rsidRPr="005F51B9">
              <w:rPr>
                <w:rFonts w:eastAsia="Times New Roman" w:cs="Arial"/>
                <w:b/>
                <w:color w:val="000000"/>
                <w:lang w:eastAsia="en-GB"/>
              </w:rPr>
              <w:t xml:space="preserve">% </w:t>
            </w:r>
            <w:proofErr w:type="gramStart"/>
            <w:r w:rsidRPr="005F51B9">
              <w:rPr>
                <w:rFonts w:eastAsia="Times New Roman" w:cs="Arial"/>
                <w:b/>
                <w:color w:val="000000"/>
                <w:lang w:eastAsia="en-GB"/>
              </w:rPr>
              <w:t>of</w:t>
            </w:r>
            <w:proofErr w:type="gramEnd"/>
            <w:r w:rsidRPr="005F51B9">
              <w:rPr>
                <w:rFonts w:eastAsia="Times New Roman" w:cs="Arial"/>
                <w:b/>
                <w:color w:val="000000"/>
                <w:lang w:eastAsia="en-GB"/>
              </w:rPr>
              <w:t xml:space="preserve"> adult registered population</w:t>
            </w:r>
          </w:p>
        </w:tc>
        <w:tc>
          <w:tcPr>
            <w:tcW w:w="580" w:type="pct"/>
            <w:tcBorders>
              <w:top w:val="nil"/>
              <w:left w:val="nil"/>
              <w:bottom w:val="single" w:sz="4" w:space="0" w:color="auto"/>
              <w:right w:val="single" w:sz="4" w:space="0" w:color="auto"/>
            </w:tcBorders>
            <w:shd w:val="clear" w:color="auto" w:fill="auto"/>
            <w:vAlign w:val="bottom"/>
            <w:hideMark/>
          </w:tcPr>
          <w:p w14:paraId="6135D7F1" w14:textId="77777777" w:rsidR="006F2AE8" w:rsidRPr="005F51B9" w:rsidRDefault="006F2AE8" w:rsidP="005F51B9">
            <w:pPr>
              <w:spacing w:before="80" w:after="80" w:line="288" w:lineRule="auto"/>
              <w:rPr>
                <w:rFonts w:eastAsia="Times New Roman" w:cs="Arial"/>
                <w:b/>
                <w:color w:val="000000"/>
                <w:lang w:eastAsia="en-GB"/>
              </w:rPr>
            </w:pPr>
            <w:r w:rsidRPr="005F51B9">
              <w:rPr>
                <w:rFonts w:eastAsia="Times New Roman" w:cs="Arial"/>
                <w:b/>
                <w:color w:val="000000"/>
                <w:lang w:eastAsia="en-GB"/>
              </w:rPr>
              <w:t>Number</w:t>
            </w:r>
          </w:p>
        </w:tc>
        <w:tc>
          <w:tcPr>
            <w:tcW w:w="727" w:type="pct"/>
            <w:tcBorders>
              <w:top w:val="nil"/>
              <w:left w:val="nil"/>
              <w:bottom w:val="single" w:sz="4" w:space="0" w:color="auto"/>
              <w:right w:val="single" w:sz="4" w:space="0" w:color="auto"/>
            </w:tcBorders>
            <w:shd w:val="clear" w:color="auto" w:fill="auto"/>
            <w:vAlign w:val="bottom"/>
            <w:hideMark/>
          </w:tcPr>
          <w:p w14:paraId="69AA2F3C" w14:textId="77777777" w:rsidR="006F2AE8" w:rsidRPr="005F51B9" w:rsidRDefault="006F2AE8" w:rsidP="005F51B9">
            <w:pPr>
              <w:spacing w:before="80" w:after="80" w:line="288" w:lineRule="auto"/>
              <w:rPr>
                <w:rFonts w:eastAsia="Times New Roman" w:cs="Arial"/>
                <w:b/>
                <w:color w:val="000000"/>
                <w:lang w:eastAsia="en-GB"/>
              </w:rPr>
            </w:pPr>
            <w:r w:rsidRPr="005F51B9">
              <w:rPr>
                <w:rFonts w:eastAsia="Times New Roman" w:cs="Arial"/>
                <w:b/>
                <w:color w:val="000000"/>
                <w:lang w:eastAsia="en-GB"/>
              </w:rPr>
              <w:t xml:space="preserve">% </w:t>
            </w:r>
            <w:proofErr w:type="gramStart"/>
            <w:r w:rsidRPr="005F51B9">
              <w:rPr>
                <w:rFonts w:eastAsia="Times New Roman" w:cs="Arial"/>
                <w:b/>
                <w:color w:val="000000"/>
                <w:lang w:eastAsia="en-GB"/>
              </w:rPr>
              <w:t>of</w:t>
            </w:r>
            <w:proofErr w:type="gramEnd"/>
            <w:r w:rsidRPr="005F51B9">
              <w:rPr>
                <w:rFonts w:eastAsia="Times New Roman" w:cs="Arial"/>
                <w:b/>
                <w:color w:val="000000"/>
                <w:lang w:eastAsia="en-GB"/>
              </w:rPr>
              <w:t xml:space="preserve"> total registered population</w:t>
            </w:r>
          </w:p>
        </w:tc>
        <w:tc>
          <w:tcPr>
            <w:tcW w:w="727" w:type="pct"/>
            <w:tcBorders>
              <w:top w:val="nil"/>
              <w:left w:val="nil"/>
              <w:bottom w:val="single" w:sz="4" w:space="0" w:color="auto"/>
              <w:right w:val="single" w:sz="4" w:space="0" w:color="auto"/>
            </w:tcBorders>
            <w:shd w:val="clear" w:color="auto" w:fill="auto"/>
            <w:vAlign w:val="bottom"/>
            <w:hideMark/>
          </w:tcPr>
          <w:p w14:paraId="40E30636" w14:textId="77777777" w:rsidR="006F2AE8" w:rsidRPr="005F51B9" w:rsidRDefault="006F2AE8" w:rsidP="005F51B9">
            <w:pPr>
              <w:spacing w:before="80" w:after="80" w:line="288" w:lineRule="auto"/>
              <w:rPr>
                <w:rFonts w:eastAsia="Times New Roman" w:cs="Arial"/>
                <w:b/>
                <w:color w:val="000000"/>
                <w:lang w:eastAsia="en-GB"/>
              </w:rPr>
            </w:pPr>
            <w:r w:rsidRPr="005F51B9">
              <w:rPr>
                <w:rFonts w:eastAsia="Times New Roman" w:cs="Arial"/>
                <w:b/>
                <w:color w:val="000000"/>
                <w:lang w:eastAsia="en-GB"/>
              </w:rPr>
              <w:t xml:space="preserve">% </w:t>
            </w:r>
            <w:proofErr w:type="gramStart"/>
            <w:r w:rsidRPr="005F51B9">
              <w:rPr>
                <w:rFonts w:eastAsia="Times New Roman" w:cs="Arial"/>
                <w:b/>
                <w:color w:val="000000"/>
                <w:lang w:eastAsia="en-GB"/>
              </w:rPr>
              <w:t>of</w:t>
            </w:r>
            <w:proofErr w:type="gramEnd"/>
            <w:r w:rsidRPr="005F51B9">
              <w:rPr>
                <w:rFonts w:eastAsia="Times New Roman" w:cs="Arial"/>
                <w:b/>
                <w:color w:val="000000"/>
                <w:lang w:eastAsia="en-GB"/>
              </w:rPr>
              <w:t xml:space="preserve"> adult registered population</w:t>
            </w:r>
          </w:p>
        </w:tc>
        <w:tc>
          <w:tcPr>
            <w:tcW w:w="423" w:type="pct"/>
            <w:tcBorders>
              <w:top w:val="nil"/>
              <w:left w:val="nil"/>
              <w:bottom w:val="single" w:sz="4" w:space="0" w:color="auto"/>
              <w:right w:val="single" w:sz="4" w:space="0" w:color="auto"/>
            </w:tcBorders>
            <w:shd w:val="clear" w:color="auto" w:fill="auto"/>
            <w:vAlign w:val="bottom"/>
            <w:hideMark/>
          </w:tcPr>
          <w:p w14:paraId="6072114B" w14:textId="77777777" w:rsidR="006F2AE8" w:rsidRPr="005F51B9" w:rsidRDefault="006F2AE8" w:rsidP="005F51B9">
            <w:pPr>
              <w:spacing w:before="80" w:after="80" w:line="288" w:lineRule="auto"/>
              <w:rPr>
                <w:rFonts w:eastAsia="Times New Roman" w:cs="Arial"/>
                <w:b/>
                <w:color w:val="000000"/>
                <w:lang w:eastAsia="en-GB"/>
              </w:rPr>
            </w:pPr>
            <w:r w:rsidRPr="005F51B9">
              <w:rPr>
                <w:rFonts w:eastAsia="Times New Roman" w:cs="Arial"/>
                <w:b/>
                <w:color w:val="000000"/>
                <w:lang w:eastAsia="en-GB"/>
              </w:rPr>
              <w:t xml:space="preserve">% </w:t>
            </w:r>
            <w:proofErr w:type="gramStart"/>
            <w:r w:rsidRPr="005F51B9">
              <w:rPr>
                <w:rFonts w:eastAsia="Times New Roman" w:cs="Arial"/>
                <w:b/>
                <w:color w:val="000000"/>
                <w:lang w:eastAsia="en-GB"/>
              </w:rPr>
              <w:t>of</w:t>
            </w:r>
            <w:proofErr w:type="gramEnd"/>
            <w:r w:rsidRPr="005F51B9">
              <w:rPr>
                <w:rFonts w:eastAsia="Times New Roman" w:cs="Arial"/>
                <w:b/>
                <w:color w:val="000000"/>
                <w:lang w:eastAsia="en-GB"/>
              </w:rPr>
              <w:t xml:space="preserve"> NSAID users</w:t>
            </w:r>
          </w:p>
        </w:tc>
      </w:tr>
      <w:tr w:rsidR="006F2AE8" w:rsidRPr="00E41399" w14:paraId="1EDD8ABE" w14:textId="77777777" w:rsidTr="009C7D7F">
        <w:trPr>
          <w:trHeight w:val="29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27F77367" w14:textId="77777777" w:rsidR="006F2AE8" w:rsidRPr="00A566C6" w:rsidRDefault="006F2AE8" w:rsidP="005F51B9">
            <w:pPr>
              <w:spacing w:before="120" w:line="240" w:lineRule="auto"/>
              <w:jc w:val="right"/>
              <w:rPr>
                <w:rFonts w:eastAsia="Times New Roman" w:cs="Arial"/>
                <w:color w:val="000000"/>
                <w:lang w:eastAsia="en-GB"/>
              </w:rPr>
            </w:pPr>
            <w:r w:rsidRPr="00A566C6">
              <w:rPr>
                <w:rFonts w:eastAsia="Times New Roman" w:cs="Arial"/>
                <w:color w:val="000000"/>
                <w:lang w:eastAsia="en-GB"/>
              </w:rPr>
              <w:t>2019</w:t>
            </w:r>
          </w:p>
        </w:tc>
        <w:tc>
          <w:tcPr>
            <w:tcW w:w="681" w:type="pct"/>
            <w:tcBorders>
              <w:top w:val="nil"/>
              <w:left w:val="nil"/>
              <w:bottom w:val="single" w:sz="4" w:space="0" w:color="auto"/>
              <w:right w:val="single" w:sz="4" w:space="0" w:color="auto"/>
            </w:tcBorders>
            <w:shd w:val="clear" w:color="auto" w:fill="auto"/>
            <w:noWrap/>
            <w:hideMark/>
          </w:tcPr>
          <w:p w14:paraId="5B130A90" w14:textId="77777777" w:rsidR="006F2AE8" w:rsidRPr="00A566C6" w:rsidRDefault="006F2AE8" w:rsidP="005F51B9">
            <w:pPr>
              <w:spacing w:before="120" w:line="240" w:lineRule="auto"/>
              <w:jc w:val="right"/>
              <w:rPr>
                <w:rFonts w:eastAsia="Times New Roman" w:cs="Arial"/>
                <w:color w:val="000000"/>
                <w:lang w:eastAsia="en-GB"/>
              </w:rPr>
            </w:pPr>
            <w:r w:rsidRPr="00A566C6">
              <w:t xml:space="preserve"> 3,440,491 </w:t>
            </w:r>
          </w:p>
        </w:tc>
        <w:tc>
          <w:tcPr>
            <w:tcW w:w="727" w:type="pct"/>
            <w:tcBorders>
              <w:top w:val="nil"/>
              <w:left w:val="nil"/>
              <w:bottom w:val="single" w:sz="4" w:space="0" w:color="auto"/>
              <w:right w:val="single" w:sz="4" w:space="0" w:color="auto"/>
            </w:tcBorders>
            <w:shd w:val="clear" w:color="auto" w:fill="auto"/>
            <w:noWrap/>
            <w:vAlign w:val="bottom"/>
            <w:hideMark/>
          </w:tcPr>
          <w:p w14:paraId="04890F7B" w14:textId="77777777"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5.8%</w:t>
            </w:r>
          </w:p>
        </w:tc>
        <w:tc>
          <w:tcPr>
            <w:tcW w:w="727" w:type="pct"/>
            <w:tcBorders>
              <w:top w:val="nil"/>
              <w:left w:val="nil"/>
              <w:bottom w:val="single" w:sz="4" w:space="0" w:color="auto"/>
              <w:right w:val="single" w:sz="4" w:space="0" w:color="auto"/>
            </w:tcBorders>
            <w:shd w:val="clear" w:color="auto" w:fill="auto"/>
            <w:noWrap/>
            <w:vAlign w:val="bottom"/>
            <w:hideMark/>
          </w:tcPr>
          <w:p w14:paraId="19239B02" w14:textId="77777777"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7.2%</w:t>
            </w:r>
          </w:p>
        </w:tc>
        <w:tc>
          <w:tcPr>
            <w:tcW w:w="580" w:type="pct"/>
            <w:tcBorders>
              <w:top w:val="nil"/>
              <w:left w:val="nil"/>
              <w:bottom w:val="single" w:sz="4" w:space="0" w:color="auto"/>
              <w:right w:val="single" w:sz="4" w:space="0" w:color="auto"/>
            </w:tcBorders>
            <w:shd w:val="clear" w:color="auto" w:fill="auto"/>
            <w:noWrap/>
            <w:hideMark/>
          </w:tcPr>
          <w:p w14:paraId="05FE4D7C" w14:textId="77777777" w:rsidR="006F2AE8" w:rsidRPr="00A566C6" w:rsidRDefault="006F2AE8" w:rsidP="005F51B9">
            <w:pPr>
              <w:spacing w:before="120" w:line="240" w:lineRule="auto"/>
              <w:jc w:val="right"/>
              <w:rPr>
                <w:rFonts w:eastAsia="Times New Roman" w:cs="Arial"/>
                <w:color w:val="000000"/>
                <w:lang w:eastAsia="en-GB"/>
              </w:rPr>
            </w:pPr>
            <w:r w:rsidRPr="00A566C6">
              <w:t xml:space="preserve"> 490,143 </w:t>
            </w:r>
          </w:p>
        </w:tc>
        <w:tc>
          <w:tcPr>
            <w:tcW w:w="727" w:type="pct"/>
            <w:tcBorders>
              <w:top w:val="nil"/>
              <w:left w:val="nil"/>
              <w:bottom w:val="single" w:sz="4" w:space="0" w:color="auto"/>
              <w:right w:val="single" w:sz="4" w:space="0" w:color="auto"/>
            </w:tcBorders>
            <w:shd w:val="clear" w:color="auto" w:fill="auto"/>
            <w:noWrap/>
            <w:vAlign w:val="bottom"/>
            <w:hideMark/>
          </w:tcPr>
          <w:p w14:paraId="07EF328A" w14:textId="77777777"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0.8%</w:t>
            </w:r>
          </w:p>
        </w:tc>
        <w:tc>
          <w:tcPr>
            <w:tcW w:w="727" w:type="pct"/>
            <w:tcBorders>
              <w:top w:val="nil"/>
              <w:left w:val="nil"/>
              <w:bottom w:val="single" w:sz="4" w:space="0" w:color="auto"/>
              <w:right w:val="single" w:sz="4" w:space="0" w:color="auto"/>
            </w:tcBorders>
            <w:shd w:val="clear" w:color="auto" w:fill="auto"/>
            <w:noWrap/>
            <w:vAlign w:val="bottom"/>
            <w:hideMark/>
          </w:tcPr>
          <w:p w14:paraId="7E729D37" w14:textId="77777777"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1.0%</w:t>
            </w:r>
          </w:p>
        </w:tc>
        <w:tc>
          <w:tcPr>
            <w:tcW w:w="423" w:type="pct"/>
            <w:tcBorders>
              <w:top w:val="nil"/>
              <w:left w:val="nil"/>
              <w:bottom w:val="single" w:sz="4" w:space="0" w:color="auto"/>
              <w:right w:val="single" w:sz="4" w:space="0" w:color="auto"/>
            </w:tcBorders>
            <w:shd w:val="clear" w:color="auto" w:fill="auto"/>
            <w:noWrap/>
            <w:vAlign w:val="bottom"/>
            <w:hideMark/>
          </w:tcPr>
          <w:p w14:paraId="0E0632F5" w14:textId="77777777"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14.2%</w:t>
            </w:r>
          </w:p>
        </w:tc>
      </w:tr>
      <w:tr w:rsidR="006F2AE8" w:rsidRPr="00E41399" w14:paraId="3B6406EF" w14:textId="77777777" w:rsidTr="009C7D7F">
        <w:trPr>
          <w:trHeight w:val="29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3420552B" w14:textId="77777777" w:rsidR="006F2AE8" w:rsidRPr="00A566C6" w:rsidRDefault="006F2AE8" w:rsidP="005F51B9">
            <w:pPr>
              <w:spacing w:before="120" w:line="240" w:lineRule="auto"/>
              <w:jc w:val="right"/>
              <w:rPr>
                <w:rFonts w:eastAsia="Times New Roman" w:cs="Arial"/>
                <w:color w:val="000000"/>
                <w:lang w:eastAsia="en-GB"/>
              </w:rPr>
            </w:pPr>
            <w:r w:rsidRPr="00A566C6">
              <w:rPr>
                <w:rFonts w:eastAsia="Times New Roman" w:cs="Arial"/>
                <w:color w:val="000000"/>
                <w:lang w:eastAsia="en-GB"/>
              </w:rPr>
              <w:t>2020</w:t>
            </w:r>
          </w:p>
        </w:tc>
        <w:tc>
          <w:tcPr>
            <w:tcW w:w="681" w:type="pct"/>
            <w:tcBorders>
              <w:top w:val="nil"/>
              <w:left w:val="nil"/>
              <w:bottom w:val="single" w:sz="4" w:space="0" w:color="auto"/>
              <w:right w:val="single" w:sz="4" w:space="0" w:color="auto"/>
            </w:tcBorders>
            <w:shd w:val="clear" w:color="auto" w:fill="auto"/>
            <w:noWrap/>
            <w:hideMark/>
          </w:tcPr>
          <w:p w14:paraId="57702AA9" w14:textId="77777777" w:rsidR="006F2AE8" w:rsidRPr="00A566C6" w:rsidRDefault="006F2AE8" w:rsidP="005F51B9">
            <w:pPr>
              <w:spacing w:before="120" w:line="240" w:lineRule="auto"/>
              <w:jc w:val="right"/>
              <w:rPr>
                <w:rFonts w:eastAsia="Times New Roman" w:cs="Arial"/>
                <w:color w:val="000000"/>
                <w:lang w:eastAsia="en-GB"/>
              </w:rPr>
            </w:pPr>
            <w:r w:rsidRPr="00A566C6">
              <w:t xml:space="preserve"> 3,107,719 </w:t>
            </w:r>
          </w:p>
        </w:tc>
        <w:tc>
          <w:tcPr>
            <w:tcW w:w="727" w:type="pct"/>
            <w:tcBorders>
              <w:top w:val="nil"/>
              <w:left w:val="nil"/>
              <w:bottom w:val="single" w:sz="4" w:space="0" w:color="auto"/>
              <w:right w:val="single" w:sz="4" w:space="0" w:color="auto"/>
            </w:tcBorders>
            <w:shd w:val="clear" w:color="auto" w:fill="auto"/>
            <w:noWrap/>
            <w:vAlign w:val="bottom"/>
            <w:hideMark/>
          </w:tcPr>
          <w:p w14:paraId="05217FA6" w14:textId="77777777" w:rsidR="006F2AE8" w:rsidRPr="00A566C6" w:rsidRDefault="006F2AE8" w:rsidP="005F51B9">
            <w:pPr>
              <w:spacing w:before="120" w:line="240" w:lineRule="auto"/>
              <w:jc w:val="center"/>
            </w:pPr>
            <w:r w:rsidRPr="00A566C6">
              <w:t>5.1%</w:t>
            </w:r>
          </w:p>
        </w:tc>
        <w:tc>
          <w:tcPr>
            <w:tcW w:w="727" w:type="pct"/>
            <w:tcBorders>
              <w:top w:val="nil"/>
              <w:left w:val="nil"/>
              <w:bottom w:val="single" w:sz="4" w:space="0" w:color="auto"/>
              <w:right w:val="single" w:sz="4" w:space="0" w:color="auto"/>
            </w:tcBorders>
            <w:shd w:val="clear" w:color="auto" w:fill="auto"/>
            <w:noWrap/>
            <w:vAlign w:val="bottom"/>
            <w:hideMark/>
          </w:tcPr>
          <w:p w14:paraId="712AA625" w14:textId="77777777" w:rsidR="006F2AE8" w:rsidRPr="00A566C6" w:rsidRDefault="006F2AE8" w:rsidP="005F51B9">
            <w:pPr>
              <w:spacing w:before="120" w:line="240" w:lineRule="auto"/>
              <w:jc w:val="center"/>
            </w:pPr>
            <w:r w:rsidRPr="00A566C6">
              <w:t>6.4%</w:t>
            </w:r>
          </w:p>
        </w:tc>
        <w:tc>
          <w:tcPr>
            <w:tcW w:w="580" w:type="pct"/>
            <w:tcBorders>
              <w:top w:val="nil"/>
              <w:left w:val="nil"/>
              <w:bottom w:val="single" w:sz="4" w:space="0" w:color="auto"/>
              <w:right w:val="single" w:sz="4" w:space="0" w:color="auto"/>
            </w:tcBorders>
            <w:shd w:val="clear" w:color="auto" w:fill="auto"/>
            <w:noWrap/>
            <w:hideMark/>
          </w:tcPr>
          <w:p w14:paraId="0C34C50B" w14:textId="77777777" w:rsidR="006F2AE8" w:rsidRPr="00A566C6" w:rsidRDefault="006F2AE8" w:rsidP="005F51B9">
            <w:pPr>
              <w:spacing w:before="120" w:line="240" w:lineRule="auto"/>
              <w:jc w:val="right"/>
              <w:rPr>
                <w:rFonts w:eastAsia="Times New Roman" w:cs="Arial"/>
                <w:color w:val="000000"/>
                <w:lang w:eastAsia="en-GB"/>
              </w:rPr>
            </w:pPr>
            <w:r w:rsidRPr="00A566C6">
              <w:t xml:space="preserve"> 485,382 </w:t>
            </w:r>
          </w:p>
        </w:tc>
        <w:tc>
          <w:tcPr>
            <w:tcW w:w="727" w:type="pct"/>
            <w:tcBorders>
              <w:top w:val="nil"/>
              <w:left w:val="nil"/>
              <w:bottom w:val="single" w:sz="4" w:space="0" w:color="auto"/>
              <w:right w:val="single" w:sz="4" w:space="0" w:color="auto"/>
            </w:tcBorders>
            <w:shd w:val="clear" w:color="auto" w:fill="auto"/>
            <w:noWrap/>
            <w:vAlign w:val="bottom"/>
            <w:hideMark/>
          </w:tcPr>
          <w:p w14:paraId="5F77E42D" w14:textId="77777777"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0.8%</w:t>
            </w:r>
          </w:p>
        </w:tc>
        <w:tc>
          <w:tcPr>
            <w:tcW w:w="727" w:type="pct"/>
            <w:tcBorders>
              <w:top w:val="nil"/>
              <w:left w:val="nil"/>
              <w:bottom w:val="single" w:sz="4" w:space="0" w:color="auto"/>
              <w:right w:val="single" w:sz="4" w:space="0" w:color="auto"/>
            </w:tcBorders>
            <w:shd w:val="clear" w:color="auto" w:fill="auto"/>
            <w:noWrap/>
            <w:vAlign w:val="bottom"/>
            <w:hideMark/>
          </w:tcPr>
          <w:p w14:paraId="1579807F" w14:textId="77777777"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1.0%</w:t>
            </w:r>
          </w:p>
        </w:tc>
        <w:tc>
          <w:tcPr>
            <w:tcW w:w="423" w:type="pct"/>
            <w:tcBorders>
              <w:top w:val="nil"/>
              <w:left w:val="nil"/>
              <w:bottom w:val="single" w:sz="4" w:space="0" w:color="auto"/>
              <w:right w:val="single" w:sz="4" w:space="0" w:color="auto"/>
            </w:tcBorders>
            <w:shd w:val="clear" w:color="auto" w:fill="auto"/>
            <w:noWrap/>
            <w:vAlign w:val="bottom"/>
            <w:hideMark/>
          </w:tcPr>
          <w:p w14:paraId="71433C0F" w14:textId="77777777"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15.6%</w:t>
            </w:r>
          </w:p>
        </w:tc>
      </w:tr>
      <w:tr w:rsidR="006F2AE8" w:rsidRPr="00E41399" w14:paraId="2E38DB45" w14:textId="77777777" w:rsidTr="009C7D7F">
        <w:trPr>
          <w:trHeight w:val="29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076ABF7E" w14:textId="77777777" w:rsidR="006F2AE8" w:rsidRPr="00A566C6" w:rsidRDefault="006F2AE8" w:rsidP="005F51B9">
            <w:pPr>
              <w:spacing w:before="120" w:line="240" w:lineRule="auto"/>
              <w:jc w:val="right"/>
              <w:rPr>
                <w:rFonts w:eastAsia="Times New Roman" w:cs="Arial"/>
                <w:color w:val="000000"/>
                <w:lang w:eastAsia="en-GB"/>
              </w:rPr>
            </w:pPr>
            <w:r w:rsidRPr="00A566C6">
              <w:rPr>
                <w:rFonts w:eastAsia="Times New Roman" w:cs="Arial"/>
                <w:color w:val="000000"/>
                <w:lang w:eastAsia="en-GB"/>
              </w:rPr>
              <w:t>2021</w:t>
            </w:r>
          </w:p>
        </w:tc>
        <w:tc>
          <w:tcPr>
            <w:tcW w:w="681" w:type="pct"/>
            <w:tcBorders>
              <w:top w:val="nil"/>
              <w:left w:val="nil"/>
              <w:bottom w:val="single" w:sz="4" w:space="0" w:color="auto"/>
              <w:right w:val="single" w:sz="4" w:space="0" w:color="auto"/>
            </w:tcBorders>
            <w:shd w:val="clear" w:color="auto" w:fill="auto"/>
            <w:noWrap/>
            <w:hideMark/>
          </w:tcPr>
          <w:p w14:paraId="2540EEE3" w14:textId="77777777" w:rsidR="006F2AE8" w:rsidRPr="00A566C6" w:rsidRDefault="006F2AE8" w:rsidP="005F51B9">
            <w:pPr>
              <w:spacing w:before="120" w:line="240" w:lineRule="auto"/>
              <w:jc w:val="right"/>
              <w:rPr>
                <w:rFonts w:eastAsia="Times New Roman" w:cs="Arial"/>
                <w:color w:val="000000"/>
                <w:lang w:eastAsia="en-GB"/>
              </w:rPr>
            </w:pPr>
            <w:r w:rsidRPr="00A566C6">
              <w:t xml:space="preserve"> 3,253,221 </w:t>
            </w:r>
          </w:p>
        </w:tc>
        <w:tc>
          <w:tcPr>
            <w:tcW w:w="727" w:type="pct"/>
            <w:tcBorders>
              <w:top w:val="nil"/>
              <w:left w:val="nil"/>
              <w:bottom w:val="single" w:sz="4" w:space="0" w:color="auto"/>
              <w:right w:val="single" w:sz="4" w:space="0" w:color="auto"/>
            </w:tcBorders>
            <w:shd w:val="clear" w:color="auto" w:fill="auto"/>
            <w:noWrap/>
            <w:vAlign w:val="bottom"/>
            <w:hideMark/>
          </w:tcPr>
          <w:p w14:paraId="47193116" w14:textId="77777777" w:rsidR="006F2AE8" w:rsidRPr="00A566C6" w:rsidRDefault="006F2AE8" w:rsidP="005F51B9">
            <w:pPr>
              <w:spacing w:before="120" w:line="240" w:lineRule="auto"/>
              <w:jc w:val="center"/>
            </w:pPr>
            <w:r w:rsidRPr="00A566C6">
              <w:t>5.4%</w:t>
            </w:r>
          </w:p>
        </w:tc>
        <w:tc>
          <w:tcPr>
            <w:tcW w:w="727" w:type="pct"/>
            <w:tcBorders>
              <w:top w:val="nil"/>
              <w:left w:val="nil"/>
              <w:bottom w:val="single" w:sz="4" w:space="0" w:color="auto"/>
              <w:right w:val="single" w:sz="4" w:space="0" w:color="auto"/>
            </w:tcBorders>
            <w:shd w:val="clear" w:color="auto" w:fill="auto"/>
            <w:noWrap/>
            <w:vAlign w:val="bottom"/>
            <w:hideMark/>
          </w:tcPr>
          <w:p w14:paraId="2C7D02CB" w14:textId="77777777" w:rsidR="006F2AE8" w:rsidRPr="00A566C6" w:rsidRDefault="006F2AE8" w:rsidP="005F51B9">
            <w:pPr>
              <w:spacing w:before="120" w:line="240" w:lineRule="auto"/>
              <w:jc w:val="center"/>
            </w:pPr>
            <w:r w:rsidRPr="00A566C6">
              <w:t>6.7%</w:t>
            </w:r>
          </w:p>
        </w:tc>
        <w:tc>
          <w:tcPr>
            <w:tcW w:w="580" w:type="pct"/>
            <w:tcBorders>
              <w:top w:val="nil"/>
              <w:left w:val="nil"/>
              <w:bottom w:val="single" w:sz="4" w:space="0" w:color="auto"/>
              <w:right w:val="single" w:sz="4" w:space="0" w:color="auto"/>
            </w:tcBorders>
            <w:shd w:val="clear" w:color="auto" w:fill="auto"/>
            <w:noWrap/>
            <w:hideMark/>
          </w:tcPr>
          <w:p w14:paraId="52E0EB81" w14:textId="77777777" w:rsidR="006F2AE8" w:rsidRPr="00A566C6" w:rsidRDefault="006F2AE8" w:rsidP="005F51B9">
            <w:pPr>
              <w:spacing w:before="120" w:line="240" w:lineRule="auto"/>
              <w:jc w:val="right"/>
              <w:rPr>
                <w:rFonts w:eastAsia="Times New Roman" w:cs="Arial"/>
                <w:color w:val="000000"/>
                <w:lang w:eastAsia="en-GB"/>
              </w:rPr>
            </w:pPr>
            <w:r w:rsidRPr="00A566C6">
              <w:t xml:space="preserve"> 496,092 </w:t>
            </w:r>
          </w:p>
        </w:tc>
        <w:tc>
          <w:tcPr>
            <w:tcW w:w="727" w:type="pct"/>
            <w:tcBorders>
              <w:top w:val="nil"/>
              <w:left w:val="nil"/>
              <w:bottom w:val="single" w:sz="4" w:space="0" w:color="auto"/>
              <w:right w:val="single" w:sz="4" w:space="0" w:color="auto"/>
            </w:tcBorders>
            <w:shd w:val="clear" w:color="auto" w:fill="auto"/>
            <w:noWrap/>
            <w:vAlign w:val="bottom"/>
            <w:hideMark/>
          </w:tcPr>
          <w:p w14:paraId="19B791D3" w14:textId="22207D8B"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0.8%</w:t>
            </w:r>
          </w:p>
        </w:tc>
        <w:tc>
          <w:tcPr>
            <w:tcW w:w="727" w:type="pct"/>
            <w:tcBorders>
              <w:top w:val="nil"/>
              <w:left w:val="nil"/>
              <w:bottom w:val="single" w:sz="4" w:space="0" w:color="auto"/>
              <w:right w:val="single" w:sz="4" w:space="0" w:color="auto"/>
            </w:tcBorders>
            <w:shd w:val="clear" w:color="auto" w:fill="auto"/>
            <w:noWrap/>
            <w:vAlign w:val="bottom"/>
            <w:hideMark/>
          </w:tcPr>
          <w:p w14:paraId="32621CF3" w14:textId="77777777"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1.0%</w:t>
            </w:r>
          </w:p>
        </w:tc>
        <w:tc>
          <w:tcPr>
            <w:tcW w:w="423" w:type="pct"/>
            <w:tcBorders>
              <w:top w:val="nil"/>
              <w:left w:val="nil"/>
              <w:bottom w:val="single" w:sz="4" w:space="0" w:color="auto"/>
              <w:right w:val="single" w:sz="4" w:space="0" w:color="auto"/>
            </w:tcBorders>
            <w:shd w:val="clear" w:color="auto" w:fill="auto"/>
            <w:noWrap/>
            <w:vAlign w:val="bottom"/>
            <w:hideMark/>
          </w:tcPr>
          <w:p w14:paraId="78FD732F" w14:textId="77777777" w:rsidR="006F2AE8" w:rsidRPr="00A566C6" w:rsidRDefault="006F2AE8" w:rsidP="005F51B9">
            <w:pPr>
              <w:spacing w:before="120" w:line="240" w:lineRule="auto"/>
              <w:jc w:val="center"/>
              <w:rPr>
                <w:rFonts w:eastAsia="Times New Roman" w:cs="Arial"/>
                <w:color w:val="000000"/>
                <w:lang w:eastAsia="en-GB"/>
              </w:rPr>
            </w:pPr>
            <w:r w:rsidRPr="00A566C6">
              <w:rPr>
                <w:rFonts w:eastAsia="Times New Roman" w:cs="Arial"/>
                <w:color w:val="000000"/>
                <w:lang w:eastAsia="en-GB"/>
              </w:rPr>
              <w:t>15.2%</w:t>
            </w:r>
          </w:p>
        </w:tc>
      </w:tr>
    </w:tbl>
    <w:p w14:paraId="5640B005" w14:textId="592B84F5" w:rsidR="006F2AE8" w:rsidRDefault="006F2AE8" w:rsidP="006F2AE8">
      <w:pPr>
        <w:rPr>
          <w:rFonts w:cs="Arial"/>
          <w:iCs/>
          <w:shd w:val="clear" w:color="auto" w:fill="FFFFFF"/>
        </w:rPr>
      </w:pPr>
    </w:p>
    <w:p w14:paraId="04D9ACF4" w14:textId="089D130B" w:rsidR="006F2AE8" w:rsidRPr="00E71704" w:rsidRDefault="006F2AE8" w:rsidP="006F2AE8">
      <w:pPr>
        <w:spacing w:before="240" w:line="240" w:lineRule="auto"/>
        <w:rPr>
          <w:rFonts w:cstheme="minorHAnsi"/>
          <w:b/>
          <w:i/>
          <w:sz w:val="22"/>
          <w:szCs w:val="24"/>
        </w:rPr>
      </w:pPr>
    </w:p>
    <w:p w14:paraId="2DCCB27B" w14:textId="2538BA1E" w:rsidR="006F2AE8" w:rsidRDefault="006F2AE8" w:rsidP="006F2AE8">
      <w:pPr>
        <w:rPr>
          <w:rFonts w:cs="Arial"/>
          <w:iCs/>
          <w:shd w:val="clear" w:color="auto" w:fill="FFFFFF"/>
        </w:rPr>
      </w:pPr>
      <w:r>
        <w:rPr>
          <w:rFonts w:cs="Arial"/>
          <w:iCs/>
          <w:shd w:val="clear" w:color="auto" w:fill="FFFFFF"/>
        </w:rPr>
        <w:lastRenderedPageBreak/>
        <w:t>For patients classed as long-term users under t</w:t>
      </w:r>
      <w:r w:rsidR="00A566C6">
        <w:rPr>
          <w:rFonts w:cs="Arial"/>
          <w:iCs/>
          <w:shd w:val="clear" w:color="auto" w:fill="FFFFFF"/>
        </w:rPr>
        <w:t>he working definition, (Figure 3</w:t>
      </w:r>
      <w:r>
        <w:rPr>
          <w:rFonts w:cs="Arial"/>
          <w:iCs/>
          <w:shd w:val="clear" w:color="auto" w:fill="FFFFFF"/>
        </w:rPr>
        <w:t>), the mean number of months in which the patient had been prescribed NSAIDs in the last 24 months was 18.0 months; a slight increase on 2020 (17.8 months) and on 2019 (17.7 months). However, the majority of long-term users tended to either have received prescription items for NSAIDs in just over 12 months, or just under 24 months, with 29.3% in 2020 having received items for between 12 and 14 months, and 28.6% having received items for between 22 and 24 months. The two previous years have shown a similar pattern, but 2021 shows an increase at the upper end of the scale, with many more than would be expected based on the previous years’ data having received prescription items for NSAIDs in 23 or all 24 of the previous 24 months.</w:t>
      </w:r>
    </w:p>
    <w:p w14:paraId="7BC04253" w14:textId="2C8B0052" w:rsidR="006F2AE8" w:rsidRPr="005221B2" w:rsidRDefault="00A566C6" w:rsidP="00A566C6">
      <w:pPr>
        <w:pStyle w:val="Heading4"/>
      </w:pPr>
      <w:r>
        <w:t>Figure 3</w:t>
      </w:r>
      <w:r w:rsidR="006F2AE8" w:rsidRPr="005221B2">
        <w:t>. Patients who meet the proposed definition of long-term NSAID use by number of months prescribed NSAIDs in the previous 24 months, England, 2019 to 2021.</w:t>
      </w:r>
    </w:p>
    <w:p w14:paraId="19BD6749" w14:textId="77777777" w:rsidR="006F2AE8" w:rsidRDefault="006F2AE8" w:rsidP="006F2AE8">
      <w:pPr>
        <w:rPr>
          <w:rFonts w:cs="Arial"/>
          <w:iCs/>
          <w:shd w:val="clear" w:color="auto" w:fill="FFFFFF"/>
        </w:rPr>
      </w:pPr>
      <w:r w:rsidRPr="00F42EBE">
        <w:rPr>
          <w:rFonts w:cs="Arial"/>
          <w:iCs/>
          <w:shd w:val="clear" w:color="auto" w:fill="FFFFFF"/>
        </w:rPr>
        <w:t xml:space="preserve"> </w:t>
      </w:r>
      <w:r w:rsidRPr="00F91731">
        <w:rPr>
          <w:noProof/>
          <w:lang w:eastAsia="en-GB"/>
        </w:rPr>
        <w:drawing>
          <wp:inline distT="0" distB="0" distL="0" distR="0" wp14:anchorId="1DC8FBCB" wp14:editId="78A828CD">
            <wp:extent cx="5544000" cy="3618000"/>
            <wp:effectExtent l="0" t="0" r="0" b="1905"/>
            <wp:docPr id="11" name="Picture 11" descr="Figure 3. Patients who meet the proposed definition of long-term NSAID use by number of months prescribed NSAIDs in the previous 24 months, England, 2019 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3. Patients who meet the proposed definition of long-term NSAID use by number of months prescribed NSAIDs in the previous 24 months, England, 2019 to 20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4000" cy="3618000"/>
                    </a:xfrm>
                    <a:prstGeom prst="rect">
                      <a:avLst/>
                    </a:prstGeom>
                    <a:noFill/>
                    <a:ln>
                      <a:noFill/>
                    </a:ln>
                  </pic:spPr>
                </pic:pic>
              </a:graphicData>
            </a:graphic>
          </wp:inline>
        </w:drawing>
      </w:r>
    </w:p>
    <w:p w14:paraId="12301C30" w14:textId="77777777" w:rsidR="006F2AE8" w:rsidRPr="00EE5A11" w:rsidRDefault="006F2AE8" w:rsidP="006F2AE8">
      <w:r>
        <w:t xml:space="preserve">In summary, the analysis received from the NHSBSA suggests the working definition will capture the majority of long-term NSAID users, however the method may miss a small number of users who fall just outside the threshold or have </w:t>
      </w:r>
      <w:proofErr w:type="gramStart"/>
      <w:r>
        <w:t>less</w:t>
      </w:r>
      <w:proofErr w:type="gramEnd"/>
      <w:r>
        <w:t xml:space="preserve"> regular patterns of NSAID use.</w:t>
      </w:r>
    </w:p>
    <w:p w14:paraId="5AB6078C" w14:textId="77777777" w:rsidR="006F2AE8" w:rsidRDefault="006F2AE8" w:rsidP="006F2AE8">
      <w:pPr>
        <w:pStyle w:val="Heading3"/>
        <w:rPr>
          <w:shd w:val="clear" w:color="auto" w:fill="FFFFFF"/>
        </w:rPr>
      </w:pPr>
      <w:r w:rsidRPr="00E748D2">
        <w:rPr>
          <w:shd w:val="clear" w:color="auto" w:fill="FFFFFF"/>
        </w:rPr>
        <w:lastRenderedPageBreak/>
        <w:t xml:space="preserve">Potential definitions of long-term NSAID </w:t>
      </w:r>
      <w:proofErr w:type="gramStart"/>
      <w:r w:rsidRPr="00E748D2">
        <w:rPr>
          <w:shd w:val="clear" w:color="auto" w:fill="FFFFFF"/>
        </w:rPr>
        <w:t>use:</w:t>
      </w:r>
      <w:proofErr w:type="gramEnd"/>
      <w:r w:rsidRPr="00E748D2">
        <w:rPr>
          <w:shd w:val="clear" w:color="auto" w:fill="FFFFFF"/>
        </w:rPr>
        <w:t xml:space="preserve"> exploring patterns of prescribing</w:t>
      </w:r>
    </w:p>
    <w:p w14:paraId="144C62D9" w14:textId="77777777" w:rsidR="006F2AE8" w:rsidRPr="002D62E0" w:rsidRDefault="006F2AE8" w:rsidP="00E748D2">
      <w:pPr>
        <w:pStyle w:val="ListParagraph"/>
        <w:numPr>
          <w:ilvl w:val="0"/>
          <w:numId w:val="10"/>
        </w:numPr>
        <w:ind w:left="357" w:hanging="357"/>
        <w:contextualSpacing w:val="0"/>
        <w:rPr>
          <w:u w:val="single"/>
          <w:shd w:val="clear" w:color="auto" w:fill="FFFFFF"/>
        </w:rPr>
      </w:pPr>
      <w:r>
        <w:rPr>
          <w:u w:val="single"/>
          <w:shd w:val="clear" w:color="auto" w:fill="FFFFFF"/>
        </w:rPr>
        <w:t>A</w:t>
      </w:r>
      <w:r w:rsidRPr="005663CD">
        <w:rPr>
          <w:u w:val="single"/>
          <w:shd w:val="clear" w:color="auto" w:fill="FFFFFF"/>
        </w:rPr>
        <w:t>verage interval between dispensing dates</w:t>
      </w:r>
    </w:p>
    <w:p w14:paraId="5178E244" w14:textId="7EE8092F" w:rsidR="006F2AE8" w:rsidRDefault="006F2AE8" w:rsidP="006F2AE8">
      <w:r>
        <w:t xml:space="preserve">The average interval (number of days) between </w:t>
      </w:r>
      <w:r w:rsidRPr="00423FCF">
        <w:t xml:space="preserve">dispensing dates </w:t>
      </w:r>
      <w:r>
        <w:t>was explored, using Electronic Prescribing Service (EPS) data only. The number of patients with Oral NSAID prescriptions dispensed in each interval group, by s</w:t>
      </w:r>
      <w:r w:rsidR="00E008D1">
        <w:t>ingle days, is shown in Figure 4</w:t>
      </w:r>
      <w:r>
        <w:t xml:space="preserve">. </w:t>
      </w:r>
    </w:p>
    <w:p w14:paraId="39A7E9B7" w14:textId="41D55462" w:rsidR="006F2AE8" w:rsidRDefault="006F2AE8" w:rsidP="00E008D1">
      <w:pPr>
        <w:pStyle w:val="Heading4"/>
      </w:pPr>
      <w:r w:rsidRPr="005221B2">
        <w:t xml:space="preserve">Figure </w:t>
      </w:r>
      <w:r w:rsidR="00E008D1">
        <w:t>4</w:t>
      </w:r>
      <w:r w:rsidRPr="005221B2">
        <w:t>: Patients by average number of days between Oral NSAID dispensing dates</w:t>
      </w:r>
    </w:p>
    <w:p w14:paraId="30131037" w14:textId="36876B55" w:rsidR="008D3AFA" w:rsidRPr="008D3AFA" w:rsidRDefault="008D3AFA" w:rsidP="008D3AFA">
      <w:r>
        <w:rPr>
          <w:noProof/>
          <w:lang w:eastAsia="en-GB"/>
        </w:rPr>
        <w:drawing>
          <wp:inline distT="0" distB="0" distL="0" distR="0" wp14:anchorId="74045E45" wp14:editId="4706E8E5">
            <wp:extent cx="5760000" cy="2286000"/>
            <wp:effectExtent l="0" t="0" r="0" b="0"/>
            <wp:docPr id="3" name="Picture 3" descr="Figure 4: Patients by average number of days between Oral NSAID dispensing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4: Patients by average number of days between Oral NSAID dispensing da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2286000"/>
                    </a:xfrm>
                    <a:prstGeom prst="rect">
                      <a:avLst/>
                    </a:prstGeom>
                    <a:noFill/>
                  </pic:spPr>
                </pic:pic>
              </a:graphicData>
            </a:graphic>
          </wp:inline>
        </w:drawing>
      </w:r>
    </w:p>
    <w:p w14:paraId="79BDDCEE" w14:textId="79418AA0" w:rsidR="006F2AE8" w:rsidRDefault="006F2AE8" w:rsidP="006F2AE8">
      <w:pPr>
        <w:spacing w:line="240" w:lineRule="auto"/>
      </w:pPr>
      <w:r w:rsidRPr="008D3AFA">
        <w:rPr>
          <w:sz w:val="22"/>
        </w:rPr>
        <w:t xml:space="preserve">Note: chart includes only patients with more than one dispensed date, and less than 200 days between dates. </w:t>
      </w:r>
      <w:r>
        <w:br/>
      </w:r>
    </w:p>
    <w:p w14:paraId="03D1934C" w14:textId="489890C6" w:rsidR="006F2AE8" w:rsidRPr="005A2367" w:rsidRDefault="006F2AE8" w:rsidP="006F2AE8">
      <w:r>
        <w:t xml:space="preserve">As shown in Figure </w:t>
      </w:r>
      <w:r w:rsidR="00E008D1">
        <w:t>4</w:t>
      </w:r>
      <w:r>
        <w:t xml:space="preserve">, the most frequent average gap between dispensing dates is 28 days. There were 700,510 patients with an average gap of 56 days or less between oral NSAID dispensing dates. For regular NSAID users, this would roughly align with the working definition of 12 months in the previous 24, however this shows that there is a significant number of users who had been dispensed NSAIDs more than once in the period, with a relatively short gap, but who should not be classed as long-term users. </w:t>
      </w:r>
    </w:p>
    <w:p w14:paraId="1A0C6F67" w14:textId="77777777" w:rsidR="006F2AE8" w:rsidRPr="002D62E0" w:rsidRDefault="006F2AE8" w:rsidP="009C7D7F">
      <w:pPr>
        <w:pStyle w:val="ListParagraph"/>
        <w:numPr>
          <w:ilvl w:val="0"/>
          <w:numId w:val="10"/>
        </w:numPr>
        <w:spacing w:before="240"/>
        <w:ind w:left="357" w:hanging="357"/>
        <w:contextualSpacing w:val="0"/>
        <w:rPr>
          <w:u w:val="single"/>
          <w:shd w:val="clear" w:color="auto" w:fill="FFFFFF"/>
        </w:rPr>
      </w:pPr>
      <w:r>
        <w:rPr>
          <w:u w:val="single"/>
          <w:shd w:val="clear" w:color="auto" w:fill="FFFFFF"/>
        </w:rPr>
        <w:t>Q</w:t>
      </w:r>
      <w:r w:rsidRPr="005663CD">
        <w:rPr>
          <w:u w:val="single"/>
          <w:shd w:val="clear" w:color="auto" w:fill="FFFFFF"/>
        </w:rPr>
        <w:t>uantity prescribed vs frequency</w:t>
      </w:r>
    </w:p>
    <w:p w14:paraId="6A1A7D02" w14:textId="77777777" w:rsidR="006F2AE8" w:rsidRDefault="006F2AE8" w:rsidP="006F2AE8">
      <w:r>
        <w:t xml:space="preserve">The relationship between quantity prescribed and frequency was explored, with an illustrative example of long-term use as ‘patients </w:t>
      </w:r>
      <w:r w:rsidRPr="00602DDD">
        <w:t>dispensed more Naproxen 500mg table</w:t>
      </w:r>
      <w:r>
        <w:t>t</w:t>
      </w:r>
      <w:r w:rsidRPr="00602DDD">
        <w:t>s</w:t>
      </w:r>
      <w:r>
        <w:t xml:space="preserve"> </w:t>
      </w:r>
      <w:r w:rsidRPr="00602DDD">
        <w:t>than the number of days until they were next dispensed Naproxen 500mg table</w:t>
      </w:r>
      <w:r>
        <w:t>t</w:t>
      </w:r>
      <w:r w:rsidRPr="00602DDD">
        <w:t>s</w:t>
      </w:r>
      <w:r>
        <w:t>, limited to gaps between dispense dates of between 1 and 56 days’.</w:t>
      </w:r>
    </w:p>
    <w:p w14:paraId="6A15A6FA" w14:textId="37A5A532" w:rsidR="00E008D1" w:rsidRDefault="006F2AE8" w:rsidP="00E008D1">
      <w:r>
        <w:lastRenderedPageBreak/>
        <w:t>This method is able to consider both quantity and timing, and showed that patients with smaller gaps between dispensed Naproxen are much more likely to have been dispensed more tablets than ‘days’, with a significant drop after a gap of 56 days</w:t>
      </w:r>
      <w:r w:rsidR="009C7D7F">
        <w:t xml:space="preserve"> (Figure 5)</w:t>
      </w:r>
      <w:r>
        <w:t xml:space="preserve">. </w:t>
      </w:r>
      <w:r w:rsidRPr="0059221B">
        <w:t>This suggests that longer times between prescription dates are less likely to be associated with long</w:t>
      </w:r>
      <w:r>
        <w:t>-</w:t>
      </w:r>
      <w:r w:rsidRPr="0059221B">
        <w:t>term daily use of Naproxen 500mg tablets</w:t>
      </w:r>
      <w:r>
        <w:t>. T</w:t>
      </w:r>
      <w:r w:rsidRPr="0059221B">
        <w:t>he drop at around 56 days is consistent with a dispensing pattern that would be expected to generate 12 or more dispensed dates</w:t>
      </w:r>
      <w:r>
        <w:t xml:space="preserve"> in a 24 month period. </w:t>
      </w:r>
    </w:p>
    <w:p w14:paraId="5C291A1B" w14:textId="77777777" w:rsidR="00E008D1" w:rsidRDefault="00E008D1" w:rsidP="00E008D1"/>
    <w:p w14:paraId="35DD3456" w14:textId="4FFA9B6A" w:rsidR="006F2AE8" w:rsidRDefault="006F2AE8" w:rsidP="00E008D1">
      <w:pPr>
        <w:pStyle w:val="Heading4"/>
      </w:pPr>
      <w:r w:rsidRPr="005221B2">
        <w:t xml:space="preserve">Figure </w:t>
      </w:r>
      <w:r w:rsidR="00E008D1">
        <w:t>5</w:t>
      </w:r>
      <w:r w:rsidRPr="005221B2">
        <w:t>. Proportion of patients dispensed more tablets than the number of days until they were next dispensed Naproxen 500mg tablets, EPS, 2021</w:t>
      </w:r>
    </w:p>
    <w:p w14:paraId="022D9DB7" w14:textId="77777777" w:rsidR="006F2AE8" w:rsidRPr="005221B2" w:rsidRDefault="006F2AE8" w:rsidP="006F2AE8">
      <w:pPr>
        <w:spacing w:before="240" w:line="240" w:lineRule="auto"/>
      </w:pPr>
      <w:r w:rsidRPr="009D0EC7">
        <w:rPr>
          <w:noProof/>
          <w:lang w:eastAsia="en-GB"/>
        </w:rPr>
        <w:drawing>
          <wp:inline distT="0" distB="0" distL="0" distR="0" wp14:anchorId="4DF071E2" wp14:editId="18EE09AF">
            <wp:extent cx="5731510" cy="3526790"/>
            <wp:effectExtent l="0" t="0" r="2540" b="0"/>
            <wp:docPr id="7" name="Picture 7" descr="Figure 5. Proportion of patients dispensed more tablets than the number of days until they were next dispensed Naproxen 500mg tablets, EPS,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5. Proportion of patients dispensed more tablets than the number of days until they were next dispensed Naproxen 500mg tablets, EPS, 20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526790"/>
                    </a:xfrm>
                    <a:prstGeom prst="rect">
                      <a:avLst/>
                    </a:prstGeom>
                    <a:noFill/>
                    <a:ln>
                      <a:noFill/>
                    </a:ln>
                  </pic:spPr>
                </pic:pic>
              </a:graphicData>
            </a:graphic>
          </wp:inline>
        </w:drawing>
      </w:r>
    </w:p>
    <w:p w14:paraId="2B081A1F" w14:textId="77777777" w:rsidR="006F2AE8" w:rsidRDefault="006F2AE8" w:rsidP="006F2AE8"/>
    <w:p w14:paraId="29505F58" w14:textId="77777777" w:rsidR="009C7D7F" w:rsidRDefault="009C7D7F">
      <w:pPr>
        <w:spacing w:after="160" w:line="259" w:lineRule="auto"/>
        <w:rPr>
          <w:rFonts w:eastAsiaTheme="majorEastAsia" w:cstheme="majorBidi"/>
          <w:b/>
          <w:szCs w:val="24"/>
          <w:shd w:val="clear" w:color="auto" w:fill="FFFFFF"/>
        </w:rPr>
      </w:pPr>
      <w:r>
        <w:rPr>
          <w:shd w:val="clear" w:color="auto" w:fill="FFFFFF"/>
        </w:rPr>
        <w:br w:type="page"/>
      </w:r>
    </w:p>
    <w:p w14:paraId="70DEEA48" w14:textId="6BF8227F" w:rsidR="006F2AE8" w:rsidRDefault="006F2AE8" w:rsidP="006F2AE8">
      <w:pPr>
        <w:pStyle w:val="Heading3"/>
        <w:rPr>
          <w:shd w:val="clear" w:color="auto" w:fill="FFFFFF"/>
        </w:rPr>
      </w:pPr>
      <w:r>
        <w:rPr>
          <w:shd w:val="clear" w:color="auto" w:fill="FFFFFF"/>
        </w:rPr>
        <w:lastRenderedPageBreak/>
        <w:t xml:space="preserve">Exploring the working definition for specific subgroups of NSAID users </w:t>
      </w:r>
    </w:p>
    <w:p w14:paraId="32CEC6E4" w14:textId="77777777" w:rsidR="006F2AE8" w:rsidRPr="002D62E0" w:rsidRDefault="006F2AE8" w:rsidP="006F2AE8">
      <w:pPr>
        <w:pStyle w:val="ListParagraph"/>
        <w:numPr>
          <w:ilvl w:val="0"/>
          <w:numId w:val="11"/>
        </w:numPr>
        <w:rPr>
          <w:u w:val="single"/>
          <w:shd w:val="clear" w:color="auto" w:fill="FFFFFF"/>
        </w:rPr>
      </w:pPr>
      <w:r w:rsidRPr="002D62E0">
        <w:rPr>
          <w:u w:val="single"/>
          <w:shd w:val="clear" w:color="auto" w:fill="FFFFFF"/>
        </w:rPr>
        <w:t>Oral NSAIDs prescribing by age: long-term users aged 65 years and above</w:t>
      </w:r>
    </w:p>
    <w:p w14:paraId="41B0E0AF" w14:textId="68E82A04" w:rsidR="006F2AE8" w:rsidRDefault="006F2AE8" w:rsidP="006F2AE8">
      <w:pPr>
        <w:rPr>
          <w:rFonts w:cs="Arial"/>
          <w:iCs/>
          <w:shd w:val="clear" w:color="auto" w:fill="FFFFFF"/>
        </w:rPr>
      </w:pPr>
      <w:r>
        <w:rPr>
          <w:rFonts w:cs="Arial"/>
          <w:iCs/>
          <w:shd w:val="clear" w:color="auto" w:fill="FFFFFF"/>
        </w:rPr>
        <w:t xml:space="preserve">Of the 3.25 million NSAID users in 2021, 713,051 were aged 65 or above. Based on an overall registered population in England of </w:t>
      </w:r>
      <w:r w:rsidRPr="009E4612">
        <w:rPr>
          <w:rFonts w:cs="Arial"/>
          <w:iCs/>
          <w:shd w:val="clear" w:color="auto" w:fill="FFFFFF"/>
        </w:rPr>
        <w:t>10</w:t>
      </w:r>
      <w:r>
        <w:rPr>
          <w:rFonts w:cs="Arial"/>
          <w:iCs/>
          <w:shd w:val="clear" w:color="auto" w:fill="FFFFFF"/>
        </w:rPr>
        <w:t>,</w:t>
      </w:r>
      <w:r w:rsidRPr="009E4612">
        <w:rPr>
          <w:rFonts w:cs="Arial"/>
          <w:iCs/>
          <w:shd w:val="clear" w:color="auto" w:fill="FFFFFF"/>
        </w:rPr>
        <w:t>663</w:t>
      </w:r>
      <w:r>
        <w:rPr>
          <w:rFonts w:cs="Arial"/>
          <w:iCs/>
          <w:shd w:val="clear" w:color="auto" w:fill="FFFFFF"/>
        </w:rPr>
        <w:t>,</w:t>
      </w:r>
      <w:r w:rsidRPr="009E4612">
        <w:rPr>
          <w:rFonts w:cs="Arial"/>
          <w:iCs/>
          <w:shd w:val="clear" w:color="auto" w:fill="FFFFFF"/>
        </w:rPr>
        <w:t>170</w:t>
      </w:r>
      <w:r w:rsidRPr="00435462">
        <w:rPr>
          <w:rFonts w:cs="Arial"/>
          <w:iCs/>
          <w:shd w:val="clear" w:color="auto" w:fill="FFFFFF"/>
        </w:rPr>
        <w:t xml:space="preserve"> as at April 2021</w:t>
      </w:r>
      <w:r w:rsidR="009C7D7F" w:rsidRPr="009C7D7F">
        <w:rPr>
          <w:rFonts w:cs="Arial"/>
          <w:iCs/>
          <w:shd w:val="clear" w:color="auto" w:fill="FFFFFF"/>
          <w:vertAlign w:val="superscript"/>
        </w:rPr>
        <w:fldChar w:fldCharType="begin"/>
      </w:r>
      <w:r w:rsidR="009C7D7F" w:rsidRPr="009C7D7F">
        <w:rPr>
          <w:rFonts w:cs="Arial"/>
          <w:iCs/>
          <w:shd w:val="clear" w:color="auto" w:fill="FFFFFF"/>
          <w:vertAlign w:val="superscript"/>
        </w:rPr>
        <w:instrText xml:space="preserve"> NOTEREF _Ref104532019 \h </w:instrText>
      </w:r>
      <w:r w:rsidR="009C7D7F">
        <w:rPr>
          <w:rFonts w:cs="Arial"/>
          <w:iCs/>
          <w:shd w:val="clear" w:color="auto" w:fill="FFFFFF"/>
          <w:vertAlign w:val="superscript"/>
        </w:rPr>
        <w:instrText xml:space="preserve"> \* MERGEFORMAT </w:instrText>
      </w:r>
      <w:r w:rsidR="009C7D7F" w:rsidRPr="009C7D7F">
        <w:rPr>
          <w:rFonts w:cs="Arial"/>
          <w:iCs/>
          <w:shd w:val="clear" w:color="auto" w:fill="FFFFFF"/>
          <w:vertAlign w:val="superscript"/>
        </w:rPr>
      </w:r>
      <w:r w:rsidR="009C7D7F" w:rsidRPr="009C7D7F">
        <w:rPr>
          <w:rFonts w:cs="Arial"/>
          <w:iCs/>
          <w:shd w:val="clear" w:color="auto" w:fill="FFFFFF"/>
          <w:vertAlign w:val="superscript"/>
        </w:rPr>
        <w:fldChar w:fldCharType="separate"/>
      </w:r>
      <w:r w:rsidR="004429A6">
        <w:rPr>
          <w:rFonts w:cs="Arial"/>
          <w:iCs/>
          <w:shd w:val="clear" w:color="auto" w:fill="FFFFFF"/>
          <w:vertAlign w:val="superscript"/>
        </w:rPr>
        <w:t>11</w:t>
      </w:r>
      <w:r w:rsidR="009C7D7F" w:rsidRPr="009C7D7F">
        <w:rPr>
          <w:rFonts w:cs="Arial"/>
          <w:iCs/>
          <w:shd w:val="clear" w:color="auto" w:fill="FFFFFF"/>
          <w:vertAlign w:val="superscript"/>
        </w:rPr>
        <w:fldChar w:fldCharType="end"/>
      </w:r>
      <w:r>
        <w:rPr>
          <w:rFonts w:cs="Arial"/>
          <w:iCs/>
          <w:shd w:val="clear" w:color="auto" w:fill="FFFFFF"/>
        </w:rPr>
        <w:t xml:space="preserve">, this equates to 6.7% of the registered population in that age </w:t>
      </w:r>
      <w:r w:rsidRPr="0096687E">
        <w:rPr>
          <w:rFonts w:cs="Arial"/>
          <w:iCs/>
          <w:shd w:val="clear" w:color="auto" w:fill="FFFFFF"/>
        </w:rPr>
        <w:t xml:space="preserve">group (see Table </w:t>
      </w:r>
      <w:r w:rsidR="0096687E" w:rsidRPr="0096687E">
        <w:rPr>
          <w:rFonts w:cs="Arial"/>
          <w:iCs/>
          <w:shd w:val="clear" w:color="auto" w:fill="FFFFFF"/>
        </w:rPr>
        <w:t>3 and Figure 6</w:t>
      </w:r>
      <w:r w:rsidRPr="0096687E">
        <w:rPr>
          <w:rFonts w:cs="Arial"/>
          <w:iCs/>
          <w:shd w:val="clear" w:color="auto" w:fill="FFFFFF"/>
        </w:rPr>
        <w:t>).</w:t>
      </w:r>
      <w:r>
        <w:rPr>
          <w:rFonts w:cs="Arial"/>
          <w:iCs/>
          <w:shd w:val="clear" w:color="auto" w:fill="FFFFFF"/>
        </w:rPr>
        <w:t xml:space="preserve"> </w:t>
      </w:r>
    </w:p>
    <w:p w14:paraId="39A87AD5" w14:textId="60129409" w:rsidR="006F2AE8" w:rsidRDefault="006F2AE8" w:rsidP="006F2AE8">
      <w:pPr>
        <w:rPr>
          <w:rFonts w:cs="Arial"/>
          <w:iCs/>
          <w:shd w:val="clear" w:color="auto" w:fill="FFFFFF"/>
        </w:rPr>
      </w:pPr>
      <w:r>
        <w:rPr>
          <w:rFonts w:cs="Arial"/>
          <w:iCs/>
          <w:shd w:val="clear" w:color="auto" w:fill="FFFFFF"/>
        </w:rPr>
        <w:t xml:space="preserve">Although the overall pattern shown in Figure </w:t>
      </w:r>
      <w:r w:rsidR="009C7D7F">
        <w:rPr>
          <w:rFonts w:cs="Arial"/>
          <w:iCs/>
          <w:shd w:val="clear" w:color="auto" w:fill="FFFFFF"/>
        </w:rPr>
        <w:t>6</w:t>
      </w:r>
      <w:r>
        <w:rPr>
          <w:rFonts w:cs="Arial"/>
          <w:iCs/>
          <w:shd w:val="clear" w:color="auto" w:fill="FFFFFF"/>
        </w:rPr>
        <w:t xml:space="preserve"> is similar to tha</w:t>
      </w:r>
      <w:r w:rsidR="009C7D7F">
        <w:rPr>
          <w:rFonts w:cs="Arial"/>
          <w:iCs/>
          <w:shd w:val="clear" w:color="auto" w:fill="FFFFFF"/>
        </w:rPr>
        <w:t>t shown for all ages in Figure 2</w:t>
      </w:r>
      <w:r>
        <w:rPr>
          <w:rFonts w:cs="Arial"/>
          <w:iCs/>
          <w:shd w:val="clear" w:color="auto" w:fill="FFFFFF"/>
        </w:rPr>
        <w:t xml:space="preserve">, the sharp decline shown at the left-hand side of Figure </w:t>
      </w:r>
      <w:r w:rsidR="009C7D7F">
        <w:rPr>
          <w:rFonts w:cs="Arial"/>
          <w:iCs/>
          <w:shd w:val="clear" w:color="auto" w:fill="FFFFFF"/>
        </w:rPr>
        <w:t>6</w:t>
      </w:r>
      <w:r>
        <w:rPr>
          <w:rFonts w:cs="Arial"/>
          <w:iCs/>
          <w:shd w:val="clear" w:color="auto" w:fill="FFFFFF"/>
        </w:rPr>
        <w:t xml:space="preserve"> is less pronounced for adults aged 65 years and above than the equ</w:t>
      </w:r>
      <w:r w:rsidR="009C7D7F">
        <w:rPr>
          <w:rFonts w:cs="Arial"/>
          <w:iCs/>
          <w:shd w:val="clear" w:color="auto" w:fill="FFFFFF"/>
        </w:rPr>
        <w:t>ivalent for all ages in Figure 2</w:t>
      </w:r>
      <w:r>
        <w:rPr>
          <w:rFonts w:cs="Arial"/>
          <w:iCs/>
          <w:shd w:val="clear" w:color="auto" w:fill="FFFFFF"/>
        </w:rPr>
        <w:t xml:space="preserve">. This means that proportionately more adults aged 65 years and above </w:t>
      </w:r>
      <w:r w:rsidRPr="00175312">
        <w:rPr>
          <w:rFonts w:cs="Arial"/>
          <w:iCs/>
          <w:shd w:val="clear" w:color="auto" w:fill="FFFFFF"/>
        </w:rPr>
        <w:t xml:space="preserve">had had oral NSAIDs prescribed for </w:t>
      </w:r>
      <w:r w:rsidRPr="00F77CD1">
        <w:rPr>
          <w:rFonts w:cs="Arial"/>
          <w:iCs/>
          <w:shd w:val="clear" w:color="auto" w:fill="FFFFFF"/>
        </w:rPr>
        <w:t>more than two months</w:t>
      </w:r>
      <w:r w:rsidRPr="00175312">
        <w:rPr>
          <w:rFonts w:cs="Arial"/>
          <w:iCs/>
          <w:shd w:val="clear" w:color="auto" w:fill="FFFFFF"/>
        </w:rPr>
        <w:t xml:space="preserve"> in the previous 24 months</w:t>
      </w:r>
      <w:r>
        <w:rPr>
          <w:rFonts w:cs="Arial"/>
          <w:iCs/>
          <w:shd w:val="clear" w:color="auto" w:fill="FFFFFF"/>
        </w:rPr>
        <w:t xml:space="preserve">, suggesting a greater proportion should be classed as long-term users. </w:t>
      </w:r>
    </w:p>
    <w:p w14:paraId="6F8350BE" w14:textId="334F17F6" w:rsidR="006F2AE8" w:rsidRPr="005221B2" w:rsidRDefault="006F2AE8" w:rsidP="0096687E">
      <w:pPr>
        <w:pStyle w:val="Heading4"/>
        <w:rPr>
          <w:rFonts w:eastAsiaTheme="minorHAnsi"/>
        </w:rPr>
      </w:pPr>
      <w:r w:rsidRPr="005221B2">
        <w:rPr>
          <w:rFonts w:eastAsiaTheme="minorHAnsi"/>
        </w:rPr>
        <w:t xml:space="preserve">Table </w:t>
      </w:r>
      <w:r w:rsidR="0096687E">
        <w:rPr>
          <w:rFonts w:eastAsiaTheme="minorHAnsi"/>
        </w:rPr>
        <w:t>3</w:t>
      </w:r>
      <w:r w:rsidRPr="005221B2">
        <w:rPr>
          <w:rFonts w:eastAsiaTheme="minorHAnsi"/>
        </w:rPr>
        <w:t>. Numbers and percentages of NSAID users and long-term NSAID users aged 65 years or above in England, 2019 to 2021</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151"/>
        <w:gridCol w:w="1443"/>
        <w:gridCol w:w="1443"/>
        <w:gridCol w:w="1151"/>
        <w:gridCol w:w="1443"/>
        <w:gridCol w:w="1443"/>
        <w:gridCol w:w="963"/>
      </w:tblGrid>
      <w:tr w:rsidR="006F2AE8" w:rsidRPr="009C7D7F" w14:paraId="3ABC487B" w14:textId="77777777" w:rsidTr="009C7D7F">
        <w:trPr>
          <w:trHeight w:val="1180"/>
        </w:trPr>
        <w:tc>
          <w:tcPr>
            <w:tcW w:w="417" w:type="pct"/>
            <w:vMerge w:val="restart"/>
            <w:shd w:val="clear" w:color="auto" w:fill="auto"/>
            <w:noWrap/>
            <w:vAlign w:val="bottom"/>
            <w:hideMark/>
          </w:tcPr>
          <w:p w14:paraId="1BBD77C5" w14:textId="77777777" w:rsidR="006F2AE8" w:rsidRPr="009C7D7F" w:rsidRDefault="006F2AE8" w:rsidP="006F2AE8">
            <w:pPr>
              <w:spacing w:after="0" w:line="240" w:lineRule="auto"/>
              <w:rPr>
                <w:rFonts w:eastAsia="Times New Roman" w:cs="Arial"/>
                <w:b/>
                <w:color w:val="000000"/>
                <w:lang w:eastAsia="en-GB"/>
              </w:rPr>
            </w:pPr>
            <w:r w:rsidRPr="009C7D7F">
              <w:rPr>
                <w:rFonts w:eastAsia="Times New Roman" w:cs="Arial"/>
                <w:b/>
                <w:color w:val="000000"/>
                <w:lang w:eastAsia="en-GB"/>
              </w:rPr>
              <w:t> Year</w:t>
            </w:r>
          </w:p>
        </w:tc>
        <w:tc>
          <w:tcPr>
            <w:tcW w:w="2095" w:type="pct"/>
            <w:gridSpan w:val="3"/>
            <w:shd w:val="clear" w:color="auto" w:fill="auto"/>
            <w:vAlign w:val="bottom"/>
            <w:hideMark/>
          </w:tcPr>
          <w:p w14:paraId="4EA88606" w14:textId="77777777" w:rsidR="006F2AE8" w:rsidRPr="009C7D7F" w:rsidRDefault="006F2AE8" w:rsidP="009C7D7F">
            <w:pPr>
              <w:spacing w:after="0" w:line="264" w:lineRule="auto"/>
              <w:jc w:val="center"/>
              <w:rPr>
                <w:rFonts w:eastAsia="Times New Roman" w:cs="Arial"/>
                <w:color w:val="000000"/>
                <w:lang w:eastAsia="en-GB"/>
              </w:rPr>
            </w:pPr>
            <w:r w:rsidRPr="009C7D7F">
              <w:rPr>
                <w:rFonts w:eastAsia="Times New Roman" w:cs="Arial"/>
                <w:color w:val="000000"/>
                <w:lang w:eastAsia="en-GB"/>
              </w:rPr>
              <w:t>NSAID users aged 65+: Patients aged 65 or above who had received at least one prescription item for oral NSAIDs in the year</w:t>
            </w:r>
          </w:p>
          <w:p w14:paraId="322A7CA2" w14:textId="77777777" w:rsidR="006F2AE8" w:rsidRPr="009C7D7F" w:rsidRDefault="006F2AE8" w:rsidP="009C7D7F">
            <w:pPr>
              <w:spacing w:after="0" w:line="264" w:lineRule="auto"/>
              <w:jc w:val="center"/>
              <w:rPr>
                <w:rFonts w:eastAsia="Times New Roman" w:cs="Arial"/>
                <w:color w:val="000000"/>
                <w:lang w:eastAsia="en-GB"/>
              </w:rPr>
            </w:pPr>
          </w:p>
        </w:tc>
        <w:tc>
          <w:tcPr>
            <w:tcW w:w="2488" w:type="pct"/>
            <w:gridSpan w:val="4"/>
            <w:shd w:val="clear" w:color="auto" w:fill="auto"/>
            <w:vAlign w:val="bottom"/>
            <w:hideMark/>
          </w:tcPr>
          <w:p w14:paraId="22FC0E46" w14:textId="77777777" w:rsidR="006F2AE8" w:rsidRPr="009C7D7F" w:rsidRDefault="006F2AE8" w:rsidP="009C7D7F">
            <w:pPr>
              <w:spacing w:after="0" w:line="264" w:lineRule="auto"/>
              <w:jc w:val="center"/>
              <w:rPr>
                <w:rFonts w:eastAsia="Times New Roman" w:cs="Arial"/>
                <w:color w:val="000000"/>
                <w:lang w:eastAsia="en-GB"/>
              </w:rPr>
            </w:pPr>
            <w:r w:rsidRPr="009C7D7F">
              <w:rPr>
                <w:rFonts w:eastAsia="Times New Roman" w:cs="Arial"/>
                <w:color w:val="000000"/>
                <w:lang w:eastAsia="en-GB"/>
              </w:rPr>
              <w:t xml:space="preserve">NSAID long-term users aged 65+: Patients aged 65 or above who had received at least one prescription item for oral NSAIDs in the year, who had had oral NSAIDs prescribed for 12 or more months in the previous 24 months </w:t>
            </w:r>
          </w:p>
        </w:tc>
      </w:tr>
      <w:tr w:rsidR="006F2AE8" w:rsidRPr="009C7D7F" w14:paraId="418CBCD9" w14:textId="77777777" w:rsidTr="009C7D7F">
        <w:trPr>
          <w:trHeight w:val="870"/>
        </w:trPr>
        <w:tc>
          <w:tcPr>
            <w:tcW w:w="417" w:type="pct"/>
            <w:vMerge/>
            <w:vAlign w:val="center"/>
            <w:hideMark/>
          </w:tcPr>
          <w:p w14:paraId="6435613C" w14:textId="77777777" w:rsidR="006F2AE8" w:rsidRPr="009C7D7F" w:rsidRDefault="006F2AE8" w:rsidP="006F2AE8">
            <w:pPr>
              <w:spacing w:after="0" w:line="240" w:lineRule="auto"/>
              <w:rPr>
                <w:rFonts w:eastAsia="Times New Roman" w:cs="Arial"/>
                <w:color w:val="000000"/>
                <w:lang w:eastAsia="en-GB"/>
              </w:rPr>
            </w:pPr>
          </w:p>
        </w:tc>
        <w:tc>
          <w:tcPr>
            <w:tcW w:w="597" w:type="pct"/>
            <w:shd w:val="clear" w:color="auto" w:fill="auto"/>
            <w:vAlign w:val="bottom"/>
            <w:hideMark/>
          </w:tcPr>
          <w:p w14:paraId="6EE030BB" w14:textId="77777777" w:rsidR="006F2AE8" w:rsidRPr="009C7D7F" w:rsidRDefault="006F2AE8" w:rsidP="009C7D7F">
            <w:pPr>
              <w:spacing w:after="0" w:line="264" w:lineRule="auto"/>
              <w:rPr>
                <w:rFonts w:eastAsia="Times New Roman" w:cs="Arial"/>
                <w:b/>
                <w:color w:val="000000"/>
                <w:lang w:eastAsia="en-GB"/>
              </w:rPr>
            </w:pPr>
            <w:r w:rsidRPr="009C7D7F">
              <w:rPr>
                <w:rFonts w:eastAsia="Times New Roman" w:cs="Arial"/>
                <w:b/>
                <w:color w:val="000000"/>
                <w:lang w:eastAsia="en-GB"/>
              </w:rPr>
              <w:t>Number</w:t>
            </w:r>
          </w:p>
        </w:tc>
        <w:tc>
          <w:tcPr>
            <w:tcW w:w="749" w:type="pct"/>
            <w:shd w:val="clear" w:color="auto" w:fill="auto"/>
            <w:vAlign w:val="bottom"/>
            <w:hideMark/>
          </w:tcPr>
          <w:p w14:paraId="29BA7264" w14:textId="77777777" w:rsidR="006F2AE8" w:rsidRPr="009C7D7F" w:rsidRDefault="006F2AE8" w:rsidP="009C7D7F">
            <w:pPr>
              <w:spacing w:after="0" w:line="264" w:lineRule="auto"/>
              <w:rPr>
                <w:rFonts w:eastAsia="Times New Roman" w:cs="Arial"/>
                <w:b/>
                <w:color w:val="000000"/>
                <w:lang w:eastAsia="en-GB"/>
              </w:rPr>
            </w:pPr>
            <w:r w:rsidRPr="009C7D7F">
              <w:rPr>
                <w:rFonts w:eastAsia="Times New Roman" w:cs="Arial"/>
                <w:b/>
                <w:color w:val="000000"/>
                <w:lang w:eastAsia="en-GB"/>
              </w:rPr>
              <w:t xml:space="preserve">% </w:t>
            </w:r>
            <w:proofErr w:type="gramStart"/>
            <w:r w:rsidRPr="009C7D7F">
              <w:rPr>
                <w:rFonts w:eastAsia="Times New Roman" w:cs="Arial"/>
                <w:b/>
                <w:color w:val="000000"/>
                <w:lang w:eastAsia="en-GB"/>
              </w:rPr>
              <w:t>of</w:t>
            </w:r>
            <w:proofErr w:type="gramEnd"/>
            <w:r w:rsidRPr="009C7D7F">
              <w:rPr>
                <w:rFonts w:eastAsia="Times New Roman" w:cs="Arial"/>
                <w:b/>
                <w:color w:val="000000"/>
                <w:lang w:eastAsia="en-GB"/>
              </w:rPr>
              <w:t xml:space="preserve"> total registered population</w:t>
            </w:r>
          </w:p>
        </w:tc>
        <w:tc>
          <w:tcPr>
            <w:tcW w:w="749" w:type="pct"/>
            <w:shd w:val="clear" w:color="auto" w:fill="auto"/>
            <w:vAlign w:val="bottom"/>
            <w:hideMark/>
          </w:tcPr>
          <w:p w14:paraId="70C334ED" w14:textId="77777777" w:rsidR="006F2AE8" w:rsidRPr="009C7D7F" w:rsidRDefault="006F2AE8" w:rsidP="009C7D7F">
            <w:pPr>
              <w:spacing w:after="0" w:line="264" w:lineRule="auto"/>
              <w:rPr>
                <w:rFonts w:eastAsia="Times New Roman" w:cs="Arial"/>
                <w:b/>
                <w:color w:val="000000"/>
                <w:lang w:eastAsia="en-GB"/>
              </w:rPr>
            </w:pPr>
            <w:r w:rsidRPr="009C7D7F">
              <w:rPr>
                <w:rFonts w:eastAsia="Times New Roman" w:cs="Arial"/>
                <w:b/>
                <w:color w:val="000000"/>
                <w:lang w:eastAsia="en-GB"/>
              </w:rPr>
              <w:t xml:space="preserve">% </w:t>
            </w:r>
            <w:proofErr w:type="gramStart"/>
            <w:r w:rsidRPr="009C7D7F">
              <w:rPr>
                <w:rFonts w:eastAsia="Times New Roman" w:cs="Arial"/>
                <w:b/>
                <w:color w:val="000000"/>
                <w:lang w:eastAsia="en-GB"/>
              </w:rPr>
              <w:t>of</w:t>
            </w:r>
            <w:proofErr w:type="gramEnd"/>
            <w:r w:rsidRPr="009C7D7F">
              <w:rPr>
                <w:rFonts w:eastAsia="Times New Roman" w:cs="Arial"/>
                <w:b/>
                <w:color w:val="000000"/>
                <w:lang w:eastAsia="en-GB"/>
              </w:rPr>
              <w:t xml:space="preserve"> registered population aged 65+</w:t>
            </w:r>
          </w:p>
        </w:tc>
        <w:tc>
          <w:tcPr>
            <w:tcW w:w="597" w:type="pct"/>
            <w:shd w:val="clear" w:color="auto" w:fill="auto"/>
            <w:vAlign w:val="bottom"/>
            <w:hideMark/>
          </w:tcPr>
          <w:p w14:paraId="0BD256B2" w14:textId="77777777" w:rsidR="006F2AE8" w:rsidRPr="009C7D7F" w:rsidRDefault="006F2AE8" w:rsidP="009C7D7F">
            <w:pPr>
              <w:spacing w:after="0" w:line="264" w:lineRule="auto"/>
              <w:rPr>
                <w:rFonts w:eastAsia="Times New Roman" w:cs="Arial"/>
                <w:b/>
                <w:color w:val="000000"/>
                <w:lang w:eastAsia="en-GB"/>
              </w:rPr>
            </w:pPr>
            <w:r w:rsidRPr="009C7D7F">
              <w:rPr>
                <w:rFonts w:eastAsia="Times New Roman" w:cs="Arial"/>
                <w:b/>
                <w:color w:val="000000"/>
                <w:lang w:eastAsia="en-GB"/>
              </w:rPr>
              <w:t>Number</w:t>
            </w:r>
          </w:p>
        </w:tc>
        <w:tc>
          <w:tcPr>
            <w:tcW w:w="749" w:type="pct"/>
            <w:shd w:val="clear" w:color="auto" w:fill="auto"/>
            <w:vAlign w:val="bottom"/>
            <w:hideMark/>
          </w:tcPr>
          <w:p w14:paraId="1F54A20A" w14:textId="77777777" w:rsidR="006F2AE8" w:rsidRPr="009C7D7F" w:rsidRDefault="006F2AE8" w:rsidP="009C7D7F">
            <w:pPr>
              <w:spacing w:after="0" w:line="264" w:lineRule="auto"/>
              <w:rPr>
                <w:rFonts w:eastAsia="Times New Roman" w:cs="Arial"/>
                <w:b/>
                <w:color w:val="000000"/>
                <w:lang w:eastAsia="en-GB"/>
              </w:rPr>
            </w:pPr>
            <w:r w:rsidRPr="009C7D7F">
              <w:rPr>
                <w:rFonts w:eastAsia="Times New Roman" w:cs="Arial"/>
                <w:b/>
                <w:color w:val="000000"/>
                <w:lang w:eastAsia="en-GB"/>
              </w:rPr>
              <w:t xml:space="preserve">% </w:t>
            </w:r>
            <w:proofErr w:type="gramStart"/>
            <w:r w:rsidRPr="009C7D7F">
              <w:rPr>
                <w:rFonts w:eastAsia="Times New Roman" w:cs="Arial"/>
                <w:b/>
                <w:color w:val="000000"/>
                <w:lang w:eastAsia="en-GB"/>
              </w:rPr>
              <w:t>of</w:t>
            </w:r>
            <w:proofErr w:type="gramEnd"/>
            <w:r w:rsidRPr="009C7D7F">
              <w:rPr>
                <w:rFonts w:eastAsia="Times New Roman" w:cs="Arial"/>
                <w:b/>
                <w:color w:val="000000"/>
                <w:lang w:eastAsia="en-GB"/>
              </w:rPr>
              <w:t xml:space="preserve"> total registered population</w:t>
            </w:r>
          </w:p>
        </w:tc>
        <w:tc>
          <w:tcPr>
            <w:tcW w:w="749" w:type="pct"/>
            <w:shd w:val="clear" w:color="auto" w:fill="auto"/>
            <w:vAlign w:val="bottom"/>
            <w:hideMark/>
          </w:tcPr>
          <w:p w14:paraId="0CD91607" w14:textId="77777777" w:rsidR="006F2AE8" w:rsidRPr="009C7D7F" w:rsidRDefault="006F2AE8" w:rsidP="009C7D7F">
            <w:pPr>
              <w:spacing w:after="0" w:line="264" w:lineRule="auto"/>
              <w:rPr>
                <w:rFonts w:eastAsia="Times New Roman" w:cs="Arial"/>
                <w:b/>
                <w:color w:val="000000"/>
                <w:lang w:eastAsia="en-GB"/>
              </w:rPr>
            </w:pPr>
            <w:r w:rsidRPr="009C7D7F">
              <w:rPr>
                <w:rFonts w:eastAsia="Times New Roman" w:cs="Arial"/>
                <w:b/>
                <w:color w:val="000000"/>
                <w:lang w:eastAsia="en-GB"/>
              </w:rPr>
              <w:t xml:space="preserve">% </w:t>
            </w:r>
            <w:proofErr w:type="gramStart"/>
            <w:r w:rsidRPr="009C7D7F">
              <w:rPr>
                <w:rFonts w:eastAsia="Times New Roman" w:cs="Arial"/>
                <w:b/>
                <w:color w:val="000000"/>
                <w:lang w:eastAsia="en-GB"/>
              </w:rPr>
              <w:t>of</w:t>
            </w:r>
            <w:proofErr w:type="gramEnd"/>
            <w:r w:rsidRPr="009C7D7F">
              <w:rPr>
                <w:rFonts w:eastAsia="Times New Roman" w:cs="Arial"/>
                <w:b/>
                <w:color w:val="000000"/>
                <w:lang w:eastAsia="en-GB"/>
              </w:rPr>
              <w:t xml:space="preserve"> registered population aged 65+</w:t>
            </w:r>
          </w:p>
        </w:tc>
        <w:tc>
          <w:tcPr>
            <w:tcW w:w="392" w:type="pct"/>
            <w:shd w:val="clear" w:color="auto" w:fill="auto"/>
            <w:vAlign w:val="bottom"/>
            <w:hideMark/>
          </w:tcPr>
          <w:p w14:paraId="7F2ECD73" w14:textId="77777777" w:rsidR="006F2AE8" w:rsidRPr="009C7D7F" w:rsidRDefault="006F2AE8" w:rsidP="009C7D7F">
            <w:pPr>
              <w:spacing w:after="0" w:line="264" w:lineRule="auto"/>
              <w:rPr>
                <w:rFonts w:eastAsia="Times New Roman" w:cs="Arial"/>
                <w:b/>
                <w:color w:val="000000"/>
                <w:lang w:eastAsia="en-GB"/>
              </w:rPr>
            </w:pPr>
            <w:r w:rsidRPr="009C7D7F">
              <w:rPr>
                <w:rFonts w:eastAsia="Times New Roman" w:cs="Arial"/>
                <w:b/>
                <w:color w:val="000000"/>
                <w:lang w:eastAsia="en-GB"/>
              </w:rPr>
              <w:t xml:space="preserve">% </w:t>
            </w:r>
            <w:proofErr w:type="gramStart"/>
            <w:r w:rsidRPr="009C7D7F">
              <w:rPr>
                <w:rFonts w:eastAsia="Times New Roman" w:cs="Arial"/>
                <w:b/>
                <w:color w:val="000000"/>
                <w:lang w:eastAsia="en-GB"/>
              </w:rPr>
              <w:t>of</w:t>
            </w:r>
            <w:proofErr w:type="gramEnd"/>
            <w:r w:rsidRPr="009C7D7F">
              <w:rPr>
                <w:rFonts w:eastAsia="Times New Roman" w:cs="Arial"/>
                <w:b/>
                <w:color w:val="000000"/>
                <w:lang w:eastAsia="en-GB"/>
              </w:rPr>
              <w:t xml:space="preserve"> NSAID users aged 65+</w:t>
            </w:r>
          </w:p>
        </w:tc>
      </w:tr>
      <w:tr w:rsidR="006F2AE8" w:rsidRPr="009C7D7F" w14:paraId="567A7906" w14:textId="77777777" w:rsidTr="009C7D7F">
        <w:trPr>
          <w:trHeight w:val="290"/>
        </w:trPr>
        <w:tc>
          <w:tcPr>
            <w:tcW w:w="417" w:type="pct"/>
            <w:shd w:val="clear" w:color="auto" w:fill="auto"/>
            <w:noWrap/>
            <w:vAlign w:val="bottom"/>
            <w:hideMark/>
          </w:tcPr>
          <w:p w14:paraId="4F35A547" w14:textId="77777777" w:rsidR="006F2AE8" w:rsidRPr="009C7D7F" w:rsidRDefault="006F2AE8" w:rsidP="009C7D7F">
            <w:pPr>
              <w:spacing w:before="60" w:after="60" w:line="264" w:lineRule="auto"/>
              <w:jc w:val="right"/>
              <w:rPr>
                <w:rFonts w:eastAsia="Times New Roman" w:cs="Arial"/>
                <w:color w:val="000000"/>
                <w:lang w:eastAsia="en-GB"/>
              </w:rPr>
            </w:pPr>
            <w:r w:rsidRPr="009C7D7F">
              <w:rPr>
                <w:rFonts w:eastAsia="Times New Roman" w:cs="Arial"/>
                <w:color w:val="000000"/>
                <w:lang w:eastAsia="en-GB"/>
              </w:rPr>
              <w:t>2019</w:t>
            </w:r>
          </w:p>
        </w:tc>
        <w:tc>
          <w:tcPr>
            <w:tcW w:w="597" w:type="pct"/>
            <w:shd w:val="clear" w:color="auto" w:fill="auto"/>
            <w:noWrap/>
            <w:vAlign w:val="bottom"/>
            <w:hideMark/>
          </w:tcPr>
          <w:p w14:paraId="58126377" w14:textId="77777777" w:rsidR="006F2AE8" w:rsidRPr="009C7D7F" w:rsidRDefault="006F2AE8" w:rsidP="009C7D7F">
            <w:pPr>
              <w:spacing w:before="60" w:after="60" w:line="264" w:lineRule="auto"/>
              <w:jc w:val="right"/>
              <w:rPr>
                <w:rFonts w:eastAsia="Times New Roman" w:cs="Arial"/>
                <w:color w:val="000000"/>
                <w:lang w:eastAsia="en-GB"/>
              </w:rPr>
            </w:pPr>
            <w:r w:rsidRPr="009C7D7F">
              <w:rPr>
                <w:rFonts w:eastAsia="Times New Roman" w:cs="Arial"/>
                <w:color w:val="000000"/>
                <w:lang w:eastAsia="en-GB"/>
              </w:rPr>
              <w:t> 818,334</w:t>
            </w:r>
          </w:p>
        </w:tc>
        <w:tc>
          <w:tcPr>
            <w:tcW w:w="749" w:type="pct"/>
            <w:shd w:val="clear" w:color="auto" w:fill="auto"/>
            <w:noWrap/>
            <w:vAlign w:val="bottom"/>
            <w:hideMark/>
          </w:tcPr>
          <w:p w14:paraId="547EC1CB"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1.4%</w:t>
            </w:r>
          </w:p>
        </w:tc>
        <w:tc>
          <w:tcPr>
            <w:tcW w:w="749" w:type="pct"/>
            <w:shd w:val="clear" w:color="auto" w:fill="auto"/>
            <w:noWrap/>
            <w:vAlign w:val="bottom"/>
            <w:hideMark/>
          </w:tcPr>
          <w:p w14:paraId="1DDD625D"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7.9%</w:t>
            </w:r>
          </w:p>
        </w:tc>
        <w:tc>
          <w:tcPr>
            <w:tcW w:w="597" w:type="pct"/>
            <w:shd w:val="clear" w:color="auto" w:fill="auto"/>
            <w:noWrap/>
            <w:vAlign w:val="bottom"/>
            <w:hideMark/>
          </w:tcPr>
          <w:p w14:paraId="5113468D" w14:textId="77777777" w:rsidR="006F2AE8" w:rsidRPr="009C7D7F" w:rsidRDefault="006F2AE8" w:rsidP="009C7D7F">
            <w:pPr>
              <w:spacing w:before="60" w:after="60" w:line="264" w:lineRule="auto"/>
              <w:jc w:val="right"/>
              <w:rPr>
                <w:rFonts w:eastAsia="Times New Roman" w:cs="Arial"/>
                <w:color w:val="000000"/>
                <w:lang w:eastAsia="en-GB"/>
              </w:rPr>
            </w:pPr>
            <w:r w:rsidRPr="009C7D7F">
              <w:rPr>
                <w:rFonts w:eastAsia="Times New Roman" w:cs="Arial"/>
                <w:color w:val="000000"/>
                <w:lang w:eastAsia="en-GB"/>
              </w:rPr>
              <w:t> 185,586</w:t>
            </w:r>
          </w:p>
        </w:tc>
        <w:tc>
          <w:tcPr>
            <w:tcW w:w="749" w:type="pct"/>
            <w:shd w:val="clear" w:color="auto" w:fill="auto"/>
            <w:noWrap/>
            <w:vAlign w:val="bottom"/>
            <w:hideMark/>
          </w:tcPr>
          <w:p w14:paraId="6B8674F9"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0.3%</w:t>
            </w:r>
          </w:p>
        </w:tc>
        <w:tc>
          <w:tcPr>
            <w:tcW w:w="749" w:type="pct"/>
            <w:shd w:val="clear" w:color="auto" w:fill="auto"/>
            <w:noWrap/>
            <w:vAlign w:val="bottom"/>
            <w:hideMark/>
          </w:tcPr>
          <w:p w14:paraId="204267EC"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1.8%</w:t>
            </w:r>
          </w:p>
        </w:tc>
        <w:tc>
          <w:tcPr>
            <w:tcW w:w="392" w:type="pct"/>
            <w:shd w:val="clear" w:color="auto" w:fill="auto"/>
            <w:noWrap/>
            <w:vAlign w:val="bottom"/>
            <w:hideMark/>
          </w:tcPr>
          <w:p w14:paraId="2E999F21"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22.7%</w:t>
            </w:r>
          </w:p>
        </w:tc>
      </w:tr>
      <w:tr w:rsidR="006F2AE8" w:rsidRPr="009C7D7F" w14:paraId="600963B7" w14:textId="77777777" w:rsidTr="009C7D7F">
        <w:trPr>
          <w:trHeight w:val="290"/>
        </w:trPr>
        <w:tc>
          <w:tcPr>
            <w:tcW w:w="417" w:type="pct"/>
            <w:shd w:val="clear" w:color="auto" w:fill="auto"/>
            <w:noWrap/>
            <w:vAlign w:val="bottom"/>
            <w:hideMark/>
          </w:tcPr>
          <w:p w14:paraId="3381B253" w14:textId="77777777" w:rsidR="006F2AE8" w:rsidRPr="009C7D7F" w:rsidRDefault="006F2AE8" w:rsidP="009C7D7F">
            <w:pPr>
              <w:spacing w:before="60" w:after="60" w:line="264" w:lineRule="auto"/>
              <w:jc w:val="right"/>
              <w:rPr>
                <w:rFonts w:eastAsia="Times New Roman" w:cs="Arial"/>
                <w:color w:val="000000"/>
                <w:lang w:eastAsia="en-GB"/>
              </w:rPr>
            </w:pPr>
            <w:r w:rsidRPr="009C7D7F">
              <w:rPr>
                <w:rFonts w:eastAsia="Times New Roman" w:cs="Arial"/>
                <w:color w:val="000000"/>
                <w:lang w:eastAsia="en-GB"/>
              </w:rPr>
              <w:t>2020</w:t>
            </w:r>
          </w:p>
        </w:tc>
        <w:tc>
          <w:tcPr>
            <w:tcW w:w="597" w:type="pct"/>
            <w:shd w:val="clear" w:color="auto" w:fill="auto"/>
            <w:noWrap/>
            <w:vAlign w:val="bottom"/>
            <w:hideMark/>
          </w:tcPr>
          <w:p w14:paraId="11A2D726" w14:textId="77777777" w:rsidR="006F2AE8" w:rsidRPr="009C7D7F" w:rsidRDefault="006F2AE8" w:rsidP="009C7D7F">
            <w:pPr>
              <w:spacing w:before="60" w:after="60" w:line="264" w:lineRule="auto"/>
              <w:jc w:val="right"/>
              <w:rPr>
                <w:rFonts w:eastAsia="Times New Roman" w:cs="Arial"/>
                <w:color w:val="000000"/>
                <w:lang w:eastAsia="en-GB"/>
              </w:rPr>
            </w:pPr>
            <w:r w:rsidRPr="009C7D7F">
              <w:rPr>
                <w:rFonts w:eastAsia="Times New Roman" w:cs="Arial"/>
                <w:color w:val="000000"/>
                <w:lang w:eastAsia="en-GB"/>
              </w:rPr>
              <w:t> 711,308</w:t>
            </w:r>
          </w:p>
        </w:tc>
        <w:tc>
          <w:tcPr>
            <w:tcW w:w="749" w:type="pct"/>
            <w:shd w:val="clear" w:color="auto" w:fill="auto"/>
            <w:noWrap/>
            <w:vAlign w:val="bottom"/>
            <w:hideMark/>
          </w:tcPr>
          <w:p w14:paraId="2F247ABD"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1.2%</w:t>
            </w:r>
          </w:p>
        </w:tc>
        <w:tc>
          <w:tcPr>
            <w:tcW w:w="749" w:type="pct"/>
            <w:shd w:val="clear" w:color="auto" w:fill="auto"/>
            <w:noWrap/>
            <w:vAlign w:val="bottom"/>
            <w:hideMark/>
          </w:tcPr>
          <w:p w14:paraId="25856566"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6.7%</w:t>
            </w:r>
          </w:p>
        </w:tc>
        <w:tc>
          <w:tcPr>
            <w:tcW w:w="597" w:type="pct"/>
            <w:shd w:val="clear" w:color="auto" w:fill="auto"/>
            <w:noWrap/>
            <w:vAlign w:val="bottom"/>
            <w:hideMark/>
          </w:tcPr>
          <w:p w14:paraId="098FD180" w14:textId="77777777" w:rsidR="006F2AE8" w:rsidRPr="009C7D7F" w:rsidRDefault="006F2AE8" w:rsidP="009C7D7F">
            <w:pPr>
              <w:spacing w:before="60" w:after="60" w:line="264" w:lineRule="auto"/>
              <w:jc w:val="right"/>
              <w:rPr>
                <w:rFonts w:eastAsia="Times New Roman" w:cs="Arial"/>
                <w:color w:val="000000"/>
                <w:lang w:eastAsia="en-GB"/>
              </w:rPr>
            </w:pPr>
            <w:r w:rsidRPr="009C7D7F">
              <w:rPr>
                <w:rFonts w:eastAsia="Times New Roman" w:cs="Arial"/>
                <w:color w:val="000000"/>
                <w:lang w:eastAsia="en-GB"/>
              </w:rPr>
              <w:t> 179,262</w:t>
            </w:r>
          </w:p>
        </w:tc>
        <w:tc>
          <w:tcPr>
            <w:tcW w:w="749" w:type="pct"/>
            <w:shd w:val="clear" w:color="auto" w:fill="auto"/>
            <w:noWrap/>
            <w:vAlign w:val="bottom"/>
            <w:hideMark/>
          </w:tcPr>
          <w:p w14:paraId="6D64CE00"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0.3%</w:t>
            </w:r>
          </w:p>
        </w:tc>
        <w:tc>
          <w:tcPr>
            <w:tcW w:w="749" w:type="pct"/>
            <w:shd w:val="clear" w:color="auto" w:fill="auto"/>
            <w:noWrap/>
            <w:vAlign w:val="bottom"/>
            <w:hideMark/>
          </w:tcPr>
          <w:p w14:paraId="4F3FC02C"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1.7%</w:t>
            </w:r>
          </w:p>
        </w:tc>
        <w:tc>
          <w:tcPr>
            <w:tcW w:w="392" w:type="pct"/>
            <w:shd w:val="clear" w:color="auto" w:fill="auto"/>
            <w:noWrap/>
            <w:vAlign w:val="bottom"/>
            <w:hideMark/>
          </w:tcPr>
          <w:p w14:paraId="5BBC40A8"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25.2%</w:t>
            </w:r>
          </w:p>
        </w:tc>
      </w:tr>
      <w:tr w:rsidR="006F2AE8" w:rsidRPr="009C7D7F" w14:paraId="5F6A2ACC" w14:textId="77777777" w:rsidTr="009C7D7F">
        <w:trPr>
          <w:trHeight w:val="290"/>
        </w:trPr>
        <w:tc>
          <w:tcPr>
            <w:tcW w:w="417" w:type="pct"/>
            <w:shd w:val="clear" w:color="auto" w:fill="auto"/>
            <w:noWrap/>
            <w:vAlign w:val="bottom"/>
            <w:hideMark/>
          </w:tcPr>
          <w:p w14:paraId="634358E4" w14:textId="77777777" w:rsidR="006F2AE8" w:rsidRPr="009C7D7F" w:rsidRDefault="006F2AE8" w:rsidP="009C7D7F">
            <w:pPr>
              <w:spacing w:before="60" w:after="60" w:line="264" w:lineRule="auto"/>
              <w:jc w:val="right"/>
              <w:rPr>
                <w:rFonts w:eastAsia="Times New Roman" w:cs="Arial"/>
                <w:color w:val="000000"/>
                <w:lang w:eastAsia="en-GB"/>
              </w:rPr>
            </w:pPr>
            <w:r w:rsidRPr="009C7D7F">
              <w:rPr>
                <w:rFonts w:eastAsia="Times New Roman" w:cs="Arial"/>
                <w:color w:val="000000"/>
                <w:lang w:eastAsia="en-GB"/>
              </w:rPr>
              <w:t>2021</w:t>
            </w:r>
          </w:p>
        </w:tc>
        <w:tc>
          <w:tcPr>
            <w:tcW w:w="597" w:type="pct"/>
            <w:shd w:val="clear" w:color="auto" w:fill="auto"/>
            <w:noWrap/>
            <w:vAlign w:val="bottom"/>
            <w:hideMark/>
          </w:tcPr>
          <w:p w14:paraId="29B614DF" w14:textId="77777777" w:rsidR="006F2AE8" w:rsidRPr="009C7D7F" w:rsidRDefault="006F2AE8" w:rsidP="009C7D7F">
            <w:pPr>
              <w:spacing w:before="60" w:after="60" w:line="264" w:lineRule="auto"/>
              <w:jc w:val="right"/>
              <w:rPr>
                <w:rFonts w:eastAsia="Times New Roman" w:cs="Arial"/>
                <w:color w:val="000000"/>
                <w:lang w:eastAsia="en-GB"/>
              </w:rPr>
            </w:pPr>
            <w:r w:rsidRPr="009C7D7F">
              <w:rPr>
                <w:rFonts w:eastAsia="Times New Roman" w:cs="Arial"/>
                <w:color w:val="000000"/>
                <w:lang w:eastAsia="en-GB"/>
              </w:rPr>
              <w:t> 713,051</w:t>
            </w:r>
          </w:p>
        </w:tc>
        <w:tc>
          <w:tcPr>
            <w:tcW w:w="749" w:type="pct"/>
            <w:shd w:val="clear" w:color="auto" w:fill="auto"/>
            <w:noWrap/>
            <w:vAlign w:val="bottom"/>
            <w:hideMark/>
          </w:tcPr>
          <w:p w14:paraId="494B7405"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1.2%</w:t>
            </w:r>
          </w:p>
        </w:tc>
        <w:tc>
          <w:tcPr>
            <w:tcW w:w="749" w:type="pct"/>
            <w:shd w:val="clear" w:color="auto" w:fill="auto"/>
            <w:noWrap/>
            <w:vAlign w:val="bottom"/>
            <w:hideMark/>
          </w:tcPr>
          <w:p w14:paraId="6EAEC8D1"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6.7%</w:t>
            </w:r>
          </w:p>
        </w:tc>
        <w:tc>
          <w:tcPr>
            <w:tcW w:w="597" w:type="pct"/>
            <w:shd w:val="clear" w:color="auto" w:fill="auto"/>
            <w:noWrap/>
            <w:vAlign w:val="bottom"/>
            <w:hideMark/>
          </w:tcPr>
          <w:p w14:paraId="425AF46F" w14:textId="77777777" w:rsidR="006F2AE8" w:rsidRPr="009C7D7F" w:rsidRDefault="006F2AE8" w:rsidP="009C7D7F">
            <w:pPr>
              <w:spacing w:before="60" w:after="60" w:line="264" w:lineRule="auto"/>
              <w:jc w:val="right"/>
              <w:rPr>
                <w:rFonts w:eastAsia="Times New Roman" w:cs="Arial"/>
                <w:color w:val="000000"/>
                <w:lang w:eastAsia="en-GB"/>
              </w:rPr>
            </w:pPr>
            <w:r w:rsidRPr="009C7D7F">
              <w:rPr>
                <w:rFonts w:eastAsia="Times New Roman" w:cs="Arial"/>
                <w:color w:val="000000"/>
                <w:lang w:eastAsia="en-GB"/>
              </w:rPr>
              <w:t> 177,737</w:t>
            </w:r>
          </w:p>
        </w:tc>
        <w:tc>
          <w:tcPr>
            <w:tcW w:w="749" w:type="pct"/>
            <w:shd w:val="clear" w:color="auto" w:fill="auto"/>
            <w:noWrap/>
            <w:vAlign w:val="bottom"/>
            <w:hideMark/>
          </w:tcPr>
          <w:p w14:paraId="36601F91"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0.3%</w:t>
            </w:r>
          </w:p>
        </w:tc>
        <w:tc>
          <w:tcPr>
            <w:tcW w:w="749" w:type="pct"/>
            <w:shd w:val="clear" w:color="auto" w:fill="auto"/>
            <w:noWrap/>
            <w:vAlign w:val="bottom"/>
            <w:hideMark/>
          </w:tcPr>
          <w:p w14:paraId="20A7BDF7"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1.7%</w:t>
            </w:r>
          </w:p>
        </w:tc>
        <w:tc>
          <w:tcPr>
            <w:tcW w:w="392" w:type="pct"/>
            <w:shd w:val="clear" w:color="auto" w:fill="auto"/>
            <w:noWrap/>
            <w:vAlign w:val="bottom"/>
            <w:hideMark/>
          </w:tcPr>
          <w:p w14:paraId="5E2F80B9" w14:textId="77777777" w:rsidR="006F2AE8" w:rsidRPr="009C7D7F" w:rsidRDefault="006F2AE8" w:rsidP="009C7D7F">
            <w:pPr>
              <w:spacing w:before="60" w:after="60" w:line="264" w:lineRule="auto"/>
              <w:jc w:val="center"/>
              <w:rPr>
                <w:rFonts w:eastAsia="Times New Roman" w:cs="Arial"/>
                <w:color w:val="000000"/>
                <w:lang w:eastAsia="en-GB"/>
              </w:rPr>
            </w:pPr>
            <w:r w:rsidRPr="009C7D7F">
              <w:rPr>
                <w:rFonts w:eastAsia="Times New Roman" w:cs="Arial"/>
                <w:color w:val="000000"/>
                <w:lang w:eastAsia="en-GB"/>
              </w:rPr>
              <w:t>24.9%</w:t>
            </w:r>
          </w:p>
        </w:tc>
      </w:tr>
    </w:tbl>
    <w:p w14:paraId="76562A3B" w14:textId="61F02F25" w:rsidR="009C7D7F" w:rsidRDefault="009C7D7F" w:rsidP="009C7D7F">
      <w:pPr>
        <w:spacing w:before="240"/>
        <w:rPr>
          <w:rFonts w:cs="Arial"/>
          <w:iCs/>
          <w:shd w:val="clear" w:color="auto" w:fill="FFFFFF"/>
        </w:rPr>
      </w:pPr>
      <w:r>
        <w:rPr>
          <w:rFonts w:cs="Arial"/>
          <w:iCs/>
          <w:shd w:val="clear" w:color="auto" w:fill="FFFFFF"/>
        </w:rPr>
        <w:t xml:space="preserve">Of NSAID users aged 65 years and above, 177,737 (24.9%) had had oral NSAIDs prescribed for 12 or more months in the previous 24, meeting the working definition of long-term NSAID use. This equates to </w:t>
      </w:r>
      <w:r w:rsidRPr="005334CB">
        <w:rPr>
          <w:rFonts w:cs="Arial"/>
          <w:iCs/>
          <w:shd w:val="clear" w:color="auto" w:fill="FFFFFF"/>
        </w:rPr>
        <w:t>1.7</w:t>
      </w:r>
      <w:r w:rsidRPr="000B1D02">
        <w:rPr>
          <w:rFonts w:cs="Arial"/>
          <w:iCs/>
          <w:shd w:val="clear" w:color="auto" w:fill="FFFFFF"/>
        </w:rPr>
        <w:t>%</w:t>
      </w:r>
      <w:r>
        <w:rPr>
          <w:rFonts w:cs="Arial"/>
          <w:iCs/>
          <w:shd w:val="clear" w:color="auto" w:fill="FFFFFF"/>
        </w:rPr>
        <w:t xml:space="preserve"> of the registered population aged 65 years and above</w:t>
      </w:r>
      <w:r w:rsidRPr="00435462">
        <w:rPr>
          <w:rFonts w:cs="Arial"/>
          <w:iCs/>
          <w:shd w:val="clear" w:color="auto" w:fill="FFFFFF"/>
        </w:rPr>
        <w:t>.</w:t>
      </w:r>
      <w:r w:rsidRPr="00672999">
        <w:rPr>
          <w:rFonts w:cs="Arial"/>
          <w:iCs/>
          <w:shd w:val="clear" w:color="auto" w:fill="FFFFFF"/>
        </w:rPr>
        <w:t xml:space="preserve"> </w:t>
      </w:r>
      <w:r>
        <w:rPr>
          <w:rFonts w:cs="Arial"/>
          <w:iCs/>
          <w:shd w:val="clear" w:color="auto" w:fill="FFFFFF"/>
        </w:rPr>
        <w:t>Similar proportions of long-term use were seen when considering data for patients prescribed NSAIDs in 2020 and in 2019, as shown in Table 3.</w:t>
      </w:r>
      <w:r w:rsidRPr="009C7D7F">
        <w:rPr>
          <w:rFonts w:cs="Arial"/>
          <w:iCs/>
          <w:shd w:val="clear" w:color="auto" w:fill="FFFFFF"/>
        </w:rPr>
        <w:t xml:space="preserve"> </w:t>
      </w:r>
      <w:r>
        <w:rPr>
          <w:rFonts w:cs="Arial"/>
          <w:iCs/>
          <w:shd w:val="clear" w:color="auto" w:fill="FFFFFF"/>
        </w:rPr>
        <w:lastRenderedPageBreak/>
        <w:t>W</w:t>
      </w:r>
      <w:r w:rsidRPr="00DC6944">
        <w:rPr>
          <w:rFonts w:cs="Arial"/>
          <w:iCs/>
          <w:shd w:val="clear" w:color="auto" w:fill="FFFFFF"/>
        </w:rPr>
        <w:t xml:space="preserve">hen broken down by practice, approximately half of all practices </w:t>
      </w:r>
      <w:r>
        <w:rPr>
          <w:rFonts w:cs="Arial"/>
          <w:iCs/>
          <w:shd w:val="clear" w:color="auto" w:fill="FFFFFF"/>
        </w:rPr>
        <w:t>had 20 or more</w:t>
      </w:r>
      <w:r w:rsidRPr="00DC6944">
        <w:rPr>
          <w:rFonts w:cs="Arial"/>
          <w:iCs/>
          <w:shd w:val="clear" w:color="auto" w:fill="FFFFFF"/>
        </w:rPr>
        <w:t xml:space="preserve"> long-term NSAID users aged 65 and above.</w:t>
      </w:r>
    </w:p>
    <w:p w14:paraId="1326FDE4" w14:textId="42141959" w:rsidR="006F2AE8" w:rsidRPr="005221B2" w:rsidRDefault="006F2AE8" w:rsidP="0096687E">
      <w:pPr>
        <w:pStyle w:val="Heading4"/>
      </w:pPr>
      <w:r w:rsidRPr="005221B2">
        <w:t xml:space="preserve">Figure </w:t>
      </w:r>
      <w:r w:rsidR="0096687E">
        <w:t>6</w:t>
      </w:r>
      <w:r w:rsidRPr="005221B2">
        <w:t>. Patients aged 65 years and above who have received at least one prescription item for oral NSAIDs in year, by number of months prescribed NSAIDs in the previous 24 months, England, 2019 to 2021.</w:t>
      </w:r>
    </w:p>
    <w:p w14:paraId="3497F306" w14:textId="080CA481" w:rsidR="0096687E" w:rsidRDefault="006F2AE8" w:rsidP="006F2AE8">
      <w:pPr>
        <w:spacing w:before="240" w:line="240" w:lineRule="auto"/>
        <w:rPr>
          <w:rStyle w:val="Heading4Char"/>
        </w:rPr>
      </w:pPr>
      <w:r w:rsidRPr="009C7D7F">
        <w:rPr>
          <w:rStyle w:val="Heading4Char"/>
          <w:i/>
          <w:iCs w:val="0"/>
          <w:noProof/>
          <w:u w:val="none"/>
          <w:lang w:eastAsia="en-GB"/>
        </w:rPr>
        <w:drawing>
          <wp:inline distT="0" distB="0" distL="0" distR="0" wp14:anchorId="752C7090" wp14:editId="4CCAA0BD">
            <wp:extent cx="5544000" cy="3618000"/>
            <wp:effectExtent l="0" t="0" r="0" b="1905"/>
            <wp:docPr id="13" name="Picture 13" descr="Figure 6. Patients aged 65 years and above who have received at least one prescription item for oral NSAIDs in year, by number of months prescribed NSAIDs in the previous 24 months, England, 2019 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6. Patients aged 65 years and above who have received at least one prescription item for oral NSAIDs in year, by number of months prescribed NSAIDs in the previous 24 months, England, 2019 to 20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4000" cy="3618000"/>
                    </a:xfrm>
                    <a:prstGeom prst="rect">
                      <a:avLst/>
                    </a:prstGeom>
                    <a:noFill/>
                    <a:ln>
                      <a:noFill/>
                    </a:ln>
                  </pic:spPr>
                </pic:pic>
              </a:graphicData>
            </a:graphic>
          </wp:inline>
        </w:drawing>
      </w:r>
    </w:p>
    <w:p w14:paraId="5422DC54" w14:textId="443D5961" w:rsidR="009C7D7F" w:rsidRDefault="009C7D7F" w:rsidP="009C7D7F">
      <w:pPr>
        <w:spacing w:before="240"/>
        <w:rPr>
          <w:rFonts w:cs="Arial"/>
          <w:iCs/>
          <w:shd w:val="clear" w:color="auto" w:fill="FFFFFF"/>
        </w:rPr>
      </w:pPr>
      <w:r>
        <w:rPr>
          <w:rFonts w:cs="Arial"/>
          <w:iCs/>
          <w:shd w:val="clear" w:color="auto" w:fill="FFFFFF"/>
        </w:rPr>
        <w:t>For patients aged 65 years and above classed as long-term users  under this proposed definition, the mean number of months in which these patients aged 65 years and above had been prescribed NSAIDs in the last 24 months was 17.9 months</w:t>
      </w:r>
      <w:r w:rsidR="00E22903">
        <w:rPr>
          <w:rFonts w:cs="Arial"/>
          <w:iCs/>
          <w:shd w:val="clear" w:color="auto" w:fill="FFFFFF"/>
        </w:rPr>
        <w:t xml:space="preserve"> (Figure 7)</w:t>
      </w:r>
      <w:r>
        <w:rPr>
          <w:rFonts w:cs="Arial"/>
          <w:iCs/>
          <w:shd w:val="clear" w:color="auto" w:fill="FFFFFF"/>
        </w:rPr>
        <w:t>. As for</w:t>
      </w:r>
      <w:r w:rsidRPr="00D732BD">
        <w:rPr>
          <w:rFonts w:cs="Arial"/>
          <w:iCs/>
          <w:shd w:val="clear" w:color="auto" w:fill="FFFFFF"/>
        </w:rPr>
        <w:t xml:space="preserve"> the all-age population, the majority of long-term users tended to either have received prescription items for NSAIDs in just over 12 months, or just under 24 months, with 31.4% in</w:t>
      </w:r>
      <w:r>
        <w:rPr>
          <w:rFonts w:cs="Arial"/>
          <w:iCs/>
          <w:shd w:val="clear" w:color="auto" w:fill="FFFFFF"/>
        </w:rPr>
        <w:t xml:space="preserve"> 2020 having received items for between 12 and 14 months, and 29.0% having received items for between 22 and 24 months. Again, 2021 shows a notable increase at the upper end of the scale, with many more than would be expected based on the previous years’ data having received prescription items for NSAIDs in 23 or all 24 of the previous 24 months.</w:t>
      </w:r>
    </w:p>
    <w:p w14:paraId="680FB00B" w14:textId="77777777" w:rsidR="009C7D7F" w:rsidRDefault="009C7D7F" w:rsidP="006F2AE8">
      <w:pPr>
        <w:spacing w:before="240" w:line="240" w:lineRule="auto"/>
        <w:rPr>
          <w:rStyle w:val="Heading4Char"/>
        </w:rPr>
      </w:pPr>
    </w:p>
    <w:p w14:paraId="59E6D9A9" w14:textId="1A855723" w:rsidR="006F2AE8" w:rsidRDefault="006F2AE8" w:rsidP="0096687E">
      <w:pPr>
        <w:pStyle w:val="Heading4"/>
        <w:rPr>
          <w:rStyle w:val="Heading4Char"/>
          <w:i/>
          <w:iCs/>
        </w:rPr>
      </w:pPr>
      <w:r w:rsidRPr="00175312">
        <w:rPr>
          <w:rStyle w:val="Heading4Char"/>
        </w:rPr>
        <w:lastRenderedPageBreak/>
        <w:t xml:space="preserve">Figure </w:t>
      </w:r>
      <w:r w:rsidR="0096687E">
        <w:rPr>
          <w:rStyle w:val="Heading4Char"/>
        </w:rPr>
        <w:t>7</w:t>
      </w:r>
      <w:r w:rsidRPr="00175312">
        <w:rPr>
          <w:rStyle w:val="Heading4Char"/>
        </w:rPr>
        <w:t>. Patients aged 65 years and above who meet the proposed definition of long-term NSAID use by number of months prescribed NSAIDs in the previous 24 months, England, 2019 to 2021.</w:t>
      </w:r>
    </w:p>
    <w:p w14:paraId="08390D54" w14:textId="77777777" w:rsidR="006F2AE8" w:rsidRPr="00175312" w:rsidRDefault="006F2AE8" w:rsidP="006F2AE8">
      <w:pPr>
        <w:spacing w:before="240" w:line="240" w:lineRule="auto"/>
        <w:rPr>
          <w:rStyle w:val="Heading4Char"/>
        </w:rPr>
      </w:pPr>
      <w:r w:rsidRPr="009C7D7F">
        <w:rPr>
          <w:rStyle w:val="Heading4Char"/>
          <w:i/>
          <w:iCs w:val="0"/>
          <w:noProof/>
          <w:u w:val="none"/>
          <w:lang w:eastAsia="en-GB"/>
        </w:rPr>
        <w:drawing>
          <wp:inline distT="0" distB="0" distL="0" distR="0" wp14:anchorId="7359BA72" wp14:editId="4C62487A">
            <wp:extent cx="5544000" cy="3618000"/>
            <wp:effectExtent l="0" t="0" r="0" b="1905"/>
            <wp:docPr id="12" name="Picture 12" descr="Figure 7. Patients aged 65 years and above who meet the proposed definition of long-term NSAID use by number of months prescribed NSAIDs in the previous 24 months, England, 2019 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7. Patients aged 65 years and above who meet the proposed definition of long-term NSAID use by number of months prescribed NSAIDs in the previous 24 months, England, 2019 to 20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4000" cy="3618000"/>
                    </a:xfrm>
                    <a:prstGeom prst="rect">
                      <a:avLst/>
                    </a:prstGeom>
                    <a:noFill/>
                    <a:ln>
                      <a:noFill/>
                    </a:ln>
                  </pic:spPr>
                </pic:pic>
              </a:graphicData>
            </a:graphic>
          </wp:inline>
        </w:drawing>
      </w:r>
    </w:p>
    <w:p w14:paraId="0FC0F655" w14:textId="77777777" w:rsidR="006F2AE8" w:rsidRPr="0039058A" w:rsidRDefault="006F2AE8" w:rsidP="009C7D7F">
      <w:pPr>
        <w:spacing w:before="240"/>
        <w:rPr>
          <w:rFonts w:cs="Arial"/>
          <w:iCs/>
          <w:shd w:val="clear" w:color="auto" w:fill="FFFFFF"/>
        </w:rPr>
      </w:pPr>
      <w:r>
        <w:rPr>
          <w:rFonts w:cs="Arial"/>
          <w:iCs/>
          <w:shd w:val="clear" w:color="auto" w:fill="FFFFFF"/>
        </w:rPr>
        <w:t>In summary, if the working definition is applied only to those aged 65 years and above, proportionately more actual long-term users are likely to be missed then for the definition applied to all ages.</w:t>
      </w:r>
    </w:p>
    <w:p w14:paraId="78B6D1CC" w14:textId="77777777" w:rsidR="006F2AE8" w:rsidRPr="002D62E0" w:rsidRDefault="006F2AE8" w:rsidP="009C7D7F">
      <w:pPr>
        <w:pStyle w:val="ListParagraph"/>
        <w:numPr>
          <w:ilvl w:val="0"/>
          <w:numId w:val="11"/>
        </w:numPr>
        <w:spacing w:before="240"/>
        <w:ind w:left="357" w:hanging="357"/>
        <w:contextualSpacing w:val="0"/>
        <w:rPr>
          <w:u w:val="single"/>
          <w:shd w:val="clear" w:color="auto" w:fill="FFFFFF"/>
        </w:rPr>
      </w:pPr>
      <w:bookmarkStart w:id="5" w:name="_Hlk103322148"/>
      <w:r w:rsidRPr="002D62E0">
        <w:rPr>
          <w:u w:val="single"/>
          <w:shd w:val="clear" w:color="auto" w:fill="FFFFFF"/>
        </w:rPr>
        <w:t>Increased risk from concurrent prescribing: long-term users of oral NSAIDs who are also prescribed diuretics and ACE inhibitors or Angiotensin II receptor blockers</w:t>
      </w:r>
    </w:p>
    <w:bookmarkEnd w:id="5"/>
    <w:p w14:paraId="2141C84C" w14:textId="6ACE8F20" w:rsidR="006F2AE8" w:rsidRPr="004C0E0A" w:rsidRDefault="006F2AE8" w:rsidP="006F2AE8">
      <w:pPr>
        <w:rPr>
          <w:rFonts w:cs="Arial"/>
          <w:iCs/>
          <w:shd w:val="clear" w:color="auto" w:fill="FFFFFF"/>
        </w:rPr>
      </w:pPr>
      <w:r w:rsidRPr="00F0709B">
        <w:rPr>
          <w:rFonts w:cs="Arial"/>
          <w:iCs/>
          <w:shd w:val="clear" w:color="auto" w:fill="FFFFFF"/>
        </w:rPr>
        <w:t xml:space="preserve">A non-steroidal anti-inflammatory drug (NSAID), a renin-angiotensin system (RAS) drug, and a diuretic prescribed together </w:t>
      </w:r>
      <w:r>
        <w:rPr>
          <w:rFonts w:cs="Arial"/>
          <w:iCs/>
          <w:shd w:val="clear" w:color="auto" w:fill="FFFFFF"/>
        </w:rPr>
        <w:t>can increase the</w:t>
      </w:r>
      <w:r w:rsidRPr="00896721">
        <w:rPr>
          <w:rFonts w:cs="Arial"/>
          <w:iCs/>
          <w:shd w:val="clear" w:color="auto" w:fill="FFFFFF"/>
        </w:rPr>
        <w:t xml:space="preserve"> risk of community acquired acute kidney injury if the</w:t>
      </w:r>
      <w:r>
        <w:rPr>
          <w:rFonts w:cs="Arial"/>
          <w:iCs/>
          <w:shd w:val="clear" w:color="auto" w:fill="FFFFFF"/>
        </w:rPr>
        <w:t xml:space="preserve"> patient</w:t>
      </w:r>
      <w:r w:rsidRPr="00896721">
        <w:rPr>
          <w:rFonts w:cs="Arial"/>
          <w:iCs/>
          <w:shd w:val="clear" w:color="auto" w:fill="FFFFFF"/>
        </w:rPr>
        <w:t xml:space="preserve"> develop</w:t>
      </w:r>
      <w:r>
        <w:rPr>
          <w:rFonts w:cs="Arial"/>
          <w:iCs/>
          <w:shd w:val="clear" w:color="auto" w:fill="FFFFFF"/>
        </w:rPr>
        <w:t>s</w:t>
      </w:r>
      <w:r w:rsidRPr="00896721">
        <w:rPr>
          <w:rFonts w:cs="Arial"/>
          <w:iCs/>
          <w:shd w:val="clear" w:color="auto" w:fill="FFFFFF"/>
        </w:rPr>
        <w:t xml:space="preserve"> an illness associated with hypovolaemia or hypotension</w:t>
      </w:r>
      <w:r w:rsidRPr="00896721">
        <w:rPr>
          <w:rStyle w:val="FootnoteReference"/>
          <w:rFonts w:cs="Arial"/>
          <w:iCs/>
          <w:shd w:val="clear" w:color="auto" w:fill="FFFFFF"/>
        </w:rPr>
        <w:footnoteReference w:id="13"/>
      </w:r>
      <w:r w:rsidRPr="00896721">
        <w:rPr>
          <w:rFonts w:cs="Arial"/>
          <w:iCs/>
          <w:shd w:val="clear" w:color="auto" w:fill="FFFFFF"/>
        </w:rPr>
        <w:t xml:space="preserve">. </w:t>
      </w:r>
      <w:r>
        <w:rPr>
          <w:rFonts w:cs="Arial"/>
          <w:iCs/>
          <w:shd w:val="clear" w:color="auto" w:fill="FFFFFF"/>
        </w:rPr>
        <w:t xml:space="preserve">The NHSBSA Medication Safety Indicators show hospital admissions in England </w:t>
      </w:r>
      <w:r w:rsidRPr="004C0E0A">
        <w:rPr>
          <w:rFonts w:cs="Arial"/>
          <w:iCs/>
          <w:shd w:val="clear" w:color="auto" w:fill="FFFFFF"/>
        </w:rPr>
        <w:t xml:space="preserve">for acute kidney injury </w:t>
      </w:r>
      <w:r>
        <w:rPr>
          <w:rFonts w:cs="Arial"/>
          <w:iCs/>
          <w:shd w:val="clear" w:color="auto" w:fill="FFFFFF"/>
        </w:rPr>
        <w:t xml:space="preserve">where the patient had been </w:t>
      </w:r>
      <w:r>
        <w:t>prescribed a non-</w:t>
      </w:r>
      <w:r>
        <w:lastRenderedPageBreak/>
        <w:t>steroidal anti-inflammatory drug (NSAID), a renin-angiotensin system (RAS) drug and a diuret</w:t>
      </w:r>
      <w:r>
        <w:rPr>
          <w:rFonts w:cs="Arial"/>
          <w:iCs/>
          <w:shd w:val="clear" w:color="auto" w:fill="FFFFFF"/>
        </w:rPr>
        <w:t>ic. The most recent quarter (quarter 3 2021/22) reports 59 patients per 10,000</w:t>
      </w:r>
      <w:r>
        <w:rPr>
          <w:rStyle w:val="FootnoteReference"/>
          <w:rFonts w:cs="Arial"/>
          <w:iCs/>
          <w:shd w:val="clear" w:color="auto" w:fill="FFFFFF"/>
        </w:rPr>
        <w:footnoteReference w:id="14"/>
      </w:r>
      <w:r>
        <w:rPr>
          <w:rFonts w:cs="Arial"/>
          <w:iCs/>
          <w:shd w:val="clear" w:color="auto" w:fill="FFFFFF"/>
        </w:rPr>
        <w:t xml:space="preserve"> at increased risk. This means that </w:t>
      </w:r>
      <w:r>
        <w:t>for every 10,000 patients prescribed at least one of the three drugs (a non-steroidal anti-inflammatory drug (NSAID), a renin-angiotensin system (RAS) drug or a diuret</w:t>
      </w:r>
      <w:r>
        <w:rPr>
          <w:rFonts w:cs="Arial"/>
          <w:iCs/>
          <w:shd w:val="clear" w:color="auto" w:fill="FFFFFF"/>
        </w:rPr>
        <w:t>ic), 59 are prescribed all three.</w:t>
      </w:r>
      <w:r w:rsidR="00CF424D">
        <w:rPr>
          <w:rFonts w:cs="Arial"/>
          <w:iCs/>
          <w:shd w:val="clear" w:color="auto" w:fill="FFFFFF"/>
        </w:rPr>
        <w:t xml:space="preserve"> </w:t>
      </w:r>
      <w:r>
        <w:rPr>
          <w:rFonts w:cs="Arial"/>
          <w:iCs/>
          <w:shd w:val="clear" w:color="auto" w:fill="FFFFFF"/>
        </w:rPr>
        <w:t>Of those at increased risk, 14 per 10,000</w:t>
      </w:r>
      <w:r>
        <w:rPr>
          <w:rFonts w:cs="Arial"/>
          <w:iCs/>
          <w:shd w:val="clear" w:color="auto" w:fill="FFFFFF"/>
          <w:vertAlign w:val="superscript"/>
        </w:rPr>
        <w:t>5</w:t>
      </w:r>
      <w:r>
        <w:rPr>
          <w:rFonts w:cs="Arial"/>
          <w:iCs/>
          <w:shd w:val="clear" w:color="auto" w:fill="FFFFFF"/>
        </w:rPr>
        <w:t xml:space="preserve"> were admitted to hospital as an emergency, with a primary diagnosis of acute kidney injury. </w:t>
      </w:r>
    </w:p>
    <w:p w14:paraId="4EE48143" w14:textId="3C842622" w:rsidR="00CF424D" w:rsidRDefault="006F2AE8" w:rsidP="00CF424D">
      <w:pPr>
        <w:rPr>
          <w:rFonts w:cs="Arial"/>
          <w:iCs/>
          <w:shd w:val="clear" w:color="auto" w:fill="FFFFFF"/>
        </w:rPr>
      </w:pPr>
      <w:r>
        <w:rPr>
          <w:rFonts w:cs="Arial"/>
          <w:iCs/>
          <w:shd w:val="clear" w:color="auto" w:fill="FFFFFF"/>
        </w:rPr>
        <w:t xml:space="preserve">The prescribing data shows (Figure </w:t>
      </w:r>
      <w:r w:rsidR="0096687E">
        <w:rPr>
          <w:rFonts w:cs="Arial"/>
          <w:iCs/>
          <w:shd w:val="clear" w:color="auto" w:fill="FFFFFF"/>
        </w:rPr>
        <w:t>8</w:t>
      </w:r>
      <w:r>
        <w:rPr>
          <w:rFonts w:cs="Arial"/>
          <w:iCs/>
          <w:shd w:val="clear" w:color="auto" w:fill="FFFFFF"/>
        </w:rPr>
        <w:t xml:space="preserve">) that of all adult patients who met the working definition for long-term NSAID use in 2021, 40,640 (8.2%) also had at least one month where NSAIDs were prescribed in combination with diuretics and </w:t>
      </w:r>
      <w:r w:rsidRPr="00373E56">
        <w:rPr>
          <w:rFonts w:cs="Arial"/>
          <w:iCs/>
          <w:shd w:val="clear" w:color="auto" w:fill="FFFFFF"/>
        </w:rPr>
        <w:t xml:space="preserve">ACE </w:t>
      </w:r>
      <w:r w:rsidRPr="00896721">
        <w:rPr>
          <w:rFonts w:cs="Arial"/>
          <w:iCs/>
          <w:shd w:val="clear" w:color="auto" w:fill="FFFFFF"/>
        </w:rPr>
        <w:t xml:space="preserve">inhibitors or Angiotensin II receptor </w:t>
      </w:r>
      <w:r w:rsidRPr="005B4C24">
        <w:t>blockers. 4.5% of all long-term NSAID users had at least twelve months where NSAIDs were prescribed in combination, and 0.9% were prescribed all three medicine groups in all 24</w:t>
      </w:r>
      <w:r w:rsidR="00E22903" w:rsidRPr="005B4C24">
        <w:t xml:space="preserve"> months</w:t>
      </w:r>
      <w:r w:rsidRPr="005B4C24">
        <w:t xml:space="preserve"> of the previous</w:t>
      </w:r>
      <w:r>
        <w:rPr>
          <w:rFonts w:cs="Arial"/>
          <w:iCs/>
          <w:shd w:val="clear" w:color="auto" w:fill="FFFFFF"/>
        </w:rPr>
        <w:t xml:space="preserve"> 24. Similar proportions were seen in 2019 and 2020, with details shown in Table </w:t>
      </w:r>
      <w:r w:rsidR="0096687E">
        <w:rPr>
          <w:rFonts w:cs="Arial"/>
          <w:iCs/>
          <w:shd w:val="clear" w:color="auto" w:fill="FFFFFF"/>
        </w:rPr>
        <w:t>4</w:t>
      </w:r>
      <w:r>
        <w:rPr>
          <w:rFonts w:cs="Arial"/>
          <w:iCs/>
          <w:shd w:val="clear" w:color="auto" w:fill="FFFFFF"/>
        </w:rPr>
        <w:t>.</w:t>
      </w:r>
      <w:r w:rsidR="00CF424D" w:rsidRPr="00CF424D">
        <w:rPr>
          <w:rFonts w:cs="Arial"/>
          <w:iCs/>
          <w:shd w:val="clear" w:color="auto" w:fill="FFFFFF"/>
        </w:rPr>
        <w:t xml:space="preserve"> </w:t>
      </w:r>
    </w:p>
    <w:p w14:paraId="2555B6E1" w14:textId="5C26930F" w:rsidR="00CF424D" w:rsidRDefault="00CF424D" w:rsidP="00CF424D">
      <w:pPr>
        <w:rPr>
          <w:rFonts w:cs="Arial"/>
          <w:iCs/>
          <w:shd w:val="clear" w:color="auto" w:fill="FFFFFF"/>
        </w:rPr>
      </w:pPr>
      <w:r w:rsidRPr="00DC6944">
        <w:rPr>
          <w:rFonts w:cs="Arial"/>
          <w:iCs/>
          <w:shd w:val="clear" w:color="auto" w:fill="FFFFFF"/>
        </w:rPr>
        <w:t xml:space="preserve">When broken down by practice, </w:t>
      </w:r>
      <w:r>
        <w:rPr>
          <w:rFonts w:cs="Arial"/>
          <w:iCs/>
          <w:shd w:val="clear" w:color="auto" w:fill="FFFFFF"/>
        </w:rPr>
        <w:t>89% of practices had at least one patient who would meet the proposed definition for long-term NSAID use in 2021 who had been</w:t>
      </w:r>
      <w:r w:rsidRPr="00F35CE2">
        <w:rPr>
          <w:rFonts w:cs="Arial"/>
          <w:iCs/>
          <w:shd w:val="clear" w:color="auto" w:fill="FFFFFF"/>
        </w:rPr>
        <w:t xml:space="preserve"> prescribed all three medicine groups for at least one month in the previous 24</w:t>
      </w:r>
      <w:r>
        <w:rPr>
          <w:rFonts w:cs="Arial"/>
          <w:iCs/>
          <w:shd w:val="clear" w:color="auto" w:fill="FFFFFF"/>
        </w:rPr>
        <w:t>. Over one in five practices have at least ten of these patients.</w:t>
      </w:r>
    </w:p>
    <w:p w14:paraId="0DEA0BDB" w14:textId="77777777" w:rsidR="006F2AE8" w:rsidRPr="004929B5" w:rsidRDefault="006F2AE8" w:rsidP="006F2AE8"/>
    <w:p w14:paraId="34A93A10" w14:textId="07EDA333" w:rsidR="006F2AE8" w:rsidRPr="005221B2" w:rsidRDefault="006F2AE8" w:rsidP="0096687E">
      <w:pPr>
        <w:pStyle w:val="Heading4"/>
      </w:pPr>
      <w:r w:rsidRPr="005221B2">
        <w:lastRenderedPageBreak/>
        <w:t xml:space="preserve">Figure </w:t>
      </w:r>
      <w:r w:rsidR="0096687E">
        <w:t>8</w:t>
      </w:r>
      <w:r w:rsidRPr="005221B2">
        <w:t xml:space="preserve">. Patients who meet the proposed definition of long-term NSAID use and who were prescribed </w:t>
      </w:r>
      <w:r w:rsidRPr="005221B2">
        <w:rPr>
          <w:rFonts w:cs="Arial"/>
          <w:shd w:val="clear" w:color="auto" w:fill="FFFFFF"/>
        </w:rPr>
        <w:t>a non-steroidal anti-inflammatory drug (NSAID), a renin-angiotensin system (RAS) drug, and a diuretic,</w:t>
      </w:r>
      <w:r w:rsidRPr="005221B2">
        <w:t xml:space="preserve"> by number of months prescribed all 3 medicine groups in the previous 24 months, England, 2021.</w:t>
      </w:r>
    </w:p>
    <w:p w14:paraId="5B253F71" w14:textId="77777777" w:rsidR="006F2AE8" w:rsidRPr="00E71704" w:rsidRDefault="006F2AE8" w:rsidP="006F2AE8">
      <w:pPr>
        <w:spacing w:before="240" w:line="240" w:lineRule="auto"/>
        <w:rPr>
          <w:rFonts w:cstheme="minorHAnsi"/>
          <w:b/>
          <w:i/>
          <w:sz w:val="22"/>
          <w:szCs w:val="24"/>
        </w:rPr>
      </w:pPr>
      <w:r w:rsidRPr="00A8794F">
        <w:rPr>
          <w:noProof/>
          <w:lang w:eastAsia="en-GB"/>
        </w:rPr>
        <w:drawing>
          <wp:inline distT="0" distB="0" distL="0" distR="0" wp14:anchorId="7E26B5E9" wp14:editId="2AD956B7">
            <wp:extent cx="5547600" cy="3621600"/>
            <wp:effectExtent l="0" t="0" r="0" b="0"/>
            <wp:docPr id="1" name="Picture 1" descr="Figure 8. Patients who meet the proposed definition of long-term NSAID use and who were prescribed a non-steroidal anti-inflammatory drug (NSAID), a renin-angiotensin system (RAS) drug, and a diuretic, by number of months prescribed all 3 medicine groups in the previous 24 months, England,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8. Patients who meet the proposed definition of long-term NSAID use and who were prescribed a non-steroidal anti-inflammatory drug (NSAID), a renin-angiotensin system (RAS) drug, and a diuretic, by number of months prescribed all 3 medicine groups in the previous 24 months, England, 20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47600" cy="3621600"/>
                    </a:xfrm>
                    <a:prstGeom prst="rect">
                      <a:avLst/>
                    </a:prstGeom>
                    <a:noFill/>
                    <a:ln>
                      <a:noFill/>
                    </a:ln>
                  </pic:spPr>
                </pic:pic>
              </a:graphicData>
            </a:graphic>
          </wp:inline>
        </w:drawing>
      </w:r>
    </w:p>
    <w:p w14:paraId="42E24AF7" w14:textId="77777777" w:rsidR="00CF424D" w:rsidRPr="005221B2" w:rsidRDefault="00CF424D" w:rsidP="00CF424D">
      <w:pPr>
        <w:pStyle w:val="Heading4"/>
        <w:spacing w:before="360"/>
        <w:rPr>
          <w:rFonts w:eastAsiaTheme="minorHAnsi"/>
        </w:rPr>
      </w:pPr>
      <w:r w:rsidRPr="005221B2">
        <w:rPr>
          <w:rFonts w:eastAsiaTheme="minorHAnsi"/>
        </w:rPr>
        <w:t xml:space="preserve">Table </w:t>
      </w:r>
      <w:r>
        <w:rPr>
          <w:rFonts w:eastAsiaTheme="minorHAnsi"/>
        </w:rPr>
        <w:t>4</w:t>
      </w:r>
      <w:r w:rsidRPr="005221B2">
        <w:rPr>
          <w:rFonts w:eastAsiaTheme="minorHAnsi"/>
        </w:rPr>
        <w:t>. Numbers and percentages of NSAID long-term users who were also prescribed diuretics and ACE inhibitors or Angiotensin II receptor blockers in England, 2019 to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291"/>
        <w:gridCol w:w="1343"/>
        <w:gridCol w:w="1209"/>
        <w:gridCol w:w="1425"/>
        <w:gridCol w:w="1268"/>
        <w:gridCol w:w="1366"/>
      </w:tblGrid>
      <w:tr w:rsidR="00CF424D" w:rsidRPr="00CF424D" w14:paraId="270EBCAC" w14:textId="77777777" w:rsidTr="00CF424D">
        <w:trPr>
          <w:trHeight w:val="1130"/>
        </w:trPr>
        <w:tc>
          <w:tcPr>
            <w:tcW w:w="1114" w:type="dxa"/>
            <w:vMerge w:val="restart"/>
            <w:shd w:val="clear" w:color="auto" w:fill="auto"/>
            <w:noWrap/>
            <w:vAlign w:val="bottom"/>
            <w:hideMark/>
          </w:tcPr>
          <w:p w14:paraId="7E62CBB4" w14:textId="77777777" w:rsidR="00CF424D" w:rsidRPr="00CF424D" w:rsidRDefault="00CF424D" w:rsidP="0058230B">
            <w:pPr>
              <w:spacing w:after="0" w:line="264" w:lineRule="auto"/>
              <w:jc w:val="right"/>
              <w:rPr>
                <w:rFonts w:eastAsia="Times New Roman" w:cs="Arial"/>
                <w:b/>
                <w:color w:val="000000"/>
                <w:lang w:eastAsia="en-GB"/>
              </w:rPr>
            </w:pPr>
            <w:bookmarkStart w:id="6" w:name="_Hlk104189107" w:colFirst="1" w:colLast="5"/>
            <w:r w:rsidRPr="00CF424D">
              <w:rPr>
                <w:rFonts w:eastAsia="Times New Roman" w:cs="Arial"/>
                <w:b/>
                <w:color w:val="000000"/>
                <w:lang w:eastAsia="en-GB"/>
              </w:rPr>
              <w:t> Year</w:t>
            </w:r>
          </w:p>
        </w:tc>
        <w:tc>
          <w:tcPr>
            <w:tcW w:w="2634" w:type="dxa"/>
            <w:gridSpan w:val="2"/>
            <w:shd w:val="clear" w:color="auto" w:fill="auto"/>
            <w:vAlign w:val="bottom"/>
            <w:hideMark/>
          </w:tcPr>
          <w:p w14:paraId="2F2DC0C3" w14:textId="77777777" w:rsidR="00CF424D" w:rsidRPr="00CF424D" w:rsidRDefault="00CF424D" w:rsidP="0058230B">
            <w:pPr>
              <w:spacing w:after="0" w:line="264" w:lineRule="auto"/>
              <w:jc w:val="center"/>
              <w:rPr>
                <w:rFonts w:eastAsia="Times New Roman" w:cs="Arial"/>
                <w:color w:val="000000"/>
                <w:lang w:eastAsia="en-GB"/>
              </w:rPr>
            </w:pPr>
            <w:r w:rsidRPr="00CF424D">
              <w:rPr>
                <w:rFonts w:eastAsia="Times New Roman" w:cs="Arial"/>
                <w:color w:val="000000"/>
                <w:lang w:eastAsia="en-GB"/>
              </w:rPr>
              <w:t xml:space="preserve">Long-term NSAID users who were also prescribed diuretics and ACE inhibitors or Angiotensin II receptor blockers for </w:t>
            </w:r>
            <w:r w:rsidRPr="00CF424D">
              <w:rPr>
                <w:rFonts w:eastAsia="Times New Roman" w:cs="Arial"/>
                <w:b/>
                <w:bCs/>
                <w:color w:val="000000"/>
                <w:lang w:eastAsia="en-GB"/>
              </w:rPr>
              <w:t>at least one month</w:t>
            </w:r>
            <w:r w:rsidRPr="00CF424D">
              <w:rPr>
                <w:rFonts w:eastAsia="Times New Roman" w:cs="Arial"/>
                <w:color w:val="000000"/>
                <w:lang w:eastAsia="en-GB"/>
              </w:rPr>
              <w:t xml:space="preserve"> in the previous 24</w:t>
            </w:r>
          </w:p>
        </w:tc>
        <w:tc>
          <w:tcPr>
            <w:tcW w:w="2634" w:type="dxa"/>
            <w:gridSpan w:val="2"/>
            <w:shd w:val="clear" w:color="auto" w:fill="auto"/>
            <w:vAlign w:val="bottom"/>
            <w:hideMark/>
          </w:tcPr>
          <w:p w14:paraId="0948C2CC" w14:textId="77777777" w:rsidR="00CF424D" w:rsidRPr="00CF424D" w:rsidRDefault="00CF424D" w:rsidP="0058230B">
            <w:pPr>
              <w:spacing w:after="0" w:line="264" w:lineRule="auto"/>
              <w:jc w:val="center"/>
              <w:rPr>
                <w:rFonts w:eastAsia="Times New Roman" w:cs="Arial"/>
                <w:color w:val="000000"/>
                <w:lang w:eastAsia="en-GB"/>
              </w:rPr>
            </w:pPr>
            <w:r w:rsidRPr="00CF424D">
              <w:rPr>
                <w:rFonts w:eastAsia="Times New Roman" w:cs="Arial"/>
                <w:color w:val="000000"/>
                <w:lang w:eastAsia="en-GB"/>
              </w:rPr>
              <w:t xml:space="preserve">Long-term NSAID users who were also prescribed diuretics and ACE inhibitors or Angiotensin II receptor blockers for </w:t>
            </w:r>
            <w:r w:rsidRPr="00CF424D">
              <w:rPr>
                <w:rFonts w:eastAsia="Times New Roman" w:cs="Arial"/>
                <w:b/>
                <w:bCs/>
                <w:color w:val="000000"/>
                <w:lang w:eastAsia="en-GB"/>
              </w:rPr>
              <w:t>at least 12 months</w:t>
            </w:r>
            <w:r w:rsidRPr="00CF424D">
              <w:rPr>
                <w:rFonts w:eastAsia="Times New Roman" w:cs="Arial"/>
                <w:color w:val="000000"/>
                <w:lang w:eastAsia="en-GB"/>
              </w:rPr>
              <w:t xml:space="preserve"> in the previous 24</w:t>
            </w:r>
          </w:p>
        </w:tc>
        <w:tc>
          <w:tcPr>
            <w:tcW w:w="2634" w:type="dxa"/>
            <w:gridSpan w:val="2"/>
            <w:shd w:val="clear" w:color="auto" w:fill="auto"/>
            <w:vAlign w:val="bottom"/>
            <w:hideMark/>
          </w:tcPr>
          <w:p w14:paraId="4765CA4D" w14:textId="77777777" w:rsidR="00CF424D" w:rsidRPr="00CF424D" w:rsidRDefault="00CF424D" w:rsidP="0058230B">
            <w:pPr>
              <w:spacing w:after="0" w:line="264" w:lineRule="auto"/>
              <w:jc w:val="center"/>
              <w:rPr>
                <w:rFonts w:eastAsia="Times New Roman" w:cs="Arial"/>
                <w:color w:val="000000"/>
                <w:lang w:eastAsia="en-GB"/>
              </w:rPr>
            </w:pPr>
            <w:r w:rsidRPr="00CF424D">
              <w:rPr>
                <w:rFonts w:eastAsia="Times New Roman" w:cs="Arial"/>
                <w:color w:val="000000"/>
                <w:lang w:eastAsia="en-GB"/>
              </w:rPr>
              <w:t xml:space="preserve">Long-term NSAID users who were also prescribed diuretics and ACE inhibitors or Angiotensin II receptor blockers for </w:t>
            </w:r>
            <w:r w:rsidRPr="00CF424D">
              <w:rPr>
                <w:rFonts w:eastAsia="Times New Roman" w:cs="Arial"/>
                <w:b/>
                <w:bCs/>
                <w:color w:val="000000"/>
                <w:lang w:eastAsia="en-GB"/>
              </w:rPr>
              <w:t>all 24</w:t>
            </w:r>
            <w:r w:rsidRPr="00CF424D">
              <w:rPr>
                <w:rFonts w:eastAsia="Times New Roman" w:cs="Arial"/>
                <w:color w:val="000000"/>
                <w:lang w:eastAsia="en-GB"/>
              </w:rPr>
              <w:t xml:space="preserve"> of the previous 24 months</w:t>
            </w:r>
          </w:p>
        </w:tc>
      </w:tr>
      <w:bookmarkEnd w:id="6"/>
      <w:tr w:rsidR="00CF424D" w:rsidRPr="00CF424D" w14:paraId="6BD62E9C" w14:textId="77777777" w:rsidTr="00CF424D">
        <w:trPr>
          <w:trHeight w:val="570"/>
        </w:trPr>
        <w:tc>
          <w:tcPr>
            <w:tcW w:w="1114" w:type="dxa"/>
            <w:vMerge/>
            <w:vAlign w:val="center"/>
            <w:hideMark/>
          </w:tcPr>
          <w:p w14:paraId="7B68DE02" w14:textId="77777777" w:rsidR="00CF424D" w:rsidRPr="00CF424D" w:rsidRDefault="00CF424D" w:rsidP="0058230B">
            <w:pPr>
              <w:spacing w:after="0" w:line="264" w:lineRule="auto"/>
              <w:rPr>
                <w:rFonts w:eastAsia="Times New Roman" w:cs="Arial"/>
                <w:color w:val="000000"/>
                <w:lang w:eastAsia="en-GB"/>
              </w:rPr>
            </w:pPr>
          </w:p>
        </w:tc>
        <w:tc>
          <w:tcPr>
            <w:tcW w:w="1291" w:type="dxa"/>
            <w:shd w:val="clear" w:color="auto" w:fill="auto"/>
            <w:vAlign w:val="bottom"/>
            <w:hideMark/>
          </w:tcPr>
          <w:p w14:paraId="0119F688" w14:textId="77777777" w:rsidR="00CF424D" w:rsidRPr="00CF424D" w:rsidRDefault="00CF424D" w:rsidP="0058230B">
            <w:pPr>
              <w:spacing w:after="0" w:line="264" w:lineRule="auto"/>
              <w:jc w:val="center"/>
              <w:rPr>
                <w:rFonts w:eastAsia="Times New Roman" w:cs="Arial"/>
                <w:b/>
                <w:color w:val="000000"/>
                <w:lang w:eastAsia="en-GB"/>
              </w:rPr>
            </w:pPr>
            <w:r w:rsidRPr="00CF424D">
              <w:rPr>
                <w:rFonts w:eastAsia="Times New Roman" w:cs="Arial"/>
                <w:b/>
                <w:color w:val="000000"/>
                <w:lang w:eastAsia="en-GB"/>
              </w:rPr>
              <w:t>Number</w:t>
            </w:r>
          </w:p>
        </w:tc>
        <w:tc>
          <w:tcPr>
            <w:tcW w:w="1343" w:type="dxa"/>
            <w:shd w:val="clear" w:color="auto" w:fill="auto"/>
            <w:vAlign w:val="bottom"/>
            <w:hideMark/>
          </w:tcPr>
          <w:p w14:paraId="5C136000" w14:textId="77777777" w:rsidR="00CF424D" w:rsidRPr="00CF424D" w:rsidRDefault="00CF424D" w:rsidP="0058230B">
            <w:pPr>
              <w:spacing w:after="0" w:line="264" w:lineRule="auto"/>
              <w:jc w:val="center"/>
              <w:rPr>
                <w:rFonts w:eastAsia="Times New Roman" w:cs="Arial"/>
                <w:b/>
                <w:color w:val="000000"/>
                <w:sz w:val="23"/>
                <w:szCs w:val="23"/>
                <w:lang w:eastAsia="en-GB"/>
              </w:rPr>
            </w:pPr>
            <w:r w:rsidRPr="00CF424D">
              <w:rPr>
                <w:rFonts w:eastAsia="Times New Roman" w:cs="Arial"/>
                <w:b/>
                <w:color w:val="000000"/>
                <w:sz w:val="22"/>
                <w:szCs w:val="23"/>
                <w:lang w:eastAsia="en-GB"/>
              </w:rPr>
              <w:t xml:space="preserve">% </w:t>
            </w:r>
            <w:proofErr w:type="gramStart"/>
            <w:r w:rsidRPr="00CF424D">
              <w:rPr>
                <w:rFonts w:eastAsia="Times New Roman" w:cs="Arial"/>
                <w:b/>
                <w:color w:val="000000"/>
                <w:sz w:val="22"/>
                <w:szCs w:val="23"/>
                <w:lang w:eastAsia="en-GB"/>
              </w:rPr>
              <w:t>of</w:t>
            </w:r>
            <w:proofErr w:type="gramEnd"/>
            <w:r w:rsidRPr="00CF424D">
              <w:rPr>
                <w:rFonts w:eastAsia="Times New Roman" w:cs="Arial"/>
                <w:b/>
                <w:color w:val="000000"/>
                <w:sz w:val="22"/>
                <w:szCs w:val="23"/>
                <w:lang w:eastAsia="en-GB"/>
              </w:rPr>
              <w:t xml:space="preserve"> long-term NSAID users</w:t>
            </w:r>
          </w:p>
        </w:tc>
        <w:tc>
          <w:tcPr>
            <w:tcW w:w="1209" w:type="dxa"/>
            <w:shd w:val="clear" w:color="auto" w:fill="auto"/>
            <w:vAlign w:val="bottom"/>
            <w:hideMark/>
          </w:tcPr>
          <w:p w14:paraId="6E56BA5D" w14:textId="77777777" w:rsidR="00CF424D" w:rsidRPr="00CF424D" w:rsidRDefault="00CF424D" w:rsidP="0058230B">
            <w:pPr>
              <w:spacing w:after="0" w:line="264" w:lineRule="auto"/>
              <w:jc w:val="center"/>
              <w:rPr>
                <w:rFonts w:eastAsia="Times New Roman" w:cs="Arial"/>
                <w:b/>
                <w:color w:val="000000"/>
                <w:lang w:eastAsia="en-GB"/>
              </w:rPr>
            </w:pPr>
            <w:r w:rsidRPr="00CF424D">
              <w:rPr>
                <w:rFonts w:eastAsia="Times New Roman" w:cs="Arial"/>
                <w:b/>
                <w:color w:val="000000"/>
                <w:lang w:eastAsia="en-GB"/>
              </w:rPr>
              <w:t>Number</w:t>
            </w:r>
          </w:p>
        </w:tc>
        <w:tc>
          <w:tcPr>
            <w:tcW w:w="1425" w:type="dxa"/>
            <w:shd w:val="clear" w:color="auto" w:fill="auto"/>
            <w:vAlign w:val="bottom"/>
            <w:hideMark/>
          </w:tcPr>
          <w:p w14:paraId="10386957" w14:textId="77777777" w:rsidR="00CF424D" w:rsidRPr="00CF424D" w:rsidRDefault="00CF424D" w:rsidP="0058230B">
            <w:pPr>
              <w:spacing w:after="0" w:line="264" w:lineRule="auto"/>
              <w:jc w:val="center"/>
              <w:rPr>
                <w:rFonts w:eastAsia="Times New Roman" w:cs="Arial"/>
                <w:b/>
                <w:color w:val="000000"/>
                <w:sz w:val="23"/>
                <w:szCs w:val="23"/>
                <w:lang w:eastAsia="en-GB"/>
              </w:rPr>
            </w:pPr>
            <w:r w:rsidRPr="00CF424D">
              <w:rPr>
                <w:rFonts w:eastAsia="Times New Roman" w:cs="Arial"/>
                <w:b/>
                <w:color w:val="000000"/>
                <w:sz w:val="22"/>
                <w:szCs w:val="23"/>
                <w:lang w:eastAsia="en-GB"/>
              </w:rPr>
              <w:t xml:space="preserve">% </w:t>
            </w:r>
            <w:proofErr w:type="gramStart"/>
            <w:r w:rsidRPr="00CF424D">
              <w:rPr>
                <w:rFonts w:eastAsia="Times New Roman" w:cs="Arial"/>
                <w:b/>
                <w:color w:val="000000"/>
                <w:sz w:val="22"/>
                <w:szCs w:val="23"/>
                <w:lang w:eastAsia="en-GB"/>
              </w:rPr>
              <w:t>of</w:t>
            </w:r>
            <w:proofErr w:type="gramEnd"/>
            <w:r w:rsidRPr="00CF424D">
              <w:rPr>
                <w:rFonts w:eastAsia="Times New Roman" w:cs="Arial"/>
                <w:b/>
                <w:color w:val="000000"/>
                <w:sz w:val="22"/>
                <w:szCs w:val="23"/>
                <w:lang w:eastAsia="en-GB"/>
              </w:rPr>
              <w:t xml:space="preserve"> long-term NSAID users</w:t>
            </w:r>
          </w:p>
        </w:tc>
        <w:tc>
          <w:tcPr>
            <w:tcW w:w="1268" w:type="dxa"/>
            <w:shd w:val="clear" w:color="auto" w:fill="auto"/>
            <w:vAlign w:val="bottom"/>
            <w:hideMark/>
          </w:tcPr>
          <w:p w14:paraId="5F2DE347" w14:textId="77777777" w:rsidR="00CF424D" w:rsidRPr="00CF424D" w:rsidRDefault="00CF424D" w:rsidP="0058230B">
            <w:pPr>
              <w:spacing w:after="0" w:line="264" w:lineRule="auto"/>
              <w:jc w:val="center"/>
              <w:rPr>
                <w:rFonts w:eastAsia="Times New Roman" w:cs="Arial"/>
                <w:b/>
                <w:color w:val="000000"/>
                <w:lang w:eastAsia="en-GB"/>
              </w:rPr>
            </w:pPr>
            <w:r w:rsidRPr="00CF424D">
              <w:rPr>
                <w:rFonts w:eastAsia="Times New Roman" w:cs="Arial"/>
                <w:b/>
                <w:color w:val="000000"/>
                <w:lang w:eastAsia="en-GB"/>
              </w:rPr>
              <w:t>Number</w:t>
            </w:r>
          </w:p>
        </w:tc>
        <w:tc>
          <w:tcPr>
            <w:tcW w:w="1366" w:type="dxa"/>
            <w:shd w:val="clear" w:color="auto" w:fill="auto"/>
            <w:vAlign w:val="bottom"/>
            <w:hideMark/>
          </w:tcPr>
          <w:p w14:paraId="7E750F3A" w14:textId="77777777" w:rsidR="00CF424D" w:rsidRPr="00CF424D" w:rsidRDefault="00CF424D" w:rsidP="0058230B">
            <w:pPr>
              <w:spacing w:after="0" w:line="264" w:lineRule="auto"/>
              <w:jc w:val="center"/>
              <w:rPr>
                <w:rFonts w:eastAsia="Times New Roman" w:cs="Arial"/>
                <w:b/>
                <w:color w:val="000000"/>
                <w:sz w:val="23"/>
                <w:szCs w:val="23"/>
                <w:lang w:eastAsia="en-GB"/>
              </w:rPr>
            </w:pPr>
            <w:r w:rsidRPr="00CF424D">
              <w:rPr>
                <w:rFonts w:eastAsia="Times New Roman" w:cs="Arial"/>
                <w:b/>
                <w:color w:val="000000"/>
                <w:sz w:val="22"/>
                <w:szCs w:val="23"/>
                <w:lang w:eastAsia="en-GB"/>
              </w:rPr>
              <w:t xml:space="preserve">% </w:t>
            </w:r>
            <w:proofErr w:type="gramStart"/>
            <w:r w:rsidRPr="00CF424D">
              <w:rPr>
                <w:rFonts w:eastAsia="Times New Roman" w:cs="Arial"/>
                <w:b/>
                <w:color w:val="000000"/>
                <w:sz w:val="22"/>
                <w:szCs w:val="23"/>
                <w:lang w:eastAsia="en-GB"/>
              </w:rPr>
              <w:t>of</w:t>
            </w:r>
            <w:proofErr w:type="gramEnd"/>
            <w:r w:rsidRPr="00CF424D">
              <w:rPr>
                <w:rFonts w:eastAsia="Times New Roman" w:cs="Arial"/>
                <w:b/>
                <w:color w:val="000000"/>
                <w:sz w:val="22"/>
                <w:szCs w:val="23"/>
                <w:lang w:eastAsia="en-GB"/>
              </w:rPr>
              <w:t xml:space="preserve"> long-term NSAID users</w:t>
            </w:r>
          </w:p>
        </w:tc>
      </w:tr>
      <w:tr w:rsidR="00CF424D" w:rsidRPr="00CF424D" w14:paraId="6CE3D192" w14:textId="77777777" w:rsidTr="00CF424D">
        <w:trPr>
          <w:trHeight w:val="289"/>
        </w:trPr>
        <w:tc>
          <w:tcPr>
            <w:tcW w:w="1114" w:type="dxa"/>
            <w:shd w:val="clear" w:color="auto" w:fill="auto"/>
            <w:noWrap/>
            <w:vAlign w:val="bottom"/>
            <w:hideMark/>
          </w:tcPr>
          <w:p w14:paraId="12C71155" w14:textId="7F6A1AA2" w:rsidR="00CF424D" w:rsidRPr="00CF424D" w:rsidRDefault="00CF424D" w:rsidP="00CF424D">
            <w:pPr>
              <w:spacing w:before="60" w:after="60" w:line="264" w:lineRule="auto"/>
              <w:jc w:val="right"/>
              <w:rPr>
                <w:rFonts w:eastAsia="Times New Roman" w:cs="Arial"/>
                <w:color w:val="000000"/>
                <w:lang w:eastAsia="en-GB"/>
              </w:rPr>
            </w:pPr>
            <w:r>
              <w:rPr>
                <w:rFonts w:eastAsia="Times New Roman" w:cs="Arial"/>
                <w:color w:val="000000"/>
                <w:lang w:eastAsia="en-GB"/>
              </w:rPr>
              <w:t>2019</w:t>
            </w:r>
          </w:p>
        </w:tc>
        <w:tc>
          <w:tcPr>
            <w:tcW w:w="1291" w:type="dxa"/>
            <w:shd w:val="clear" w:color="auto" w:fill="auto"/>
            <w:noWrap/>
            <w:vAlign w:val="bottom"/>
            <w:hideMark/>
          </w:tcPr>
          <w:p w14:paraId="79F0AAB0" w14:textId="4F00D9F6"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46,663</w:t>
            </w:r>
          </w:p>
        </w:tc>
        <w:tc>
          <w:tcPr>
            <w:tcW w:w="1343" w:type="dxa"/>
            <w:shd w:val="clear" w:color="auto" w:fill="auto"/>
            <w:noWrap/>
            <w:vAlign w:val="bottom"/>
            <w:hideMark/>
          </w:tcPr>
          <w:p w14:paraId="20D126B6" w14:textId="77777777" w:rsidR="00CF424D" w:rsidRPr="00CF424D" w:rsidRDefault="00CF424D" w:rsidP="00CF424D">
            <w:pPr>
              <w:spacing w:before="60" w:after="60" w:line="264" w:lineRule="auto"/>
              <w:jc w:val="center"/>
              <w:rPr>
                <w:rFonts w:eastAsia="Times New Roman" w:cs="Arial"/>
                <w:color w:val="000000"/>
                <w:lang w:eastAsia="en-GB"/>
              </w:rPr>
            </w:pPr>
            <w:r w:rsidRPr="00CF424D">
              <w:rPr>
                <w:rFonts w:eastAsia="Times New Roman" w:cs="Arial"/>
                <w:color w:val="000000"/>
                <w:lang w:eastAsia="en-GB"/>
              </w:rPr>
              <w:t>9.5%</w:t>
            </w:r>
          </w:p>
        </w:tc>
        <w:tc>
          <w:tcPr>
            <w:tcW w:w="1209" w:type="dxa"/>
            <w:shd w:val="clear" w:color="auto" w:fill="auto"/>
            <w:noWrap/>
            <w:vAlign w:val="bottom"/>
            <w:hideMark/>
          </w:tcPr>
          <w:p w14:paraId="12C6E8DD" w14:textId="32127F02"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 xml:space="preserve">24,722 </w:t>
            </w:r>
          </w:p>
        </w:tc>
        <w:tc>
          <w:tcPr>
            <w:tcW w:w="1425" w:type="dxa"/>
            <w:shd w:val="clear" w:color="auto" w:fill="auto"/>
            <w:noWrap/>
            <w:vAlign w:val="bottom"/>
            <w:hideMark/>
          </w:tcPr>
          <w:p w14:paraId="73E02A78" w14:textId="77777777" w:rsidR="00CF424D" w:rsidRPr="00CF424D" w:rsidRDefault="00CF424D" w:rsidP="00CF424D">
            <w:pPr>
              <w:spacing w:before="60" w:after="60" w:line="264" w:lineRule="auto"/>
              <w:jc w:val="center"/>
              <w:rPr>
                <w:rFonts w:eastAsia="Times New Roman" w:cs="Arial"/>
                <w:color w:val="000000"/>
                <w:lang w:eastAsia="en-GB"/>
              </w:rPr>
            </w:pPr>
            <w:r w:rsidRPr="00CF424D">
              <w:rPr>
                <w:rFonts w:eastAsia="Times New Roman" w:cs="Arial"/>
                <w:color w:val="000000"/>
                <w:lang w:eastAsia="en-GB"/>
              </w:rPr>
              <w:t>5.0%</w:t>
            </w:r>
          </w:p>
        </w:tc>
        <w:tc>
          <w:tcPr>
            <w:tcW w:w="1268" w:type="dxa"/>
            <w:shd w:val="clear" w:color="auto" w:fill="auto"/>
            <w:noWrap/>
            <w:vAlign w:val="bottom"/>
            <w:hideMark/>
          </w:tcPr>
          <w:p w14:paraId="79CA22AB" w14:textId="2E526A67"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 xml:space="preserve">4,775 </w:t>
            </w:r>
          </w:p>
        </w:tc>
        <w:tc>
          <w:tcPr>
            <w:tcW w:w="1366" w:type="dxa"/>
            <w:shd w:val="clear" w:color="auto" w:fill="auto"/>
            <w:noWrap/>
            <w:vAlign w:val="bottom"/>
            <w:hideMark/>
          </w:tcPr>
          <w:p w14:paraId="5AA0FBAC" w14:textId="77777777" w:rsidR="00CF424D" w:rsidRPr="00CF424D" w:rsidRDefault="00CF424D" w:rsidP="00CF424D">
            <w:pPr>
              <w:spacing w:before="60" w:after="60" w:line="264" w:lineRule="auto"/>
              <w:jc w:val="center"/>
              <w:rPr>
                <w:rFonts w:eastAsia="Times New Roman" w:cs="Arial"/>
                <w:color w:val="000000"/>
                <w:lang w:eastAsia="en-GB"/>
              </w:rPr>
            </w:pPr>
            <w:r w:rsidRPr="00CF424D">
              <w:rPr>
                <w:rFonts w:eastAsia="Times New Roman" w:cs="Arial"/>
                <w:color w:val="000000"/>
                <w:lang w:eastAsia="en-GB"/>
              </w:rPr>
              <w:t>1.0%</w:t>
            </w:r>
          </w:p>
        </w:tc>
      </w:tr>
      <w:tr w:rsidR="00CF424D" w:rsidRPr="00CF424D" w14:paraId="64626077" w14:textId="77777777" w:rsidTr="00CF424D">
        <w:trPr>
          <w:trHeight w:val="289"/>
        </w:trPr>
        <w:tc>
          <w:tcPr>
            <w:tcW w:w="1114" w:type="dxa"/>
            <w:shd w:val="clear" w:color="auto" w:fill="auto"/>
            <w:noWrap/>
            <w:vAlign w:val="bottom"/>
            <w:hideMark/>
          </w:tcPr>
          <w:p w14:paraId="7AEBB0F1" w14:textId="77777777"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2020</w:t>
            </w:r>
          </w:p>
        </w:tc>
        <w:tc>
          <w:tcPr>
            <w:tcW w:w="1291" w:type="dxa"/>
            <w:shd w:val="clear" w:color="auto" w:fill="auto"/>
            <w:noWrap/>
            <w:vAlign w:val="bottom"/>
            <w:hideMark/>
          </w:tcPr>
          <w:p w14:paraId="3EF004C3" w14:textId="6EB68709"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42,490</w:t>
            </w:r>
          </w:p>
        </w:tc>
        <w:tc>
          <w:tcPr>
            <w:tcW w:w="1343" w:type="dxa"/>
            <w:shd w:val="clear" w:color="auto" w:fill="auto"/>
            <w:noWrap/>
            <w:vAlign w:val="bottom"/>
            <w:hideMark/>
          </w:tcPr>
          <w:p w14:paraId="18F38662" w14:textId="77777777" w:rsidR="00CF424D" w:rsidRPr="00CF424D" w:rsidRDefault="00CF424D" w:rsidP="00CF424D">
            <w:pPr>
              <w:spacing w:before="60" w:after="60" w:line="264" w:lineRule="auto"/>
              <w:jc w:val="center"/>
              <w:rPr>
                <w:rFonts w:eastAsia="Times New Roman" w:cs="Arial"/>
                <w:color w:val="000000"/>
                <w:lang w:eastAsia="en-GB"/>
              </w:rPr>
            </w:pPr>
            <w:r w:rsidRPr="00CF424D">
              <w:rPr>
                <w:rFonts w:eastAsia="Times New Roman" w:cs="Arial"/>
                <w:color w:val="000000"/>
                <w:lang w:eastAsia="en-GB"/>
              </w:rPr>
              <w:t>8.8%</w:t>
            </w:r>
          </w:p>
        </w:tc>
        <w:tc>
          <w:tcPr>
            <w:tcW w:w="1209" w:type="dxa"/>
            <w:shd w:val="clear" w:color="auto" w:fill="auto"/>
            <w:noWrap/>
            <w:vAlign w:val="bottom"/>
            <w:hideMark/>
          </w:tcPr>
          <w:p w14:paraId="51771366" w14:textId="4719DC2A"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 xml:space="preserve">22,709 </w:t>
            </w:r>
          </w:p>
        </w:tc>
        <w:tc>
          <w:tcPr>
            <w:tcW w:w="1425" w:type="dxa"/>
            <w:shd w:val="clear" w:color="auto" w:fill="auto"/>
            <w:noWrap/>
            <w:vAlign w:val="bottom"/>
            <w:hideMark/>
          </w:tcPr>
          <w:p w14:paraId="603019ED" w14:textId="77777777" w:rsidR="00CF424D" w:rsidRPr="00CF424D" w:rsidRDefault="00CF424D" w:rsidP="00CF424D">
            <w:pPr>
              <w:spacing w:before="60" w:after="60" w:line="264" w:lineRule="auto"/>
              <w:jc w:val="center"/>
              <w:rPr>
                <w:rFonts w:eastAsia="Times New Roman" w:cs="Arial"/>
                <w:color w:val="000000"/>
                <w:lang w:eastAsia="en-GB"/>
              </w:rPr>
            </w:pPr>
            <w:r w:rsidRPr="00CF424D">
              <w:rPr>
                <w:rFonts w:eastAsia="Times New Roman" w:cs="Arial"/>
                <w:color w:val="000000"/>
                <w:lang w:eastAsia="en-GB"/>
              </w:rPr>
              <w:t>4.7%</w:t>
            </w:r>
          </w:p>
        </w:tc>
        <w:tc>
          <w:tcPr>
            <w:tcW w:w="1268" w:type="dxa"/>
            <w:shd w:val="clear" w:color="auto" w:fill="auto"/>
            <w:noWrap/>
            <w:vAlign w:val="bottom"/>
            <w:hideMark/>
          </w:tcPr>
          <w:p w14:paraId="305F8C30" w14:textId="1E37087A"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 xml:space="preserve">4,260 </w:t>
            </w:r>
          </w:p>
        </w:tc>
        <w:tc>
          <w:tcPr>
            <w:tcW w:w="1366" w:type="dxa"/>
            <w:shd w:val="clear" w:color="auto" w:fill="auto"/>
            <w:noWrap/>
            <w:vAlign w:val="bottom"/>
            <w:hideMark/>
          </w:tcPr>
          <w:p w14:paraId="5C91E746" w14:textId="77777777" w:rsidR="00CF424D" w:rsidRPr="00CF424D" w:rsidRDefault="00CF424D" w:rsidP="00CF424D">
            <w:pPr>
              <w:spacing w:before="60" w:after="60" w:line="264" w:lineRule="auto"/>
              <w:jc w:val="center"/>
              <w:rPr>
                <w:rFonts w:eastAsia="Times New Roman" w:cs="Arial"/>
                <w:color w:val="000000"/>
                <w:lang w:eastAsia="en-GB"/>
              </w:rPr>
            </w:pPr>
            <w:r w:rsidRPr="00CF424D">
              <w:rPr>
                <w:rFonts w:eastAsia="Times New Roman" w:cs="Arial"/>
                <w:color w:val="000000"/>
                <w:lang w:eastAsia="en-GB"/>
              </w:rPr>
              <w:t>0.9%</w:t>
            </w:r>
          </w:p>
        </w:tc>
      </w:tr>
      <w:tr w:rsidR="00CF424D" w:rsidRPr="00CF424D" w14:paraId="2544B42F" w14:textId="77777777" w:rsidTr="00CF424D">
        <w:trPr>
          <w:trHeight w:val="289"/>
        </w:trPr>
        <w:tc>
          <w:tcPr>
            <w:tcW w:w="1114" w:type="dxa"/>
            <w:shd w:val="clear" w:color="auto" w:fill="auto"/>
            <w:noWrap/>
            <w:vAlign w:val="bottom"/>
            <w:hideMark/>
          </w:tcPr>
          <w:p w14:paraId="2D1B8E9F" w14:textId="77777777"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2021</w:t>
            </w:r>
          </w:p>
        </w:tc>
        <w:tc>
          <w:tcPr>
            <w:tcW w:w="1291" w:type="dxa"/>
            <w:shd w:val="clear" w:color="auto" w:fill="auto"/>
            <w:noWrap/>
            <w:vAlign w:val="bottom"/>
            <w:hideMark/>
          </w:tcPr>
          <w:p w14:paraId="153B37FD" w14:textId="494D5901"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 xml:space="preserve">40,640 </w:t>
            </w:r>
          </w:p>
        </w:tc>
        <w:tc>
          <w:tcPr>
            <w:tcW w:w="1343" w:type="dxa"/>
            <w:shd w:val="clear" w:color="auto" w:fill="auto"/>
            <w:noWrap/>
            <w:vAlign w:val="bottom"/>
            <w:hideMark/>
          </w:tcPr>
          <w:p w14:paraId="1BDFB0AA" w14:textId="77777777" w:rsidR="00CF424D" w:rsidRPr="00CF424D" w:rsidRDefault="00CF424D" w:rsidP="00CF424D">
            <w:pPr>
              <w:spacing w:before="60" w:after="60" w:line="264" w:lineRule="auto"/>
              <w:jc w:val="center"/>
              <w:rPr>
                <w:rFonts w:eastAsia="Times New Roman" w:cs="Arial"/>
                <w:color w:val="000000"/>
                <w:lang w:eastAsia="en-GB"/>
              </w:rPr>
            </w:pPr>
            <w:r w:rsidRPr="00CF424D">
              <w:rPr>
                <w:rFonts w:eastAsia="Times New Roman" w:cs="Arial"/>
                <w:color w:val="000000"/>
                <w:lang w:eastAsia="en-GB"/>
              </w:rPr>
              <w:t>8.2%</w:t>
            </w:r>
          </w:p>
        </w:tc>
        <w:tc>
          <w:tcPr>
            <w:tcW w:w="1209" w:type="dxa"/>
            <w:shd w:val="clear" w:color="auto" w:fill="auto"/>
            <w:noWrap/>
            <w:vAlign w:val="bottom"/>
            <w:hideMark/>
          </w:tcPr>
          <w:p w14:paraId="6F8935BC" w14:textId="3021D71B"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 xml:space="preserve">22,105 </w:t>
            </w:r>
          </w:p>
        </w:tc>
        <w:tc>
          <w:tcPr>
            <w:tcW w:w="1425" w:type="dxa"/>
            <w:shd w:val="clear" w:color="auto" w:fill="auto"/>
            <w:noWrap/>
            <w:vAlign w:val="bottom"/>
            <w:hideMark/>
          </w:tcPr>
          <w:p w14:paraId="7DDF4E2D" w14:textId="77777777" w:rsidR="00CF424D" w:rsidRPr="00CF424D" w:rsidRDefault="00CF424D" w:rsidP="00CF424D">
            <w:pPr>
              <w:spacing w:before="60" w:after="60" w:line="264" w:lineRule="auto"/>
              <w:jc w:val="center"/>
              <w:rPr>
                <w:rFonts w:eastAsia="Times New Roman" w:cs="Arial"/>
                <w:color w:val="000000"/>
                <w:lang w:eastAsia="en-GB"/>
              </w:rPr>
            </w:pPr>
            <w:r w:rsidRPr="00CF424D">
              <w:rPr>
                <w:rFonts w:eastAsia="Times New Roman" w:cs="Arial"/>
                <w:color w:val="000000"/>
                <w:lang w:eastAsia="en-GB"/>
              </w:rPr>
              <w:t>4.5%</w:t>
            </w:r>
          </w:p>
        </w:tc>
        <w:tc>
          <w:tcPr>
            <w:tcW w:w="1268" w:type="dxa"/>
            <w:shd w:val="clear" w:color="auto" w:fill="auto"/>
            <w:noWrap/>
            <w:vAlign w:val="bottom"/>
            <w:hideMark/>
          </w:tcPr>
          <w:p w14:paraId="7AC70F4D" w14:textId="0ABB22B2" w:rsidR="00CF424D" w:rsidRPr="00CF424D" w:rsidRDefault="00CF424D" w:rsidP="00CF424D">
            <w:pPr>
              <w:spacing w:before="60" w:after="60" w:line="264" w:lineRule="auto"/>
              <w:jc w:val="right"/>
              <w:rPr>
                <w:rFonts w:eastAsia="Times New Roman" w:cs="Arial"/>
                <w:color w:val="000000"/>
                <w:lang w:eastAsia="en-GB"/>
              </w:rPr>
            </w:pPr>
            <w:r w:rsidRPr="00CF424D">
              <w:rPr>
                <w:rFonts w:eastAsia="Times New Roman" w:cs="Arial"/>
                <w:color w:val="000000"/>
                <w:lang w:eastAsia="en-GB"/>
              </w:rPr>
              <w:t xml:space="preserve">4,314 </w:t>
            </w:r>
          </w:p>
        </w:tc>
        <w:tc>
          <w:tcPr>
            <w:tcW w:w="1366" w:type="dxa"/>
            <w:shd w:val="clear" w:color="auto" w:fill="auto"/>
            <w:noWrap/>
            <w:vAlign w:val="bottom"/>
            <w:hideMark/>
          </w:tcPr>
          <w:p w14:paraId="41A30006" w14:textId="77777777" w:rsidR="00CF424D" w:rsidRPr="00CF424D" w:rsidRDefault="00CF424D" w:rsidP="00CF424D">
            <w:pPr>
              <w:spacing w:before="60" w:after="60" w:line="264" w:lineRule="auto"/>
              <w:jc w:val="center"/>
              <w:rPr>
                <w:rFonts w:eastAsia="Times New Roman" w:cs="Arial"/>
                <w:color w:val="000000"/>
                <w:lang w:eastAsia="en-GB"/>
              </w:rPr>
            </w:pPr>
            <w:r w:rsidRPr="00CF424D">
              <w:rPr>
                <w:rFonts w:eastAsia="Times New Roman" w:cs="Arial"/>
                <w:color w:val="000000"/>
                <w:lang w:eastAsia="en-GB"/>
              </w:rPr>
              <w:t>0.9%</w:t>
            </w:r>
          </w:p>
        </w:tc>
      </w:tr>
    </w:tbl>
    <w:p w14:paraId="2BDCCDD8" w14:textId="17535B44" w:rsidR="006F2AE8" w:rsidRDefault="006F2AE8" w:rsidP="006F2AE8">
      <w:pPr>
        <w:pStyle w:val="Heading3"/>
        <w:rPr>
          <w:shd w:val="clear" w:color="auto" w:fill="FFFFFF"/>
        </w:rPr>
      </w:pPr>
      <w:r>
        <w:rPr>
          <w:shd w:val="clear" w:color="auto" w:fill="FFFFFF"/>
        </w:rPr>
        <w:lastRenderedPageBreak/>
        <w:t>Summary of long-term NSAID use and numbers expected by an ‘average’ practice</w:t>
      </w:r>
    </w:p>
    <w:p w14:paraId="50D1967C" w14:textId="257114D6" w:rsidR="006F2AE8" w:rsidRDefault="00CF424D" w:rsidP="00945E1C">
      <w:pPr>
        <w:spacing w:after="0"/>
      </w:pPr>
      <w:r>
        <w:t xml:space="preserve">Table 5 shows patient numbers </w:t>
      </w:r>
      <w:r w:rsidR="00945E1C">
        <w:t xml:space="preserve">for various key measures and scenarios at England level and for an ‘average’ GP practice of 10,000 patients. </w:t>
      </w:r>
      <w:r w:rsidR="006F2AE8">
        <w:t>When applying the national f</w:t>
      </w:r>
      <w:r w:rsidR="00945E1C">
        <w:t>igures to an ‘average’ practice, the following would be expected</w:t>
      </w:r>
      <w:r w:rsidR="006F2AE8">
        <w:t>:</w:t>
      </w:r>
    </w:p>
    <w:p w14:paraId="1386E3AC" w14:textId="77777777" w:rsidR="006F2AE8" w:rsidRDefault="006F2AE8" w:rsidP="005B4C24">
      <w:pPr>
        <w:pStyle w:val="ListParagraph"/>
        <w:numPr>
          <w:ilvl w:val="0"/>
          <w:numId w:val="12"/>
        </w:numPr>
        <w:spacing w:before="120" w:after="80" w:line="240" w:lineRule="auto"/>
        <w:ind w:left="357" w:hanging="357"/>
        <w:contextualSpacing w:val="0"/>
      </w:pPr>
      <w:r>
        <w:t>Over 500 NSAID users</w:t>
      </w:r>
    </w:p>
    <w:p w14:paraId="38D9020B" w14:textId="77777777" w:rsidR="006F2AE8" w:rsidRPr="00D8625E" w:rsidRDefault="006F2AE8" w:rsidP="00945E1C">
      <w:pPr>
        <w:pStyle w:val="ListParagraph"/>
        <w:numPr>
          <w:ilvl w:val="0"/>
          <w:numId w:val="12"/>
        </w:numPr>
        <w:spacing w:after="80" w:line="240" w:lineRule="auto"/>
        <w:ind w:left="357" w:hanging="357"/>
        <w:contextualSpacing w:val="0"/>
        <w:rPr>
          <w:szCs w:val="24"/>
        </w:rPr>
      </w:pPr>
      <w:r w:rsidRPr="00D8625E">
        <w:rPr>
          <w:szCs w:val="24"/>
        </w:rPr>
        <w:t xml:space="preserve">Approximately 80 long-term NSAID users. </w:t>
      </w:r>
    </w:p>
    <w:p w14:paraId="7830418D" w14:textId="77777777" w:rsidR="006F2AE8" w:rsidRPr="00D8625E" w:rsidRDefault="006F2AE8" w:rsidP="00945E1C">
      <w:pPr>
        <w:pStyle w:val="ListParagraph"/>
        <w:numPr>
          <w:ilvl w:val="0"/>
          <w:numId w:val="12"/>
        </w:numPr>
        <w:spacing w:after="80" w:line="240" w:lineRule="auto"/>
        <w:ind w:left="357" w:hanging="357"/>
        <w:contextualSpacing w:val="0"/>
        <w:rPr>
          <w:szCs w:val="24"/>
        </w:rPr>
      </w:pPr>
      <w:r w:rsidRPr="00D8625E">
        <w:rPr>
          <w:szCs w:val="24"/>
        </w:rPr>
        <w:t>About 30 long-term users aged 65 years and above.</w:t>
      </w:r>
    </w:p>
    <w:p w14:paraId="6E4FAB17" w14:textId="77777777" w:rsidR="006F2AE8" w:rsidRPr="00D8625E" w:rsidRDefault="006F2AE8" w:rsidP="00945E1C">
      <w:pPr>
        <w:pStyle w:val="ListParagraph"/>
        <w:numPr>
          <w:ilvl w:val="0"/>
          <w:numId w:val="12"/>
        </w:numPr>
        <w:spacing w:after="80" w:line="240" w:lineRule="auto"/>
        <w:ind w:left="357" w:hanging="357"/>
        <w:contextualSpacing w:val="0"/>
        <w:rPr>
          <w:szCs w:val="24"/>
        </w:rPr>
      </w:pPr>
      <w:r w:rsidRPr="00D8625E">
        <w:rPr>
          <w:szCs w:val="24"/>
        </w:rPr>
        <w:t xml:space="preserve">Between 5 and 10 long-term NSAID users with concurrent prescribing of </w:t>
      </w:r>
      <w:r w:rsidRPr="00D8625E">
        <w:rPr>
          <w:rFonts w:eastAsia="Times New Roman" w:cs="Arial"/>
          <w:color w:val="000000"/>
          <w:szCs w:val="24"/>
          <w:lang w:eastAsia="en-GB"/>
        </w:rPr>
        <w:t>diuretics and ACE inhibitors or Angiotensin II receptor blockers for at least one month in the previous 24 months</w:t>
      </w:r>
    </w:p>
    <w:p w14:paraId="01638EB7" w14:textId="77777777" w:rsidR="006F2AE8" w:rsidRPr="00D8625E" w:rsidRDefault="006F2AE8" w:rsidP="005B4C24">
      <w:pPr>
        <w:pStyle w:val="ListParagraph"/>
        <w:numPr>
          <w:ilvl w:val="0"/>
          <w:numId w:val="12"/>
        </w:numPr>
        <w:spacing w:after="180" w:line="259" w:lineRule="auto"/>
        <w:ind w:left="357" w:hanging="357"/>
        <w:contextualSpacing w:val="0"/>
        <w:rPr>
          <w:szCs w:val="24"/>
        </w:rPr>
      </w:pPr>
      <w:r w:rsidRPr="00D8625E">
        <w:rPr>
          <w:szCs w:val="24"/>
        </w:rPr>
        <w:t xml:space="preserve">Fewer than five with concurrent prescribing of </w:t>
      </w:r>
      <w:r w:rsidRPr="00D8625E">
        <w:rPr>
          <w:rFonts w:eastAsia="Times New Roman" w:cs="Arial"/>
          <w:color w:val="000000"/>
          <w:szCs w:val="24"/>
          <w:lang w:eastAsia="en-GB"/>
        </w:rPr>
        <w:t>diuretics and ACE inhibitors or Angiotensin II receptor blockers for at least 12 months in the previous 24 months</w:t>
      </w:r>
    </w:p>
    <w:p w14:paraId="6366B19C" w14:textId="311A7C02" w:rsidR="006F2AE8" w:rsidRPr="005221B2" w:rsidRDefault="006F2AE8" w:rsidP="005B4C24">
      <w:pPr>
        <w:pStyle w:val="Heading4"/>
        <w:spacing w:before="360"/>
        <w:rPr>
          <w:rFonts w:eastAsiaTheme="minorHAnsi"/>
        </w:rPr>
      </w:pPr>
      <w:r w:rsidRPr="005221B2">
        <w:rPr>
          <w:rFonts w:eastAsiaTheme="minorHAnsi"/>
        </w:rPr>
        <w:t xml:space="preserve">Table </w:t>
      </w:r>
      <w:r w:rsidR="0096687E">
        <w:rPr>
          <w:rFonts w:eastAsiaTheme="minorHAnsi"/>
        </w:rPr>
        <w:t>5</w:t>
      </w:r>
      <w:r w:rsidRPr="005221B2">
        <w:rPr>
          <w:rFonts w:eastAsiaTheme="minorHAnsi"/>
        </w:rPr>
        <w:t xml:space="preserve">. </w:t>
      </w:r>
      <w:r>
        <w:rPr>
          <w:rFonts w:eastAsiaTheme="minorHAnsi"/>
        </w:rPr>
        <w:t xml:space="preserve">Summary of numbers of NSAID users in England, and suggested numbers an average practice of 10,000 registered patients would expect </w:t>
      </w:r>
    </w:p>
    <w:tbl>
      <w:tblPr>
        <w:tblW w:w="5186" w:type="pct"/>
        <w:tblLook w:val="04A0" w:firstRow="1" w:lastRow="0" w:firstColumn="1" w:lastColumn="0" w:noHBand="0" w:noVBand="1"/>
      </w:tblPr>
      <w:tblGrid>
        <w:gridCol w:w="6259"/>
        <w:gridCol w:w="1418"/>
        <w:gridCol w:w="1674"/>
      </w:tblGrid>
      <w:tr w:rsidR="006F2AE8" w:rsidRPr="006E3B14" w14:paraId="3328EC97" w14:textId="77777777" w:rsidTr="00945E1C">
        <w:trPr>
          <w:trHeight w:val="470"/>
        </w:trPr>
        <w:tc>
          <w:tcPr>
            <w:tcW w:w="3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8912D" w14:textId="77777777" w:rsidR="006F2AE8" w:rsidRPr="00945E1C" w:rsidRDefault="006F2AE8" w:rsidP="00945E1C">
            <w:pPr>
              <w:spacing w:after="0" w:line="240" w:lineRule="auto"/>
              <w:rPr>
                <w:rFonts w:eastAsia="Times New Roman" w:cs="Arial"/>
                <w:b/>
                <w:color w:val="000000"/>
                <w:lang w:eastAsia="en-GB"/>
              </w:rPr>
            </w:pPr>
            <w:r w:rsidRPr="00945E1C">
              <w:rPr>
                <w:rFonts w:eastAsia="Times New Roman" w:cs="Arial"/>
                <w:b/>
                <w:color w:val="000000"/>
                <w:lang w:eastAsia="en-GB"/>
              </w:rPr>
              <w:t> Numbers</w:t>
            </w:r>
          </w:p>
        </w:tc>
        <w:tc>
          <w:tcPr>
            <w:tcW w:w="758" w:type="pct"/>
            <w:tcBorders>
              <w:top w:val="single" w:sz="4" w:space="0" w:color="auto"/>
              <w:left w:val="nil"/>
              <w:bottom w:val="single" w:sz="4" w:space="0" w:color="auto"/>
              <w:right w:val="single" w:sz="4" w:space="0" w:color="auto"/>
            </w:tcBorders>
            <w:shd w:val="clear" w:color="auto" w:fill="auto"/>
            <w:vAlign w:val="bottom"/>
            <w:hideMark/>
          </w:tcPr>
          <w:p w14:paraId="44A6590B" w14:textId="77777777" w:rsidR="006F2AE8" w:rsidRPr="00945E1C" w:rsidRDefault="006F2AE8" w:rsidP="006F2AE8">
            <w:pPr>
              <w:spacing w:after="0" w:line="240" w:lineRule="auto"/>
              <w:jc w:val="center"/>
              <w:rPr>
                <w:rFonts w:eastAsia="Times New Roman" w:cs="Arial"/>
                <w:b/>
                <w:color w:val="000000"/>
                <w:lang w:eastAsia="en-GB"/>
              </w:rPr>
            </w:pPr>
            <w:r w:rsidRPr="00945E1C">
              <w:rPr>
                <w:rFonts w:eastAsia="Times New Roman" w:cs="Arial"/>
                <w:b/>
                <w:color w:val="000000"/>
                <w:lang w:eastAsia="en-GB"/>
              </w:rPr>
              <w:t>England</w:t>
            </w:r>
          </w:p>
        </w:tc>
        <w:tc>
          <w:tcPr>
            <w:tcW w:w="895" w:type="pct"/>
            <w:tcBorders>
              <w:top w:val="single" w:sz="4" w:space="0" w:color="auto"/>
              <w:left w:val="nil"/>
              <w:bottom w:val="single" w:sz="4" w:space="0" w:color="auto"/>
              <w:right w:val="single" w:sz="4" w:space="0" w:color="auto"/>
            </w:tcBorders>
            <w:shd w:val="clear" w:color="auto" w:fill="auto"/>
            <w:vAlign w:val="bottom"/>
            <w:hideMark/>
          </w:tcPr>
          <w:p w14:paraId="3CB2D1D7" w14:textId="77777777" w:rsidR="006F2AE8" w:rsidRPr="00945E1C" w:rsidRDefault="006F2AE8" w:rsidP="006F2AE8">
            <w:pPr>
              <w:spacing w:after="0" w:line="240" w:lineRule="auto"/>
              <w:jc w:val="center"/>
              <w:rPr>
                <w:rFonts w:eastAsia="Times New Roman" w:cs="Arial"/>
                <w:b/>
                <w:color w:val="000000"/>
                <w:lang w:eastAsia="en-GB"/>
              </w:rPr>
            </w:pPr>
            <w:r w:rsidRPr="00945E1C">
              <w:rPr>
                <w:rFonts w:eastAsia="Times New Roman" w:cs="Arial"/>
                <w:b/>
                <w:color w:val="000000"/>
                <w:lang w:eastAsia="en-GB"/>
              </w:rPr>
              <w:t xml:space="preserve">'Average' GP practice </w:t>
            </w:r>
          </w:p>
        </w:tc>
      </w:tr>
      <w:tr w:rsidR="006F2AE8" w:rsidRPr="006E3B14" w14:paraId="12B1B2DE" w14:textId="77777777" w:rsidTr="00945E1C">
        <w:trPr>
          <w:trHeight w:val="454"/>
        </w:trPr>
        <w:tc>
          <w:tcPr>
            <w:tcW w:w="3347" w:type="pct"/>
            <w:tcBorders>
              <w:top w:val="nil"/>
              <w:left w:val="single" w:sz="4" w:space="0" w:color="auto"/>
              <w:bottom w:val="single" w:sz="4" w:space="0" w:color="auto"/>
              <w:right w:val="single" w:sz="4" w:space="0" w:color="auto"/>
            </w:tcBorders>
            <w:shd w:val="clear" w:color="auto" w:fill="auto"/>
            <w:vAlign w:val="center"/>
            <w:hideMark/>
          </w:tcPr>
          <w:p w14:paraId="44091B45" w14:textId="77777777" w:rsidR="006F2AE8" w:rsidRPr="00945E1C" w:rsidRDefault="006F2AE8" w:rsidP="006F2AE8">
            <w:pPr>
              <w:spacing w:after="0" w:line="240" w:lineRule="auto"/>
              <w:rPr>
                <w:rFonts w:eastAsia="Times New Roman" w:cs="Arial"/>
                <w:color w:val="000000"/>
                <w:lang w:eastAsia="en-GB"/>
              </w:rPr>
            </w:pPr>
            <w:r w:rsidRPr="00945E1C">
              <w:rPr>
                <w:rFonts w:eastAsia="Times New Roman" w:cs="Arial"/>
                <w:color w:val="000000"/>
                <w:lang w:eastAsia="en-GB"/>
              </w:rPr>
              <w:t>Registered population</w:t>
            </w:r>
          </w:p>
        </w:tc>
        <w:tc>
          <w:tcPr>
            <w:tcW w:w="758" w:type="pct"/>
            <w:tcBorders>
              <w:top w:val="nil"/>
              <w:left w:val="nil"/>
              <w:bottom w:val="single" w:sz="4" w:space="0" w:color="auto"/>
              <w:right w:val="single" w:sz="4" w:space="0" w:color="auto"/>
            </w:tcBorders>
            <w:shd w:val="clear" w:color="auto" w:fill="auto"/>
            <w:noWrap/>
            <w:vAlign w:val="center"/>
            <w:hideMark/>
          </w:tcPr>
          <w:p w14:paraId="2C680BAC"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60,744,002</w:t>
            </w:r>
          </w:p>
        </w:tc>
        <w:tc>
          <w:tcPr>
            <w:tcW w:w="895" w:type="pct"/>
            <w:tcBorders>
              <w:top w:val="nil"/>
              <w:left w:val="nil"/>
              <w:bottom w:val="single" w:sz="4" w:space="0" w:color="auto"/>
              <w:right w:val="single" w:sz="4" w:space="0" w:color="auto"/>
            </w:tcBorders>
            <w:shd w:val="clear" w:color="auto" w:fill="auto"/>
            <w:noWrap/>
            <w:vAlign w:val="center"/>
            <w:hideMark/>
          </w:tcPr>
          <w:p w14:paraId="2E9484A6"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10,000</w:t>
            </w:r>
          </w:p>
        </w:tc>
      </w:tr>
      <w:tr w:rsidR="006F2AE8" w:rsidRPr="006E3B14" w14:paraId="51295E3A" w14:textId="77777777" w:rsidTr="00945E1C">
        <w:trPr>
          <w:trHeight w:val="454"/>
        </w:trPr>
        <w:tc>
          <w:tcPr>
            <w:tcW w:w="3347" w:type="pct"/>
            <w:tcBorders>
              <w:top w:val="nil"/>
              <w:left w:val="single" w:sz="4" w:space="0" w:color="auto"/>
              <w:bottom w:val="single" w:sz="4" w:space="0" w:color="auto"/>
              <w:right w:val="single" w:sz="4" w:space="0" w:color="auto"/>
            </w:tcBorders>
            <w:shd w:val="clear" w:color="auto" w:fill="auto"/>
            <w:vAlign w:val="center"/>
            <w:hideMark/>
          </w:tcPr>
          <w:p w14:paraId="4627AAF7" w14:textId="77777777" w:rsidR="006F2AE8" w:rsidRPr="00945E1C" w:rsidRDefault="006F2AE8" w:rsidP="006F2AE8">
            <w:pPr>
              <w:spacing w:after="0" w:line="240" w:lineRule="auto"/>
              <w:rPr>
                <w:rFonts w:eastAsia="Times New Roman" w:cs="Arial"/>
                <w:color w:val="000000"/>
                <w:lang w:eastAsia="en-GB"/>
              </w:rPr>
            </w:pPr>
            <w:r w:rsidRPr="00945E1C">
              <w:rPr>
                <w:rFonts w:eastAsia="Times New Roman" w:cs="Arial"/>
                <w:color w:val="000000"/>
                <w:lang w:eastAsia="en-GB"/>
              </w:rPr>
              <w:t>Population aged 18+</w:t>
            </w:r>
          </w:p>
        </w:tc>
        <w:tc>
          <w:tcPr>
            <w:tcW w:w="758" w:type="pct"/>
            <w:tcBorders>
              <w:top w:val="nil"/>
              <w:left w:val="nil"/>
              <w:bottom w:val="single" w:sz="4" w:space="0" w:color="auto"/>
              <w:right w:val="single" w:sz="4" w:space="0" w:color="auto"/>
            </w:tcBorders>
            <w:shd w:val="clear" w:color="auto" w:fill="auto"/>
            <w:noWrap/>
            <w:vAlign w:val="center"/>
            <w:hideMark/>
          </w:tcPr>
          <w:p w14:paraId="7AD6A808"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48,481,482</w:t>
            </w:r>
          </w:p>
        </w:tc>
        <w:tc>
          <w:tcPr>
            <w:tcW w:w="895" w:type="pct"/>
            <w:tcBorders>
              <w:top w:val="nil"/>
              <w:left w:val="nil"/>
              <w:bottom w:val="single" w:sz="4" w:space="0" w:color="auto"/>
              <w:right w:val="single" w:sz="4" w:space="0" w:color="auto"/>
            </w:tcBorders>
            <w:shd w:val="clear" w:color="auto" w:fill="auto"/>
            <w:noWrap/>
            <w:vAlign w:val="center"/>
            <w:hideMark/>
          </w:tcPr>
          <w:p w14:paraId="17F9471A"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7,981</w:t>
            </w:r>
          </w:p>
        </w:tc>
      </w:tr>
      <w:tr w:rsidR="006F2AE8" w:rsidRPr="006E3B14" w14:paraId="2612E654" w14:textId="77777777" w:rsidTr="00945E1C">
        <w:trPr>
          <w:trHeight w:val="454"/>
        </w:trPr>
        <w:tc>
          <w:tcPr>
            <w:tcW w:w="3347" w:type="pct"/>
            <w:tcBorders>
              <w:top w:val="nil"/>
              <w:left w:val="single" w:sz="4" w:space="0" w:color="auto"/>
              <w:bottom w:val="single" w:sz="4" w:space="0" w:color="auto"/>
              <w:right w:val="single" w:sz="4" w:space="0" w:color="auto"/>
            </w:tcBorders>
            <w:shd w:val="clear" w:color="auto" w:fill="auto"/>
            <w:vAlign w:val="center"/>
            <w:hideMark/>
          </w:tcPr>
          <w:p w14:paraId="3B10B03C" w14:textId="77777777" w:rsidR="006F2AE8" w:rsidRPr="00945E1C" w:rsidRDefault="006F2AE8" w:rsidP="006F2AE8">
            <w:pPr>
              <w:spacing w:after="0" w:line="240" w:lineRule="auto"/>
              <w:rPr>
                <w:rFonts w:eastAsia="Times New Roman" w:cs="Arial"/>
                <w:color w:val="000000"/>
                <w:lang w:eastAsia="en-GB"/>
              </w:rPr>
            </w:pPr>
            <w:r w:rsidRPr="00945E1C">
              <w:rPr>
                <w:rFonts w:eastAsia="Times New Roman" w:cs="Arial"/>
                <w:color w:val="000000"/>
                <w:lang w:eastAsia="en-GB"/>
              </w:rPr>
              <w:t>Population aged 65+</w:t>
            </w:r>
          </w:p>
        </w:tc>
        <w:tc>
          <w:tcPr>
            <w:tcW w:w="758" w:type="pct"/>
            <w:tcBorders>
              <w:top w:val="nil"/>
              <w:left w:val="nil"/>
              <w:bottom w:val="single" w:sz="4" w:space="0" w:color="auto"/>
              <w:right w:val="single" w:sz="4" w:space="0" w:color="auto"/>
            </w:tcBorders>
            <w:shd w:val="clear" w:color="auto" w:fill="auto"/>
            <w:noWrap/>
            <w:vAlign w:val="center"/>
            <w:hideMark/>
          </w:tcPr>
          <w:p w14:paraId="0A45CD7C"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10,663,170</w:t>
            </w:r>
          </w:p>
        </w:tc>
        <w:tc>
          <w:tcPr>
            <w:tcW w:w="895" w:type="pct"/>
            <w:tcBorders>
              <w:top w:val="nil"/>
              <w:left w:val="nil"/>
              <w:bottom w:val="single" w:sz="4" w:space="0" w:color="auto"/>
              <w:right w:val="single" w:sz="4" w:space="0" w:color="auto"/>
            </w:tcBorders>
            <w:shd w:val="clear" w:color="auto" w:fill="auto"/>
            <w:noWrap/>
            <w:vAlign w:val="center"/>
            <w:hideMark/>
          </w:tcPr>
          <w:p w14:paraId="32E8BFCD"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1,755</w:t>
            </w:r>
          </w:p>
        </w:tc>
      </w:tr>
      <w:tr w:rsidR="006F2AE8" w:rsidRPr="006E3B14" w14:paraId="7AD98335" w14:textId="77777777" w:rsidTr="00945E1C">
        <w:trPr>
          <w:trHeight w:val="454"/>
        </w:trPr>
        <w:tc>
          <w:tcPr>
            <w:tcW w:w="3347" w:type="pct"/>
            <w:tcBorders>
              <w:top w:val="nil"/>
              <w:left w:val="single" w:sz="4" w:space="0" w:color="auto"/>
              <w:bottom w:val="single" w:sz="4" w:space="0" w:color="auto"/>
              <w:right w:val="single" w:sz="4" w:space="0" w:color="auto"/>
            </w:tcBorders>
            <w:shd w:val="clear" w:color="auto" w:fill="auto"/>
            <w:vAlign w:val="center"/>
            <w:hideMark/>
          </w:tcPr>
          <w:p w14:paraId="3E1AE99A" w14:textId="77777777" w:rsidR="006F2AE8" w:rsidRPr="00945E1C" w:rsidRDefault="006F2AE8" w:rsidP="006F2AE8">
            <w:pPr>
              <w:spacing w:after="0" w:line="240" w:lineRule="auto"/>
              <w:rPr>
                <w:rFonts w:eastAsia="Times New Roman" w:cs="Arial"/>
                <w:color w:val="000000"/>
                <w:lang w:eastAsia="en-GB"/>
              </w:rPr>
            </w:pPr>
            <w:r w:rsidRPr="00945E1C">
              <w:rPr>
                <w:rFonts w:eastAsia="Times New Roman" w:cs="Arial"/>
                <w:color w:val="000000"/>
                <w:lang w:eastAsia="en-GB"/>
              </w:rPr>
              <w:t>NSAID users</w:t>
            </w:r>
          </w:p>
        </w:tc>
        <w:tc>
          <w:tcPr>
            <w:tcW w:w="758" w:type="pct"/>
            <w:tcBorders>
              <w:top w:val="nil"/>
              <w:left w:val="nil"/>
              <w:bottom w:val="single" w:sz="4" w:space="0" w:color="auto"/>
              <w:right w:val="single" w:sz="4" w:space="0" w:color="auto"/>
            </w:tcBorders>
            <w:shd w:val="clear" w:color="auto" w:fill="auto"/>
            <w:noWrap/>
            <w:vAlign w:val="center"/>
            <w:hideMark/>
          </w:tcPr>
          <w:p w14:paraId="29807E8E"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3,253,221</w:t>
            </w:r>
          </w:p>
        </w:tc>
        <w:tc>
          <w:tcPr>
            <w:tcW w:w="895" w:type="pct"/>
            <w:tcBorders>
              <w:top w:val="nil"/>
              <w:left w:val="nil"/>
              <w:bottom w:val="single" w:sz="4" w:space="0" w:color="auto"/>
              <w:right w:val="single" w:sz="4" w:space="0" w:color="auto"/>
            </w:tcBorders>
            <w:shd w:val="clear" w:color="auto" w:fill="auto"/>
            <w:noWrap/>
            <w:vAlign w:val="center"/>
            <w:hideMark/>
          </w:tcPr>
          <w:p w14:paraId="4183DD9C"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536</w:t>
            </w:r>
          </w:p>
        </w:tc>
      </w:tr>
      <w:tr w:rsidR="006F2AE8" w:rsidRPr="006E3B14" w14:paraId="2BBBD7F4" w14:textId="77777777" w:rsidTr="00945E1C">
        <w:trPr>
          <w:trHeight w:val="454"/>
        </w:trPr>
        <w:tc>
          <w:tcPr>
            <w:tcW w:w="3347" w:type="pct"/>
            <w:tcBorders>
              <w:top w:val="nil"/>
              <w:left w:val="single" w:sz="4" w:space="0" w:color="auto"/>
              <w:bottom w:val="single" w:sz="4" w:space="0" w:color="auto"/>
              <w:right w:val="single" w:sz="4" w:space="0" w:color="auto"/>
            </w:tcBorders>
            <w:shd w:val="clear" w:color="auto" w:fill="auto"/>
            <w:vAlign w:val="center"/>
            <w:hideMark/>
          </w:tcPr>
          <w:p w14:paraId="058B8AC8" w14:textId="77777777" w:rsidR="006F2AE8" w:rsidRPr="00945E1C" w:rsidRDefault="006F2AE8" w:rsidP="006F2AE8">
            <w:pPr>
              <w:spacing w:after="0" w:line="240" w:lineRule="auto"/>
              <w:rPr>
                <w:rFonts w:eastAsia="Times New Roman" w:cs="Arial"/>
                <w:color w:val="000000"/>
                <w:lang w:eastAsia="en-GB"/>
              </w:rPr>
            </w:pPr>
            <w:r w:rsidRPr="00945E1C">
              <w:rPr>
                <w:rFonts w:eastAsia="Times New Roman" w:cs="Arial"/>
                <w:color w:val="000000"/>
                <w:lang w:eastAsia="en-GB"/>
              </w:rPr>
              <w:t>Long-term* NSAID users</w:t>
            </w:r>
          </w:p>
        </w:tc>
        <w:tc>
          <w:tcPr>
            <w:tcW w:w="758" w:type="pct"/>
            <w:tcBorders>
              <w:top w:val="nil"/>
              <w:left w:val="nil"/>
              <w:bottom w:val="single" w:sz="4" w:space="0" w:color="auto"/>
              <w:right w:val="single" w:sz="4" w:space="0" w:color="auto"/>
            </w:tcBorders>
            <w:shd w:val="clear" w:color="auto" w:fill="auto"/>
            <w:noWrap/>
            <w:vAlign w:val="center"/>
            <w:hideMark/>
          </w:tcPr>
          <w:p w14:paraId="5557DE51"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496,092</w:t>
            </w:r>
          </w:p>
        </w:tc>
        <w:tc>
          <w:tcPr>
            <w:tcW w:w="895" w:type="pct"/>
            <w:tcBorders>
              <w:top w:val="nil"/>
              <w:left w:val="nil"/>
              <w:bottom w:val="single" w:sz="4" w:space="0" w:color="auto"/>
              <w:right w:val="single" w:sz="4" w:space="0" w:color="auto"/>
            </w:tcBorders>
            <w:shd w:val="clear" w:color="auto" w:fill="auto"/>
            <w:noWrap/>
            <w:vAlign w:val="center"/>
            <w:hideMark/>
          </w:tcPr>
          <w:p w14:paraId="26F8A417"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82</w:t>
            </w:r>
          </w:p>
        </w:tc>
      </w:tr>
      <w:tr w:rsidR="006F2AE8" w:rsidRPr="006E3B14" w14:paraId="620DEAED" w14:textId="77777777" w:rsidTr="00945E1C">
        <w:trPr>
          <w:trHeight w:val="454"/>
        </w:trPr>
        <w:tc>
          <w:tcPr>
            <w:tcW w:w="3347" w:type="pct"/>
            <w:tcBorders>
              <w:top w:val="nil"/>
              <w:left w:val="single" w:sz="4" w:space="0" w:color="auto"/>
              <w:bottom w:val="single" w:sz="4" w:space="0" w:color="auto"/>
              <w:right w:val="single" w:sz="4" w:space="0" w:color="auto"/>
            </w:tcBorders>
            <w:shd w:val="clear" w:color="auto" w:fill="auto"/>
            <w:vAlign w:val="center"/>
            <w:hideMark/>
          </w:tcPr>
          <w:p w14:paraId="60587E0F" w14:textId="77777777" w:rsidR="006F2AE8" w:rsidRPr="00945E1C" w:rsidRDefault="006F2AE8" w:rsidP="006F2AE8">
            <w:pPr>
              <w:spacing w:after="0" w:line="240" w:lineRule="auto"/>
              <w:rPr>
                <w:rFonts w:eastAsia="Times New Roman" w:cs="Arial"/>
                <w:color w:val="000000"/>
                <w:lang w:eastAsia="en-GB"/>
              </w:rPr>
            </w:pPr>
            <w:r w:rsidRPr="00945E1C">
              <w:rPr>
                <w:rFonts w:eastAsia="Times New Roman" w:cs="Arial"/>
                <w:color w:val="000000"/>
                <w:lang w:eastAsia="en-GB"/>
              </w:rPr>
              <w:t>NSAID users aged 65+</w:t>
            </w:r>
          </w:p>
        </w:tc>
        <w:tc>
          <w:tcPr>
            <w:tcW w:w="758" w:type="pct"/>
            <w:tcBorders>
              <w:top w:val="nil"/>
              <w:left w:val="nil"/>
              <w:bottom w:val="single" w:sz="4" w:space="0" w:color="auto"/>
              <w:right w:val="single" w:sz="4" w:space="0" w:color="auto"/>
            </w:tcBorders>
            <w:shd w:val="clear" w:color="auto" w:fill="auto"/>
            <w:noWrap/>
            <w:vAlign w:val="center"/>
            <w:hideMark/>
          </w:tcPr>
          <w:p w14:paraId="3DE8FE29"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713,051</w:t>
            </w:r>
          </w:p>
        </w:tc>
        <w:tc>
          <w:tcPr>
            <w:tcW w:w="895" w:type="pct"/>
            <w:tcBorders>
              <w:top w:val="nil"/>
              <w:left w:val="nil"/>
              <w:bottom w:val="single" w:sz="4" w:space="0" w:color="auto"/>
              <w:right w:val="single" w:sz="4" w:space="0" w:color="auto"/>
            </w:tcBorders>
            <w:shd w:val="clear" w:color="auto" w:fill="auto"/>
            <w:noWrap/>
            <w:vAlign w:val="center"/>
            <w:hideMark/>
          </w:tcPr>
          <w:p w14:paraId="2E6B3646"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117</w:t>
            </w:r>
          </w:p>
        </w:tc>
      </w:tr>
      <w:tr w:rsidR="006F2AE8" w:rsidRPr="006E3B14" w14:paraId="7BD4361B" w14:textId="77777777" w:rsidTr="00945E1C">
        <w:trPr>
          <w:trHeight w:val="454"/>
        </w:trPr>
        <w:tc>
          <w:tcPr>
            <w:tcW w:w="3347" w:type="pct"/>
            <w:tcBorders>
              <w:top w:val="nil"/>
              <w:left w:val="single" w:sz="4" w:space="0" w:color="auto"/>
              <w:bottom w:val="single" w:sz="4" w:space="0" w:color="auto"/>
              <w:right w:val="single" w:sz="4" w:space="0" w:color="auto"/>
            </w:tcBorders>
            <w:shd w:val="clear" w:color="auto" w:fill="auto"/>
            <w:vAlign w:val="center"/>
            <w:hideMark/>
          </w:tcPr>
          <w:p w14:paraId="4AFA7B96" w14:textId="77777777" w:rsidR="006F2AE8" w:rsidRPr="00945E1C" w:rsidRDefault="006F2AE8" w:rsidP="006F2AE8">
            <w:pPr>
              <w:spacing w:after="0" w:line="240" w:lineRule="auto"/>
              <w:rPr>
                <w:rFonts w:eastAsia="Times New Roman" w:cs="Arial"/>
                <w:color w:val="000000"/>
                <w:lang w:eastAsia="en-GB"/>
              </w:rPr>
            </w:pPr>
            <w:r w:rsidRPr="00945E1C">
              <w:rPr>
                <w:rFonts w:eastAsia="Times New Roman" w:cs="Arial"/>
                <w:color w:val="000000"/>
                <w:lang w:eastAsia="en-GB"/>
              </w:rPr>
              <w:t>Long-term* NSAID users aged 65+</w:t>
            </w:r>
          </w:p>
        </w:tc>
        <w:tc>
          <w:tcPr>
            <w:tcW w:w="758" w:type="pct"/>
            <w:tcBorders>
              <w:top w:val="nil"/>
              <w:left w:val="nil"/>
              <w:bottom w:val="single" w:sz="4" w:space="0" w:color="auto"/>
              <w:right w:val="single" w:sz="4" w:space="0" w:color="auto"/>
            </w:tcBorders>
            <w:shd w:val="clear" w:color="auto" w:fill="auto"/>
            <w:noWrap/>
            <w:vAlign w:val="center"/>
            <w:hideMark/>
          </w:tcPr>
          <w:p w14:paraId="0663FC24"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177,737</w:t>
            </w:r>
          </w:p>
        </w:tc>
        <w:tc>
          <w:tcPr>
            <w:tcW w:w="895" w:type="pct"/>
            <w:tcBorders>
              <w:top w:val="nil"/>
              <w:left w:val="nil"/>
              <w:bottom w:val="single" w:sz="4" w:space="0" w:color="auto"/>
              <w:right w:val="single" w:sz="4" w:space="0" w:color="auto"/>
            </w:tcBorders>
            <w:shd w:val="clear" w:color="auto" w:fill="auto"/>
            <w:noWrap/>
            <w:vAlign w:val="center"/>
            <w:hideMark/>
          </w:tcPr>
          <w:p w14:paraId="44CCB1F7"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29</w:t>
            </w:r>
          </w:p>
        </w:tc>
      </w:tr>
      <w:tr w:rsidR="006F2AE8" w:rsidRPr="006E3B14" w14:paraId="5DAD5CB8" w14:textId="77777777" w:rsidTr="00945E1C">
        <w:trPr>
          <w:trHeight w:val="567"/>
        </w:trPr>
        <w:tc>
          <w:tcPr>
            <w:tcW w:w="3347" w:type="pct"/>
            <w:tcBorders>
              <w:top w:val="nil"/>
              <w:left w:val="single" w:sz="4" w:space="0" w:color="auto"/>
              <w:bottom w:val="single" w:sz="4" w:space="0" w:color="auto"/>
              <w:right w:val="single" w:sz="4" w:space="0" w:color="auto"/>
            </w:tcBorders>
            <w:shd w:val="clear" w:color="auto" w:fill="auto"/>
            <w:vAlign w:val="bottom"/>
            <w:hideMark/>
          </w:tcPr>
          <w:p w14:paraId="172CA0CC" w14:textId="77777777" w:rsidR="006F2AE8" w:rsidRPr="00945E1C" w:rsidRDefault="006F2AE8" w:rsidP="00945E1C">
            <w:pPr>
              <w:spacing w:before="40" w:after="40" w:line="264" w:lineRule="auto"/>
              <w:rPr>
                <w:rFonts w:eastAsia="Times New Roman" w:cs="Arial"/>
                <w:color w:val="000000"/>
                <w:sz w:val="23"/>
                <w:szCs w:val="23"/>
                <w:lang w:eastAsia="en-GB"/>
              </w:rPr>
            </w:pPr>
            <w:r w:rsidRPr="00945E1C">
              <w:rPr>
                <w:rFonts w:eastAsia="Times New Roman" w:cs="Arial"/>
                <w:color w:val="000000"/>
                <w:sz w:val="23"/>
                <w:szCs w:val="23"/>
                <w:lang w:eastAsia="en-GB"/>
              </w:rPr>
              <w:t xml:space="preserve">Long-term* NSAID users who were also prescribed diuretics and ACE inhibitors or Angiotensin II receptor blockers for </w:t>
            </w:r>
            <w:r w:rsidRPr="00945E1C">
              <w:rPr>
                <w:rFonts w:eastAsia="Times New Roman" w:cs="Arial"/>
                <w:b/>
                <w:bCs/>
                <w:color w:val="000000"/>
                <w:sz w:val="23"/>
                <w:szCs w:val="23"/>
                <w:lang w:eastAsia="en-GB"/>
              </w:rPr>
              <w:t>at least one month</w:t>
            </w:r>
            <w:r w:rsidRPr="00945E1C">
              <w:rPr>
                <w:rFonts w:eastAsia="Times New Roman" w:cs="Arial"/>
                <w:color w:val="000000"/>
                <w:sz w:val="23"/>
                <w:szCs w:val="23"/>
                <w:lang w:eastAsia="en-GB"/>
              </w:rPr>
              <w:t xml:space="preserve"> in the previous 24 </w:t>
            </w:r>
          </w:p>
        </w:tc>
        <w:tc>
          <w:tcPr>
            <w:tcW w:w="758" w:type="pct"/>
            <w:tcBorders>
              <w:top w:val="nil"/>
              <w:left w:val="nil"/>
              <w:bottom w:val="single" w:sz="4" w:space="0" w:color="auto"/>
              <w:right w:val="single" w:sz="4" w:space="0" w:color="auto"/>
            </w:tcBorders>
            <w:shd w:val="clear" w:color="auto" w:fill="auto"/>
            <w:noWrap/>
            <w:vAlign w:val="center"/>
            <w:hideMark/>
          </w:tcPr>
          <w:p w14:paraId="262176AC"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40,640</w:t>
            </w:r>
          </w:p>
        </w:tc>
        <w:tc>
          <w:tcPr>
            <w:tcW w:w="895" w:type="pct"/>
            <w:tcBorders>
              <w:top w:val="nil"/>
              <w:left w:val="nil"/>
              <w:bottom w:val="single" w:sz="4" w:space="0" w:color="auto"/>
              <w:right w:val="single" w:sz="4" w:space="0" w:color="auto"/>
            </w:tcBorders>
            <w:shd w:val="clear" w:color="auto" w:fill="auto"/>
            <w:noWrap/>
            <w:vAlign w:val="center"/>
            <w:hideMark/>
          </w:tcPr>
          <w:p w14:paraId="6CD25FAD"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7</w:t>
            </w:r>
          </w:p>
        </w:tc>
      </w:tr>
      <w:tr w:rsidR="006F2AE8" w:rsidRPr="006E3B14" w14:paraId="7855474F" w14:textId="77777777" w:rsidTr="00945E1C">
        <w:trPr>
          <w:trHeight w:val="567"/>
        </w:trPr>
        <w:tc>
          <w:tcPr>
            <w:tcW w:w="3347" w:type="pct"/>
            <w:tcBorders>
              <w:top w:val="nil"/>
              <w:left w:val="single" w:sz="4" w:space="0" w:color="auto"/>
              <w:bottom w:val="single" w:sz="4" w:space="0" w:color="auto"/>
              <w:right w:val="single" w:sz="4" w:space="0" w:color="auto"/>
            </w:tcBorders>
            <w:shd w:val="clear" w:color="auto" w:fill="auto"/>
            <w:vAlign w:val="bottom"/>
            <w:hideMark/>
          </w:tcPr>
          <w:p w14:paraId="5ECAD5D5" w14:textId="77777777" w:rsidR="006F2AE8" w:rsidRPr="00945E1C" w:rsidRDefault="006F2AE8" w:rsidP="00945E1C">
            <w:pPr>
              <w:spacing w:before="40" w:after="40" w:line="264" w:lineRule="auto"/>
              <w:rPr>
                <w:rFonts w:eastAsia="Times New Roman" w:cs="Arial"/>
                <w:color w:val="000000"/>
                <w:sz w:val="23"/>
                <w:szCs w:val="23"/>
                <w:lang w:eastAsia="en-GB"/>
              </w:rPr>
            </w:pPr>
            <w:r w:rsidRPr="00945E1C">
              <w:rPr>
                <w:rFonts w:eastAsia="Times New Roman" w:cs="Arial"/>
                <w:color w:val="000000"/>
                <w:sz w:val="23"/>
                <w:szCs w:val="23"/>
                <w:lang w:eastAsia="en-GB"/>
              </w:rPr>
              <w:t xml:space="preserve">Long-term* NSAID users who were also prescribed diuretics and ACE inhibitors or Angiotensin II receptor blockers for </w:t>
            </w:r>
            <w:r w:rsidRPr="00945E1C">
              <w:rPr>
                <w:rFonts w:eastAsia="Times New Roman" w:cs="Arial"/>
                <w:b/>
                <w:bCs/>
                <w:color w:val="000000"/>
                <w:sz w:val="23"/>
                <w:szCs w:val="23"/>
                <w:lang w:eastAsia="en-GB"/>
              </w:rPr>
              <w:t>at least 12 months</w:t>
            </w:r>
            <w:r w:rsidRPr="00945E1C">
              <w:rPr>
                <w:rFonts w:eastAsia="Times New Roman" w:cs="Arial"/>
                <w:color w:val="000000"/>
                <w:sz w:val="23"/>
                <w:szCs w:val="23"/>
                <w:lang w:eastAsia="en-GB"/>
              </w:rPr>
              <w:t xml:space="preserve"> in the previous 24 </w:t>
            </w:r>
          </w:p>
        </w:tc>
        <w:tc>
          <w:tcPr>
            <w:tcW w:w="758" w:type="pct"/>
            <w:tcBorders>
              <w:top w:val="nil"/>
              <w:left w:val="nil"/>
              <w:bottom w:val="single" w:sz="4" w:space="0" w:color="auto"/>
              <w:right w:val="single" w:sz="4" w:space="0" w:color="auto"/>
            </w:tcBorders>
            <w:shd w:val="clear" w:color="auto" w:fill="auto"/>
            <w:noWrap/>
            <w:vAlign w:val="center"/>
            <w:hideMark/>
          </w:tcPr>
          <w:p w14:paraId="267A482A"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22,105</w:t>
            </w:r>
          </w:p>
        </w:tc>
        <w:tc>
          <w:tcPr>
            <w:tcW w:w="895" w:type="pct"/>
            <w:tcBorders>
              <w:top w:val="nil"/>
              <w:left w:val="nil"/>
              <w:bottom w:val="single" w:sz="4" w:space="0" w:color="auto"/>
              <w:right w:val="single" w:sz="4" w:space="0" w:color="auto"/>
            </w:tcBorders>
            <w:shd w:val="clear" w:color="auto" w:fill="auto"/>
            <w:noWrap/>
            <w:vAlign w:val="center"/>
            <w:hideMark/>
          </w:tcPr>
          <w:p w14:paraId="3C2F296E"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4</w:t>
            </w:r>
          </w:p>
        </w:tc>
      </w:tr>
      <w:tr w:rsidR="006F2AE8" w:rsidRPr="006E3B14" w14:paraId="61E79371" w14:textId="77777777" w:rsidTr="00945E1C">
        <w:trPr>
          <w:trHeight w:val="567"/>
        </w:trPr>
        <w:tc>
          <w:tcPr>
            <w:tcW w:w="3347" w:type="pct"/>
            <w:tcBorders>
              <w:top w:val="nil"/>
              <w:left w:val="single" w:sz="4" w:space="0" w:color="auto"/>
              <w:bottom w:val="single" w:sz="4" w:space="0" w:color="auto"/>
              <w:right w:val="single" w:sz="4" w:space="0" w:color="auto"/>
            </w:tcBorders>
            <w:shd w:val="clear" w:color="auto" w:fill="auto"/>
            <w:vAlign w:val="bottom"/>
            <w:hideMark/>
          </w:tcPr>
          <w:p w14:paraId="7A9DA68B" w14:textId="77777777" w:rsidR="006F2AE8" w:rsidRPr="00945E1C" w:rsidRDefault="006F2AE8" w:rsidP="00945E1C">
            <w:pPr>
              <w:spacing w:before="40" w:after="40" w:line="264" w:lineRule="auto"/>
              <w:rPr>
                <w:rFonts w:eastAsia="Times New Roman" w:cs="Arial"/>
                <w:color w:val="000000"/>
                <w:sz w:val="23"/>
                <w:szCs w:val="23"/>
                <w:lang w:eastAsia="en-GB"/>
              </w:rPr>
            </w:pPr>
            <w:r w:rsidRPr="00945E1C">
              <w:rPr>
                <w:rFonts w:eastAsia="Times New Roman" w:cs="Arial"/>
                <w:color w:val="000000"/>
                <w:sz w:val="23"/>
                <w:szCs w:val="23"/>
                <w:lang w:eastAsia="en-GB"/>
              </w:rPr>
              <w:t xml:space="preserve">Long-term* NSAID users who were also prescribed diuretics and ACE inhibitors or Angiotensin II receptor blockers for </w:t>
            </w:r>
            <w:r w:rsidRPr="00945E1C">
              <w:rPr>
                <w:rFonts w:eastAsia="Times New Roman" w:cs="Arial"/>
                <w:b/>
                <w:bCs/>
                <w:color w:val="000000"/>
                <w:sz w:val="23"/>
                <w:szCs w:val="23"/>
                <w:lang w:eastAsia="en-GB"/>
              </w:rPr>
              <w:t>all 24</w:t>
            </w:r>
            <w:r w:rsidRPr="00945E1C">
              <w:rPr>
                <w:rFonts w:eastAsia="Times New Roman" w:cs="Arial"/>
                <w:color w:val="000000"/>
                <w:sz w:val="23"/>
                <w:szCs w:val="23"/>
                <w:lang w:eastAsia="en-GB"/>
              </w:rPr>
              <w:t xml:space="preserve"> of the previous 24 months</w:t>
            </w:r>
          </w:p>
        </w:tc>
        <w:tc>
          <w:tcPr>
            <w:tcW w:w="758" w:type="pct"/>
            <w:tcBorders>
              <w:top w:val="nil"/>
              <w:left w:val="nil"/>
              <w:bottom w:val="single" w:sz="4" w:space="0" w:color="auto"/>
              <w:right w:val="single" w:sz="4" w:space="0" w:color="auto"/>
            </w:tcBorders>
            <w:shd w:val="clear" w:color="auto" w:fill="auto"/>
            <w:noWrap/>
            <w:vAlign w:val="center"/>
            <w:hideMark/>
          </w:tcPr>
          <w:p w14:paraId="0D0B24A6"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4,314</w:t>
            </w:r>
          </w:p>
        </w:tc>
        <w:tc>
          <w:tcPr>
            <w:tcW w:w="895" w:type="pct"/>
            <w:tcBorders>
              <w:top w:val="nil"/>
              <w:left w:val="nil"/>
              <w:bottom w:val="single" w:sz="4" w:space="0" w:color="auto"/>
              <w:right w:val="single" w:sz="4" w:space="0" w:color="auto"/>
            </w:tcBorders>
            <w:shd w:val="clear" w:color="auto" w:fill="auto"/>
            <w:noWrap/>
            <w:vAlign w:val="center"/>
            <w:hideMark/>
          </w:tcPr>
          <w:p w14:paraId="7F89BB68" w14:textId="77777777" w:rsidR="006F2AE8" w:rsidRPr="00945E1C" w:rsidRDefault="006F2AE8" w:rsidP="006F2AE8">
            <w:pPr>
              <w:spacing w:after="0" w:line="240" w:lineRule="auto"/>
              <w:jc w:val="center"/>
              <w:rPr>
                <w:rFonts w:eastAsia="Times New Roman" w:cs="Arial"/>
                <w:color w:val="000000"/>
                <w:lang w:eastAsia="en-GB"/>
              </w:rPr>
            </w:pPr>
            <w:r w:rsidRPr="00945E1C">
              <w:rPr>
                <w:rFonts w:eastAsia="Times New Roman" w:cs="Arial"/>
                <w:color w:val="000000"/>
                <w:lang w:eastAsia="en-GB"/>
              </w:rPr>
              <w:t>1</w:t>
            </w:r>
          </w:p>
        </w:tc>
      </w:tr>
    </w:tbl>
    <w:p w14:paraId="0C105043" w14:textId="77777777" w:rsidR="006F2AE8" w:rsidRPr="00717ED2" w:rsidRDefault="006F2AE8" w:rsidP="005B4C24">
      <w:pPr>
        <w:tabs>
          <w:tab w:val="left" w:pos="5753"/>
          <w:tab w:val="left" w:pos="7515"/>
        </w:tabs>
        <w:spacing w:before="60" w:after="0" w:line="240" w:lineRule="auto"/>
        <w:rPr>
          <w:rFonts w:eastAsia="Times New Roman" w:cs="Arial"/>
          <w:color w:val="000000"/>
          <w:sz w:val="22"/>
          <w:lang w:eastAsia="en-GB"/>
        </w:rPr>
      </w:pPr>
      <w:r w:rsidRPr="00717ED2">
        <w:rPr>
          <w:rFonts w:eastAsia="Times New Roman" w:cs="Arial"/>
          <w:color w:val="000000"/>
          <w:sz w:val="22"/>
          <w:lang w:eastAsia="en-GB"/>
        </w:rPr>
        <w:t>*</w:t>
      </w:r>
      <w:r>
        <w:rPr>
          <w:rFonts w:eastAsia="Times New Roman" w:cs="Arial"/>
          <w:color w:val="000000"/>
          <w:sz w:val="22"/>
          <w:lang w:eastAsia="en-GB"/>
        </w:rPr>
        <w:t xml:space="preserve"> </w:t>
      </w:r>
      <w:r w:rsidRPr="00717ED2">
        <w:rPr>
          <w:rFonts w:eastAsia="Times New Roman" w:cs="Arial"/>
          <w:color w:val="000000"/>
          <w:sz w:val="22"/>
          <w:lang w:eastAsia="en-GB"/>
        </w:rPr>
        <w:t xml:space="preserve">Based on the </w:t>
      </w:r>
      <w:r>
        <w:rPr>
          <w:rFonts w:eastAsia="Times New Roman" w:cs="Arial"/>
          <w:color w:val="000000"/>
          <w:sz w:val="22"/>
          <w:lang w:eastAsia="en-GB"/>
        </w:rPr>
        <w:t xml:space="preserve">working definition of long-term NSAID </w:t>
      </w:r>
      <w:proofErr w:type="gramStart"/>
      <w:r>
        <w:rPr>
          <w:rFonts w:eastAsia="Times New Roman" w:cs="Arial"/>
          <w:color w:val="000000"/>
          <w:sz w:val="22"/>
          <w:lang w:eastAsia="en-GB"/>
        </w:rPr>
        <w:t>use:</w:t>
      </w:r>
      <w:proofErr w:type="gramEnd"/>
      <w:r>
        <w:rPr>
          <w:rFonts w:eastAsia="Times New Roman" w:cs="Arial"/>
          <w:color w:val="000000"/>
          <w:sz w:val="22"/>
          <w:lang w:eastAsia="en-GB"/>
        </w:rPr>
        <w:t xml:space="preserve"> p</w:t>
      </w:r>
      <w:r w:rsidRPr="00717ED2">
        <w:rPr>
          <w:rFonts w:eastAsia="Times New Roman" w:cs="Arial"/>
          <w:color w:val="000000"/>
          <w:sz w:val="22"/>
          <w:lang w:eastAsia="en-GB"/>
        </w:rPr>
        <w:t>atients who had had oral NSAIDs prescribed for 12 or more months in the previous 24 months</w:t>
      </w:r>
      <w:r w:rsidRPr="00717ED2">
        <w:rPr>
          <w:rFonts w:eastAsia="Times New Roman" w:cs="Arial"/>
          <w:color w:val="000000"/>
          <w:sz w:val="22"/>
          <w:lang w:eastAsia="en-GB"/>
        </w:rPr>
        <w:tab/>
      </w:r>
      <w:r w:rsidRPr="00717ED2">
        <w:rPr>
          <w:rFonts w:eastAsia="Times New Roman" w:cs="Arial"/>
          <w:color w:val="000000"/>
          <w:sz w:val="22"/>
          <w:lang w:eastAsia="en-GB"/>
        </w:rPr>
        <w:tab/>
      </w:r>
    </w:p>
    <w:p w14:paraId="3EFFC4C4" w14:textId="77777777" w:rsidR="006F2AE8" w:rsidRDefault="006F2AE8" w:rsidP="006F2AE8">
      <w:pPr>
        <w:spacing w:after="160" w:line="259" w:lineRule="auto"/>
        <w:rPr>
          <w:rFonts w:eastAsiaTheme="majorEastAsia" w:cstheme="majorBidi"/>
          <w:b/>
          <w:szCs w:val="24"/>
          <w:shd w:val="clear" w:color="auto" w:fill="FFFFFF"/>
        </w:rPr>
      </w:pPr>
      <w:r>
        <w:rPr>
          <w:shd w:val="clear" w:color="auto" w:fill="FFFFFF"/>
        </w:rPr>
        <w:br w:type="page"/>
      </w:r>
    </w:p>
    <w:p w14:paraId="16C1B959" w14:textId="0FA0B021" w:rsidR="00013EC8" w:rsidRPr="002B10D3" w:rsidRDefault="00013EC8" w:rsidP="00013EC8">
      <w:pPr>
        <w:pStyle w:val="Heading2"/>
      </w:pPr>
      <w:r w:rsidRPr="002B10D3">
        <w:lastRenderedPageBreak/>
        <w:t xml:space="preserve">Contextual information from practice clinical searches </w:t>
      </w:r>
    </w:p>
    <w:p w14:paraId="20F04242" w14:textId="77777777" w:rsidR="00013EC8" w:rsidRDefault="00013EC8" w:rsidP="00013EC8">
      <w:pPr>
        <w:pStyle w:val="Heading3"/>
      </w:pPr>
      <w:r>
        <w:t>Clinical search findings</w:t>
      </w:r>
    </w:p>
    <w:p w14:paraId="5F4630CA" w14:textId="7BA9F4A9" w:rsidR="00037C95" w:rsidRDefault="00037C95" w:rsidP="003D4F45">
      <w:r w:rsidRPr="003D4F45">
        <w:t>The indicator pilot described in this report was a partial pilot using qualitative methods only. However, in order to provide additional context to the pilot feedback, practices were asked to run simple clinical system searches (shown in Appendix E) and share the results of these with NCCID for collation and analysis. Fifteen of the 16 participating practices provided their search findings as requested</w:t>
      </w:r>
      <w:r w:rsidRPr="00126728">
        <w:t xml:space="preserve">, </w:t>
      </w:r>
      <w:r w:rsidR="003542C2" w:rsidRPr="003542C2">
        <w:t xml:space="preserve">including one recently merged practice which had recently merged their administration and submitted two </w:t>
      </w:r>
      <w:proofErr w:type="gramStart"/>
      <w:r w:rsidR="003542C2" w:rsidRPr="003542C2">
        <w:t>returns,</w:t>
      </w:r>
      <w:proofErr w:type="gramEnd"/>
      <w:r w:rsidR="003542C2" w:rsidRPr="003542C2">
        <w:t xml:space="preserve"> therefore 16 clinical search findings have been analysed here</w:t>
      </w:r>
      <w:r w:rsidRPr="00B52ECC">
        <w:t>.</w:t>
      </w:r>
      <w:r w:rsidR="003E4493">
        <w:t xml:space="preserve"> </w:t>
      </w:r>
      <w:r w:rsidR="003E4493">
        <w:rPr>
          <w:color w:val="000000" w:themeColor="text1"/>
        </w:rPr>
        <w:t>Each clinical search return is referred to as a pilot practice in this section.</w:t>
      </w:r>
    </w:p>
    <w:p w14:paraId="22CAA900" w14:textId="09F02911" w:rsidR="00037C95" w:rsidRPr="006A0A30" w:rsidRDefault="00146622" w:rsidP="003D4F45">
      <w:r>
        <w:t>T</w:t>
      </w:r>
      <w:r w:rsidR="00037C95" w:rsidRPr="006A0A30">
        <w:t xml:space="preserve">here were a total of 165,711 registered patients aged 18 and above in the 16 </w:t>
      </w:r>
      <w:r w:rsidR="00037C95">
        <w:t>returns</w:t>
      </w:r>
      <w:r w:rsidR="00037C95" w:rsidRPr="006A0A30">
        <w:t xml:space="preserve"> combined, as of the end of January 2022. One practice did not return a </w:t>
      </w:r>
      <w:proofErr w:type="gramStart"/>
      <w:r w:rsidR="00037C95" w:rsidRPr="006A0A30">
        <w:t>population,</w:t>
      </w:r>
      <w:proofErr w:type="gramEnd"/>
      <w:r w:rsidR="00037C95" w:rsidRPr="006A0A30">
        <w:t xml:space="preserve"> therefore this was taken from the 1</w:t>
      </w:r>
      <w:r w:rsidR="00037C95" w:rsidRPr="006A0A30">
        <w:rPr>
          <w:vertAlign w:val="superscript"/>
        </w:rPr>
        <w:t>st</w:t>
      </w:r>
      <w:r w:rsidR="00037C95" w:rsidRPr="006A0A30">
        <w:t xml:space="preserve"> February NHS Digital Patients Registered at a GP Practice publication</w:t>
      </w:r>
      <w:r w:rsidR="0059482E" w:rsidRPr="0059482E">
        <w:rPr>
          <w:vertAlign w:val="superscript"/>
        </w:rPr>
        <w:fldChar w:fldCharType="begin"/>
      </w:r>
      <w:r w:rsidR="0059482E" w:rsidRPr="0059482E">
        <w:rPr>
          <w:vertAlign w:val="superscript"/>
        </w:rPr>
        <w:instrText xml:space="preserve"> NOTEREF _Ref104532019 \h </w:instrText>
      </w:r>
      <w:r w:rsidR="0059482E">
        <w:rPr>
          <w:vertAlign w:val="superscript"/>
        </w:rPr>
        <w:instrText xml:space="preserve"> \* MERGEFORMAT </w:instrText>
      </w:r>
      <w:r w:rsidR="0059482E" w:rsidRPr="0059482E">
        <w:rPr>
          <w:vertAlign w:val="superscript"/>
        </w:rPr>
      </w:r>
      <w:r w:rsidR="0059482E" w:rsidRPr="0059482E">
        <w:rPr>
          <w:vertAlign w:val="superscript"/>
        </w:rPr>
        <w:fldChar w:fldCharType="separate"/>
      </w:r>
      <w:r w:rsidR="004429A6">
        <w:rPr>
          <w:vertAlign w:val="superscript"/>
        </w:rPr>
        <w:t>11</w:t>
      </w:r>
      <w:r w:rsidR="0059482E" w:rsidRPr="0059482E">
        <w:rPr>
          <w:vertAlign w:val="superscript"/>
        </w:rPr>
        <w:fldChar w:fldCharType="end"/>
      </w:r>
      <w:r w:rsidR="00037C95" w:rsidRPr="006A0A30">
        <w:t>.</w:t>
      </w:r>
    </w:p>
    <w:p w14:paraId="050FAE75" w14:textId="402F3B85" w:rsidR="008F7CD9" w:rsidRDefault="00013EC8" w:rsidP="003D4F45">
      <w:pPr>
        <w:rPr>
          <w:color w:val="000000" w:themeColor="text1"/>
        </w:rPr>
      </w:pPr>
      <w:r w:rsidRPr="00DA501B">
        <w:rPr>
          <w:color w:val="000000" w:themeColor="text1"/>
        </w:rPr>
        <w:t>The aim of the searches was to</w:t>
      </w:r>
      <w:r>
        <w:rPr>
          <w:color w:val="000000" w:themeColor="text1"/>
        </w:rPr>
        <w:t xml:space="preserve"> understand </w:t>
      </w:r>
      <w:r w:rsidR="00A134B6">
        <w:rPr>
          <w:color w:val="000000" w:themeColor="text1"/>
        </w:rPr>
        <w:t xml:space="preserve">the incidence and prevalence of CKD across practices, </w:t>
      </w:r>
      <w:r>
        <w:rPr>
          <w:color w:val="000000" w:themeColor="text1"/>
        </w:rPr>
        <w:t xml:space="preserve">the </w:t>
      </w:r>
      <w:r w:rsidR="00A134B6">
        <w:rPr>
          <w:color w:val="000000" w:themeColor="text1"/>
        </w:rPr>
        <w:t>size of the population being prescribed oral non-steroidal</w:t>
      </w:r>
      <w:r w:rsidR="0059482E">
        <w:rPr>
          <w:color w:val="000000" w:themeColor="text1"/>
        </w:rPr>
        <w:t xml:space="preserve"> anti-inflammatory drugs (NSAIDs</w:t>
      </w:r>
      <w:r w:rsidR="00A134B6">
        <w:rPr>
          <w:color w:val="000000" w:themeColor="text1"/>
        </w:rPr>
        <w:t xml:space="preserve">), and those with CKD with a low (&lt;70mg/mmol) urine albumin to creatinine ratio. </w:t>
      </w:r>
    </w:p>
    <w:p w14:paraId="405BD9F7" w14:textId="461D29F9" w:rsidR="00972EDD" w:rsidRPr="003D4F45" w:rsidRDefault="00972EDD" w:rsidP="00972EDD">
      <w:pPr>
        <w:rPr>
          <w:color w:val="000000" w:themeColor="text1"/>
        </w:rPr>
      </w:pPr>
      <w:r w:rsidRPr="003D4F45">
        <w:rPr>
          <w:color w:val="000000" w:themeColor="text1"/>
        </w:rPr>
        <w:t xml:space="preserve">There were </w:t>
      </w:r>
      <w:r w:rsidR="00B52ECC" w:rsidRPr="003D4F45">
        <w:rPr>
          <w:color w:val="000000" w:themeColor="text1"/>
        </w:rPr>
        <w:t>8,116</w:t>
      </w:r>
      <w:r w:rsidRPr="003D4F45">
        <w:rPr>
          <w:color w:val="000000" w:themeColor="text1"/>
        </w:rPr>
        <w:t xml:space="preserve"> patients</w:t>
      </w:r>
      <w:r w:rsidR="00CC6BEF" w:rsidRPr="003D4F45">
        <w:rPr>
          <w:color w:val="000000" w:themeColor="text1"/>
        </w:rPr>
        <w:t xml:space="preserve"> aged 18 or over</w:t>
      </w:r>
      <w:r w:rsidRPr="003D4F45">
        <w:rPr>
          <w:color w:val="000000" w:themeColor="text1"/>
        </w:rPr>
        <w:t xml:space="preserve"> from 1</w:t>
      </w:r>
      <w:r w:rsidR="00B52ECC" w:rsidRPr="003D4F45">
        <w:rPr>
          <w:color w:val="000000" w:themeColor="text1"/>
        </w:rPr>
        <w:t>6</w:t>
      </w:r>
      <w:r w:rsidRPr="003D4F45">
        <w:rPr>
          <w:color w:val="000000" w:themeColor="text1"/>
        </w:rPr>
        <w:t xml:space="preserve"> pilot practices</w:t>
      </w:r>
      <w:r w:rsidR="00C4200C">
        <w:rPr>
          <w:color w:val="000000" w:themeColor="text1"/>
        </w:rPr>
        <w:t xml:space="preserve"> reported to be</w:t>
      </w:r>
      <w:r w:rsidRPr="003D4F45">
        <w:rPr>
          <w:color w:val="000000" w:themeColor="text1"/>
        </w:rPr>
        <w:t xml:space="preserve"> </w:t>
      </w:r>
      <w:r w:rsidR="00B52ECC" w:rsidRPr="003D4F45">
        <w:rPr>
          <w:color w:val="000000" w:themeColor="text1"/>
        </w:rPr>
        <w:t>on the QOF CKD register at the end of January 2022, which is 4.9</w:t>
      </w:r>
      <w:r w:rsidR="00CC6BEF" w:rsidRPr="003D4F45">
        <w:rPr>
          <w:color w:val="000000" w:themeColor="text1"/>
        </w:rPr>
        <w:t>0</w:t>
      </w:r>
      <w:r w:rsidR="00B52ECC" w:rsidRPr="003D4F45">
        <w:rPr>
          <w:color w:val="000000" w:themeColor="text1"/>
        </w:rPr>
        <w:t>% of the pilot population, higher than the current national QOF average of 3.96%</w:t>
      </w:r>
      <w:r w:rsidRPr="003D4F45">
        <w:rPr>
          <w:color w:val="000000" w:themeColor="text1"/>
        </w:rPr>
        <w:t xml:space="preserve">. </w:t>
      </w:r>
      <w:r w:rsidR="00CC6BEF" w:rsidRPr="003D4F45">
        <w:rPr>
          <w:color w:val="000000" w:themeColor="text1"/>
        </w:rPr>
        <w:t>This varied greatly across the practices, from 1.46% to 13.01%. Of this group, an average of 89.27%</w:t>
      </w:r>
      <w:r w:rsidR="009D0FB2">
        <w:rPr>
          <w:color w:val="000000" w:themeColor="text1"/>
        </w:rPr>
        <w:t xml:space="preserve"> (7,245 patients)</w:t>
      </w:r>
      <w:r w:rsidR="00CC6BEF" w:rsidRPr="003D4F45">
        <w:rPr>
          <w:color w:val="000000" w:themeColor="text1"/>
        </w:rPr>
        <w:t xml:space="preserve"> were aged 65 or over.</w:t>
      </w:r>
      <w:r w:rsidR="002A4D96" w:rsidRPr="002A4D96">
        <w:rPr>
          <w:color w:val="000000" w:themeColor="text1"/>
        </w:rPr>
        <w:t xml:space="preserve"> </w:t>
      </w:r>
      <w:r w:rsidR="002A4D96">
        <w:rPr>
          <w:color w:val="000000" w:themeColor="text1"/>
        </w:rPr>
        <w:t xml:space="preserve">Table </w:t>
      </w:r>
      <w:r w:rsidR="00595D02">
        <w:rPr>
          <w:color w:val="000000" w:themeColor="text1"/>
        </w:rPr>
        <w:t>6</w:t>
      </w:r>
      <w:r w:rsidR="003E4493">
        <w:rPr>
          <w:color w:val="000000" w:themeColor="text1"/>
        </w:rPr>
        <w:t xml:space="preserve"> </w:t>
      </w:r>
      <w:r w:rsidR="002A4D96">
        <w:rPr>
          <w:color w:val="000000" w:themeColor="text1"/>
        </w:rPr>
        <w:t>provides a summary of the</w:t>
      </w:r>
      <w:r w:rsidR="00290EA4">
        <w:rPr>
          <w:color w:val="000000" w:themeColor="text1"/>
        </w:rPr>
        <w:t xml:space="preserve">se </w:t>
      </w:r>
      <w:r w:rsidR="002A4D96">
        <w:rPr>
          <w:color w:val="000000" w:themeColor="text1"/>
        </w:rPr>
        <w:t xml:space="preserve">results at </w:t>
      </w:r>
      <w:r w:rsidR="002A4D96" w:rsidRPr="00595D02">
        <w:rPr>
          <w:color w:val="000000" w:themeColor="text1"/>
        </w:rPr>
        <w:t>practice level.</w:t>
      </w:r>
    </w:p>
    <w:p w14:paraId="150A7E66" w14:textId="77777777" w:rsidR="0058230B" w:rsidRDefault="0058230B">
      <w:pPr>
        <w:spacing w:after="160" w:line="259" w:lineRule="auto"/>
        <w:rPr>
          <w:u w:val="single"/>
        </w:rPr>
      </w:pPr>
      <w:r>
        <w:rPr>
          <w:u w:val="single"/>
        </w:rPr>
        <w:br w:type="page"/>
      </w:r>
    </w:p>
    <w:p w14:paraId="73E7F7D3" w14:textId="32F5A6BD" w:rsidR="00492AD7" w:rsidRPr="009E41EA" w:rsidRDefault="00492AD7" w:rsidP="00972EDD">
      <w:pPr>
        <w:rPr>
          <w:u w:val="single"/>
        </w:rPr>
      </w:pPr>
      <w:r w:rsidRPr="009E41EA">
        <w:rPr>
          <w:u w:val="single"/>
        </w:rPr>
        <w:t xml:space="preserve">Table </w:t>
      </w:r>
      <w:r w:rsidR="0058230B">
        <w:rPr>
          <w:u w:val="single"/>
        </w:rPr>
        <w:t>6</w:t>
      </w:r>
      <w:r w:rsidR="00F056F2" w:rsidRPr="009E41EA">
        <w:rPr>
          <w:u w:val="single"/>
        </w:rPr>
        <w:t>:</w:t>
      </w:r>
      <w:r w:rsidRPr="009E41EA">
        <w:rPr>
          <w:u w:val="single"/>
        </w:rPr>
        <w:t xml:space="preserve"> Summary of </w:t>
      </w:r>
      <w:r w:rsidR="002A4D96" w:rsidRPr="009E41EA">
        <w:rPr>
          <w:u w:val="single"/>
        </w:rPr>
        <w:t xml:space="preserve">CKD register </w:t>
      </w:r>
      <w:r w:rsidRPr="009E41EA">
        <w:rPr>
          <w:u w:val="single"/>
        </w:rPr>
        <w:t>clinical search results</w:t>
      </w:r>
    </w:p>
    <w:tbl>
      <w:tblPr>
        <w:tblW w:w="9351" w:type="dxa"/>
        <w:tblLayout w:type="fixed"/>
        <w:tblLook w:val="04A0" w:firstRow="1" w:lastRow="0" w:firstColumn="1" w:lastColumn="0" w:noHBand="0" w:noVBand="1"/>
      </w:tblPr>
      <w:tblGrid>
        <w:gridCol w:w="1228"/>
        <w:gridCol w:w="1545"/>
        <w:gridCol w:w="3289"/>
        <w:gridCol w:w="3289"/>
      </w:tblGrid>
      <w:tr w:rsidR="002A4D96" w:rsidRPr="007A36F6" w14:paraId="3948D6AE" w14:textId="5BD190E0" w:rsidTr="003D4F45">
        <w:trPr>
          <w:trHeight w:val="750"/>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8A46A" w14:textId="77777777" w:rsidR="002A4D96" w:rsidRDefault="002A4D96" w:rsidP="00406C58">
            <w:pPr>
              <w:spacing w:after="0" w:line="240" w:lineRule="auto"/>
              <w:jc w:val="center"/>
              <w:rPr>
                <w:rFonts w:eastAsia="Times New Roman" w:cs="Arial"/>
                <w:b/>
                <w:bCs/>
                <w:color w:val="000000"/>
                <w:szCs w:val="26"/>
                <w:lang w:eastAsia="en-GB"/>
              </w:rPr>
            </w:pPr>
            <w:r w:rsidRPr="00C8124B">
              <w:rPr>
                <w:rFonts w:eastAsia="Times New Roman" w:cs="Arial"/>
                <w:b/>
                <w:bCs/>
                <w:color w:val="000000"/>
                <w:szCs w:val="26"/>
                <w:lang w:eastAsia="en-GB"/>
              </w:rPr>
              <w:t>Practice</w:t>
            </w:r>
          </w:p>
          <w:p w14:paraId="7FCFA7B7" w14:textId="5BDAC3DC" w:rsidR="006D2324" w:rsidRPr="00C8124B" w:rsidRDefault="006D2324" w:rsidP="00406C58">
            <w:pPr>
              <w:spacing w:after="0" w:line="240" w:lineRule="auto"/>
              <w:jc w:val="center"/>
              <w:rPr>
                <w:rFonts w:eastAsia="Times New Roman" w:cs="Arial"/>
                <w:b/>
                <w:bCs/>
                <w:color w:val="000000"/>
                <w:szCs w:val="26"/>
                <w:lang w:eastAsia="en-GB"/>
              </w:rPr>
            </w:pP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66ED8243" w14:textId="77777777" w:rsidR="002A4D96" w:rsidRDefault="002A4D96" w:rsidP="00406C58">
            <w:pPr>
              <w:spacing w:after="0" w:line="240" w:lineRule="auto"/>
              <w:jc w:val="center"/>
              <w:rPr>
                <w:rFonts w:eastAsia="Times New Roman" w:cs="Arial"/>
                <w:b/>
                <w:bCs/>
                <w:color w:val="000000"/>
                <w:szCs w:val="26"/>
                <w:lang w:eastAsia="en-GB"/>
              </w:rPr>
            </w:pPr>
            <w:r w:rsidRPr="00C8124B">
              <w:rPr>
                <w:rFonts w:eastAsia="Times New Roman" w:cs="Arial"/>
                <w:b/>
                <w:bCs/>
                <w:color w:val="000000"/>
                <w:szCs w:val="26"/>
                <w:lang w:eastAsia="en-GB"/>
              </w:rPr>
              <w:t>Total population</w:t>
            </w:r>
          </w:p>
          <w:p w14:paraId="5C62179B" w14:textId="4AF2FD55" w:rsidR="006D2324" w:rsidRPr="00C8124B" w:rsidRDefault="006D2324" w:rsidP="00406C58">
            <w:pPr>
              <w:spacing w:after="0" w:line="240" w:lineRule="auto"/>
              <w:jc w:val="center"/>
              <w:rPr>
                <w:rFonts w:eastAsia="Times New Roman" w:cs="Arial"/>
                <w:b/>
                <w:bCs/>
                <w:color w:val="000000"/>
                <w:szCs w:val="26"/>
                <w:lang w:eastAsia="en-GB"/>
              </w:rPr>
            </w:pPr>
          </w:p>
        </w:tc>
        <w:tc>
          <w:tcPr>
            <w:tcW w:w="3289" w:type="dxa"/>
            <w:tcBorders>
              <w:top w:val="single" w:sz="4" w:space="0" w:color="auto"/>
              <w:left w:val="nil"/>
              <w:bottom w:val="single" w:sz="4" w:space="0" w:color="auto"/>
              <w:right w:val="single" w:sz="4" w:space="0" w:color="auto"/>
            </w:tcBorders>
            <w:shd w:val="clear" w:color="auto" w:fill="auto"/>
            <w:vAlign w:val="bottom"/>
            <w:hideMark/>
          </w:tcPr>
          <w:p w14:paraId="3ACF7D4E" w14:textId="77777777" w:rsidR="002A4D96" w:rsidRDefault="002A4D96" w:rsidP="00406C58">
            <w:pPr>
              <w:spacing w:after="0" w:line="240" w:lineRule="auto"/>
              <w:jc w:val="center"/>
              <w:rPr>
                <w:rFonts w:eastAsia="Times New Roman" w:cs="Arial"/>
                <w:b/>
                <w:bCs/>
                <w:color w:val="000000"/>
                <w:szCs w:val="26"/>
                <w:lang w:eastAsia="en-GB"/>
              </w:rPr>
            </w:pPr>
            <w:r w:rsidRPr="00C8124B">
              <w:rPr>
                <w:rFonts w:eastAsia="Times New Roman" w:cs="Arial"/>
                <w:b/>
                <w:bCs/>
                <w:color w:val="000000"/>
                <w:szCs w:val="26"/>
                <w:lang w:eastAsia="en-GB"/>
              </w:rPr>
              <w:t>Patients on the QOF CKD register</w:t>
            </w:r>
          </w:p>
          <w:p w14:paraId="3A308687" w14:textId="4A5BB22E" w:rsidR="006D2324" w:rsidRPr="00C8124B" w:rsidRDefault="006D2324" w:rsidP="00406C58">
            <w:pPr>
              <w:spacing w:after="0" w:line="240" w:lineRule="auto"/>
              <w:jc w:val="center"/>
              <w:rPr>
                <w:rFonts w:eastAsia="Times New Roman" w:cs="Arial"/>
                <w:b/>
                <w:bCs/>
                <w:color w:val="000000"/>
                <w:szCs w:val="26"/>
                <w:lang w:eastAsia="en-GB"/>
              </w:rPr>
            </w:pPr>
          </w:p>
        </w:tc>
        <w:tc>
          <w:tcPr>
            <w:tcW w:w="3289" w:type="dxa"/>
            <w:tcBorders>
              <w:top w:val="single" w:sz="4" w:space="0" w:color="auto"/>
              <w:left w:val="nil"/>
              <w:bottom w:val="single" w:sz="4" w:space="0" w:color="auto"/>
              <w:right w:val="single" w:sz="4" w:space="0" w:color="auto"/>
            </w:tcBorders>
            <w:shd w:val="clear" w:color="auto" w:fill="auto"/>
            <w:vAlign w:val="bottom"/>
            <w:hideMark/>
          </w:tcPr>
          <w:p w14:paraId="72A5AE20" w14:textId="382E1B14" w:rsidR="002A4D96" w:rsidRPr="00C8124B" w:rsidRDefault="002A4D96" w:rsidP="00406C58">
            <w:pPr>
              <w:spacing w:after="0" w:line="240" w:lineRule="auto"/>
              <w:jc w:val="center"/>
              <w:rPr>
                <w:rFonts w:eastAsia="Times New Roman" w:cs="Arial"/>
                <w:b/>
                <w:bCs/>
                <w:color w:val="000000"/>
                <w:szCs w:val="26"/>
                <w:lang w:eastAsia="en-GB"/>
              </w:rPr>
            </w:pPr>
            <w:r w:rsidRPr="00C8124B">
              <w:rPr>
                <w:rFonts w:eastAsia="Times New Roman" w:cs="Arial"/>
                <w:b/>
                <w:bCs/>
                <w:color w:val="000000"/>
                <w:szCs w:val="26"/>
                <w:lang w:eastAsia="en-GB"/>
              </w:rPr>
              <w:t>Patients on the QOF CKD register aged 65 or over (% of previous column)</w:t>
            </w:r>
          </w:p>
        </w:tc>
      </w:tr>
      <w:tr w:rsidR="002A4D96" w:rsidRPr="007A36F6" w14:paraId="21DB1EB7" w14:textId="5D1ABE2E"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3A60B1B8" w14:textId="206E3EF8"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1</w:t>
            </w:r>
          </w:p>
        </w:tc>
        <w:tc>
          <w:tcPr>
            <w:tcW w:w="1545" w:type="dxa"/>
            <w:tcBorders>
              <w:top w:val="nil"/>
              <w:left w:val="nil"/>
              <w:bottom w:val="single" w:sz="4" w:space="0" w:color="auto"/>
              <w:right w:val="single" w:sz="4" w:space="0" w:color="auto"/>
            </w:tcBorders>
            <w:shd w:val="clear" w:color="auto" w:fill="auto"/>
            <w:noWrap/>
            <w:vAlign w:val="center"/>
            <w:hideMark/>
          </w:tcPr>
          <w:p w14:paraId="2A8EB7E3" w14:textId="4AC8B301"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16</w:t>
            </w:r>
            <w:r>
              <w:rPr>
                <w:rFonts w:eastAsia="Times New Roman" w:cs="Arial"/>
                <w:color w:val="000000"/>
                <w:szCs w:val="24"/>
                <w:lang w:eastAsia="en-GB"/>
              </w:rPr>
              <w:t>,</w:t>
            </w:r>
            <w:r w:rsidRPr="00541A4A">
              <w:rPr>
                <w:rFonts w:eastAsia="Times New Roman" w:cs="Arial"/>
                <w:color w:val="000000"/>
                <w:szCs w:val="24"/>
                <w:lang w:eastAsia="en-GB"/>
              </w:rPr>
              <w:t>591</w:t>
            </w:r>
          </w:p>
        </w:tc>
        <w:tc>
          <w:tcPr>
            <w:tcW w:w="3289" w:type="dxa"/>
            <w:tcBorders>
              <w:top w:val="nil"/>
              <w:left w:val="nil"/>
              <w:bottom w:val="single" w:sz="4" w:space="0" w:color="auto"/>
              <w:right w:val="single" w:sz="4" w:space="0" w:color="auto"/>
            </w:tcBorders>
            <w:shd w:val="clear" w:color="auto" w:fill="auto"/>
            <w:noWrap/>
            <w:vAlign w:val="center"/>
            <w:hideMark/>
          </w:tcPr>
          <w:p w14:paraId="4031435A" w14:textId="4C137860" w:rsidR="002A4D96" w:rsidRPr="00541A4A" w:rsidRDefault="002A4D96" w:rsidP="00C8124B">
            <w:pPr>
              <w:spacing w:before="40" w:after="40" w:line="240" w:lineRule="auto"/>
              <w:jc w:val="right"/>
              <w:rPr>
                <w:rFonts w:eastAsia="Times New Roman" w:cs="Arial"/>
                <w:color w:val="000000"/>
                <w:szCs w:val="24"/>
                <w:lang w:eastAsia="en-GB"/>
              </w:rPr>
            </w:pPr>
            <w:r w:rsidRPr="005F6DFF">
              <w:t>918 (5.5%)</w:t>
            </w:r>
          </w:p>
        </w:tc>
        <w:tc>
          <w:tcPr>
            <w:tcW w:w="3289" w:type="dxa"/>
            <w:tcBorders>
              <w:top w:val="nil"/>
              <w:left w:val="nil"/>
              <w:bottom w:val="single" w:sz="4" w:space="0" w:color="auto"/>
              <w:right w:val="single" w:sz="4" w:space="0" w:color="auto"/>
            </w:tcBorders>
            <w:shd w:val="clear" w:color="auto" w:fill="auto"/>
            <w:noWrap/>
            <w:vAlign w:val="center"/>
            <w:hideMark/>
          </w:tcPr>
          <w:p w14:paraId="3CF19CE7" w14:textId="21914542" w:rsidR="002A4D96" w:rsidRPr="00541A4A" w:rsidRDefault="002A4D96" w:rsidP="00C8124B">
            <w:pPr>
              <w:spacing w:before="40" w:after="40" w:line="240" w:lineRule="auto"/>
              <w:jc w:val="right"/>
              <w:rPr>
                <w:rFonts w:eastAsia="Times New Roman" w:cs="Arial"/>
                <w:color w:val="000000"/>
                <w:szCs w:val="24"/>
                <w:lang w:eastAsia="en-GB"/>
              </w:rPr>
            </w:pPr>
            <w:r w:rsidRPr="005F6DFF">
              <w:t>859 (93.6%)</w:t>
            </w:r>
          </w:p>
        </w:tc>
      </w:tr>
      <w:tr w:rsidR="002A4D96" w:rsidRPr="007A36F6" w14:paraId="7AD288AA" w14:textId="649BB86B"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6E361A42" w14:textId="7C70683E"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2</w:t>
            </w:r>
          </w:p>
        </w:tc>
        <w:tc>
          <w:tcPr>
            <w:tcW w:w="1545" w:type="dxa"/>
            <w:tcBorders>
              <w:top w:val="nil"/>
              <w:left w:val="nil"/>
              <w:bottom w:val="single" w:sz="4" w:space="0" w:color="auto"/>
              <w:right w:val="single" w:sz="4" w:space="0" w:color="auto"/>
            </w:tcBorders>
            <w:shd w:val="clear" w:color="auto" w:fill="auto"/>
            <w:noWrap/>
            <w:vAlign w:val="center"/>
            <w:hideMark/>
          </w:tcPr>
          <w:p w14:paraId="2C9A56A1" w14:textId="2AA11C05"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8</w:t>
            </w:r>
            <w:r>
              <w:rPr>
                <w:rFonts w:eastAsia="Times New Roman" w:cs="Arial"/>
                <w:color w:val="000000"/>
                <w:szCs w:val="24"/>
                <w:lang w:eastAsia="en-GB"/>
              </w:rPr>
              <w:t>,</w:t>
            </w:r>
            <w:r w:rsidRPr="00541A4A">
              <w:rPr>
                <w:rFonts w:eastAsia="Times New Roman" w:cs="Arial"/>
                <w:color w:val="000000"/>
                <w:szCs w:val="24"/>
                <w:lang w:eastAsia="en-GB"/>
              </w:rPr>
              <w:t>025</w:t>
            </w:r>
          </w:p>
        </w:tc>
        <w:tc>
          <w:tcPr>
            <w:tcW w:w="3289" w:type="dxa"/>
            <w:tcBorders>
              <w:top w:val="nil"/>
              <w:left w:val="nil"/>
              <w:bottom w:val="single" w:sz="4" w:space="0" w:color="auto"/>
              <w:right w:val="single" w:sz="4" w:space="0" w:color="auto"/>
            </w:tcBorders>
            <w:shd w:val="clear" w:color="auto" w:fill="auto"/>
            <w:noWrap/>
            <w:vAlign w:val="center"/>
            <w:hideMark/>
          </w:tcPr>
          <w:p w14:paraId="37FA33AF" w14:textId="400EE5B0" w:rsidR="002A4D96" w:rsidRPr="00541A4A" w:rsidRDefault="002A4D96" w:rsidP="00C8124B">
            <w:pPr>
              <w:spacing w:before="40" w:after="40" w:line="240" w:lineRule="auto"/>
              <w:jc w:val="right"/>
              <w:rPr>
                <w:rFonts w:eastAsia="Times New Roman" w:cs="Arial"/>
                <w:color w:val="000000"/>
                <w:szCs w:val="24"/>
                <w:lang w:eastAsia="en-GB"/>
              </w:rPr>
            </w:pPr>
            <w:r w:rsidRPr="005F6DFF">
              <w:t>370 (4.6%)</w:t>
            </w:r>
          </w:p>
        </w:tc>
        <w:tc>
          <w:tcPr>
            <w:tcW w:w="3289" w:type="dxa"/>
            <w:tcBorders>
              <w:top w:val="nil"/>
              <w:left w:val="nil"/>
              <w:bottom w:val="single" w:sz="4" w:space="0" w:color="auto"/>
              <w:right w:val="single" w:sz="4" w:space="0" w:color="auto"/>
            </w:tcBorders>
            <w:shd w:val="clear" w:color="auto" w:fill="auto"/>
            <w:noWrap/>
            <w:vAlign w:val="center"/>
            <w:hideMark/>
          </w:tcPr>
          <w:p w14:paraId="149D8835" w14:textId="72132C69" w:rsidR="002A4D96" w:rsidRPr="00541A4A" w:rsidRDefault="002A4D96" w:rsidP="00C8124B">
            <w:pPr>
              <w:spacing w:before="40" w:after="40" w:line="240" w:lineRule="auto"/>
              <w:jc w:val="right"/>
              <w:rPr>
                <w:rFonts w:eastAsia="Times New Roman" w:cs="Arial"/>
                <w:color w:val="000000"/>
                <w:szCs w:val="24"/>
                <w:lang w:eastAsia="en-GB"/>
              </w:rPr>
            </w:pPr>
            <w:r w:rsidRPr="005F6DFF">
              <w:t>340 (91.9%)</w:t>
            </w:r>
          </w:p>
        </w:tc>
      </w:tr>
      <w:tr w:rsidR="002A4D96" w:rsidRPr="007A36F6" w14:paraId="5ED7DD99" w14:textId="266F56A1"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79D1EE8B" w14:textId="00DF69A6"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3</w:t>
            </w:r>
          </w:p>
        </w:tc>
        <w:tc>
          <w:tcPr>
            <w:tcW w:w="1545" w:type="dxa"/>
            <w:tcBorders>
              <w:top w:val="nil"/>
              <w:left w:val="nil"/>
              <w:bottom w:val="single" w:sz="4" w:space="0" w:color="auto"/>
              <w:right w:val="single" w:sz="4" w:space="0" w:color="auto"/>
            </w:tcBorders>
            <w:shd w:val="clear" w:color="auto" w:fill="auto"/>
            <w:noWrap/>
            <w:vAlign w:val="center"/>
            <w:hideMark/>
          </w:tcPr>
          <w:p w14:paraId="05B95664" w14:textId="33DB553E"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5</w:t>
            </w:r>
            <w:r>
              <w:rPr>
                <w:rFonts w:eastAsia="Times New Roman" w:cs="Arial"/>
                <w:color w:val="000000"/>
                <w:szCs w:val="24"/>
                <w:lang w:eastAsia="en-GB"/>
              </w:rPr>
              <w:t>,</w:t>
            </w:r>
            <w:r w:rsidRPr="00541A4A">
              <w:rPr>
                <w:rFonts w:eastAsia="Times New Roman" w:cs="Arial"/>
                <w:color w:val="000000"/>
                <w:szCs w:val="24"/>
                <w:lang w:eastAsia="en-GB"/>
              </w:rPr>
              <w:t>808</w:t>
            </w:r>
          </w:p>
        </w:tc>
        <w:tc>
          <w:tcPr>
            <w:tcW w:w="3289" w:type="dxa"/>
            <w:tcBorders>
              <w:top w:val="nil"/>
              <w:left w:val="nil"/>
              <w:bottom w:val="single" w:sz="4" w:space="0" w:color="auto"/>
              <w:right w:val="single" w:sz="4" w:space="0" w:color="auto"/>
            </w:tcBorders>
            <w:shd w:val="clear" w:color="auto" w:fill="auto"/>
            <w:noWrap/>
            <w:vAlign w:val="center"/>
            <w:hideMark/>
          </w:tcPr>
          <w:p w14:paraId="3233F29A" w14:textId="49CE0578" w:rsidR="002A4D96" w:rsidRPr="00541A4A" w:rsidRDefault="002A4D96" w:rsidP="00C8124B">
            <w:pPr>
              <w:spacing w:before="40" w:after="40" w:line="240" w:lineRule="auto"/>
              <w:jc w:val="right"/>
              <w:rPr>
                <w:rFonts w:eastAsia="Times New Roman" w:cs="Arial"/>
                <w:color w:val="000000"/>
                <w:szCs w:val="24"/>
                <w:lang w:eastAsia="en-GB"/>
              </w:rPr>
            </w:pPr>
            <w:r w:rsidRPr="005F6DFF">
              <w:t>166 (2.9%)</w:t>
            </w:r>
          </w:p>
        </w:tc>
        <w:tc>
          <w:tcPr>
            <w:tcW w:w="3289" w:type="dxa"/>
            <w:tcBorders>
              <w:top w:val="nil"/>
              <w:left w:val="nil"/>
              <w:bottom w:val="single" w:sz="4" w:space="0" w:color="auto"/>
              <w:right w:val="single" w:sz="4" w:space="0" w:color="auto"/>
            </w:tcBorders>
            <w:shd w:val="clear" w:color="auto" w:fill="auto"/>
            <w:noWrap/>
            <w:vAlign w:val="center"/>
            <w:hideMark/>
          </w:tcPr>
          <w:p w14:paraId="0DEEC13C" w14:textId="4F1CFEFF" w:rsidR="002A4D96" w:rsidRPr="00541A4A" w:rsidRDefault="002A4D96" w:rsidP="00C8124B">
            <w:pPr>
              <w:spacing w:before="40" w:after="40" w:line="240" w:lineRule="auto"/>
              <w:jc w:val="right"/>
              <w:rPr>
                <w:rFonts w:eastAsia="Times New Roman" w:cs="Arial"/>
                <w:color w:val="000000"/>
                <w:szCs w:val="24"/>
                <w:lang w:eastAsia="en-GB"/>
              </w:rPr>
            </w:pPr>
            <w:r w:rsidRPr="005F6DFF">
              <w:t>154 (92.8%)</w:t>
            </w:r>
          </w:p>
        </w:tc>
      </w:tr>
      <w:tr w:rsidR="002A4D96" w:rsidRPr="007A36F6" w14:paraId="6DF8E0AF" w14:textId="68443D76"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1A5D2D7F" w14:textId="79AA5871"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4</w:t>
            </w:r>
          </w:p>
        </w:tc>
        <w:tc>
          <w:tcPr>
            <w:tcW w:w="1545" w:type="dxa"/>
            <w:tcBorders>
              <w:top w:val="nil"/>
              <w:left w:val="nil"/>
              <w:bottom w:val="single" w:sz="4" w:space="0" w:color="auto"/>
              <w:right w:val="single" w:sz="4" w:space="0" w:color="auto"/>
            </w:tcBorders>
            <w:shd w:val="clear" w:color="auto" w:fill="auto"/>
            <w:noWrap/>
            <w:vAlign w:val="center"/>
            <w:hideMark/>
          </w:tcPr>
          <w:p w14:paraId="03A71EBB" w14:textId="5B0DEE40"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8</w:t>
            </w:r>
            <w:r>
              <w:rPr>
                <w:rFonts w:eastAsia="Times New Roman" w:cs="Arial"/>
                <w:color w:val="000000"/>
                <w:szCs w:val="24"/>
                <w:lang w:eastAsia="en-GB"/>
              </w:rPr>
              <w:t>,</w:t>
            </w:r>
            <w:r w:rsidRPr="00541A4A">
              <w:rPr>
                <w:rFonts w:eastAsia="Times New Roman" w:cs="Arial"/>
                <w:color w:val="000000"/>
                <w:szCs w:val="24"/>
                <w:lang w:eastAsia="en-GB"/>
              </w:rPr>
              <w:t>298</w:t>
            </w:r>
          </w:p>
        </w:tc>
        <w:tc>
          <w:tcPr>
            <w:tcW w:w="3289" w:type="dxa"/>
            <w:tcBorders>
              <w:top w:val="nil"/>
              <w:left w:val="nil"/>
              <w:bottom w:val="single" w:sz="4" w:space="0" w:color="auto"/>
              <w:right w:val="single" w:sz="4" w:space="0" w:color="auto"/>
            </w:tcBorders>
            <w:shd w:val="clear" w:color="auto" w:fill="auto"/>
            <w:noWrap/>
            <w:vAlign w:val="center"/>
            <w:hideMark/>
          </w:tcPr>
          <w:p w14:paraId="3D52AB40" w14:textId="1F6C917D" w:rsidR="002A4D96" w:rsidRPr="00541A4A" w:rsidRDefault="002A4D96" w:rsidP="00C8124B">
            <w:pPr>
              <w:spacing w:before="40" w:after="40" w:line="240" w:lineRule="auto"/>
              <w:jc w:val="right"/>
              <w:rPr>
                <w:rFonts w:eastAsia="Times New Roman" w:cs="Arial"/>
                <w:color w:val="000000"/>
                <w:szCs w:val="24"/>
                <w:lang w:eastAsia="en-GB"/>
              </w:rPr>
            </w:pPr>
            <w:r w:rsidRPr="005F6DFF">
              <w:t>234 (2.8%)</w:t>
            </w:r>
          </w:p>
        </w:tc>
        <w:tc>
          <w:tcPr>
            <w:tcW w:w="3289" w:type="dxa"/>
            <w:tcBorders>
              <w:top w:val="nil"/>
              <w:left w:val="nil"/>
              <w:bottom w:val="single" w:sz="4" w:space="0" w:color="auto"/>
              <w:right w:val="single" w:sz="4" w:space="0" w:color="auto"/>
            </w:tcBorders>
            <w:shd w:val="clear" w:color="auto" w:fill="auto"/>
            <w:noWrap/>
            <w:vAlign w:val="center"/>
            <w:hideMark/>
          </w:tcPr>
          <w:p w14:paraId="27807C62" w14:textId="2263C333" w:rsidR="002A4D96" w:rsidRPr="00541A4A" w:rsidRDefault="002A4D96" w:rsidP="00C8124B">
            <w:pPr>
              <w:spacing w:before="40" w:after="40" w:line="240" w:lineRule="auto"/>
              <w:jc w:val="right"/>
              <w:rPr>
                <w:rFonts w:eastAsia="Times New Roman" w:cs="Arial"/>
                <w:color w:val="000000"/>
                <w:szCs w:val="24"/>
                <w:lang w:eastAsia="en-GB"/>
              </w:rPr>
            </w:pPr>
            <w:r w:rsidRPr="005F6DFF">
              <w:t>195 (83.3%)</w:t>
            </w:r>
          </w:p>
        </w:tc>
      </w:tr>
      <w:tr w:rsidR="002A4D96" w:rsidRPr="007A36F6" w14:paraId="24ACA9D9" w14:textId="759F2FBA"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7FD09EB8" w14:textId="43E6068F"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5</w:t>
            </w:r>
          </w:p>
        </w:tc>
        <w:tc>
          <w:tcPr>
            <w:tcW w:w="1545" w:type="dxa"/>
            <w:tcBorders>
              <w:top w:val="nil"/>
              <w:left w:val="nil"/>
              <w:bottom w:val="single" w:sz="4" w:space="0" w:color="auto"/>
              <w:right w:val="single" w:sz="4" w:space="0" w:color="auto"/>
            </w:tcBorders>
            <w:shd w:val="clear" w:color="auto" w:fill="auto"/>
            <w:noWrap/>
            <w:vAlign w:val="center"/>
            <w:hideMark/>
          </w:tcPr>
          <w:p w14:paraId="0165F082" w14:textId="42D64D27"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7</w:t>
            </w:r>
            <w:r>
              <w:rPr>
                <w:rFonts w:eastAsia="Times New Roman" w:cs="Arial"/>
                <w:color w:val="000000"/>
                <w:szCs w:val="24"/>
                <w:lang w:eastAsia="en-GB"/>
              </w:rPr>
              <w:t>,</w:t>
            </w:r>
            <w:r w:rsidRPr="00541A4A">
              <w:rPr>
                <w:rFonts w:eastAsia="Times New Roman" w:cs="Arial"/>
                <w:color w:val="000000"/>
                <w:szCs w:val="24"/>
                <w:lang w:eastAsia="en-GB"/>
              </w:rPr>
              <w:t>047</w:t>
            </w:r>
          </w:p>
        </w:tc>
        <w:tc>
          <w:tcPr>
            <w:tcW w:w="3289" w:type="dxa"/>
            <w:tcBorders>
              <w:top w:val="nil"/>
              <w:left w:val="nil"/>
              <w:bottom w:val="single" w:sz="4" w:space="0" w:color="auto"/>
              <w:right w:val="single" w:sz="4" w:space="0" w:color="auto"/>
            </w:tcBorders>
            <w:shd w:val="clear" w:color="auto" w:fill="auto"/>
            <w:noWrap/>
            <w:vAlign w:val="center"/>
            <w:hideMark/>
          </w:tcPr>
          <w:p w14:paraId="3EC861DA" w14:textId="5CF76B08" w:rsidR="002A4D96" w:rsidRPr="00541A4A" w:rsidRDefault="002A4D96" w:rsidP="00C8124B">
            <w:pPr>
              <w:spacing w:before="40" w:after="40" w:line="240" w:lineRule="auto"/>
              <w:jc w:val="right"/>
              <w:rPr>
                <w:rFonts w:eastAsia="Times New Roman" w:cs="Arial"/>
                <w:color w:val="000000"/>
                <w:szCs w:val="24"/>
                <w:lang w:eastAsia="en-GB"/>
              </w:rPr>
            </w:pPr>
            <w:r w:rsidRPr="005F6DFF">
              <w:t>104 (1.5%)</w:t>
            </w:r>
          </w:p>
        </w:tc>
        <w:tc>
          <w:tcPr>
            <w:tcW w:w="3289" w:type="dxa"/>
            <w:tcBorders>
              <w:top w:val="nil"/>
              <w:left w:val="nil"/>
              <w:bottom w:val="single" w:sz="4" w:space="0" w:color="auto"/>
              <w:right w:val="single" w:sz="4" w:space="0" w:color="auto"/>
            </w:tcBorders>
            <w:shd w:val="clear" w:color="auto" w:fill="auto"/>
            <w:noWrap/>
            <w:vAlign w:val="center"/>
            <w:hideMark/>
          </w:tcPr>
          <w:p w14:paraId="285EABA2" w14:textId="06869F70" w:rsidR="002A4D96" w:rsidRPr="00541A4A" w:rsidRDefault="002A4D96" w:rsidP="00C8124B">
            <w:pPr>
              <w:spacing w:before="40" w:after="40" w:line="240" w:lineRule="auto"/>
              <w:jc w:val="right"/>
              <w:rPr>
                <w:rFonts w:eastAsia="Times New Roman" w:cs="Arial"/>
                <w:color w:val="000000"/>
                <w:szCs w:val="24"/>
                <w:lang w:eastAsia="en-GB"/>
              </w:rPr>
            </w:pPr>
            <w:r w:rsidRPr="005F6DFF">
              <w:t>80 (76.9%)</w:t>
            </w:r>
          </w:p>
        </w:tc>
      </w:tr>
      <w:tr w:rsidR="002A4D96" w:rsidRPr="007A36F6" w14:paraId="395957C5" w14:textId="3436C780"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0EFCAA6C" w14:textId="772BF15F"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6</w:t>
            </w:r>
          </w:p>
        </w:tc>
        <w:tc>
          <w:tcPr>
            <w:tcW w:w="1545" w:type="dxa"/>
            <w:tcBorders>
              <w:top w:val="nil"/>
              <w:left w:val="nil"/>
              <w:bottom w:val="single" w:sz="4" w:space="0" w:color="auto"/>
              <w:right w:val="single" w:sz="4" w:space="0" w:color="auto"/>
            </w:tcBorders>
            <w:shd w:val="clear" w:color="auto" w:fill="auto"/>
            <w:noWrap/>
            <w:vAlign w:val="center"/>
            <w:hideMark/>
          </w:tcPr>
          <w:p w14:paraId="0E22BABE" w14:textId="3B674D7E"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9</w:t>
            </w:r>
            <w:r>
              <w:rPr>
                <w:rFonts w:eastAsia="Times New Roman" w:cs="Arial"/>
                <w:color w:val="000000"/>
                <w:szCs w:val="24"/>
                <w:lang w:eastAsia="en-GB"/>
              </w:rPr>
              <w:t>,</w:t>
            </w:r>
            <w:r w:rsidRPr="00541A4A">
              <w:rPr>
                <w:rFonts w:eastAsia="Times New Roman" w:cs="Arial"/>
                <w:color w:val="000000"/>
                <w:szCs w:val="24"/>
                <w:lang w:eastAsia="en-GB"/>
              </w:rPr>
              <w:t>480</w:t>
            </w:r>
          </w:p>
        </w:tc>
        <w:tc>
          <w:tcPr>
            <w:tcW w:w="3289" w:type="dxa"/>
            <w:tcBorders>
              <w:top w:val="nil"/>
              <w:left w:val="nil"/>
              <w:bottom w:val="single" w:sz="4" w:space="0" w:color="auto"/>
              <w:right w:val="single" w:sz="4" w:space="0" w:color="auto"/>
            </w:tcBorders>
            <w:shd w:val="clear" w:color="auto" w:fill="auto"/>
            <w:noWrap/>
            <w:vAlign w:val="center"/>
            <w:hideMark/>
          </w:tcPr>
          <w:p w14:paraId="6562C5C4" w14:textId="66794075" w:rsidR="002A4D96" w:rsidRPr="00541A4A" w:rsidRDefault="002A4D96" w:rsidP="00C8124B">
            <w:pPr>
              <w:spacing w:before="40" w:after="40" w:line="240" w:lineRule="auto"/>
              <w:jc w:val="right"/>
              <w:rPr>
                <w:rFonts w:eastAsia="Times New Roman" w:cs="Arial"/>
                <w:color w:val="000000"/>
                <w:szCs w:val="24"/>
                <w:lang w:eastAsia="en-GB"/>
              </w:rPr>
            </w:pPr>
            <w:r w:rsidRPr="005F6DFF">
              <w:t>163 (1.7%)</w:t>
            </w:r>
          </w:p>
        </w:tc>
        <w:tc>
          <w:tcPr>
            <w:tcW w:w="3289" w:type="dxa"/>
            <w:tcBorders>
              <w:top w:val="nil"/>
              <w:left w:val="nil"/>
              <w:bottom w:val="single" w:sz="4" w:space="0" w:color="auto"/>
              <w:right w:val="single" w:sz="4" w:space="0" w:color="auto"/>
            </w:tcBorders>
            <w:shd w:val="clear" w:color="auto" w:fill="auto"/>
            <w:noWrap/>
            <w:vAlign w:val="center"/>
            <w:hideMark/>
          </w:tcPr>
          <w:p w14:paraId="1949D9A1" w14:textId="35E884AE" w:rsidR="002A4D96" w:rsidRPr="00541A4A" w:rsidRDefault="002A4D96" w:rsidP="00C8124B">
            <w:pPr>
              <w:spacing w:before="40" w:after="40" w:line="240" w:lineRule="auto"/>
              <w:jc w:val="right"/>
              <w:rPr>
                <w:rFonts w:eastAsia="Times New Roman" w:cs="Arial"/>
                <w:color w:val="000000"/>
                <w:szCs w:val="24"/>
                <w:lang w:eastAsia="en-GB"/>
              </w:rPr>
            </w:pPr>
            <w:r w:rsidRPr="005F6DFF">
              <w:t>127 (77.9%)</w:t>
            </w:r>
          </w:p>
        </w:tc>
      </w:tr>
      <w:tr w:rsidR="002A4D96" w:rsidRPr="007A36F6" w14:paraId="7639D34A" w14:textId="1A00CD36"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3388EFFE" w14:textId="1EF9CC5E"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7</w:t>
            </w:r>
          </w:p>
        </w:tc>
        <w:tc>
          <w:tcPr>
            <w:tcW w:w="1545" w:type="dxa"/>
            <w:tcBorders>
              <w:top w:val="nil"/>
              <w:left w:val="nil"/>
              <w:bottom w:val="single" w:sz="4" w:space="0" w:color="auto"/>
              <w:right w:val="single" w:sz="4" w:space="0" w:color="auto"/>
            </w:tcBorders>
            <w:shd w:val="clear" w:color="auto" w:fill="auto"/>
            <w:noWrap/>
            <w:vAlign w:val="center"/>
            <w:hideMark/>
          </w:tcPr>
          <w:p w14:paraId="276BAB6E" w14:textId="312C5D96"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12</w:t>
            </w:r>
            <w:r>
              <w:rPr>
                <w:rFonts w:eastAsia="Times New Roman" w:cs="Arial"/>
                <w:color w:val="000000"/>
                <w:szCs w:val="24"/>
                <w:lang w:eastAsia="en-GB"/>
              </w:rPr>
              <w:t>,</w:t>
            </w:r>
            <w:r w:rsidRPr="00541A4A">
              <w:rPr>
                <w:rFonts w:eastAsia="Times New Roman" w:cs="Arial"/>
                <w:color w:val="000000"/>
                <w:szCs w:val="24"/>
                <w:lang w:eastAsia="en-GB"/>
              </w:rPr>
              <w:t>025</w:t>
            </w:r>
          </w:p>
        </w:tc>
        <w:tc>
          <w:tcPr>
            <w:tcW w:w="3289" w:type="dxa"/>
            <w:tcBorders>
              <w:top w:val="nil"/>
              <w:left w:val="nil"/>
              <w:bottom w:val="single" w:sz="4" w:space="0" w:color="auto"/>
              <w:right w:val="single" w:sz="4" w:space="0" w:color="auto"/>
            </w:tcBorders>
            <w:shd w:val="clear" w:color="auto" w:fill="auto"/>
            <w:noWrap/>
            <w:vAlign w:val="center"/>
            <w:hideMark/>
          </w:tcPr>
          <w:p w14:paraId="689C71BA" w14:textId="22E3E6F7" w:rsidR="002A4D96" w:rsidRPr="00541A4A" w:rsidRDefault="002A4D96" w:rsidP="00C8124B">
            <w:pPr>
              <w:spacing w:before="40" w:after="40" w:line="240" w:lineRule="auto"/>
              <w:jc w:val="right"/>
              <w:rPr>
                <w:rFonts w:eastAsia="Times New Roman" w:cs="Arial"/>
                <w:color w:val="000000"/>
                <w:szCs w:val="24"/>
                <w:lang w:eastAsia="en-GB"/>
              </w:rPr>
            </w:pPr>
            <w:r w:rsidRPr="005F6DFF">
              <w:t>1</w:t>
            </w:r>
            <w:r>
              <w:t>,</w:t>
            </w:r>
            <w:r w:rsidRPr="005F6DFF">
              <w:t>564 (13.0%)</w:t>
            </w:r>
          </w:p>
        </w:tc>
        <w:tc>
          <w:tcPr>
            <w:tcW w:w="3289" w:type="dxa"/>
            <w:tcBorders>
              <w:top w:val="nil"/>
              <w:left w:val="nil"/>
              <w:bottom w:val="single" w:sz="4" w:space="0" w:color="auto"/>
              <w:right w:val="single" w:sz="4" w:space="0" w:color="auto"/>
            </w:tcBorders>
            <w:shd w:val="clear" w:color="auto" w:fill="auto"/>
            <w:noWrap/>
            <w:vAlign w:val="center"/>
            <w:hideMark/>
          </w:tcPr>
          <w:p w14:paraId="54C3D372" w14:textId="04610B72" w:rsidR="002A4D96" w:rsidRPr="00541A4A" w:rsidRDefault="002A4D96" w:rsidP="00C8124B">
            <w:pPr>
              <w:spacing w:before="40" w:after="40" w:line="240" w:lineRule="auto"/>
              <w:jc w:val="right"/>
              <w:rPr>
                <w:rFonts w:eastAsia="Times New Roman" w:cs="Arial"/>
                <w:color w:val="000000"/>
                <w:szCs w:val="24"/>
                <w:lang w:eastAsia="en-GB"/>
              </w:rPr>
            </w:pPr>
            <w:r w:rsidRPr="005F6DFF">
              <w:t>1</w:t>
            </w:r>
            <w:r>
              <w:t>,</w:t>
            </w:r>
            <w:r w:rsidRPr="005F6DFF">
              <w:t>426 (91.2%)</w:t>
            </w:r>
          </w:p>
        </w:tc>
      </w:tr>
      <w:tr w:rsidR="002A4D96" w:rsidRPr="007A36F6" w14:paraId="58CC4356" w14:textId="69518876"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236BA702" w14:textId="00A83121"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8</w:t>
            </w:r>
          </w:p>
        </w:tc>
        <w:tc>
          <w:tcPr>
            <w:tcW w:w="1545" w:type="dxa"/>
            <w:tcBorders>
              <w:top w:val="nil"/>
              <w:left w:val="nil"/>
              <w:bottom w:val="single" w:sz="4" w:space="0" w:color="auto"/>
              <w:right w:val="single" w:sz="4" w:space="0" w:color="auto"/>
            </w:tcBorders>
            <w:shd w:val="clear" w:color="auto" w:fill="auto"/>
            <w:noWrap/>
            <w:vAlign w:val="center"/>
            <w:hideMark/>
          </w:tcPr>
          <w:p w14:paraId="73F2CB92" w14:textId="063CE4B2"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11</w:t>
            </w:r>
            <w:r>
              <w:rPr>
                <w:rFonts w:eastAsia="Times New Roman" w:cs="Arial"/>
                <w:color w:val="000000"/>
                <w:szCs w:val="24"/>
                <w:lang w:eastAsia="en-GB"/>
              </w:rPr>
              <w:t>,</w:t>
            </w:r>
            <w:r w:rsidRPr="00541A4A">
              <w:rPr>
                <w:rFonts w:eastAsia="Times New Roman" w:cs="Arial"/>
                <w:color w:val="000000"/>
                <w:szCs w:val="24"/>
                <w:lang w:eastAsia="en-GB"/>
              </w:rPr>
              <w:t>370</w:t>
            </w:r>
          </w:p>
        </w:tc>
        <w:tc>
          <w:tcPr>
            <w:tcW w:w="3289" w:type="dxa"/>
            <w:tcBorders>
              <w:top w:val="nil"/>
              <w:left w:val="nil"/>
              <w:bottom w:val="single" w:sz="4" w:space="0" w:color="auto"/>
              <w:right w:val="single" w:sz="4" w:space="0" w:color="auto"/>
            </w:tcBorders>
            <w:shd w:val="clear" w:color="auto" w:fill="auto"/>
            <w:noWrap/>
            <w:vAlign w:val="center"/>
            <w:hideMark/>
          </w:tcPr>
          <w:p w14:paraId="447883B2" w14:textId="45D4857C" w:rsidR="002A4D96" w:rsidRPr="00541A4A" w:rsidRDefault="002A4D96" w:rsidP="00C8124B">
            <w:pPr>
              <w:spacing w:before="40" w:after="40" w:line="240" w:lineRule="auto"/>
              <w:jc w:val="right"/>
              <w:rPr>
                <w:rFonts w:eastAsia="Times New Roman" w:cs="Arial"/>
                <w:color w:val="000000"/>
                <w:szCs w:val="24"/>
                <w:lang w:eastAsia="en-GB"/>
              </w:rPr>
            </w:pPr>
            <w:r w:rsidRPr="005F6DFF">
              <w:t>740 (6.5%)</w:t>
            </w:r>
          </w:p>
        </w:tc>
        <w:tc>
          <w:tcPr>
            <w:tcW w:w="3289" w:type="dxa"/>
            <w:tcBorders>
              <w:top w:val="nil"/>
              <w:left w:val="nil"/>
              <w:bottom w:val="single" w:sz="4" w:space="0" w:color="auto"/>
              <w:right w:val="single" w:sz="4" w:space="0" w:color="auto"/>
            </w:tcBorders>
            <w:shd w:val="clear" w:color="auto" w:fill="auto"/>
            <w:noWrap/>
            <w:vAlign w:val="center"/>
            <w:hideMark/>
          </w:tcPr>
          <w:p w14:paraId="5E610D9E" w14:textId="146E5F7A" w:rsidR="002A4D96" w:rsidRPr="00541A4A" w:rsidRDefault="002A4D96" w:rsidP="00C8124B">
            <w:pPr>
              <w:spacing w:before="40" w:after="40" w:line="240" w:lineRule="auto"/>
              <w:jc w:val="right"/>
              <w:rPr>
                <w:rFonts w:eastAsia="Times New Roman" w:cs="Arial"/>
                <w:color w:val="000000"/>
                <w:szCs w:val="24"/>
                <w:lang w:eastAsia="en-GB"/>
              </w:rPr>
            </w:pPr>
            <w:r w:rsidRPr="005F6DFF">
              <w:t>633 (85.5%)</w:t>
            </w:r>
          </w:p>
        </w:tc>
      </w:tr>
      <w:tr w:rsidR="002A4D96" w:rsidRPr="007A36F6" w14:paraId="6DEDDD69" w14:textId="1AF6905C"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2F402C22" w14:textId="591D12F1"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9</w:t>
            </w:r>
          </w:p>
        </w:tc>
        <w:tc>
          <w:tcPr>
            <w:tcW w:w="1545" w:type="dxa"/>
            <w:tcBorders>
              <w:top w:val="nil"/>
              <w:left w:val="nil"/>
              <w:bottom w:val="single" w:sz="4" w:space="0" w:color="auto"/>
              <w:right w:val="single" w:sz="4" w:space="0" w:color="auto"/>
            </w:tcBorders>
            <w:shd w:val="clear" w:color="auto" w:fill="auto"/>
            <w:noWrap/>
            <w:vAlign w:val="center"/>
            <w:hideMark/>
          </w:tcPr>
          <w:p w14:paraId="4BE9F1C9" w14:textId="27D79E80"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19</w:t>
            </w:r>
            <w:r>
              <w:rPr>
                <w:rFonts w:eastAsia="Times New Roman" w:cs="Arial"/>
                <w:color w:val="000000"/>
                <w:szCs w:val="24"/>
                <w:lang w:eastAsia="en-GB"/>
              </w:rPr>
              <w:t>,</w:t>
            </w:r>
            <w:r w:rsidRPr="00541A4A">
              <w:rPr>
                <w:rFonts w:eastAsia="Times New Roman" w:cs="Arial"/>
                <w:color w:val="000000"/>
                <w:szCs w:val="24"/>
                <w:lang w:eastAsia="en-GB"/>
              </w:rPr>
              <w:t>537</w:t>
            </w:r>
          </w:p>
        </w:tc>
        <w:tc>
          <w:tcPr>
            <w:tcW w:w="3289" w:type="dxa"/>
            <w:tcBorders>
              <w:top w:val="nil"/>
              <w:left w:val="nil"/>
              <w:bottom w:val="single" w:sz="4" w:space="0" w:color="auto"/>
              <w:right w:val="single" w:sz="4" w:space="0" w:color="auto"/>
            </w:tcBorders>
            <w:shd w:val="clear" w:color="auto" w:fill="auto"/>
            <w:noWrap/>
            <w:vAlign w:val="center"/>
            <w:hideMark/>
          </w:tcPr>
          <w:p w14:paraId="68ED9943" w14:textId="0DCFF475" w:rsidR="002A4D96" w:rsidRPr="00541A4A" w:rsidRDefault="002A4D96" w:rsidP="00C8124B">
            <w:pPr>
              <w:spacing w:before="40" w:after="40" w:line="240" w:lineRule="auto"/>
              <w:jc w:val="right"/>
              <w:rPr>
                <w:rFonts w:eastAsia="Times New Roman" w:cs="Arial"/>
                <w:color w:val="000000"/>
                <w:szCs w:val="24"/>
                <w:lang w:eastAsia="en-GB"/>
              </w:rPr>
            </w:pPr>
            <w:r w:rsidRPr="005F6DFF">
              <w:t>285 (1.5%)</w:t>
            </w:r>
          </w:p>
        </w:tc>
        <w:tc>
          <w:tcPr>
            <w:tcW w:w="3289" w:type="dxa"/>
            <w:tcBorders>
              <w:top w:val="nil"/>
              <w:left w:val="nil"/>
              <w:bottom w:val="single" w:sz="4" w:space="0" w:color="auto"/>
              <w:right w:val="single" w:sz="4" w:space="0" w:color="auto"/>
            </w:tcBorders>
            <w:shd w:val="clear" w:color="auto" w:fill="auto"/>
            <w:noWrap/>
            <w:vAlign w:val="center"/>
            <w:hideMark/>
          </w:tcPr>
          <w:p w14:paraId="7E1D9918" w14:textId="5E8B2425" w:rsidR="002A4D96" w:rsidRPr="00541A4A" w:rsidRDefault="002A4D96" w:rsidP="00C8124B">
            <w:pPr>
              <w:spacing w:before="40" w:after="40" w:line="240" w:lineRule="auto"/>
              <w:jc w:val="right"/>
              <w:rPr>
                <w:rFonts w:eastAsia="Times New Roman" w:cs="Arial"/>
                <w:color w:val="000000"/>
                <w:szCs w:val="24"/>
                <w:lang w:eastAsia="en-GB"/>
              </w:rPr>
            </w:pPr>
            <w:r w:rsidRPr="005F6DFF">
              <w:t>228 (80.0%)</w:t>
            </w:r>
          </w:p>
        </w:tc>
      </w:tr>
      <w:tr w:rsidR="002A4D96" w:rsidRPr="007A36F6" w14:paraId="67A8DEF7" w14:textId="384CB3AC"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5953FFE0" w14:textId="0A5354BC"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10</w:t>
            </w:r>
          </w:p>
        </w:tc>
        <w:tc>
          <w:tcPr>
            <w:tcW w:w="1545" w:type="dxa"/>
            <w:tcBorders>
              <w:top w:val="nil"/>
              <w:left w:val="nil"/>
              <w:bottom w:val="single" w:sz="4" w:space="0" w:color="auto"/>
              <w:right w:val="single" w:sz="4" w:space="0" w:color="auto"/>
            </w:tcBorders>
            <w:shd w:val="clear" w:color="auto" w:fill="auto"/>
            <w:noWrap/>
            <w:vAlign w:val="center"/>
            <w:hideMark/>
          </w:tcPr>
          <w:p w14:paraId="068C2299" w14:textId="096EBA75"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13</w:t>
            </w:r>
            <w:r>
              <w:rPr>
                <w:rFonts w:eastAsia="Times New Roman" w:cs="Arial"/>
                <w:color w:val="000000"/>
                <w:szCs w:val="24"/>
                <w:lang w:eastAsia="en-GB"/>
              </w:rPr>
              <w:t>,</w:t>
            </w:r>
            <w:r w:rsidRPr="00541A4A">
              <w:rPr>
                <w:rFonts w:eastAsia="Times New Roman" w:cs="Arial"/>
                <w:color w:val="000000"/>
                <w:szCs w:val="24"/>
                <w:lang w:eastAsia="en-GB"/>
              </w:rPr>
              <w:t>229</w:t>
            </w:r>
          </w:p>
        </w:tc>
        <w:tc>
          <w:tcPr>
            <w:tcW w:w="3289" w:type="dxa"/>
            <w:tcBorders>
              <w:top w:val="nil"/>
              <w:left w:val="nil"/>
              <w:bottom w:val="single" w:sz="4" w:space="0" w:color="auto"/>
              <w:right w:val="single" w:sz="4" w:space="0" w:color="auto"/>
            </w:tcBorders>
            <w:shd w:val="clear" w:color="auto" w:fill="auto"/>
            <w:noWrap/>
            <w:vAlign w:val="center"/>
            <w:hideMark/>
          </w:tcPr>
          <w:p w14:paraId="4918027A" w14:textId="625C8362" w:rsidR="002A4D96" w:rsidRPr="00541A4A" w:rsidRDefault="002A4D96" w:rsidP="00C8124B">
            <w:pPr>
              <w:spacing w:before="40" w:after="40" w:line="240" w:lineRule="auto"/>
              <w:jc w:val="right"/>
              <w:rPr>
                <w:rFonts w:eastAsia="Times New Roman" w:cs="Arial"/>
                <w:color w:val="000000"/>
                <w:szCs w:val="24"/>
                <w:lang w:eastAsia="en-GB"/>
              </w:rPr>
            </w:pPr>
            <w:r w:rsidRPr="005F6DFF">
              <w:t>538 (4.1%)</w:t>
            </w:r>
          </w:p>
        </w:tc>
        <w:tc>
          <w:tcPr>
            <w:tcW w:w="3289" w:type="dxa"/>
            <w:tcBorders>
              <w:top w:val="nil"/>
              <w:left w:val="nil"/>
              <w:bottom w:val="single" w:sz="4" w:space="0" w:color="auto"/>
              <w:right w:val="single" w:sz="4" w:space="0" w:color="auto"/>
            </w:tcBorders>
            <w:shd w:val="clear" w:color="auto" w:fill="auto"/>
            <w:noWrap/>
            <w:vAlign w:val="center"/>
            <w:hideMark/>
          </w:tcPr>
          <w:p w14:paraId="3923D352" w14:textId="52CDB2AF" w:rsidR="002A4D96" w:rsidRPr="00541A4A" w:rsidRDefault="002A4D96" w:rsidP="00C8124B">
            <w:pPr>
              <w:spacing w:before="40" w:after="40" w:line="240" w:lineRule="auto"/>
              <w:jc w:val="right"/>
              <w:rPr>
                <w:rFonts w:eastAsia="Times New Roman" w:cs="Arial"/>
                <w:color w:val="000000"/>
                <w:szCs w:val="24"/>
                <w:lang w:eastAsia="en-GB"/>
              </w:rPr>
            </w:pPr>
            <w:r w:rsidRPr="005F6DFF">
              <w:t>492 (91.4%)</w:t>
            </w:r>
          </w:p>
        </w:tc>
      </w:tr>
      <w:tr w:rsidR="002A4D96" w:rsidRPr="007A36F6" w14:paraId="65C9E610" w14:textId="30BDCF22"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547E9879" w14:textId="1640C151"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11</w:t>
            </w:r>
          </w:p>
        </w:tc>
        <w:tc>
          <w:tcPr>
            <w:tcW w:w="1545" w:type="dxa"/>
            <w:tcBorders>
              <w:top w:val="nil"/>
              <w:left w:val="nil"/>
              <w:bottom w:val="single" w:sz="4" w:space="0" w:color="auto"/>
              <w:right w:val="single" w:sz="4" w:space="0" w:color="auto"/>
            </w:tcBorders>
            <w:shd w:val="clear" w:color="auto" w:fill="auto"/>
            <w:noWrap/>
            <w:vAlign w:val="center"/>
            <w:hideMark/>
          </w:tcPr>
          <w:p w14:paraId="17AC45A2" w14:textId="680C63CB"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6</w:t>
            </w:r>
            <w:r>
              <w:rPr>
                <w:rFonts w:eastAsia="Times New Roman" w:cs="Arial"/>
                <w:color w:val="000000"/>
                <w:szCs w:val="24"/>
                <w:lang w:eastAsia="en-GB"/>
              </w:rPr>
              <w:t>,</w:t>
            </w:r>
            <w:r w:rsidRPr="00541A4A">
              <w:rPr>
                <w:rFonts w:eastAsia="Times New Roman" w:cs="Arial"/>
                <w:color w:val="000000"/>
                <w:szCs w:val="24"/>
                <w:lang w:eastAsia="en-GB"/>
              </w:rPr>
              <w:t>910</w:t>
            </w:r>
          </w:p>
        </w:tc>
        <w:tc>
          <w:tcPr>
            <w:tcW w:w="3289" w:type="dxa"/>
            <w:tcBorders>
              <w:top w:val="nil"/>
              <w:left w:val="nil"/>
              <w:bottom w:val="single" w:sz="4" w:space="0" w:color="auto"/>
              <w:right w:val="single" w:sz="4" w:space="0" w:color="auto"/>
            </w:tcBorders>
            <w:shd w:val="clear" w:color="auto" w:fill="auto"/>
            <w:noWrap/>
            <w:vAlign w:val="center"/>
            <w:hideMark/>
          </w:tcPr>
          <w:p w14:paraId="46F80C00" w14:textId="1D794F2C" w:rsidR="002A4D96" w:rsidRPr="00541A4A" w:rsidRDefault="002A4D96" w:rsidP="00C8124B">
            <w:pPr>
              <w:spacing w:before="40" w:after="40" w:line="240" w:lineRule="auto"/>
              <w:jc w:val="right"/>
              <w:rPr>
                <w:rFonts w:eastAsia="Times New Roman" w:cs="Arial"/>
                <w:color w:val="000000"/>
                <w:szCs w:val="24"/>
                <w:lang w:eastAsia="en-GB"/>
              </w:rPr>
            </w:pPr>
            <w:r w:rsidRPr="005F6DFF">
              <w:t>507 (7.3%)</w:t>
            </w:r>
          </w:p>
        </w:tc>
        <w:tc>
          <w:tcPr>
            <w:tcW w:w="3289" w:type="dxa"/>
            <w:tcBorders>
              <w:top w:val="nil"/>
              <w:left w:val="nil"/>
              <w:bottom w:val="single" w:sz="4" w:space="0" w:color="auto"/>
              <w:right w:val="single" w:sz="4" w:space="0" w:color="auto"/>
            </w:tcBorders>
            <w:shd w:val="clear" w:color="auto" w:fill="auto"/>
            <w:noWrap/>
            <w:vAlign w:val="center"/>
            <w:hideMark/>
          </w:tcPr>
          <w:p w14:paraId="34F14606" w14:textId="7275EACE" w:rsidR="002A4D96" w:rsidRPr="00541A4A" w:rsidRDefault="002A4D96" w:rsidP="00C8124B">
            <w:pPr>
              <w:spacing w:before="40" w:after="40" w:line="240" w:lineRule="auto"/>
              <w:jc w:val="right"/>
              <w:rPr>
                <w:rFonts w:eastAsia="Times New Roman" w:cs="Arial"/>
                <w:color w:val="000000"/>
                <w:szCs w:val="24"/>
                <w:lang w:eastAsia="en-GB"/>
              </w:rPr>
            </w:pPr>
            <w:r w:rsidRPr="005F6DFF">
              <w:t>477 (94.1%)</w:t>
            </w:r>
          </w:p>
        </w:tc>
      </w:tr>
      <w:tr w:rsidR="002A4D96" w:rsidRPr="007A36F6" w14:paraId="0E4BECF9" w14:textId="4793220B"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0D8BEC9A" w14:textId="6EC7C3DB"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12</w:t>
            </w:r>
          </w:p>
        </w:tc>
        <w:tc>
          <w:tcPr>
            <w:tcW w:w="1545" w:type="dxa"/>
            <w:tcBorders>
              <w:top w:val="nil"/>
              <w:left w:val="nil"/>
              <w:bottom w:val="single" w:sz="4" w:space="0" w:color="auto"/>
              <w:right w:val="single" w:sz="4" w:space="0" w:color="auto"/>
            </w:tcBorders>
            <w:shd w:val="clear" w:color="auto" w:fill="auto"/>
            <w:noWrap/>
            <w:vAlign w:val="center"/>
            <w:hideMark/>
          </w:tcPr>
          <w:p w14:paraId="4C007BEE" w14:textId="23E7D312"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11</w:t>
            </w:r>
            <w:r>
              <w:rPr>
                <w:rFonts w:eastAsia="Times New Roman" w:cs="Arial"/>
                <w:color w:val="000000"/>
                <w:szCs w:val="24"/>
                <w:lang w:eastAsia="en-GB"/>
              </w:rPr>
              <w:t>,</w:t>
            </w:r>
            <w:r w:rsidRPr="00541A4A">
              <w:rPr>
                <w:rFonts w:eastAsia="Times New Roman" w:cs="Arial"/>
                <w:color w:val="000000"/>
                <w:szCs w:val="24"/>
                <w:lang w:eastAsia="en-GB"/>
              </w:rPr>
              <w:t>571</w:t>
            </w:r>
          </w:p>
        </w:tc>
        <w:tc>
          <w:tcPr>
            <w:tcW w:w="3289" w:type="dxa"/>
            <w:tcBorders>
              <w:top w:val="nil"/>
              <w:left w:val="nil"/>
              <w:bottom w:val="single" w:sz="4" w:space="0" w:color="auto"/>
              <w:right w:val="single" w:sz="4" w:space="0" w:color="auto"/>
            </w:tcBorders>
            <w:shd w:val="clear" w:color="auto" w:fill="auto"/>
            <w:noWrap/>
            <w:vAlign w:val="center"/>
            <w:hideMark/>
          </w:tcPr>
          <w:p w14:paraId="499F24D7" w14:textId="7E97D87B" w:rsidR="002A4D96" w:rsidRPr="00541A4A" w:rsidRDefault="002A4D96" w:rsidP="00C8124B">
            <w:pPr>
              <w:spacing w:before="40" w:after="40" w:line="240" w:lineRule="auto"/>
              <w:jc w:val="right"/>
              <w:rPr>
                <w:rFonts w:eastAsia="Times New Roman" w:cs="Arial"/>
                <w:color w:val="000000"/>
                <w:szCs w:val="24"/>
                <w:lang w:eastAsia="en-GB"/>
              </w:rPr>
            </w:pPr>
            <w:r w:rsidRPr="005F6DFF">
              <w:t>617 (5.3%)</w:t>
            </w:r>
          </w:p>
        </w:tc>
        <w:tc>
          <w:tcPr>
            <w:tcW w:w="3289" w:type="dxa"/>
            <w:tcBorders>
              <w:top w:val="nil"/>
              <w:left w:val="nil"/>
              <w:bottom w:val="single" w:sz="4" w:space="0" w:color="auto"/>
              <w:right w:val="single" w:sz="4" w:space="0" w:color="auto"/>
            </w:tcBorders>
            <w:shd w:val="clear" w:color="auto" w:fill="auto"/>
            <w:noWrap/>
            <w:vAlign w:val="center"/>
            <w:hideMark/>
          </w:tcPr>
          <w:p w14:paraId="79551B9A" w14:textId="4975CF00" w:rsidR="002A4D96" w:rsidRPr="00541A4A" w:rsidRDefault="002A4D96" w:rsidP="00C8124B">
            <w:pPr>
              <w:spacing w:before="40" w:after="40" w:line="240" w:lineRule="auto"/>
              <w:jc w:val="right"/>
              <w:rPr>
                <w:rFonts w:eastAsia="Times New Roman" w:cs="Arial"/>
                <w:color w:val="000000"/>
                <w:szCs w:val="24"/>
                <w:lang w:eastAsia="en-GB"/>
              </w:rPr>
            </w:pPr>
            <w:r w:rsidRPr="005F6DFF">
              <w:t>558 (90.4%)</w:t>
            </w:r>
          </w:p>
        </w:tc>
      </w:tr>
      <w:tr w:rsidR="002A4D96" w:rsidRPr="007A36F6" w14:paraId="71ACD163" w14:textId="1458BBED"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11CECD59" w14:textId="48046BBD"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13</w:t>
            </w:r>
          </w:p>
        </w:tc>
        <w:tc>
          <w:tcPr>
            <w:tcW w:w="1545" w:type="dxa"/>
            <w:tcBorders>
              <w:top w:val="nil"/>
              <w:left w:val="nil"/>
              <w:bottom w:val="single" w:sz="4" w:space="0" w:color="auto"/>
              <w:right w:val="single" w:sz="4" w:space="0" w:color="auto"/>
            </w:tcBorders>
            <w:shd w:val="clear" w:color="auto" w:fill="auto"/>
            <w:noWrap/>
            <w:vAlign w:val="center"/>
            <w:hideMark/>
          </w:tcPr>
          <w:p w14:paraId="45A88E59" w14:textId="334724B2"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9</w:t>
            </w:r>
            <w:r>
              <w:rPr>
                <w:rFonts w:eastAsia="Times New Roman" w:cs="Arial"/>
                <w:color w:val="000000"/>
                <w:szCs w:val="24"/>
                <w:lang w:eastAsia="en-GB"/>
              </w:rPr>
              <w:t>,</w:t>
            </w:r>
            <w:r w:rsidRPr="00541A4A">
              <w:rPr>
                <w:rFonts w:eastAsia="Times New Roman" w:cs="Arial"/>
                <w:color w:val="000000"/>
                <w:szCs w:val="24"/>
                <w:lang w:eastAsia="en-GB"/>
              </w:rPr>
              <w:t>800</w:t>
            </w:r>
          </w:p>
        </w:tc>
        <w:tc>
          <w:tcPr>
            <w:tcW w:w="3289" w:type="dxa"/>
            <w:tcBorders>
              <w:top w:val="nil"/>
              <w:left w:val="nil"/>
              <w:bottom w:val="single" w:sz="4" w:space="0" w:color="auto"/>
              <w:right w:val="single" w:sz="4" w:space="0" w:color="auto"/>
            </w:tcBorders>
            <w:shd w:val="clear" w:color="auto" w:fill="auto"/>
            <w:noWrap/>
            <w:vAlign w:val="center"/>
            <w:hideMark/>
          </w:tcPr>
          <w:p w14:paraId="6E69BCF4" w14:textId="796AA891" w:rsidR="002A4D96" w:rsidRPr="00541A4A" w:rsidRDefault="002A4D96" w:rsidP="00C8124B">
            <w:pPr>
              <w:spacing w:before="40" w:after="40" w:line="240" w:lineRule="auto"/>
              <w:jc w:val="right"/>
              <w:rPr>
                <w:rFonts w:eastAsia="Times New Roman" w:cs="Arial"/>
                <w:color w:val="000000"/>
                <w:szCs w:val="24"/>
                <w:lang w:eastAsia="en-GB"/>
              </w:rPr>
            </w:pPr>
            <w:r w:rsidRPr="005F6DFF">
              <w:t>654 (6.7%)</w:t>
            </w:r>
          </w:p>
        </w:tc>
        <w:tc>
          <w:tcPr>
            <w:tcW w:w="3289" w:type="dxa"/>
            <w:tcBorders>
              <w:top w:val="nil"/>
              <w:left w:val="nil"/>
              <w:bottom w:val="single" w:sz="4" w:space="0" w:color="auto"/>
              <w:right w:val="single" w:sz="4" w:space="0" w:color="auto"/>
            </w:tcBorders>
            <w:shd w:val="clear" w:color="auto" w:fill="auto"/>
            <w:noWrap/>
            <w:vAlign w:val="center"/>
            <w:hideMark/>
          </w:tcPr>
          <w:p w14:paraId="6982C790" w14:textId="54BDE721" w:rsidR="002A4D96" w:rsidRPr="00541A4A" w:rsidRDefault="002A4D96" w:rsidP="00C8124B">
            <w:pPr>
              <w:spacing w:before="40" w:after="40" w:line="240" w:lineRule="auto"/>
              <w:jc w:val="right"/>
              <w:rPr>
                <w:rFonts w:eastAsia="Times New Roman" w:cs="Arial"/>
                <w:color w:val="000000"/>
                <w:szCs w:val="24"/>
                <w:lang w:eastAsia="en-GB"/>
              </w:rPr>
            </w:pPr>
            <w:r w:rsidRPr="005F6DFF">
              <w:t>578 (88.4%)</w:t>
            </w:r>
          </w:p>
        </w:tc>
      </w:tr>
      <w:tr w:rsidR="002A4D96" w:rsidRPr="007A36F6" w14:paraId="6D677DF9" w14:textId="3CB455A4"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0DE9BC21" w14:textId="2556BDE5"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14</w:t>
            </w:r>
          </w:p>
        </w:tc>
        <w:tc>
          <w:tcPr>
            <w:tcW w:w="1545" w:type="dxa"/>
            <w:tcBorders>
              <w:top w:val="nil"/>
              <w:left w:val="nil"/>
              <w:bottom w:val="single" w:sz="4" w:space="0" w:color="auto"/>
              <w:right w:val="single" w:sz="4" w:space="0" w:color="auto"/>
            </w:tcBorders>
            <w:shd w:val="clear" w:color="auto" w:fill="auto"/>
            <w:noWrap/>
            <w:vAlign w:val="center"/>
            <w:hideMark/>
          </w:tcPr>
          <w:p w14:paraId="5AE2E686" w14:textId="5AB02D73"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6</w:t>
            </w:r>
            <w:r>
              <w:rPr>
                <w:rFonts w:eastAsia="Times New Roman" w:cs="Arial"/>
                <w:color w:val="000000"/>
                <w:szCs w:val="24"/>
                <w:lang w:eastAsia="en-GB"/>
              </w:rPr>
              <w:t>,</w:t>
            </w:r>
            <w:r w:rsidRPr="00541A4A">
              <w:rPr>
                <w:rFonts w:eastAsia="Times New Roman" w:cs="Arial"/>
                <w:color w:val="000000"/>
                <w:szCs w:val="24"/>
                <w:lang w:eastAsia="en-GB"/>
              </w:rPr>
              <w:t>288</w:t>
            </w:r>
          </w:p>
        </w:tc>
        <w:tc>
          <w:tcPr>
            <w:tcW w:w="3289" w:type="dxa"/>
            <w:tcBorders>
              <w:top w:val="nil"/>
              <w:left w:val="nil"/>
              <w:bottom w:val="single" w:sz="4" w:space="0" w:color="auto"/>
              <w:right w:val="single" w:sz="4" w:space="0" w:color="auto"/>
            </w:tcBorders>
            <w:shd w:val="clear" w:color="auto" w:fill="auto"/>
            <w:noWrap/>
            <w:vAlign w:val="center"/>
            <w:hideMark/>
          </w:tcPr>
          <w:p w14:paraId="4DB286C9" w14:textId="4879AA01" w:rsidR="002A4D96" w:rsidRPr="00541A4A" w:rsidRDefault="002A4D96" w:rsidP="00C8124B">
            <w:pPr>
              <w:spacing w:before="40" w:after="40" w:line="240" w:lineRule="auto"/>
              <w:jc w:val="right"/>
              <w:rPr>
                <w:rFonts w:eastAsia="Times New Roman" w:cs="Arial"/>
                <w:color w:val="000000"/>
                <w:szCs w:val="24"/>
                <w:lang w:eastAsia="en-GB"/>
              </w:rPr>
            </w:pPr>
            <w:r w:rsidRPr="005F6DFF">
              <w:t>270 (4.3%)</w:t>
            </w:r>
          </w:p>
        </w:tc>
        <w:tc>
          <w:tcPr>
            <w:tcW w:w="3289" w:type="dxa"/>
            <w:tcBorders>
              <w:top w:val="nil"/>
              <w:left w:val="nil"/>
              <w:bottom w:val="single" w:sz="4" w:space="0" w:color="auto"/>
              <w:right w:val="single" w:sz="4" w:space="0" w:color="auto"/>
            </w:tcBorders>
            <w:shd w:val="clear" w:color="auto" w:fill="auto"/>
            <w:noWrap/>
            <w:vAlign w:val="center"/>
            <w:hideMark/>
          </w:tcPr>
          <w:p w14:paraId="54E99A45" w14:textId="6E152834" w:rsidR="002A4D96" w:rsidRPr="00541A4A" w:rsidRDefault="002A4D96" w:rsidP="00C8124B">
            <w:pPr>
              <w:spacing w:before="40" w:after="40" w:line="240" w:lineRule="auto"/>
              <w:jc w:val="right"/>
              <w:rPr>
                <w:rFonts w:eastAsia="Times New Roman" w:cs="Arial"/>
                <w:color w:val="000000"/>
                <w:szCs w:val="24"/>
                <w:lang w:eastAsia="en-GB"/>
              </w:rPr>
            </w:pPr>
            <w:r w:rsidRPr="005F6DFF">
              <w:t>236 (87.4%)</w:t>
            </w:r>
          </w:p>
        </w:tc>
      </w:tr>
      <w:tr w:rsidR="002A4D96" w:rsidRPr="007A36F6" w14:paraId="234B86C0" w14:textId="35D4C39D"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3658BBD5" w14:textId="3D0772DF"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15</w:t>
            </w:r>
          </w:p>
        </w:tc>
        <w:tc>
          <w:tcPr>
            <w:tcW w:w="1545" w:type="dxa"/>
            <w:tcBorders>
              <w:top w:val="nil"/>
              <w:left w:val="nil"/>
              <w:bottom w:val="single" w:sz="4" w:space="0" w:color="auto"/>
              <w:right w:val="single" w:sz="4" w:space="0" w:color="auto"/>
            </w:tcBorders>
            <w:shd w:val="clear" w:color="auto" w:fill="auto"/>
            <w:noWrap/>
            <w:vAlign w:val="center"/>
            <w:hideMark/>
          </w:tcPr>
          <w:p w14:paraId="052AB652" w14:textId="09926DC0"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6</w:t>
            </w:r>
            <w:r>
              <w:rPr>
                <w:rFonts w:eastAsia="Times New Roman" w:cs="Arial"/>
                <w:color w:val="000000"/>
                <w:szCs w:val="24"/>
                <w:lang w:eastAsia="en-GB"/>
              </w:rPr>
              <w:t>,</w:t>
            </w:r>
            <w:r w:rsidRPr="00541A4A">
              <w:rPr>
                <w:rFonts w:eastAsia="Times New Roman" w:cs="Arial"/>
                <w:color w:val="000000"/>
                <w:szCs w:val="24"/>
                <w:lang w:eastAsia="en-GB"/>
              </w:rPr>
              <w:t>745</w:t>
            </w:r>
          </w:p>
        </w:tc>
        <w:tc>
          <w:tcPr>
            <w:tcW w:w="3289" w:type="dxa"/>
            <w:tcBorders>
              <w:top w:val="nil"/>
              <w:left w:val="nil"/>
              <w:bottom w:val="single" w:sz="4" w:space="0" w:color="auto"/>
              <w:right w:val="single" w:sz="4" w:space="0" w:color="auto"/>
            </w:tcBorders>
            <w:shd w:val="clear" w:color="auto" w:fill="auto"/>
            <w:noWrap/>
            <w:vAlign w:val="center"/>
            <w:hideMark/>
          </w:tcPr>
          <w:p w14:paraId="52A11665" w14:textId="144D7892" w:rsidR="002A4D96" w:rsidRPr="00541A4A" w:rsidRDefault="002A4D96" w:rsidP="00C8124B">
            <w:pPr>
              <w:spacing w:before="40" w:after="40" w:line="240" w:lineRule="auto"/>
              <w:jc w:val="right"/>
              <w:rPr>
                <w:rFonts w:eastAsia="Times New Roman" w:cs="Arial"/>
                <w:color w:val="000000"/>
                <w:szCs w:val="24"/>
                <w:lang w:eastAsia="en-GB"/>
              </w:rPr>
            </w:pPr>
            <w:r w:rsidRPr="005F6DFF">
              <w:t>398 (5.9%)</w:t>
            </w:r>
          </w:p>
        </w:tc>
        <w:tc>
          <w:tcPr>
            <w:tcW w:w="3289" w:type="dxa"/>
            <w:tcBorders>
              <w:top w:val="nil"/>
              <w:left w:val="nil"/>
              <w:bottom w:val="single" w:sz="4" w:space="0" w:color="auto"/>
              <w:right w:val="single" w:sz="4" w:space="0" w:color="auto"/>
            </w:tcBorders>
            <w:shd w:val="clear" w:color="auto" w:fill="auto"/>
            <w:noWrap/>
            <w:vAlign w:val="center"/>
            <w:hideMark/>
          </w:tcPr>
          <w:p w14:paraId="08E4F9C9" w14:textId="4466C65D" w:rsidR="002A4D96" w:rsidRPr="00541A4A" w:rsidRDefault="002A4D96" w:rsidP="00C8124B">
            <w:pPr>
              <w:spacing w:before="40" w:after="40" w:line="240" w:lineRule="auto"/>
              <w:jc w:val="right"/>
              <w:rPr>
                <w:rFonts w:eastAsia="Times New Roman" w:cs="Arial"/>
                <w:color w:val="000000"/>
                <w:szCs w:val="24"/>
                <w:lang w:eastAsia="en-GB"/>
              </w:rPr>
            </w:pPr>
            <w:r w:rsidRPr="005F6DFF">
              <w:t>341 (85.7%)</w:t>
            </w:r>
          </w:p>
        </w:tc>
      </w:tr>
      <w:tr w:rsidR="002A4D96" w:rsidRPr="007A36F6" w14:paraId="571619FA" w14:textId="382FD08B"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237D3E3B" w14:textId="31CC0802" w:rsidR="002A4D96" w:rsidRPr="00541A4A" w:rsidRDefault="002A4D96" w:rsidP="00C8124B">
            <w:pPr>
              <w:spacing w:before="40" w:after="40" w:line="240" w:lineRule="auto"/>
              <w:rPr>
                <w:rFonts w:eastAsia="Times New Roman" w:cs="Arial"/>
                <w:color w:val="000000"/>
                <w:szCs w:val="24"/>
                <w:lang w:eastAsia="en-GB"/>
              </w:rPr>
            </w:pPr>
            <w:r w:rsidRPr="00541A4A">
              <w:rPr>
                <w:rFonts w:eastAsia="Times New Roman" w:cs="Arial"/>
                <w:color w:val="000000"/>
                <w:szCs w:val="24"/>
                <w:lang w:eastAsia="en-GB"/>
              </w:rPr>
              <w:t>16</w:t>
            </w:r>
          </w:p>
        </w:tc>
        <w:tc>
          <w:tcPr>
            <w:tcW w:w="1545" w:type="dxa"/>
            <w:tcBorders>
              <w:top w:val="nil"/>
              <w:left w:val="nil"/>
              <w:bottom w:val="single" w:sz="4" w:space="0" w:color="auto"/>
              <w:right w:val="single" w:sz="4" w:space="0" w:color="auto"/>
            </w:tcBorders>
            <w:shd w:val="clear" w:color="auto" w:fill="auto"/>
            <w:noWrap/>
            <w:vAlign w:val="center"/>
            <w:hideMark/>
          </w:tcPr>
          <w:p w14:paraId="16C9260B" w14:textId="15E5EF75" w:rsidR="002A4D96" w:rsidRPr="00541A4A" w:rsidRDefault="002A4D96" w:rsidP="00C8124B">
            <w:pPr>
              <w:spacing w:before="40" w:after="40" w:line="240" w:lineRule="auto"/>
              <w:jc w:val="right"/>
              <w:rPr>
                <w:rFonts w:eastAsia="Times New Roman" w:cs="Arial"/>
                <w:color w:val="000000"/>
                <w:szCs w:val="24"/>
                <w:lang w:eastAsia="en-GB"/>
              </w:rPr>
            </w:pPr>
            <w:r w:rsidRPr="00541A4A">
              <w:rPr>
                <w:rFonts w:eastAsia="Times New Roman" w:cs="Arial"/>
                <w:color w:val="000000"/>
                <w:szCs w:val="24"/>
                <w:lang w:eastAsia="en-GB"/>
              </w:rPr>
              <w:t>12</w:t>
            </w:r>
            <w:r>
              <w:rPr>
                <w:rFonts w:eastAsia="Times New Roman" w:cs="Arial"/>
                <w:color w:val="000000"/>
                <w:szCs w:val="24"/>
                <w:lang w:eastAsia="en-GB"/>
              </w:rPr>
              <w:t>,</w:t>
            </w:r>
            <w:r w:rsidRPr="00541A4A">
              <w:rPr>
                <w:rFonts w:eastAsia="Times New Roman" w:cs="Arial"/>
                <w:color w:val="000000"/>
                <w:szCs w:val="24"/>
                <w:lang w:eastAsia="en-GB"/>
              </w:rPr>
              <w:t>987</w:t>
            </w:r>
          </w:p>
        </w:tc>
        <w:tc>
          <w:tcPr>
            <w:tcW w:w="3289" w:type="dxa"/>
            <w:tcBorders>
              <w:top w:val="nil"/>
              <w:left w:val="nil"/>
              <w:bottom w:val="single" w:sz="4" w:space="0" w:color="auto"/>
              <w:right w:val="single" w:sz="4" w:space="0" w:color="auto"/>
            </w:tcBorders>
            <w:shd w:val="clear" w:color="auto" w:fill="auto"/>
            <w:noWrap/>
            <w:vAlign w:val="center"/>
            <w:hideMark/>
          </w:tcPr>
          <w:p w14:paraId="3DC527D9" w14:textId="37BD2FE8" w:rsidR="002A4D96" w:rsidRPr="00541A4A" w:rsidRDefault="002A4D96" w:rsidP="00C8124B">
            <w:pPr>
              <w:spacing w:before="40" w:after="40" w:line="240" w:lineRule="auto"/>
              <w:jc w:val="right"/>
              <w:rPr>
                <w:rFonts w:eastAsia="Times New Roman" w:cs="Arial"/>
                <w:color w:val="000000"/>
                <w:szCs w:val="24"/>
                <w:lang w:eastAsia="en-GB"/>
              </w:rPr>
            </w:pPr>
            <w:r w:rsidRPr="005F6DFF">
              <w:t>588 (4.5%)</w:t>
            </w:r>
          </w:p>
        </w:tc>
        <w:tc>
          <w:tcPr>
            <w:tcW w:w="3289" w:type="dxa"/>
            <w:tcBorders>
              <w:top w:val="nil"/>
              <w:left w:val="nil"/>
              <w:bottom w:val="single" w:sz="4" w:space="0" w:color="auto"/>
              <w:right w:val="single" w:sz="4" w:space="0" w:color="auto"/>
            </w:tcBorders>
            <w:shd w:val="clear" w:color="auto" w:fill="auto"/>
            <w:noWrap/>
            <w:vAlign w:val="center"/>
            <w:hideMark/>
          </w:tcPr>
          <w:p w14:paraId="4F967DFB" w14:textId="0AAD5F5B" w:rsidR="002A4D96" w:rsidRPr="00541A4A" w:rsidRDefault="002A4D96" w:rsidP="00C8124B">
            <w:pPr>
              <w:spacing w:before="40" w:after="40" w:line="240" w:lineRule="auto"/>
              <w:jc w:val="right"/>
              <w:rPr>
                <w:rFonts w:eastAsia="Times New Roman" w:cs="Arial"/>
                <w:color w:val="000000"/>
                <w:szCs w:val="24"/>
                <w:lang w:eastAsia="en-GB"/>
              </w:rPr>
            </w:pPr>
            <w:r w:rsidRPr="005F6DFF">
              <w:t>521 (88.6%)</w:t>
            </w:r>
          </w:p>
        </w:tc>
      </w:tr>
      <w:tr w:rsidR="002A4D96" w:rsidRPr="007A36F6" w14:paraId="58107122" w14:textId="6AD3A59E" w:rsidTr="00C8124B">
        <w:trPr>
          <w:trHeight w:val="454"/>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05EF6C55" w14:textId="1035DB90" w:rsidR="002A4D96" w:rsidRPr="00541A4A" w:rsidRDefault="002A4D96" w:rsidP="00C8124B">
            <w:pPr>
              <w:spacing w:before="40" w:after="40" w:line="240" w:lineRule="auto"/>
              <w:rPr>
                <w:rFonts w:eastAsia="Times New Roman" w:cs="Arial"/>
                <w:b/>
                <w:bCs/>
                <w:color w:val="000000"/>
                <w:szCs w:val="24"/>
                <w:lang w:eastAsia="en-GB"/>
              </w:rPr>
            </w:pPr>
            <w:r w:rsidRPr="00541A4A">
              <w:rPr>
                <w:rFonts w:eastAsia="Times New Roman" w:cs="Arial"/>
                <w:b/>
                <w:bCs/>
                <w:color w:val="000000"/>
                <w:szCs w:val="24"/>
                <w:lang w:eastAsia="en-GB"/>
              </w:rPr>
              <w:t>Total</w:t>
            </w:r>
          </w:p>
        </w:tc>
        <w:tc>
          <w:tcPr>
            <w:tcW w:w="1545" w:type="dxa"/>
            <w:tcBorders>
              <w:top w:val="nil"/>
              <w:left w:val="nil"/>
              <w:bottom w:val="single" w:sz="4" w:space="0" w:color="auto"/>
              <w:right w:val="single" w:sz="4" w:space="0" w:color="auto"/>
            </w:tcBorders>
            <w:shd w:val="clear" w:color="auto" w:fill="auto"/>
            <w:noWrap/>
            <w:vAlign w:val="center"/>
            <w:hideMark/>
          </w:tcPr>
          <w:p w14:paraId="4D1BAA8E" w14:textId="07B4640A" w:rsidR="002A4D96" w:rsidRPr="00541A4A" w:rsidRDefault="002A4D96" w:rsidP="00C8124B">
            <w:pPr>
              <w:spacing w:before="40" w:after="40" w:line="240" w:lineRule="auto"/>
              <w:jc w:val="right"/>
              <w:rPr>
                <w:rFonts w:eastAsia="Times New Roman" w:cs="Arial"/>
                <w:b/>
                <w:bCs/>
                <w:color w:val="000000"/>
                <w:szCs w:val="24"/>
                <w:lang w:eastAsia="en-GB"/>
              </w:rPr>
            </w:pPr>
            <w:r w:rsidRPr="00541A4A">
              <w:rPr>
                <w:rFonts w:eastAsia="Times New Roman" w:cs="Arial"/>
                <w:b/>
                <w:bCs/>
                <w:color w:val="000000"/>
                <w:szCs w:val="24"/>
                <w:lang w:eastAsia="en-GB"/>
              </w:rPr>
              <w:t>165</w:t>
            </w:r>
            <w:r>
              <w:rPr>
                <w:rFonts w:eastAsia="Times New Roman" w:cs="Arial"/>
                <w:b/>
                <w:bCs/>
                <w:color w:val="000000"/>
                <w:szCs w:val="24"/>
                <w:lang w:eastAsia="en-GB"/>
              </w:rPr>
              <w:t>,</w:t>
            </w:r>
            <w:r w:rsidRPr="00541A4A">
              <w:rPr>
                <w:rFonts w:eastAsia="Times New Roman" w:cs="Arial"/>
                <w:b/>
                <w:bCs/>
                <w:color w:val="000000"/>
                <w:szCs w:val="24"/>
                <w:lang w:eastAsia="en-GB"/>
              </w:rPr>
              <w:t>711</w:t>
            </w:r>
          </w:p>
        </w:tc>
        <w:tc>
          <w:tcPr>
            <w:tcW w:w="3289" w:type="dxa"/>
            <w:tcBorders>
              <w:top w:val="nil"/>
              <w:left w:val="nil"/>
              <w:bottom w:val="single" w:sz="4" w:space="0" w:color="auto"/>
              <w:right w:val="single" w:sz="4" w:space="0" w:color="auto"/>
            </w:tcBorders>
            <w:shd w:val="clear" w:color="auto" w:fill="auto"/>
            <w:noWrap/>
            <w:vAlign w:val="center"/>
            <w:hideMark/>
          </w:tcPr>
          <w:p w14:paraId="396AF3D6" w14:textId="5B0DF091" w:rsidR="002A4D96" w:rsidRPr="00541A4A" w:rsidRDefault="002A4D96" w:rsidP="00C8124B">
            <w:pPr>
              <w:spacing w:before="40" w:after="40" w:line="240" w:lineRule="auto"/>
              <w:jc w:val="right"/>
              <w:rPr>
                <w:rFonts w:eastAsia="Times New Roman" w:cs="Arial"/>
                <w:b/>
                <w:bCs/>
                <w:color w:val="000000"/>
                <w:szCs w:val="24"/>
                <w:lang w:eastAsia="en-GB"/>
              </w:rPr>
            </w:pPr>
            <w:r w:rsidRPr="003D4F45">
              <w:rPr>
                <w:rFonts w:eastAsia="Times New Roman" w:cs="Arial"/>
                <w:b/>
                <w:bCs/>
                <w:color w:val="000000"/>
                <w:szCs w:val="24"/>
                <w:lang w:eastAsia="en-GB"/>
              </w:rPr>
              <w:t>8</w:t>
            </w:r>
            <w:r>
              <w:rPr>
                <w:rFonts w:eastAsia="Times New Roman" w:cs="Arial"/>
                <w:b/>
                <w:bCs/>
                <w:color w:val="000000"/>
                <w:szCs w:val="24"/>
                <w:lang w:eastAsia="en-GB"/>
              </w:rPr>
              <w:t>,</w:t>
            </w:r>
            <w:r w:rsidRPr="003D4F45">
              <w:rPr>
                <w:rFonts w:eastAsia="Times New Roman" w:cs="Arial"/>
                <w:b/>
                <w:bCs/>
                <w:color w:val="000000"/>
                <w:szCs w:val="24"/>
                <w:lang w:eastAsia="en-GB"/>
              </w:rPr>
              <w:t>116 (4.9%)</w:t>
            </w:r>
          </w:p>
        </w:tc>
        <w:tc>
          <w:tcPr>
            <w:tcW w:w="3289" w:type="dxa"/>
            <w:tcBorders>
              <w:top w:val="nil"/>
              <w:left w:val="nil"/>
              <w:bottom w:val="single" w:sz="4" w:space="0" w:color="auto"/>
              <w:right w:val="single" w:sz="4" w:space="0" w:color="auto"/>
            </w:tcBorders>
            <w:shd w:val="clear" w:color="auto" w:fill="auto"/>
            <w:noWrap/>
            <w:vAlign w:val="center"/>
            <w:hideMark/>
          </w:tcPr>
          <w:p w14:paraId="571921F2" w14:textId="5C20A12A" w:rsidR="002A4D96" w:rsidRPr="00541A4A" w:rsidRDefault="002A4D96" w:rsidP="00C8124B">
            <w:pPr>
              <w:spacing w:before="40" w:after="40" w:line="240" w:lineRule="auto"/>
              <w:jc w:val="right"/>
              <w:rPr>
                <w:rFonts w:eastAsia="Times New Roman" w:cs="Arial"/>
                <w:b/>
                <w:bCs/>
                <w:color w:val="000000"/>
                <w:szCs w:val="24"/>
                <w:lang w:eastAsia="en-GB"/>
              </w:rPr>
            </w:pPr>
            <w:r w:rsidRPr="003D4F45">
              <w:rPr>
                <w:rFonts w:eastAsia="Times New Roman" w:cs="Arial"/>
                <w:b/>
                <w:bCs/>
                <w:color w:val="000000"/>
                <w:szCs w:val="24"/>
                <w:lang w:eastAsia="en-GB"/>
              </w:rPr>
              <w:t>7</w:t>
            </w:r>
            <w:r>
              <w:rPr>
                <w:rFonts w:eastAsia="Times New Roman" w:cs="Arial"/>
                <w:b/>
                <w:bCs/>
                <w:color w:val="000000"/>
                <w:szCs w:val="24"/>
                <w:lang w:eastAsia="en-GB"/>
              </w:rPr>
              <w:t>,</w:t>
            </w:r>
            <w:r w:rsidRPr="003D4F45">
              <w:rPr>
                <w:rFonts w:eastAsia="Times New Roman" w:cs="Arial"/>
                <w:b/>
                <w:bCs/>
                <w:color w:val="000000"/>
                <w:szCs w:val="24"/>
                <w:lang w:eastAsia="en-GB"/>
              </w:rPr>
              <w:t>245 (89.3%)</w:t>
            </w:r>
          </w:p>
        </w:tc>
      </w:tr>
    </w:tbl>
    <w:p w14:paraId="6222F364" w14:textId="762341AE" w:rsidR="00290EA4" w:rsidRDefault="00290EA4" w:rsidP="00290EA4">
      <w:pPr>
        <w:rPr>
          <w:highlight w:val="lightGray"/>
        </w:rPr>
      </w:pPr>
    </w:p>
    <w:p w14:paraId="78C2EC08" w14:textId="53AB98AC" w:rsidR="0058230B" w:rsidRPr="003D4F45" w:rsidRDefault="0058230B" w:rsidP="0058230B">
      <w:pPr>
        <w:rPr>
          <w:color w:val="000000" w:themeColor="text1"/>
        </w:rPr>
      </w:pPr>
      <w:r>
        <w:rPr>
          <w:color w:val="000000" w:themeColor="text1"/>
        </w:rPr>
        <w:t>An average of 5.4</w:t>
      </w:r>
      <w:r w:rsidRPr="003D4F45">
        <w:rPr>
          <w:color w:val="000000" w:themeColor="text1"/>
        </w:rPr>
        <w:t xml:space="preserve">% of adults in the pilot practices were currently prescribed oral NSAIDs, of whom 93.4% did not currently have an existing diagnosis of CKD. In this group (those on NSAIDs without existing CKD), an average of </w:t>
      </w:r>
      <w:r>
        <w:rPr>
          <w:color w:val="000000" w:themeColor="text1"/>
        </w:rPr>
        <w:t xml:space="preserve">almost </w:t>
      </w:r>
      <w:r w:rsidRPr="003D4F45">
        <w:rPr>
          <w:color w:val="000000" w:themeColor="text1"/>
        </w:rPr>
        <w:t>6</w:t>
      </w:r>
      <w:r>
        <w:rPr>
          <w:color w:val="000000" w:themeColor="text1"/>
        </w:rPr>
        <w:t>7</w:t>
      </w:r>
      <w:r w:rsidRPr="003D4F45">
        <w:rPr>
          <w:color w:val="000000" w:themeColor="text1"/>
        </w:rPr>
        <w:t>% were aged 65 or over</w:t>
      </w:r>
      <w:r>
        <w:rPr>
          <w:color w:val="000000" w:themeColor="text1"/>
        </w:rPr>
        <w:t xml:space="preserve"> (data only submitted by 15 practices), and this varied between practices from 22.</w:t>
      </w:r>
      <w:r w:rsidR="00DB2E89">
        <w:rPr>
          <w:color w:val="000000" w:themeColor="text1"/>
        </w:rPr>
        <w:t>6</w:t>
      </w:r>
      <w:r>
        <w:rPr>
          <w:color w:val="000000" w:themeColor="text1"/>
        </w:rPr>
        <w:t>% to 94.3</w:t>
      </w:r>
      <w:r w:rsidRPr="003D4F45">
        <w:rPr>
          <w:color w:val="000000" w:themeColor="text1"/>
        </w:rPr>
        <w:t>%</w:t>
      </w:r>
      <w:r w:rsidR="00DB2E89">
        <w:rPr>
          <w:color w:val="000000" w:themeColor="text1"/>
        </w:rPr>
        <w:t xml:space="preserve"> (Table 7)</w:t>
      </w:r>
      <w:r w:rsidRPr="003D4F45">
        <w:rPr>
          <w:color w:val="000000" w:themeColor="text1"/>
        </w:rPr>
        <w:t>.</w:t>
      </w:r>
      <w:r>
        <w:rPr>
          <w:color w:val="000000" w:themeColor="text1"/>
        </w:rPr>
        <w:t xml:space="preserve"> To note that GP practice level interpretation of ‘currently prescribed oral NSAIDs’ varied throughout the clinical searches. </w:t>
      </w:r>
    </w:p>
    <w:p w14:paraId="5248569C" w14:textId="77777777" w:rsidR="006D2324" w:rsidRDefault="006D2324">
      <w:pPr>
        <w:spacing w:after="160" w:line="259" w:lineRule="auto"/>
        <w:rPr>
          <w:u w:val="single"/>
        </w:rPr>
      </w:pPr>
      <w:r>
        <w:rPr>
          <w:u w:val="single"/>
        </w:rPr>
        <w:br w:type="page"/>
      </w:r>
    </w:p>
    <w:p w14:paraId="314FF256" w14:textId="15ED7904" w:rsidR="006D2324" w:rsidRPr="009E41EA" w:rsidRDefault="006D2324" w:rsidP="006D2324">
      <w:pPr>
        <w:rPr>
          <w:u w:val="single"/>
        </w:rPr>
      </w:pPr>
      <w:r w:rsidRPr="009E41EA">
        <w:rPr>
          <w:u w:val="single"/>
        </w:rPr>
        <w:t xml:space="preserve">Table </w:t>
      </w:r>
      <w:r>
        <w:rPr>
          <w:u w:val="single"/>
        </w:rPr>
        <w:t>7</w:t>
      </w:r>
      <w:r w:rsidRPr="009E41EA">
        <w:rPr>
          <w:u w:val="single"/>
        </w:rPr>
        <w:t>: Summary of NSAID prescribing clinical search results</w:t>
      </w:r>
    </w:p>
    <w:tbl>
      <w:tblPr>
        <w:tblW w:w="9493" w:type="dxa"/>
        <w:tblLayout w:type="fixed"/>
        <w:tblLook w:val="04A0" w:firstRow="1" w:lastRow="0" w:firstColumn="1" w:lastColumn="0" w:noHBand="0" w:noVBand="1"/>
      </w:tblPr>
      <w:tblGrid>
        <w:gridCol w:w="1271"/>
        <w:gridCol w:w="1559"/>
        <w:gridCol w:w="1843"/>
        <w:gridCol w:w="2410"/>
        <w:gridCol w:w="2410"/>
      </w:tblGrid>
      <w:tr w:rsidR="006D2324" w:rsidRPr="007A36F6" w14:paraId="4574D5DC" w14:textId="77777777" w:rsidTr="006D2324">
        <w:trPr>
          <w:trHeight w:val="75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730B5" w14:textId="77777777" w:rsidR="006D2324" w:rsidRDefault="006D2324" w:rsidP="006C49ED">
            <w:pPr>
              <w:spacing w:after="0" w:line="240" w:lineRule="auto"/>
              <w:jc w:val="center"/>
              <w:rPr>
                <w:rFonts w:eastAsia="Times New Roman" w:cs="Arial"/>
                <w:b/>
                <w:bCs/>
                <w:color w:val="000000"/>
                <w:szCs w:val="26"/>
                <w:lang w:eastAsia="en-GB"/>
              </w:rPr>
            </w:pPr>
            <w:r w:rsidRPr="006D2324">
              <w:rPr>
                <w:rFonts w:eastAsia="Times New Roman" w:cs="Arial"/>
                <w:b/>
                <w:bCs/>
                <w:color w:val="000000"/>
                <w:szCs w:val="26"/>
                <w:lang w:eastAsia="en-GB"/>
              </w:rPr>
              <w:t>Practice</w:t>
            </w:r>
          </w:p>
          <w:p w14:paraId="7A76047C" w14:textId="77777777" w:rsidR="006D2324" w:rsidRDefault="006D2324" w:rsidP="006C49ED">
            <w:pPr>
              <w:spacing w:after="0" w:line="240" w:lineRule="auto"/>
              <w:jc w:val="center"/>
              <w:rPr>
                <w:rFonts w:eastAsia="Times New Roman" w:cs="Arial"/>
                <w:b/>
                <w:bCs/>
                <w:color w:val="000000"/>
                <w:szCs w:val="26"/>
                <w:lang w:eastAsia="en-GB"/>
              </w:rPr>
            </w:pPr>
          </w:p>
          <w:p w14:paraId="7B650C5D" w14:textId="77777777" w:rsidR="006D2324" w:rsidRDefault="006D2324" w:rsidP="006C49ED">
            <w:pPr>
              <w:spacing w:after="0" w:line="240" w:lineRule="auto"/>
              <w:jc w:val="center"/>
              <w:rPr>
                <w:rFonts w:eastAsia="Times New Roman" w:cs="Arial"/>
                <w:b/>
                <w:bCs/>
                <w:color w:val="000000"/>
                <w:szCs w:val="26"/>
                <w:lang w:eastAsia="en-GB"/>
              </w:rPr>
            </w:pPr>
          </w:p>
          <w:p w14:paraId="63109865" w14:textId="52F77C36" w:rsidR="006D2324" w:rsidRPr="006D2324" w:rsidRDefault="006D2324" w:rsidP="006C49ED">
            <w:pPr>
              <w:spacing w:after="0" w:line="240" w:lineRule="auto"/>
              <w:jc w:val="center"/>
              <w:rPr>
                <w:rFonts w:eastAsia="Times New Roman" w:cs="Arial"/>
                <w:b/>
                <w:bCs/>
                <w:color w:val="000000"/>
                <w:szCs w:val="26"/>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63BB60" w14:textId="77777777" w:rsidR="006D2324" w:rsidRDefault="006D2324" w:rsidP="006C49ED">
            <w:pPr>
              <w:spacing w:after="0" w:line="240" w:lineRule="auto"/>
              <w:jc w:val="center"/>
              <w:rPr>
                <w:rFonts w:eastAsia="Times New Roman" w:cs="Arial"/>
                <w:b/>
                <w:bCs/>
                <w:color w:val="000000"/>
                <w:szCs w:val="26"/>
                <w:lang w:eastAsia="en-GB"/>
              </w:rPr>
            </w:pPr>
            <w:r w:rsidRPr="006D2324">
              <w:rPr>
                <w:rFonts w:eastAsia="Times New Roman" w:cs="Arial"/>
                <w:b/>
                <w:bCs/>
                <w:color w:val="000000"/>
                <w:szCs w:val="26"/>
                <w:lang w:eastAsia="en-GB"/>
              </w:rPr>
              <w:t>Total population</w:t>
            </w:r>
          </w:p>
          <w:p w14:paraId="02A229D4" w14:textId="77777777" w:rsidR="006D2324" w:rsidRDefault="006D2324" w:rsidP="006C49ED">
            <w:pPr>
              <w:spacing w:after="0" w:line="240" w:lineRule="auto"/>
              <w:jc w:val="center"/>
              <w:rPr>
                <w:rFonts w:eastAsia="Times New Roman" w:cs="Arial"/>
                <w:b/>
                <w:bCs/>
                <w:color w:val="000000"/>
                <w:szCs w:val="26"/>
                <w:lang w:eastAsia="en-GB"/>
              </w:rPr>
            </w:pPr>
          </w:p>
          <w:p w14:paraId="76505979" w14:textId="77777777" w:rsidR="006D2324" w:rsidRDefault="006D2324" w:rsidP="006C49ED">
            <w:pPr>
              <w:spacing w:after="0" w:line="240" w:lineRule="auto"/>
              <w:jc w:val="center"/>
              <w:rPr>
                <w:rFonts w:eastAsia="Times New Roman" w:cs="Arial"/>
                <w:b/>
                <w:bCs/>
                <w:color w:val="000000"/>
                <w:szCs w:val="26"/>
                <w:lang w:eastAsia="en-GB"/>
              </w:rPr>
            </w:pPr>
          </w:p>
          <w:p w14:paraId="0EB33BA7" w14:textId="5F590CE3" w:rsidR="006D2324" w:rsidRPr="006D2324" w:rsidRDefault="006D2324" w:rsidP="006C49ED">
            <w:pPr>
              <w:spacing w:after="0" w:line="240" w:lineRule="auto"/>
              <w:jc w:val="center"/>
              <w:rPr>
                <w:rFonts w:eastAsia="Times New Roman" w:cs="Arial"/>
                <w:b/>
                <w:bCs/>
                <w:color w:val="000000"/>
                <w:szCs w:val="26"/>
                <w:lang w:eastAsia="en-GB"/>
              </w:rPr>
            </w:pP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DCEA5EC" w14:textId="77777777" w:rsidR="006D2324" w:rsidRDefault="006D2324" w:rsidP="006C49ED">
            <w:pPr>
              <w:spacing w:after="0" w:line="240" w:lineRule="auto"/>
              <w:jc w:val="center"/>
              <w:rPr>
                <w:rFonts w:eastAsia="Times New Roman" w:cs="Arial"/>
                <w:b/>
                <w:bCs/>
                <w:color w:val="000000"/>
                <w:szCs w:val="26"/>
                <w:lang w:eastAsia="en-GB"/>
              </w:rPr>
            </w:pPr>
            <w:r w:rsidRPr="006D2324">
              <w:rPr>
                <w:rFonts w:eastAsia="Times New Roman" w:cs="Arial"/>
                <w:b/>
                <w:bCs/>
                <w:color w:val="000000"/>
                <w:szCs w:val="26"/>
                <w:lang w:eastAsia="en-GB"/>
              </w:rPr>
              <w:t>Patients currently prescribed oral NSAIDs</w:t>
            </w:r>
          </w:p>
          <w:p w14:paraId="0D042ACC" w14:textId="514D1D84" w:rsidR="006D2324" w:rsidRPr="006D2324" w:rsidRDefault="006D2324" w:rsidP="006D2324">
            <w:pPr>
              <w:spacing w:after="0" w:line="240" w:lineRule="auto"/>
              <w:rPr>
                <w:rFonts w:eastAsia="Times New Roman" w:cs="Arial"/>
                <w:b/>
                <w:bCs/>
                <w:color w:val="000000"/>
                <w:szCs w:val="26"/>
                <w:lang w:eastAsia="en-GB"/>
              </w:rPr>
            </w:pPr>
          </w:p>
        </w:tc>
        <w:tc>
          <w:tcPr>
            <w:tcW w:w="2410" w:type="dxa"/>
            <w:tcBorders>
              <w:top w:val="single" w:sz="4" w:space="0" w:color="auto"/>
              <w:left w:val="nil"/>
              <w:bottom w:val="single" w:sz="4" w:space="0" w:color="auto"/>
              <w:right w:val="single" w:sz="4" w:space="0" w:color="auto"/>
            </w:tcBorders>
            <w:vAlign w:val="bottom"/>
          </w:tcPr>
          <w:p w14:paraId="54CCE2A8" w14:textId="77777777" w:rsidR="006D2324" w:rsidRDefault="006D2324" w:rsidP="006C49ED">
            <w:pPr>
              <w:spacing w:after="0" w:line="240" w:lineRule="auto"/>
              <w:jc w:val="center"/>
              <w:rPr>
                <w:rFonts w:eastAsia="Times New Roman" w:cs="Arial"/>
                <w:b/>
                <w:bCs/>
                <w:color w:val="000000"/>
                <w:szCs w:val="26"/>
                <w:lang w:eastAsia="en-GB"/>
              </w:rPr>
            </w:pPr>
            <w:r w:rsidRPr="006D2324">
              <w:rPr>
                <w:rFonts w:eastAsia="Times New Roman" w:cs="Arial"/>
                <w:b/>
                <w:bCs/>
                <w:color w:val="000000"/>
                <w:szCs w:val="26"/>
                <w:lang w:eastAsia="en-GB"/>
              </w:rPr>
              <w:t>Patients on NSAIDs without an existing diagnosis of CKD (% of previous column)</w:t>
            </w:r>
          </w:p>
          <w:p w14:paraId="73EA7F44" w14:textId="21299F31" w:rsidR="006D2324" w:rsidRPr="006D2324" w:rsidRDefault="006D2324" w:rsidP="006C49ED">
            <w:pPr>
              <w:spacing w:after="0" w:line="240" w:lineRule="auto"/>
              <w:jc w:val="center"/>
              <w:rPr>
                <w:rFonts w:eastAsia="Times New Roman" w:cs="Arial"/>
                <w:b/>
                <w:bCs/>
                <w:color w:val="000000"/>
                <w:szCs w:val="26"/>
                <w:lang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214586" w14:textId="77777777" w:rsidR="006D2324" w:rsidRPr="006D2324" w:rsidRDefault="006D2324" w:rsidP="006C49ED">
            <w:pPr>
              <w:spacing w:after="0" w:line="240" w:lineRule="auto"/>
              <w:jc w:val="center"/>
              <w:rPr>
                <w:rFonts w:eastAsia="Times New Roman" w:cs="Arial"/>
                <w:b/>
                <w:bCs/>
                <w:color w:val="000000"/>
                <w:szCs w:val="26"/>
                <w:lang w:eastAsia="en-GB"/>
              </w:rPr>
            </w:pPr>
            <w:r w:rsidRPr="006D2324">
              <w:rPr>
                <w:rFonts w:eastAsia="Times New Roman" w:cs="Arial"/>
                <w:b/>
                <w:bCs/>
                <w:color w:val="000000"/>
                <w:szCs w:val="26"/>
                <w:lang w:eastAsia="en-GB"/>
              </w:rPr>
              <w:t>Patients on NSAIDs without an existing diagnosis of CKD aged 65 or over (% of previous column)</w:t>
            </w:r>
          </w:p>
        </w:tc>
      </w:tr>
      <w:tr w:rsidR="006D2324" w:rsidRPr="007A36F6" w14:paraId="6EE3B65A"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3D2AE5"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1</w:t>
            </w:r>
          </w:p>
        </w:tc>
        <w:tc>
          <w:tcPr>
            <w:tcW w:w="1559" w:type="dxa"/>
            <w:tcBorders>
              <w:top w:val="nil"/>
              <w:left w:val="nil"/>
              <w:bottom w:val="single" w:sz="4" w:space="0" w:color="auto"/>
              <w:right w:val="single" w:sz="4" w:space="0" w:color="auto"/>
            </w:tcBorders>
            <w:shd w:val="clear" w:color="auto" w:fill="auto"/>
            <w:noWrap/>
            <w:vAlign w:val="center"/>
            <w:hideMark/>
          </w:tcPr>
          <w:p w14:paraId="7BA36216"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16</w:t>
            </w:r>
            <w:r>
              <w:rPr>
                <w:rFonts w:eastAsia="Times New Roman" w:cs="Arial"/>
                <w:color w:val="000000"/>
                <w:szCs w:val="24"/>
                <w:lang w:eastAsia="en-GB"/>
              </w:rPr>
              <w:t>,</w:t>
            </w:r>
            <w:r w:rsidRPr="00541A4A">
              <w:rPr>
                <w:rFonts w:eastAsia="Times New Roman" w:cs="Arial"/>
                <w:color w:val="000000"/>
                <w:szCs w:val="24"/>
                <w:lang w:eastAsia="en-GB"/>
              </w:rPr>
              <w:t>591</w:t>
            </w:r>
          </w:p>
        </w:tc>
        <w:tc>
          <w:tcPr>
            <w:tcW w:w="1843" w:type="dxa"/>
            <w:tcBorders>
              <w:top w:val="nil"/>
              <w:left w:val="nil"/>
              <w:bottom w:val="single" w:sz="4" w:space="0" w:color="auto"/>
              <w:right w:val="single" w:sz="4" w:space="0" w:color="auto"/>
            </w:tcBorders>
            <w:shd w:val="clear" w:color="auto" w:fill="auto"/>
            <w:noWrap/>
            <w:vAlign w:val="center"/>
            <w:hideMark/>
          </w:tcPr>
          <w:p w14:paraId="45F6F076" w14:textId="77777777" w:rsidR="006D2324" w:rsidRPr="00541A4A" w:rsidRDefault="006D2324" w:rsidP="006C49ED">
            <w:pPr>
              <w:spacing w:after="0" w:line="240" w:lineRule="auto"/>
              <w:jc w:val="right"/>
              <w:rPr>
                <w:rFonts w:eastAsia="Times New Roman" w:cs="Arial"/>
                <w:color w:val="000000"/>
                <w:szCs w:val="24"/>
                <w:lang w:eastAsia="en-GB"/>
              </w:rPr>
            </w:pPr>
            <w:r w:rsidRPr="009405AD">
              <w:t>358 (2.2%)</w:t>
            </w:r>
          </w:p>
        </w:tc>
        <w:tc>
          <w:tcPr>
            <w:tcW w:w="2410" w:type="dxa"/>
            <w:tcBorders>
              <w:top w:val="single" w:sz="4" w:space="0" w:color="auto"/>
              <w:left w:val="nil"/>
              <w:bottom w:val="single" w:sz="4" w:space="0" w:color="auto"/>
              <w:right w:val="single" w:sz="4" w:space="0" w:color="auto"/>
            </w:tcBorders>
            <w:vAlign w:val="center"/>
          </w:tcPr>
          <w:p w14:paraId="2D73AC1F" w14:textId="77777777" w:rsidR="006D2324" w:rsidRPr="005F6DFF" w:rsidRDefault="006D2324" w:rsidP="006C49ED">
            <w:pPr>
              <w:spacing w:after="0" w:line="240" w:lineRule="auto"/>
              <w:jc w:val="right"/>
            </w:pPr>
            <w:r w:rsidRPr="009405AD">
              <w:t>344 (96.1%)</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99EDF27" w14:textId="77777777" w:rsidR="006D2324" w:rsidRPr="00541A4A" w:rsidRDefault="006D2324" w:rsidP="006C49ED">
            <w:pPr>
              <w:spacing w:after="0" w:line="240" w:lineRule="auto"/>
              <w:jc w:val="right"/>
              <w:rPr>
                <w:rFonts w:eastAsia="Times New Roman" w:cs="Arial"/>
                <w:color w:val="000000"/>
                <w:szCs w:val="24"/>
                <w:lang w:eastAsia="en-GB"/>
              </w:rPr>
            </w:pPr>
            <w:r w:rsidRPr="009405AD">
              <w:t>119 (34.6%)</w:t>
            </w:r>
          </w:p>
        </w:tc>
      </w:tr>
      <w:tr w:rsidR="006D2324" w:rsidRPr="007A36F6" w14:paraId="4CA0D838"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0D79D12"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2</w:t>
            </w:r>
          </w:p>
        </w:tc>
        <w:tc>
          <w:tcPr>
            <w:tcW w:w="1559" w:type="dxa"/>
            <w:tcBorders>
              <w:top w:val="nil"/>
              <w:left w:val="nil"/>
              <w:bottom w:val="single" w:sz="4" w:space="0" w:color="auto"/>
              <w:right w:val="single" w:sz="4" w:space="0" w:color="auto"/>
            </w:tcBorders>
            <w:shd w:val="clear" w:color="auto" w:fill="auto"/>
            <w:noWrap/>
            <w:vAlign w:val="center"/>
            <w:hideMark/>
          </w:tcPr>
          <w:p w14:paraId="5AB1977A"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8</w:t>
            </w:r>
            <w:r>
              <w:rPr>
                <w:rFonts w:eastAsia="Times New Roman" w:cs="Arial"/>
                <w:color w:val="000000"/>
                <w:szCs w:val="24"/>
                <w:lang w:eastAsia="en-GB"/>
              </w:rPr>
              <w:t>,</w:t>
            </w:r>
            <w:r w:rsidRPr="00541A4A">
              <w:rPr>
                <w:rFonts w:eastAsia="Times New Roman" w:cs="Arial"/>
                <w:color w:val="000000"/>
                <w:szCs w:val="24"/>
                <w:lang w:eastAsia="en-GB"/>
              </w:rPr>
              <w:t>025</w:t>
            </w:r>
          </w:p>
        </w:tc>
        <w:tc>
          <w:tcPr>
            <w:tcW w:w="1843" w:type="dxa"/>
            <w:tcBorders>
              <w:top w:val="nil"/>
              <w:left w:val="nil"/>
              <w:bottom w:val="single" w:sz="4" w:space="0" w:color="auto"/>
              <w:right w:val="single" w:sz="4" w:space="0" w:color="auto"/>
            </w:tcBorders>
            <w:shd w:val="clear" w:color="auto" w:fill="auto"/>
            <w:noWrap/>
            <w:vAlign w:val="center"/>
            <w:hideMark/>
          </w:tcPr>
          <w:p w14:paraId="6A0CF849" w14:textId="77777777" w:rsidR="006D2324" w:rsidRPr="00541A4A" w:rsidRDefault="006D2324" w:rsidP="006C49ED">
            <w:pPr>
              <w:spacing w:after="0" w:line="240" w:lineRule="auto"/>
              <w:jc w:val="right"/>
              <w:rPr>
                <w:rFonts w:eastAsia="Times New Roman" w:cs="Arial"/>
                <w:color w:val="000000"/>
                <w:szCs w:val="24"/>
                <w:lang w:eastAsia="en-GB"/>
              </w:rPr>
            </w:pPr>
            <w:r w:rsidRPr="009405AD">
              <w:t>188 (2.3%)</w:t>
            </w:r>
          </w:p>
        </w:tc>
        <w:tc>
          <w:tcPr>
            <w:tcW w:w="2410" w:type="dxa"/>
            <w:tcBorders>
              <w:top w:val="single" w:sz="4" w:space="0" w:color="auto"/>
              <w:left w:val="nil"/>
              <w:bottom w:val="single" w:sz="4" w:space="0" w:color="auto"/>
              <w:right w:val="single" w:sz="4" w:space="0" w:color="auto"/>
            </w:tcBorders>
            <w:vAlign w:val="center"/>
          </w:tcPr>
          <w:p w14:paraId="0E9E07FA" w14:textId="77777777" w:rsidR="006D2324" w:rsidRPr="005F6DFF" w:rsidRDefault="006D2324" w:rsidP="006C49ED">
            <w:pPr>
              <w:spacing w:after="0" w:line="240" w:lineRule="auto"/>
              <w:jc w:val="right"/>
            </w:pPr>
            <w:r w:rsidRPr="009405AD">
              <w:t>181 (96.3%)</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FA4B42C" w14:textId="77777777" w:rsidR="006D2324" w:rsidRPr="00541A4A" w:rsidRDefault="006D2324" w:rsidP="006C49ED">
            <w:pPr>
              <w:spacing w:after="0" w:line="240" w:lineRule="auto"/>
              <w:jc w:val="right"/>
              <w:rPr>
                <w:rFonts w:eastAsia="Times New Roman" w:cs="Arial"/>
                <w:color w:val="000000"/>
                <w:szCs w:val="24"/>
                <w:lang w:eastAsia="en-GB"/>
              </w:rPr>
            </w:pPr>
            <w:r w:rsidRPr="009405AD">
              <w:t>51 (28.2%)</w:t>
            </w:r>
          </w:p>
        </w:tc>
      </w:tr>
      <w:tr w:rsidR="006D2324" w:rsidRPr="007A36F6" w14:paraId="727A5ECA"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193CD2F"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3</w:t>
            </w:r>
          </w:p>
        </w:tc>
        <w:tc>
          <w:tcPr>
            <w:tcW w:w="1559" w:type="dxa"/>
            <w:tcBorders>
              <w:top w:val="nil"/>
              <w:left w:val="nil"/>
              <w:bottom w:val="single" w:sz="4" w:space="0" w:color="auto"/>
              <w:right w:val="single" w:sz="4" w:space="0" w:color="auto"/>
            </w:tcBorders>
            <w:shd w:val="clear" w:color="auto" w:fill="auto"/>
            <w:noWrap/>
            <w:vAlign w:val="center"/>
            <w:hideMark/>
          </w:tcPr>
          <w:p w14:paraId="2E33730B"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5</w:t>
            </w:r>
            <w:r>
              <w:rPr>
                <w:rFonts w:eastAsia="Times New Roman" w:cs="Arial"/>
                <w:color w:val="000000"/>
                <w:szCs w:val="24"/>
                <w:lang w:eastAsia="en-GB"/>
              </w:rPr>
              <w:t>,</w:t>
            </w:r>
            <w:r w:rsidRPr="00541A4A">
              <w:rPr>
                <w:rFonts w:eastAsia="Times New Roman" w:cs="Arial"/>
                <w:color w:val="000000"/>
                <w:szCs w:val="24"/>
                <w:lang w:eastAsia="en-GB"/>
              </w:rPr>
              <w:t>808</w:t>
            </w:r>
          </w:p>
        </w:tc>
        <w:tc>
          <w:tcPr>
            <w:tcW w:w="1843" w:type="dxa"/>
            <w:tcBorders>
              <w:top w:val="nil"/>
              <w:left w:val="nil"/>
              <w:bottom w:val="single" w:sz="4" w:space="0" w:color="auto"/>
              <w:right w:val="single" w:sz="4" w:space="0" w:color="auto"/>
            </w:tcBorders>
            <w:shd w:val="clear" w:color="auto" w:fill="auto"/>
            <w:noWrap/>
            <w:vAlign w:val="center"/>
            <w:hideMark/>
          </w:tcPr>
          <w:p w14:paraId="06D14737" w14:textId="77777777" w:rsidR="006D2324" w:rsidRPr="00541A4A" w:rsidRDefault="006D2324" w:rsidP="006C49ED">
            <w:pPr>
              <w:spacing w:after="0" w:line="240" w:lineRule="auto"/>
              <w:jc w:val="right"/>
              <w:rPr>
                <w:rFonts w:eastAsia="Times New Roman" w:cs="Arial"/>
                <w:color w:val="000000"/>
                <w:szCs w:val="24"/>
                <w:lang w:eastAsia="en-GB"/>
              </w:rPr>
            </w:pPr>
            <w:r w:rsidRPr="009405AD">
              <w:t>36 (0.6%)</w:t>
            </w:r>
          </w:p>
        </w:tc>
        <w:tc>
          <w:tcPr>
            <w:tcW w:w="2410" w:type="dxa"/>
            <w:tcBorders>
              <w:top w:val="single" w:sz="4" w:space="0" w:color="auto"/>
              <w:left w:val="nil"/>
              <w:bottom w:val="single" w:sz="4" w:space="0" w:color="auto"/>
              <w:right w:val="single" w:sz="4" w:space="0" w:color="auto"/>
            </w:tcBorders>
            <w:vAlign w:val="center"/>
          </w:tcPr>
          <w:p w14:paraId="25A5B0C5" w14:textId="77777777" w:rsidR="006D2324" w:rsidRPr="005F6DFF" w:rsidRDefault="006D2324" w:rsidP="006C49ED">
            <w:pPr>
              <w:spacing w:after="0" w:line="240" w:lineRule="auto"/>
              <w:jc w:val="right"/>
            </w:pPr>
            <w:r w:rsidRPr="009405AD">
              <w:t>36 (100.0%)</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07B3A59" w14:textId="77777777" w:rsidR="006D2324" w:rsidRPr="00541A4A" w:rsidRDefault="006D2324" w:rsidP="006C49ED">
            <w:pPr>
              <w:spacing w:after="0" w:line="240" w:lineRule="auto"/>
              <w:jc w:val="right"/>
              <w:rPr>
                <w:rFonts w:eastAsia="Times New Roman" w:cs="Arial"/>
                <w:color w:val="000000"/>
                <w:szCs w:val="24"/>
                <w:lang w:eastAsia="en-GB"/>
              </w:rPr>
            </w:pPr>
            <w:r w:rsidRPr="009405AD">
              <w:t>9 (25.0%)</w:t>
            </w:r>
          </w:p>
        </w:tc>
      </w:tr>
      <w:tr w:rsidR="006D2324" w:rsidRPr="007A36F6" w14:paraId="4959F98B"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B937241"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4</w:t>
            </w:r>
          </w:p>
        </w:tc>
        <w:tc>
          <w:tcPr>
            <w:tcW w:w="1559" w:type="dxa"/>
            <w:tcBorders>
              <w:top w:val="nil"/>
              <w:left w:val="nil"/>
              <w:bottom w:val="single" w:sz="4" w:space="0" w:color="auto"/>
              <w:right w:val="single" w:sz="4" w:space="0" w:color="auto"/>
            </w:tcBorders>
            <w:shd w:val="clear" w:color="auto" w:fill="auto"/>
            <w:noWrap/>
            <w:vAlign w:val="center"/>
            <w:hideMark/>
          </w:tcPr>
          <w:p w14:paraId="4292FFA7"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8</w:t>
            </w:r>
            <w:r>
              <w:rPr>
                <w:rFonts w:eastAsia="Times New Roman" w:cs="Arial"/>
                <w:color w:val="000000"/>
                <w:szCs w:val="24"/>
                <w:lang w:eastAsia="en-GB"/>
              </w:rPr>
              <w:t>,</w:t>
            </w:r>
            <w:r w:rsidRPr="00541A4A">
              <w:rPr>
                <w:rFonts w:eastAsia="Times New Roman" w:cs="Arial"/>
                <w:color w:val="000000"/>
                <w:szCs w:val="24"/>
                <w:lang w:eastAsia="en-GB"/>
              </w:rPr>
              <w:t>298</w:t>
            </w:r>
          </w:p>
        </w:tc>
        <w:tc>
          <w:tcPr>
            <w:tcW w:w="1843" w:type="dxa"/>
            <w:tcBorders>
              <w:top w:val="nil"/>
              <w:left w:val="nil"/>
              <w:bottom w:val="single" w:sz="4" w:space="0" w:color="auto"/>
              <w:right w:val="single" w:sz="4" w:space="0" w:color="auto"/>
            </w:tcBorders>
            <w:shd w:val="clear" w:color="auto" w:fill="auto"/>
            <w:noWrap/>
            <w:vAlign w:val="center"/>
            <w:hideMark/>
          </w:tcPr>
          <w:p w14:paraId="1C6693EB" w14:textId="77777777" w:rsidR="006D2324" w:rsidRPr="00541A4A" w:rsidRDefault="006D2324" w:rsidP="006C49ED">
            <w:pPr>
              <w:spacing w:after="0" w:line="240" w:lineRule="auto"/>
              <w:jc w:val="right"/>
              <w:rPr>
                <w:rFonts w:eastAsia="Times New Roman" w:cs="Arial"/>
                <w:color w:val="000000"/>
                <w:szCs w:val="24"/>
                <w:lang w:eastAsia="en-GB"/>
              </w:rPr>
            </w:pPr>
            <w:r w:rsidRPr="009405AD">
              <w:t>389 (4.7%)</w:t>
            </w:r>
          </w:p>
        </w:tc>
        <w:tc>
          <w:tcPr>
            <w:tcW w:w="2410" w:type="dxa"/>
            <w:tcBorders>
              <w:top w:val="single" w:sz="4" w:space="0" w:color="auto"/>
              <w:left w:val="nil"/>
              <w:bottom w:val="single" w:sz="4" w:space="0" w:color="auto"/>
              <w:right w:val="single" w:sz="4" w:space="0" w:color="auto"/>
            </w:tcBorders>
            <w:vAlign w:val="center"/>
          </w:tcPr>
          <w:p w14:paraId="26456794" w14:textId="77777777" w:rsidR="006D2324" w:rsidRPr="005F6DFF" w:rsidRDefault="006D2324" w:rsidP="006C49ED">
            <w:pPr>
              <w:spacing w:after="0" w:line="240" w:lineRule="auto"/>
              <w:jc w:val="right"/>
            </w:pPr>
            <w:r w:rsidRPr="009405AD">
              <w:t>312 (80.2%)</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FA35E00" w14:textId="77777777" w:rsidR="006D2324" w:rsidRPr="00541A4A" w:rsidRDefault="006D2324" w:rsidP="006C49ED">
            <w:pPr>
              <w:spacing w:after="0" w:line="240" w:lineRule="auto"/>
              <w:jc w:val="right"/>
              <w:rPr>
                <w:rFonts w:eastAsia="Times New Roman" w:cs="Arial"/>
                <w:color w:val="000000"/>
                <w:szCs w:val="24"/>
                <w:lang w:eastAsia="en-GB"/>
              </w:rPr>
            </w:pPr>
            <w:r w:rsidRPr="009405AD">
              <w:t>73 (23.4%)</w:t>
            </w:r>
          </w:p>
        </w:tc>
      </w:tr>
      <w:tr w:rsidR="006D2324" w:rsidRPr="007A36F6" w14:paraId="51628723"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BC737A5"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5</w:t>
            </w:r>
          </w:p>
        </w:tc>
        <w:tc>
          <w:tcPr>
            <w:tcW w:w="1559" w:type="dxa"/>
            <w:tcBorders>
              <w:top w:val="nil"/>
              <w:left w:val="nil"/>
              <w:bottom w:val="single" w:sz="4" w:space="0" w:color="auto"/>
              <w:right w:val="single" w:sz="4" w:space="0" w:color="auto"/>
            </w:tcBorders>
            <w:shd w:val="clear" w:color="auto" w:fill="auto"/>
            <w:noWrap/>
            <w:vAlign w:val="center"/>
            <w:hideMark/>
          </w:tcPr>
          <w:p w14:paraId="44AE68DE"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7</w:t>
            </w:r>
            <w:r>
              <w:rPr>
                <w:rFonts w:eastAsia="Times New Roman" w:cs="Arial"/>
                <w:color w:val="000000"/>
                <w:szCs w:val="24"/>
                <w:lang w:eastAsia="en-GB"/>
              </w:rPr>
              <w:t>,</w:t>
            </w:r>
            <w:r w:rsidRPr="00541A4A">
              <w:rPr>
                <w:rFonts w:eastAsia="Times New Roman" w:cs="Arial"/>
                <w:color w:val="000000"/>
                <w:szCs w:val="24"/>
                <w:lang w:eastAsia="en-GB"/>
              </w:rPr>
              <w:t>047</w:t>
            </w:r>
          </w:p>
        </w:tc>
        <w:tc>
          <w:tcPr>
            <w:tcW w:w="1843" w:type="dxa"/>
            <w:tcBorders>
              <w:top w:val="nil"/>
              <w:left w:val="nil"/>
              <w:bottom w:val="single" w:sz="4" w:space="0" w:color="auto"/>
              <w:right w:val="single" w:sz="4" w:space="0" w:color="auto"/>
            </w:tcBorders>
            <w:shd w:val="clear" w:color="auto" w:fill="auto"/>
            <w:noWrap/>
            <w:vAlign w:val="center"/>
            <w:hideMark/>
          </w:tcPr>
          <w:p w14:paraId="71F9E1C4" w14:textId="77777777" w:rsidR="006D2324" w:rsidRPr="00541A4A" w:rsidRDefault="006D2324" w:rsidP="006C49ED">
            <w:pPr>
              <w:spacing w:after="0" w:line="240" w:lineRule="auto"/>
              <w:jc w:val="right"/>
              <w:rPr>
                <w:rFonts w:eastAsia="Times New Roman" w:cs="Arial"/>
                <w:color w:val="000000"/>
                <w:szCs w:val="24"/>
                <w:lang w:eastAsia="en-GB"/>
              </w:rPr>
            </w:pPr>
            <w:r w:rsidRPr="009405AD">
              <w:t>39 (0.6%)</w:t>
            </w:r>
          </w:p>
        </w:tc>
        <w:tc>
          <w:tcPr>
            <w:tcW w:w="2410" w:type="dxa"/>
            <w:tcBorders>
              <w:top w:val="single" w:sz="4" w:space="0" w:color="auto"/>
              <w:left w:val="nil"/>
              <w:bottom w:val="single" w:sz="4" w:space="0" w:color="auto"/>
              <w:right w:val="single" w:sz="4" w:space="0" w:color="auto"/>
            </w:tcBorders>
            <w:vAlign w:val="center"/>
          </w:tcPr>
          <w:p w14:paraId="1A57033B" w14:textId="77777777" w:rsidR="006D2324" w:rsidRPr="005F6DFF" w:rsidRDefault="006D2324" w:rsidP="006C49ED">
            <w:pPr>
              <w:spacing w:after="0" w:line="240" w:lineRule="auto"/>
              <w:jc w:val="right"/>
            </w:pPr>
            <w:r w:rsidRPr="009405AD">
              <w:t>7 (17.9%)</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723BEFC" w14:textId="77777777" w:rsidR="006D2324" w:rsidRPr="00541A4A" w:rsidRDefault="006D2324" w:rsidP="006C49ED">
            <w:pPr>
              <w:spacing w:after="0" w:line="240" w:lineRule="auto"/>
              <w:jc w:val="right"/>
              <w:rPr>
                <w:rFonts w:eastAsia="Times New Roman" w:cs="Arial"/>
                <w:color w:val="000000"/>
                <w:szCs w:val="24"/>
                <w:lang w:eastAsia="en-GB"/>
              </w:rPr>
            </w:pPr>
            <w:r>
              <w:t>N/A</w:t>
            </w:r>
          </w:p>
        </w:tc>
      </w:tr>
      <w:tr w:rsidR="006D2324" w:rsidRPr="007A36F6" w14:paraId="365EBC72"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BE72F64"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6</w:t>
            </w:r>
          </w:p>
        </w:tc>
        <w:tc>
          <w:tcPr>
            <w:tcW w:w="1559" w:type="dxa"/>
            <w:tcBorders>
              <w:top w:val="nil"/>
              <w:left w:val="nil"/>
              <w:bottom w:val="single" w:sz="4" w:space="0" w:color="auto"/>
              <w:right w:val="single" w:sz="4" w:space="0" w:color="auto"/>
            </w:tcBorders>
            <w:shd w:val="clear" w:color="auto" w:fill="auto"/>
            <w:noWrap/>
            <w:vAlign w:val="center"/>
            <w:hideMark/>
          </w:tcPr>
          <w:p w14:paraId="7F11FBD2"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9</w:t>
            </w:r>
            <w:r>
              <w:rPr>
                <w:rFonts w:eastAsia="Times New Roman" w:cs="Arial"/>
                <w:color w:val="000000"/>
                <w:szCs w:val="24"/>
                <w:lang w:eastAsia="en-GB"/>
              </w:rPr>
              <w:t>,</w:t>
            </w:r>
            <w:r w:rsidRPr="00541A4A">
              <w:rPr>
                <w:rFonts w:eastAsia="Times New Roman" w:cs="Arial"/>
                <w:color w:val="000000"/>
                <w:szCs w:val="24"/>
                <w:lang w:eastAsia="en-GB"/>
              </w:rPr>
              <w:t>480</w:t>
            </w:r>
          </w:p>
        </w:tc>
        <w:tc>
          <w:tcPr>
            <w:tcW w:w="1843" w:type="dxa"/>
            <w:tcBorders>
              <w:top w:val="nil"/>
              <w:left w:val="nil"/>
              <w:bottom w:val="single" w:sz="4" w:space="0" w:color="auto"/>
              <w:right w:val="single" w:sz="4" w:space="0" w:color="auto"/>
            </w:tcBorders>
            <w:shd w:val="clear" w:color="auto" w:fill="auto"/>
            <w:noWrap/>
            <w:vAlign w:val="center"/>
            <w:hideMark/>
          </w:tcPr>
          <w:p w14:paraId="6FF6A817" w14:textId="77777777" w:rsidR="006D2324" w:rsidRPr="00541A4A" w:rsidRDefault="006D2324" w:rsidP="006C49ED">
            <w:pPr>
              <w:spacing w:after="0" w:line="240" w:lineRule="auto"/>
              <w:jc w:val="right"/>
              <w:rPr>
                <w:rFonts w:eastAsia="Times New Roman" w:cs="Arial"/>
                <w:color w:val="000000"/>
                <w:szCs w:val="24"/>
                <w:lang w:eastAsia="en-GB"/>
              </w:rPr>
            </w:pPr>
            <w:r w:rsidRPr="009405AD">
              <w:t>30 (0.3%)</w:t>
            </w:r>
          </w:p>
        </w:tc>
        <w:tc>
          <w:tcPr>
            <w:tcW w:w="2410" w:type="dxa"/>
            <w:tcBorders>
              <w:top w:val="single" w:sz="4" w:space="0" w:color="auto"/>
              <w:left w:val="nil"/>
              <w:bottom w:val="single" w:sz="4" w:space="0" w:color="auto"/>
              <w:right w:val="single" w:sz="4" w:space="0" w:color="auto"/>
            </w:tcBorders>
            <w:vAlign w:val="center"/>
          </w:tcPr>
          <w:p w14:paraId="649B5D7C" w14:textId="77777777" w:rsidR="006D2324" w:rsidRPr="005F6DFF" w:rsidRDefault="006D2324" w:rsidP="006C49ED">
            <w:pPr>
              <w:spacing w:after="0" w:line="240" w:lineRule="auto"/>
              <w:jc w:val="right"/>
            </w:pPr>
            <w:r w:rsidRPr="009405AD">
              <w:t>29 (96.7%)</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75E43E0" w14:textId="77777777" w:rsidR="006D2324" w:rsidRPr="00541A4A" w:rsidRDefault="006D2324" w:rsidP="006C49ED">
            <w:pPr>
              <w:spacing w:after="0" w:line="240" w:lineRule="auto"/>
              <w:jc w:val="right"/>
              <w:rPr>
                <w:rFonts w:eastAsia="Times New Roman" w:cs="Arial"/>
                <w:color w:val="000000"/>
                <w:szCs w:val="24"/>
                <w:lang w:eastAsia="en-GB"/>
              </w:rPr>
            </w:pPr>
            <w:r w:rsidRPr="009405AD">
              <w:t>7 (24.1%)</w:t>
            </w:r>
          </w:p>
        </w:tc>
      </w:tr>
      <w:tr w:rsidR="006D2324" w:rsidRPr="007A36F6" w14:paraId="2E35E3BA"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B70339C"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7</w:t>
            </w:r>
          </w:p>
        </w:tc>
        <w:tc>
          <w:tcPr>
            <w:tcW w:w="1559" w:type="dxa"/>
            <w:tcBorders>
              <w:top w:val="nil"/>
              <w:left w:val="nil"/>
              <w:bottom w:val="single" w:sz="4" w:space="0" w:color="auto"/>
              <w:right w:val="single" w:sz="4" w:space="0" w:color="auto"/>
            </w:tcBorders>
            <w:shd w:val="clear" w:color="auto" w:fill="auto"/>
            <w:noWrap/>
            <w:vAlign w:val="center"/>
            <w:hideMark/>
          </w:tcPr>
          <w:p w14:paraId="4A78CB7A"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12</w:t>
            </w:r>
            <w:r>
              <w:rPr>
                <w:rFonts w:eastAsia="Times New Roman" w:cs="Arial"/>
                <w:color w:val="000000"/>
                <w:szCs w:val="24"/>
                <w:lang w:eastAsia="en-GB"/>
              </w:rPr>
              <w:t>,</w:t>
            </w:r>
            <w:r w:rsidRPr="00541A4A">
              <w:rPr>
                <w:rFonts w:eastAsia="Times New Roman" w:cs="Arial"/>
                <w:color w:val="000000"/>
                <w:szCs w:val="24"/>
                <w:lang w:eastAsia="en-GB"/>
              </w:rPr>
              <w:t>025</w:t>
            </w:r>
          </w:p>
        </w:tc>
        <w:tc>
          <w:tcPr>
            <w:tcW w:w="1843" w:type="dxa"/>
            <w:tcBorders>
              <w:top w:val="nil"/>
              <w:left w:val="nil"/>
              <w:bottom w:val="single" w:sz="4" w:space="0" w:color="auto"/>
              <w:right w:val="single" w:sz="4" w:space="0" w:color="auto"/>
            </w:tcBorders>
            <w:shd w:val="clear" w:color="auto" w:fill="auto"/>
            <w:noWrap/>
            <w:vAlign w:val="center"/>
            <w:hideMark/>
          </w:tcPr>
          <w:p w14:paraId="1722DF10" w14:textId="77777777" w:rsidR="006D2324" w:rsidRPr="00541A4A" w:rsidRDefault="006D2324" w:rsidP="006C49ED">
            <w:pPr>
              <w:spacing w:after="0" w:line="240" w:lineRule="auto"/>
              <w:jc w:val="right"/>
              <w:rPr>
                <w:rFonts w:eastAsia="Times New Roman" w:cs="Arial"/>
                <w:color w:val="000000"/>
                <w:szCs w:val="24"/>
                <w:lang w:eastAsia="en-GB"/>
              </w:rPr>
            </w:pPr>
            <w:r w:rsidRPr="009405AD">
              <w:t>375 (3.1%)</w:t>
            </w:r>
          </w:p>
        </w:tc>
        <w:tc>
          <w:tcPr>
            <w:tcW w:w="2410" w:type="dxa"/>
            <w:tcBorders>
              <w:top w:val="single" w:sz="4" w:space="0" w:color="auto"/>
              <w:left w:val="nil"/>
              <w:bottom w:val="single" w:sz="4" w:space="0" w:color="auto"/>
              <w:right w:val="single" w:sz="4" w:space="0" w:color="auto"/>
            </w:tcBorders>
            <w:vAlign w:val="center"/>
          </w:tcPr>
          <w:p w14:paraId="2FD43730" w14:textId="77777777" w:rsidR="006D2324" w:rsidRPr="005F6DFF" w:rsidRDefault="006D2324" w:rsidP="006C49ED">
            <w:pPr>
              <w:spacing w:after="0" w:line="240" w:lineRule="auto"/>
              <w:jc w:val="right"/>
            </w:pPr>
            <w:r w:rsidRPr="009405AD">
              <w:t>336 (89.6%)</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B560620" w14:textId="77777777" w:rsidR="006D2324" w:rsidRPr="00541A4A" w:rsidRDefault="006D2324" w:rsidP="006C49ED">
            <w:pPr>
              <w:spacing w:after="0" w:line="240" w:lineRule="auto"/>
              <w:jc w:val="right"/>
              <w:rPr>
                <w:rFonts w:eastAsia="Times New Roman" w:cs="Arial"/>
                <w:color w:val="000000"/>
                <w:szCs w:val="24"/>
                <w:lang w:eastAsia="en-GB"/>
              </w:rPr>
            </w:pPr>
            <w:r w:rsidRPr="009405AD">
              <w:t>169 (50.3%)</w:t>
            </w:r>
          </w:p>
        </w:tc>
      </w:tr>
      <w:tr w:rsidR="006D2324" w:rsidRPr="007A36F6" w14:paraId="5E988A38"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46E11D6"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8</w:t>
            </w:r>
          </w:p>
        </w:tc>
        <w:tc>
          <w:tcPr>
            <w:tcW w:w="1559" w:type="dxa"/>
            <w:tcBorders>
              <w:top w:val="nil"/>
              <w:left w:val="nil"/>
              <w:bottom w:val="single" w:sz="4" w:space="0" w:color="auto"/>
              <w:right w:val="single" w:sz="4" w:space="0" w:color="auto"/>
            </w:tcBorders>
            <w:shd w:val="clear" w:color="auto" w:fill="auto"/>
            <w:noWrap/>
            <w:vAlign w:val="center"/>
            <w:hideMark/>
          </w:tcPr>
          <w:p w14:paraId="6DAF3294"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11</w:t>
            </w:r>
            <w:r>
              <w:rPr>
                <w:rFonts w:eastAsia="Times New Roman" w:cs="Arial"/>
                <w:color w:val="000000"/>
                <w:szCs w:val="24"/>
                <w:lang w:eastAsia="en-GB"/>
              </w:rPr>
              <w:t>,</w:t>
            </w:r>
            <w:r w:rsidRPr="00541A4A">
              <w:rPr>
                <w:rFonts w:eastAsia="Times New Roman" w:cs="Arial"/>
                <w:color w:val="000000"/>
                <w:szCs w:val="24"/>
                <w:lang w:eastAsia="en-GB"/>
              </w:rPr>
              <w:t>370</w:t>
            </w:r>
          </w:p>
        </w:tc>
        <w:tc>
          <w:tcPr>
            <w:tcW w:w="1843" w:type="dxa"/>
            <w:tcBorders>
              <w:top w:val="nil"/>
              <w:left w:val="nil"/>
              <w:bottom w:val="single" w:sz="4" w:space="0" w:color="auto"/>
              <w:right w:val="single" w:sz="4" w:space="0" w:color="auto"/>
            </w:tcBorders>
            <w:shd w:val="clear" w:color="auto" w:fill="auto"/>
            <w:noWrap/>
            <w:vAlign w:val="center"/>
            <w:hideMark/>
          </w:tcPr>
          <w:p w14:paraId="753450EC" w14:textId="77777777" w:rsidR="006D2324" w:rsidRPr="00541A4A" w:rsidRDefault="006D2324" w:rsidP="006C49ED">
            <w:pPr>
              <w:spacing w:after="0" w:line="240" w:lineRule="auto"/>
              <w:jc w:val="right"/>
              <w:rPr>
                <w:rFonts w:eastAsia="Times New Roman" w:cs="Arial"/>
                <w:color w:val="000000"/>
                <w:szCs w:val="24"/>
                <w:lang w:eastAsia="en-GB"/>
              </w:rPr>
            </w:pPr>
            <w:r w:rsidRPr="009405AD">
              <w:t>441 (3.9%)</w:t>
            </w:r>
          </w:p>
        </w:tc>
        <w:tc>
          <w:tcPr>
            <w:tcW w:w="2410" w:type="dxa"/>
            <w:tcBorders>
              <w:top w:val="single" w:sz="4" w:space="0" w:color="auto"/>
              <w:left w:val="nil"/>
              <w:bottom w:val="single" w:sz="4" w:space="0" w:color="auto"/>
              <w:right w:val="single" w:sz="4" w:space="0" w:color="auto"/>
            </w:tcBorders>
            <w:vAlign w:val="center"/>
          </w:tcPr>
          <w:p w14:paraId="731162FF" w14:textId="77777777" w:rsidR="006D2324" w:rsidRPr="005F6DFF" w:rsidRDefault="006D2324" w:rsidP="006C49ED">
            <w:pPr>
              <w:spacing w:after="0" w:line="240" w:lineRule="auto"/>
              <w:jc w:val="right"/>
            </w:pPr>
            <w:r w:rsidRPr="009405AD">
              <w:t>382 (86.6%)</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D0FB4D0" w14:textId="77777777" w:rsidR="006D2324" w:rsidRPr="00541A4A" w:rsidRDefault="006D2324" w:rsidP="006C49ED">
            <w:pPr>
              <w:spacing w:after="0" w:line="240" w:lineRule="auto"/>
              <w:jc w:val="right"/>
              <w:rPr>
                <w:rFonts w:eastAsia="Times New Roman" w:cs="Arial"/>
                <w:color w:val="000000"/>
                <w:szCs w:val="24"/>
                <w:lang w:eastAsia="en-GB"/>
              </w:rPr>
            </w:pPr>
            <w:r w:rsidRPr="009405AD">
              <w:t>192 (50.3%)</w:t>
            </w:r>
          </w:p>
        </w:tc>
      </w:tr>
      <w:tr w:rsidR="006D2324" w:rsidRPr="007A36F6" w14:paraId="610973C0"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FB6D86"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9</w:t>
            </w:r>
          </w:p>
        </w:tc>
        <w:tc>
          <w:tcPr>
            <w:tcW w:w="1559" w:type="dxa"/>
            <w:tcBorders>
              <w:top w:val="nil"/>
              <w:left w:val="nil"/>
              <w:bottom w:val="single" w:sz="4" w:space="0" w:color="auto"/>
              <w:right w:val="single" w:sz="4" w:space="0" w:color="auto"/>
            </w:tcBorders>
            <w:shd w:val="clear" w:color="auto" w:fill="auto"/>
            <w:noWrap/>
            <w:vAlign w:val="center"/>
            <w:hideMark/>
          </w:tcPr>
          <w:p w14:paraId="74A565B9"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19</w:t>
            </w:r>
            <w:r>
              <w:rPr>
                <w:rFonts w:eastAsia="Times New Roman" w:cs="Arial"/>
                <w:color w:val="000000"/>
                <w:szCs w:val="24"/>
                <w:lang w:eastAsia="en-GB"/>
              </w:rPr>
              <w:t>,</w:t>
            </w:r>
            <w:r w:rsidRPr="00541A4A">
              <w:rPr>
                <w:rFonts w:eastAsia="Times New Roman" w:cs="Arial"/>
                <w:color w:val="000000"/>
                <w:szCs w:val="24"/>
                <w:lang w:eastAsia="en-GB"/>
              </w:rPr>
              <w:t>537</w:t>
            </w:r>
          </w:p>
        </w:tc>
        <w:tc>
          <w:tcPr>
            <w:tcW w:w="1843" w:type="dxa"/>
            <w:tcBorders>
              <w:top w:val="nil"/>
              <w:left w:val="nil"/>
              <w:bottom w:val="single" w:sz="4" w:space="0" w:color="auto"/>
              <w:right w:val="single" w:sz="4" w:space="0" w:color="auto"/>
            </w:tcBorders>
            <w:shd w:val="clear" w:color="auto" w:fill="auto"/>
            <w:noWrap/>
            <w:vAlign w:val="center"/>
            <w:hideMark/>
          </w:tcPr>
          <w:p w14:paraId="083C6551" w14:textId="77777777" w:rsidR="006D2324" w:rsidRPr="00541A4A" w:rsidRDefault="006D2324" w:rsidP="006C49ED">
            <w:pPr>
              <w:spacing w:after="0" w:line="240" w:lineRule="auto"/>
              <w:jc w:val="right"/>
              <w:rPr>
                <w:rFonts w:eastAsia="Times New Roman" w:cs="Arial"/>
                <w:color w:val="000000"/>
                <w:szCs w:val="24"/>
                <w:lang w:eastAsia="en-GB"/>
              </w:rPr>
            </w:pPr>
            <w:r w:rsidRPr="009405AD">
              <w:t>3</w:t>
            </w:r>
            <w:r>
              <w:t>,</w:t>
            </w:r>
            <w:r w:rsidRPr="009405AD">
              <w:t>618 (18.5%)</w:t>
            </w:r>
          </w:p>
        </w:tc>
        <w:tc>
          <w:tcPr>
            <w:tcW w:w="2410" w:type="dxa"/>
            <w:tcBorders>
              <w:top w:val="single" w:sz="4" w:space="0" w:color="auto"/>
              <w:left w:val="nil"/>
              <w:bottom w:val="single" w:sz="4" w:space="0" w:color="auto"/>
              <w:right w:val="single" w:sz="4" w:space="0" w:color="auto"/>
            </w:tcBorders>
            <w:vAlign w:val="center"/>
          </w:tcPr>
          <w:p w14:paraId="100798B0" w14:textId="77777777" w:rsidR="006D2324" w:rsidRPr="005F6DFF" w:rsidRDefault="006D2324" w:rsidP="006C49ED">
            <w:pPr>
              <w:spacing w:after="0" w:line="240" w:lineRule="auto"/>
              <w:jc w:val="right"/>
            </w:pPr>
            <w:r w:rsidRPr="009405AD">
              <w:t>3</w:t>
            </w:r>
            <w:r>
              <w:t>,</w:t>
            </w:r>
            <w:r w:rsidRPr="009405AD">
              <w:t>570 (98.7%)</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E795DA0" w14:textId="77777777" w:rsidR="006D2324" w:rsidRPr="00541A4A" w:rsidRDefault="006D2324" w:rsidP="006C49ED">
            <w:pPr>
              <w:spacing w:after="0" w:line="240" w:lineRule="auto"/>
              <w:jc w:val="right"/>
              <w:rPr>
                <w:rFonts w:eastAsia="Times New Roman" w:cs="Arial"/>
                <w:color w:val="000000"/>
                <w:szCs w:val="24"/>
                <w:lang w:eastAsia="en-GB"/>
              </w:rPr>
            </w:pPr>
            <w:r w:rsidRPr="009405AD">
              <w:t>3</w:t>
            </w:r>
            <w:r>
              <w:t>,</w:t>
            </w:r>
            <w:r w:rsidRPr="009405AD">
              <w:t>367 (94.3%)</w:t>
            </w:r>
          </w:p>
        </w:tc>
      </w:tr>
      <w:tr w:rsidR="006D2324" w:rsidRPr="007A36F6" w14:paraId="670A376A"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2AA8888"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10</w:t>
            </w:r>
          </w:p>
        </w:tc>
        <w:tc>
          <w:tcPr>
            <w:tcW w:w="1559" w:type="dxa"/>
            <w:tcBorders>
              <w:top w:val="nil"/>
              <w:left w:val="nil"/>
              <w:bottom w:val="single" w:sz="4" w:space="0" w:color="auto"/>
              <w:right w:val="single" w:sz="4" w:space="0" w:color="auto"/>
            </w:tcBorders>
            <w:shd w:val="clear" w:color="auto" w:fill="auto"/>
            <w:noWrap/>
            <w:vAlign w:val="center"/>
            <w:hideMark/>
          </w:tcPr>
          <w:p w14:paraId="2344A5F2"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13</w:t>
            </w:r>
            <w:r>
              <w:rPr>
                <w:rFonts w:eastAsia="Times New Roman" w:cs="Arial"/>
                <w:color w:val="000000"/>
                <w:szCs w:val="24"/>
                <w:lang w:eastAsia="en-GB"/>
              </w:rPr>
              <w:t>,</w:t>
            </w:r>
            <w:r w:rsidRPr="00541A4A">
              <w:rPr>
                <w:rFonts w:eastAsia="Times New Roman" w:cs="Arial"/>
                <w:color w:val="000000"/>
                <w:szCs w:val="24"/>
                <w:lang w:eastAsia="en-GB"/>
              </w:rPr>
              <w:t>229</w:t>
            </w:r>
          </w:p>
        </w:tc>
        <w:tc>
          <w:tcPr>
            <w:tcW w:w="1843" w:type="dxa"/>
            <w:tcBorders>
              <w:top w:val="nil"/>
              <w:left w:val="nil"/>
              <w:bottom w:val="single" w:sz="4" w:space="0" w:color="auto"/>
              <w:right w:val="single" w:sz="4" w:space="0" w:color="auto"/>
            </w:tcBorders>
            <w:shd w:val="clear" w:color="auto" w:fill="auto"/>
            <w:noWrap/>
            <w:vAlign w:val="center"/>
            <w:hideMark/>
          </w:tcPr>
          <w:p w14:paraId="1B9EF4E8" w14:textId="77777777" w:rsidR="006D2324" w:rsidRPr="00541A4A" w:rsidRDefault="006D2324" w:rsidP="006C49ED">
            <w:pPr>
              <w:spacing w:after="0" w:line="240" w:lineRule="auto"/>
              <w:jc w:val="right"/>
              <w:rPr>
                <w:rFonts w:eastAsia="Times New Roman" w:cs="Arial"/>
                <w:color w:val="000000"/>
                <w:szCs w:val="24"/>
                <w:lang w:eastAsia="en-GB"/>
              </w:rPr>
            </w:pPr>
            <w:r w:rsidRPr="009405AD">
              <w:t>159 (1.2%)</w:t>
            </w:r>
          </w:p>
        </w:tc>
        <w:tc>
          <w:tcPr>
            <w:tcW w:w="2410" w:type="dxa"/>
            <w:tcBorders>
              <w:top w:val="single" w:sz="4" w:space="0" w:color="auto"/>
              <w:left w:val="nil"/>
              <w:bottom w:val="single" w:sz="4" w:space="0" w:color="auto"/>
              <w:right w:val="single" w:sz="4" w:space="0" w:color="auto"/>
            </w:tcBorders>
            <w:vAlign w:val="center"/>
          </w:tcPr>
          <w:p w14:paraId="3C262067" w14:textId="77777777" w:rsidR="006D2324" w:rsidRPr="005F6DFF" w:rsidRDefault="006D2324" w:rsidP="006C49ED">
            <w:pPr>
              <w:spacing w:after="0" w:line="240" w:lineRule="auto"/>
              <w:jc w:val="right"/>
            </w:pPr>
            <w:r w:rsidRPr="009405AD">
              <w:t>155 (97.5%)</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DB5EB22" w14:textId="77777777" w:rsidR="006D2324" w:rsidRPr="00541A4A" w:rsidRDefault="006D2324" w:rsidP="006C49ED">
            <w:pPr>
              <w:spacing w:after="0" w:line="240" w:lineRule="auto"/>
              <w:jc w:val="right"/>
              <w:rPr>
                <w:rFonts w:eastAsia="Times New Roman" w:cs="Arial"/>
                <w:color w:val="000000"/>
                <w:szCs w:val="24"/>
                <w:lang w:eastAsia="en-GB"/>
              </w:rPr>
            </w:pPr>
            <w:r w:rsidRPr="009405AD">
              <w:t>60 (38.7%)</w:t>
            </w:r>
          </w:p>
        </w:tc>
      </w:tr>
      <w:tr w:rsidR="006D2324" w:rsidRPr="007A36F6" w14:paraId="745F90E5"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FCC2F7"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11</w:t>
            </w:r>
          </w:p>
        </w:tc>
        <w:tc>
          <w:tcPr>
            <w:tcW w:w="1559" w:type="dxa"/>
            <w:tcBorders>
              <w:top w:val="nil"/>
              <w:left w:val="nil"/>
              <w:bottom w:val="single" w:sz="4" w:space="0" w:color="auto"/>
              <w:right w:val="single" w:sz="4" w:space="0" w:color="auto"/>
            </w:tcBorders>
            <w:shd w:val="clear" w:color="auto" w:fill="auto"/>
            <w:noWrap/>
            <w:vAlign w:val="center"/>
            <w:hideMark/>
          </w:tcPr>
          <w:p w14:paraId="34D02EF6"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6</w:t>
            </w:r>
            <w:r>
              <w:rPr>
                <w:rFonts w:eastAsia="Times New Roman" w:cs="Arial"/>
                <w:color w:val="000000"/>
                <w:szCs w:val="24"/>
                <w:lang w:eastAsia="en-GB"/>
              </w:rPr>
              <w:t>,</w:t>
            </w:r>
            <w:r w:rsidRPr="00541A4A">
              <w:rPr>
                <w:rFonts w:eastAsia="Times New Roman" w:cs="Arial"/>
                <w:color w:val="000000"/>
                <w:szCs w:val="24"/>
                <w:lang w:eastAsia="en-GB"/>
              </w:rPr>
              <w:t>910</w:t>
            </w:r>
          </w:p>
        </w:tc>
        <w:tc>
          <w:tcPr>
            <w:tcW w:w="1843" w:type="dxa"/>
            <w:tcBorders>
              <w:top w:val="nil"/>
              <w:left w:val="nil"/>
              <w:bottom w:val="single" w:sz="4" w:space="0" w:color="auto"/>
              <w:right w:val="single" w:sz="4" w:space="0" w:color="auto"/>
            </w:tcBorders>
            <w:shd w:val="clear" w:color="auto" w:fill="auto"/>
            <w:noWrap/>
            <w:vAlign w:val="center"/>
            <w:hideMark/>
          </w:tcPr>
          <w:p w14:paraId="31A653CF" w14:textId="77777777" w:rsidR="006D2324" w:rsidRPr="00541A4A" w:rsidRDefault="006D2324" w:rsidP="006C49ED">
            <w:pPr>
              <w:spacing w:after="0" w:line="240" w:lineRule="auto"/>
              <w:jc w:val="right"/>
              <w:rPr>
                <w:rFonts w:eastAsia="Times New Roman" w:cs="Arial"/>
                <w:color w:val="000000"/>
                <w:szCs w:val="24"/>
                <w:lang w:eastAsia="en-GB"/>
              </w:rPr>
            </w:pPr>
            <w:r w:rsidRPr="009405AD">
              <w:t>190 (2.7%)</w:t>
            </w:r>
          </w:p>
        </w:tc>
        <w:tc>
          <w:tcPr>
            <w:tcW w:w="2410" w:type="dxa"/>
            <w:tcBorders>
              <w:top w:val="single" w:sz="4" w:space="0" w:color="auto"/>
              <w:left w:val="nil"/>
              <w:bottom w:val="single" w:sz="4" w:space="0" w:color="auto"/>
              <w:right w:val="single" w:sz="4" w:space="0" w:color="auto"/>
            </w:tcBorders>
            <w:vAlign w:val="center"/>
          </w:tcPr>
          <w:p w14:paraId="54E9E7C4" w14:textId="77777777" w:rsidR="006D2324" w:rsidRPr="005F6DFF" w:rsidRDefault="006D2324" w:rsidP="006C49ED">
            <w:pPr>
              <w:spacing w:after="0" w:line="240" w:lineRule="auto"/>
              <w:jc w:val="right"/>
            </w:pPr>
            <w:r w:rsidRPr="009405AD">
              <w:t>184 (96.8%)</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C6D338E" w14:textId="77777777" w:rsidR="006D2324" w:rsidRPr="00541A4A" w:rsidRDefault="006D2324" w:rsidP="006C49ED">
            <w:pPr>
              <w:spacing w:after="0" w:line="240" w:lineRule="auto"/>
              <w:jc w:val="right"/>
              <w:rPr>
                <w:rFonts w:eastAsia="Times New Roman" w:cs="Arial"/>
                <w:color w:val="000000"/>
                <w:szCs w:val="24"/>
                <w:lang w:eastAsia="en-GB"/>
              </w:rPr>
            </w:pPr>
            <w:r w:rsidRPr="009405AD">
              <w:t>118 (64.1%)</w:t>
            </w:r>
          </w:p>
        </w:tc>
      </w:tr>
      <w:tr w:rsidR="006D2324" w:rsidRPr="007A36F6" w14:paraId="27305A64"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14697E2"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12</w:t>
            </w:r>
          </w:p>
        </w:tc>
        <w:tc>
          <w:tcPr>
            <w:tcW w:w="1559" w:type="dxa"/>
            <w:tcBorders>
              <w:top w:val="nil"/>
              <w:left w:val="nil"/>
              <w:bottom w:val="single" w:sz="4" w:space="0" w:color="auto"/>
              <w:right w:val="single" w:sz="4" w:space="0" w:color="auto"/>
            </w:tcBorders>
            <w:shd w:val="clear" w:color="auto" w:fill="auto"/>
            <w:noWrap/>
            <w:vAlign w:val="center"/>
            <w:hideMark/>
          </w:tcPr>
          <w:p w14:paraId="5C3D61C9"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11</w:t>
            </w:r>
            <w:r>
              <w:rPr>
                <w:rFonts w:eastAsia="Times New Roman" w:cs="Arial"/>
                <w:color w:val="000000"/>
                <w:szCs w:val="24"/>
                <w:lang w:eastAsia="en-GB"/>
              </w:rPr>
              <w:t>,</w:t>
            </w:r>
            <w:r w:rsidRPr="00541A4A">
              <w:rPr>
                <w:rFonts w:eastAsia="Times New Roman" w:cs="Arial"/>
                <w:color w:val="000000"/>
                <w:szCs w:val="24"/>
                <w:lang w:eastAsia="en-GB"/>
              </w:rPr>
              <w:t>571</w:t>
            </w:r>
          </w:p>
        </w:tc>
        <w:tc>
          <w:tcPr>
            <w:tcW w:w="1843" w:type="dxa"/>
            <w:tcBorders>
              <w:top w:val="nil"/>
              <w:left w:val="nil"/>
              <w:bottom w:val="single" w:sz="4" w:space="0" w:color="auto"/>
              <w:right w:val="single" w:sz="4" w:space="0" w:color="auto"/>
            </w:tcBorders>
            <w:shd w:val="clear" w:color="auto" w:fill="auto"/>
            <w:noWrap/>
            <w:vAlign w:val="center"/>
            <w:hideMark/>
          </w:tcPr>
          <w:p w14:paraId="39DD4E10" w14:textId="77777777" w:rsidR="006D2324" w:rsidRPr="00541A4A" w:rsidRDefault="006D2324" w:rsidP="006C49ED">
            <w:pPr>
              <w:spacing w:after="0" w:line="240" w:lineRule="auto"/>
              <w:jc w:val="right"/>
              <w:rPr>
                <w:rFonts w:eastAsia="Times New Roman" w:cs="Arial"/>
                <w:color w:val="000000"/>
                <w:szCs w:val="24"/>
                <w:lang w:eastAsia="en-GB"/>
              </w:rPr>
            </w:pPr>
            <w:r w:rsidRPr="009405AD">
              <w:t>606 (5.2%)</w:t>
            </w:r>
          </w:p>
        </w:tc>
        <w:tc>
          <w:tcPr>
            <w:tcW w:w="2410" w:type="dxa"/>
            <w:tcBorders>
              <w:top w:val="single" w:sz="4" w:space="0" w:color="auto"/>
              <w:left w:val="nil"/>
              <w:bottom w:val="single" w:sz="4" w:space="0" w:color="auto"/>
              <w:right w:val="single" w:sz="4" w:space="0" w:color="auto"/>
            </w:tcBorders>
            <w:vAlign w:val="center"/>
          </w:tcPr>
          <w:p w14:paraId="7A0880D1" w14:textId="77777777" w:rsidR="006D2324" w:rsidRPr="005F6DFF" w:rsidRDefault="006D2324" w:rsidP="006C49ED">
            <w:pPr>
              <w:spacing w:after="0" w:line="240" w:lineRule="auto"/>
              <w:jc w:val="right"/>
            </w:pPr>
            <w:r w:rsidRPr="009405AD">
              <w:t>600 (99.0%)</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342DD4B" w14:textId="77777777" w:rsidR="006D2324" w:rsidRPr="00541A4A" w:rsidRDefault="006D2324" w:rsidP="006C49ED">
            <w:pPr>
              <w:spacing w:after="0" w:line="240" w:lineRule="auto"/>
              <w:jc w:val="right"/>
              <w:rPr>
                <w:rFonts w:eastAsia="Times New Roman" w:cs="Arial"/>
                <w:color w:val="000000"/>
                <w:szCs w:val="24"/>
                <w:lang w:eastAsia="en-GB"/>
              </w:rPr>
            </w:pPr>
            <w:r w:rsidRPr="009405AD">
              <w:t>373 (62.2%)</w:t>
            </w:r>
          </w:p>
        </w:tc>
      </w:tr>
      <w:tr w:rsidR="006D2324" w:rsidRPr="007A36F6" w14:paraId="36E33EA8"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508877F"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13</w:t>
            </w:r>
          </w:p>
        </w:tc>
        <w:tc>
          <w:tcPr>
            <w:tcW w:w="1559" w:type="dxa"/>
            <w:tcBorders>
              <w:top w:val="nil"/>
              <w:left w:val="nil"/>
              <w:bottom w:val="single" w:sz="4" w:space="0" w:color="auto"/>
              <w:right w:val="single" w:sz="4" w:space="0" w:color="auto"/>
            </w:tcBorders>
            <w:shd w:val="clear" w:color="auto" w:fill="auto"/>
            <w:noWrap/>
            <w:vAlign w:val="center"/>
            <w:hideMark/>
          </w:tcPr>
          <w:p w14:paraId="3342CC75"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9</w:t>
            </w:r>
            <w:r>
              <w:rPr>
                <w:rFonts w:eastAsia="Times New Roman" w:cs="Arial"/>
                <w:color w:val="000000"/>
                <w:szCs w:val="24"/>
                <w:lang w:eastAsia="en-GB"/>
              </w:rPr>
              <w:t>,</w:t>
            </w:r>
            <w:r w:rsidRPr="00541A4A">
              <w:rPr>
                <w:rFonts w:eastAsia="Times New Roman" w:cs="Arial"/>
                <w:color w:val="000000"/>
                <w:szCs w:val="24"/>
                <w:lang w:eastAsia="en-GB"/>
              </w:rPr>
              <w:t>800</w:t>
            </w:r>
          </w:p>
        </w:tc>
        <w:tc>
          <w:tcPr>
            <w:tcW w:w="1843" w:type="dxa"/>
            <w:tcBorders>
              <w:top w:val="nil"/>
              <w:left w:val="nil"/>
              <w:bottom w:val="single" w:sz="4" w:space="0" w:color="auto"/>
              <w:right w:val="single" w:sz="4" w:space="0" w:color="auto"/>
            </w:tcBorders>
            <w:shd w:val="clear" w:color="auto" w:fill="auto"/>
            <w:noWrap/>
            <w:vAlign w:val="center"/>
            <w:hideMark/>
          </w:tcPr>
          <w:p w14:paraId="24AA7C9F" w14:textId="77777777" w:rsidR="006D2324" w:rsidRPr="00541A4A" w:rsidRDefault="006D2324" w:rsidP="006C49ED">
            <w:pPr>
              <w:spacing w:after="0" w:line="240" w:lineRule="auto"/>
              <w:jc w:val="right"/>
              <w:rPr>
                <w:rFonts w:eastAsia="Times New Roman" w:cs="Arial"/>
                <w:color w:val="000000"/>
                <w:szCs w:val="24"/>
                <w:lang w:eastAsia="en-GB"/>
              </w:rPr>
            </w:pPr>
            <w:r w:rsidRPr="009405AD">
              <w:t>984 (10.0%)</w:t>
            </w:r>
          </w:p>
        </w:tc>
        <w:tc>
          <w:tcPr>
            <w:tcW w:w="2410" w:type="dxa"/>
            <w:tcBorders>
              <w:top w:val="single" w:sz="4" w:space="0" w:color="auto"/>
              <w:left w:val="nil"/>
              <w:bottom w:val="single" w:sz="4" w:space="0" w:color="auto"/>
              <w:right w:val="single" w:sz="4" w:space="0" w:color="auto"/>
            </w:tcBorders>
            <w:vAlign w:val="center"/>
          </w:tcPr>
          <w:p w14:paraId="3B7BAA9E" w14:textId="77777777" w:rsidR="006D2324" w:rsidRPr="005F6DFF" w:rsidRDefault="006D2324" w:rsidP="006C49ED">
            <w:pPr>
              <w:spacing w:after="0" w:line="240" w:lineRule="auto"/>
              <w:jc w:val="right"/>
            </w:pPr>
            <w:r w:rsidRPr="009405AD">
              <w:t>828 (84.1%)</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24D347C" w14:textId="77777777" w:rsidR="006D2324" w:rsidRPr="00541A4A" w:rsidRDefault="006D2324" w:rsidP="006C49ED">
            <w:pPr>
              <w:spacing w:after="0" w:line="240" w:lineRule="auto"/>
              <w:jc w:val="right"/>
              <w:rPr>
                <w:rFonts w:eastAsia="Times New Roman" w:cs="Arial"/>
                <w:color w:val="000000"/>
                <w:szCs w:val="24"/>
                <w:lang w:eastAsia="en-GB"/>
              </w:rPr>
            </w:pPr>
            <w:r w:rsidRPr="009405AD">
              <w:t>560 (67.6%)</w:t>
            </w:r>
          </w:p>
        </w:tc>
      </w:tr>
      <w:tr w:rsidR="006D2324" w:rsidRPr="007A36F6" w14:paraId="5F6DC6A7"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6E7830E"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14</w:t>
            </w:r>
          </w:p>
        </w:tc>
        <w:tc>
          <w:tcPr>
            <w:tcW w:w="1559" w:type="dxa"/>
            <w:tcBorders>
              <w:top w:val="nil"/>
              <w:left w:val="nil"/>
              <w:bottom w:val="single" w:sz="4" w:space="0" w:color="auto"/>
              <w:right w:val="single" w:sz="4" w:space="0" w:color="auto"/>
            </w:tcBorders>
            <w:shd w:val="clear" w:color="auto" w:fill="auto"/>
            <w:noWrap/>
            <w:vAlign w:val="center"/>
            <w:hideMark/>
          </w:tcPr>
          <w:p w14:paraId="3A9B89A0"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6</w:t>
            </w:r>
            <w:r>
              <w:rPr>
                <w:rFonts w:eastAsia="Times New Roman" w:cs="Arial"/>
                <w:color w:val="000000"/>
                <w:szCs w:val="24"/>
                <w:lang w:eastAsia="en-GB"/>
              </w:rPr>
              <w:t>,</w:t>
            </w:r>
            <w:r w:rsidRPr="00541A4A">
              <w:rPr>
                <w:rFonts w:eastAsia="Times New Roman" w:cs="Arial"/>
                <w:color w:val="000000"/>
                <w:szCs w:val="24"/>
                <w:lang w:eastAsia="en-GB"/>
              </w:rPr>
              <w:t>288</w:t>
            </w:r>
          </w:p>
        </w:tc>
        <w:tc>
          <w:tcPr>
            <w:tcW w:w="1843" w:type="dxa"/>
            <w:tcBorders>
              <w:top w:val="nil"/>
              <w:left w:val="nil"/>
              <w:bottom w:val="single" w:sz="4" w:space="0" w:color="auto"/>
              <w:right w:val="single" w:sz="4" w:space="0" w:color="auto"/>
            </w:tcBorders>
            <w:shd w:val="clear" w:color="auto" w:fill="auto"/>
            <w:noWrap/>
            <w:vAlign w:val="center"/>
            <w:hideMark/>
          </w:tcPr>
          <w:p w14:paraId="7BFB9B49" w14:textId="77777777" w:rsidR="006D2324" w:rsidRPr="00541A4A" w:rsidRDefault="006D2324" w:rsidP="006C49ED">
            <w:pPr>
              <w:spacing w:after="0" w:line="240" w:lineRule="auto"/>
              <w:jc w:val="right"/>
              <w:rPr>
                <w:rFonts w:eastAsia="Times New Roman" w:cs="Arial"/>
                <w:color w:val="000000"/>
                <w:szCs w:val="24"/>
                <w:lang w:eastAsia="en-GB"/>
              </w:rPr>
            </w:pPr>
            <w:r w:rsidRPr="009405AD">
              <w:t>303 (4.8%)</w:t>
            </w:r>
          </w:p>
        </w:tc>
        <w:tc>
          <w:tcPr>
            <w:tcW w:w="2410" w:type="dxa"/>
            <w:tcBorders>
              <w:top w:val="single" w:sz="4" w:space="0" w:color="auto"/>
              <w:left w:val="nil"/>
              <w:bottom w:val="single" w:sz="4" w:space="0" w:color="auto"/>
              <w:right w:val="single" w:sz="4" w:space="0" w:color="auto"/>
            </w:tcBorders>
            <w:vAlign w:val="center"/>
          </w:tcPr>
          <w:p w14:paraId="7E812964" w14:textId="77777777" w:rsidR="006D2324" w:rsidRPr="005F6DFF" w:rsidRDefault="006D2324" w:rsidP="006C49ED">
            <w:pPr>
              <w:spacing w:after="0" w:line="240" w:lineRule="auto"/>
              <w:jc w:val="right"/>
            </w:pPr>
            <w:r w:rsidRPr="009405AD">
              <w:t>287 (94.7%)</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C1DD47E" w14:textId="77777777" w:rsidR="006D2324" w:rsidRPr="00541A4A" w:rsidRDefault="006D2324" w:rsidP="006C49ED">
            <w:pPr>
              <w:spacing w:after="0" w:line="240" w:lineRule="auto"/>
              <w:jc w:val="right"/>
              <w:rPr>
                <w:rFonts w:eastAsia="Times New Roman" w:cs="Arial"/>
                <w:color w:val="000000"/>
                <w:szCs w:val="24"/>
                <w:lang w:eastAsia="en-GB"/>
              </w:rPr>
            </w:pPr>
            <w:r w:rsidRPr="009405AD">
              <w:t>65 (22.6%)</w:t>
            </w:r>
          </w:p>
        </w:tc>
      </w:tr>
      <w:tr w:rsidR="006D2324" w:rsidRPr="007A36F6" w14:paraId="036CBCF9"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16AEF8E"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15</w:t>
            </w:r>
          </w:p>
        </w:tc>
        <w:tc>
          <w:tcPr>
            <w:tcW w:w="1559" w:type="dxa"/>
            <w:tcBorders>
              <w:top w:val="nil"/>
              <w:left w:val="nil"/>
              <w:bottom w:val="single" w:sz="4" w:space="0" w:color="auto"/>
              <w:right w:val="single" w:sz="4" w:space="0" w:color="auto"/>
            </w:tcBorders>
            <w:shd w:val="clear" w:color="auto" w:fill="auto"/>
            <w:noWrap/>
            <w:vAlign w:val="center"/>
            <w:hideMark/>
          </w:tcPr>
          <w:p w14:paraId="4E74C9DD"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6</w:t>
            </w:r>
            <w:r>
              <w:rPr>
                <w:rFonts w:eastAsia="Times New Roman" w:cs="Arial"/>
                <w:color w:val="000000"/>
                <w:szCs w:val="24"/>
                <w:lang w:eastAsia="en-GB"/>
              </w:rPr>
              <w:t>,</w:t>
            </w:r>
            <w:r w:rsidRPr="00541A4A">
              <w:rPr>
                <w:rFonts w:eastAsia="Times New Roman" w:cs="Arial"/>
                <w:color w:val="000000"/>
                <w:szCs w:val="24"/>
                <w:lang w:eastAsia="en-GB"/>
              </w:rPr>
              <w:t>745</w:t>
            </w:r>
          </w:p>
        </w:tc>
        <w:tc>
          <w:tcPr>
            <w:tcW w:w="1843" w:type="dxa"/>
            <w:tcBorders>
              <w:top w:val="nil"/>
              <w:left w:val="nil"/>
              <w:bottom w:val="single" w:sz="4" w:space="0" w:color="auto"/>
              <w:right w:val="single" w:sz="4" w:space="0" w:color="auto"/>
            </w:tcBorders>
            <w:shd w:val="clear" w:color="auto" w:fill="auto"/>
            <w:noWrap/>
            <w:vAlign w:val="center"/>
            <w:hideMark/>
          </w:tcPr>
          <w:p w14:paraId="717114B9" w14:textId="77777777" w:rsidR="006D2324" w:rsidRPr="00541A4A" w:rsidRDefault="006D2324" w:rsidP="006C49ED">
            <w:pPr>
              <w:spacing w:after="0" w:line="240" w:lineRule="auto"/>
              <w:jc w:val="right"/>
              <w:rPr>
                <w:rFonts w:eastAsia="Times New Roman" w:cs="Arial"/>
                <w:color w:val="000000"/>
                <w:szCs w:val="24"/>
                <w:lang w:eastAsia="en-GB"/>
              </w:rPr>
            </w:pPr>
            <w:r w:rsidRPr="009405AD">
              <w:t>195 (2.9%)</w:t>
            </w:r>
          </w:p>
        </w:tc>
        <w:tc>
          <w:tcPr>
            <w:tcW w:w="2410" w:type="dxa"/>
            <w:tcBorders>
              <w:top w:val="single" w:sz="4" w:space="0" w:color="auto"/>
              <w:left w:val="nil"/>
              <w:bottom w:val="single" w:sz="4" w:space="0" w:color="auto"/>
              <w:right w:val="single" w:sz="4" w:space="0" w:color="auto"/>
            </w:tcBorders>
            <w:vAlign w:val="center"/>
          </w:tcPr>
          <w:p w14:paraId="1A34FD90" w14:textId="77777777" w:rsidR="006D2324" w:rsidRPr="005F6DFF" w:rsidRDefault="006D2324" w:rsidP="006C49ED">
            <w:pPr>
              <w:spacing w:after="0" w:line="240" w:lineRule="auto"/>
              <w:jc w:val="right"/>
            </w:pPr>
            <w:r w:rsidRPr="009405AD">
              <w:t>164 (84.1%)</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DF036A1" w14:textId="77777777" w:rsidR="006D2324" w:rsidRPr="00541A4A" w:rsidRDefault="006D2324" w:rsidP="006C49ED">
            <w:pPr>
              <w:spacing w:after="0" w:line="240" w:lineRule="auto"/>
              <w:jc w:val="right"/>
              <w:rPr>
                <w:rFonts w:eastAsia="Times New Roman" w:cs="Arial"/>
                <w:color w:val="000000"/>
                <w:szCs w:val="24"/>
                <w:lang w:eastAsia="en-GB"/>
              </w:rPr>
            </w:pPr>
            <w:r w:rsidRPr="009405AD">
              <w:t>73 (44.5%)</w:t>
            </w:r>
          </w:p>
        </w:tc>
      </w:tr>
      <w:tr w:rsidR="006D2324" w:rsidRPr="007A36F6" w14:paraId="7211D462"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D9A40F2" w14:textId="77777777" w:rsidR="006D2324" w:rsidRPr="00541A4A" w:rsidRDefault="006D2324" w:rsidP="006C49ED">
            <w:pPr>
              <w:spacing w:after="0" w:line="240" w:lineRule="auto"/>
              <w:rPr>
                <w:rFonts w:eastAsia="Times New Roman" w:cs="Arial"/>
                <w:color w:val="000000"/>
                <w:szCs w:val="24"/>
                <w:lang w:eastAsia="en-GB"/>
              </w:rPr>
            </w:pPr>
            <w:r w:rsidRPr="00541A4A">
              <w:rPr>
                <w:rFonts w:eastAsia="Times New Roman" w:cs="Arial"/>
                <w:color w:val="000000"/>
                <w:szCs w:val="24"/>
                <w:lang w:eastAsia="en-GB"/>
              </w:rPr>
              <w:t>16</w:t>
            </w:r>
          </w:p>
        </w:tc>
        <w:tc>
          <w:tcPr>
            <w:tcW w:w="1559" w:type="dxa"/>
            <w:tcBorders>
              <w:top w:val="nil"/>
              <w:left w:val="nil"/>
              <w:bottom w:val="single" w:sz="4" w:space="0" w:color="auto"/>
              <w:right w:val="single" w:sz="4" w:space="0" w:color="auto"/>
            </w:tcBorders>
            <w:shd w:val="clear" w:color="auto" w:fill="auto"/>
            <w:noWrap/>
            <w:vAlign w:val="center"/>
            <w:hideMark/>
          </w:tcPr>
          <w:p w14:paraId="21BA6F5D" w14:textId="77777777" w:rsidR="006D2324" w:rsidRPr="00541A4A" w:rsidRDefault="006D2324" w:rsidP="006C49ED">
            <w:pPr>
              <w:spacing w:after="0" w:line="240" w:lineRule="auto"/>
              <w:jc w:val="right"/>
              <w:rPr>
                <w:rFonts w:eastAsia="Times New Roman" w:cs="Arial"/>
                <w:color w:val="000000"/>
                <w:szCs w:val="24"/>
                <w:lang w:eastAsia="en-GB"/>
              </w:rPr>
            </w:pPr>
            <w:r w:rsidRPr="00541A4A">
              <w:rPr>
                <w:rFonts w:eastAsia="Times New Roman" w:cs="Arial"/>
                <w:color w:val="000000"/>
                <w:szCs w:val="24"/>
                <w:lang w:eastAsia="en-GB"/>
              </w:rPr>
              <w:t>12</w:t>
            </w:r>
            <w:r>
              <w:rPr>
                <w:rFonts w:eastAsia="Times New Roman" w:cs="Arial"/>
                <w:color w:val="000000"/>
                <w:szCs w:val="24"/>
                <w:lang w:eastAsia="en-GB"/>
              </w:rPr>
              <w:t>,</w:t>
            </w:r>
            <w:r w:rsidRPr="00541A4A">
              <w:rPr>
                <w:rFonts w:eastAsia="Times New Roman" w:cs="Arial"/>
                <w:color w:val="000000"/>
                <w:szCs w:val="24"/>
                <w:lang w:eastAsia="en-GB"/>
              </w:rPr>
              <w:t>987</w:t>
            </w:r>
          </w:p>
        </w:tc>
        <w:tc>
          <w:tcPr>
            <w:tcW w:w="1843" w:type="dxa"/>
            <w:tcBorders>
              <w:top w:val="nil"/>
              <w:left w:val="nil"/>
              <w:bottom w:val="single" w:sz="4" w:space="0" w:color="auto"/>
              <w:right w:val="single" w:sz="4" w:space="0" w:color="auto"/>
            </w:tcBorders>
            <w:shd w:val="clear" w:color="auto" w:fill="auto"/>
            <w:noWrap/>
            <w:vAlign w:val="center"/>
            <w:hideMark/>
          </w:tcPr>
          <w:p w14:paraId="084F088C" w14:textId="77777777" w:rsidR="006D2324" w:rsidRPr="00541A4A" w:rsidRDefault="006D2324" w:rsidP="006C49ED">
            <w:pPr>
              <w:spacing w:after="0" w:line="240" w:lineRule="auto"/>
              <w:jc w:val="right"/>
              <w:rPr>
                <w:rFonts w:eastAsia="Times New Roman" w:cs="Arial"/>
                <w:color w:val="000000"/>
                <w:szCs w:val="24"/>
                <w:lang w:eastAsia="en-GB"/>
              </w:rPr>
            </w:pPr>
            <w:r w:rsidRPr="009405AD">
              <w:t>1</w:t>
            </w:r>
            <w:r>
              <w:t>,</w:t>
            </w:r>
            <w:r w:rsidRPr="009405AD">
              <w:t>107 (8.5%)</w:t>
            </w:r>
          </w:p>
        </w:tc>
        <w:tc>
          <w:tcPr>
            <w:tcW w:w="2410" w:type="dxa"/>
            <w:tcBorders>
              <w:top w:val="single" w:sz="4" w:space="0" w:color="auto"/>
              <w:left w:val="nil"/>
              <w:bottom w:val="single" w:sz="4" w:space="0" w:color="auto"/>
              <w:right w:val="single" w:sz="4" w:space="0" w:color="auto"/>
            </w:tcBorders>
            <w:vAlign w:val="center"/>
          </w:tcPr>
          <w:p w14:paraId="5B079A74" w14:textId="77777777" w:rsidR="006D2324" w:rsidRPr="005F6DFF" w:rsidRDefault="006D2324" w:rsidP="006C49ED">
            <w:pPr>
              <w:spacing w:after="0" w:line="240" w:lineRule="auto"/>
              <w:jc w:val="right"/>
            </w:pPr>
            <w:r w:rsidRPr="009405AD">
              <w:t>1</w:t>
            </w:r>
            <w:r>
              <w:t>,</w:t>
            </w:r>
            <w:r w:rsidRPr="009405AD">
              <w:t>005 (90.8%)</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DBD4BCD" w14:textId="77777777" w:rsidR="006D2324" w:rsidRPr="00541A4A" w:rsidRDefault="006D2324" w:rsidP="006C49ED">
            <w:pPr>
              <w:spacing w:after="0" w:line="240" w:lineRule="auto"/>
              <w:jc w:val="right"/>
              <w:rPr>
                <w:rFonts w:eastAsia="Times New Roman" w:cs="Arial"/>
                <w:color w:val="000000"/>
                <w:szCs w:val="24"/>
                <w:lang w:eastAsia="en-GB"/>
              </w:rPr>
            </w:pPr>
            <w:r w:rsidRPr="009405AD">
              <w:t>398 (39.6%)</w:t>
            </w:r>
          </w:p>
        </w:tc>
      </w:tr>
      <w:tr w:rsidR="006D2324" w:rsidRPr="007A36F6" w14:paraId="61B1EA8A" w14:textId="77777777" w:rsidTr="00DB2E89">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10D966F" w14:textId="77777777" w:rsidR="006D2324" w:rsidRPr="00541A4A" w:rsidRDefault="006D2324" w:rsidP="006C49ED">
            <w:pPr>
              <w:spacing w:after="0" w:line="240" w:lineRule="auto"/>
              <w:rPr>
                <w:rFonts w:eastAsia="Times New Roman" w:cs="Arial"/>
                <w:b/>
                <w:bCs/>
                <w:color w:val="000000"/>
                <w:szCs w:val="24"/>
                <w:lang w:eastAsia="en-GB"/>
              </w:rPr>
            </w:pPr>
            <w:r w:rsidRPr="00541A4A">
              <w:rPr>
                <w:rFonts w:eastAsia="Times New Roman" w:cs="Arial"/>
                <w:b/>
                <w:bCs/>
                <w:color w:val="000000"/>
                <w:szCs w:val="24"/>
                <w:lang w:eastAsia="en-GB"/>
              </w:rPr>
              <w:t>Total</w:t>
            </w:r>
          </w:p>
        </w:tc>
        <w:tc>
          <w:tcPr>
            <w:tcW w:w="1559" w:type="dxa"/>
            <w:tcBorders>
              <w:top w:val="nil"/>
              <w:left w:val="nil"/>
              <w:bottom w:val="single" w:sz="4" w:space="0" w:color="auto"/>
              <w:right w:val="single" w:sz="4" w:space="0" w:color="auto"/>
            </w:tcBorders>
            <w:shd w:val="clear" w:color="auto" w:fill="auto"/>
            <w:noWrap/>
            <w:vAlign w:val="center"/>
            <w:hideMark/>
          </w:tcPr>
          <w:p w14:paraId="7150EA47" w14:textId="77777777" w:rsidR="006D2324" w:rsidRPr="00541A4A" w:rsidRDefault="006D2324" w:rsidP="006C49ED">
            <w:pPr>
              <w:spacing w:after="0" w:line="240" w:lineRule="auto"/>
              <w:jc w:val="right"/>
              <w:rPr>
                <w:rFonts w:eastAsia="Times New Roman" w:cs="Arial"/>
                <w:b/>
                <w:bCs/>
                <w:color w:val="000000"/>
                <w:szCs w:val="24"/>
                <w:lang w:eastAsia="en-GB"/>
              </w:rPr>
            </w:pPr>
            <w:r w:rsidRPr="00541A4A">
              <w:rPr>
                <w:rFonts w:eastAsia="Times New Roman" w:cs="Arial"/>
                <w:b/>
                <w:bCs/>
                <w:color w:val="000000"/>
                <w:szCs w:val="24"/>
                <w:lang w:eastAsia="en-GB"/>
              </w:rPr>
              <w:t>165</w:t>
            </w:r>
            <w:r>
              <w:rPr>
                <w:rFonts w:eastAsia="Times New Roman" w:cs="Arial"/>
                <w:b/>
                <w:bCs/>
                <w:color w:val="000000"/>
                <w:szCs w:val="24"/>
                <w:lang w:eastAsia="en-GB"/>
              </w:rPr>
              <w:t>,</w:t>
            </w:r>
            <w:r w:rsidRPr="00541A4A">
              <w:rPr>
                <w:rFonts w:eastAsia="Times New Roman" w:cs="Arial"/>
                <w:b/>
                <w:bCs/>
                <w:color w:val="000000"/>
                <w:szCs w:val="24"/>
                <w:lang w:eastAsia="en-GB"/>
              </w:rPr>
              <w:t>711</w:t>
            </w:r>
          </w:p>
        </w:tc>
        <w:tc>
          <w:tcPr>
            <w:tcW w:w="1843" w:type="dxa"/>
            <w:tcBorders>
              <w:top w:val="nil"/>
              <w:left w:val="nil"/>
              <w:bottom w:val="single" w:sz="4" w:space="0" w:color="auto"/>
              <w:right w:val="single" w:sz="4" w:space="0" w:color="auto"/>
            </w:tcBorders>
            <w:shd w:val="clear" w:color="auto" w:fill="auto"/>
            <w:noWrap/>
            <w:vAlign w:val="center"/>
            <w:hideMark/>
          </w:tcPr>
          <w:p w14:paraId="48388A59" w14:textId="77777777" w:rsidR="006D2324" w:rsidRPr="00126728" w:rsidRDefault="006D2324" w:rsidP="006C49ED">
            <w:pPr>
              <w:spacing w:after="0" w:line="240" w:lineRule="auto"/>
              <w:jc w:val="right"/>
              <w:rPr>
                <w:rFonts w:eastAsia="Times New Roman" w:cs="Arial"/>
                <w:b/>
                <w:bCs/>
                <w:color w:val="000000"/>
                <w:szCs w:val="24"/>
                <w:lang w:eastAsia="en-GB"/>
              </w:rPr>
            </w:pPr>
            <w:r w:rsidRPr="003D4F45">
              <w:rPr>
                <w:b/>
                <w:bCs/>
              </w:rPr>
              <w:t>9</w:t>
            </w:r>
            <w:r>
              <w:rPr>
                <w:b/>
                <w:bCs/>
              </w:rPr>
              <w:t>,</w:t>
            </w:r>
            <w:r w:rsidRPr="003D4F45">
              <w:rPr>
                <w:b/>
                <w:bCs/>
              </w:rPr>
              <w:t>018 (5.4%)</w:t>
            </w:r>
          </w:p>
        </w:tc>
        <w:tc>
          <w:tcPr>
            <w:tcW w:w="2410" w:type="dxa"/>
            <w:tcBorders>
              <w:top w:val="single" w:sz="4" w:space="0" w:color="auto"/>
              <w:left w:val="nil"/>
              <w:bottom w:val="single" w:sz="4" w:space="0" w:color="auto"/>
              <w:right w:val="single" w:sz="4" w:space="0" w:color="auto"/>
            </w:tcBorders>
            <w:vAlign w:val="center"/>
          </w:tcPr>
          <w:p w14:paraId="3C20492E" w14:textId="77777777" w:rsidR="006D2324" w:rsidRPr="00126728" w:rsidRDefault="006D2324" w:rsidP="006C49ED">
            <w:pPr>
              <w:spacing w:after="0" w:line="240" w:lineRule="auto"/>
              <w:jc w:val="right"/>
              <w:rPr>
                <w:rFonts w:eastAsia="Times New Roman" w:cs="Arial"/>
                <w:b/>
                <w:bCs/>
                <w:color w:val="000000"/>
                <w:szCs w:val="24"/>
                <w:lang w:eastAsia="en-GB"/>
              </w:rPr>
            </w:pPr>
            <w:r w:rsidRPr="003D4F45">
              <w:rPr>
                <w:b/>
                <w:bCs/>
              </w:rPr>
              <w:t>8</w:t>
            </w:r>
            <w:r>
              <w:rPr>
                <w:b/>
                <w:bCs/>
              </w:rPr>
              <w:t>,</w:t>
            </w:r>
            <w:r w:rsidRPr="003D4F45">
              <w:rPr>
                <w:b/>
                <w:bCs/>
              </w:rPr>
              <w:t>420 (93.4%)</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DA4432D" w14:textId="77777777" w:rsidR="006D2324" w:rsidRPr="00126728" w:rsidRDefault="006D2324" w:rsidP="006C49ED">
            <w:pPr>
              <w:spacing w:after="0" w:line="240" w:lineRule="auto"/>
              <w:jc w:val="right"/>
              <w:rPr>
                <w:rFonts w:eastAsia="Times New Roman" w:cs="Arial"/>
                <w:b/>
                <w:bCs/>
                <w:color w:val="000000"/>
                <w:szCs w:val="24"/>
                <w:lang w:eastAsia="en-GB"/>
              </w:rPr>
            </w:pPr>
            <w:r w:rsidRPr="003D4F45">
              <w:rPr>
                <w:b/>
                <w:bCs/>
              </w:rPr>
              <w:t>5</w:t>
            </w:r>
            <w:r>
              <w:rPr>
                <w:b/>
                <w:bCs/>
              </w:rPr>
              <w:t>,</w:t>
            </w:r>
            <w:r w:rsidRPr="003D4F45">
              <w:rPr>
                <w:b/>
                <w:bCs/>
              </w:rPr>
              <w:t>634 (67.0%)</w:t>
            </w:r>
            <w:r>
              <w:rPr>
                <w:b/>
                <w:bCs/>
              </w:rPr>
              <w:t>*</w:t>
            </w:r>
          </w:p>
        </w:tc>
      </w:tr>
    </w:tbl>
    <w:p w14:paraId="017F9E22" w14:textId="77777777" w:rsidR="006D2324" w:rsidRPr="003D4F45" w:rsidRDefault="006D2324" w:rsidP="00DB2E89">
      <w:pPr>
        <w:spacing w:after="160" w:line="259" w:lineRule="auto"/>
        <w:rPr>
          <w:i/>
        </w:rPr>
      </w:pPr>
      <w:r w:rsidRPr="003D4F45">
        <w:t xml:space="preserve">* </w:t>
      </w:r>
      <w:r>
        <w:rPr>
          <w:iCs/>
        </w:rPr>
        <w:t>Practice marked N/A is excluded from the denominator for this percentage calculation</w:t>
      </w:r>
      <w:r w:rsidRPr="003D4F45">
        <w:rPr>
          <w:i/>
        </w:rPr>
        <w:t xml:space="preserve"> </w:t>
      </w:r>
    </w:p>
    <w:p w14:paraId="55133542" w14:textId="77777777" w:rsidR="00DB2E89" w:rsidRDefault="00DB2E89" w:rsidP="00DB2E89">
      <w:pPr>
        <w:spacing w:after="160" w:line="259" w:lineRule="auto"/>
        <w:rPr>
          <w:color w:val="000000" w:themeColor="text1"/>
        </w:rPr>
      </w:pPr>
    </w:p>
    <w:p w14:paraId="1CEBA7A6" w14:textId="55C4A58B" w:rsidR="006D2324" w:rsidRDefault="0058230B" w:rsidP="00DB2E89">
      <w:r w:rsidRPr="00C8124B">
        <w:t>There were 572 patients (0.40% of the pilot practice population) who were newly diagnosed and added to the QOF CKD register in the last 12 months (only 14 practices submitted a response to this</w:t>
      </w:r>
      <w:r>
        <w:t xml:space="preserve"> question)</w:t>
      </w:r>
      <w:r w:rsidRPr="003D4F45">
        <w:t xml:space="preserve">, and </w:t>
      </w:r>
      <w:r>
        <w:t>977</w:t>
      </w:r>
      <w:r w:rsidRPr="003D4F45">
        <w:t xml:space="preserve"> </w:t>
      </w:r>
      <w:r>
        <w:t xml:space="preserve">(0.72%) (13 practices only, one has been removed due to data quality concerns) </w:t>
      </w:r>
      <w:r w:rsidRPr="003D4F45">
        <w:t>were newly diagnosed and added in the last 24 months.</w:t>
      </w:r>
      <w:r w:rsidR="00DB2E89">
        <w:t xml:space="preserve"> </w:t>
      </w:r>
      <w:r w:rsidR="006D2324" w:rsidRPr="00E45AD0">
        <w:t xml:space="preserve">Applying these averages to a ‘standard practice’ of </w:t>
      </w:r>
      <w:r w:rsidR="00437D13">
        <w:t xml:space="preserve">10,000 patients, </w:t>
      </w:r>
      <w:r w:rsidR="006D2324">
        <w:t>approximately 40 new</w:t>
      </w:r>
      <w:r w:rsidR="00DB2E89">
        <w:t>ly diagnosed CKD</w:t>
      </w:r>
      <w:r w:rsidR="006D2324">
        <w:t xml:space="preserve"> patients </w:t>
      </w:r>
      <w:r w:rsidR="00437D13">
        <w:t xml:space="preserve">would be added to </w:t>
      </w:r>
      <w:r w:rsidR="006D2324">
        <w:t>the QOF register</w:t>
      </w:r>
      <w:r w:rsidR="00DB2E89">
        <w:t xml:space="preserve"> in a 12 month period.</w:t>
      </w:r>
    </w:p>
    <w:p w14:paraId="57803D70" w14:textId="0B4EA502" w:rsidR="0058230B" w:rsidRDefault="0058230B" w:rsidP="0058230B">
      <w:pPr>
        <w:spacing w:after="360"/>
        <w:rPr>
          <w:color w:val="000000" w:themeColor="text1"/>
        </w:rPr>
      </w:pPr>
      <w:r w:rsidRPr="0058230B">
        <w:rPr>
          <w:color w:val="000000" w:themeColor="text1"/>
        </w:rPr>
        <w:t>5,305 patients in 15 practices (one removed due to data quality concerns) were on the QOF CKD register and had a low (&lt;70</w:t>
      </w:r>
      <w:r w:rsidRPr="006D2324">
        <w:rPr>
          <w:color w:val="000000" w:themeColor="text1"/>
        </w:rPr>
        <w:t xml:space="preserve">mg/mmol) urine albumin to creatinine ratio, which equates to 3.4% of the total pilot population, and 67.3% of those on the CKD register. Of these 5,305 patients, 33.8% were clinically coded for moderate or severe frailty and 52.7% were over 80 years old. The vast majority (96.7%) of those with </w:t>
      </w:r>
      <w:r w:rsidR="006D2324">
        <w:rPr>
          <w:color w:val="000000" w:themeColor="text1"/>
        </w:rPr>
        <w:t xml:space="preserve">CKD and an ACR of &lt;70mg/mmol with </w:t>
      </w:r>
      <w:r w:rsidRPr="006D2324">
        <w:rPr>
          <w:color w:val="000000" w:themeColor="text1"/>
        </w:rPr>
        <w:t xml:space="preserve">moderate or severe frailty were </w:t>
      </w:r>
      <w:r w:rsidR="006D2324" w:rsidRPr="006D2324">
        <w:rPr>
          <w:color w:val="000000" w:themeColor="text1"/>
        </w:rPr>
        <w:t xml:space="preserve">also </w:t>
      </w:r>
      <w:r w:rsidRPr="006D2324">
        <w:rPr>
          <w:color w:val="000000" w:themeColor="text1"/>
        </w:rPr>
        <w:t xml:space="preserve">reported by </w:t>
      </w:r>
      <w:r w:rsidR="006D2324" w:rsidRPr="006D2324">
        <w:rPr>
          <w:color w:val="000000" w:themeColor="text1"/>
        </w:rPr>
        <w:t xml:space="preserve">practices as being </w:t>
      </w:r>
      <w:r w:rsidRPr="006D2324">
        <w:rPr>
          <w:color w:val="000000" w:themeColor="text1"/>
        </w:rPr>
        <w:t>over 80 years old</w:t>
      </w:r>
      <w:r w:rsidR="006D2324" w:rsidRPr="006D2324">
        <w:rPr>
          <w:color w:val="000000" w:themeColor="text1"/>
        </w:rPr>
        <w:t>.</w:t>
      </w:r>
    </w:p>
    <w:p w14:paraId="64B296A4" w14:textId="77777777" w:rsidR="0027433F" w:rsidRDefault="0027433F" w:rsidP="003D4F45">
      <w:pPr>
        <w:spacing w:after="160" w:line="259" w:lineRule="auto"/>
        <w:jc w:val="both"/>
        <w:rPr>
          <w:i/>
        </w:rPr>
      </w:pPr>
    </w:p>
    <w:p w14:paraId="4472EE09" w14:textId="77777777" w:rsidR="00D5777A" w:rsidRPr="009E41EA" w:rsidRDefault="00D5777A" w:rsidP="00D5777A">
      <w:pPr>
        <w:pStyle w:val="Heading2"/>
      </w:pPr>
      <w:r w:rsidRPr="009E41EA">
        <w:t>Summary of key findings</w:t>
      </w:r>
    </w:p>
    <w:p w14:paraId="180479F5" w14:textId="63178792" w:rsidR="00A8795F" w:rsidRPr="009E41EA" w:rsidRDefault="00A8795F" w:rsidP="00437D13">
      <w:pPr>
        <w:pStyle w:val="ListParagraph"/>
        <w:numPr>
          <w:ilvl w:val="0"/>
          <w:numId w:val="9"/>
        </w:numPr>
        <w:ind w:left="357" w:hanging="357"/>
        <w:contextualSpacing w:val="0"/>
        <w:rPr>
          <w:rFonts w:eastAsiaTheme="majorEastAsia" w:cstheme="majorBidi"/>
          <w:b/>
          <w:sz w:val="28"/>
          <w:szCs w:val="26"/>
        </w:rPr>
      </w:pPr>
      <w:r>
        <w:t>1,917,102 patients are on the QOF register of patients aged 18 or over with CKD classification G3a-G5, representing 3.96% of the population.</w:t>
      </w:r>
    </w:p>
    <w:p w14:paraId="18B8CB20" w14:textId="546774F3" w:rsidR="00A8795F" w:rsidRPr="009E41EA" w:rsidRDefault="00A8795F" w:rsidP="00437D13">
      <w:pPr>
        <w:pStyle w:val="ListParagraph"/>
        <w:numPr>
          <w:ilvl w:val="0"/>
          <w:numId w:val="9"/>
        </w:numPr>
        <w:ind w:left="357" w:hanging="357"/>
        <w:contextualSpacing w:val="0"/>
        <w:rPr>
          <w:rFonts w:eastAsiaTheme="majorEastAsia" w:cstheme="majorBidi"/>
          <w:bCs/>
          <w:szCs w:val="24"/>
        </w:rPr>
      </w:pPr>
      <w:r w:rsidRPr="009E41EA">
        <w:rPr>
          <w:rFonts w:eastAsiaTheme="majorEastAsia" w:cstheme="majorBidi"/>
          <w:bCs/>
          <w:szCs w:val="24"/>
        </w:rPr>
        <w:t>A similar CVDPREVENT indicator</w:t>
      </w:r>
      <w:r w:rsidR="002806C0" w:rsidRPr="009E41EA">
        <w:rPr>
          <w:rFonts w:eastAsiaTheme="majorEastAsia" w:cstheme="majorBidi"/>
          <w:bCs/>
          <w:szCs w:val="24"/>
        </w:rPr>
        <w:t xml:space="preserve"> (same definition but different data collect</w:t>
      </w:r>
      <w:r w:rsidR="00DB2E89">
        <w:rPr>
          <w:rFonts w:eastAsiaTheme="majorEastAsia" w:cstheme="majorBidi"/>
          <w:bCs/>
          <w:szCs w:val="24"/>
        </w:rPr>
        <w:t>ion methodology) has 3.</w:t>
      </w:r>
      <w:r w:rsidR="00437D13">
        <w:rPr>
          <w:rFonts w:eastAsiaTheme="majorEastAsia" w:cstheme="majorBidi"/>
          <w:bCs/>
          <w:szCs w:val="24"/>
        </w:rPr>
        <w:t>7</w:t>
      </w:r>
      <w:r w:rsidR="00DB2E89">
        <w:rPr>
          <w:rFonts w:eastAsiaTheme="majorEastAsia" w:cstheme="majorBidi"/>
          <w:bCs/>
          <w:szCs w:val="24"/>
        </w:rPr>
        <w:t>% as it</w:t>
      </w:r>
      <w:r w:rsidR="002806C0" w:rsidRPr="009E41EA">
        <w:rPr>
          <w:rFonts w:eastAsiaTheme="majorEastAsia" w:cstheme="majorBidi"/>
          <w:bCs/>
          <w:szCs w:val="24"/>
        </w:rPr>
        <w:t xml:space="preserve">s most recent </w:t>
      </w:r>
      <w:r w:rsidR="00DB2E89">
        <w:rPr>
          <w:rFonts w:eastAsiaTheme="majorEastAsia" w:cstheme="majorBidi"/>
          <w:bCs/>
          <w:szCs w:val="24"/>
        </w:rPr>
        <w:t xml:space="preserve">report prevalence </w:t>
      </w:r>
      <w:r w:rsidR="002806C0" w:rsidRPr="009E41EA">
        <w:rPr>
          <w:rFonts w:eastAsiaTheme="majorEastAsia" w:cstheme="majorBidi"/>
          <w:bCs/>
          <w:szCs w:val="24"/>
        </w:rPr>
        <w:t>value, and includes additional breakdowns showing higher prevalence in females, and as age increases.</w:t>
      </w:r>
    </w:p>
    <w:p w14:paraId="527560D0" w14:textId="77777777" w:rsidR="00437D13" w:rsidRPr="00437D13" w:rsidRDefault="00A8795F" w:rsidP="00437D13">
      <w:pPr>
        <w:pStyle w:val="ListParagraph"/>
        <w:numPr>
          <w:ilvl w:val="0"/>
          <w:numId w:val="9"/>
        </w:numPr>
        <w:spacing w:after="0"/>
        <w:ind w:left="357" w:hanging="357"/>
        <w:contextualSpacing w:val="0"/>
        <w:rPr>
          <w:rFonts w:eastAsiaTheme="majorEastAsia" w:cstheme="majorBidi"/>
          <w:b/>
          <w:sz w:val="28"/>
          <w:szCs w:val="26"/>
        </w:rPr>
      </w:pPr>
      <w:r>
        <w:t>Clinical searches from pilot practices found that</w:t>
      </w:r>
      <w:r w:rsidRPr="00AA31BC">
        <w:t xml:space="preserve"> </w:t>
      </w:r>
    </w:p>
    <w:p w14:paraId="7EC77881" w14:textId="438EA5A4" w:rsidR="00A8795F" w:rsidRPr="00E45AD0" w:rsidRDefault="002806C0" w:rsidP="00437D13">
      <w:pPr>
        <w:pStyle w:val="ListParagraph"/>
        <w:numPr>
          <w:ilvl w:val="1"/>
          <w:numId w:val="9"/>
        </w:numPr>
        <w:ind w:left="1151" w:hanging="357"/>
        <w:contextualSpacing w:val="0"/>
        <w:rPr>
          <w:rFonts w:eastAsiaTheme="majorEastAsia" w:cstheme="majorBidi"/>
          <w:b/>
          <w:sz w:val="28"/>
          <w:szCs w:val="26"/>
        </w:rPr>
      </w:pPr>
      <w:r w:rsidRPr="002806C0">
        <w:t>8,116</w:t>
      </w:r>
      <w:r>
        <w:t xml:space="preserve"> (4.9</w:t>
      </w:r>
      <w:r w:rsidR="00E70C20">
        <w:t>0</w:t>
      </w:r>
      <w:r>
        <w:t>%)</w:t>
      </w:r>
      <w:r w:rsidRPr="002806C0">
        <w:t xml:space="preserve"> </w:t>
      </w:r>
      <w:r w:rsidR="00A8795F" w:rsidRPr="00AA31BC">
        <w:t xml:space="preserve">patients from 16 pilot practices </w:t>
      </w:r>
      <w:r w:rsidR="00A8795F">
        <w:t xml:space="preserve">were </w:t>
      </w:r>
      <w:r w:rsidR="00A8795F" w:rsidRPr="00AA31BC">
        <w:t xml:space="preserve">reported as being on the QOF </w:t>
      </w:r>
      <w:r>
        <w:t>CKD</w:t>
      </w:r>
      <w:r w:rsidR="00A8795F" w:rsidRPr="00AA31BC">
        <w:t xml:space="preserve"> register at the end of January 2022. </w:t>
      </w:r>
    </w:p>
    <w:p w14:paraId="5846324C" w14:textId="7081DA39" w:rsidR="00A8795F" w:rsidRPr="00B35CE5" w:rsidRDefault="002806C0" w:rsidP="00437D13">
      <w:pPr>
        <w:pStyle w:val="ListParagraph"/>
        <w:numPr>
          <w:ilvl w:val="1"/>
          <w:numId w:val="9"/>
        </w:numPr>
        <w:ind w:left="1151" w:hanging="357"/>
        <w:contextualSpacing w:val="0"/>
        <w:rPr>
          <w:highlight w:val="yellow"/>
        </w:rPr>
      </w:pPr>
      <w:r w:rsidRPr="00B35CE5">
        <w:rPr>
          <w:highlight w:val="yellow"/>
        </w:rPr>
        <w:t xml:space="preserve">9,018 (5.4%) </w:t>
      </w:r>
      <w:r w:rsidR="00A8795F" w:rsidRPr="00B35CE5">
        <w:rPr>
          <w:highlight w:val="yellow"/>
        </w:rPr>
        <w:t xml:space="preserve">patients from 16 pilot practices were </w:t>
      </w:r>
      <w:r w:rsidRPr="00B35CE5">
        <w:rPr>
          <w:highlight w:val="yellow"/>
        </w:rPr>
        <w:t>currently prescribed oral NSAIDs</w:t>
      </w:r>
      <w:r w:rsidR="00437D13" w:rsidRPr="00B35CE5">
        <w:rPr>
          <w:highlight w:val="yellow"/>
        </w:rPr>
        <w:t>, with around 67% of these patients aged 65 years and over</w:t>
      </w:r>
      <w:r w:rsidRPr="00B35CE5">
        <w:rPr>
          <w:highlight w:val="yellow"/>
        </w:rPr>
        <w:t>.</w:t>
      </w:r>
      <w:r w:rsidR="00A8795F" w:rsidRPr="00B35CE5">
        <w:rPr>
          <w:highlight w:val="yellow"/>
        </w:rPr>
        <w:t xml:space="preserve"> </w:t>
      </w:r>
    </w:p>
    <w:p w14:paraId="251F1A83" w14:textId="7340C059" w:rsidR="00437D13" w:rsidRPr="00B35CE5" w:rsidRDefault="00437D13" w:rsidP="00437D13">
      <w:pPr>
        <w:pStyle w:val="ListParagraph"/>
        <w:numPr>
          <w:ilvl w:val="0"/>
          <w:numId w:val="9"/>
        </w:numPr>
        <w:ind w:left="357" w:hanging="357"/>
        <w:contextualSpacing w:val="0"/>
        <w:rPr>
          <w:highlight w:val="yellow"/>
        </w:rPr>
      </w:pPr>
      <w:r w:rsidRPr="00B35CE5">
        <w:rPr>
          <w:highlight w:val="yellow"/>
        </w:rPr>
        <w:t xml:space="preserve">In a ‘standard practice’ of 10,000 patients we would expect to see approximately 40 newly diagnosed </w:t>
      </w:r>
      <w:r w:rsidR="004477E1" w:rsidRPr="00B35CE5">
        <w:rPr>
          <w:highlight w:val="yellow"/>
        </w:rPr>
        <w:t xml:space="preserve">CKD </w:t>
      </w:r>
      <w:r w:rsidRPr="00B35CE5">
        <w:rPr>
          <w:highlight w:val="yellow"/>
        </w:rPr>
        <w:t>patients in a 12 month period.</w:t>
      </w:r>
    </w:p>
    <w:p w14:paraId="1620065A" w14:textId="7244DD43" w:rsidR="00C4200C" w:rsidRPr="009E41EA" w:rsidRDefault="00C4200C" w:rsidP="00437D13">
      <w:pPr>
        <w:pStyle w:val="ListParagraph"/>
        <w:numPr>
          <w:ilvl w:val="0"/>
          <w:numId w:val="9"/>
        </w:numPr>
        <w:ind w:left="357" w:hanging="357"/>
        <w:contextualSpacing w:val="0"/>
      </w:pPr>
      <w:r>
        <w:t>Findings relating to the NSHBSA data extract are summarised on page 18 of this report.</w:t>
      </w:r>
    </w:p>
    <w:p w14:paraId="5B05B4E3" w14:textId="77777777" w:rsidR="006C52BF" w:rsidRPr="00A42DBC" w:rsidRDefault="00D5777A" w:rsidP="006C52BF">
      <w:pPr>
        <w:pStyle w:val="Heading2"/>
      </w:pPr>
      <w:r w:rsidRPr="00A134B6">
        <w:rPr>
          <w:highlight w:val="darkGray"/>
        </w:rPr>
        <w:br w:type="page"/>
      </w:r>
      <w:r w:rsidR="006C52BF" w:rsidRPr="00A42DBC">
        <w:t>Appendix 1 Data definitions and metadata</w:t>
      </w:r>
    </w:p>
    <w:p w14:paraId="04F95D35" w14:textId="77777777" w:rsidR="006C52BF" w:rsidRPr="00A42DBC" w:rsidRDefault="006C52BF" w:rsidP="006C52BF">
      <w:pPr>
        <w:pStyle w:val="Heading3"/>
      </w:pPr>
      <w:r w:rsidRPr="00A42DBC">
        <w:t>Acknowledgements</w:t>
      </w:r>
    </w:p>
    <w:p w14:paraId="6D796D94" w14:textId="77777777" w:rsidR="006C52BF" w:rsidRDefault="006C52BF" w:rsidP="006C52BF">
      <w:r w:rsidRPr="00A42DBC">
        <w:t>We thank Joe Hamed (NHS Business Services Authority) for data expertise and support</w:t>
      </w:r>
      <w:r>
        <w:t>,</w:t>
      </w:r>
      <w:r w:rsidRPr="00A42DBC">
        <w:t xml:space="preserve"> and for providing the </w:t>
      </w:r>
      <w:r>
        <w:t>NSAID</w:t>
      </w:r>
      <w:r w:rsidRPr="00A42DBC">
        <w:t xml:space="preserve"> prescribing data extract summary (DR1</w:t>
      </w:r>
      <w:r>
        <w:t>706</w:t>
      </w:r>
      <w:r w:rsidRPr="00A42DBC">
        <w:t>) from the NHSBSA Data warehouse.</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7"/>
        <w:gridCol w:w="1944"/>
        <w:gridCol w:w="3754"/>
        <w:gridCol w:w="3101"/>
      </w:tblGrid>
      <w:tr w:rsidR="006C52BF" w:rsidRPr="00A8608C" w14:paraId="0C3B1B87" w14:textId="77777777" w:rsidTr="008D3AFA">
        <w:trPr>
          <w:trHeight w:val="280"/>
        </w:trPr>
        <w:tc>
          <w:tcPr>
            <w:tcW w:w="1187" w:type="pct"/>
            <w:gridSpan w:val="2"/>
            <w:shd w:val="clear" w:color="auto" w:fill="auto"/>
            <w:noWrap/>
          </w:tcPr>
          <w:p w14:paraId="666DB0DD" w14:textId="77777777" w:rsidR="006C52BF" w:rsidRPr="00A8608C" w:rsidRDefault="006C52BF" w:rsidP="008D3AFA">
            <w:pPr>
              <w:spacing w:after="0" w:line="240" w:lineRule="auto"/>
              <w:rPr>
                <w:rFonts w:cs="Arial"/>
                <w:b/>
                <w:bCs/>
                <w:color w:val="000000"/>
                <w:sz w:val="22"/>
              </w:rPr>
            </w:pPr>
            <w:r w:rsidRPr="00A8608C">
              <w:rPr>
                <w:rFonts w:cs="Arial"/>
                <w:b/>
                <w:bCs/>
                <w:color w:val="000000"/>
                <w:sz w:val="22"/>
              </w:rPr>
              <w:t>Summary</w:t>
            </w:r>
          </w:p>
          <w:p w14:paraId="1926EFEB" w14:textId="77777777" w:rsidR="006C52BF" w:rsidRPr="00A8608C" w:rsidRDefault="006C52BF" w:rsidP="008D3AFA">
            <w:pPr>
              <w:spacing w:after="0" w:line="240" w:lineRule="auto"/>
              <w:rPr>
                <w:rFonts w:eastAsia="Times New Roman" w:cs="Arial"/>
                <w:b/>
                <w:bCs/>
                <w:color w:val="000000"/>
                <w:sz w:val="22"/>
                <w:lang w:eastAsia="en-GB"/>
              </w:rPr>
            </w:pPr>
          </w:p>
        </w:tc>
        <w:tc>
          <w:tcPr>
            <w:tcW w:w="3813" w:type="pct"/>
            <w:gridSpan w:val="2"/>
            <w:shd w:val="clear" w:color="auto" w:fill="auto"/>
          </w:tcPr>
          <w:tbl>
            <w:tblPr>
              <w:tblW w:w="10620" w:type="dxa"/>
              <w:tblLook w:val="04A0" w:firstRow="1" w:lastRow="0" w:firstColumn="1" w:lastColumn="0" w:noHBand="0" w:noVBand="1"/>
            </w:tblPr>
            <w:tblGrid>
              <w:gridCol w:w="6639"/>
            </w:tblGrid>
            <w:tr w:rsidR="006C52BF" w:rsidRPr="00A8608C" w14:paraId="6B3B72A0" w14:textId="77777777" w:rsidTr="008D3AFA">
              <w:trPr>
                <w:trHeight w:val="280"/>
              </w:trPr>
              <w:tc>
                <w:tcPr>
                  <w:tcW w:w="10620" w:type="dxa"/>
                  <w:tcBorders>
                    <w:top w:val="nil"/>
                    <w:left w:val="nil"/>
                    <w:bottom w:val="nil"/>
                    <w:right w:val="nil"/>
                  </w:tcBorders>
                  <w:shd w:val="clear" w:color="auto" w:fill="auto"/>
                  <w:noWrap/>
                  <w:hideMark/>
                </w:tcPr>
                <w:p w14:paraId="05CED7DA"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 xml:space="preserve">NICE Indicator development programme: </w:t>
                  </w:r>
                  <w:proofErr w:type="gramStart"/>
                  <w:r w:rsidRPr="00A8608C">
                    <w:rPr>
                      <w:rFonts w:eastAsia="Times New Roman" w:cs="Arial"/>
                      <w:color w:val="000000"/>
                      <w:sz w:val="22"/>
                      <w:lang w:eastAsia="en-GB"/>
                    </w:rPr>
                    <w:t>Chronic Kidney Disease</w:t>
                  </w:r>
                  <w:proofErr w:type="gramEnd"/>
                  <w:r w:rsidRPr="00A8608C">
                    <w:rPr>
                      <w:rFonts w:eastAsia="Times New Roman" w:cs="Arial"/>
                      <w:color w:val="000000"/>
                      <w:sz w:val="22"/>
                      <w:lang w:eastAsia="en-GB"/>
                    </w:rPr>
                    <w:t xml:space="preserve"> </w:t>
                  </w:r>
                </w:p>
              </w:tc>
            </w:tr>
            <w:tr w:rsidR="006C52BF" w:rsidRPr="00A8608C" w14:paraId="15D42F34" w14:textId="77777777" w:rsidTr="008D3AFA">
              <w:trPr>
                <w:trHeight w:val="280"/>
              </w:trPr>
              <w:tc>
                <w:tcPr>
                  <w:tcW w:w="10620" w:type="dxa"/>
                  <w:tcBorders>
                    <w:top w:val="nil"/>
                    <w:left w:val="nil"/>
                    <w:bottom w:val="nil"/>
                    <w:right w:val="nil"/>
                  </w:tcBorders>
                  <w:shd w:val="clear" w:color="auto" w:fill="auto"/>
                  <w:noWrap/>
                  <w:hideMark/>
                </w:tcPr>
                <w:p w14:paraId="62A95950"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 xml:space="preserve">For </w:t>
                  </w:r>
                  <w:proofErr w:type="gramStart"/>
                  <w:r w:rsidRPr="00A8608C">
                    <w:rPr>
                      <w:rFonts w:eastAsia="Times New Roman" w:cs="Arial"/>
                      <w:color w:val="000000"/>
                      <w:sz w:val="22"/>
                      <w:lang w:eastAsia="en-GB"/>
                    </w:rPr>
                    <w:t>North East</w:t>
                  </w:r>
                  <w:proofErr w:type="gramEnd"/>
                  <w:r w:rsidRPr="00A8608C">
                    <w:rPr>
                      <w:rFonts w:eastAsia="Times New Roman" w:cs="Arial"/>
                      <w:color w:val="000000"/>
                      <w:sz w:val="22"/>
                      <w:lang w:eastAsia="en-GB"/>
                    </w:rPr>
                    <w:t xml:space="preserve"> Quality Observatory Service (NEQOS)</w:t>
                  </w:r>
                </w:p>
              </w:tc>
            </w:tr>
            <w:tr w:rsidR="006C52BF" w:rsidRPr="00A8608C" w14:paraId="5647C36F" w14:textId="77777777" w:rsidTr="008D3AFA">
              <w:trPr>
                <w:trHeight w:val="280"/>
              </w:trPr>
              <w:tc>
                <w:tcPr>
                  <w:tcW w:w="10620" w:type="dxa"/>
                  <w:tcBorders>
                    <w:top w:val="nil"/>
                    <w:left w:val="nil"/>
                    <w:bottom w:val="nil"/>
                    <w:right w:val="nil"/>
                  </w:tcBorders>
                  <w:shd w:val="clear" w:color="auto" w:fill="auto"/>
                  <w:noWrap/>
                  <w:hideMark/>
                </w:tcPr>
                <w:p w14:paraId="082388E7"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Data on oral non-steroidal anti-inflammatory drug (NSAID) use in England, 2019-2021</w:t>
                  </w:r>
                </w:p>
              </w:tc>
            </w:tr>
          </w:tbl>
          <w:p w14:paraId="1A215809" w14:textId="77777777" w:rsidR="006C52BF" w:rsidRPr="00A8608C" w:rsidRDefault="006C52BF" w:rsidP="008D3AFA">
            <w:pPr>
              <w:spacing w:after="0" w:line="240" w:lineRule="auto"/>
              <w:rPr>
                <w:rFonts w:eastAsia="Times New Roman" w:cs="Arial"/>
                <w:sz w:val="22"/>
                <w:lang w:eastAsia="en-GB"/>
              </w:rPr>
            </w:pPr>
          </w:p>
        </w:tc>
      </w:tr>
      <w:tr w:rsidR="006C52BF" w:rsidRPr="00A8608C" w14:paraId="19CBC7CF" w14:textId="77777777" w:rsidTr="008D3AFA">
        <w:trPr>
          <w:trHeight w:val="280"/>
        </w:trPr>
        <w:tc>
          <w:tcPr>
            <w:tcW w:w="1187" w:type="pct"/>
            <w:gridSpan w:val="2"/>
            <w:shd w:val="clear" w:color="auto" w:fill="auto"/>
            <w:noWrap/>
            <w:hideMark/>
          </w:tcPr>
          <w:p w14:paraId="529BBDBE" w14:textId="77777777" w:rsidR="006C52BF" w:rsidRPr="00A8608C" w:rsidRDefault="006C52BF" w:rsidP="008D3AFA">
            <w:pPr>
              <w:spacing w:after="0" w:line="240" w:lineRule="auto"/>
              <w:rPr>
                <w:rFonts w:eastAsia="Times New Roman" w:cs="Arial"/>
                <w:b/>
                <w:bCs/>
                <w:color w:val="000000"/>
                <w:sz w:val="22"/>
                <w:lang w:eastAsia="en-GB"/>
              </w:rPr>
            </w:pPr>
            <w:r w:rsidRPr="00A8608C">
              <w:rPr>
                <w:rFonts w:eastAsia="Times New Roman" w:cs="Arial"/>
                <w:b/>
                <w:bCs/>
                <w:color w:val="000000"/>
                <w:sz w:val="22"/>
                <w:lang w:eastAsia="en-GB"/>
              </w:rPr>
              <w:t>Data Source</w:t>
            </w:r>
          </w:p>
        </w:tc>
        <w:tc>
          <w:tcPr>
            <w:tcW w:w="3813" w:type="pct"/>
            <w:gridSpan w:val="2"/>
            <w:shd w:val="clear" w:color="auto" w:fill="auto"/>
            <w:hideMark/>
          </w:tcPr>
          <w:p w14:paraId="3BCB089A" w14:textId="77777777" w:rsidR="006C52BF" w:rsidRDefault="006C52BF" w:rsidP="008D3AFA">
            <w:pPr>
              <w:spacing w:after="0" w:line="240" w:lineRule="auto"/>
              <w:rPr>
                <w:rFonts w:eastAsia="Times New Roman" w:cs="Arial"/>
                <w:color w:val="000000"/>
                <w:sz w:val="22"/>
                <w:lang w:eastAsia="en-GB"/>
              </w:rPr>
            </w:pPr>
          </w:p>
          <w:p w14:paraId="7715C8F8" w14:textId="77777777" w:rsidR="006C52BF" w:rsidRPr="00A8608C" w:rsidRDefault="006C52BF" w:rsidP="008D3AFA">
            <w:pPr>
              <w:spacing w:after="0" w:line="240" w:lineRule="auto"/>
              <w:rPr>
                <w:rFonts w:eastAsia="Times New Roman" w:cs="Arial"/>
                <w:sz w:val="22"/>
                <w:lang w:eastAsia="en-GB"/>
              </w:rPr>
            </w:pPr>
            <w:r w:rsidRPr="00A8608C">
              <w:rPr>
                <w:rFonts w:eastAsia="Times New Roman" w:cs="Arial"/>
                <w:color w:val="000000"/>
                <w:sz w:val="22"/>
                <w:lang w:eastAsia="en-GB"/>
              </w:rPr>
              <w:t>NHSBSA Data warehouse</w:t>
            </w:r>
          </w:p>
        </w:tc>
      </w:tr>
      <w:tr w:rsidR="006C52BF" w:rsidRPr="00A8608C" w14:paraId="242E1B4A" w14:textId="77777777" w:rsidTr="008D3AFA">
        <w:trPr>
          <w:trHeight w:val="280"/>
        </w:trPr>
        <w:tc>
          <w:tcPr>
            <w:tcW w:w="120" w:type="pct"/>
            <w:shd w:val="clear" w:color="auto" w:fill="auto"/>
            <w:noWrap/>
            <w:hideMark/>
          </w:tcPr>
          <w:p w14:paraId="39BD1176"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2553BDBA"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noWrap/>
            <w:hideMark/>
          </w:tcPr>
          <w:p w14:paraId="18A24497" w14:textId="77777777" w:rsidR="006C52BF" w:rsidRPr="00A8608C" w:rsidRDefault="006C52BF" w:rsidP="008D3AFA">
            <w:pPr>
              <w:spacing w:after="0" w:line="240" w:lineRule="auto"/>
              <w:rPr>
                <w:rFonts w:eastAsia="Times New Roman" w:cs="Arial"/>
                <w:sz w:val="22"/>
                <w:lang w:eastAsia="en-GB"/>
              </w:rPr>
            </w:pPr>
          </w:p>
        </w:tc>
      </w:tr>
      <w:tr w:rsidR="006C52BF" w:rsidRPr="00A8608C" w14:paraId="1E101090" w14:textId="77777777" w:rsidTr="008D3AFA">
        <w:trPr>
          <w:trHeight w:val="695"/>
        </w:trPr>
        <w:tc>
          <w:tcPr>
            <w:tcW w:w="1187" w:type="pct"/>
            <w:gridSpan w:val="2"/>
            <w:shd w:val="clear" w:color="auto" w:fill="auto"/>
            <w:noWrap/>
            <w:hideMark/>
          </w:tcPr>
          <w:p w14:paraId="17D9B5D6" w14:textId="77777777" w:rsidR="006C52BF" w:rsidRPr="00A8608C" w:rsidRDefault="006C52BF" w:rsidP="008D3AFA">
            <w:pPr>
              <w:spacing w:after="0" w:line="240" w:lineRule="auto"/>
              <w:rPr>
                <w:rFonts w:eastAsia="Times New Roman" w:cs="Arial"/>
                <w:sz w:val="22"/>
                <w:lang w:eastAsia="en-GB"/>
              </w:rPr>
            </w:pPr>
            <w:r w:rsidRPr="00A8608C">
              <w:rPr>
                <w:rFonts w:eastAsia="Times New Roman" w:cs="Arial"/>
                <w:b/>
                <w:bCs/>
                <w:color w:val="000000"/>
                <w:sz w:val="22"/>
                <w:lang w:eastAsia="en-GB"/>
              </w:rPr>
              <w:t>Time Period</w:t>
            </w:r>
          </w:p>
        </w:tc>
        <w:tc>
          <w:tcPr>
            <w:tcW w:w="3813" w:type="pct"/>
            <w:gridSpan w:val="2"/>
            <w:shd w:val="clear" w:color="auto" w:fill="auto"/>
            <w:hideMark/>
          </w:tcPr>
          <w:p w14:paraId="16217EF4"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Data from February 2017 to December 2021 is used to report patients situation in 2019, 2020 and 2021 according to their 24-month prescribing history.</w:t>
            </w:r>
          </w:p>
        </w:tc>
      </w:tr>
      <w:tr w:rsidR="006C52BF" w:rsidRPr="00A8608C" w14:paraId="7C46FD12" w14:textId="77777777" w:rsidTr="008D3AFA">
        <w:trPr>
          <w:trHeight w:val="280"/>
        </w:trPr>
        <w:tc>
          <w:tcPr>
            <w:tcW w:w="120" w:type="pct"/>
            <w:shd w:val="clear" w:color="auto" w:fill="auto"/>
            <w:noWrap/>
            <w:hideMark/>
          </w:tcPr>
          <w:p w14:paraId="69582772"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75EE3706"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hideMark/>
          </w:tcPr>
          <w:p w14:paraId="4EC1CFA0" w14:textId="77777777" w:rsidR="006C52BF" w:rsidRPr="00A8608C" w:rsidRDefault="006C52BF" w:rsidP="008D3AFA">
            <w:pPr>
              <w:spacing w:after="0" w:line="240" w:lineRule="auto"/>
              <w:rPr>
                <w:rFonts w:eastAsia="Times New Roman" w:cs="Arial"/>
                <w:sz w:val="22"/>
                <w:lang w:eastAsia="en-GB"/>
              </w:rPr>
            </w:pPr>
          </w:p>
        </w:tc>
      </w:tr>
      <w:tr w:rsidR="006C52BF" w:rsidRPr="00A8608C" w14:paraId="5F42BB66" w14:textId="77777777" w:rsidTr="008D3AFA">
        <w:trPr>
          <w:trHeight w:val="280"/>
        </w:trPr>
        <w:tc>
          <w:tcPr>
            <w:tcW w:w="3241" w:type="pct"/>
            <w:gridSpan w:val="3"/>
            <w:shd w:val="clear" w:color="auto" w:fill="auto"/>
            <w:noWrap/>
            <w:hideMark/>
          </w:tcPr>
          <w:p w14:paraId="4A679479" w14:textId="77777777" w:rsidR="006C52BF" w:rsidRPr="00A8608C" w:rsidRDefault="006C52BF" w:rsidP="008D3AFA">
            <w:pPr>
              <w:spacing w:after="0" w:line="240" w:lineRule="auto"/>
              <w:rPr>
                <w:rFonts w:eastAsia="Times New Roman" w:cs="Arial"/>
                <w:b/>
                <w:bCs/>
                <w:color w:val="000000"/>
                <w:sz w:val="22"/>
                <w:lang w:eastAsia="en-GB"/>
              </w:rPr>
            </w:pPr>
            <w:r w:rsidRPr="00A8608C">
              <w:rPr>
                <w:rFonts w:eastAsia="Times New Roman" w:cs="Arial"/>
                <w:b/>
                <w:bCs/>
                <w:color w:val="000000"/>
                <w:sz w:val="22"/>
                <w:lang w:eastAsia="en-GB"/>
              </w:rPr>
              <w:t>Dispensing in the community in England</w:t>
            </w:r>
          </w:p>
        </w:tc>
        <w:tc>
          <w:tcPr>
            <w:tcW w:w="1759" w:type="pct"/>
            <w:shd w:val="clear" w:color="auto" w:fill="auto"/>
            <w:noWrap/>
            <w:hideMark/>
          </w:tcPr>
          <w:p w14:paraId="02B7C665" w14:textId="77777777" w:rsidR="006C52BF" w:rsidRPr="00A8608C" w:rsidRDefault="006C52BF" w:rsidP="008D3AFA">
            <w:pPr>
              <w:spacing w:after="0" w:line="240" w:lineRule="auto"/>
              <w:rPr>
                <w:rFonts w:eastAsia="Times New Roman" w:cs="Arial"/>
                <w:b/>
                <w:bCs/>
                <w:color w:val="000000"/>
                <w:sz w:val="22"/>
                <w:lang w:eastAsia="en-GB"/>
              </w:rPr>
            </w:pPr>
          </w:p>
        </w:tc>
      </w:tr>
      <w:tr w:rsidR="006C52BF" w:rsidRPr="00A8608C" w14:paraId="10BF7904" w14:textId="77777777" w:rsidTr="008D3AFA">
        <w:trPr>
          <w:trHeight w:val="625"/>
        </w:trPr>
        <w:tc>
          <w:tcPr>
            <w:tcW w:w="120" w:type="pct"/>
            <w:shd w:val="clear" w:color="auto" w:fill="auto"/>
            <w:noWrap/>
            <w:hideMark/>
          </w:tcPr>
          <w:p w14:paraId="1E1C266E" w14:textId="77777777" w:rsidR="006C52BF" w:rsidRPr="00A8608C" w:rsidRDefault="006C52BF" w:rsidP="008D3AFA">
            <w:pPr>
              <w:spacing w:after="0" w:line="240" w:lineRule="auto"/>
              <w:rPr>
                <w:rFonts w:eastAsia="Times New Roman" w:cs="Arial"/>
                <w:sz w:val="22"/>
                <w:lang w:eastAsia="en-GB"/>
              </w:rPr>
            </w:pPr>
          </w:p>
        </w:tc>
        <w:tc>
          <w:tcPr>
            <w:tcW w:w="4880" w:type="pct"/>
            <w:gridSpan w:val="3"/>
            <w:shd w:val="clear" w:color="auto" w:fill="auto"/>
            <w:noWrap/>
            <w:hideMark/>
          </w:tcPr>
          <w:p w14:paraId="38FB036F"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This data is based on dispensing in the community in England that has been submitted to NHSBSA for reimbursement and excludes dispensing within hospital settings, which could include secure wards, and prisons.</w:t>
            </w:r>
          </w:p>
        </w:tc>
      </w:tr>
      <w:tr w:rsidR="006C52BF" w:rsidRPr="00A8608C" w14:paraId="41EBBE35" w14:textId="77777777" w:rsidTr="008D3AFA">
        <w:trPr>
          <w:trHeight w:val="280"/>
        </w:trPr>
        <w:tc>
          <w:tcPr>
            <w:tcW w:w="120" w:type="pct"/>
            <w:shd w:val="clear" w:color="auto" w:fill="auto"/>
            <w:noWrap/>
            <w:hideMark/>
          </w:tcPr>
          <w:p w14:paraId="1C925111"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343CBF03"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noWrap/>
            <w:hideMark/>
          </w:tcPr>
          <w:p w14:paraId="197894A8" w14:textId="77777777" w:rsidR="006C52BF" w:rsidRPr="00A8608C" w:rsidRDefault="006C52BF" w:rsidP="008D3AFA">
            <w:pPr>
              <w:spacing w:after="0" w:line="240" w:lineRule="auto"/>
              <w:rPr>
                <w:rFonts w:eastAsia="Times New Roman" w:cs="Arial"/>
                <w:sz w:val="22"/>
                <w:lang w:eastAsia="en-GB"/>
              </w:rPr>
            </w:pPr>
          </w:p>
        </w:tc>
      </w:tr>
      <w:tr w:rsidR="006C52BF" w:rsidRPr="00A8608C" w14:paraId="52B277B0" w14:textId="77777777" w:rsidTr="008D3AFA">
        <w:trPr>
          <w:trHeight w:val="280"/>
        </w:trPr>
        <w:tc>
          <w:tcPr>
            <w:tcW w:w="3241" w:type="pct"/>
            <w:gridSpan w:val="3"/>
            <w:shd w:val="clear" w:color="auto" w:fill="auto"/>
            <w:noWrap/>
            <w:hideMark/>
          </w:tcPr>
          <w:p w14:paraId="0BECD48B" w14:textId="77777777" w:rsidR="006C52BF" w:rsidRPr="00A8608C" w:rsidRDefault="006C52BF" w:rsidP="008D3AFA">
            <w:pPr>
              <w:spacing w:after="0" w:line="240" w:lineRule="auto"/>
              <w:rPr>
                <w:rFonts w:eastAsia="Times New Roman" w:cs="Arial"/>
                <w:b/>
                <w:bCs/>
                <w:color w:val="000000"/>
                <w:sz w:val="22"/>
                <w:lang w:eastAsia="en-GB"/>
              </w:rPr>
            </w:pPr>
            <w:r w:rsidRPr="00A8608C">
              <w:rPr>
                <w:rFonts w:eastAsia="Times New Roman" w:cs="Arial"/>
                <w:b/>
                <w:bCs/>
                <w:color w:val="000000"/>
                <w:sz w:val="22"/>
                <w:lang w:eastAsia="en-GB"/>
              </w:rPr>
              <w:t>Prescription products</w:t>
            </w:r>
          </w:p>
        </w:tc>
        <w:tc>
          <w:tcPr>
            <w:tcW w:w="1759" w:type="pct"/>
            <w:shd w:val="clear" w:color="auto" w:fill="auto"/>
            <w:noWrap/>
            <w:hideMark/>
          </w:tcPr>
          <w:p w14:paraId="17A29172" w14:textId="77777777" w:rsidR="006C52BF" w:rsidRPr="00A8608C" w:rsidRDefault="006C52BF" w:rsidP="008D3AFA">
            <w:pPr>
              <w:spacing w:after="0" w:line="240" w:lineRule="auto"/>
              <w:rPr>
                <w:rFonts w:eastAsia="Times New Roman" w:cs="Arial"/>
                <w:b/>
                <w:bCs/>
                <w:color w:val="000000"/>
                <w:sz w:val="22"/>
                <w:lang w:eastAsia="en-GB"/>
              </w:rPr>
            </w:pPr>
          </w:p>
        </w:tc>
      </w:tr>
      <w:tr w:rsidR="006C52BF" w:rsidRPr="00A8608C" w14:paraId="09D72DEC" w14:textId="77777777" w:rsidTr="008D3AFA">
        <w:trPr>
          <w:trHeight w:val="2148"/>
        </w:trPr>
        <w:tc>
          <w:tcPr>
            <w:tcW w:w="120" w:type="pct"/>
            <w:shd w:val="clear" w:color="auto" w:fill="auto"/>
            <w:noWrap/>
            <w:hideMark/>
          </w:tcPr>
          <w:p w14:paraId="23A67A66" w14:textId="77777777" w:rsidR="006C52BF" w:rsidRPr="00A8608C" w:rsidRDefault="006C52BF" w:rsidP="008D3AFA">
            <w:pPr>
              <w:spacing w:after="0" w:line="240" w:lineRule="auto"/>
              <w:rPr>
                <w:rFonts w:eastAsia="Times New Roman" w:cs="Arial"/>
                <w:sz w:val="22"/>
                <w:lang w:eastAsia="en-GB"/>
              </w:rPr>
            </w:pPr>
          </w:p>
        </w:tc>
        <w:tc>
          <w:tcPr>
            <w:tcW w:w="4880" w:type="pct"/>
            <w:gridSpan w:val="3"/>
            <w:shd w:val="clear" w:color="auto" w:fill="auto"/>
            <w:noWrap/>
            <w:hideMark/>
          </w:tcPr>
          <w:p w14:paraId="44B25E44"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Prescriptions products have been classified as Oral NSAIDs, diuretics, or RAS in accordance with the specification used in the NHSBSA / NHS-Digital 'medicines safety'  dashboard. In particular see the specification for indicator 'AKI01' described on page 19 of the 'Medication Safety - Indicators Specification August 2019'.</w:t>
            </w:r>
            <w:r w:rsidRPr="00A8608C">
              <w:rPr>
                <w:rFonts w:eastAsia="Times New Roman" w:cs="Arial"/>
                <w:color w:val="000000"/>
                <w:sz w:val="22"/>
                <w:lang w:eastAsia="en-GB"/>
              </w:rPr>
              <w:br/>
            </w:r>
            <w:r w:rsidRPr="00A8608C">
              <w:rPr>
                <w:rFonts w:eastAsia="Times New Roman" w:cs="Arial"/>
                <w:color w:val="000000"/>
                <w:sz w:val="22"/>
                <w:lang w:eastAsia="en-GB"/>
              </w:rPr>
              <w:br/>
              <w:t>These are repeated below for convenience and detailed lists of each 'pharmaceutical presentation' included in each group is included in the 'drug list' worksheet of this file.</w:t>
            </w:r>
            <w:r w:rsidRPr="00A8608C">
              <w:rPr>
                <w:rFonts w:eastAsia="Times New Roman" w:cs="Arial"/>
                <w:color w:val="000000"/>
                <w:sz w:val="22"/>
                <w:lang w:eastAsia="en-GB"/>
              </w:rPr>
              <w:br/>
            </w:r>
            <w:r w:rsidRPr="00A8608C">
              <w:rPr>
                <w:rFonts w:eastAsia="Times New Roman" w:cs="Arial"/>
                <w:color w:val="000000"/>
                <w:sz w:val="22"/>
                <w:lang w:eastAsia="en-GB"/>
              </w:rPr>
              <w:br/>
              <w:t>This specification uses the structure of the British National Formulary (BNF) using the classification system prior to BNF edition 70.</w:t>
            </w:r>
          </w:p>
        </w:tc>
      </w:tr>
      <w:tr w:rsidR="006C52BF" w:rsidRPr="00A8608C" w14:paraId="386FCF38" w14:textId="77777777" w:rsidTr="008D3AFA">
        <w:trPr>
          <w:trHeight w:val="560"/>
        </w:trPr>
        <w:tc>
          <w:tcPr>
            <w:tcW w:w="120" w:type="pct"/>
            <w:shd w:val="clear" w:color="auto" w:fill="auto"/>
            <w:noWrap/>
            <w:hideMark/>
          </w:tcPr>
          <w:p w14:paraId="1F097AB2" w14:textId="77777777" w:rsidR="006C52BF" w:rsidRPr="00A8608C" w:rsidRDefault="006C52BF" w:rsidP="008D3AFA">
            <w:pPr>
              <w:spacing w:after="0" w:line="240" w:lineRule="auto"/>
              <w:rPr>
                <w:rFonts w:eastAsia="Times New Roman" w:cs="Arial"/>
                <w:color w:val="000000"/>
                <w:sz w:val="22"/>
                <w:lang w:eastAsia="en-GB"/>
              </w:rPr>
            </w:pPr>
          </w:p>
        </w:tc>
        <w:tc>
          <w:tcPr>
            <w:tcW w:w="4880" w:type="pct"/>
            <w:gridSpan w:val="3"/>
            <w:shd w:val="clear" w:color="auto" w:fill="auto"/>
            <w:noWrap/>
            <w:hideMark/>
          </w:tcPr>
          <w:p w14:paraId="49B4CED6" w14:textId="6E8F4D69" w:rsidR="006C52BF" w:rsidRPr="00A8608C" w:rsidRDefault="007B06B0" w:rsidP="008D3AFA">
            <w:pPr>
              <w:spacing w:after="0" w:line="240" w:lineRule="auto"/>
              <w:rPr>
                <w:rFonts w:eastAsia="Times New Roman" w:cs="Arial"/>
                <w:color w:val="0072CE"/>
                <w:sz w:val="22"/>
                <w:u w:val="single"/>
                <w:lang w:eastAsia="en-GB"/>
              </w:rPr>
            </w:pPr>
            <w:hyperlink r:id="rId16" w:history="1">
              <w:r w:rsidR="006C52BF" w:rsidRPr="00A8608C">
                <w:rPr>
                  <w:rFonts w:eastAsia="Times New Roman" w:cs="Arial"/>
                  <w:color w:val="0072CE"/>
                  <w:sz w:val="22"/>
                  <w:u w:val="single"/>
                  <w:lang w:eastAsia="en-GB"/>
                </w:rPr>
                <w:t>https://www.nhsbsa.nhs.uk/access-our-data-products/epact2/dashboards-and-specifications/medication-safety</w:t>
              </w:r>
            </w:hyperlink>
          </w:p>
        </w:tc>
      </w:tr>
      <w:tr w:rsidR="006C52BF" w:rsidRPr="00A8608C" w14:paraId="55ED6980" w14:textId="77777777" w:rsidTr="008D3AFA">
        <w:trPr>
          <w:trHeight w:val="280"/>
        </w:trPr>
        <w:tc>
          <w:tcPr>
            <w:tcW w:w="120" w:type="pct"/>
            <w:shd w:val="clear" w:color="auto" w:fill="auto"/>
            <w:noWrap/>
            <w:hideMark/>
          </w:tcPr>
          <w:p w14:paraId="346D6B44" w14:textId="77777777" w:rsidR="006C52BF" w:rsidRPr="00A8608C" w:rsidRDefault="006C52BF" w:rsidP="008D3AFA">
            <w:pPr>
              <w:spacing w:after="0" w:line="240" w:lineRule="auto"/>
              <w:rPr>
                <w:rFonts w:eastAsia="Times New Roman" w:cs="Arial"/>
                <w:color w:val="0072CE"/>
                <w:sz w:val="22"/>
                <w:u w:val="single"/>
                <w:lang w:eastAsia="en-GB"/>
              </w:rPr>
            </w:pPr>
          </w:p>
        </w:tc>
        <w:tc>
          <w:tcPr>
            <w:tcW w:w="1066" w:type="pct"/>
            <w:shd w:val="clear" w:color="auto" w:fill="auto"/>
            <w:noWrap/>
            <w:hideMark/>
          </w:tcPr>
          <w:p w14:paraId="64B8D3F6"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noWrap/>
            <w:hideMark/>
          </w:tcPr>
          <w:p w14:paraId="21A8706A" w14:textId="77777777" w:rsidR="006C52BF" w:rsidRPr="00A8608C" w:rsidRDefault="006C52BF" w:rsidP="008D3AFA">
            <w:pPr>
              <w:spacing w:after="0" w:line="240" w:lineRule="auto"/>
              <w:rPr>
                <w:rFonts w:eastAsia="Times New Roman" w:cs="Arial"/>
                <w:sz w:val="22"/>
                <w:lang w:eastAsia="en-GB"/>
              </w:rPr>
            </w:pPr>
          </w:p>
        </w:tc>
      </w:tr>
      <w:tr w:rsidR="006C52BF" w:rsidRPr="00A8608C" w14:paraId="61819A56" w14:textId="77777777" w:rsidTr="008D3AFA">
        <w:trPr>
          <w:trHeight w:val="1400"/>
        </w:trPr>
        <w:tc>
          <w:tcPr>
            <w:tcW w:w="120" w:type="pct"/>
            <w:shd w:val="clear" w:color="auto" w:fill="auto"/>
            <w:noWrap/>
            <w:hideMark/>
          </w:tcPr>
          <w:p w14:paraId="0FF528EC" w14:textId="77777777" w:rsidR="006C52BF" w:rsidRPr="00A8608C" w:rsidRDefault="006C52BF" w:rsidP="008D3AFA">
            <w:pPr>
              <w:spacing w:after="0" w:line="240" w:lineRule="auto"/>
              <w:rPr>
                <w:rFonts w:eastAsia="Times New Roman" w:cs="Arial"/>
                <w:sz w:val="22"/>
                <w:lang w:eastAsia="en-GB"/>
              </w:rPr>
            </w:pPr>
          </w:p>
        </w:tc>
        <w:tc>
          <w:tcPr>
            <w:tcW w:w="1066" w:type="pct"/>
            <w:shd w:val="clear" w:color="auto" w:fill="auto"/>
            <w:noWrap/>
            <w:hideMark/>
          </w:tcPr>
          <w:p w14:paraId="4B2F9BE8"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Oral NSAID</w:t>
            </w:r>
          </w:p>
        </w:tc>
        <w:tc>
          <w:tcPr>
            <w:tcW w:w="3813" w:type="pct"/>
            <w:gridSpan w:val="2"/>
            <w:shd w:val="clear" w:color="auto" w:fill="auto"/>
            <w:hideMark/>
          </w:tcPr>
          <w:p w14:paraId="7C7CF9A1"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 xml:space="preserve">Refers to oral non-steroidal anti-inflammatory drugs. </w:t>
            </w:r>
            <w:r w:rsidRPr="00A8608C">
              <w:rPr>
                <w:rFonts w:eastAsia="Times New Roman" w:cs="Arial"/>
                <w:color w:val="000000"/>
                <w:sz w:val="22"/>
                <w:lang w:eastAsia="en-GB"/>
              </w:rPr>
              <w:br/>
              <w:t>Includes all presentations from BNF chapter 10, section 01, paragraph 01 '</w:t>
            </w:r>
            <w:proofErr w:type="gramStart"/>
            <w:r w:rsidRPr="00A8608C">
              <w:rPr>
                <w:rFonts w:eastAsia="Times New Roman" w:cs="Arial"/>
                <w:color w:val="000000"/>
                <w:sz w:val="22"/>
                <w:lang w:eastAsia="en-GB"/>
              </w:rPr>
              <w:t>Non-steroidal</w:t>
            </w:r>
            <w:proofErr w:type="gramEnd"/>
            <w:r w:rsidRPr="00A8608C">
              <w:rPr>
                <w:rFonts w:eastAsia="Times New Roman" w:cs="Arial"/>
                <w:color w:val="000000"/>
                <w:sz w:val="22"/>
                <w:lang w:eastAsia="en-GB"/>
              </w:rPr>
              <w:t xml:space="preserve"> anti-inflammatory</w:t>
            </w:r>
            <w:r w:rsidRPr="00A8608C">
              <w:rPr>
                <w:rFonts w:eastAsia="Times New Roman" w:cs="Arial"/>
                <w:color w:val="000000"/>
                <w:sz w:val="22"/>
                <w:lang w:eastAsia="en-GB"/>
              </w:rPr>
              <w:br/>
              <w:t>drugs' that also has one of the pharmaceutical forms specified in the drug list sheet corresponding to 'Oral' medicine.</w:t>
            </w:r>
          </w:p>
        </w:tc>
      </w:tr>
      <w:tr w:rsidR="006C52BF" w:rsidRPr="00A8608C" w14:paraId="233A3449" w14:textId="77777777" w:rsidTr="008D3AFA">
        <w:trPr>
          <w:trHeight w:val="560"/>
        </w:trPr>
        <w:tc>
          <w:tcPr>
            <w:tcW w:w="120" w:type="pct"/>
            <w:shd w:val="clear" w:color="auto" w:fill="auto"/>
            <w:noWrap/>
            <w:hideMark/>
          </w:tcPr>
          <w:p w14:paraId="440AB108"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693646F0"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Diuretic</w:t>
            </w:r>
          </w:p>
        </w:tc>
        <w:tc>
          <w:tcPr>
            <w:tcW w:w="3813" w:type="pct"/>
            <w:gridSpan w:val="2"/>
            <w:shd w:val="clear" w:color="auto" w:fill="auto"/>
            <w:hideMark/>
          </w:tcPr>
          <w:p w14:paraId="624C4685"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Includes all presentations from BNF chapter 02, section 02 'Diuretics'.</w:t>
            </w:r>
          </w:p>
        </w:tc>
      </w:tr>
      <w:tr w:rsidR="006C52BF" w:rsidRPr="00A8608C" w14:paraId="41EF9521" w14:textId="77777777" w:rsidTr="008D3AFA">
        <w:trPr>
          <w:trHeight w:val="1548"/>
        </w:trPr>
        <w:tc>
          <w:tcPr>
            <w:tcW w:w="120" w:type="pct"/>
            <w:shd w:val="clear" w:color="auto" w:fill="auto"/>
            <w:noWrap/>
            <w:hideMark/>
          </w:tcPr>
          <w:p w14:paraId="0AF49171"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637C4303"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ACEI_ARB</w:t>
            </w:r>
          </w:p>
        </w:tc>
        <w:tc>
          <w:tcPr>
            <w:tcW w:w="3813" w:type="pct"/>
            <w:gridSpan w:val="2"/>
            <w:shd w:val="clear" w:color="auto" w:fill="auto"/>
            <w:hideMark/>
          </w:tcPr>
          <w:p w14:paraId="3123B550" w14:textId="77777777" w:rsidR="006C52BF" w:rsidRPr="00A8608C" w:rsidRDefault="006C52BF" w:rsidP="008D3AFA">
            <w:pPr>
              <w:spacing w:after="240" w:line="240" w:lineRule="auto"/>
              <w:rPr>
                <w:rFonts w:eastAsia="Times New Roman" w:cs="Arial"/>
                <w:color w:val="000000"/>
                <w:sz w:val="22"/>
                <w:lang w:eastAsia="en-GB"/>
              </w:rPr>
            </w:pPr>
            <w:r w:rsidRPr="00A8608C">
              <w:rPr>
                <w:rFonts w:eastAsia="Times New Roman" w:cs="Arial"/>
                <w:color w:val="000000"/>
                <w:sz w:val="22"/>
                <w:lang w:eastAsia="en-GB"/>
              </w:rPr>
              <w:t xml:space="preserve">refers to Renin Angiotensin System (RAS) drugs. </w:t>
            </w:r>
            <w:r w:rsidRPr="00A8608C">
              <w:rPr>
                <w:rFonts w:eastAsia="Times New Roman" w:cs="Arial"/>
                <w:color w:val="000000"/>
                <w:sz w:val="22"/>
                <w:lang w:eastAsia="en-GB"/>
              </w:rPr>
              <w:br/>
              <w:t>Including BNF chapter  02, section 05, paragraph 05, sub-paragraph 01 'Angiotensin-converting enzyme</w:t>
            </w:r>
            <w:r w:rsidRPr="00A8608C">
              <w:rPr>
                <w:rFonts w:eastAsia="Times New Roman" w:cs="Arial"/>
                <w:color w:val="000000"/>
                <w:sz w:val="22"/>
                <w:lang w:eastAsia="en-GB"/>
              </w:rPr>
              <w:br/>
              <w:t>Inhibitors' (ACE inhibitors);</w:t>
            </w:r>
            <w:r w:rsidRPr="00A8608C">
              <w:rPr>
                <w:rFonts w:eastAsia="Times New Roman" w:cs="Arial"/>
                <w:color w:val="000000"/>
                <w:sz w:val="22"/>
                <w:lang w:eastAsia="en-GB"/>
              </w:rPr>
              <w:br/>
              <w:t>and, BNF chapter  02, section 05, paragraph 05, sub-paragraph 02 'Angiotensin</w:t>
            </w:r>
            <w:r>
              <w:rPr>
                <w:rFonts w:eastAsia="Times New Roman" w:cs="Arial"/>
                <w:color w:val="000000"/>
                <w:sz w:val="22"/>
                <w:lang w:eastAsia="en-GB"/>
              </w:rPr>
              <w:t>-II receptor antagonists' (ARB)</w:t>
            </w:r>
          </w:p>
        </w:tc>
      </w:tr>
      <w:tr w:rsidR="006C52BF" w:rsidRPr="00A8608C" w14:paraId="7E2E22A2" w14:textId="77777777" w:rsidTr="008D3AFA">
        <w:trPr>
          <w:trHeight w:val="280"/>
        </w:trPr>
        <w:tc>
          <w:tcPr>
            <w:tcW w:w="120" w:type="pct"/>
            <w:shd w:val="clear" w:color="auto" w:fill="auto"/>
            <w:noWrap/>
            <w:hideMark/>
          </w:tcPr>
          <w:p w14:paraId="1F38EF61" w14:textId="77777777" w:rsidR="006C52BF" w:rsidRPr="00A8608C" w:rsidRDefault="006C52BF" w:rsidP="008D3AFA">
            <w:pPr>
              <w:spacing w:after="0" w:line="240" w:lineRule="auto"/>
              <w:rPr>
                <w:rFonts w:eastAsia="Times New Roman" w:cs="Arial"/>
                <w:sz w:val="22"/>
                <w:lang w:eastAsia="en-GB"/>
              </w:rPr>
            </w:pPr>
          </w:p>
        </w:tc>
        <w:tc>
          <w:tcPr>
            <w:tcW w:w="1066" w:type="pct"/>
            <w:shd w:val="clear" w:color="auto" w:fill="auto"/>
            <w:noWrap/>
            <w:hideMark/>
          </w:tcPr>
          <w:p w14:paraId="66440E4A"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hideMark/>
          </w:tcPr>
          <w:p w14:paraId="5BE5139C" w14:textId="77777777" w:rsidR="006C52BF" w:rsidRPr="00A8608C" w:rsidRDefault="006C52BF" w:rsidP="008D3AFA">
            <w:pPr>
              <w:spacing w:after="0" w:line="240" w:lineRule="auto"/>
              <w:rPr>
                <w:rFonts w:eastAsia="Times New Roman" w:cs="Arial"/>
                <w:sz w:val="22"/>
                <w:lang w:eastAsia="en-GB"/>
              </w:rPr>
            </w:pPr>
          </w:p>
        </w:tc>
      </w:tr>
      <w:tr w:rsidR="006C52BF" w:rsidRPr="00A8608C" w14:paraId="4BB6CE12" w14:textId="77777777" w:rsidTr="008D3AFA">
        <w:trPr>
          <w:trHeight w:val="280"/>
        </w:trPr>
        <w:tc>
          <w:tcPr>
            <w:tcW w:w="3241" w:type="pct"/>
            <w:gridSpan w:val="3"/>
            <w:shd w:val="clear" w:color="auto" w:fill="auto"/>
            <w:noWrap/>
            <w:hideMark/>
          </w:tcPr>
          <w:p w14:paraId="4AF38E52" w14:textId="77777777" w:rsidR="006C52BF" w:rsidRPr="00A8608C" w:rsidRDefault="006C52BF" w:rsidP="008D3AFA">
            <w:pPr>
              <w:spacing w:after="0" w:line="240" w:lineRule="auto"/>
              <w:rPr>
                <w:rFonts w:eastAsia="Times New Roman" w:cs="Arial"/>
                <w:b/>
                <w:bCs/>
                <w:color w:val="000000"/>
                <w:sz w:val="22"/>
                <w:lang w:eastAsia="en-GB"/>
              </w:rPr>
            </w:pPr>
            <w:r w:rsidRPr="00A8608C">
              <w:rPr>
                <w:rFonts w:eastAsia="Times New Roman" w:cs="Arial"/>
                <w:b/>
                <w:bCs/>
                <w:color w:val="000000"/>
                <w:sz w:val="22"/>
                <w:lang w:eastAsia="en-GB"/>
              </w:rPr>
              <w:t>Prescribing Organisations</w:t>
            </w:r>
          </w:p>
        </w:tc>
        <w:tc>
          <w:tcPr>
            <w:tcW w:w="1759" w:type="pct"/>
            <w:shd w:val="clear" w:color="auto" w:fill="auto"/>
            <w:hideMark/>
          </w:tcPr>
          <w:p w14:paraId="7CA7C829" w14:textId="77777777" w:rsidR="006C52BF" w:rsidRPr="00A8608C" w:rsidRDefault="006C52BF" w:rsidP="008D3AFA">
            <w:pPr>
              <w:spacing w:after="0" w:line="240" w:lineRule="auto"/>
              <w:rPr>
                <w:rFonts w:eastAsia="Times New Roman" w:cs="Arial"/>
                <w:b/>
                <w:bCs/>
                <w:color w:val="000000"/>
                <w:sz w:val="22"/>
                <w:lang w:eastAsia="en-GB"/>
              </w:rPr>
            </w:pPr>
          </w:p>
        </w:tc>
      </w:tr>
      <w:tr w:rsidR="006C52BF" w:rsidRPr="00A8608C" w14:paraId="5AE1BEE7" w14:textId="77777777" w:rsidTr="008D3AFA">
        <w:trPr>
          <w:trHeight w:val="768"/>
        </w:trPr>
        <w:tc>
          <w:tcPr>
            <w:tcW w:w="120" w:type="pct"/>
            <w:shd w:val="clear" w:color="auto" w:fill="auto"/>
            <w:noWrap/>
            <w:hideMark/>
          </w:tcPr>
          <w:p w14:paraId="3F0C6813" w14:textId="77777777" w:rsidR="006C52BF" w:rsidRPr="00A8608C" w:rsidRDefault="006C52BF" w:rsidP="008D3AFA">
            <w:pPr>
              <w:spacing w:after="0" w:line="240" w:lineRule="auto"/>
              <w:rPr>
                <w:rFonts w:eastAsia="Times New Roman" w:cs="Arial"/>
                <w:sz w:val="22"/>
                <w:lang w:eastAsia="en-GB"/>
              </w:rPr>
            </w:pPr>
          </w:p>
        </w:tc>
        <w:tc>
          <w:tcPr>
            <w:tcW w:w="1066" w:type="pct"/>
            <w:shd w:val="clear" w:color="auto" w:fill="auto"/>
            <w:noWrap/>
            <w:hideMark/>
          </w:tcPr>
          <w:p w14:paraId="5A016B15"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hideMark/>
          </w:tcPr>
          <w:p w14:paraId="0375D7BA" w14:textId="77777777" w:rsidR="006C52BF" w:rsidRPr="00A8608C" w:rsidRDefault="006C52BF" w:rsidP="008D3AFA">
            <w:pPr>
              <w:spacing w:after="0" w:line="240" w:lineRule="auto"/>
              <w:rPr>
                <w:rFonts w:eastAsia="Times New Roman" w:cs="Arial"/>
                <w:b/>
                <w:bCs/>
                <w:color w:val="000000"/>
                <w:sz w:val="22"/>
                <w:lang w:eastAsia="en-GB"/>
              </w:rPr>
            </w:pPr>
            <w:r w:rsidRPr="00A8608C">
              <w:rPr>
                <w:rFonts w:eastAsia="Times New Roman" w:cs="Arial"/>
                <w:b/>
                <w:bCs/>
                <w:color w:val="000000"/>
                <w:sz w:val="22"/>
                <w:lang w:eastAsia="en-GB"/>
              </w:rPr>
              <w:t>Data from all prescribing organisations in England has been included. These have been reported in two groups.</w:t>
            </w:r>
          </w:p>
        </w:tc>
      </w:tr>
      <w:tr w:rsidR="006C52BF" w:rsidRPr="00A8608C" w14:paraId="5A778484" w14:textId="77777777" w:rsidTr="008D3AFA">
        <w:trPr>
          <w:trHeight w:val="3565"/>
        </w:trPr>
        <w:tc>
          <w:tcPr>
            <w:tcW w:w="120" w:type="pct"/>
            <w:shd w:val="clear" w:color="auto" w:fill="auto"/>
            <w:noWrap/>
            <w:hideMark/>
          </w:tcPr>
          <w:p w14:paraId="216596EF" w14:textId="77777777" w:rsidR="006C52BF" w:rsidRPr="00A8608C" w:rsidRDefault="006C52BF" w:rsidP="008D3AFA">
            <w:pPr>
              <w:spacing w:after="0" w:line="240" w:lineRule="auto"/>
              <w:rPr>
                <w:rFonts w:eastAsia="Times New Roman" w:cs="Arial"/>
                <w:b/>
                <w:bCs/>
                <w:color w:val="000000"/>
                <w:sz w:val="22"/>
                <w:lang w:eastAsia="en-GB"/>
              </w:rPr>
            </w:pPr>
          </w:p>
        </w:tc>
        <w:tc>
          <w:tcPr>
            <w:tcW w:w="1066" w:type="pct"/>
            <w:shd w:val="clear" w:color="auto" w:fill="auto"/>
            <w:noWrap/>
            <w:hideMark/>
          </w:tcPr>
          <w:p w14:paraId="515C21B2"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Any</w:t>
            </w:r>
          </w:p>
        </w:tc>
        <w:tc>
          <w:tcPr>
            <w:tcW w:w="3813" w:type="pct"/>
            <w:gridSpan w:val="2"/>
            <w:shd w:val="clear" w:color="auto" w:fill="auto"/>
            <w:hideMark/>
          </w:tcPr>
          <w:p w14:paraId="56857F75"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'Any' practice implies that a patient is classified according to all prescription items for which they have been identified. This view means that patient may appear to be longer term, or have fewer or shorter 'gaps' - where they have been using more than one prescribing organisation.</w:t>
            </w:r>
            <w:r w:rsidRPr="00A8608C">
              <w:rPr>
                <w:rFonts w:eastAsia="Times New Roman" w:cs="Arial"/>
                <w:color w:val="000000"/>
                <w:sz w:val="22"/>
                <w:lang w:eastAsia="en-GB"/>
              </w:rPr>
              <w:br/>
            </w:r>
            <w:r w:rsidRPr="00A8608C">
              <w:rPr>
                <w:rFonts w:eastAsia="Times New Roman" w:cs="Arial"/>
                <w:color w:val="000000"/>
                <w:sz w:val="22"/>
                <w:lang w:eastAsia="en-GB"/>
              </w:rPr>
              <w:br/>
            </w:r>
            <w:r w:rsidRPr="00A8608C">
              <w:rPr>
                <w:rFonts w:eastAsia="Times New Roman" w:cs="Arial"/>
                <w:b/>
                <w:bCs/>
                <w:color w:val="000000"/>
                <w:sz w:val="22"/>
                <w:lang w:eastAsia="en-GB"/>
              </w:rPr>
              <w:t xml:space="preserve">Under this classification patients where practice level data is reported, patients can appear only once, against the most recent 'GP practice' from which they have received a prescription for any of the products above in the reporting year. </w:t>
            </w:r>
            <w:r w:rsidRPr="00A8608C">
              <w:rPr>
                <w:rFonts w:eastAsia="Times New Roman" w:cs="Arial"/>
                <w:color w:val="000000"/>
                <w:sz w:val="22"/>
                <w:lang w:eastAsia="en-GB"/>
              </w:rPr>
              <w:br/>
              <w:t>This may mean that a patient who moves practice in December for example is not reported against the practice responsible for most of their prescriptions in the year.</w:t>
            </w:r>
            <w:r w:rsidRPr="00A8608C">
              <w:rPr>
                <w:rFonts w:eastAsia="Times New Roman" w:cs="Arial"/>
                <w:color w:val="000000"/>
                <w:sz w:val="22"/>
                <w:lang w:eastAsia="en-GB"/>
              </w:rPr>
              <w:br/>
            </w:r>
            <w:r w:rsidRPr="00A8608C">
              <w:rPr>
                <w:rFonts w:eastAsia="Times New Roman" w:cs="Arial"/>
                <w:color w:val="000000"/>
                <w:sz w:val="22"/>
                <w:lang w:eastAsia="en-GB"/>
              </w:rPr>
              <w:br/>
              <w:t>Data for patients with no identified GP prescribing in the period is not included.</w:t>
            </w:r>
          </w:p>
        </w:tc>
      </w:tr>
      <w:tr w:rsidR="006C52BF" w:rsidRPr="00A8608C" w14:paraId="60A5527B" w14:textId="77777777" w:rsidTr="008D3AFA">
        <w:trPr>
          <w:trHeight w:val="280"/>
        </w:trPr>
        <w:tc>
          <w:tcPr>
            <w:tcW w:w="120" w:type="pct"/>
            <w:shd w:val="clear" w:color="auto" w:fill="auto"/>
            <w:noWrap/>
            <w:hideMark/>
          </w:tcPr>
          <w:p w14:paraId="3623B410"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12BFAA2C"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noWrap/>
            <w:hideMark/>
          </w:tcPr>
          <w:p w14:paraId="5DF02416" w14:textId="77777777" w:rsidR="006C52BF" w:rsidRPr="00A8608C" w:rsidRDefault="006C52BF" w:rsidP="008D3AFA">
            <w:pPr>
              <w:spacing w:after="0" w:line="240" w:lineRule="auto"/>
              <w:rPr>
                <w:rFonts w:eastAsia="Times New Roman" w:cs="Arial"/>
                <w:sz w:val="22"/>
                <w:lang w:eastAsia="en-GB"/>
              </w:rPr>
            </w:pPr>
          </w:p>
        </w:tc>
      </w:tr>
      <w:tr w:rsidR="006C52BF" w:rsidRPr="00A8608C" w14:paraId="1BFCE76B" w14:textId="77777777" w:rsidTr="008D3AFA">
        <w:trPr>
          <w:trHeight w:val="3540"/>
        </w:trPr>
        <w:tc>
          <w:tcPr>
            <w:tcW w:w="120" w:type="pct"/>
            <w:shd w:val="clear" w:color="auto" w:fill="auto"/>
            <w:noWrap/>
            <w:hideMark/>
          </w:tcPr>
          <w:p w14:paraId="415A2781" w14:textId="77777777" w:rsidR="006C52BF" w:rsidRPr="00A8608C" w:rsidRDefault="006C52BF" w:rsidP="008D3AFA">
            <w:pPr>
              <w:spacing w:after="0" w:line="240" w:lineRule="auto"/>
              <w:rPr>
                <w:rFonts w:eastAsia="Times New Roman" w:cs="Arial"/>
                <w:sz w:val="22"/>
                <w:lang w:eastAsia="en-GB"/>
              </w:rPr>
            </w:pPr>
          </w:p>
        </w:tc>
        <w:tc>
          <w:tcPr>
            <w:tcW w:w="1066" w:type="pct"/>
            <w:shd w:val="clear" w:color="auto" w:fill="auto"/>
            <w:hideMark/>
          </w:tcPr>
          <w:p w14:paraId="3AAA4C24"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Within practice</w:t>
            </w:r>
          </w:p>
        </w:tc>
        <w:tc>
          <w:tcPr>
            <w:tcW w:w="3813" w:type="pct"/>
            <w:gridSpan w:val="2"/>
            <w:shd w:val="clear" w:color="auto" w:fill="auto"/>
            <w:hideMark/>
          </w:tcPr>
          <w:p w14:paraId="3237D779" w14:textId="77777777" w:rsidR="006C52BF"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 xml:space="preserve">This groups all data that has been identified against a patient within each GP practice. This means that a patient could meet the rest of the criteria for any one (or more) practices that prescribed to them in the period, but they are </w:t>
            </w:r>
            <w:r w:rsidRPr="00A8608C">
              <w:rPr>
                <w:rFonts w:eastAsia="Times New Roman" w:cs="Arial"/>
                <w:b/>
                <w:bCs/>
                <w:color w:val="000000"/>
                <w:sz w:val="22"/>
                <w:lang w:eastAsia="en-GB"/>
              </w:rPr>
              <w:t>ONLY</w:t>
            </w:r>
            <w:r w:rsidRPr="00A8608C">
              <w:rPr>
                <w:rFonts w:eastAsia="Times New Roman" w:cs="Arial"/>
                <w:color w:val="000000"/>
                <w:sz w:val="22"/>
                <w:lang w:eastAsia="en-GB"/>
              </w:rPr>
              <w:t xml:space="preserve"> flagged as meeting the criteria on the basis of data for each practice separately.</w:t>
            </w:r>
            <w:r w:rsidRPr="00A8608C">
              <w:rPr>
                <w:rFonts w:eastAsia="Times New Roman" w:cs="Arial"/>
                <w:color w:val="000000"/>
                <w:sz w:val="22"/>
                <w:lang w:eastAsia="en-GB"/>
              </w:rPr>
              <w:br/>
            </w:r>
            <w:r w:rsidRPr="00A8608C">
              <w:rPr>
                <w:rFonts w:eastAsia="Times New Roman" w:cs="Arial"/>
                <w:color w:val="000000"/>
                <w:sz w:val="22"/>
                <w:lang w:eastAsia="en-GB"/>
              </w:rPr>
              <w:br/>
              <w:t>This will exclude any prescribing from other prescribing organisations.</w:t>
            </w:r>
            <w:r w:rsidRPr="00A8608C">
              <w:rPr>
                <w:rFonts w:eastAsia="Times New Roman" w:cs="Arial"/>
                <w:color w:val="000000"/>
                <w:sz w:val="22"/>
                <w:lang w:eastAsia="en-GB"/>
              </w:rPr>
              <w:br/>
            </w:r>
            <w:r w:rsidRPr="00A8608C">
              <w:rPr>
                <w:rFonts w:eastAsia="Times New Roman" w:cs="Arial"/>
                <w:color w:val="000000"/>
                <w:sz w:val="22"/>
                <w:lang w:eastAsia="en-GB"/>
              </w:rPr>
              <w:br/>
              <w:t>This means a patient may appear to be 'shorter term' or have more or longer 'gaps' in prescribing, in periods when they have used more than one prescribing organisation. but this view corresponds to what a person analysing a practice might 'see' if only considering that practice's prescribing in isolation.</w:t>
            </w:r>
            <w:r w:rsidRPr="00A8608C">
              <w:rPr>
                <w:rFonts w:eastAsia="Times New Roman" w:cs="Arial"/>
                <w:color w:val="000000"/>
                <w:sz w:val="22"/>
                <w:lang w:eastAsia="en-GB"/>
              </w:rPr>
              <w:br/>
            </w:r>
            <w:r w:rsidRPr="00A8608C">
              <w:rPr>
                <w:rFonts w:eastAsia="Times New Roman" w:cs="Arial"/>
                <w:color w:val="000000"/>
                <w:sz w:val="22"/>
                <w:lang w:eastAsia="en-GB"/>
              </w:rPr>
              <w:br/>
              <w:t>Patients may be counted more than once, once for each practice within which they meet any criteria.</w:t>
            </w:r>
          </w:p>
          <w:p w14:paraId="235200FE" w14:textId="77777777" w:rsidR="006C52BF" w:rsidRPr="00A8608C" w:rsidRDefault="006C52BF" w:rsidP="008D3AFA">
            <w:pPr>
              <w:spacing w:after="0" w:line="240" w:lineRule="auto"/>
              <w:rPr>
                <w:rFonts w:eastAsia="Times New Roman" w:cs="Arial"/>
                <w:color w:val="000000"/>
                <w:sz w:val="22"/>
                <w:lang w:eastAsia="en-GB"/>
              </w:rPr>
            </w:pPr>
          </w:p>
        </w:tc>
      </w:tr>
      <w:tr w:rsidR="006C52BF" w:rsidRPr="00A8608C" w14:paraId="54302EDE" w14:textId="77777777" w:rsidTr="008D3AFA">
        <w:trPr>
          <w:trHeight w:val="3348"/>
        </w:trPr>
        <w:tc>
          <w:tcPr>
            <w:tcW w:w="1187" w:type="pct"/>
            <w:gridSpan w:val="2"/>
            <w:shd w:val="clear" w:color="auto" w:fill="auto"/>
            <w:noWrap/>
            <w:hideMark/>
          </w:tcPr>
          <w:p w14:paraId="5046B0DD" w14:textId="77777777" w:rsidR="006C52BF" w:rsidRPr="00A8608C" w:rsidRDefault="006C52BF" w:rsidP="008D3AFA">
            <w:pPr>
              <w:spacing w:after="0" w:line="240" w:lineRule="auto"/>
              <w:jc w:val="right"/>
              <w:rPr>
                <w:rFonts w:eastAsia="Times New Roman" w:cs="Arial"/>
                <w:color w:val="000000"/>
                <w:sz w:val="22"/>
                <w:lang w:eastAsia="en-GB"/>
              </w:rPr>
            </w:pPr>
            <w:r w:rsidRPr="00A8608C">
              <w:rPr>
                <w:rFonts w:eastAsia="Times New Roman" w:cs="Arial"/>
                <w:color w:val="000000"/>
                <w:sz w:val="22"/>
                <w:lang w:eastAsia="en-GB"/>
              </w:rPr>
              <w:t>Organisation breakdowns</w:t>
            </w:r>
          </w:p>
        </w:tc>
        <w:tc>
          <w:tcPr>
            <w:tcW w:w="3813" w:type="pct"/>
            <w:gridSpan w:val="2"/>
            <w:shd w:val="clear" w:color="auto" w:fill="auto"/>
            <w:hideMark/>
          </w:tcPr>
          <w:p w14:paraId="42FBE294"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National and by GP practice.</w:t>
            </w:r>
            <w:r w:rsidRPr="00A8608C">
              <w:rPr>
                <w:rFonts w:eastAsia="Times New Roman" w:cs="Arial"/>
                <w:color w:val="000000"/>
                <w:sz w:val="22"/>
                <w:lang w:eastAsia="en-GB"/>
              </w:rPr>
              <w:br/>
            </w:r>
            <w:r w:rsidRPr="00A8608C">
              <w:rPr>
                <w:rFonts w:eastAsia="Times New Roman" w:cs="Arial"/>
                <w:color w:val="000000"/>
                <w:sz w:val="22"/>
                <w:lang w:eastAsia="en-GB"/>
              </w:rPr>
              <w:br/>
              <w:t>GP Practice has been reported using  the 'Any practice' classification  along with intermediate levels of NHS hierarchy based on the current structure. But older practices that have closed may still be mapped to older parent organisations.</w:t>
            </w:r>
            <w:r w:rsidRPr="00A8608C">
              <w:rPr>
                <w:rFonts w:eastAsia="Times New Roman" w:cs="Arial"/>
                <w:color w:val="000000"/>
                <w:sz w:val="22"/>
                <w:lang w:eastAsia="en-GB"/>
              </w:rPr>
              <w:br/>
            </w:r>
            <w:r w:rsidRPr="00A8608C">
              <w:rPr>
                <w:rFonts w:eastAsia="Times New Roman" w:cs="Arial"/>
                <w:color w:val="000000"/>
                <w:sz w:val="22"/>
                <w:lang w:eastAsia="en-GB"/>
              </w:rPr>
              <w:br/>
              <w:t>Patients have been assigned to the most recent practice that prescribed them Oral NSAIDs in the year in question. Where there was more than one practice the one with the highest, Items, then NIC, then alphabetically by code has been selected.</w:t>
            </w:r>
            <w:r w:rsidRPr="00A8608C">
              <w:rPr>
                <w:rFonts w:eastAsia="Times New Roman" w:cs="Arial"/>
                <w:color w:val="000000"/>
                <w:sz w:val="22"/>
                <w:lang w:eastAsia="en-GB"/>
              </w:rPr>
              <w:br/>
            </w:r>
            <w:r w:rsidRPr="00A8608C">
              <w:rPr>
                <w:rFonts w:eastAsia="Times New Roman" w:cs="Arial"/>
                <w:color w:val="000000"/>
                <w:sz w:val="22"/>
                <w:lang w:eastAsia="en-GB"/>
              </w:rPr>
              <w:br/>
              <w:t>This data can be aggregated to higher levels of the organisation structure.</w:t>
            </w:r>
          </w:p>
        </w:tc>
      </w:tr>
      <w:tr w:rsidR="006C52BF" w:rsidRPr="00A8608C" w14:paraId="573A038D" w14:textId="77777777" w:rsidTr="008D3AFA">
        <w:trPr>
          <w:trHeight w:val="280"/>
        </w:trPr>
        <w:tc>
          <w:tcPr>
            <w:tcW w:w="120" w:type="pct"/>
            <w:shd w:val="clear" w:color="auto" w:fill="auto"/>
            <w:noWrap/>
            <w:hideMark/>
          </w:tcPr>
          <w:p w14:paraId="5782D217" w14:textId="77777777" w:rsidR="006C52BF" w:rsidRPr="00A8608C" w:rsidRDefault="006C52BF" w:rsidP="008D3AFA">
            <w:pPr>
              <w:spacing w:after="0" w:line="240" w:lineRule="auto"/>
              <w:rPr>
                <w:rFonts w:eastAsia="Times New Roman" w:cs="Arial"/>
                <w:sz w:val="22"/>
                <w:lang w:eastAsia="en-GB"/>
              </w:rPr>
            </w:pPr>
          </w:p>
        </w:tc>
        <w:tc>
          <w:tcPr>
            <w:tcW w:w="1066" w:type="pct"/>
            <w:shd w:val="clear" w:color="auto" w:fill="auto"/>
            <w:noWrap/>
            <w:hideMark/>
          </w:tcPr>
          <w:p w14:paraId="50C29538"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noWrap/>
            <w:hideMark/>
          </w:tcPr>
          <w:p w14:paraId="53E36F84" w14:textId="77777777" w:rsidR="006C52BF" w:rsidRPr="00A8608C" w:rsidRDefault="006C52BF" w:rsidP="008D3AFA">
            <w:pPr>
              <w:spacing w:after="0" w:line="240" w:lineRule="auto"/>
              <w:rPr>
                <w:rFonts w:eastAsia="Times New Roman" w:cs="Arial"/>
                <w:sz w:val="22"/>
                <w:lang w:eastAsia="en-GB"/>
              </w:rPr>
            </w:pPr>
          </w:p>
        </w:tc>
      </w:tr>
      <w:tr w:rsidR="006C52BF" w:rsidRPr="00A8608C" w14:paraId="22985383" w14:textId="77777777" w:rsidTr="008D3AFA">
        <w:trPr>
          <w:trHeight w:val="280"/>
        </w:trPr>
        <w:tc>
          <w:tcPr>
            <w:tcW w:w="1187" w:type="pct"/>
            <w:gridSpan w:val="2"/>
            <w:shd w:val="clear" w:color="auto" w:fill="auto"/>
            <w:noWrap/>
            <w:hideMark/>
          </w:tcPr>
          <w:p w14:paraId="67A727F0" w14:textId="77777777" w:rsidR="006C52BF" w:rsidRPr="00A8608C" w:rsidRDefault="006C52BF" w:rsidP="008D3AFA">
            <w:pPr>
              <w:spacing w:after="0" w:line="240" w:lineRule="auto"/>
              <w:rPr>
                <w:rFonts w:eastAsia="Times New Roman" w:cs="Arial"/>
                <w:b/>
                <w:bCs/>
                <w:color w:val="000000"/>
                <w:sz w:val="22"/>
                <w:lang w:eastAsia="en-GB"/>
              </w:rPr>
            </w:pPr>
            <w:r w:rsidRPr="00A8608C">
              <w:rPr>
                <w:rFonts w:eastAsia="Times New Roman" w:cs="Arial"/>
                <w:b/>
                <w:bCs/>
                <w:color w:val="000000"/>
                <w:sz w:val="22"/>
                <w:lang w:eastAsia="en-GB"/>
              </w:rPr>
              <w:t>Identified patient counts</w:t>
            </w:r>
          </w:p>
        </w:tc>
        <w:tc>
          <w:tcPr>
            <w:tcW w:w="3813" w:type="pct"/>
            <w:gridSpan w:val="2"/>
            <w:shd w:val="clear" w:color="auto" w:fill="auto"/>
            <w:noWrap/>
            <w:hideMark/>
          </w:tcPr>
          <w:p w14:paraId="12B41BB9" w14:textId="77777777" w:rsidR="006C52BF" w:rsidRPr="00A8608C" w:rsidRDefault="006C52BF" w:rsidP="008D3AFA">
            <w:pPr>
              <w:spacing w:after="0" w:line="240" w:lineRule="auto"/>
              <w:rPr>
                <w:rFonts w:eastAsia="Times New Roman" w:cs="Arial"/>
                <w:b/>
                <w:bCs/>
                <w:color w:val="000000"/>
                <w:sz w:val="22"/>
                <w:lang w:eastAsia="en-GB"/>
              </w:rPr>
            </w:pPr>
          </w:p>
        </w:tc>
      </w:tr>
      <w:tr w:rsidR="006C52BF" w:rsidRPr="00A8608C" w14:paraId="0FCBF8EA" w14:textId="77777777" w:rsidTr="008D3AFA">
        <w:trPr>
          <w:trHeight w:val="1120"/>
        </w:trPr>
        <w:tc>
          <w:tcPr>
            <w:tcW w:w="120" w:type="pct"/>
            <w:shd w:val="clear" w:color="auto" w:fill="auto"/>
            <w:noWrap/>
            <w:hideMark/>
          </w:tcPr>
          <w:p w14:paraId="48C8911F" w14:textId="77777777" w:rsidR="006C52BF" w:rsidRPr="00A8608C" w:rsidRDefault="006C52BF" w:rsidP="008D3AFA">
            <w:pPr>
              <w:spacing w:after="0" w:line="240" w:lineRule="auto"/>
              <w:rPr>
                <w:rFonts w:eastAsia="Times New Roman" w:cs="Arial"/>
                <w:sz w:val="22"/>
                <w:lang w:eastAsia="en-GB"/>
              </w:rPr>
            </w:pPr>
          </w:p>
        </w:tc>
        <w:tc>
          <w:tcPr>
            <w:tcW w:w="4880" w:type="pct"/>
            <w:gridSpan w:val="3"/>
            <w:shd w:val="clear" w:color="auto" w:fill="auto"/>
            <w:noWrap/>
            <w:hideMark/>
          </w:tcPr>
          <w:p w14:paraId="51742582" w14:textId="77777777" w:rsidR="006C52BF"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Patients data is based on where an NHS Number has been identified for a patient, this is based on Electronic Prescription Service (EPS) messages or paper forms scanned by machine.</w:t>
            </w:r>
            <w:r w:rsidRPr="00A8608C">
              <w:rPr>
                <w:rFonts w:eastAsia="Times New Roman" w:cs="Arial"/>
                <w:color w:val="000000"/>
                <w:sz w:val="22"/>
                <w:lang w:eastAsia="en-GB"/>
              </w:rPr>
              <w:br/>
              <w:t>A patient cannot always be identified for an item. The number of unidentified items is shows in the sheet 'unidentified items' this can change a little over time, as the mix of prescribers using EPS changes.</w:t>
            </w:r>
          </w:p>
          <w:p w14:paraId="6FCFBE7F" w14:textId="77777777" w:rsidR="006C52BF" w:rsidRPr="00A8608C" w:rsidRDefault="006C52BF" w:rsidP="008D3AFA">
            <w:pPr>
              <w:spacing w:after="0" w:line="240" w:lineRule="auto"/>
              <w:rPr>
                <w:rFonts w:eastAsia="Times New Roman" w:cs="Arial"/>
                <w:color w:val="000000"/>
                <w:sz w:val="22"/>
                <w:lang w:eastAsia="en-GB"/>
              </w:rPr>
            </w:pPr>
          </w:p>
        </w:tc>
      </w:tr>
      <w:tr w:rsidR="006C52BF" w:rsidRPr="00A8608C" w14:paraId="59ACB965" w14:textId="77777777" w:rsidTr="008D3AFA">
        <w:trPr>
          <w:trHeight w:val="560"/>
        </w:trPr>
        <w:tc>
          <w:tcPr>
            <w:tcW w:w="120" w:type="pct"/>
            <w:shd w:val="clear" w:color="auto" w:fill="auto"/>
            <w:noWrap/>
            <w:hideMark/>
          </w:tcPr>
          <w:p w14:paraId="1F18D657" w14:textId="77777777" w:rsidR="006C52BF" w:rsidRPr="00A8608C" w:rsidRDefault="006C52BF" w:rsidP="008D3AFA">
            <w:pPr>
              <w:spacing w:after="0" w:line="240" w:lineRule="auto"/>
              <w:rPr>
                <w:rFonts w:eastAsia="Times New Roman" w:cs="Arial"/>
                <w:color w:val="000000"/>
                <w:sz w:val="22"/>
                <w:lang w:eastAsia="en-GB"/>
              </w:rPr>
            </w:pPr>
          </w:p>
        </w:tc>
        <w:tc>
          <w:tcPr>
            <w:tcW w:w="4880" w:type="pct"/>
            <w:gridSpan w:val="3"/>
            <w:shd w:val="clear" w:color="auto" w:fill="auto"/>
            <w:noWrap/>
            <w:hideMark/>
          </w:tcPr>
          <w:p w14:paraId="16E39D54" w14:textId="77777777" w:rsidR="006C52BF"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Unidentified items' could have been prescribed to patients who have been identified in some cases, which could potentially cause apparent gaps in prescribing history.</w:t>
            </w:r>
          </w:p>
          <w:p w14:paraId="35174B33" w14:textId="77777777" w:rsidR="006C52BF" w:rsidRPr="00A8608C" w:rsidRDefault="006C52BF" w:rsidP="008D3AFA">
            <w:pPr>
              <w:spacing w:after="0" w:line="240" w:lineRule="auto"/>
              <w:rPr>
                <w:rFonts w:eastAsia="Times New Roman" w:cs="Arial"/>
                <w:color w:val="000000"/>
                <w:sz w:val="22"/>
                <w:lang w:eastAsia="en-GB"/>
              </w:rPr>
            </w:pPr>
          </w:p>
        </w:tc>
      </w:tr>
      <w:tr w:rsidR="006C52BF" w:rsidRPr="00A8608C" w14:paraId="21FF23E3" w14:textId="77777777" w:rsidTr="008D3AFA">
        <w:trPr>
          <w:trHeight w:val="560"/>
        </w:trPr>
        <w:tc>
          <w:tcPr>
            <w:tcW w:w="120" w:type="pct"/>
            <w:shd w:val="clear" w:color="auto" w:fill="auto"/>
            <w:noWrap/>
            <w:hideMark/>
          </w:tcPr>
          <w:p w14:paraId="525137AC" w14:textId="77777777" w:rsidR="006C52BF" w:rsidRPr="00A8608C" w:rsidRDefault="006C52BF" w:rsidP="008D3AFA">
            <w:pPr>
              <w:spacing w:after="0" w:line="240" w:lineRule="auto"/>
              <w:rPr>
                <w:rFonts w:eastAsia="Times New Roman" w:cs="Arial"/>
                <w:color w:val="000000"/>
                <w:sz w:val="22"/>
                <w:lang w:eastAsia="en-GB"/>
              </w:rPr>
            </w:pPr>
          </w:p>
        </w:tc>
        <w:tc>
          <w:tcPr>
            <w:tcW w:w="4880" w:type="pct"/>
            <w:gridSpan w:val="3"/>
            <w:shd w:val="clear" w:color="auto" w:fill="auto"/>
            <w:noWrap/>
            <w:hideMark/>
          </w:tcPr>
          <w:p w14:paraId="10D1B57A" w14:textId="77777777" w:rsidR="006C52BF"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As this data only includes prescriptions dispensed in the community, and prescribing that was dispensed within NHS Trusts, prisons, outside of England will also give rise to apparent gaps in prescribing history.</w:t>
            </w:r>
          </w:p>
          <w:p w14:paraId="582BC3B0" w14:textId="77777777" w:rsidR="006C52BF" w:rsidRPr="00A8608C" w:rsidRDefault="006C52BF" w:rsidP="008D3AFA">
            <w:pPr>
              <w:spacing w:after="0" w:line="240" w:lineRule="auto"/>
              <w:rPr>
                <w:rFonts w:eastAsia="Times New Roman" w:cs="Arial"/>
                <w:color w:val="000000"/>
                <w:sz w:val="22"/>
                <w:lang w:eastAsia="en-GB"/>
              </w:rPr>
            </w:pPr>
          </w:p>
        </w:tc>
      </w:tr>
      <w:tr w:rsidR="006C52BF" w:rsidRPr="00A8608C" w14:paraId="364CEB31" w14:textId="77777777" w:rsidTr="008D3AFA">
        <w:trPr>
          <w:trHeight w:val="865"/>
        </w:trPr>
        <w:tc>
          <w:tcPr>
            <w:tcW w:w="120" w:type="pct"/>
            <w:shd w:val="clear" w:color="auto" w:fill="auto"/>
            <w:noWrap/>
            <w:hideMark/>
          </w:tcPr>
          <w:p w14:paraId="541072FC" w14:textId="77777777" w:rsidR="006C52BF" w:rsidRPr="00A8608C" w:rsidRDefault="006C52BF" w:rsidP="008D3AFA">
            <w:pPr>
              <w:spacing w:after="0" w:line="240" w:lineRule="auto"/>
              <w:rPr>
                <w:rFonts w:eastAsia="Times New Roman" w:cs="Arial"/>
                <w:color w:val="000000"/>
                <w:sz w:val="22"/>
                <w:lang w:eastAsia="en-GB"/>
              </w:rPr>
            </w:pPr>
          </w:p>
        </w:tc>
        <w:tc>
          <w:tcPr>
            <w:tcW w:w="4880" w:type="pct"/>
            <w:gridSpan w:val="3"/>
            <w:shd w:val="clear" w:color="auto" w:fill="auto"/>
            <w:noWrap/>
            <w:hideMark/>
          </w:tcPr>
          <w:p w14:paraId="16181E3E"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Data on items prescribed in England but dispensed in other parts of the UK has been included, but it is not common for patients to be identified using this data.</w:t>
            </w:r>
          </w:p>
        </w:tc>
      </w:tr>
      <w:tr w:rsidR="006C52BF" w:rsidRPr="00A8608C" w14:paraId="6127361F" w14:textId="77777777" w:rsidTr="008D3AFA">
        <w:trPr>
          <w:trHeight w:val="280"/>
        </w:trPr>
        <w:tc>
          <w:tcPr>
            <w:tcW w:w="120" w:type="pct"/>
            <w:shd w:val="clear" w:color="auto" w:fill="auto"/>
            <w:noWrap/>
            <w:hideMark/>
          </w:tcPr>
          <w:p w14:paraId="3FE79942"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32EF4661"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hideMark/>
          </w:tcPr>
          <w:p w14:paraId="206BC311" w14:textId="77777777" w:rsidR="006C52BF" w:rsidRPr="00A8608C" w:rsidRDefault="006C52BF" w:rsidP="008D3AFA">
            <w:pPr>
              <w:spacing w:after="0" w:line="240" w:lineRule="auto"/>
              <w:rPr>
                <w:rFonts w:eastAsia="Times New Roman" w:cs="Arial"/>
                <w:sz w:val="22"/>
                <w:lang w:eastAsia="en-GB"/>
              </w:rPr>
            </w:pPr>
          </w:p>
        </w:tc>
      </w:tr>
      <w:tr w:rsidR="006C52BF" w:rsidRPr="00A8608C" w14:paraId="2E7BBA06" w14:textId="77777777" w:rsidTr="008D3AFA">
        <w:trPr>
          <w:trHeight w:val="6253"/>
        </w:trPr>
        <w:tc>
          <w:tcPr>
            <w:tcW w:w="1187" w:type="pct"/>
            <w:gridSpan w:val="2"/>
            <w:shd w:val="clear" w:color="auto" w:fill="auto"/>
            <w:noWrap/>
            <w:hideMark/>
          </w:tcPr>
          <w:p w14:paraId="38542006" w14:textId="77777777" w:rsidR="006C52BF" w:rsidRPr="00A8608C" w:rsidRDefault="006C52BF" w:rsidP="008D3AFA">
            <w:pPr>
              <w:spacing w:after="0" w:line="240" w:lineRule="auto"/>
              <w:rPr>
                <w:rFonts w:eastAsia="Times New Roman" w:cs="Arial"/>
                <w:b/>
                <w:bCs/>
                <w:color w:val="000000"/>
                <w:sz w:val="22"/>
                <w:lang w:eastAsia="en-GB"/>
              </w:rPr>
            </w:pPr>
            <w:r w:rsidRPr="00A8608C">
              <w:rPr>
                <w:rFonts w:eastAsia="Times New Roman" w:cs="Arial"/>
                <w:b/>
                <w:bCs/>
                <w:color w:val="000000"/>
                <w:sz w:val="22"/>
                <w:lang w:eastAsia="en-GB"/>
              </w:rPr>
              <w:t>Age group</w:t>
            </w:r>
          </w:p>
        </w:tc>
        <w:tc>
          <w:tcPr>
            <w:tcW w:w="3813" w:type="pct"/>
            <w:gridSpan w:val="2"/>
            <w:shd w:val="clear" w:color="auto" w:fill="auto"/>
            <w:hideMark/>
          </w:tcPr>
          <w:p w14:paraId="0E5D5B14"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 xml:space="preserve">Patient ages have been grouped according to the youngest age within the reporting period from all that were read from a prescription form for any of the products included in the drug list. </w:t>
            </w:r>
            <w:r w:rsidRPr="00A8608C">
              <w:rPr>
                <w:rFonts w:eastAsia="Times New Roman" w:cs="Arial"/>
                <w:color w:val="000000"/>
                <w:sz w:val="22"/>
                <w:lang w:eastAsia="en-GB"/>
              </w:rPr>
              <w:br/>
            </w:r>
            <w:r w:rsidRPr="00A8608C">
              <w:rPr>
                <w:rFonts w:eastAsia="Times New Roman" w:cs="Arial"/>
                <w:color w:val="000000"/>
                <w:sz w:val="22"/>
                <w:lang w:eastAsia="en-GB"/>
              </w:rPr>
              <w:br/>
              <w:t>Note that all prescriptions made to a patient aged 17 or under have been excluded, so patients aged 17 at the start of the year, will be included as age 18.</w:t>
            </w:r>
            <w:r w:rsidRPr="00A8608C">
              <w:rPr>
                <w:rFonts w:eastAsia="Times New Roman" w:cs="Arial"/>
                <w:color w:val="000000"/>
                <w:sz w:val="22"/>
                <w:lang w:eastAsia="en-GB"/>
              </w:rPr>
              <w:br/>
            </w:r>
            <w:r w:rsidRPr="00A8608C">
              <w:rPr>
                <w:rFonts w:eastAsia="Times New Roman" w:cs="Arial"/>
                <w:color w:val="000000"/>
                <w:sz w:val="22"/>
                <w:lang w:eastAsia="en-GB"/>
              </w:rPr>
              <w:br/>
              <w:t xml:space="preserve">Age cannot always be derived from scanned prescription images and NHSBSA uses other information in some cases, details of this are here https://www.nhsbsa.nhs.uk/sites/default/files/2018-02/180115%20Age%20Logic%20Summary%20Flow%20Chart%20-%20Revised%20Layout.pdf  </w:t>
            </w:r>
            <w:r w:rsidRPr="00A8608C">
              <w:rPr>
                <w:rFonts w:eastAsia="Times New Roman" w:cs="Arial"/>
                <w:color w:val="000000"/>
                <w:sz w:val="22"/>
                <w:lang w:eastAsia="en-GB"/>
              </w:rPr>
              <w:br/>
            </w:r>
            <w:r w:rsidRPr="00A8608C">
              <w:rPr>
                <w:rFonts w:eastAsia="Times New Roman" w:cs="Arial"/>
                <w:color w:val="000000"/>
                <w:sz w:val="22"/>
                <w:lang w:eastAsia="en-GB"/>
              </w:rPr>
              <w:br/>
              <w:t>Prescription information where an NHS Number was identified but the age was not  are included in the rows labelled 'age unknown'. Prior analysis has found that one of the leading causes of an unidentified age is where it has been written in a way that includes months, this is more likely to occur for younger age groups.</w:t>
            </w:r>
            <w:r w:rsidRPr="00A8608C">
              <w:rPr>
                <w:rFonts w:eastAsia="Times New Roman" w:cs="Arial"/>
                <w:color w:val="000000"/>
                <w:sz w:val="22"/>
                <w:lang w:eastAsia="en-GB"/>
              </w:rPr>
              <w:br/>
            </w:r>
            <w:r w:rsidRPr="00A8608C">
              <w:rPr>
                <w:rFonts w:eastAsia="Times New Roman" w:cs="Arial"/>
                <w:color w:val="000000"/>
                <w:sz w:val="22"/>
                <w:lang w:eastAsia="en-GB"/>
              </w:rPr>
              <w:br/>
              <w:t>Prescription Items from forms for which an age was successfully scanned but for whom a NHS_NUMBER was not identified have not been included in the main tables - these are included in the 'unidentified items' worksheet.</w:t>
            </w:r>
            <w:r w:rsidRPr="00A8608C">
              <w:rPr>
                <w:rFonts w:eastAsia="Times New Roman" w:cs="Arial"/>
                <w:color w:val="000000"/>
                <w:sz w:val="22"/>
                <w:lang w:eastAsia="en-GB"/>
              </w:rPr>
              <w:br/>
            </w:r>
            <w:r w:rsidRPr="00A8608C">
              <w:rPr>
                <w:rFonts w:eastAsia="Times New Roman" w:cs="Arial"/>
                <w:color w:val="000000"/>
                <w:sz w:val="22"/>
                <w:lang w:eastAsia="en-GB"/>
              </w:rPr>
              <w:br/>
              <w:t>Ages have been grouped into the following bands:</w:t>
            </w:r>
            <w:r w:rsidRPr="00A8608C">
              <w:rPr>
                <w:rFonts w:eastAsia="Times New Roman" w:cs="Arial"/>
                <w:color w:val="000000"/>
                <w:sz w:val="22"/>
                <w:lang w:eastAsia="en-GB"/>
              </w:rPr>
              <w:br/>
              <w:t xml:space="preserve"> - 18 to 29, 30 to 39, 40 to 49, 50 to 59, 60 to 69, 70 to 79, 80 to 89, 90 and over</w:t>
            </w:r>
            <w:r w:rsidRPr="00A8608C">
              <w:rPr>
                <w:rFonts w:eastAsia="Times New Roman" w:cs="Arial"/>
                <w:color w:val="000000"/>
                <w:sz w:val="22"/>
                <w:lang w:eastAsia="en-GB"/>
              </w:rPr>
              <w:br/>
              <w:t>And</w:t>
            </w:r>
            <w:r w:rsidRPr="00A8608C">
              <w:rPr>
                <w:rFonts w:eastAsia="Times New Roman" w:cs="Arial"/>
                <w:color w:val="000000"/>
                <w:sz w:val="22"/>
                <w:lang w:eastAsia="en-GB"/>
              </w:rPr>
              <w:br/>
              <w:t xml:space="preserve"> - 18 to 64 and 65 and over</w:t>
            </w:r>
          </w:p>
        </w:tc>
      </w:tr>
      <w:tr w:rsidR="006C52BF" w:rsidRPr="00A8608C" w14:paraId="1A5A45D0" w14:textId="77777777" w:rsidTr="008D3AFA">
        <w:trPr>
          <w:trHeight w:val="515"/>
        </w:trPr>
        <w:tc>
          <w:tcPr>
            <w:tcW w:w="120" w:type="pct"/>
            <w:shd w:val="clear" w:color="auto" w:fill="auto"/>
            <w:noWrap/>
            <w:hideMark/>
          </w:tcPr>
          <w:p w14:paraId="5B9C5504"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17765651"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hideMark/>
          </w:tcPr>
          <w:p w14:paraId="31DA2F6D"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Note that for "within" practice analysis if a patient appears in more than one practice, it is possible they will also appear with different ages (based on the minimum within each practice).</w:t>
            </w:r>
          </w:p>
        </w:tc>
      </w:tr>
      <w:tr w:rsidR="006C52BF" w:rsidRPr="00A8608C" w14:paraId="250577BE" w14:textId="77777777" w:rsidTr="008D3AFA">
        <w:trPr>
          <w:trHeight w:val="289"/>
        </w:trPr>
        <w:tc>
          <w:tcPr>
            <w:tcW w:w="120" w:type="pct"/>
            <w:shd w:val="clear" w:color="auto" w:fill="auto"/>
            <w:noWrap/>
            <w:hideMark/>
          </w:tcPr>
          <w:p w14:paraId="1434EE8B"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4DB003E4"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hideMark/>
          </w:tcPr>
          <w:p w14:paraId="749220E9" w14:textId="77777777" w:rsidR="006C52BF" w:rsidRPr="00A8608C" w:rsidRDefault="006C52BF" w:rsidP="008D3AFA">
            <w:pPr>
              <w:spacing w:after="0" w:line="240" w:lineRule="auto"/>
              <w:rPr>
                <w:rFonts w:eastAsia="Times New Roman" w:cs="Arial"/>
                <w:sz w:val="22"/>
                <w:lang w:eastAsia="en-GB"/>
              </w:rPr>
            </w:pPr>
          </w:p>
        </w:tc>
      </w:tr>
      <w:tr w:rsidR="006C52BF" w:rsidRPr="00A8608C" w14:paraId="37999622" w14:textId="77777777" w:rsidTr="008D3AFA">
        <w:trPr>
          <w:trHeight w:val="2675"/>
        </w:trPr>
        <w:tc>
          <w:tcPr>
            <w:tcW w:w="1187" w:type="pct"/>
            <w:gridSpan w:val="2"/>
            <w:shd w:val="clear" w:color="auto" w:fill="auto"/>
            <w:noWrap/>
            <w:hideMark/>
          </w:tcPr>
          <w:p w14:paraId="5DCF797B" w14:textId="77777777" w:rsidR="006C52BF" w:rsidRPr="00A8608C" w:rsidRDefault="006C52BF" w:rsidP="008D3AFA">
            <w:pPr>
              <w:spacing w:after="0" w:line="240" w:lineRule="auto"/>
              <w:rPr>
                <w:rFonts w:eastAsia="Times New Roman" w:cs="Arial"/>
                <w:b/>
                <w:bCs/>
                <w:color w:val="000000"/>
                <w:sz w:val="22"/>
                <w:lang w:eastAsia="en-GB"/>
              </w:rPr>
            </w:pPr>
            <w:r w:rsidRPr="00A8608C">
              <w:rPr>
                <w:rFonts w:eastAsia="Times New Roman" w:cs="Arial"/>
                <w:b/>
                <w:bCs/>
                <w:color w:val="000000"/>
                <w:sz w:val="22"/>
                <w:lang w:eastAsia="en-GB"/>
              </w:rPr>
              <w:t>Durations</w:t>
            </w:r>
          </w:p>
        </w:tc>
        <w:tc>
          <w:tcPr>
            <w:tcW w:w="3813" w:type="pct"/>
            <w:gridSpan w:val="2"/>
            <w:shd w:val="clear" w:color="auto" w:fill="auto"/>
            <w:hideMark/>
          </w:tcPr>
          <w:p w14:paraId="7B744C21"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 xml:space="preserve">To classify patients by their history, each patient and month is considered separately. So for 2019 for example each patient may have up to 12 separate 24 month histories, each history is summarised by the count of the number of distinct months (from 1 to 24) in which the patient was prescribed Oral NSAIDs. This means that in any given year </w:t>
            </w:r>
            <w:r w:rsidRPr="00A8608C">
              <w:rPr>
                <w:rFonts w:eastAsia="Times New Roman" w:cs="Arial"/>
                <w:color w:val="000000"/>
                <w:sz w:val="22"/>
                <w:lang w:eastAsia="en-GB"/>
              </w:rPr>
              <w:br/>
              <w:t>The overall history for a patient in a year is summarised by the maximum number of months for any month in the reporting year.</w:t>
            </w:r>
            <w:r w:rsidRPr="00A8608C">
              <w:rPr>
                <w:rFonts w:eastAsia="Times New Roman" w:cs="Arial"/>
                <w:color w:val="000000"/>
                <w:sz w:val="22"/>
                <w:lang w:eastAsia="en-GB"/>
              </w:rPr>
              <w:br/>
              <w:t>For example a patient may have had 7 months of prescribing in the 24 months to January 2019, but by December 2019 that value may have increased to 13. The higher number has been used to classify the patient in that year.</w:t>
            </w:r>
          </w:p>
        </w:tc>
      </w:tr>
      <w:tr w:rsidR="006C52BF" w:rsidRPr="00A8608C" w14:paraId="056C9906" w14:textId="77777777" w:rsidTr="008D3AFA">
        <w:trPr>
          <w:trHeight w:val="709"/>
        </w:trPr>
        <w:tc>
          <w:tcPr>
            <w:tcW w:w="120" w:type="pct"/>
            <w:shd w:val="clear" w:color="auto" w:fill="auto"/>
            <w:noWrap/>
            <w:hideMark/>
          </w:tcPr>
          <w:p w14:paraId="1A2171D7"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101916A1"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hideMark/>
          </w:tcPr>
          <w:p w14:paraId="2D85E9F1"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To calculate durations of combinations of Oral NSAID with ACEI_ARB and Diuretics, we first establish that the patient had 12 or month months of prescribing of Oral NSAID in the previous 24 months - at some point in the year.</w:t>
            </w:r>
            <w:r w:rsidRPr="00A8608C">
              <w:rPr>
                <w:rFonts w:eastAsia="Times New Roman" w:cs="Arial"/>
                <w:color w:val="000000"/>
                <w:sz w:val="22"/>
                <w:lang w:eastAsia="en-GB"/>
              </w:rPr>
              <w:br/>
              <w:t>Then for those patients the maximum number of months in which they had all three medicine groups is counted. This maximum may occur in a different month in the reporting year.</w:t>
            </w:r>
          </w:p>
        </w:tc>
      </w:tr>
      <w:tr w:rsidR="006C52BF" w:rsidRPr="00A8608C" w14:paraId="35265CBC" w14:textId="77777777" w:rsidTr="008D3AFA">
        <w:trPr>
          <w:trHeight w:val="294"/>
        </w:trPr>
        <w:tc>
          <w:tcPr>
            <w:tcW w:w="120" w:type="pct"/>
            <w:shd w:val="clear" w:color="auto" w:fill="auto"/>
            <w:noWrap/>
            <w:hideMark/>
          </w:tcPr>
          <w:p w14:paraId="32371FD2" w14:textId="77777777" w:rsidR="006C52BF" w:rsidRPr="00A8608C" w:rsidRDefault="006C52BF" w:rsidP="008D3AFA">
            <w:pPr>
              <w:spacing w:after="0" w:line="240" w:lineRule="auto"/>
              <w:rPr>
                <w:rFonts w:eastAsia="Times New Roman" w:cs="Arial"/>
                <w:color w:val="000000"/>
                <w:sz w:val="22"/>
                <w:lang w:eastAsia="en-GB"/>
              </w:rPr>
            </w:pPr>
          </w:p>
        </w:tc>
        <w:tc>
          <w:tcPr>
            <w:tcW w:w="1066" w:type="pct"/>
            <w:shd w:val="clear" w:color="auto" w:fill="auto"/>
            <w:noWrap/>
            <w:hideMark/>
          </w:tcPr>
          <w:p w14:paraId="07CC8E50"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hideMark/>
          </w:tcPr>
          <w:p w14:paraId="4D7C506E" w14:textId="77777777" w:rsidR="006C52BF" w:rsidRPr="00A8608C" w:rsidRDefault="006C52BF" w:rsidP="008D3AFA">
            <w:pPr>
              <w:spacing w:after="0" w:line="240" w:lineRule="auto"/>
              <w:rPr>
                <w:rFonts w:eastAsia="Times New Roman" w:cs="Arial"/>
                <w:sz w:val="22"/>
                <w:lang w:eastAsia="en-GB"/>
              </w:rPr>
            </w:pPr>
          </w:p>
        </w:tc>
      </w:tr>
      <w:tr w:rsidR="006C52BF" w:rsidRPr="00A8608C" w14:paraId="545A7812" w14:textId="77777777" w:rsidTr="008D3AFA">
        <w:trPr>
          <w:trHeight w:val="288"/>
        </w:trPr>
        <w:tc>
          <w:tcPr>
            <w:tcW w:w="1187" w:type="pct"/>
            <w:gridSpan w:val="2"/>
            <w:shd w:val="clear" w:color="auto" w:fill="auto"/>
            <w:noWrap/>
            <w:hideMark/>
          </w:tcPr>
          <w:p w14:paraId="1BC06ACC" w14:textId="77777777" w:rsidR="006C52BF" w:rsidRPr="00A8608C" w:rsidRDefault="006C52BF" w:rsidP="008D3AFA">
            <w:pPr>
              <w:spacing w:after="0" w:line="240" w:lineRule="auto"/>
              <w:rPr>
                <w:rFonts w:eastAsia="Times New Roman" w:cs="Arial"/>
                <w:b/>
                <w:bCs/>
                <w:color w:val="000000"/>
                <w:sz w:val="22"/>
                <w:lang w:eastAsia="en-GB"/>
              </w:rPr>
            </w:pPr>
            <w:r w:rsidRPr="00A8608C">
              <w:rPr>
                <w:rFonts w:eastAsia="Times New Roman" w:cs="Arial"/>
                <w:b/>
                <w:bCs/>
                <w:color w:val="000000"/>
                <w:sz w:val="22"/>
                <w:lang w:eastAsia="en-GB"/>
              </w:rPr>
              <w:t>EPS Timings</w:t>
            </w:r>
          </w:p>
        </w:tc>
        <w:tc>
          <w:tcPr>
            <w:tcW w:w="3813" w:type="pct"/>
            <w:gridSpan w:val="2"/>
            <w:shd w:val="clear" w:color="auto" w:fill="auto"/>
            <w:noWrap/>
            <w:hideMark/>
          </w:tcPr>
          <w:p w14:paraId="3FCDC710" w14:textId="77777777" w:rsidR="006C52BF" w:rsidRPr="00A8608C" w:rsidRDefault="006C52BF" w:rsidP="008D3AFA">
            <w:pPr>
              <w:spacing w:after="0" w:line="240" w:lineRule="auto"/>
              <w:rPr>
                <w:rFonts w:eastAsia="Times New Roman" w:cs="Arial"/>
                <w:sz w:val="22"/>
                <w:lang w:eastAsia="en-GB"/>
              </w:rPr>
            </w:pPr>
          </w:p>
        </w:tc>
      </w:tr>
      <w:tr w:rsidR="006C52BF" w:rsidRPr="00A8608C" w14:paraId="21FBB694" w14:textId="77777777" w:rsidTr="008D3AFA">
        <w:trPr>
          <w:trHeight w:val="1885"/>
        </w:trPr>
        <w:tc>
          <w:tcPr>
            <w:tcW w:w="120" w:type="pct"/>
            <w:shd w:val="clear" w:color="auto" w:fill="auto"/>
            <w:noWrap/>
            <w:hideMark/>
          </w:tcPr>
          <w:p w14:paraId="2DBD1A6A" w14:textId="77777777" w:rsidR="006C52BF" w:rsidRPr="00A8608C" w:rsidRDefault="006C52BF" w:rsidP="008D3AFA">
            <w:pPr>
              <w:spacing w:after="0" w:line="240" w:lineRule="auto"/>
              <w:rPr>
                <w:rFonts w:eastAsia="Times New Roman" w:cs="Arial"/>
                <w:sz w:val="22"/>
                <w:lang w:eastAsia="en-GB"/>
              </w:rPr>
            </w:pPr>
          </w:p>
        </w:tc>
        <w:tc>
          <w:tcPr>
            <w:tcW w:w="4880" w:type="pct"/>
            <w:gridSpan w:val="3"/>
            <w:shd w:val="clear" w:color="auto" w:fill="auto"/>
            <w:noWrap/>
            <w:hideMark/>
          </w:tcPr>
          <w:p w14:paraId="4AAB201C"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The "EPS_TIMINGS' sheet includes unprocessed information as downloaded  from the EPS system and will not match final processed or reimbursed prescriptions. The data included will not reflect any subsequent reclassification or changes that occur as a result of processing. This data uses the prescribed date and dispensed date as recorded on the EPS Message. This will reflect the design of source (GP and Pharmacy ) Systems as well as how those systems are used by the organisations involved at each stage. This could lead to delays lags or inaccuracies in timing information.</w:t>
            </w:r>
          </w:p>
        </w:tc>
      </w:tr>
      <w:tr w:rsidR="006C52BF" w:rsidRPr="00A8608C" w14:paraId="59FB1C3F" w14:textId="77777777" w:rsidTr="008D3AFA">
        <w:trPr>
          <w:trHeight w:val="560"/>
        </w:trPr>
        <w:tc>
          <w:tcPr>
            <w:tcW w:w="120" w:type="pct"/>
            <w:shd w:val="clear" w:color="auto" w:fill="auto"/>
            <w:noWrap/>
            <w:hideMark/>
          </w:tcPr>
          <w:p w14:paraId="50980E87" w14:textId="77777777" w:rsidR="006C52BF" w:rsidRPr="00A8608C" w:rsidRDefault="006C52BF" w:rsidP="008D3AFA">
            <w:pPr>
              <w:spacing w:after="0" w:line="240" w:lineRule="auto"/>
              <w:rPr>
                <w:rFonts w:eastAsia="Times New Roman" w:cs="Arial"/>
                <w:color w:val="000000"/>
                <w:sz w:val="22"/>
                <w:lang w:eastAsia="en-GB"/>
              </w:rPr>
            </w:pPr>
          </w:p>
        </w:tc>
        <w:tc>
          <w:tcPr>
            <w:tcW w:w="4880" w:type="pct"/>
            <w:gridSpan w:val="3"/>
            <w:shd w:val="clear" w:color="auto" w:fill="auto"/>
            <w:noWrap/>
            <w:hideMark/>
          </w:tcPr>
          <w:p w14:paraId="747224CF"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EPS forms flagged as 'Repeat Dispensing' have been excluded from the 'prescribed date' timings, as the prescribed date will not vary.</w:t>
            </w:r>
          </w:p>
        </w:tc>
      </w:tr>
      <w:tr w:rsidR="006C52BF" w:rsidRPr="00A8608C" w14:paraId="736C8434" w14:textId="77777777" w:rsidTr="008D3AFA">
        <w:trPr>
          <w:trHeight w:val="280"/>
        </w:trPr>
        <w:tc>
          <w:tcPr>
            <w:tcW w:w="120" w:type="pct"/>
            <w:shd w:val="clear" w:color="auto" w:fill="auto"/>
            <w:noWrap/>
            <w:hideMark/>
          </w:tcPr>
          <w:p w14:paraId="11779141" w14:textId="77777777" w:rsidR="006C52BF" w:rsidRPr="00A8608C" w:rsidRDefault="006C52BF" w:rsidP="008D3AFA">
            <w:pPr>
              <w:spacing w:after="0" w:line="240" w:lineRule="auto"/>
              <w:rPr>
                <w:rFonts w:eastAsia="Times New Roman" w:cs="Arial"/>
                <w:color w:val="000000"/>
                <w:sz w:val="22"/>
                <w:lang w:eastAsia="en-GB"/>
              </w:rPr>
            </w:pPr>
          </w:p>
        </w:tc>
        <w:tc>
          <w:tcPr>
            <w:tcW w:w="4880" w:type="pct"/>
            <w:gridSpan w:val="3"/>
            <w:shd w:val="clear" w:color="auto" w:fill="auto"/>
            <w:noWrap/>
            <w:hideMark/>
          </w:tcPr>
          <w:p w14:paraId="330C2176"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EPS timings relate to either prescriptions prescribed  in 2021 or those dispensed in 2021 only.</w:t>
            </w:r>
          </w:p>
        </w:tc>
      </w:tr>
      <w:tr w:rsidR="006C52BF" w:rsidRPr="00A8608C" w14:paraId="66D54ADE" w14:textId="77777777" w:rsidTr="008D3AFA">
        <w:trPr>
          <w:trHeight w:val="280"/>
        </w:trPr>
        <w:tc>
          <w:tcPr>
            <w:tcW w:w="120" w:type="pct"/>
            <w:shd w:val="clear" w:color="auto" w:fill="auto"/>
            <w:noWrap/>
            <w:hideMark/>
          </w:tcPr>
          <w:p w14:paraId="2518C504" w14:textId="77777777" w:rsidR="006C52BF" w:rsidRPr="00A8608C" w:rsidRDefault="006C52BF" w:rsidP="008D3AFA">
            <w:pPr>
              <w:spacing w:after="0" w:line="240" w:lineRule="auto"/>
              <w:rPr>
                <w:rFonts w:eastAsia="Times New Roman" w:cs="Arial"/>
                <w:sz w:val="22"/>
                <w:lang w:eastAsia="en-GB"/>
              </w:rPr>
            </w:pPr>
          </w:p>
        </w:tc>
        <w:tc>
          <w:tcPr>
            <w:tcW w:w="1066" w:type="pct"/>
            <w:shd w:val="clear" w:color="auto" w:fill="auto"/>
            <w:noWrap/>
            <w:hideMark/>
          </w:tcPr>
          <w:p w14:paraId="424AE353"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hideMark/>
          </w:tcPr>
          <w:p w14:paraId="4DFFBBD2" w14:textId="77777777" w:rsidR="006C52BF" w:rsidRPr="00A8608C" w:rsidRDefault="006C52BF" w:rsidP="008D3AFA">
            <w:pPr>
              <w:spacing w:after="0" w:line="240" w:lineRule="auto"/>
              <w:rPr>
                <w:rFonts w:eastAsia="Times New Roman" w:cs="Arial"/>
                <w:sz w:val="22"/>
                <w:lang w:eastAsia="en-GB"/>
              </w:rPr>
            </w:pPr>
          </w:p>
        </w:tc>
      </w:tr>
      <w:tr w:rsidR="006C52BF" w:rsidRPr="00A8608C" w14:paraId="5A2D039A" w14:textId="77777777" w:rsidTr="008D3AFA">
        <w:trPr>
          <w:trHeight w:val="280"/>
        </w:trPr>
        <w:tc>
          <w:tcPr>
            <w:tcW w:w="1187" w:type="pct"/>
            <w:gridSpan w:val="2"/>
            <w:shd w:val="clear" w:color="auto" w:fill="auto"/>
            <w:noWrap/>
            <w:hideMark/>
          </w:tcPr>
          <w:p w14:paraId="1FA60FDA" w14:textId="77777777" w:rsidR="006C52BF" w:rsidRPr="00A8608C" w:rsidRDefault="006C52BF" w:rsidP="008D3AFA">
            <w:pPr>
              <w:spacing w:after="0" w:line="240" w:lineRule="auto"/>
              <w:rPr>
                <w:rFonts w:eastAsia="Times New Roman" w:cs="Arial"/>
                <w:b/>
                <w:bCs/>
                <w:color w:val="000000"/>
                <w:sz w:val="22"/>
                <w:lang w:eastAsia="en-GB"/>
              </w:rPr>
            </w:pPr>
            <w:r w:rsidRPr="00A8608C">
              <w:rPr>
                <w:rFonts w:eastAsia="Times New Roman" w:cs="Arial"/>
                <w:b/>
                <w:bCs/>
                <w:color w:val="000000"/>
                <w:sz w:val="22"/>
                <w:lang w:eastAsia="en-GB"/>
              </w:rPr>
              <w:t>OTC NSAIDs</w:t>
            </w:r>
          </w:p>
        </w:tc>
        <w:tc>
          <w:tcPr>
            <w:tcW w:w="3813" w:type="pct"/>
            <w:gridSpan w:val="2"/>
            <w:shd w:val="clear" w:color="auto" w:fill="auto"/>
            <w:hideMark/>
          </w:tcPr>
          <w:p w14:paraId="40BAD292" w14:textId="77777777" w:rsidR="006C52BF" w:rsidRPr="00A8608C" w:rsidRDefault="006C52BF" w:rsidP="008D3AFA">
            <w:pPr>
              <w:spacing w:after="0" w:line="240" w:lineRule="auto"/>
              <w:rPr>
                <w:rFonts w:eastAsia="Times New Roman" w:cs="Arial"/>
                <w:sz w:val="22"/>
                <w:lang w:eastAsia="en-GB"/>
              </w:rPr>
            </w:pPr>
          </w:p>
        </w:tc>
      </w:tr>
      <w:tr w:rsidR="006C52BF" w:rsidRPr="00A8608C" w14:paraId="0FFD841F" w14:textId="77777777" w:rsidTr="008D3AFA">
        <w:trPr>
          <w:trHeight w:val="1873"/>
        </w:trPr>
        <w:tc>
          <w:tcPr>
            <w:tcW w:w="120" w:type="pct"/>
            <w:shd w:val="clear" w:color="auto" w:fill="auto"/>
            <w:noWrap/>
            <w:hideMark/>
          </w:tcPr>
          <w:p w14:paraId="0BF01F9D" w14:textId="77777777" w:rsidR="006C52BF" w:rsidRPr="00A8608C" w:rsidRDefault="006C52BF" w:rsidP="008D3AFA">
            <w:pPr>
              <w:spacing w:after="0" w:line="240" w:lineRule="auto"/>
              <w:rPr>
                <w:rFonts w:eastAsia="Times New Roman" w:cs="Arial"/>
                <w:sz w:val="22"/>
                <w:lang w:eastAsia="en-GB"/>
              </w:rPr>
            </w:pPr>
          </w:p>
        </w:tc>
        <w:tc>
          <w:tcPr>
            <w:tcW w:w="1066" w:type="pct"/>
            <w:shd w:val="clear" w:color="auto" w:fill="auto"/>
            <w:noWrap/>
            <w:hideMark/>
          </w:tcPr>
          <w:p w14:paraId="15F97665" w14:textId="77777777" w:rsidR="006C52BF" w:rsidRPr="00A8608C" w:rsidRDefault="006C52BF" w:rsidP="008D3AFA">
            <w:pPr>
              <w:spacing w:after="0" w:line="240" w:lineRule="auto"/>
              <w:rPr>
                <w:rFonts w:eastAsia="Times New Roman" w:cs="Arial"/>
                <w:sz w:val="22"/>
                <w:lang w:eastAsia="en-GB"/>
              </w:rPr>
            </w:pPr>
          </w:p>
        </w:tc>
        <w:tc>
          <w:tcPr>
            <w:tcW w:w="3813" w:type="pct"/>
            <w:gridSpan w:val="2"/>
            <w:shd w:val="clear" w:color="auto" w:fill="auto"/>
            <w:hideMark/>
          </w:tcPr>
          <w:p w14:paraId="1E3FC88D" w14:textId="77777777" w:rsidR="006C52BF" w:rsidRPr="00A8608C" w:rsidRDefault="006C52BF" w:rsidP="008D3AFA">
            <w:pPr>
              <w:spacing w:after="0" w:line="240" w:lineRule="auto"/>
              <w:rPr>
                <w:rFonts w:eastAsia="Times New Roman" w:cs="Arial"/>
                <w:color w:val="000000"/>
                <w:sz w:val="22"/>
                <w:lang w:eastAsia="en-GB"/>
              </w:rPr>
            </w:pPr>
            <w:r w:rsidRPr="00A8608C">
              <w:rPr>
                <w:rFonts w:eastAsia="Times New Roman" w:cs="Arial"/>
                <w:color w:val="000000"/>
                <w:sz w:val="22"/>
                <w:lang w:eastAsia="en-GB"/>
              </w:rPr>
              <w:t>NHSBSA data does not hold data on over the counter (OTC) purchases of Oral NSAIDs.</w:t>
            </w:r>
            <w:r w:rsidRPr="00A8608C">
              <w:rPr>
                <w:rFonts w:eastAsia="Times New Roman" w:cs="Arial"/>
                <w:color w:val="000000"/>
                <w:sz w:val="22"/>
                <w:lang w:eastAsia="en-GB"/>
              </w:rPr>
              <w:br/>
              <w:t>This may mean that a patients "prescription history" does not completely describe their use of Oral NSAIDs.</w:t>
            </w:r>
            <w:r w:rsidRPr="00A8608C">
              <w:rPr>
                <w:rFonts w:eastAsia="Times New Roman" w:cs="Arial"/>
                <w:color w:val="000000"/>
                <w:sz w:val="22"/>
                <w:lang w:eastAsia="en-GB"/>
              </w:rPr>
              <w:br/>
            </w:r>
            <w:r w:rsidRPr="00A8608C">
              <w:rPr>
                <w:rFonts w:eastAsia="Times New Roman" w:cs="Arial"/>
                <w:color w:val="000000"/>
                <w:sz w:val="22"/>
                <w:lang w:eastAsia="en-GB"/>
              </w:rPr>
              <w:br/>
              <w:t>In particular, especially where a patient is not exempt from the prescription charge and suitable OTC medicine is available and cheaper than the charge, then there is an incentive for a patient to use OTC medicine, and for a prescriber to recommend it.</w:t>
            </w:r>
          </w:p>
        </w:tc>
      </w:tr>
    </w:tbl>
    <w:p w14:paraId="0BC243E6" w14:textId="77777777" w:rsidR="006C52BF" w:rsidRPr="00A42DBC" w:rsidRDefault="006C52BF" w:rsidP="006C52BF"/>
    <w:p w14:paraId="36B38F98" w14:textId="77777777" w:rsidR="006C52BF" w:rsidRPr="00F21EF0" w:rsidRDefault="006C52BF" w:rsidP="006C52BF"/>
    <w:p w14:paraId="2198872C" w14:textId="77777777" w:rsidR="006C52BF" w:rsidRDefault="006C52BF" w:rsidP="006C52BF">
      <w:pPr>
        <w:spacing w:after="160" w:line="259" w:lineRule="auto"/>
        <w:rPr>
          <w:rFonts w:eastAsiaTheme="majorEastAsia" w:cstheme="majorBidi"/>
          <w:b/>
          <w:sz w:val="28"/>
          <w:szCs w:val="26"/>
        </w:rPr>
      </w:pPr>
      <w:r>
        <w:br w:type="page"/>
      </w:r>
    </w:p>
    <w:p w14:paraId="73866B5D" w14:textId="77777777" w:rsidR="006C52BF" w:rsidRPr="00A42DBC" w:rsidRDefault="006C52BF" w:rsidP="006C52BF">
      <w:pPr>
        <w:pStyle w:val="Heading2"/>
      </w:pPr>
      <w:r w:rsidRPr="00A42DBC">
        <w:t xml:space="preserve">Appendix </w:t>
      </w:r>
      <w:r>
        <w:t>2</w:t>
      </w:r>
      <w:r w:rsidRPr="00A42DBC">
        <w:t xml:space="preserve"> </w:t>
      </w:r>
      <w:r>
        <w:t>Caveats and notes</w:t>
      </w:r>
    </w:p>
    <w:p w14:paraId="06D1BA76" w14:textId="77777777" w:rsidR="006C52BF" w:rsidRPr="00C56A32" w:rsidRDefault="006C52BF" w:rsidP="00A566C6">
      <w:pPr>
        <w:spacing w:after="0"/>
        <w:rPr>
          <w:b/>
          <w:bCs/>
        </w:rPr>
      </w:pPr>
      <w:r w:rsidRPr="00C56A32">
        <w:rPr>
          <w:b/>
          <w:bCs/>
        </w:rPr>
        <w:t>Classifying patients as ‘within-practice’ or ‘any practice’</w:t>
      </w:r>
    </w:p>
    <w:p w14:paraId="36EAF518" w14:textId="77777777" w:rsidR="006C52BF" w:rsidRDefault="006C52BF" w:rsidP="006C52BF">
      <w:r>
        <w:t xml:space="preserve">Consideration was given to classifying patients as long-term NSAID users </w:t>
      </w:r>
      <w:r w:rsidRPr="00C6604D">
        <w:t xml:space="preserve">based on a ‘within-practice’ method; </w:t>
      </w:r>
      <w:r>
        <w:t>aggregating</w:t>
      </w:r>
      <w:r w:rsidRPr="00C6604D">
        <w:t xml:space="preserve"> their prescribing habits at each</w:t>
      </w:r>
      <w:r>
        <w:t xml:space="preserve"> practice they may have been registered at within the period separately, rather than looking at activity across all practices (‘any practice’). At a national level, the patterns shown by both were similar, but the ‘within practice’ method failed to identify some long-term NSAID users whose prescriptions were associated with more than one practice. The ‘any practice’ method was selected as the most accurate and therefore the most appropriate for this exploratory analysis. The ‘within practice’ method is likely to underestimate the number of long-term users; however it is likely to best reflect each practice’s ability to independently identify these patients. </w:t>
      </w:r>
    </w:p>
    <w:p w14:paraId="6EC96458" w14:textId="77777777" w:rsidR="006C52BF" w:rsidRPr="00C56A32" w:rsidRDefault="006C52BF" w:rsidP="00A566C6">
      <w:pPr>
        <w:spacing w:before="240" w:after="0"/>
        <w:rPr>
          <w:b/>
          <w:bCs/>
        </w:rPr>
      </w:pPr>
      <w:r>
        <w:rPr>
          <w:b/>
          <w:bCs/>
        </w:rPr>
        <w:t>Other options for counting prescription frequency</w:t>
      </w:r>
    </w:p>
    <w:p w14:paraId="3F1B80E0" w14:textId="507C3D5F" w:rsidR="006C52BF" w:rsidRDefault="006C52BF" w:rsidP="006C52BF">
      <w:r>
        <w:t>The working definition as applied in this report is based on the number of months a patient was prescribed NSAIDs in the previous 24 months. Additional options looking instead at the number of forms a patient had received, and at the number of dispensed NSAID items they had received were also considered. Both of these alternat</w:t>
      </w:r>
      <w:r w:rsidR="00A566C6">
        <w:t>iv</w:t>
      </w:r>
      <w:r>
        <w:t xml:space="preserve">e definitions identified more long-term NSAID users, however both methods are likely to have double counted patients and therefore overstated the frequency. </w:t>
      </w:r>
    </w:p>
    <w:p w14:paraId="1D2BE36D" w14:textId="77777777" w:rsidR="006C52BF" w:rsidRPr="00C56A32" w:rsidRDefault="006C52BF" w:rsidP="00A566C6">
      <w:pPr>
        <w:spacing w:before="240" w:after="0"/>
        <w:rPr>
          <w:b/>
          <w:bCs/>
        </w:rPr>
      </w:pPr>
      <w:r w:rsidRPr="00C56A32">
        <w:rPr>
          <w:b/>
          <w:bCs/>
        </w:rPr>
        <w:t>Exclusions</w:t>
      </w:r>
    </w:p>
    <w:p w14:paraId="37C07C1A" w14:textId="77777777" w:rsidR="006C52BF" w:rsidRDefault="006C52BF" w:rsidP="006C52BF">
      <w:r>
        <w:t xml:space="preserve">Only oral NSAID prescriptions were considered in this analysis, with suppository and injectable NSAIDs excluded. Over-the-counter NSAIDs were also excluded. </w:t>
      </w:r>
    </w:p>
    <w:p w14:paraId="6E65D16D" w14:textId="77777777" w:rsidR="006C52BF" w:rsidRDefault="006C52BF" w:rsidP="006C52BF">
      <w:r>
        <w:t>It</w:t>
      </w:r>
      <w:r w:rsidRPr="00815912">
        <w:t>ems not dispensed, disallowed and returned back, and items that were prescribed but not presented for dispensing or not submitted to NHS Prescription Services by the dispenser</w:t>
      </w:r>
      <w:r>
        <w:t xml:space="preserve"> were excluded from the analysis</w:t>
      </w:r>
      <w:r w:rsidRPr="00815912">
        <w:t>.</w:t>
      </w:r>
    </w:p>
    <w:p w14:paraId="57B36A9C" w14:textId="77777777" w:rsidR="00D5777A" w:rsidRPr="00A134B6" w:rsidRDefault="00D5777A">
      <w:pPr>
        <w:spacing w:after="160" w:line="259" w:lineRule="auto"/>
        <w:rPr>
          <w:rFonts w:eastAsiaTheme="majorEastAsia" w:cstheme="majorBidi"/>
          <w:b/>
          <w:sz w:val="28"/>
          <w:szCs w:val="26"/>
          <w:highlight w:val="darkGray"/>
        </w:rPr>
      </w:pPr>
    </w:p>
    <w:sectPr w:rsidR="00D5777A" w:rsidRPr="00A134B6" w:rsidSect="001E2FF7">
      <w:headerReference w:type="default" r:id="rId17"/>
      <w:footerReference w:type="default" r:id="rId1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61D3" w14:textId="77777777" w:rsidR="0058230B" w:rsidRDefault="0058230B" w:rsidP="00461419">
      <w:pPr>
        <w:spacing w:after="0" w:line="240" w:lineRule="auto"/>
      </w:pPr>
      <w:r>
        <w:separator/>
      </w:r>
    </w:p>
    <w:p w14:paraId="4DB795B9" w14:textId="77777777" w:rsidR="0058230B" w:rsidRDefault="0058230B"/>
  </w:endnote>
  <w:endnote w:type="continuationSeparator" w:id="0">
    <w:p w14:paraId="3672B12A" w14:textId="77777777" w:rsidR="0058230B" w:rsidRDefault="0058230B" w:rsidP="00461419">
      <w:pPr>
        <w:spacing w:after="0" w:line="240" w:lineRule="auto"/>
      </w:pPr>
      <w:r>
        <w:continuationSeparator/>
      </w:r>
    </w:p>
    <w:p w14:paraId="69036116" w14:textId="77777777" w:rsidR="0058230B" w:rsidRDefault="00582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35297"/>
      <w:docPartObj>
        <w:docPartGallery w:val="Page Numbers (Bottom of Page)"/>
        <w:docPartUnique/>
      </w:docPartObj>
    </w:sdtPr>
    <w:sdtEndPr>
      <w:rPr>
        <w:noProof/>
      </w:rPr>
    </w:sdtEndPr>
    <w:sdtContent>
      <w:p w14:paraId="7C4DC8CB" w14:textId="08A44CBA" w:rsidR="0058230B" w:rsidRDefault="0058230B">
        <w:pPr>
          <w:pStyle w:val="Footer"/>
          <w:jc w:val="right"/>
        </w:pPr>
        <w:r>
          <w:fldChar w:fldCharType="begin"/>
        </w:r>
        <w:r>
          <w:instrText xml:space="preserve"> PAGE   \* MERGEFORMAT </w:instrText>
        </w:r>
        <w:r>
          <w:fldChar w:fldCharType="separate"/>
        </w:r>
        <w:r w:rsidR="00C4200C">
          <w:rPr>
            <w:noProof/>
          </w:rPr>
          <w:t>26</w:t>
        </w:r>
        <w:r>
          <w:rPr>
            <w:noProof/>
          </w:rPr>
          <w:fldChar w:fldCharType="end"/>
        </w:r>
      </w:p>
    </w:sdtContent>
  </w:sdt>
  <w:p w14:paraId="4F1CFF91" w14:textId="77777777" w:rsidR="0058230B" w:rsidRDefault="0058230B">
    <w:pPr>
      <w:pStyle w:val="Footer"/>
    </w:pPr>
  </w:p>
  <w:p w14:paraId="26854634" w14:textId="77777777" w:rsidR="0058230B" w:rsidRDefault="005823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7612" w14:textId="77777777" w:rsidR="0058230B" w:rsidRDefault="0058230B" w:rsidP="00461419">
      <w:pPr>
        <w:spacing w:after="0" w:line="240" w:lineRule="auto"/>
      </w:pPr>
      <w:r>
        <w:separator/>
      </w:r>
    </w:p>
    <w:p w14:paraId="3B8F57F2" w14:textId="77777777" w:rsidR="0058230B" w:rsidRDefault="0058230B"/>
  </w:footnote>
  <w:footnote w:type="continuationSeparator" w:id="0">
    <w:p w14:paraId="46ADEEEE" w14:textId="77777777" w:rsidR="0058230B" w:rsidRDefault="0058230B" w:rsidP="00461419">
      <w:pPr>
        <w:spacing w:after="0" w:line="240" w:lineRule="auto"/>
      </w:pPr>
      <w:r>
        <w:continuationSeparator/>
      </w:r>
    </w:p>
    <w:p w14:paraId="19B4059E" w14:textId="77777777" w:rsidR="0058230B" w:rsidRDefault="0058230B"/>
  </w:footnote>
  <w:footnote w:id="1">
    <w:p w14:paraId="7EFC5213" w14:textId="1CAECA7C" w:rsidR="0058230B" w:rsidRDefault="0058230B">
      <w:pPr>
        <w:pStyle w:val="FootnoteText"/>
      </w:pPr>
      <w:r>
        <w:rPr>
          <w:rStyle w:val="FootnoteReference"/>
        </w:rPr>
        <w:footnoteRef/>
      </w:r>
      <w:r>
        <w:t xml:space="preserve"> </w:t>
      </w:r>
      <w:r w:rsidRPr="00B50548">
        <w:t>https://digital.nhs.uk/data-and-information/data-tools-and-services/data-services/general-practice-data-hub/quality-outcomes-framework-qof</w:t>
      </w:r>
      <w:r>
        <w:t xml:space="preserve"> </w:t>
      </w:r>
    </w:p>
  </w:footnote>
  <w:footnote w:id="2">
    <w:p w14:paraId="56D498B0" w14:textId="6F82703C" w:rsidR="0058230B" w:rsidRDefault="0058230B">
      <w:pPr>
        <w:pStyle w:val="FootnoteText"/>
      </w:pPr>
      <w:r>
        <w:rPr>
          <w:rStyle w:val="FootnoteReference"/>
        </w:rPr>
        <w:footnoteRef/>
      </w:r>
      <w:r>
        <w:t xml:space="preserve"> </w:t>
      </w:r>
      <w:r w:rsidRPr="00C33A69">
        <w:t>https://www.england.nhs.uk/ourwork/clinical-policy/cvd/cvdprevent/</w:t>
      </w:r>
    </w:p>
  </w:footnote>
  <w:footnote w:id="3">
    <w:p w14:paraId="563B8242" w14:textId="77777777" w:rsidR="0058230B" w:rsidRDefault="0058230B" w:rsidP="001E0CD4">
      <w:pPr>
        <w:pStyle w:val="FootnoteText"/>
      </w:pPr>
      <w:r>
        <w:rPr>
          <w:rStyle w:val="FootnoteReference"/>
        </w:rPr>
        <w:footnoteRef/>
      </w:r>
      <w:r>
        <w:t xml:space="preserve"> </w:t>
      </w:r>
      <w:r w:rsidRPr="00400FE5">
        <w:t>https://s3.eu-west-2.amazonaws.com/nhsbn-static/CVDPREVENT/2021/CVDPREVENT%20Methodology%20Annex%20FINAL.pdf</w:t>
      </w:r>
    </w:p>
  </w:footnote>
  <w:footnote w:id="4">
    <w:p w14:paraId="3F90582D" w14:textId="1D454325" w:rsidR="0058230B" w:rsidRDefault="0058230B" w:rsidP="00627851">
      <w:pPr>
        <w:pStyle w:val="CommentText"/>
        <w:spacing w:after="0"/>
      </w:pPr>
      <w:r>
        <w:rPr>
          <w:rStyle w:val="FootnoteReference"/>
        </w:rPr>
        <w:footnoteRef/>
      </w:r>
      <w:r>
        <w:t xml:space="preserve"> </w:t>
      </w:r>
      <w:r w:rsidRPr="00100293">
        <w:t>https://www.cvdprevent.nhs.uk/data-explorer</w:t>
      </w:r>
      <w:r>
        <w:t xml:space="preserve"> </w:t>
      </w:r>
    </w:p>
  </w:footnote>
  <w:footnote w:id="5">
    <w:p w14:paraId="265CB53E" w14:textId="15C5D4A6" w:rsidR="0058230B" w:rsidRDefault="0058230B">
      <w:pPr>
        <w:pStyle w:val="FootnoteText"/>
      </w:pPr>
      <w:r>
        <w:rPr>
          <w:rStyle w:val="FootnoteReference"/>
        </w:rPr>
        <w:footnoteRef/>
      </w:r>
      <w:r>
        <w:t xml:space="preserve"> </w:t>
      </w:r>
      <w:r w:rsidRPr="009E41EA">
        <w:t>https://s3.eu-west-2.amazonaws.com/nhsbn-static/CVDPREVENT/2021/CVDPREVENT_First%20Annual%20Audit%20ReportFINAL.pdf</w:t>
      </w:r>
    </w:p>
  </w:footnote>
  <w:footnote w:id="6">
    <w:p w14:paraId="59BE5899" w14:textId="39E438AD" w:rsidR="0058230B" w:rsidRDefault="0058230B">
      <w:pPr>
        <w:pStyle w:val="FootnoteText"/>
      </w:pPr>
      <w:r>
        <w:rPr>
          <w:rStyle w:val="FootnoteReference"/>
        </w:rPr>
        <w:footnoteRef/>
      </w:r>
      <w:r>
        <w:t xml:space="preserve"> </w:t>
      </w:r>
      <w:r w:rsidRPr="005F618E">
        <w:t>https://www.england.nhs.uk/wp-content/uploads/2020/09/IIF-Implementation-Guidance-2020-21-Final.pdf</w:t>
      </w:r>
    </w:p>
  </w:footnote>
  <w:footnote w:id="7">
    <w:p w14:paraId="3EF78478" w14:textId="73435569" w:rsidR="0058230B" w:rsidRDefault="0058230B">
      <w:pPr>
        <w:pStyle w:val="FootnoteText"/>
      </w:pPr>
      <w:r>
        <w:rPr>
          <w:rStyle w:val="FootnoteReference"/>
        </w:rPr>
        <w:footnoteRef/>
      </w:r>
      <w:r>
        <w:t xml:space="preserve"> </w:t>
      </w:r>
      <w:r w:rsidRPr="004A2A19">
        <w:t>https://www.england.nhs.uk/wp-content/uploads/2021/12/B1219-investment-and-impact-fund-implementation-guidance-2021-22-dec-21.pdf</w:t>
      </w:r>
    </w:p>
  </w:footnote>
  <w:footnote w:id="8">
    <w:p w14:paraId="70080AE5" w14:textId="367F6214" w:rsidR="0058230B" w:rsidRDefault="0058230B">
      <w:pPr>
        <w:pStyle w:val="FootnoteText"/>
      </w:pPr>
      <w:r>
        <w:rPr>
          <w:rStyle w:val="FootnoteReference"/>
        </w:rPr>
        <w:footnoteRef/>
      </w:r>
      <w:r>
        <w:t xml:space="preserve"> </w:t>
      </w:r>
      <w:r w:rsidRPr="007D350A">
        <w:t>https://www.england.nhs.uk/wp-content/uploads/2021/12/B1218-network-contract-directed-enhanced-service-contract-specification-2021-22-dec-21.pdf</w:t>
      </w:r>
    </w:p>
  </w:footnote>
  <w:footnote w:id="9">
    <w:p w14:paraId="61DA6197" w14:textId="091D7E99" w:rsidR="004429A6" w:rsidRDefault="004429A6">
      <w:pPr>
        <w:pStyle w:val="FootnoteText"/>
      </w:pPr>
      <w:r>
        <w:rPr>
          <w:rStyle w:val="FootnoteReference"/>
        </w:rPr>
        <w:footnoteRef/>
      </w:r>
      <w:r>
        <w:t xml:space="preserve"> </w:t>
      </w:r>
      <w:r w:rsidRPr="00406C58">
        <w:t>https://digital.nhs.uk/data-and-information/publications/statistical/mi-network-contract-des/2021-22</w:t>
      </w:r>
    </w:p>
  </w:footnote>
  <w:footnote w:id="10">
    <w:p w14:paraId="52801646" w14:textId="77777777" w:rsidR="0058230B" w:rsidRDefault="0058230B" w:rsidP="006F2AE8">
      <w:pPr>
        <w:pStyle w:val="FootnoteText"/>
      </w:pPr>
      <w:r>
        <w:rPr>
          <w:rStyle w:val="FootnoteReference"/>
        </w:rPr>
        <w:footnoteRef/>
      </w:r>
      <w:r>
        <w:t xml:space="preserve"> NHS Business Services Authority. Request DR1706: </w:t>
      </w:r>
      <w:r w:rsidRPr="00310BF3">
        <w:t>Data on oral non-steroidal anti-inflammatory drug (NSAID) use in England, 2019-2021</w:t>
      </w:r>
    </w:p>
  </w:footnote>
  <w:footnote w:id="11">
    <w:p w14:paraId="4021D136" w14:textId="77777777" w:rsidR="0058230B" w:rsidRDefault="0058230B" w:rsidP="006F2AE8">
      <w:pPr>
        <w:pStyle w:val="FootnoteText"/>
      </w:pPr>
      <w:r>
        <w:rPr>
          <w:rStyle w:val="FootnoteReference"/>
        </w:rPr>
        <w:footnoteRef/>
      </w:r>
      <w:r>
        <w:t xml:space="preserve"> </w:t>
      </w:r>
      <w:r w:rsidRPr="002B0E9C">
        <w:t>https://digital.nhs.uk/data-and-information/publications/statistical/patients-registered-at-a-gp-practice</w:t>
      </w:r>
      <w:r>
        <w:t>, NHS Digital.</w:t>
      </w:r>
    </w:p>
  </w:footnote>
  <w:footnote w:id="12">
    <w:p w14:paraId="46220D1C" w14:textId="77777777" w:rsidR="0058230B" w:rsidRDefault="0058230B" w:rsidP="00A566C6">
      <w:pPr>
        <w:pStyle w:val="FootnoteText"/>
      </w:pPr>
      <w:r>
        <w:rPr>
          <w:rStyle w:val="FootnoteReference"/>
        </w:rPr>
        <w:footnoteRef/>
      </w:r>
      <w:r>
        <w:t xml:space="preserve"> </w:t>
      </w:r>
      <w:r>
        <w:rPr>
          <w:rFonts w:cs="Arial"/>
          <w:iCs/>
          <w:shd w:val="clear" w:color="auto" w:fill="FFFFFF"/>
        </w:rPr>
        <w:t>494,770 (99.7%) of the 496,092 patients from the prescribing information could be assigned to a currently open practice. Very small practices, with fewer than 1,000 patients registered were excluded from this analysis.</w:t>
      </w:r>
    </w:p>
  </w:footnote>
  <w:footnote w:id="13">
    <w:p w14:paraId="3FE9BD19" w14:textId="77777777" w:rsidR="0058230B" w:rsidRDefault="0058230B" w:rsidP="006F2AE8">
      <w:pPr>
        <w:pStyle w:val="FootnoteText"/>
      </w:pPr>
      <w:r>
        <w:rPr>
          <w:rStyle w:val="FootnoteReference"/>
        </w:rPr>
        <w:footnoteRef/>
      </w:r>
      <w:r>
        <w:t xml:space="preserve"> </w:t>
      </w:r>
      <w:r w:rsidRPr="002B0E9C">
        <w:t>Polypharmacy Prescribing Comparators: Patients prescribed two or more medicines likely to cause Kidney injury (DAMN drugs)</w:t>
      </w:r>
      <w:r>
        <w:t xml:space="preserve">, NHSBA, 2017. </w:t>
      </w:r>
    </w:p>
  </w:footnote>
  <w:footnote w:id="14">
    <w:p w14:paraId="05084659" w14:textId="7DE1B8A3" w:rsidR="0058230B" w:rsidRDefault="0058230B" w:rsidP="006F2AE8">
      <w:pPr>
        <w:pStyle w:val="FootnoteText"/>
      </w:pPr>
      <w:r>
        <w:rPr>
          <w:rStyle w:val="FootnoteReference"/>
        </w:rPr>
        <w:footnoteRef/>
      </w:r>
      <w:r>
        <w:t xml:space="preserve"> NHS BSA Medication Safety Indicators available through ‘</w:t>
      </w:r>
      <w:r w:rsidRPr="002B0E9C">
        <w:t>Catalyst</w:t>
      </w:r>
      <w:r>
        <w:t xml:space="preserve">’. Accessed 13 May 2022. Definitions: </w:t>
      </w:r>
      <w:r w:rsidR="00E22903">
        <w:t xml:space="preserve">Medication Safety </w:t>
      </w:r>
      <w:r w:rsidRPr="002B0E9C">
        <w:t>Indicators Specification. August 2019</w:t>
      </w:r>
      <w:r>
        <w:t>, NHSBSA.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5AFA" w14:textId="095FEC2E" w:rsidR="0058230B" w:rsidRDefault="0058230B" w:rsidP="001B5774">
    <w:pPr>
      <w:pStyle w:val="Header"/>
      <w:jc w:val="right"/>
    </w:pPr>
    <w:r>
      <w:t xml:space="preserve">Paper </w:t>
    </w:r>
    <w:r w:rsidR="00BD1C85">
      <w:t>6d</w:t>
    </w:r>
    <w:r>
      <w:t xml:space="preserve">: NCCID CKD supporting data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05C9"/>
    <w:multiLevelType w:val="hybridMultilevel"/>
    <w:tmpl w:val="51B0357C"/>
    <w:lvl w:ilvl="0" w:tplc="8E20D984">
      <w:start w:val="90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619C2"/>
    <w:multiLevelType w:val="hybridMultilevel"/>
    <w:tmpl w:val="DD00F4C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 w15:restartNumberingAfterBreak="0">
    <w:nsid w:val="15E76212"/>
    <w:multiLevelType w:val="hybridMultilevel"/>
    <w:tmpl w:val="82CAE520"/>
    <w:lvl w:ilvl="0" w:tplc="72EC2276">
      <w:start w:val="9018"/>
      <w:numFmt w:val="bullet"/>
      <w:lvlText w:val=""/>
      <w:lvlJc w:val="left"/>
      <w:pPr>
        <w:ind w:left="720" w:hanging="360"/>
      </w:pPr>
      <w:rPr>
        <w:rFonts w:ascii="Symbol" w:eastAsiaTheme="minorHAnsi" w:hAnsi="Symbol"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E5568"/>
    <w:multiLevelType w:val="hybridMultilevel"/>
    <w:tmpl w:val="0A78DBDA"/>
    <w:lvl w:ilvl="0" w:tplc="C3B0B5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A2E48"/>
    <w:multiLevelType w:val="hybridMultilevel"/>
    <w:tmpl w:val="9B5A4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03029"/>
    <w:multiLevelType w:val="hybridMultilevel"/>
    <w:tmpl w:val="F2C2A662"/>
    <w:lvl w:ilvl="0" w:tplc="C436DF80">
      <w:start w:val="9018"/>
      <w:numFmt w:val="bullet"/>
      <w:lvlText w:val=""/>
      <w:lvlJc w:val="left"/>
      <w:pPr>
        <w:ind w:left="720" w:hanging="360"/>
      </w:pPr>
      <w:rPr>
        <w:rFonts w:ascii="Symbol" w:eastAsiaTheme="minorHAnsi" w:hAnsi="Symbol"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46145"/>
    <w:multiLevelType w:val="hybridMultilevel"/>
    <w:tmpl w:val="D66A5BD8"/>
    <w:lvl w:ilvl="0" w:tplc="E8CC82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84F06"/>
    <w:multiLevelType w:val="hybridMultilevel"/>
    <w:tmpl w:val="256CF172"/>
    <w:lvl w:ilvl="0" w:tplc="D5BAE782">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365C0"/>
    <w:multiLevelType w:val="hybridMultilevel"/>
    <w:tmpl w:val="9B26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948D2"/>
    <w:multiLevelType w:val="hybridMultilevel"/>
    <w:tmpl w:val="BA7803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1D335F3"/>
    <w:multiLevelType w:val="hybridMultilevel"/>
    <w:tmpl w:val="321CD8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C0303D1"/>
    <w:multiLevelType w:val="hybridMultilevel"/>
    <w:tmpl w:val="29D4F59C"/>
    <w:lvl w:ilvl="0" w:tplc="C8D29B2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112800">
    <w:abstractNumId w:val="10"/>
  </w:num>
  <w:num w:numId="2" w16cid:durableId="1364403904">
    <w:abstractNumId w:val="3"/>
  </w:num>
  <w:num w:numId="3" w16cid:durableId="1789928635">
    <w:abstractNumId w:val="7"/>
  </w:num>
  <w:num w:numId="4" w16cid:durableId="1271160438">
    <w:abstractNumId w:val="6"/>
  </w:num>
  <w:num w:numId="5" w16cid:durableId="1016224771">
    <w:abstractNumId w:val="5"/>
  </w:num>
  <w:num w:numId="6" w16cid:durableId="1683122872">
    <w:abstractNumId w:val="2"/>
  </w:num>
  <w:num w:numId="7" w16cid:durableId="918752188">
    <w:abstractNumId w:val="0"/>
  </w:num>
  <w:num w:numId="8" w16cid:durableId="1727797492">
    <w:abstractNumId w:val="8"/>
  </w:num>
  <w:num w:numId="9" w16cid:durableId="2021732960">
    <w:abstractNumId w:val="4"/>
  </w:num>
  <w:num w:numId="10" w16cid:durableId="811796257">
    <w:abstractNumId w:val="9"/>
  </w:num>
  <w:num w:numId="11" w16cid:durableId="1128821301">
    <w:abstractNumId w:val="11"/>
  </w:num>
  <w:num w:numId="12" w16cid:durableId="206918084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51"/>
    <w:rsid w:val="00000795"/>
    <w:rsid w:val="000010A5"/>
    <w:rsid w:val="000025D6"/>
    <w:rsid w:val="000029D2"/>
    <w:rsid w:val="00003372"/>
    <w:rsid w:val="00003717"/>
    <w:rsid w:val="00006640"/>
    <w:rsid w:val="00013EC8"/>
    <w:rsid w:val="00015CF3"/>
    <w:rsid w:val="00015D18"/>
    <w:rsid w:val="00015DCC"/>
    <w:rsid w:val="0001641B"/>
    <w:rsid w:val="00016CB6"/>
    <w:rsid w:val="00017285"/>
    <w:rsid w:val="0001797B"/>
    <w:rsid w:val="000204F4"/>
    <w:rsid w:val="00020983"/>
    <w:rsid w:val="00021262"/>
    <w:rsid w:val="00021FB7"/>
    <w:rsid w:val="00023692"/>
    <w:rsid w:val="00023E03"/>
    <w:rsid w:val="00027265"/>
    <w:rsid w:val="00030949"/>
    <w:rsid w:val="000312B4"/>
    <w:rsid w:val="00031760"/>
    <w:rsid w:val="00032992"/>
    <w:rsid w:val="00034450"/>
    <w:rsid w:val="00034C0F"/>
    <w:rsid w:val="000352AB"/>
    <w:rsid w:val="00037AE7"/>
    <w:rsid w:val="00037BE9"/>
    <w:rsid w:val="00037C4E"/>
    <w:rsid w:val="00037C95"/>
    <w:rsid w:val="00041089"/>
    <w:rsid w:val="0004730F"/>
    <w:rsid w:val="00050182"/>
    <w:rsid w:val="00051DBA"/>
    <w:rsid w:val="000520C5"/>
    <w:rsid w:val="000537D4"/>
    <w:rsid w:val="00053F32"/>
    <w:rsid w:val="00056D8A"/>
    <w:rsid w:val="00057A19"/>
    <w:rsid w:val="0006201D"/>
    <w:rsid w:val="000620CB"/>
    <w:rsid w:val="000636E3"/>
    <w:rsid w:val="00066A43"/>
    <w:rsid w:val="00066E2F"/>
    <w:rsid w:val="00066F2B"/>
    <w:rsid w:val="00067507"/>
    <w:rsid w:val="00070E6B"/>
    <w:rsid w:val="00072928"/>
    <w:rsid w:val="00073E52"/>
    <w:rsid w:val="00073EEB"/>
    <w:rsid w:val="0007573C"/>
    <w:rsid w:val="000766F5"/>
    <w:rsid w:val="0007672C"/>
    <w:rsid w:val="00076C0C"/>
    <w:rsid w:val="00077977"/>
    <w:rsid w:val="00077D60"/>
    <w:rsid w:val="00080B41"/>
    <w:rsid w:val="0008166B"/>
    <w:rsid w:val="0008166E"/>
    <w:rsid w:val="00082A32"/>
    <w:rsid w:val="000832DE"/>
    <w:rsid w:val="00083CFF"/>
    <w:rsid w:val="000852CB"/>
    <w:rsid w:val="00085727"/>
    <w:rsid w:val="00086E1A"/>
    <w:rsid w:val="00087F0A"/>
    <w:rsid w:val="00091CB7"/>
    <w:rsid w:val="00092224"/>
    <w:rsid w:val="000924AC"/>
    <w:rsid w:val="00092CEF"/>
    <w:rsid w:val="000939FC"/>
    <w:rsid w:val="00093A01"/>
    <w:rsid w:val="00094923"/>
    <w:rsid w:val="00094948"/>
    <w:rsid w:val="00095753"/>
    <w:rsid w:val="00097308"/>
    <w:rsid w:val="0009792E"/>
    <w:rsid w:val="000A33D7"/>
    <w:rsid w:val="000A67C7"/>
    <w:rsid w:val="000A6C07"/>
    <w:rsid w:val="000A71E7"/>
    <w:rsid w:val="000A7674"/>
    <w:rsid w:val="000B03EB"/>
    <w:rsid w:val="000B0ED2"/>
    <w:rsid w:val="000B13C1"/>
    <w:rsid w:val="000B159D"/>
    <w:rsid w:val="000B1AC1"/>
    <w:rsid w:val="000B2B57"/>
    <w:rsid w:val="000B32E8"/>
    <w:rsid w:val="000B4652"/>
    <w:rsid w:val="000B5743"/>
    <w:rsid w:val="000B67F4"/>
    <w:rsid w:val="000B725E"/>
    <w:rsid w:val="000C0098"/>
    <w:rsid w:val="000C0D5C"/>
    <w:rsid w:val="000C15A6"/>
    <w:rsid w:val="000C1E0D"/>
    <w:rsid w:val="000C23F3"/>
    <w:rsid w:val="000C25FE"/>
    <w:rsid w:val="000C2F8A"/>
    <w:rsid w:val="000C3B01"/>
    <w:rsid w:val="000C3B25"/>
    <w:rsid w:val="000C3E00"/>
    <w:rsid w:val="000C41C6"/>
    <w:rsid w:val="000C4F47"/>
    <w:rsid w:val="000C6226"/>
    <w:rsid w:val="000D0A8A"/>
    <w:rsid w:val="000D1B32"/>
    <w:rsid w:val="000D3725"/>
    <w:rsid w:val="000D6207"/>
    <w:rsid w:val="000E33C3"/>
    <w:rsid w:val="000E42E3"/>
    <w:rsid w:val="000E6612"/>
    <w:rsid w:val="000F03ED"/>
    <w:rsid w:val="000F2A79"/>
    <w:rsid w:val="000F3E0D"/>
    <w:rsid w:val="000F4667"/>
    <w:rsid w:val="000F57D5"/>
    <w:rsid w:val="000F71BD"/>
    <w:rsid w:val="00100293"/>
    <w:rsid w:val="0010112C"/>
    <w:rsid w:val="00101AEB"/>
    <w:rsid w:val="00101F57"/>
    <w:rsid w:val="0010282F"/>
    <w:rsid w:val="00104B64"/>
    <w:rsid w:val="00104E08"/>
    <w:rsid w:val="00110795"/>
    <w:rsid w:val="001109B2"/>
    <w:rsid w:val="00111445"/>
    <w:rsid w:val="001122E4"/>
    <w:rsid w:val="00113218"/>
    <w:rsid w:val="001134B4"/>
    <w:rsid w:val="001138E8"/>
    <w:rsid w:val="00113CFC"/>
    <w:rsid w:val="00117C3D"/>
    <w:rsid w:val="00122910"/>
    <w:rsid w:val="001246F2"/>
    <w:rsid w:val="0012584A"/>
    <w:rsid w:val="0012648D"/>
    <w:rsid w:val="00126728"/>
    <w:rsid w:val="00127466"/>
    <w:rsid w:val="001300EC"/>
    <w:rsid w:val="00131EFD"/>
    <w:rsid w:val="00132ADD"/>
    <w:rsid w:val="00133070"/>
    <w:rsid w:val="00134CDE"/>
    <w:rsid w:val="00134D7A"/>
    <w:rsid w:val="001377F1"/>
    <w:rsid w:val="0014107E"/>
    <w:rsid w:val="00141B72"/>
    <w:rsid w:val="00142A96"/>
    <w:rsid w:val="00143504"/>
    <w:rsid w:val="001457F1"/>
    <w:rsid w:val="00146622"/>
    <w:rsid w:val="00151F19"/>
    <w:rsid w:val="00152763"/>
    <w:rsid w:val="00154EEA"/>
    <w:rsid w:val="00154FD1"/>
    <w:rsid w:val="00155595"/>
    <w:rsid w:val="00155DB3"/>
    <w:rsid w:val="00156D77"/>
    <w:rsid w:val="00156E6B"/>
    <w:rsid w:val="00157BC3"/>
    <w:rsid w:val="0016028E"/>
    <w:rsid w:val="00160847"/>
    <w:rsid w:val="001614E2"/>
    <w:rsid w:val="00161ECD"/>
    <w:rsid w:val="00163DD1"/>
    <w:rsid w:val="00164158"/>
    <w:rsid w:val="00164FE5"/>
    <w:rsid w:val="00165FD1"/>
    <w:rsid w:val="0016665A"/>
    <w:rsid w:val="00166944"/>
    <w:rsid w:val="0017189C"/>
    <w:rsid w:val="00173D31"/>
    <w:rsid w:val="00174A2A"/>
    <w:rsid w:val="00175E74"/>
    <w:rsid w:val="0017689B"/>
    <w:rsid w:val="001769FD"/>
    <w:rsid w:val="00177483"/>
    <w:rsid w:val="00180750"/>
    <w:rsid w:val="00180D19"/>
    <w:rsid w:val="00182128"/>
    <w:rsid w:val="00184391"/>
    <w:rsid w:val="00184DEC"/>
    <w:rsid w:val="00190011"/>
    <w:rsid w:val="0019011C"/>
    <w:rsid w:val="001917D3"/>
    <w:rsid w:val="00193526"/>
    <w:rsid w:val="00193AEB"/>
    <w:rsid w:val="00194E10"/>
    <w:rsid w:val="00195414"/>
    <w:rsid w:val="001A1332"/>
    <w:rsid w:val="001A30BD"/>
    <w:rsid w:val="001A354A"/>
    <w:rsid w:val="001A3DB7"/>
    <w:rsid w:val="001A5443"/>
    <w:rsid w:val="001A5605"/>
    <w:rsid w:val="001A6C28"/>
    <w:rsid w:val="001A757F"/>
    <w:rsid w:val="001B0D48"/>
    <w:rsid w:val="001B2CD9"/>
    <w:rsid w:val="001B42EF"/>
    <w:rsid w:val="001B4DAD"/>
    <w:rsid w:val="001B4F95"/>
    <w:rsid w:val="001B5774"/>
    <w:rsid w:val="001B5C61"/>
    <w:rsid w:val="001B68E1"/>
    <w:rsid w:val="001B73A6"/>
    <w:rsid w:val="001C12A8"/>
    <w:rsid w:val="001C15EC"/>
    <w:rsid w:val="001C2714"/>
    <w:rsid w:val="001C31B5"/>
    <w:rsid w:val="001C34E9"/>
    <w:rsid w:val="001C3545"/>
    <w:rsid w:val="001C3770"/>
    <w:rsid w:val="001C3CFD"/>
    <w:rsid w:val="001C42A3"/>
    <w:rsid w:val="001C444F"/>
    <w:rsid w:val="001C4484"/>
    <w:rsid w:val="001C54CE"/>
    <w:rsid w:val="001C7BCD"/>
    <w:rsid w:val="001D06C7"/>
    <w:rsid w:val="001D111C"/>
    <w:rsid w:val="001D16EA"/>
    <w:rsid w:val="001D18A8"/>
    <w:rsid w:val="001D2C28"/>
    <w:rsid w:val="001D3391"/>
    <w:rsid w:val="001D429A"/>
    <w:rsid w:val="001D544C"/>
    <w:rsid w:val="001D5B95"/>
    <w:rsid w:val="001D79BB"/>
    <w:rsid w:val="001E0B25"/>
    <w:rsid w:val="001E0CD4"/>
    <w:rsid w:val="001E1EC5"/>
    <w:rsid w:val="001E245A"/>
    <w:rsid w:val="001E2FF7"/>
    <w:rsid w:val="001E38B8"/>
    <w:rsid w:val="001E4773"/>
    <w:rsid w:val="001E4FB1"/>
    <w:rsid w:val="001E52C0"/>
    <w:rsid w:val="001F08F2"/>
    <w:rsid w:val="001F0A28"/>
    <w:rsid w:val="001F1AF1"/>
    <w:rsid w:val="001F23E5"/>
    <w:rsid w:val="001F3F33"/>
    <w:rsid w:val="001F43BE"/>
    <w:rsid w:val="001F53E7"/>
    <w:rsid w:val="001F5F2F"/>
    <w:rsid w:val="001F6E95"/>
    <w:rsid w:val="001F7A38"/>
    <w:rsid w:val="00200A46"/>
    <w:rsid w:val="002023C5"/>
    <w:rsid w:val="00205F17"/>
    <w:rsid w:val="00207799"/>
    <w:rsid w:val="00207C3E"/>
    <w:rsid w:val="0021081E"/>
    <w:rsid w:val="00210B69"/>
    <w:rsid w:val="00210D51"/>
    <w:rsid w:val="00210F20"/>
    <w:rsid w:val="00211148"/>
    <w:rsid w:val="002119B6"/>
    <w:rsid w:val="00213BE2"/>
    <w:rsid w:val="00217BBE"/>
    <w:rsid w:val="0022170B"/>
    <w:rsid w:val="002217B1"/>
    <w:rsid w:val="0022209E"/>
    <w:rsid w:val="00223963"/>
    <w:rsid w:val="00223993"/>
    <w:rsid w:val="00225EA0"/>
    <w:rsid w:val="00226BBC"/>
    <w:rsid w:val="002330FB"/>
    <w:rsid w:val="00233600"/>
    <w:rsid w:val="002354B2"/>
    <w:rsid w:val="002358DC"/>
    <w:rsid w:val="00235D34"/>
    <w:rsid w:val="00236653"/>
    <w:rsid w:val="00236785"/>
    <w:rsid w:val="00236C30"/>
    <w:rsid w:val="00240D04"/>
    <w:rsid w:val="002425E7"/>
    <w:rsid w:val="002454B7"/>
    <w:rsid w:val="00245648"/>
    <w:rsid w:val="00245874"/>
    <w:rsid w:val="00246226"/>
    <w:rsid w:val="00246FB6"/>
    <w:rsid w:val="00247209"/>
    <w:rsid w:val="00250C6B"/>
    <w:rsid w:val="00250EB4"/>
    <w:rsid w:val="002510C8"/>
    <w:rsid w:val="00251EEB"/>
    <w:rsid w:val="00253123"/>
    <w:rsid w:val="00253128"/>
    <w:rsid w:val="00255415"/>
    <w:rsid w:val="00257898"/>
    <w:rsid w:val="00261751"/>
    <w:rsid w:val="00263AB3"/>
    <w:rsid w:val="00266F01"/>
    <w:rsid w:val="00267130"/>
    <w:rsid w:val="00267DE6"/>
    <w:rsid w:val="002708B6"/>
    <w:rsid w:val="002737B8"/>
    <w:rsid w:val="0027433F"/>
    <w:rsid w:val="00274CA1"/>
    <w:rsid w:val="002754E3"/>
    <w:rsid w:val="00275B57"/>
    <w:rsid w:val="002806C0"/>
    <w:rsid w:val="00280844"/>
    <w:rsid w:val="00281C8E"/>
    <w:rsid w:val="00282064"/>
    <w:rsid w:val="00282984"/>
    <w:rsid w:val="0028615B"/>
    <w:rsid w:val="00286E2B"/>
    <w:rsid w:val="00286ECC"/>
    <w:rsid w:val="002871AC"/>
    <w:rsid w:val="00287304"/>
    <w:rsid w:val="00290EA4"/>
    <w:rsid w:val="002922FE"/>
    <w:rsid w:val="00294645"/>
    <w:rsid w:val="002950F7"/>
    <w:rsid w:val="002966C8"/>
    <w:rsid w:val="0029684F"/>
    <w:rsid w:val="002970E8"/>
    <w:rsid w:val="0029744C"/>
    <w:rsid w:val="002A1154"/>
    <w:rsid w:val="002A4D96"/>
    <w:rsid w:val="002A5850"/>
    <w:rsid w:val="002A5BF8"/>
    <w:rsid w:val="002A64F5"/>
    <w:rsid w:val="002A733E"/>
    <w:rsid w:val="002A7DEA"/>
    <w:rsid w:val="002A7FDE"/>
    <w:rsid w:val="002B0170"/>
    <w:rsid w:val="002B0823"/>
    <w:rsid w:val="002B19B0"/>
    <w:rsid w:val="002B3799"/>
    <w:rsid w:val="002B4CC7"/>
    <w:rsid w:val="002B5734"/>
    <w:rsid w:val="002B6F9E"/>
    <w:rsid w:val="002B76BC"/>
    <w:rsid w:val="002C4709"/>
    <w:rsid w:val="002C6D43"/>
    <w:rsid w:val="002C6E27"/>
    <w:rsid w:val="002D22D4"/>
    <w:rsid w:val="002D3039"/>
    <w:rsid w:val="002D34B0"/>
    <w:rsid w:val="002D4BC9"/>
    <w:rsid w:val="002D52C3"/>
    <w:rsid w:val="002D6A1C"/>
    <w:rsid w:val="002D700A"/>
    <w:rsid w:val="002D7939"/>
    <w:rsid w:val="002D7AF3"/>
    <w:rsid w:val="002E09AB"/>
    <w:rsid w:val="002E0EC0"/>
    <w:rsid w:val="002E0F0C"/>
    <w:rsid w:val="002E19D5"/>
    <w:rsid w:val="002E1D77"/>
    <w:rsid w:val="002E2134"/>
    <w:rsid w:val="002E4BA2"/>
    <w:rsid w:val="002E4DE3"/>
    <w:rsid w:val="002E733F"/>
    <w:rsid w:val="002E7B49"/>
    <w:rsid w:val="002E7EDF"/>
    <w:rsid w:val="002F13F1"/>
    <w:rsid w:val="002F14FD"/>
    <w:rsid w:val="002F4670"/>
    <w:rsid w:val="002F747D"/>
    <w:rsid w:val="00300328"/>
    <w:rsid w:val="00301482"/>
    <w:rsid w:val="003021AF"/>
    <w:rsid w:val="00304D77"/>
    <w:rsid w:val="0030580E"/>
    <w:rsid w:val="00305CD3"/>
    <w:rsid w:val="00307F7E"/>
    <w:rsid w:val="00311236"/>
    <w:rsid w:val="0031177B"/>
    <w:rsid w:val="003122AD"/>
    <w:rsid w:val="0031236D"/>
    <w:rsid w:val="00313C84"/>
    <w:rsid w:val="00315816"/>
    <w:rsid w:val="0031654A"/>
    <w:rsid w:val="00316D7E"/>
    <w:rsid w:val="003171FB"/>
    <w:rsid w:val="0032275D"/>
    <w:rsid w:val="00324077"/>
    <w:rsid w:val="00324BD6"/>
    <w:rsid w:val="0032571B"/>
    <w:rsid w:val="003314BA"/>
    <w:rsid w:val="00331A24"/>
    <w:rsid w:val="0033603A"/>
    <w:rsid w:val="00337C88"/>
    <w:rsid w:val="00340A6A"/>
    <w:rsid w:val="003436CA"/>
    <w:rsid w:val="003438CC"/>
    <w:rsid w:val="00346E32"/>
    <w:rsid w:val="003523BF"/>
    <w:rsid w:val="00352A6B"/>
    <w:rsid w:val="00352E14"/>
    <w:rsid w:val="00353403"/>
    <w:rsid w:val="003542C2"/>
    <w:rsid w:val="00354365"/>
    <w:rsid w:val="00354C70"/>
    <w:rsid w:val="0035547D"/>
    <w:rsid w:val="00357BA7"/>
    <w:rsid w:val="00361EE5"/>
    <w:rsid w:val="00363181"/>
    <w:rsid w:val="00365018"/>
    <w:rsid w:val="00366879"/>
    <w:rsid w:val="00366FB4"/>
    <w:rsid w:val="0036737A"/>
    <w:rsid w:val="00370878"/>
    <w:rsid w:val="003712D5"/>
    <w:rsid w:val="00372B76"/>
    <w:rsid w:val="003736F9"/>
    <w:rsid w:val="003765FB"/>
    <w:rsid w:val="00376A77"/>
    <w:rsid w:val="003804DA"/>
    <w:rsid w:val="003818CA"/>
    <w:rsid w:val="00383413"/>
    <w:rsid w:val="00385A61"/>
    <w:rsid w:val="0038668D"/>
    <w:rsid w:val="0038697E"/>
    <w:rsid w:val="00386B1E"/>
    <w:rsid w:val="00387AEB"/>
    <w:rsid w:val="00391889"/>
    <w:rsid w:val="00391E51"/>
    <w:rsid w:val="003921E2"/>
    <w:rsid w:val="00392868"/>
    <w:rsid w:val="00394088"/>
    <w:rsid w:val="00395142"/>
    <w:rsid w:val="00397C25"/>
    <w:rsid w:val="00397D0C"/>
    <w:rsid w:val="00397E2C"/>
    <w:rsid w:val="003A09E5"/>
    <w:rsid w:val="003A5BE1"/>
    <w:rsid w:val="003A66FD"/>
    <w:rsid w:val="003A6998"/>
    <w:rsid w:val="003A77AD"/>
    <w:rsid w:val="003B2E53"/>
    <w:rsid w:val="003B2F8A"/>
    <w:rsid w:val="003B4EE5"/>
    <w:rsid w:val="003B5A18"/>
    <w:rsid w:val="003B5DBF"/>
    <w:rsid w:val="003B65FE"/>
    <w:rsid w:val="003B77AE"/>
    <w:rsid w:val="003C0174"/>
    <w:rsid w:val="003C04EF"/>
    <w:rsid w:val="003C3540"/>
    <w:rsid w:val="003C533D"/>
    <w:rsid w:val="003C637A"/>
    <w:rsid w:val="003C756C"/>
    <w:rsid w:val="003D10A0"/>
    <w:rsid w:val="003D216A"/>
    <w:rsid w:val="003D4A98"/>
    <w:rsid w:val="003D4F45"/>
    <w:rsid w:val="003D7543"/>
    <w:rsid w:val="003E162E"/>
    <w:rsid w:val="003E2A79"/>
    <w:rsid w:val="003E3F14"/>
    <w:rsid w:val="003E4493"/>
    <w:rsid w:val="003E4F4A"/>
    <w:rsid w:val="003E732C"/>
    <w:rsid w:val="003E7CB5"/>
    <w:rsid w:val="003F14B8"/>
    <w:rsid w:val="003F2A7B"/>
    <w:rsid w:val="003F2F6B"/>
    <w:rsid w:val="003F3623"/>
    <w:rsid w:val="003F3BD7"/>
    <w:rsid w:val="003F4322"/>
    <w:rsid w:val="003F4607"/>
    <w:rsid w:val="003F5901"/>
    <w:rsid w:val="003F5940"/>
    <w:rsid w:val="003F6156"/>
    <w:rsid w:val="00401B1B"/>
    <w:rsid w:val="004021D5"/>
    <w:rsid w:val="00402A09"/>
    <w:rsid w:val="00402E4B"/>
    <w:rsid w:val="004037AC"/>
    <w:rsid w:val="004037BA"/>
    <w:rsid w:val="00403B5C"/>
    <w:rsid w:val="004044A0"/>
    <w:rsid w:val="00406C58"/>
    <w:rsid w:val="00407BB9"/>
    <w:rsid w:val="00410E5F"/>
    <w:rsid w:val="00411924"/>
    <w:rsid w:val="004126AD"/>
    <w:rsid w:val="004139E8"/>
    <w:rsid w:val="00413E6D"/>
    <w:rsid w:val="00415552"/>
    <w:rsid w:val="004163FB"/>
    <w:rsid w:val="00417F96"/>
    <w:rsid w:val="00420102"/>
    <w:rsid w:val="0042224C"/>
    <w:rsid w:val="00422A40"/>
    <w:rsid w:val="00422F80"/>
    <w:rsid w:val="00423D70"/>
    <w:rsid w:val="004251C5"/>
    <w:rsid w:val="00425815"/>
    <w:rsid w:val="0042709A"/>
    <w:rsid w:val="004309FC"/>
    <w:rsid w:val="00431F06"/>
    <w:rsid w:val="004332BD"/>
    <w:rsid w:val="00434072"/>
    <w:rsid w:val="00435E3F"/>
    <w:rsid w:val="00436E25"/>
    <w:rsid w:val="00437D13"/>
    <w:rsid w:val="00437F50"/>
    <w:rsid w:val="004411D7"/>
    <w:rsid w:val="004413DA"/>
    <w:rsid w:val="0044226D"/>
    <w:rsid w:val="00442837"/>
    <w:rsid w:val="004429A6"/>
    <w:rsid w:val="00442C52"/>
    <w:rsid w:val="004432B7"/>
    <w:rsid w:val="00443F88"/>
    <w:rsid w:val="00444A8E"/>
    <w:rsid w:val="004477E1"/>
    <w:rsid w:val="004514B8"/>
    <w:rsid w:val="00451580"/>
    <w:rsid w:val="00453E05"/>
    <w:rsid w:val="00453EA0"/>
    <w:rsid w:val="004567CD"/>
    <w:rsid w:val="00456F5E"/>
    <w:rsid w:val="0045721A"/>
    <w:rsid w:val="0045734E"/>
    <w:rsid w:val="004576B6"/>
    <w:rsid w:val="00460113"/>
    <w:rsid w:val="004601AE"/>
    <w:rsid w:val="00461419"/>
    <w:rsid w:val="004621AD"/>
    <w:rsid w:val="00464ABC"/>
    <w:rsid w:val="00465342"/>
    <w:rsid w:val="00465C10"/>
    <w:rsid w:val="00467167"/>
    <w:rsid w:val="00467488"/>
    <w:rsid w:val="004700F3"/>
    <w:rsid w:val="00471F4E"/>
    <w:rsid w:val="00477113"/>
    <w:rsid w:val="0048055F"/>
    <w:rsid w:val="00481868"/>
    <w:rsid w:val="00481DE8"/>
    <w:rsid w:val="00482964"/>
    <w:rsid w:val="00483DFF"/>
    <w:rsid w:val="00491B06"/>
    <w:rsid w:val="00491F02"/>
    <w:rsid w:val="00492089"/>
    <w:rsid w:val="00492426"/>
    <w:rsid w:val="00492AD7"/>
    <w:rsid w:val="00493701"/>
    <w:rsid w:val="004964F2"/>
    <w:rsid w:val="00496B6D"/>
    <w:rsid w:val="004A2A19"/>
    <w:rsid w:val="004A3D9A"/>
    <w:rsid w:val="004A5F98"/>
    <w:rsid w:val="004A7059"/>
    <w:rsid w:val="004A7684"/>
    <w:rsid w:val="004B0525"/>
    <w:rsid w:val="004B198E"/>
    <w:rsid w:val="004B246C"/>
    <w:rsid w:val="004B32D5"/>
    <w:rsid w:val="004B66EB"/>
    <w:rsid w:val="004B7A60"/>
    <w:rsid w:val="004C08C2"/>
    <w:rsid w:val="004C7BA7"/>
    <w:rsid w:val="004D0435"/>
    <w:rsid w:val="004D0506"/>
    <w:rsid w:val="004D1328"/>
    <w:rsid w:val="004D273B"/>
    <w:rsid w:val="004D299B"/>
    <w:rsid w:val="004D497E"/>
    <w:rsid w:val="004D7A26"/>
    <w:rsid w:val="004D7D6B"/>
    <w:rsid w:val="004E0E76"/>
    <w:rsid w:val="004E2134"/>
    <w:rsid w:val="004E4544"/>
    <w:rsid w:val="004E4750"/>
    <w:rsid w:val="004E6187"/>
    <w:rsid w:val="004E67E9"/>
    <w:rsid w:val="004E6969"/>
    <w:rsid w:val="004F19EB"/>
    <w:rsid w:val="004F1F6B"/>
    <w:rsid w:val="004F242F"/>
    <w:rsid w:val="004F3FBB"/>
    <w:rsid w:val="004F4446"/>
    <w:rsid w:val="004F5B49"/>
    <w:rsid w:val="004F695D"/>
    <w:rsid w:val="004F6CA9"/>
    <w:rsid w:val="004F79EB"/>
    <w:rsid w:val="005013FE"/>
    <w:rsid w:val="0050262B"/>
    <w:rsid w:val="00505A63"/>
    <w:rsid w:val="00506DA8"/>
    <w:rsid w:val="00507560"/>
    <w:rsid w:val="0051037F"/>
    <w:rsid w:val="005106F1"/>
    <w:rsid w:val="005119F2"/>
    <w:rsid w:val="0051252C"/>
    <w:rsid w:val="005129FF"/>
    <w:rsid w:val="005135FA"/>
    <w:rsid w:val="005136FE"/>
    <w:rsid w:val="00513A83"/>
    <w:rsid w:val="00513F41"/>
    <w:rsid w:val="00514A82"/>
    <w:rsid w:val="00515286"/>
    <w:rsid w:val="0051623F"/>
    <w:rsid w:val="00520466"/>
    <w:rsid w:val="00520B17"/>
    <w:rsid w:val="00522421"/>
    <w:rsid w:val="005264F7"/>
    <w:rsid w:val="00527957"/>
    <w:rsid w:val="005312AC"/>
    <w:rsid w:val="0053312A"/>
    <w:rsid w:val="005335C4"/>
    <w:rsid w:val="0053400C"/>
    <w:rsid w:val="005368F8"/>
    <w:rsid w:val="00540E14"/>
    <w:rsid w:val="005452E1"/>
    <w:rsid w:val="00547981"/>
    <w:rsid w:val="00550B4E"/>
    <w:rsid w:val="00550B9E"/>
    <w:rsid w:val="00553334"/>
    <w:rsid w:val="00554BB4"/>
    <w:rsid w:val="00554FE9"/>
    <w:rsid w:val="005553B4"/>
    <w:rsid w:val="0055567F"/>
    <w:rsid w:val="00556948"/>
    <w:rsid w:val="00560AD7"/>
    <w:rsid w:val="00560C8F"/>
    <w:rsid w:val="005624E5"/>
    <w:rsid w:val="005635F3"/>
    <w:rsid w:val="00564501"/>
    <w:rsid w:val="0056527A"/>
    <w:rsid w:val="00566BE3"/>
    <w:rsid w:val="00566C60"/>
    <w:rsid w:val="00567814"/>
    <w:rsid w:val="00570089"/>
    <w:rsid w:val="00570A96"/>
    <w:rsid w:val="005736D4"/>
    <w:rsid w:val="0058230B"/>
    <w:rsid w:val="00582390"/>
    <w:rsid w:val="00582BB9"/>
    <w:rsid w:val="00583F3A"/>
    <w:rsid w:val="00585863"/>
    <w:rsid w:val="00586CB5"/>
    <w:rsid w:val="00587575"/>
    <w:rsid w:val="00593D54"/>
    <w:rsid w:val="0059482E"/>
    <w:rsid w:val="00594FEB"/>
    <w:rsid w:val="00595314"/>
    <w:rsid w:val="0059571E"/>
    <w:rsid w:val="0059573D"/>
    <w:rsid w:val="00595D02"/>
    <w:rsid w:val="00596407"/>
    <w:rsid w:val="005A017B"/>
    <w:rsid w:val="005A0773"/>
    <w:rsid w:val="005A1E8D"/>
    <w:rsid w:val="005A5D1E"/>
    <w:rsid w:val="005B16DB"/>
    <w:rsid w:val="005B269A"/>
    <w:rsid w:val="005B30B5"/>
    <w:rsid w:val="005B345A"/>
    <w:rsid w:val="005B3ABC"/>
    <w:rsid w:val="005B4C24"/>
    <w:rsid w:val="005C090A"/>
    <w:rsid w:val="005C0B93"/>
    <w:rsid w:val="005C2436"/>
    <w:rsid w:val="005C25A5"/>
    <w:rsid w:val="005C3E98"/>
    <w:rsid w:val="005C7E72"/>
    <w:rsid w:val="005C7EA2"/>
    <w:rsid w:val="005D1450"/>
    <w:rsid w:val="005D25EA"/>
    <w:rsid w:val="005D277B"/>
    <w:rsid w:val="005D2833"/>
    <w:rsid w:val="005D2B0A"/>
    <w:rsid w:val="005D2DF7"/>
    <w:rsid w:val="005D3343"/>
    <w:rsid w:val="005D5F84"/>
    <w:rsid w:val="005D7E82"/>
    <w:rsid w:val="005E15AA"/>
    <w:rsid w:val="005E299E"/>
    <w:rsid w:val="005E493C"/>
    <w:rsid w:val="005E4AA1"/>
    <w:rsid w:val="005E743B"/>
    <w:rsid w:val="005E7D9F"/>
    <w:rsid w:val="005F011A"/>
    <w:rsid w:val="005F3810"/>
    <w:rsid w:val="005F3C3D"/>
    <w:rsid w:val="005F4197"/>
    <w:rsid w:val="005F42A1"/>
    <w:rsid w:val="005F4E7A"/>
    <w:rsid w:val="005F51B9"/>
    <w:rsid w:val="005F618E"/>
    <w:rsid w:val="005F69CE"/>
    <w:rsid w:val="006005D7"/>
    <w:rsid w:val="0060186E"/>
    <w:rsid w:val="00602A42"/>
    <w:rsid w:val="006035D8"/>
    <w:rsid w:val="0060383A"/>
    <w:rsid w:val="00603EBD"/>
    <w:rsid w:val="00603FF3"/>
    <w:rsid w:val="00610DD7"/>
    <w:rsid w:val="006122F7"/>
    <w:rsid w:val="00612456"/>
    <w:rsid w:val="0061322D"/>
    <w:rsid w:val="00614749"/>
    <w:rsid w:val="00614C10"/>
    <w:rsid w:val="00614C5C"/>
    <w:rsid w:val="00614D0F"/>
    <w:rsid w:val="0061517B"/>
    <w:rsid w:val="00617267"/>
    <w:rsid w:val="006176DA"/>
    <w:rsid w:val="006216C9"/>
    <w:rsid w:val="0062418D"/>
    <w:rsid w:val="0062482D"/>
    <w:rsid w:val="006254C8"/>
    <w:rsid w:val="0062685D"/>
    <w:rsid w:val="00627851"/>
    <w:rsid w:val="00632025"/>
    <w:rsid w:val="00632932"/>
    <w:rsid w:val="00632964"/>
    <w:rsid w:val="00632B68"/>
    <w:rsid w:val="00634BCD"/>
    <w:rsid w:val="006350B3"/>
    <w:rsid w:val="00635D78"/>
    <w:rsid w:val="0064073B"/>
    <w:rsid w:val="00641ED4"/>
    <w:rsid w:val="006426F6"/>
    <w:rsid w:val="0064309C"/>
    <w:rsid w:val="00643A52"/>
    <w:rsid w:val="0064533D"/>
    <w:rsid w:val="00645C79"/>
    <w:rsid w:val="00645DDD"/>
    <w:rsid w:val="00645EC1"/>
    <w:rsid w:val="00645EFA"/>
    <w:rsid w:val="0064692A"/>
    <w:rsid w:val="00650275"/>
    <w:rsid w:val="006503E1"/>
    <w:rsid w:val="006506B5"/>
    <w:rsid w:val="00650843"/>
    <w:rsid w:val="00652CE0"/>
    <w:rsid w:val="00652DBF"/>
    <w:rsid w:val="0065379A"/>
    <w:rsid w:val="00654C3E"/>
    <w:rsid w:val="00655F77"/>
    <w:rsid w:val="006578DC"/>
    <w:rsid w:val="00657C3F"/>
    <w:rsid w:val="00660CD9"/>
    <w:rsid w:val="00664384"/>
    <w:rsid w:val="00665068"/>
    <w:rsid w:val="00665938"/>
    <w:rsid w:val="0066615A"/>
    <w:rsid w:val="00667B74"/>
    <w:rsid w:val="00670453"/>
    <w:rsid w:val="00673816"/>
    <w:rsid w:val="00673D68"/>
    <w:rsid w:val="00680D19"/>
    <w:rsid w:val="00680F2D"/>
    <w:rsid w:val="006816EF"/>
    <w:rsid w:val="00681802"/>
    <w:rsid w:val="00681D96"/>
    <w:rsid w:val="00685B26"/>
    <w:rsid w:val="00687F32"/>
    <w:rsid w:val="006903CB"/>
    <w:rsid w:val="00692BB1"/>
    <w:rsid w:val="00692EB0"/>
    <w:rsid w:val="00693089"/>
    <w:rsid w:val="006935BF"/>
    <w:rsid w:val="00694157"/>
    <w:rsid w:val="0069506D"/>
    <w:rsid w:val="0069553C"/>
    <w:rsid w:val="00695615"/>
    <w:rsid w:val="006956C7"/>
    <w:rsid w:val="00697EE0"/>
    <w:rsid w:val="006A281C"/>
    <w:rsid w:val="006A2D75"/>
    <w:rsid w:val="006A3D49"/>
    <w:rsid w:val="006A6B56"/>
    <w:rsid w:val="006A6D9E"/>
    <w:rsid w:val="006A72E7"/>
    <w:rsid w:val="006A72FE"/>
    <w:rsid w:val="006B0F33"/>
    <w:rsid w:val="006B1042"/>
    <w:rsid w:val="006B167D"/>
    <w:rsid w:val="006B37F0"/>
    <w:rsid w:val="006B4506"/>
    <w:rsid w:val="006B5C73"/>
    <w:rsid w:val="006B6630"/>
    <w:rsid w:val="006C003C"/>
    <w:rsid w:val="006C0D2F"/>
    <w:rsid w:val="006C0EEE"/>
    <w:rsid w:val="006C1A22"/>
    <w:rsid w:val="006C270F"/>
    <w:rsid w:val="006C350F"/>
    <w:rsid w:val="006C351F"/>
    <w:rsid w:val="006C4676"/>
    <w:rsid w:val="006C52BF"/>
    <w:rsid w:val="006C5525"/>
    <w:rsid w:val="006C57F2"/>
    <w:rsid w:val="006C5BC3"/>
    <w:rsid w:val="006C62E5"/>
    <w:rsid w:val="006C6E59"/>
    <w:rsid w:val="006D188F"/>
    <w:rsid w:val="006D2324"/>
    <w:rsid w:val="006D2A05"/>
    <w:rsid w:val="006D2B6D"/>
    <w:rsid w:val="006D4AC2"/>
    <w:rsid w:val="006D6FE1"/>
    <w:rsid w:val="006D74AA"/>
    <w:rsid w:val="006D798B"/>
    <w:rsid w:val="006E0093"/>
    <w:rsid w:val="006E1332"/>
    <w:rsid w:val="006E173B"/>
    <w:rsid w:val="006E21AE"/>
    <w:rsid w:val="006E3421"/>
    <w:rsid w:val="006E4064"/>
    <w:rsid w:val="006E46E7"/>
    <w:rsid w:val="006E4F28"/>
    <w:rsid w:val="006E5168"/>
    <w:rsid w:val="006E6756"/>
    <w:rsid w:val="006E6BA6"/>
    <w:rsid w:val="006E7A9A"/>
    <w:rsid w:val="006E7E30"/>
    <w:rsid w:val="006F0E3E"/>
    <w:rsid w:val="006F2AE8"/>
    <w:rsid w:val="006F521A"/>
    <w:rsid w:val="006F7360"/>
    <w:rsid w:val="00700071"/>
    <w:rsid w:val="007033AC"/>
    <w:rsid w:val="007034B7"/>
    <w:rsid w:val="00703CBB"/>
    <w:rsid w:val="00703D20"/>
    <w:rsid w:val="00705F06"/>
    <w:rsid w:val="007063FD"/>
    <w:rsid w:val="007074A0"/>
    <w:rsid w:val="007074AD"/>
    <w:rsid w:val="007102A6"/>
    <w:rsid w:val="00710C73"/>
    <w:rsid w:val="0071169C"/>
    <w:rsid w:val="0071178F"/>
    <w:rsid w:val="00711C0A"/>
    <w:rsid w:val="007123AE"/>
    <w:rsid w:val="00712F49"/>
    <w:rsid w:val="00713B4D"/>
    <w:rsid w:val="00717064"/>
    <w:rsid w:val="007178B4"/>
    <w:rsid w:val="007219A3"/>
    <w:rsid w:val="00723181"/>
    <w:rsid w:val="00727F45"/>
    <w:rsid w:val="00730138"/>
    <w:rsid w:val="007311A6"/>
    <w:rsid w:val="007317DC"/>
    <w:rsid w:val="00734358"/>
    <w:rsid w:val="00735915"/>
    <w:rsid w:val="00736376"/>
    <w:rsid w:val="00740184"/>
    <w:rsid w:val="00740EEF"/>
    <w:rsid w:val="007411F9"/>
    <w:rsid w:val="0074264E"/>
    <w:rsid w:val="00743154"/>
    <w:rsid w:val="007443AE"/>
    <w:rsid w:val="00744F7D"/>
    <w:rsid w:val="00745B53"/>
    <w:rsid w:val="00746096"/>
    <w:rsid w:val="0074642E"/>
    <w:rsid w:val="007524CD"/>
    <w:rsid w:val="00752532"/>
    <w:rsid w:val="007540FD"/>
    <w:rsid w:val="00755FA4"/>
    <w:rsid w:val="007570AD"/>
    <w:rsid w:val="007577DF"/>
    <w:rsid w:val="00757FF5"/>
    <w:rsid w:val="00761F7B"/>
    <w:rsid w:val="00762BBE"/>
    <w:rsid w:val="00763366"/>
    <w:rsid w:val="0076448E"/>
    <w:rsid w:val="0076562E"/>
    <w:rsid w:val="00765CC6"/>
    <w:rsid w:val="00766783"/>
    <w:rsid w:val="007672D9"/>
    <w:rsid w:val="0076756B"/>
    <w:rsid w:val="00770DCA"/>
    <w:rsid w:val="00771C26"/>
    <w:rsid w:val="00771E95"/>
    <w:rsid w:val="00772337"/>
    <w:rsid w:val="0077383E"/>
    <w:rsid w:val="00773F3E"/>
    <w:rsid w:val="00775788"/>
    <w:rsid w:val="007769C5"/>
    <w:rsid w:val="00776E98"/>
    <w:rsid w:val="0078238A"/>
    <w:rsid w:val="00782B03"/>
    <w:rsid w:val="00782B71"/>
    <w:rsid w:val="00783278"/>
    <w:rsid w:val="00783899"/>
    <w:rsid w:val="00783B71"/>
    <w:rsid w:val="007847BD"/>
    <w:rsid w:val="00786A9F"/>
    <w:rsid w:val="0079309F"/>
    <w:rsid w:val="007939D2"/>
    <w:rsid w:val="0079455A"/>
    <w:rsid w:val="00795F4C"/>
    <w:rsid w:val="0079607A"/>
    <w:rsid w:val="007A0A5A"/>
    <w:rsid w:val="007A2A5E"/>
    <w:rsid w:val="007A5232"/>
    <w:rsid w:val="007A557C"/>
    <w:rsid w:val="007A6092"/>
    <w:rsid w:val="007A64CD"/>
    <w:rsid w:val="007A681D"/>
    <w:rsid w:val="007A6F7F"/>
    <w:rsid w:val="007A7C43"/>
    <w:rsid w:val="007B001B"/>
    <w:rsid w:val="007B06B0"/>
    <w:rsid w:val="007B1267"/>
    <w:rsid w:val="007B1E4D"/>
    <w:rsid w:val="007B285E"/>
    <w:rsid w:val="007B4F2E"/>
    <w:rsid w:val="007B5136"/>
    <w:rsid w:val="007B582C"/>
    <w:rsid w:val="007B640E"/>
    <w:rsid w:val="007B6943"/>
    <w:rsid w:val="007B7E7C"/>
    <w:rsid w:val="007C03A0"/>
    <w:rsid w:val="007C0C24"/>
    <w:rsid w:val="007C1A82"/>
    <w:rsid w:val="007C22AC"/>
    <w:rsid w:val="007C30CE"/>
    <w:rsid w:val="007C36DD"/>
    <w:rsid w:val="007C36FD"/>
    <w:rsid w:val="007C3A9A"/>
    <w:rsid w:val="007C3AEE"/>
    <w:rsid w:val="007C4E40"/>
    <w:rsid w:val="007C6021"/>
    <w:rsid w:val="007C636B"/>
    <w:rsid w:val="007C6BC8"/>
    <w:rsid w:val="007C7C7B"/>
    <w:rsid w:val="007D132A"/>
    <w:rsid w:val="007D2515"/>
    <w:rsid w:val="007D34E4"/>
    <w:rsid w:val="007D350A"/>
    <w:rsid w:val="007D3803"/>
    <w:rsid w:val="007D3E8D"/>
    <w:rsid w:val="007D44A2"/>
    <w:rsid w:val="007D48AC"/>
    <w:rsid w:val="007D5AFB"/>
    <w:rsid w:val="007E0423"/>
    <w:rsid w:val="007E13B4"/>
    <w:rsid w:val="007E1B31"/>
    <w:rsid w:val="007E6174"/>
    <w:rsid w:val="007E67CC"/>
    <w:rsid w:val="007E7497"/>
    <w:rsid w:val="007F060F"/>
    <w:rsid w:val="007F240E"/>
    <w:rsid w:val="007F2863"/>
    <w:rsid w:val="007F3837"/>
    <w:rsid w:val="007F4AD4"/>
    <w:rsid w:val="007F5810"/>
    <w:rsid w:val="007F5CC7"/>
    <w:rsid w:val="007F66E0"/>
    <w:rsid w:val="007F6C81"/>
    <w:rsid w:val="007F72AC"/>
    <w:rsid w:val="007F752D"/>
    <w:rsid w:val="007F7578"/>
    <w:rsid w:val="00800810"/>
    <w:rsid w:val="008034D1"/>
    <w:rsid w:val="00803D4E"/>
    <w:rsid w:val="008067C2"/>
    <w:rsid w:val="00807FB0"/>
    <w:rsid w:val="00810769"/>
    <w:rsid w:val="00810B8C"/>
    <w:rsid w:val="00810CC2"/>
    <w:rsid w:val="008130E5"/>
    <w:rsid w:val="008139DF"/>
    <w:rsid w:val="00813A19"/>
    <w:rsid w:val="008149CE"/>
    <w:rsid w:val="00816ABD"/>
    <w:rsid w:val="00817748"/>
    <w:rsid w:val="00820701"/>
    <w:rsid w:val="0082076E"/>
    <w:rsid w:val="00821523"/>
    <w:rsid w:val="00822F97"/>
    <w:rsid w:val="00823326"/>
    <w:rsid w:val="00823D25"/>
    <w:rsid w:val="008242CC"/>
    <w:rsid w:val="00824573"/>
    <w:rsid w:val="00824C06"/>
    <w:rsid w:val="008260D1"/>
    <w:rsid w:val="0083062E"/>
    <w:rsid w:val="008323E1"/>
    <w:rsid w:val="00833372"/>
    <w:rsid w:val="00833868"/>
    <w:rsid w:val="00834DAC"/>
    <w:rsid w:val="00836B41"/>
    <w:rsid w:val="00840DF4"/>
    <w:rsid w:val="0084187A"/>
    <w:rsid w:val="00841F24"/>
    <w:rsid w:val="008447A1"/>
    <w:rsid w:val="008459F7"/>
    <w:rsid w:val="00846A7B"/>
    <w:rsid w:val="00846AA0"/>
    <w:rsid w:val="008476EE"/>
    <w:rsid w:val="00847D3C"/>
    <w:rsid w:val="00850B2B"/>
    <w:rsid w:val="00850B90"/>
    <w:rsid w:val="008519F9"/>
    <w:rsid w:val="0085253C"/>
    <w:rsid w:val="00854A91"/>
    <w:rsid w:val="00856C9B"/>
    <w:rsid w:val="0085731B"/>
    <w:rsid w:val="00860314"/>
    <w:rsid w:val="0086340F"/>
    <w:rsid w:val="00863D29"/>
    <w:rsid w:val="00863ED0"/>
    <w:rsid w:val="008642CD"/>
    <w:rsid w:val="008648F8"/>
    <w:rsid w:val="00864DDC"/>
    <w:rsid w:val="008652F3"/>
    <w:rsid w:val="008660DD"/>
    <w:rsid w:val="00866102"/>
    <w:rsid w:val="0086662F"/>
    <w:rsid w:val="00867741"/>
    <w:rsid w:val="00867883"/>
    <w:rsid w:val="00872A6E"/>
    <w:rsid w:val="00874457"/>
    <w:rsid w:val="008777E1"/>
    <w:rsid w:val="00877B4B"/>
    <w:rsid w:val="0088089E"/>
    <w:rsid w:val="00880FAB"/>
    <w:rsid w:val="00881653"/>
    <w:rsid w:val="008816B7"/>
    <w:rsid w:val="00890912"/>
    <w:rsid w:val="008909C7"/>
    <w:rsid w:val="00890F4D"/>
    <w:rsid w:val="00892962"/>
    <w:rsid w:val="008939D7"/>
    <w:rsid w:val="00893FE2"/>
    <w:rsid w:val="008971EF"/>
    <w:rsid w:val="00897795"/>
    <w:rsid w:val="008A06B3"/>
    <w:rsid w:val="008A11BA"/>
    <w:rsid w:val="008A19A0"/>
    <w:rsid w:val="008A5E00"/>
    <w:rsid w:val="008A651E"/>
    <w:rsid w:val="008A70B4"/>
    <w:rsid w:val="008B40CB"/>
    <w:rsid w:val="008B4579"/>
    <w:rsid w:val="008B489E"/>
    <w:rsid w:val="008B77A9"/>
    <w:rsid w:val="008C117F"/>
    <w:rsid w:val="008C1C18"/>
    <w:rsid w:val="008C4E91"/>
    <w:rsid w:val="008C5BC6"/>
    <w:rsid w:val="008D0830"/>
    <w:rsid w:val="008D19DE"/>
    <w:rsid w:val="008D211E"/>
    <w:rsid w:val="008D2467"/>
    <w:rsid w:val="008D2635"/>
    <w:rsid w:val="008D340F"/>
    <w:rsid w:val="008D3AFA"/>
    <w:rsid w:val="008D425B"/>
    <w:rsid w:val="008D48ED"/>
    <w:rsid w:val="008D5B71"/>
    <w:rsid w:val="008E018F"/>
    <w:rsid w:val="008E0B36"/>
    <w:rsid w:val="008E108C"/>
    <w:rsid w:val="008E3B4B"/>
    <w:rsid w:val="008E473A"/>
    <w:rsid w:val="008E4B09"/>
    <w:rsid w:val="008E610E"/>
    <w:rsid w:val="008F124D"/>
    <w:rsid w:val="008F50E8"/>
    <w:rsid w:val="008F55F5"/>
    <w:rsid w:val="008F620F"/>
    <w:rsid w:val="008F65FB"/>
    <w:rsid w:val="008F7CD9"/>
    <w:rsid w:val="008F7CE3"/>
    <w:rsid w:val="00900AEE"/>
    <w:rsid w:val="00901614"/>
    <w:rsid w:val="00902AD6"/>
    <w:rsid w:val="009063A1"/>
    <w:rsid w:val="0090719A"/>
    <w:rsid w:val="009109E7"/>
    <w:rsid w:val="009111FD"/>
    <w:rsid w:val="0091422B"/>
    <w:rsid w:val="00916AE0"/>
    <w:rsid w:val="00920BA8"/>
    <w:rsid w:val="00921A97"/>
    <w:rsid w:val="00923256"/>
    <w:rsid w:val="009235D7"/>
    <w:rsid w:val="00925C4F"/>
    <w:rsid w:val="00926696"/>
    <w:rsid w:val="00932E9E"/>
    <w:rsid w:val="00932F1D"/>
    <w:rsid w:val="00934923"/>
    <w:rsid w:val="009353C4"/>
    <w:rsid w:val="009358D5"/>
    <w:rsid w:val="009361B2"/>
    <w:rsid w:val="00936B61"/>
    <w:rsid w:val="00937BE6"/>
    <w:rsid w:val="009401F4"/>
    <w:rsid w:val="009420B0"/>
    <w:rsid w:val="00945E1C"/>
    <w:rsid w:val="00950B08"/>
    <w:rsid w:val="00950FEC"/>
    <w:rsid w:val="00952C3E"/>
    <w:rsid w:val="00953A06"/>
    <w:rsid w:val="00954F0C"/>
    <w:rsid w:val="00954F74"/>
    <w:rsid w:val="00956171"/>
    <w:rsid w:val="00956301"/>
    <w:rsid w:val="0095647E"/>
    <w:rsid w:val="00957629"/>
    <w:rsid w:val="009615A4"/>
    <w:rsid w:val="0096440D"/>
    <w:rsid w:val="009658FE"/>
    <w:rsid w:val="0096687E"/>
    <w:rsid w:val="00967CC3"/>
    <w:rsid w:val="0097008E"/>
    <w:rsid w:val="009704F1"/>
    <w:rsid w:val="0097280E"/>
    <w:rsid w:val="00972EDD"/>
    <w:rsid w:val="00972F82"/>
    <w:rsid w:val="009742C6"/>
    <w:rsid w:val="00974371"/>
    <w:rsid w:val="0097458A"/>
    <w:rsid w:val="009753A1"/>
    <w:rsid w:val="0097691C"/>
    <w:rsid w:val="00981357"/>
    <w:rsid w:val="00981F64"/>
    <w:rsid w:val="0098234E"/>
    <w:rsid w:val="00985176"/>
    <w:rsid w:val="00985F0C"/>
    <w:rsid w:val="0098608D"/>
    <w:rsid w:val="00987149"/>
    <w:rsid w:val="00987F9D"/>
    <w:rsid w:val="00990197"/>
    <w:rsid w:val="00991C7B"/>
    <w:rsid w:val="0099473A"/>
    <w:rsid w:val="0099478C"/>
    <w:rsid w:val="00994812"/>
    <w:rsid w:val="009948F0"/>
    <w:rsid w:val="00994DD7"/>
    <w:rsid w:val="00995196"/>
    <w:rsid w:val="009966D6"/>
    <w:rsid w:val="009A16ED"/>
    <w:rsid w:val="009A2C12"/>
    <w:rsid w:val="009A629F"/>
    <w:rsid w:val="009A6793"/>
    <w:rsid w:val="009B038F"/>
    <w:rsid w:val="009B1519"/>
    <w:rsid w:val="009B2295"/>
    <w:rsid w:val="009B2436"/>
    <w:rsid w:val="009B2895"/>
    <w:rsid w:val="009B299F"/>
    <w:rsid w:val="009B361D"/>
    <w:rsid w:val="009B421F"/>
    <w:rsid w:val="009B50F6"/>
    <w:rsid w:val="009B55FB"/>
    <w:rsid w:val="009B714E"/>
    <w:rsid w:val="009B7C6C"/>
    <w:rsid w:val="009B7D74"/>
    <w:rsid w:val="009C1AA2"/>
    <w:rsid w:val="009C2C33"/>
    <w:rsid w:val="009C2E5F"/>
    <w:rsid w:val="009C7417"/>
    <w:rsid w:val="009C7D7F"/>
    <w:rsid w:val="009D0FB2"/>
    <w:rsid w:val="009D2014"/>
    <w:rsid w:val="009D2951"/>
    <w:rsid w:val="009D5B09"/>
    <w:rsid w:val="009E0CDF"/>
    <w:rsid w:val="009E2C6D"/>
    <w:rsid w:val="009E41EA"/>
    <w:rsid w:val="009E4305"/>
    <w:rsid w:val="009E49BB"/>
    <w:rsid w:val="009E52B7"/>
    <w:rsid w:val="009E5FFB"/>
    <w:rsid w:val="009F10B6"/>
    <w:rsid w:val="009F4AC5"/>
    <w:rsid w:val="009F57BD"/>
    <w:rsid w:val="009F5955"/>
    <w:rsid w:val="00A01AA9"/>
    <w:rsid w:val="00A027FE"/>
    <w:rsid w:val="00A05649"/>
    <w:rsid w:val="00A05E49"/>
    <w:rsid w:val="00A06635"/>
    <w:rsid w:val="00A068C7"/>
    <w:rsid w:val="00A07B5F"/>
    <w:rsid w:val="00A10E43"/>
    <w:rsid w:val="00A1173E"/>
    <w:rsid w:val="00A13217"/>
    <w:rsid w:val="00A134B6"/>
    <w:rsid w:val="00A13E98"/>
    <w:rsid w:val="00A15B6E"/>
    <w:rsid w:val="00A166CA"/>
    <w:rsid w:val="00A16726"/>
    <w:rsid w:val="00A20230"/>
    <w:rsid w:val="00A23218"/>
    <w:rsid w:val="00A249C4"/>
    <w:rsid w:val="00A259AF"/>
    <w:rsid w:val="00A259B8"/>
    <w:rsid w:val="00A31004"/>
    <w:rsid w:val="00A31535"/>
    <w:rsid w:val="00A3190D"/>
    <w:rsid w:val="00A3227B"/>
    <w:rsid w:val="00A33AEF"/>
    <w:rsid w:val="00A34AF8"/>
    <w:rsid w:val="00A34FAA"/>
    <w:rsid w:val="00A3546B"/>
    <w:rsid w:val="00A358DB"/>
    <w:rsid w:val="00A35CC7"/>
    <w:rsid w:val="00A373EC"/>
    <w:rsid w:val="00A378B9"/>
    <w:rsid w:val="00A40CCA"/>
    <w:rsid w:val="00A41050"/>
    <w:rsid w:val="00A421AA"/>
    <w:rsid w:val="00A4220B"/>
    <w:rsid w:val="00A424CA"/>
    <w:rsid w:val="00A43322"/>
    <w:rsid w:val="00A434D4"/>
    <w:rsid w:val="00A466FF"/>
    <w:rsid w:val="00A47FBB"/>
    <w:rsid w:val="00A50770"/>
    <w:rsid w:val="00A50C2D"/>
    <w:rsid w:val="00A51000"/>
    <w:rsid w:val="00A519BA"/>
    <w:rsid w:val="00A51F0F"/>
    <w:rsid w:val="00A522BE"/>
    <w:rsid w:val="00A527A8"/>
    <w:rsid w:val="00A52D45"/>
    <w:rsid w:val="00A549FA"/>
    <w:rsid w:val="00A55855"/>
    <w:rsid w:val="00A55C52"/>
    <w:rsid w:val="00A566C6"/>
    <w:rsid w:val="00A5796F"/>
    <w:rsid w:val="00A60152"/>
    <w:rsid w:val="00A60F95"/>
    <w:rsid w:val="00A617FA"/>
    <w:rsid w:val="00A6252E"/>
    <w:rsid w:val="00A62F44"/>
    <w:rsid w:val="00A643E4"/>
    <w:rsid w:val="00A6572F"/>
    <w:rsid w:val="00A65E51"/>
    <w:rsid w:val="00A66061"/>
    <w:rsid w:val="00A7055A"/>
    <w:rsid w:val="00A71761"/>
    <w:rsid w:val="00A721E9"/>
    <w:rsid w:val="00A75A20"/>
    <w:rsid w:val="00A81E14"/>
    <w:rsid w:val="00A83209"/>
    <w:rsid w:val="00A83A0E"/>
    <w:rsid w:val="00A84550"/>
    <w:rsid w:val="00A84DD8"/>
    <w:rsid w:val="00A84E63"/>
    <w:rsid w:val="00A856C2"/>
    <w:rsid w:val="00A8600D"/>
    <w:rsid w:val="00A8795F"/>
    <w:rsid w:val="00A90EB7"/>
    <w:rsid w:val="00A91C62"/>
    <w:rsid w:val="00A95169"/>
    <w:rsid w:val="00A95B9D"/>
    <w:rsid w:val="00A96319"/>
    <w:rsid w:val="00A97188"/>
    <w:rsid w:val="00A971AF"/>
    <w:rsid w:val="00A97322"/>
    <w:rsid w:val="00AA13C4"/>
    <w:rsid w:val="00AA1662"/>
    <w:rsid w:val="00AA4E08"/>
    <w:rsid w:val="00AA6058"/>
    <w:rsid w:val="00AA6671"/>
    <w:rsid w:val="00AA7396"/>
    <w:rsid w:val="00AB0CF5"/>
    <w:rsid w:val="00AB1C74"/>
    <w:rsid w:val="00AB2895"/>
    <w:rsid w:val="00AB3798"/>
    <w:rsid w:val="00AB5EB8"/>
    <w:rsid w:val="00AC1BA8"/>
    <w:rsid w:val="00AC1FE7"/>
    <w:rsid w:val="00AC4951"/>
    <w:rsid w:val="00AC56F2"/>
    <w:rsid w:val="00AC5AEE"/>
    <w:rsid w:val="00AD0A5C"/>
    <w:rsid w:val="00AD33D6"/>
    <w:rsid w:val="00AD370C"/>
    <w:rsid w:val="00AD3A4B"/>
    <w:rsid w:val="00AD3FEE"/>
    <w:rsid w:val="00AD4796"/>
    <w:rsid w:val="00AD47C3"/>
    <w:rsid w:val="00AD6AFC"/>
    <w:rsid w:val="00AE25B8"/>
    <w:rsid w:val="00AE29CE"/>
    <w:rsid w:val="00AE520A"/>
    <w:rsid w:val="00AE58B0"/>
    <w:rsid w:val="00AE5A10"/>
    <w:rsid w:val="00AE7959"/>
    <w:rsid w:val="00AE7AB8"/>
    <w:rsid w:val="00AF04B9"/>
    <w:rsid w:val="00AF13B0"/>
    <w:rsid w:val="00AF15BC"/>
    <w:rsid w:val="00AF2B93"/>
    <w:rsid w:val="00AF392C"/>
    <w:rsid w:val="00AF3DB1"/>
    <w:rsid w:val="00AF6208"/>
    <w:rsid w:val="00AF6FC7"/>
    <w:rsid w:val="00B010DB"/>
    <w:rsid w:val="00B05B21"/>
    <w:rsid w:val="00B06474"/>
    <w:rsid w:val="00B100F7"/>
    <w:rsid w:val="00B117DC"/>
    <w:rsid w:val="00B12A7A"/>
    <w:rsid w:val="00B171A2"/>
    <w:rsid w:val="00B17756"/>
    <w:rsid w:val="00B20B5D"/>
    <w:rsid w:val="00B20BA9"/>
    <w:rsid w:val="00B21F6A"/>
    <w:rsid w:val="00B2315B"/>
    <w:rsid w:val="00B2405E"/>
    <w:rsid w:val="00B2542D"/>
    <w:rsid w:val="00B25BA6"/>
    <w:rsid w:val="00B25D91"/>
    <w:rsid w:val="00B30170"/>
    <w:rsid w:val="00B33162"/>
    <w:rsid w:val="00B345DE"/>
    <w:rsid w:val="00B34C8F"/>
    <w:rsid w:val="00B353E2"/>
    <w:rsid w:val="00B35CE5"/>
    <w:rsid w:val="00B35ECA"/>
    <w:rsid w:val="00B37C28"/>
    <w:rsid w:val="00B40051"/>
    <w:rsid w:val="00B41EB5"/>
    <w:rsid w:val="00B42D83"/>
    <w:rsid w:val="00B446CD"/>
    <w:rsid w:val="00B44FC0"/>
    <w:rsid w:val="00B45EE6"/>
    <w:rsid w:val="00B45F57"/>
    <w:rsid w:val="00B47ACB"/>
    <w:rsid w:val="00B50548"/>
    <w:rsid w:val="00B50AB6"/>
    <w:rsid w:val="00B5197A"/>
    <w:rsid w:val="00B52622"/>
    <w:rsid w:val="00B52E9F"/>
    <w:rsid w:val="00B52ECC"/>
    <w:rsid w:val="00B56566"/>
    <w:rsid w:val="00B5726F"/>
    <w:rsid w:val="00B60915"/>
    <w:rsid w:val="00B61711"/>
    <w:rsid w:val="00B61A54"/>
    <w:rsid w:val="00B61B63"/>
    <w:rsid w:val="00B61D23"/>
    <w:rsid w:val="00B62E9D"/>
    <w:rsid w:val="00B6324D"/>
    <w:rsid w:val="00B663FD"/>
    <w:rsid w:val="00B66500"/>
    <w:rsid w:val="00B74193"/>
    <w:rsid w:val="00B74F46"/>
    <w:rsid w:val="00B76523"/>
    <w:rsid w:val="00B819AA"/>
    <w:rsid w:val="00B82EB3"/>
    <w:rsid w:val="00B83A30"/>
    <w:rsid w:val="00B8476F"/>
    <w:rsid w:val="00B85999"/>
    <w:rsid w:val="00B85CBB"/>
    <w:rsid w:val="00B86F83"/>
    <w:rsid w:val="00B87219"/>
    <w:rsid w:val="00B902C6"/>
    <w:rsid w:val="00B903CB"/>
    <w:rsid w:val="00B93680"/>
    <w:rsid w:val="00B93755"/>
    <w:rsid w:val="00B95AD0"/>
    <w:rsid w:val="00B96582"/>
    <w:rsid w:val="00BA069E"/>
    <w:rsid w:val="00BA0755"/>
    <w:rsid w:val="00BA14F8"/>
    <w:rsid w:val="00BA2699"/>
    <w:rsid w:val="00BA6176"/>
    <w:rsid w:val="00BA64B3"/>
    <w:rsid w:val="00BB17B1"/>
    <w:rsid w:val="00BB19E5"/>
    <w:rsid w:val="00BB35BE"/>
    <w:rsid w:val="00BB43D3"/>
    <w:rsid w:val="00BB44D5"/>
    <w:rsid w:val="00BB7201"/>
    <w:rsid w:val="00BB7D8F"/>
    <w:rsid w:val="00BC000D"/>
    <w:rsid w:val="00BC45C3"/>
    <w:rsid w:val="00BC4863"/>
    <w:rsid w:val="00BC54CF"/>
    <w:rsid w:val="00BC596B"/>
    <w:rsid w:val="00BC5F87"/>
    <w:rsid w:val="00BC63FB"/>
    <w:rsid w:val="00BC74C7"/>
    <w:rsid w:val="00BC7541"/>
    <w:rsid w:val="00BD1C85"/>
    <w:rsid w:val="00BD400C"/>
    <w:rsid w:val="00BD40E3"/>
    <w:rsid w:val="00BD5604"/>
    <w:rsid w:val="00BD5D57"/>
    <w:rsid w:val="00BD5E89"/>
    <w:rsid w:val="00BD5F62"/>
    <w:rsid w:val="00BD7CCD"/>
    <w:rsid w:val="00BE009C"/>
    <w:rsid w:val="00BE14FB"/>
    <w:rsid w:val="00BE581D"/>
    <w:rsid w:val="00BE7C1C"/>
    <w:rsid w:val="00BF0A1E"/>
    <w:rsid w:val="00BF0D4B"/>
    <w:rsid w:val="00BF1981"/>
    <w:rsid w:val="00BF2438"/>
    <w:rsid w:val="00BF2D0C"/>
    <w:rsid w:val="00BF4ED4"/>
    <w:rsid w:val="00C0162D"/>
    <w:rsid w:val="00C02BCE"/>
    <w:rsid w:val="00C03C03"/>
    <w:rsid w:val="00C04FF5"/>
    <w:rsid w:val="00C06476"/>
    <w:rsid w:val="00C07E17"/>
    <w:rsid w:val="00C1039F"/>
    <w:rsid w:val="00C108A7"/>
    <w:rsid w:val="00C1091F"/>
    <w:rsid w:val="00C11BA8"/>
    <w:rsid w:val="00C12CD1"/>
    <w:rsid w:val="00C12DFD"/>
    <w:rsid w:val="00C140A1"/>
    <w:rsid w:val="00C1486A"/>
    <w:rsid w:val="00C15F63"/>
    <w:rsid w:val="00C16B67"/>
    <w:rsid w:val="00C17C2E"/>
    <w:rsid w:val="00C17DBA"/>
    <w:rsid w:val="00C20117"/>
    <w:rsid w:val="00C203A3"/>
    <w:rsid w:val="00C20AE5"/>
    <w:rsid w:val="00C21E51"/>
    <w:rsid w:val="00C239FF"/>
    <w:rsid w:val="00C25E5B"/>
    <w:rsid w:val="00C27E4B"/>
    <w:rsid w:val="00C30171"/>
    <w:rsid w:val="00C30212"/>
    <w:rsid w:val="00C31B40"/>
    <w:rsid w:val="00C32E0C"/>
    <w:rsid w:val="00C33454"/>
    <w:rsid w:val="00C33A69"/>
    <w:rsid w:val="00C354F0"/>
    <w:rsid w:val="00C35C27"/>
    <w:rsid w:val="00C35D03"/>
    <w:rsid w:val="00C368C4"/>
    <w:rsid w:val="00C37698"/>
    <w:rsid w:val="00C405B7"/>
    <w:rsid w:val="00C41AD4"/>
    <w:rsid w:val="00C4200C"/>
    <w:rsid w:val="00C42410"/>
    <w:rsid w:val="00C4274E"/>
    <w:rsid w:val="00C42B8E"/>
    <w:rsid w:val="00C42CBD"/>
    <w:rsid w:val="00C42F90"/>
    <w:rsid w:val="00C4393F"/>
    <w:rsid w:val="00C43E3E"/>
    <w:rsid w:val="00C44B59"/>
    <w:rsid w:val="00C4518F"/>
    <w:rsid w:val="00C4738A"/>
    <w:rsid w:val="00C47DEE"/>
    <w:rsid w:val="00C50149"/>
    <w:rsid w:val="00C50640"/>
    <w:rsid w:val="00C50979"/>
    <w:rsid w:val="00C5154F"/>
    <w:rsid w:val="00C528A3"/>
    <w:rsid w:val="00C54972"/>
    <w:rsid w:val="00C55418"/>
    <w:rsid w:val="00C5543C"/>
    <w:rsid w:val="00C562E8"/>
    <w:rsid w:val="00C56FD0"/>
    <w:rsid w:val="00C600E7"/>
    <w:rsid w:val="00C60B2E"/>
    <w:rsid w:val="00C614AD"/>
    <w:rsid w:val="00C61DED"/>
    <w:rsid w:val="00C626F0"/>
    <w:rsid w:val="00C63EC1"/>
    <w:rsid w:val="00C6430C"/>
    <w:rsid w:val="00C675A3"/>
    <w:rsid w:val="00C707A7"/>
    <w:rsid w:val="00C70A8F"/>
    <w:rsid w:val="00C712FB"/>
    <w:rsid w:val="00C71830"/>
    <w:rsid w:val="00C72268"/>
    <w:rsid w:val="00C72ED1"/>
    <w:rsid w:val="00C7531E"/>
    <w:rsid w:val="00C7563F"/>
    <w:rsid w:val="00C8124B"/>
    <w:rsid w:val="00C83735"/>
    <w:rsid w:val="00C86213"/>
    <w:rsid w:val="00C91A9F"/>
    <w:rsid w:val="00C91E2C"/>
    <w:rsid w:val="00C93A39"/>
    <w:rsid w:val="00C94112"/>
    <w:rsid w:val="00C95152"/>
    <w:rsid w:val="00C96AE3"/>
    <w:rsid w:val="00C9774B"/>
    <w:rsid w:val="00C978CD"/>
    <w:rsid w:val="00CA0DFC"/>
    <w:rsid w:val="00CA1884"/>
    <w:rsid w:val="00CA1B0B"/>
    <w:rsid w:val="00CA20A4"/>
    <w:rsid w:val="00CA2E7E"/>
    <w:rsid w:val="00CA34D3"/>
    <w:rsid w:val="00CA6854"/>
    <w:rsid w:val="00CA6E5D"/>
    <w:rsid w:val="00CB1FF6"/>
    <w:rsid w:val="00CB3294"/>
    <w:rsid w:val="00CB4523"/>
    <w:rsid w:val="00CB540B"/>
    <w:rsid w:val="00CB5667"/>
    <w:rsid w:val="00CB74C9"/>
    <w:rsid w:val="00CC0719"/>
    <w:rsid w:val="00CC0AE1"/>
    <w:rsid w:val="00CC0B13"/>
    <w:rsid w:val="00CC0DF7"/>
    <w:rsid w:val="00CC1975"/>
    <w:rsid w:val="00CC1CAE"/>
    <w:rsid w:val="00CC30F5"/>
    <w:rsid w:val="00CC35BB"/>
    <w:rsid w:val="00CC3A1E"/>
    <w:rsid w:val="00CC3BD0"/>
    <w:rsid w:val="00CC4424"/>
    <w:rsid w:val="00CC4822"/>
    <w:rsid w:val="00CC4C0C"/>
    <w:rsid w:val="00CC6BEF"/>
    <w:rsid w:val="00CC6D5E"/>
    <w:rsid w:val="00CC7BE3"/>
    <w:rsid w:val="00CD0338"/>
    <w:rsid w:val="00CD1325"/>
    <w:rsid w:val="00CD1824"/>
    <w:rsid w:val="00CD2313"/>
    <w:rsid w:val="00CD2334"/>
    <w:rsid w:val="00CD7C33"/>
    <w:rsid w:val="00CD7CD4"/>
    <w:rsid w:val="00CE0563"/>
    <w:rsid w:val="00CE0C76"/>
    <w:rsid w:val="00CE152B"/>
    <w:rsid w:val="00CE158B"/>
    <w:rsid w:val="00CE1FF5"/>
    <w:rsid w:val="00CE2CF7"/>
    <w:rsid w:val="00CE33E8"/>
    <w:rsid w:val="00CE54C0"/>
    <w:rsid w:val="00CE65A6"/>
    <w:rsid w:val="00CF424D"/>
    <w:rsid w:val="00CF437E"/>
    <w:rsid w:val="00CF43DF"/>
    <w:rsid w:val="00CF46EC"/>
    <w:rsid w:val="00CF4ACB"/>
    <w:rsid w:val="00CF5E20"/>
    <w:rsid w:val="00CF5E4E"/>
    <w:rsid w:val="00CF76DB"/>
    <w:rsid w:val="00CF7ED0"/>
    <w:rsid w:val="00D002D5"/>
    <w:rsid w:val="00D05293"/>
    <w:rsid w:val="00D0579B"/>
    <w:rsid w:val="00D0582D"/>
    <w:rsid w:val="00D06527"/>
    <w:rsid w:val="00D07B5E"/>
    <w:rsid w:val="00D10AD2"/>
    <w:rsid w:val="00D12A32"/>
    <w:rsid w:val="00D138DF"/>
    <w:rsid w:val="00D14F5B"/>
    <w:rsid w:val="00D151FE"/>
    <w:rsid w:val="00D154A1"/>
    <w:rsid w:val="00D15AAD"/>
    <w:rsid w:val="00D15FD4"/>
    <w:rsid w:val="00D20F10"/>
    <w:rsid w:val="00D226A5"/>
    <w:rsid w:val="00D2386B"/>
    <w:rsid w:val="00D238D1"/>
    <w:rsid w:val="00D23C5C"/>
    <w:rsid w:val="00D2426B"/>
    <w:rsid w:val="00D242AB"/>
    <w:rsid w:val="00D25107"/>
    <w:rsid w:val="00D25624"/>
    <w:rsid w:val="00D3093B"/>
    <w:rsid w:val="00D3263F"/>
    <w:rsid w:val="00D3319A"/>
    <w:rsid w:val="00D34328"/>
    <w:rsid w:val="00D359FB"/>
    <w:rsid w:val="00D36819"/>
    <w:rsid w:val="00D3708A"/>
    <w:rsid w:val="00D40701"/>
    <w:rsid w:val="00D40BA9"/>
    <w:rsid w:val="00D42A76"/>
    <w:rsid w:val="00D4520D"/>
    <w:rsid w:val="00D4538F"/>
    <w:rsid w:val="00D46E67"/>
    <w:rsid w:val="00D47AED"/>
    <w:rsid w:val="00D50AE6"/>
    <w:rsid w:val="00D5166E"/>
    <w:rsid w:val="00D52A33"/>
    <w:rsid w:val="00D54043"/>
    <w:rsid w:val="00D54A3E"/>
    <w:rsid w:val="00D54EBE"/>
    <w:rsid w:val="00D55B72"/>
    <w:rsid w:val="00D5777A"/>
    <w:rsid w:val="00D60290"/>
    <w:rsid w:val="00D61223"/>
    <w:rsid w:val="00D619D6"/>
    <w:rsid w:val="00D62618"/>
    <w:rsid w:val="00D63D5B"/>
    <w:rsid w:val="00D6508F"/>
    <w:rsid w:val="00D65AC0"/>
    <w:rsid w:val="00D66273"/>
    <w:rsid w:val="00D66A1B"/>
    <w:rsid w:val="00D67A40"/>
    <w:rsid w:val="00D70906"/>
    <w:rsid w:val="00D719EF"/>
    <w:rsid w:val="00D71BA1"/>
    <w:rsid w:val="00D7494E"/>
    <w:rsid w:val="00D817E9"/>
    <w:rsid w:val="00D82410"/>
    <w:rsid w:val="00D84AE9"/>
    <w:rsid w:val="00D85856"/>
    <w:rsid w:val="00D86699"/>
    <w:rsid w:val="00D87F54"/>
    <w:rsid w:val="00D920F9"/>
    <w:rsid w:val="00D947D7"/>
    <w:rsid w:val="00D963E7"/>
    <w:rsid w:val="00D97857"/>
    <w:rsid w:val="00D97E0C"/>
    <w:rsid w:val="00DA04C6"/>
    <w:rsid w:val="00DA11EB"/>
    <w:rsid w:val="00DA3280"/>
    <w:rsid w:val="00DA358F"/>
    <w:rsid w:val="00DA5FDB"/>
    <w:rsid w:val="00DA703A"/>
    <w:rsid w:val="00DA7E61"/>
    <w:rsid w:val="00DB0C5F"/>
    <w:rsid w:val="00DB1D62"/>
    <w:rsid w:val="00DB2335"/>
    <w:rsid w:val="00DB2E89"/>
    <w:rsid w:val="00DB496D"/>
    <w:rsid w:val="00DB5150"/>
    <w:rsid w:val="00DB5467"/>
    <w:rsid w:val="00DB77E5"/>
    <w:rsid w:val="00DC170F"/>
    <w:rsid w:val="00DC1FA8"/>
    <w:rsid w:val="00DC2087"/>
    <w:rsid w:val="00DC2570"/>
    <w:rsid w:val="00DC5669"/>
    <w:rsid w:val="00DC5B4C"/>
    <w:rsid w:val="00DC691A"/>
    <w:rsid w:val="00DC7144"/>
    <w:rsid w:val="00DD043F"/>
    <w:rsid w:val="00DD0D59"/>
    <w:rsid w:val="00DD1904"/>
    <w:rsid w:val="00DD201A"/>
    <w:rsid w:val="00DD2765"/>
    <w:rsid w:val="00DD33EE"/>
    <w:rsid w:val="00DD5560"/>
    <w:rsid w:val="00DD5D68"/>
    <w:rsid w:val="00DD7EC5"/>
    <w:rsid w:val="00DE1A80"/>
    <w:rsid w:val="00DE2672"/>
    <w:rsid w:val="00DE5ED6"/>
    <w:rsid w:val="00DE69C7"/>
    <w:rsid w:val="00DE6A8B"/>
    <w:rsid w:val="00DE7878"/>
    <w:rsid w:val="00DE7A43"/>
    <w:rsid w:val="00DE7FEE"/>
    <w:rsid w:val="00DF0F3C"/>
    <w:rsid w:val="00DF1FB6"/>
    <w:rsid w:val="00DF249A"/>
    <w:rsid w:val="00DF29C3"/>
    <w:rsid w:val="00DF2B93"/>
    <w:rsid w:val="00DF3706"/>
    <w:rsid w:val="00DF5244"/>
    <w:rsid w:val="00E008D1"/>
    <w:rsid w:val="00E0201C"/>
    <w:rsid w:val="00E0228C"/>
    <w:rsid w:val="00E0306A"/>
    <w:rsid w:val="00E05888"/>
    <w:rsid w:val="00E06058"/>
    <w:rsid w:val="00E0637A"/>
    <w:rsid w:val="00E07FE4"/>
    <w:rsid w:val="00E1089F"/>
    <w:rsid w:val="00E10CD1"/>
    <w:rsid w:val="00E115EE"/>
    <w:rsid w:val="00E11979"/>
    <w:rsid w:val="00E12CC0"/>
    <w:rsid w:val="00E13099"/>
    <w:rsid w:val="00E13F20"/>
    <w:rsid w:val="00E152F4"/>
    <w:rsid w:val="00E15EB2"/>
    <w:rsid w:val="00E16D93"/>
    <w:rsid w:val="00E17677"/>
    <w:rsid w:val="00E20383"/>
    <w:rsid w:val="00E221AD"/>
    <w:rsid w:val="00E22414"/>
    <w:rsid w:val="00E22903"/>
    <w:rsid w:val="00E23830"/>
    <w:rsid w:val="00E23FB0"/>
    <w:rsid w:val="00E242FD"/>
    <w:rsid w:val="00E25B44"/>
    <w:rsid w:val="00E279F9"/>
    <w:rsid w:val="00E301E2"/>
    <w:rsid w:val="00E30F2D"/>
    <w:rsid w:val="00E32283"/>
    <w:rsid w:val="00E33566"/>
    <w:rsid w:val="00E339B0"/>
    <w:rsid w:val="00E33E1B"/>
    <w:rsid w:val="00E341F7"/>
    <w:rsid w:val="00E37B51"/>
    <w:rsid w:val="00E40419"/>
    <w:rsid w:val="00E41A6E"/>
    <w:rsid w:val="00E423CF"/>
    <w:rsid w:val="00E427A4"/>
    <w:rsid w:val="00E43A92"/>
    <w:rsid w:val="00E44060"/>
    <w:rsid w:val="00E44118"/>
    <w:rsid w:val="00E4418F"/>
    <w:rsid w:val="00E465B2"/>
    <w:rsid w:val="00E46C27"/>
    <w:rsid w:val="00E503DC"/>
    <w:rsid w:val="00E5247E"/>
    <w:rsid w:val="00E53EB3"/>
    <w:rsid w:val="00E54CCE"/>
    <w:rsid w:val="00E55C38"/>
    <w:rsid w:val="00E56422"/>
    <w:rsid w:val="00E576D2"/>
    <w:rsid w:val="00E61593"/>
    <w:rsid w:val="00E61C0E"/>
    <w:rsid w:val="00E61D13"/>
    <w:rsid w:val="00E61E2A"/>
    <w:rsid w:val="00E63AB3"/>
    <w:rsid w:val="00E65418"/>
    <w:rsid w:val="00E65733"/>
    <w:rsid w:val="00E70C20"/>
    <w:rsid w:val="00E71C1E"/>
    <w:rsid w:val="00E73FAD"/>
    <w:rsid w:val="00E74513"/>
    <w:rsid w:val="00E745DC"/>
    <w:rsid w:val="00E748D2"/>
    <w:rsid w:val="00E74F28"/>
    <w:rsid w:val="00E7553B"/>
    <w:rsid w:val="00E77AAC"/>
    <w:rsid w:val="00E77FD8"/>
    <w:rsid w:val="00E802E9"/>
    <w:rsid w:val="00E80D6D"/>
    <w:rsid w:val="00E816C4"/>
    <w:rsid w:val="00E81829"/>
    <w:rsid w:val="00E8627D"/>
    <w:rsid w:val="00E91135"/>
    <w:rsid w:val="00E913BC"/>
    <w:rsid w:val="00E9386A"/>
    <w:rsid w:val="00E949CB"/>
    <w:rsid w:val="00EA0DFA"/>
    <w:rsid w:val="00EA1D60"/>
    <w:rsid w:val="00EA28A6"/>
    <w:rsid w:val="00EA51C4"/>
    <w:rsid w:val="00EA6E62"/>
    <w:rsid w:val="00EB05B5"/>
    <w:rsid w:val="00EB073A"/>
    <w:rsid w:val="00EB1F09"/>
    <w:rsid w:val="00EB7ED9"/>
    <w:rsid w:val="00EC2162"/>
    <w:rsid w:val="00EC3F41"/>
    <w:rsid w:val="00EC5358"/>
    <w:rsid w:val="00EC5731"/>
    <w:rsid w:val="00ED024B"/>
    <w:rsid w:val="00ED4E82"/>
    <w:rsid w:val="00ED5496"/>
    <w:rsid w:val="00ED56AD"/>
    <w:rsid w:val="00ED5E43"/>
    <w:rsid w:val="00ED7F9C"/>
    <w:rsid w:val="00EE0D40"/>
    <w:rsid w:val="00EE14E1"/>
    <w:rsid w:val="00EE26CC"/>
    <w:rsid w:val="00EE3DCC"/>
    <w:rsid w:val="00EE53E7"/>
    <w:rsid w:val="00EE7508"/>
    <w:rsid w:val="00EE7602"/>
    <w:rsid w:val="00EF0526"/>
    <w:rsid w:val="00EF0A33"/>
    <w:rsid w:val="00EF509E"/>
    <w:rsid w:val="00EF5144"/>
    <w:rsid w:val="00EF648D"/>
    <w:rsid w:val="00EF6EF8"/>
    <w:rsid w:val="00EF7598"/>
    <w:rsid w:val="00EF7E21"/>
    <w:rsid w:val="00F0121B"/>
    <w:rsid w:val="00F030D0"/>
    <w:rsid w:val="00F03238"/>
    <w:rsid w:val="00F043D1"/>
    <w:rsid w:val="00F04CDD"/>
    <w:rsid w:val="00F04E06"/>
    <w:rsid w:val="00F056F2"/>
    <w:rsid w:val="00F05743"/>
    <w:rsid w:val="00F06727"/>
    <w:rsid w:val="00F075D3"/>
    <w:rsid w:val="00F14556"/>
    <w:rsid w:val="00F148F2"/>
    <w:rsid w:val="00F14EE4"/>
    <w:rsid w:val="00F21E08"/>
    <w:rsid w:val="00F22084"/>
    <w:rsid w:val="00F2267A"/>
    <w:rsid w:val="00F25AC7"/>
    <w:rsid w:val="00F2766B"/>
    <w:rsid w:val="00F310A5"/>
    <w:rsid w:val="00F31127"/>
    <w:rsid w:val="00F3120C"/>
    <w:rsid w:val="00F31A16"/>
    <w:rsid w:val="00F3232A"/>
    <w:rsid w:val="00F32A73"/>
    <w:rsid w:val="00F32F72"/>
    <w:rsid w:val="00F34596"/>
    <w:rsid w:val="00F3531D"/>
    <w:rsid w:val="00F357BE"/>
    <w:rsid w:val="00F35B74"/>
    <w:rsid w:val="00F36EA6"/>
    <w:rsid w:val="00F37059"/>
    <w:rsid w:val="00F41885"/>
    <w:rsid w:val="00F436B6"/>
    <w:rsid w:val="00F4536A"/>
    <w:rsid w:val="00F45414"/>
    <w:rsid w:val="00F47711"/>
    <w:rsid w:val="00F54DA2"/>
    <w:rsid w:val="00F56A59"/>
    <w:rsid w:val="00F576F2"/>
    <w:rsid w:val="00F60EA6"/>
    <w:rsid w:val="00F6167B"/>
    <w:rsid w:val="00F61D1B"/>
    <w:rsid w:val="00F62080"/>
    <w:rsid w:val="00F63ED4"/>
    <w:rsid w:val="00F648C2"/>
    <w:rsid w:val="00F64B17"/>
    <w:rsid w:val="00F65EAE"/>
    <w:rsid w:val="00F667E2"/>
    <w:rsid w:val="00F66A50"/>
    <w:rsid w:val="00F66ABB"/>
    <w:rsid w:val="00F67501"/>
    <w:rsid w:val="00F67664"/>
    <w:rsid w:val="00F72AD2"/>
    <w:rsid w:val="00F73065"/>
    <w:rsid w:val="00F74D12"/>
    <w:rsid w:val="00F77A38"/>
    <w:rsid w:val="00F8117A"/>
    <w:rsid w:val="00F8373F"/>
    <w:rsid w:val="00F8651F"/>
    <w:rsid w:val="00F902C8"/>
    <w:rsid w:val="00F905EA"/>
    <w:rsid w:val="00F91769"/>
    <w:rsid w:val="00F93749"/>
    <w:rsid w:val="00F93DC3"/>
    <w:rsid w:val="00F950B1"/>
    <w:rsid w:val="00F95796"/>
    <w:rsid w:val="00F96044"/>
    <w:rsid w:val="00F97814"/>
    <w:rsid w:val="00FA23EA"/>
    <w:rsid w:val="00FA3901"/>
    <w:rsid w:val="00FA454F"/>
    <w:rsid w:val="00FB09D1"/>
    <w:rsid w:val="00FB2376"/>
    <w:rsid w:val="00FB2CCD"/>
    <w:rsid w:val="00FB43E9"/>
    <w:rsid w:val="00FB5E5E"/>
    <w:rsid w:val="00FB6635"/>
    <w:rsid w:val="00FC127A"/>
    <w:rsid w:val="00FC2941"/>
    <w:rsid w:val="00FC4D8C"/>
    <w:rsid w:val="00FD07A8"/>
    <w:rsid w:val="00FD0CB9"/>
    <w:rsid w:val="00FD0F34"/>
    <w:rsid w:val="00FD1221"/>
    <w:rsid w:val="00FD1A8A"/>
    <w:rsid w:val="00FD344A"/>
    <w:rsid w:val="00FD391C"/>
    <w:rsid w:val="00FD57C8"/>
    <w:rsid w:val="00FD7718"/>
    <w:rsid w:val="00FD7EE2"/>
    <w:rsid w:val="00FD7F46"/>
    <w:rsid w:val="00FE196E"/>
    <w:rsid w:val="00FE1AD6"/>
    <w:rsid w:val="00FE2446"/>
    <w:rsid w:val="00FE3593"/>
    <w:rsid w:val="00FE3C88"/>
    <w:rsid w:val="00FE4627"/>
    <w:rsid w:val="00FE5ABF"/>
    <w:rsid w:val="00FF0E0F"/>
    <w:rsid w:val="00FF1AAA"/>
    <w:rsid w:val="00FF25F9"/>
    <w:rsid w:val="00FF279C"/>
    <w:rsid w:val="00FF2E87"/>
    <w:rsid w:val="00FF4239"/>
    <w:rsid w:val="00FF4E74"/>
    <w:rsid w:val="00FF538A"/>
    <w:rsid w:val="00FF5FD8"/>
    <w:rsid w:val="00FF67A4"/>
    <w:rsid w:val="00FF6925"/>
    <w:rsid w:val="00FF6BE4"/>
    <w:rsid w:val="00FF6FA5"/>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8753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99"/>
    <w:pPr>
      <w:spacing w:after="120" w:line="360" w:lineRule="auto"/>
    </w:pPr>
    <w:rPr>
      <w:rFonts w:ascii="Arial" w:hAnsi="Arial"/>
      <w:sz w:val="24"/>
    </w:rPr>
  </w:style>
  <w:style w:type="paragraph" w:styleId="Heading1">
    <w:name w:val="heading 1"/>
    <w:basedOn w:val="Normal"/>
    <w:next w:val="Normal"/>
    <w:link w:val="Heading1Char"/>
    <w:uiPriority w:val="9"/>
    <w:qFormat/>
    <w:rsid w:val="00765CC6"/>
    <w:pPr>
      <w:keepNext/>
      <w:keepLines/>
      <w:spacing w:before="240" w:line="288"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4309C"/>
    <w:pPr>
      <w:keepNext/>
      <w:keepLines/>
      <w:spacing w:before="2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985176"/>
    <w:pPr>
      <w:keepNext/>
      <w:keepLines/>
      <w:spacing w:before="12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E0E76"/>
    <w:pPr>
      <w:keepNext/>
      <w:keepLines/>
      <w:spacing w:before="120" w:after="240" w:line="240" w:lineRule="auto"/>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FC4D8C"/>
    <w:pPr>
      <w:keepNext/>
      <w:keepLines/>
      <w:spacing w:before="40" w:after="0"/>
      <w:outlineLvl w:val="4"/>
    </w:pPr>
    <w:rPr>
      <w:rFonts w:eastAsiaTheme="majorEastAsia" w:cstheme="majorBidi"/>
      <w:b/>
      <w:sz w:val="22"/>
    </w:rPr>
  </w:style>
  <w:style w:type="paragraph" w:styleId="Heading6">
    <w:name w:val="heading 6"/>
    <w:basedOn w:val="Normal"/>
    <w:next w:val="Normal"/>
    <w:link w:val="Heading6Char"/>
    <w:uiPriority w:val="9"/>
    <w:unhideWhenUsed/>
    <w:qFormat/>
    <w:rsid w:val="00D238D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C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4309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985176"/>
    <w:rPr>
      <w:rFonts w:ascii="Arial" w:eastAsiaTheme="majorEastAsia" w:hAnsi="Arial" w:cstheme="majorBidi"/>
      <w:b/>
      <w:sz w:val="24"/>
      <w:szCs w:val="24"/>
    </w:rPr>
  </w:style>
  <w:style w:type="paragraph" w:styleId="Header">
    <w:name w:val="header"/>
    <w:basedOn w:val="Normal"/>
    <w:link w:val="HeaderChar"/>
    <w:uiPriority w:val="99"/>
    <w:unhideWhenUsed/>
    <w:rsid w:val="0046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19"/>
    <w:rPr>
      <w:rFonts w:ascii="Arial" w:hAnsi="Arial"/>
      <w:sz w:val="24"/>
    </w:rPr>
  </w:style>
  <w:style w:type="paragraph" w:styleId="Footer">
    <w:name w:val="footer"/>
    <w:basedOn w:val="Normal"/>
    <w:link w:val="FooterChar"/>
    <w:uiPriority w:val="99"/>
    <w:unhideWhenUsed/>
    <w:rsid w:val="0046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19"/>
    <w:rPr>
      <w:rFonts w:ascii="Arial" w:hAnsi="Arial"/>
      <w:sz w:val="24"/>
    </w:rPr>
  </w:style>
  <w:style w:type="paragraph" w:styleId="ListParagraph">
    <w:name w:val="List Paragraph"/>
    <w:basedOn w:val="Normal"/>
    <w:uiPriority w:val="34"/>
    <w:qFormat/>
    <w:rsid w:val="00BF2D0C"/>
    <w:pPr>
      <w:ind w:left="720"/>
      <w:contextualSpacing/>
    </w:pPr>
  </w:style>
  <w:style w:type="character" w:styleId="Hyperlink">
    <w:name w:val="Hyperlink"/>
    <w:basedOn w:val="DefaultParagraphFont"/>
    <w:uiPriority w:val="99"/>
    <w:unhideWhenUsed/>
    <w:rsid w:val="00177483"/>
    <w:rPr>
      <w:color w:val="0563C1" w:themeColor="hyperlink"/>
      <w:u w:val="single"/>
    </w:rPr>
  </w:style>
  <w:style w:type="paragraph" w:styleId="FootnoteText">
    <w:name w:val="footnote text"/>
    <w:basedOn w:val="Normal"/>
    <w:link w:val="FootnoteTextChar"/>
    <w:uiPriority w:val="99"/>
    <w:semiHidden/>
    <w:unhideWhenUsed/>
    <w:rsid w:val="00E20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383"/>
    <w:rPr>
      <w:rFonts w:ascii="Arial" w:hAnsi="Arial"/>
      <w:sz w:val="20"/>
      <w:szCs w:val="20"/>
    </w:rPr>
  </w:style>
  <w:style w:type="character" w:styleId="FootnoteReference">
    <w:name w:val="footnote reference"/>
    <w:basedOn w:val="DefaultParagraphFont"/>
    <w:uiPriority w:val="99"/>
    <w:semiHidden/>
    <w:unhideWhenUsed/>
    <w:rsid w:val="00E20383"/>
    <w:rPr>
      <w:vertAlign w:val="superscript"/>
    </w:rPr>
  </w:style>
  <w:style w:type="character" w:customStyle="1" w:styleId="Heading4Char">
    <w:name w:val="Heading 4 Char"/>
    <w:basedOn w:val="DefaultParagraphFont"/>
    <w:link w:val="Heading4"/>
    <w:uiPriority w:val="9"/>
    <w:rsid w:val="004E0E76"/>
    <w:rPr>
      <w:rFonts w:ascii="Arial" w:eastAsiaTheme="majorEastAsia" w:hAnsi="Arial" w:cstheme="majorBidi"/>
      <w:iCs/>
      <w:color w:val="000000" w:themeColor="text1"/>
      <w:sz w:val="24"/>
      <w:u w:val="single"/>
    </w:rPr>
  </w:style>
  <w:style w:type="paragraph" w:styleId="NormalWeb">
    <w:name w:val="Normal (Web)"/>
    <w:basedOn w:val="Normal"/>
    <w:uiPriority w:val="99"/>
    <w:semiHidden/>
    <w:unhideWhenUsed/>
    <w:rsid w:val="00EE7508"/>
    <w:pPr>
      <w:spacing w:after="150"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F5E20"/>
    <w:rPr>
      <w:i/>
      <w:iCs/>
    </w:rPr>
  </w:style>
  <w:style w:type="character" w:customStyle="1" w:styleId="al-author-name">
    <w:name w:val="al-author-name"/>
    <w:basedOn w:val="DefaultParagraphFont"/>
    <w:rsid w:val="00CF5E20"/>
  </w:style>
  <w:style w:type="character" w:customStyle="1" w:styleId="al-author-info-wrap1">
    <w:name w:val="al-author-info-wrap1"/>
    <w:basedOn w:val="DefaultParagraphFont"/>
    <w:rsid w:val="00CF5E20"/>
    <w:rPr>
      <w:vanish/>
      <w:webHidden w:val="0"/>
      <w:bdr w:val="single" w:sz="6" w:space="9" w:color="B4BACA" w:frame="1"/>
      <w:shd w:val="clear" w:color="auto" w:fill="FFFFFF"/>
      <w:specVanish w:val="0"/>
    </w:rPr>
  </w:style>
  <w:style w:type="character" w:styleId="CommentReference">
    <w:name w:val="annotation reference"/>
    <w:basedOn w:val="DefaultParagraphFont"/>
    <w:semiHidden/>
    <w:unhideWhenUsed/>
    <w:rsid w:val="00BD5D57"/>
    <w:rPr>
      <w:sz w:val="16"/>
      <w:szCs w:val="16"/>
    </w:rPr>
  </w:style>
  <w:style w:type="paragraph" w:styleId="CommentText">
    <w:name w:val="annotation text"/>
    <w:basedOn w:val="Normal"/>
    <w:link w:val="CommentTextChar"/>
    <w:unhideWhenUsed/>
    <w:rsid w:val="00BD5D57"/>
    <w:pPr>
      <w:spacing w:line="240" w:lineRule="auto"/>
    </w:pPr>
    <w:rPr>
      <w:sz w:val="20"/>
      <w:szCs w:val="20"/>
    </w:rPr>
  </w:style>
  <w:style w:type="character" w:customStyle="1" w:styleId="CommentTextChar">
    <w:name w:val="Comment Text Char"/>
    <w:basedOn w:val="DefaultParagraphFont"/>
    <w:link w:val="CommentText"/>
    <w:rsid w:val="00BD5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5D57"/>
    <w:rPr>
      <w:b/>
      <w:bCs/>
    </w:rPr>
  </w:style>
  <w:style w:type="character" w:customStyle="1" w:styleId="CommentSubjectChar">
    <w:name w:val="Comment Subject Char"/>
    <w:basedOn w:val="CommentTextChar"/>
    <w:link w:val="CommentSubject"/>
    <w:uiPriority w:val="99"/>
    <w:semiHidden/>
    <w:rsid w:val="00BD5D57"/>
    <w:rPr>
      <w:rFonts w:ascii="Arial" w:hAnsi="Arial"/>
      <w:b/>
      <w:bCs/>
      <w:sz w:val="20"/>
      <w:szCs w:val="20"/>
    </w:rPr>
  </w:style>
  <w:style w:type="paragraph" w:styleId="BalloonText">
    <w:name w:val="Balloon Text"/>
    <w:basedOn w:val="Normal"/>
    <w:link w:val="BalloonTextChar"/>
    <w:uiPriority w:val="99"/>
    <w:semiHidden/>
    <w:unhideWhenUsed/>
    <w:rsid w:val="00BD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57"/>
    <w:rPr>
      <w:rFonts w:ascii="Segoe UI" w:hAnsi="Segoe UI" w:cs="Segoe UI"/>
      <w:sz w:val="18"/>
      <w:szCs w:val="18"/>
    </w:rPr>
  </w:style>
  <w:style w:type="character" w:customStyle="1" w:styleId="Heading5Char">
    <w:name w:val="Heading 5 Char"/>
    <w:basedOn w:val="DefaultParagraphFont"/>
    <w:link w:val="Heading5"/>
    <w:uiPriority w:val="9"/>
    <w:rsid w:val="00FC4D8C"/>
    <w:rPr>
      <w:rFonts w:ascii="Arial" w:eastAsiaTheme="majorEastAsia" w:hAnsi="Arial" w:cstheme="majorBidi"/>
      <w:b/>
    </w:rPr>
  </w:style>
  <w:style w:type="character" w:styleId="SubtleEmphasis">
    <w:name w:val="Subtle Emphasis"/>
    <w:basedOn w:val="DefaultParagraphFont"/>
    <w:uiPriority w:val="19"/>
    <w:qFormat/>
    <w:rsid w:val="00F2267A"/>
    <w:rPr>
      <w:i/>
      <w:iCs/>
      <w:color w:val="404040" w:themeColor="text1" w:themeTint="BF"/>
    </w:rPr>
  </w:style>
  <w:style w:type="paragraph" w:styleId="TOCHeading">
    <w:name w:val="TOC Heading"/>
    <w:basedOn w:val="Heading1"/>
    <w:next w:val="Normal"/>
    <w:uiPriority w:val="39"/>
    <w:unhideWhenUsed/>
    <w:qFormat/>
    <w:rsid w:val="006D6FE1"/>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6D6FE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6D6FE1"/>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6D6FE1"/>
    <w:pPr>
      <w:spacing w:after="0"/>
      <w:ind w:left="240"/>
    </w:pPr>
    <w:rPr>
      <w:rFonts w:asciiTheme="minorHAnsi" w:hAnsiTheme="minorHAnsi" w:cstheme="minorHAnsi"/>
      <w:sz w:val="20"/>
      <w:szCs w:val="20"/>
    </w:rPr>
  </w:style>
  <w:style w:type="table" w:styleId="TableGrid">
    <w:name w:val="Table Grid"/>
    <w:basedOn w:val="TableNormal"/>
    <w:uiPriority w:val="39"/>
    <w:rsid w:val="006D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50843"/>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650843"/>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650843"/>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650843"/>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650843"/>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650843"/>
    <w:pPr>
      <w:spacing w:after="0"/>
      <w:ind w:left="1680"/>
    </w:pPr>
    <w:rPr>
      <w:rFonts w:asciiTheme="minorHAnsi" w:hAnsiTheme="minorHAnsi" w:cstheme="minorHAnsi"/>
      <w:sz w:val="20"/>
      <w:szCs w:val="20"/>
    </w:rPr>
  </w:style>
  <w:style w:type="character" w:styleId="Strong">
    <w:name w:val="Strong"/>
    <w:basedOn w:val="DefaultParagraphFont"/>
    <w:uiPriority w:val="22"/>
    <w:qFormat/>
    <w:rsid w:val="00A421AA"/>
    <w:rPr>
      <w:b/>
      <w:bCs/>
    </w:rPr>
  </w:style>
  <w:style w:type="character" w:customStyle="1" w:styleId="highwire-cite-article-as">
    <w:name w:val="highwire-cite-article-as"/>
    <w:basedOn w:val="DefaultParagraphFont"/>
    <w:rsid w:val="00092224"/>
  </w:style>
  <w:style w:type="character" w:customStyle="1" w:styleId="italic">
    <w:name w:val="italic"/>
    <w:basedOn w:val="DefaultParagraphFont"/>
    <w:rsid w:val="00092224"/>
  </w:style>
  <w:style w:type="paragraph" w:customStyle="1" w:styleId="Default">
    <w:name w:val="Default"/>
    <w:rsid w:val="00DC566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7D6B"/>
    <w:pPr>
      <w:spacing w:after="0" w:line="240" w:lineRule="auto"/>
      <w:jc w:val="both"/>
    </w:pPr>
    <w:rPr>
      <w:rFonts w:ascii="Arial" w:hAnsi="Arial"/>
      <w:sz w:val="24"/>
    </w:rPr>
  </w:style>
  <w:style w:type="character" w:styleId="FollowedHyperlink">
    <w:name w:val="FollowedHyperlink"/>
    <w:basedOn w:val="DefaultParagraphFont"/>
    <w:uiPriority w:val="99"/>
    <w:semiHidden/>
    <w:unhideWhenUsed/>
    <w:rsid w:val="00217BBE"/>
    <w:rPr>
      <w:color w:val="954F72" w:themeColor="followedHyperlink"/>
      <w:u w:val="single"/>
    </w:rPr>
  </w:style>
  <w:style w:type="character" w:customStyle="1" w:styleId="Heading6Char">
    <w:name w:val="Heading 6 Char"/>
    <w:basedOn w:val="DefaultParagraphFont"/>
    <w:link w:val="Heading6"/>
    <w:uiPriority w:val="9"/>
    <w:rsid w:val="00D238D1"/>
    <w:rPr>
      <w:rFonts w:asciiTheme="majorHAnsi" w:eastAsiaTheme="majorEastAsia" w:hAnsiTheme="majorHAnsi" w:cstheme="majorBidi"/>
      <w:color w:val="1F4D78" w:themeColor="accent1" w:themeShade="7F"/>
      <w:sz w:val="24"/>
    </w:rPr>
  </w:style>
  <w:style w:type="paragraph" w:styleId="Revision">
    <w:name w:val="Revision"/>
    <w:hidden/>
    <w:uiPriority w:val="99"/>
    <w:semiHidden/>
    <w:rsid w:val="00757FF5"/>
    <w:pPr>
      <w:spacing w:after="0" w:line="240" w:lineRule="auto"/>
    </w:pPr>
    <w:rPr>
      <w:rFonts w:ascii="Arial" w:hAnsi="Arial"/>
      <w:sz w:val="24"/>
    </w:rPr>
  </w:style>
  <w:style w:type="character" w:customStyle="1" w:styleId="UnresolvedMention1">
    <w:name w:val="Unresolved Mention1"/>
    <w:basedOn w:val="DefaultParagraphFont"/>
    <w:uiPriority w:val="99"/>
    <w:semiHidden/>
    <w:unhideWhenUsed/>
    <w:rsid w:val="0016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3154">
      <w:bodyDiv w:val="1"/>
      <w:marLeft w:val="0"/>
      <w:marRight w:val="0"/>
      <w:marTop w:val="0"/>
      <w:marBottom w:val="0"/>
      <w:divBdr>
        <w:top w:val="none" w:sz="0" w:space="0" w:color="auto"/>
        <w:left w:val="none" w:sz="0" w:space="0" w:color="auto"/>
        <w:bottom w:val="none" w:sz="0" w:space="0" w:color="auto"/>
        <w:right w:val="none" w:sz="0" w:space="0" w:color="auto"/>
      </w:divBdr>
    </w:div>
    <w:div w:id="182523751">
      <w:bodyDiv w:val="1"/>
      <w:marLeft w:val="0"/>
      <w:marRight w:val="0"/>
      <w:marTop w:val="0"/>
      <w:marBottom w:val="0"/>
      <w:divBdr>
        <w:top w:val="none" w:sz="0" w:space="0" w:color="auto"/>
        <w:left w:val="none" w:sz="0" w:space="0" w:color="auto"/>
        <w:bottom w:val="none" w:sz="0" w:space="0" w:color="auto"/>
        <w:right w:val="none" w:sz="0" w:space="0" w:color="auto"/>
      </w:divBdr>
    </w:div>
    <w:div w:id="246572219">
      <w:bodyDiv w:val="1"/>
      <w:marLeft w:val="0"/>
      <w:marRight w:val="0"/>
      <w:marTop w:val="0"/>
      <w:marBottom w:val="0"/>
      <w:divBdr>
        <w:top w:val="none" w:sz="0" w:space="0" w:color="auto"/>
        <w:left w:val="none" w:sz="0" w:space="0" w:color="auto"/>
        <w:bottom w:val="none" w:sz="0" w:space="0" w:color="auto"/>
        <w:right w:val="none" w:sz="0" w:space="0" w:color="auto"/>
      </w:divBdr>
    </w:div>
    <w:div w:id="248852588">
      <w:bodyDiv w:val="1"/>
      <w:marLeft w:val="0"/>
      <w:marRight w:val="0"/>
      <w:marTop w:val="0"/>
      <w:marBottom w:val="0"/>
      <w:divBdr>
        <w:top w:val="none" w:sz="0" w:space="0" w:color="auto"/>
        <w:left w:val="none" w:sz="0" w:space="0" w:color="auto"/>
        <w:bottom w:val="none" w:sz="0" w:space="0" w:color="auto"/>
        <w:right w:val="none" w:sz="0" w:space="0" w:color="auto"/>
      </w:divBdr>
    </w:div>
    <w:div w:id="665792797">
      <w:bodyDiv w:val="1"/>
      <w:marLeft w:val="0"/>
      <w:marRight w:val="0"/>
      <w:marTop w:val="0"/>
      <w:marBottom w:val="0"/>
      <w:divBdr>
        <w:top w:val="none" w:sz="0" w:space="0" w:color="auto"/>
        <w:left w:val="none" w:sz="0" w:space="0" w:color="auto"/>
        <w:bottom w:val="none" w:sz="0" w:space="0" w:color="auto"/>
        <w:right w:val="none" w:sz="0" w:space="0" w:color="auto"/>
      </w:divBdr>
      <w:divsChild>
        <w:div w:id="50348401">
          <w:marLeft w:val="360"/>
          <w:marRight w:val="0"/>
          <w:marTop w:val="200"/>
          <w:marBottom w:val="0"/>
          <w:divBdr>
            <w:top w:val="none" w:sz="0" w:space="0" w:color="auto"/>
            <w:left w:val="none" w:sz="0" w:space="0" w:color="auto"/>
            <w:bottom w:val="none" w:sz="0" w:space="0" w:color="auto"/>
            <w:right w:val="none" w:sz="0" w:space="0" w:color="auto"/>
          </w:divBdr>
        </w:div>
      </w:divsChild>
    </w:div>
    <w:div w:id="704334010">
      <w:bodyDiv w:val="1"/>
      <w:marLeft w:val="0"/>
      <w:marRight w:val="0"/>
      <w:marTop w:val="0"/>
      <w:marBottom w:val="0"/>
      <w:divBdr>
        <w:top w:val="none" w:sz="0" w:space="0" w:color="auto"/>
        <w:left w:val="none" w:sz="0" w:space="0" w:color="auto"/>
        <w:bottom w:val="none" w:sz="0" w:space="0" w:color="auto"/>
        <w:right w:val="none" w:sz="0" w:space="0" w:color="auto"/>
      </w:divBdr>
    </w:div>
    <w:div w:id="764155143">
      <w:bodyDiv w:val="1"/>
      <w:marLeft w:val="0"/>
      <w:marRight w:val="0"/>
      <w:marTop w:val="0"/>
      <w:marBottom w:val="0"/>
      <w:divBdr>
        <w:top w:val="none" w:sz="0" w:space="0" w:color="auto"/>
        <w:left w:val="none" w:sz="0" w:space="0" w:color="auto"/>
        <w:bottom w:val="none" w:sz="0" w:space="0" w:color="auto"/>
        <w:right w:val="none" w:sz="0" w:space="0" w:color="auto"/>
      </w:divBdr>
      <w:divsChild>
        <w:div w:id="1998680447">
          <w:marLeft w:val="0"/>
          <w:marRight w:val="0"/>
          <w:marTop w:val="0"/>
          <w:marBottom w:val="0"/>
          <w:divBdr>
            <w:top w:val="none" w:sz="0" w:space="0" w:color="auto"/>
            <w:left w:val="none" w:sz="0" w:space="0" w:color="auto"/>
            <w:bottom w:val="none" w:sz="0" w:space="0" w:color="auto"/>
            <w:right w:val="none" w:sz="0" w:space="0" w:color="auto"/>
          </w:divBdr>
          <w:divsChild>
            <w:div w:id="763847033">
              <w:marLeft w:val="0"/>
              <w:marRight w:val="0"/>
              <w:marTop w:val="0"/>
              <w:marBottom w:val="0"/>
              <w:divBdr>
                <w:top w:val="none" w:sz="0" w:space="0" w:color="auto"/>
                <w:left w:val="none" w:sz="0" w:space="0" w:color="auto"/>
                <w:bottom w:val="none" w:sz="0" w:space="0" w:color="auto"/>
                <w:right w:val="none" w:sz="0" w:space="0" w:color="auto"/>
              </w:divBdr>
              <w:divsChild>
                <w:div w:id="1699771348">
                  <w:marLeft w:val="0"/>
                  <w:marRight w:val="0"/>
                  <w:marTop w:val="0"/>
                  <w:marBottom w:val="0"/>
                  <w:divBdr>
                    <w:top w:val="none" w:sz="0" w:space="0" w:color="auto"/>
                    <w:left w:val="none" w:sz="0" w:space="0" w:color="auto"/>
                    <w:bottom w:val="none" w:sz="0" w:space="0" w:color="auto"/>
                    <w:right w:val="none" w:sz="0" w:space="0" w:color="auto"/>
                  </w:divBdr>
                  <w:divsChild>
                    <w:div w:id="512184305">
                      <w:marLeft w:val="0"/>
                      <w:marRight w:val="0"/>
                      <w:marTop w:val="0"/>
                      <w:marBottom w:val="0"/>
                      <w:divBdr>
                        <w:top w:val="none" w:sz="0" w:space="0" w:color="auto"/>
                        <w:left w:val="none" w:sz="0" w:space="0" w:color="auto"/>
                        <w:bottom w:val="none" w:sz="0" w:space="0" w:color="auto"/>
                        <w:right w:val="none" w:sz="0" w:space="0" w:color="auto"/>
                      </w:divBdr>
                      <w:divsChild>
                        <w:div w:id="1253274266">
                          <w:marLeft w:val="0"/>
                          <w:marRight w:val="0"/>
                          <w:marTop w:val="0"/>
                          <w:marBottom w:val="0"/>
                          <w:divBdr>
                            <w:top w:val="none" w:sz="0" w:space="0" w:color="auto"/>
                            <w:left w:val="none" w:sz="0" w:space="0" w:color="auto"/>
                            <w:bottom w:val="none" w:sz="0" w:space="0" w:color="auto"/>
                            <w:right w:val="none" w:sz="0" w:space="0" w:color="auto"/>
                          </w:divBdr>
                          <w:divsChild>
                            <w:div w:id="455833357">
                              <w:marLeft w:val="0"/>
                              <w:marRight w:val="0"/>
                              <w:marTop w:val="0"/>
                              <w:marBottom w:val="0"/>
                              <w:divBdr>
                                <w:top w:val="none" w:sz="0" w:space="0" w:color="auto"/>
                                <w:left w:val="single" w:sz="6" w:space="0" w:color="E5E3E3"/>
                                <w:bottom w:val="none" w:sz="0" w:space="0" w:color="auto"/>
                                <w:right w:val="none" w:sz="0" w:space="0" w:color="auto"/>
                              </w:divBdr>
                              <w:divsChild>
                                <w:div w:id="1961111489">
                                  <w:marLeft w:val="0"/>
                                  <w:marRight w:val="0"/>
                                  <w:marTop w:val="0"/>
                                  <w:marBottom w:val="0"/>
                                  <w:divBdr>
                                    <w:top w:val="none" w:sz="0" w:space="0" w:color="auto"/>
                                    <w:left w:val="none" w:sz="0" w:space="0" w:color="auto"/>
                                    <w:bottom w:val="none" w:sz="0" w:space="0" w:color="auto"/>
                                    <w:right w:val="none" w:sz="0" w:space="0" w:color="auto"/>
                                  </w:divBdr>
                                  <w:divsChild>
                                    <w:div w:id="877663837">
                                      <w:marLeft w:val="0"/>
                                      <w:marRight w:val="0"/>
                                      <w:marTop w:val="0"/>
                                      <w:marBottom w:val="0"/>
                                      <w:divBdr>
                                        <w:top w:val="none" w:sz="0" w:space="0" w:color="auto"/>
                                        <w:left w:val="none" w:sz="0" w:space="0" w:color="auto"/>
                                        <w:bottom w:val="none" w:sz="0" w:space="0" w:color="auto"/>
                                        <w:right w:val="none" w:sz="0" w:space="0" w:color="auto"/>
                                      </w:divBdr>
                                      <w:divsChild>
                                        <w:div w:id="549390131">
                                          <w:marLeft w:val="0"/>
                                          <w:marRight w:val="0"/>
                                          <w:marTop w:val="0"/>
                                          <w:marBottom w:val="0"/>
                                          <w:divBdr>
                                            <w:top w:val="none" w:sz="0" w:space="0" w:color="auto"/>
                                            <w:left w:val="none" w:sz="0" w:space="0" w:color="auto"/>
                                            <w:bottom w:val="none" w:sz="0" w:space="0" w:color="auto"/>
                                            <w:right w:val="none" w:sz="0" w:space="0" w:color="auto"/>
                                          </w:divBdr>
                                          <w:divsChild>
                                            <w:div w:id="1433940549">
                                              <w:marLeft w:val="0"/>
                                              <w:marRight w:val="0"/>
                                              <w:marTop w:val="0"/>
                                              <w:marBottom w:val="0"/>
                                              <w:divBdr>
                                                <w:top w:val="none" w:sz="0" w:space="0" w:color="auto"/>
                                                <w:left w:val="none" w:sz="0" w:space="0" w:color="auto"/>
                                                <w:bottom w:val="none" w:sz="0" w:space="0" w:color="auto"/>
                                                <w:right w:val="none" w:sz="0" w:space="0" w:color="auto"/>
                                              </w:divBdr>
                                              <w:divsChild>
                                                <w:div w:id="826437178">
                                                  <w:marLeft w:val="0"/>
                                                  <w:marRight w:val="0"/>
                                                  <w:marTop w:val="0"/>
                                                  <w:marBottom w:val="0"/>
                                                  <w:divBdr>
                                                    <w:top w:val="none" w:sz="0" w:space="0" w:color="auto"/>
                                                    <w:left w:val="none" w:sz="0" w:space="0" w:color="auto"/>
                                                    <w:bottom w:val="none" w:sz="0" w:space="0" w:color="auto"/>
                                                    <w:right w:val="none" w:sz="0" w:space="0" w:color="auto"/>
                                                  </w:divBdr>
                                                  <w:divsChild>
                                                    <w:div w:id="1873109357">
                                                      <w:marLeft w:val="0"/>
                                                      <w:marRight w:val="0"/>
                                                      <w:marTop w:val="0"/>
                                                      <w:marBottom w:val="0"/>
                                                      <w:divBdr>
                                                        <w:top w:val="none" w:sz="0" w:space="0" w:color="auto"/>
                                                        <w:left w:val="none" w:sz="0" w:space="0" w:color="auto"/>
                                                        <w:bottom w:val="none" w:sz="0" w:space="0" w:color="auto"/>
                                                        <w:right w:val="none" w:sz="0" w:space="0" w:color="auto"/>
                                                      </w:divBdr>
                                                      <w:divsChild>
                                                        <w:div w:id="518391464">
                                                          <w:marLeft w:val="480"/>
                                                          <w:marRight w:val="0"/>
                                                          <w:marTop w:val="0"/>
                                                          <w:marBottom w:val="0"/>
                                                          <w:divBdr>
                                                            <w:top w:val="none" w:sz="0" w:space="0" w:color="auto"/>
                                                            <w:left w:val="none" w:sz="0" w:space="0" w:color="auto"/>
                                                            <w:bottom w:val="none" w:sz="0" w:space="0" w:color="auto"/>
                                                            <w:right w:val="none" w:sz="0" w:space="0" w:color="auto"/>
                                                          </w:divBdr>
                                                          <w:divsChild>
                                                            <w:div w:id="68701931">
                                                              <w:marLeft w:val="0"/>
                                                              <w:marRight w:val="0"/>
                                                              <w:marTop w:val="0"/>
                                                              <w:marBottom w:val="0"/>
                                                              <w:divBdr>
                                                                <w:top w:val="none" w:sz="0" w:space="0" w:color="auto"/>
                                                                <w:left w:val="none" w:sz="0" w:space="0" w:color="auto"/>
                                                                <w:bottom w:val="none" w:sz="0" w:space="0" w:color="auto"/>
                                                                <w:right w:val="none" w:sz="0" w:space="0" w:color="auto"/>
                                                              </w:divBdr>
                                                              <w:divsChild>
                                                                <w:div w:id="842428587">
                                                                  <w:marLeft w:val="0"/>
                                                                  <w:marRight w:val="0"/>
                                                                  <w:marTop w:val="0"/>
                                                                  <w:marBottom w:val="0"/>
                                                                  <w:divBdr>
                                                                    <w:top w:val="none" w:sz="0" w:space="0" w:color="auto"/>
                                                                    <w:left w:val="none" w:sz="0" w:space="0" w:color="auto"/>
                                                                    <w:bottom w:val="none" w:sz="0" w:space="0" w:color="auto"/>
                                                                    <w:right w:val="none" w:sz="0" w:space="0" w:color="auto"/>
                                                                  </w:divBdr>
                                                                  <w:divsChild>
                                                                    <w:div w:id="1191190802">
                                                                      <w:marLeft w:val="0"/>
                                                                      <w:marRight w:val="0"/>
                                                                      <w:marTop w:val="240"/>
                                                                      <w:marBottom w:val="0"/>
                                                                      <w:divBdr>
                                                                        <w:top w:val="none" w:sz="0" w:space="0" w:color="auto"/>
                                                                        <w:left w:val="none" w:sz="0" w:space="0" w:color="auto"/>
                                                                        <w:bottom w:val="none" w:sz="0" w:space="0" w:color="auto"/>
                                                                        <w:right w:val="none" w:sz="0" w:space="0" w:color="auto"/>
                                                                      </w:divBdr>
                                                                      <w:divsChild>
                                                                        <w:div w:id="1319962386">
                                                                          <w:marLeft w:val="0"/>
                                                                          <w:marRight w:val="0"/>
                                                                          <w:marTop w:val="0"/>
                                                                          <w:marBottom w:val="0"/>
                                                                          <w:divBdr>
                                                                            <w:top w:val="none" w:sz="0" w:space="0" w:color="auto"/>
                                                                            <w:left w:val="none" w:sz="0" w:space="0" w:color="auto"/>
                                                                            <w:bottom w:val="none" w:sz="0" w:space="0" w:color="auto"/>
                                                                            <w:right w:val="none" w:sz="0" w:space="0" w:color="auto"/>
                                                                          </w:divBdr>
                                                                          <w:divsChild>
                                                                            <w:div w:id="309479828">
                                                                              <w:marLeft w:val="0"/>
                                                                              <w:marRight w:val="0"/>
                                                                              <w:marTop w:val="0"/>
                                                                              <w:marBottom w:val="0"/>
                                                                              <w:divBdr>
                                                                                <w:top w:val="none" w:sz="0" w:space="0" w:color="auto"/>
                                                                                <w:left w:val="none" w:sz="0" w:space="0" w:color="auto"/>
                                                                                <w:bottom w:val="none" w:sz="0" w:space="0" w:color="auto"/>
                                                                                <w:right w:val="none" w:sz="0" w:space="0" w:color="auto"/>
                                                                              </w:divBdr>
                                                                              <w:divsChild>
                                                                                <w:div w:id="327683453">
                                                                                  <w:marLeft w:val="0"/>
                                                                                  <w:marRight w:val="0"/>
                                                                                  <w:marTop w:val="0"/>
                                                                                  <w:marBottom w:val="0"/>
                                                                                  <w:divBdr>
                                                                                    <w:top w:val="none" w:sz="0" w:space="0" w:color="auto"/>
                                                                                    <w:left w:val="none" w:sz="0" w:space="0" w:color="auto"/>
                                                                                    <w:bottom w:val="none" w:sz="0" w:space="0" w:color="auto"/>
                                                                                    <w:right w:val="none" w:sz="0" w:space="0" w:color="auto"/>
                                                                                  </w:divBdr>
                                                                                  <w:divsChild>
                                                                                    <w:div w:id="1886410602">
                                                                                      <w:marLeft w:val="0"/>
                                                                                      <w:marRight w:val="0"/>
                                                                                      <w:marTop w:val="0"/>
                                                                                      <w:marBottom w:val="0"/>
                                                                                      <w:divBdr>
                                                                                        <w:top w:val="none" w:sz="0" w:space="0" w:color="auto"/>
                                                                                        <w:left w:val="none" w:sz="0" w:space="0" w:color="auto"/>
                                                                                        <w:bottom w:val="none" w:sz="0" w:space="0" w:color="auto"/>
                                                                                        <w:right w:val="none" w:sz="0" w:space="0" w:color="auto"/>
                                                                                      </w:divBdr>
                                                                                      <w:divsChild>
                                                                                        <w:div w:id="1982077650">
                                                                                          <w:marLeft w:val="0"/>
                                                                                          <w:marRight w:val="0"/>
                                                                                          <w:marTop w:val="0"/>
                                                                                          <w:marBottom w:val="0"/>
                                                                                          <w:divBdr>
                                                                                            <w:top w:val="none" w:sz="0" w:space="0" w:color="auto"/>
                                                                                            <w:left w:val="none" w:sz="0" w:space="0" w:color="auto"/>
                                                                                            <w:bottom w:val="none" w:sz="0" w:space="0" w:color="auto"/>
                                                                                            <w:right w:val="none" w:sz="0" w:space="0" w:color="auto"/>
                                                                                          </w:divBdr>
                                                                                          <w:divsChild>
                                                                                            <w:div w:id="947004812">
                                                                                              <w:marLeft w:val="0"/>
                                                                                              <w:marRight w:val="0"/>
                                                                                              <w:marTop w:val="0"/>
                                                                                              <w:marBottom w:val="0"/>
                                                                                              <w:divBdr>
                                                                                                <w:top w:val="none" w:sz="0" w:space="0" w:color="auto"/>
                                                                                                <w:left w:val="none" w:sz="0" w:space="0" w:color="auto"/>
                                                                                                <w:bottom w:val="none" w:sz="0" w:space="0" w:color="auto"/>
                                                                                                <w:right w:val="none" w:sz="0" w:space="0" w:color="auto"/>
                                                                                              </w:divBdr>
                                                                                              <w:divsChild>
                                                                                                <w:div w:id="696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4293">
      <w:bodyDiv w:val="1"/>
      <w:marLeft w:val="0"/>
      <w:marRight w:val="0"/>
      <w:marTop w:val="0"/>
      <w:marBottom w:val="0"/>
      <w:divBdr>
        <w:top w:val="none" w:sz="0" w:space="0" w:color="auto"/>
        <w:left w:val="none" w:sz="0" w:space="0" w:color="auto"/>
        <w:bottom w:val="none" w:sz="0" w:space="0" w:color="auto"/>
        <w:right w:val="none" w:sz="0" w:space="0" w:color="auto"/>
      </w:divBdr>
      <w:divsChild>
        <w:div w:id="395711711">
          <w:marLeft w:val="0"/>
          <w:marRight w:val="0"/>
          <w:marTop w:val="0"/>
          <w:marBottom w:val="0"/>
          <w:divBdr>
            <w:top w:val="none" w:sz="0" w:space="0" w:color="auto"/>
            <w:left w:val="none" w:sz="0" w:space="0" w:color="auto"/>
            <w:bottom w:val="none" w:sz="0" w:space="0" w:color="auto"/>
            <w:right w:val="none" w:sz="0" w:space="0" w:color="auto"/>
          </w:divBdr>
          <w:divsChild>
            <w:div w:id="900560838">
              <w:marLeft w:val="0"/>
              <w:marRight w:val="0"/>
              <w:marTop w:val="0"/>
              <w:marBottom w:val="0"/>
              <w:divBdr>
                <w:top w:val="none" w:sz="0" w:space="0" w:color="auto"/>
                <w:left w:val="none" w:sz="0" w:space="0" w:color="auto"/>
                <w:bottom w:val="none" w:sz="0" w:space="0" w:color="auto"/>
                <w:right w:val="none" w:sz="0" w:space="0" w:color="auto"/>
              </w:divBdr>
              <w:divsChild>
                <w:div w:id="1521621302">
                  <w:marLeft w:val="0"/>
                  <w:marRight w:val="0"/>
                  <w:marTop w:val="0"/>
                  <w:marBottom w:val="0"/>
                  <w:divBdr>
                    <w:top w:val="none" w:sz="0" w:space="0" w:color="auto"/>
                    <w:left w:val="none" w:sz="0" w:space="0" w:color="auto"/>
                    <w:bottom w:val="none" w:sz="0" w:space="0" w:color="auto"/>
                    <w:right w:val="none" w:sz="0" w:space="0" w:color="auto"/>
                  </w:divBdr>
                  <w:divsChild>
                    <w:div w:id="701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7044">
      <w:bodyDiv w:val="1"/>
      <w:marLeft w:val="0"/>
      <w:marRight w:val="0"/>
      <w:marTop w:val="0"/>
      <w:marBottom w:val="0"/>
      <w:divBdr>
        <w:top w:val="none" w:sz="0" w:space="0" w:color="auto"/>
        <w:left w:val="none" w:sz="0" w:space="0" w:color="auto"/>
        <w:bottom w:val="none" w:sz="0" w:space="0" w:color="auto"/>
        <w:right w:val="none" w:sz="0" w:space="0" w:color="auto"/>
      </w:divBdr>
    </w:div>
    <w:div w:id="906765699">
      <w:bodyDiv w:val="1"/>
      <w:marLeft w:val="0"/>
      <w:marRight w:val="0"/>
      <w:marTop w:val="0"/>
      <w:marBottom w:val="0"/>
      <w:divBdr>
        <w:top w:val="none" w:sz="0" w:space="0" w:color="auto"/>
        <w:left w:val="none" w:sz="0" w:space="0" w:color="auto"/>
        <w:bottom w:val="none" w:sz="0" w:space="0" w:color="auto"/>
        <w:right w:val="none" w:sz="0" w:space="0" w:color="auto"/>
      </w:divBdr>
    </w:div>
    <w:div w:id="1085145768">
      <w:bodyDiv w:val="1"/>
      <w:marLeft w:val="0"/>
      <w:marRight w:val="0"/>
      <w:marTop w:val="0"/>
      <w:marBottom w:val="0"/>
      <w:divBdr>
        <w:top w:val="none" w:sz="0" w:space="0" w:color="auto"/>
        <w:left w:val="none" w:sz="0" w:space="0" w:color="auto"/>
        <w:bottom w:val="none" w:sz="0" w:space="0" w:color="auto"/>
        <w:right w:val="none" w:sz="0" w:space="0" w:color="auto"/>
      </w:divBdr>
    </w:div>
    <w:div w:id="1097798458">
      <w:bodyDiv w:val="1"/>
      <w:marLeft w:val="0"/>
      <w:marRight w:val="0"/>
      <w:marTop w:val="0"/>
      <w:marBottom w:val="0"/>
      <w:divBdr>
        <w:top w:val="none" w:sz="0" w:space="0" w:color="auto"/>
        <w:left w:val="none" w:sz="0" w:space="0" w:color="auto"/>
        <w:bottom w:val="none" w:sz="0" w:space="0" w:color="auto"/>
        <w:right w:val="none" w:sz="0" w:space="0" w:color="auto"/>
      </w:divBdr>
    </w:div>
    <w:div w:id="1111437463">
      <w:bodyDiv w:val="1"/>
      <w:marLeft w:val="0"/>
      <w:marRight w:val="0"/>
      <w:marTop w:val="0"/>
      <w:marBottom w:val="0"/>
      <w:divBdr>
        <w:top w:val="none" w:sz="0" w:space="0" w:color="auto"/>
        <w:left w:val="none" w:sz="0" w:space="0" w:color="auto"/>
        <w:bottom w:val="none" w:sz="0" w:space="0" w:color="auto"/>
        <w:right w:val="none" w:sz="0" w:space="0" w:color="auto"/>
      </w:divBdr>
    </w:div>
    <w:div w:id="1202787136">
      <w:bodyDiv w:val="1"/>
      <w:marLeft w:val="0"/>
      <w:marRight w:val="0"/>
      <w:marTop w:val="0"/>
      <w:marBottom w:val="0"/>
      <w:divBdr>
        <w:top w:val="none" w:sz="0" w:space="0" w:color="auto"/>
        <w:left w:val="none" w:sz="0" w:space="0" w:color="auto"/>
        <w:bottom w:val="none" w:sz="0" w:space="0" w:color="auto"/>
        <w:right w:val="none" w:sz="0" w:space="0" w:color="auto"/>
      </w:divBdr>
    </w:div>
    <w:div w:id="1227034104">
      <w:bodyDiv w:val="1"/>
      <w:marLeft w:val="0"/>
      <w:marRight w:val="0"/>
      <w:marTop w:val="0"/>
      <w:marBottom w:val="0"/>
      <w:divBdr>
        <w:top w:val="none" w:sz="0" w:space="0" w:color="auto"/>
        <w:left w:val="none" w:sz="0" w:space="0" w:color="auto"/>
        <w:bottom w:val="none" w:sz="0" w:space="0" w:color="auto"/>
        <w:right w:val="none" w:sz="0" w:space="0" w:color="auto"/>
      </w:divBdr>
    </w:div>
    <w:div w:id="1345597519">
      <w:bodyDiv w:val="1"/>
      <w:marLeft w:val="0"/>
      <w:marRight w:val="0"/>
      <w:marTop w:val="0"/>
      <w:marBottom w:val="0"/>
      <w:divBdr>
        <w:top w:val="none" w:sz="0" w:space="0" w:color="auto"/>
        <w:left w:val="none" w:sz="0" w:space="0" w:color="auto"/>
        <w:bottom w:val="none" w:sz="0" w:space="0" w:color="auto"/>
        <w:right w:val="none" w:sz="0" w:space="0" w:color="auto"/>
      </w:divBdr>
    </w:div>
    <w:div w:id="1405445989">
      <w:bodyDiv w:val="1"/>
      <w:marLeft w:val="0"/>
      <w:marRight w:val="0"/>
      <w:marTop w:val="0"/>
      <w:marBottom w:val="0"/>
      <w:divBdr>
        <w:top w:val="none" w:sz="0" w:space="0" w:color="auto"/>
        <w:left w:val="none" w:sz="0" w:space="0" w:color="auto"/>
        <w:bottom w:val="none" w:sz="0" w:space="0" w:color="auto"/>
        <w:right w:val="none" w:sz="0" w:space="0" w:color="auto"/>
      </w:divBdr>
    </w:div>
    <w:div w:id="1477992028">
      <w:bodyDiv w:val="1"/>
      <w:marLeft w:val="0"/>
      <w:marRight w:val="0"/>
      <w:marTop w:val="0"/>
      <w:marBottom w:val="0"/>
      <w:divBdr>
        <w:top w:val="none" w:sz="0" w:space="0" w:color="auto"/>
        <w:left w:val="none" w:sz="0" w:space="0" w:color="auto"/>
        <w:bottom w:val="none" w:sz="0" w:space="0" w:color="auto"/>
        <w:right w:val="none" w:sz="0" w:space="0" w:color="auto"/>
      </w:divBdr>
    </w:div>
    <w:div w:id="1735472708">
      <w:bodyDiv w:val="1"/>
      <w:marLeft w:val="0"/>
      <w:marRight w:val="0"/>
      <w:marTop w:val="0"/>
      <w:marBottom w:val="0"/>
      <w:divBdr>
        <w:top w:val="none" w:sz="0" w:space="0" w:color="auto"/>
        <w:left w:val="none" w:sz="0" w:space="0" w:color="auto"/>
        <w:bottom w:val="none" w:sz="0" w:space="0" w:color="auto"/>
        <w:right w:val="none" w:sz="0" w:space="0" w:color="auto"/>
      </w:divBdr>
      <w:divsChild>
        <w:div w:id="1584534408">
          <w:marLeft w:val="0"/>
          <w:marRight w:val="0"/>
          <w:marTop w:val="0"/>
          <w:marBottom w:val="0"/>
          <w:divBdr>
            <w:top w:val="none" w:sz="0" w:space="0" w:color="auto"/>
            <w:left w:val="none" w:sz="0" w:space="0" w:color="auto"/>
            <w:bottom w:val="none" w:sz="0" w:space="0" w:color="auto"/>
            <w:right w:val="none" w:sz="0" w:space="0" w:color="auto"/>
          </w:divBdr>
          <w:divsChild>
            <w:div w:id="947586908">
              <w:marLeft w:val="0"/>
              <w:marRight w:val="0"/>
              <w:marTop w:val="0"/>
              <w:marBottom w:val="0"/>
              <w:divBdr>
                <w:top w:val="none" w:sz="0" w:space="0" w:color="auto"/>
                <w:left w:val="none" w:sz="0" w:space="0" w:color="auto"/>
                <w:bottom w:val="none" w:sz="0" w:space="0" w:color="auto"/>
                <w:right w:val="none" w:sz="0" w:space="0" w:color="auto"/>
              </w:divBdr>
              <w:divsChild>
                <w:div w:id="616529780">
                  <w:marLeft w:val="0"/>
                  <w:marRight w:val="0"/>
                  <w:marTop w:val="0"/>
                  <w:marBottom w:val="0"/>
                  <w:divBdr>
                    <w:top w:val="none" w:sz="0" w:space="0" w:color="auto"/>
                    <w:left w:val="none" w:sz="0" w:space="0" w:color="auto"/>
                    <w:bottom w:val="none" w:sz="0" w:space="0" w:color="auto"/>
                    <w:right w:val="none" w:sz="0" w:space="0" w:color="auto"/>
                  </w:divBdr>
                  <w:divsChild>
                    <w:div w:id="17395367">
                      <w:marLeft w:val="0"/>
                      <w:marRight w:val="0"/>
                      <w:marTop w:val="0"/>
                      <w:marBottom w:val="0"/>
                      <w:divBdr>
                        <w:top w:val="none" w:sz="0" w:space="0" w:color="auto"/>
                        <w:left w:val="none" w:sz="0" w:space="0" w:color="auto"/>
                        <w:bottom w:val="none" w:sz="0" w:space="0" w:color="auto"/>
                        <w:right w:val="none" w:sz="0" w:space="0" w:color="auto"/>
                      </w:divBdr>
                      <w:divsChild>
                        <w:div w:id="1171288145">
                          <w:marLeft w:val="0"/>
                          <w:marRight w:val="0"/>
                          <w:marTop w:val="0"/>
                          <w:marBottom w:val="0"/>
                          <w:divBdr>
                            <w:top w:val="none" w:sz="0" w:space="0" w:color="auto"/>
                            <w:left w:val="none" w:sz="0" w:space="0" w:color="auto"/>
                            <w:bottom w:val="none" w:sz="0" w:space="0" w:color="auto"/>
                            <w:right w:val="none" w:sz="0" w:space="0" w:color="auto"/>
                          </w:divBdr>
                          <w:divsChild>
                            <w:div w:id="114950202">
                              <w:marLeft w:val="0"/>
                              <w:marRight w:val="0"/>
                              <w:marTop w:val="0"/>
                              <w:marBottom w:val="0"/>
                              <w:divBdr>
                                <w:top w:val="none" w:sz="0" w:space="0" w:color="auto"/>
                                <w:left w:val="none" w:sz="0" w:space="0" w:color="auto"/>
                                <w:bottom w:val="none" w:sz="0" w:space="0" w:color="auto"/>
                                <w:right w:val="none" w:sz="0" w:space="0" w:color="auto"/>
                              </w:divBdr>
                              <w:divsChild>
                                <w:div w:id="545066108">
                                  <w:marLeft w:val="0"/>
                                  <w:marRight w:val="0"/>
                                  <w:marTop w:val="0"/>
                                  <w:marBottom w:val="0"/>
                                  <w:divBdr>
                                    <w:top w:val="none" w:sz="0" w:space="0" w:color="auto"/>
                                    <w:left w:val="none" w:sz="0" w:space="0" w:color="auto"/>
                                    <w:bottom w:val="none" w:sz="0" w:space="0" w:color="auto"/>
                                    <w:right w:val="none" w:sz="0" w:space="0" w:color="auto"/>
                                  </w:divBdr>
                                  <w:divsChild>
                                    <w:div w:id="1883714708">
                                      <w:marLeft w:val="0"/>
                                      <w:marRight w:val="0"/>
                                      <w:marTop w:val="0"/>
                                      <w:marBottom w:val="0"/>
                                      <w:divBdr>
                                        <w:top w:val="none" w:sz="0" w:space="0" w:color="auto"/>
                                        <w:left w:val="none" w:sz="0" w:space="0" w:color="auto"/>
                                        <w:bottom w:val="none" w:sz="0" w:space="0" w:color="auto"/>
                                        <w:right w:val="none" w:sz="0" w:space="0" w:color="auto"/>
                                      </w:divBdr>
                                      <w:divsChild>
                                        <w:div w:id="1139423749">
                                          <w:marLeft w:val="0"/>
                                          <w:marRight w:val="0"/>
                                          <w:marTop w:val="0"/>
                                          <w:marBottom w:val="0"/>
                                          <w:divBdr>
                                            <w:top w:val="none" w:sz="0" w:space="0" w:color="auto"/>
                                            <w:left w:val="none" w:sz="0" w:space="0" w:color="auto"/>
                                            <w:bottom w:val="none" w:sz="0" w:space="0" w:color="auto"/>
                                            <w:right w:val="none" w:sz="0" w:space="0" w:color="auto"/>
                                          </w:divBdr>
                                          <w:divsChild>
                                            <w:div w:id="2031174692">
                                              <w:marLeft w:val="0"/>
                                              <w:marRight w:val="0"/>
                                              <w:marTop w:val="0"/>
                                              <w:marBottom w:val="0"/>
                                              <w:divBdr>
                                                <w:top w:val="none" w:sz="0" w:space="0" w:color="auto"/>
                                                <w:left w:val="none" w:sz="0" w:space="0" w:color="auto"/>
                                                <w:bottom w:val="none" w:sz="0" w:space="0" w:color="auto"/>
                                                <w:right w:val="none" w:sz="0" w:space="0" w:color="auto"/>
                                              </w:divBdr>
                                              <w:divsChild>
                                                <w:div w:id="705521554">
                                                  <w:marLeft w:val="0"/>
                                                  <w:marRight w:val="0"/>
                                                  <w:marTop w:val="0"/>
                                                  <w:marBottom w:val="0"/>
                                                  <w:divBdr>
                                                    <w:top w:val="none" w:sz="0" w:space="0" w:color="auto"/>
                                                    <w:left w:val="none" w:sz="0" w:space="0" w:color="auto"/>
                                                    <w:bottom w:val="none" w:sz="0" w:space="0" w:color="auto"/>
                                                    <w:right w:val="none" w:sz="0" w:space="0" w:color="auto"/>
                                                  </w:divBdr>
                                                  <w:divsChild>
                                                    <w:div w:id="400636306">
                                                      <w:marLeft w:val="0"/>
                                                      <w:marRight w:val="0"/>
                                                      <w:marTop w:val="0"/>
                                                      <w:marBottom w:val="0"/>
                                                      <w:divBdr>
                                                        <w:top w:val="none" w:sz="0" w:space="0" w:color="auto"/>
                                                        <w:left w:val="none" w:sz="0" w:space="0" w:color="auto"/>
                                                        <w:bottom w:val="none" w:sz="0" w:space="0" w:color="auto"/>
                                                        <w:right w:val="none" w:sz="0" w:space="0" w:color="auto"/>
                                                      </w:divBdr>
                                                      <w:divsChild>
                                                        <w:div w:id="1379893174">
                                                          <w:marLeft w:val="0"/>
                                                          <w:marRight w:val="0"/>
                                                          <w:marTop w:val="0"/>
                                                          <w:marBottom w:val="0"/>
                                                          <w:divBdr>
                                                            <w:top w:val="none" w:sz="0" w:space="0" w:color="auto"/>
                                                            <w:left w:val="none" w:sz="0" w:space="0" w:color="auto"/>
                                                            <w:bottom w:val="none" w:sz="0" w:space="0" w:color="auto"/>
                                                            <w:right w:val="none" w:sz="0" w:space="0" w:color="auto"/>
                                                          </w:divBdr>
                                                        </w:div>
                                                      </w:divsChild>
                                                    </w:div>
                                                    <w:div w:id="710345271">
                                                      <w:marLeft w:val="0"/>
                                                      <w:marRight w:val="0"/>
                                                      <w:marTop w:val="0"/>
                                                      <w:marBottom w:val="0"/>
                                                      <w:divBdr>
                                                        <w:top w:val="none" w:sz="0" w:space="0" w:color="auto"/>
                                                        <w:left w:val="none" w:sz="0" w:space="0" w:color="auto"/>
                                                        <w:bottom w:val="none" w:sz="0" w:space="0" w:color="auto"/>
                                                        <w:right w:val="none" w:sz="0" w:space="0" w:color="auto"/>
                                                      </w:divBdr>
                                                      <w:divsChild>
                                                        <w:div w:id="172300084">
                                                          <w:marLeft w:val="0"/>
                                                          <w:marRight w:val="0"/>
                                                          <w:marTop w:val="0"/>
                                                          <w:marBottom w:val="75"/>
                                                          <w:divBdr>
                                                            <w:top w:val="none" w:sz="0" w:space="0" w:color="auto"/>
                                                            <w:left w:val="none" w:sz="0" w:space="0" w:color="auto"/>
                                                            <w:bottom w:val="none" w:sz="0" w:space="0" w:color="auto"/>
                                                            <w:right w:val="none" w:sz="0" w:space="0" w:color="auto"/>
                                                          </w:divBdr>
                                                          <w:divsChild>
                                                            <w:div w:id="959185119">
                                                              <w:marLeft w:val="0"/>
                                                              <w:marRight w:val="75"/>
                                                              <w:marTop w:val="0"/>
                                                              <w:marBottom w:val="0"/>
                                                              <w:divBdr>
                                                                <w:top w:val="none" w:sz="0" w:space="0" w:color="auto"/>
                                                                <w:left w:val="none" w:sz="0" w:space="0" w:color="auto"/>
                                                                <w:bottom w:val="none" w:sz="0" w:space="0" w:color="auto"/>
                                                                <w:right w:val="none" w:sz="0" w:space="0" w:color="auto"/>
                                                              </w:divBdr>
                                                            </w:div>
                                                            <w:div w:id="1628927601">
                                                              <w:marLeft w:val="0"/>
                                                              <w:marRight w:val="0"/>
                                                              <w:marTop w:val="0"/>
                                                              <w:marBottom w:val="0"/>
                                                              <w:divBdr>
                                                                <w:top w:val="none" w:sz="0" w:space="0" w:color="auto"/>
                                                                <w:left w:val="none" w:sz="0" w:space="0" w:color="auto"/>
                                                                <w:bottom w:val="none" w:sz="0" w:space="0" w:color="auto"/>
                                                                <w:right w:val="none" w:sz="0" w:space="0" w:color="auto"/>
                                                              </w:divBdr>
                                                            </w:div>
                                                            <w:div w:id="2101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6292">
                                                      <w:marLeft w:val="0"/>
                                                      <w:marRight w:val="0"/>
                                                      <w:marTop w:val="0"/>
                                                      <w:marBottom w:val="0"/>
                                                      <w:divBdr>
                                                        <w:top w:val="none" w:sz="0" w:space="0" w:color="auto"/>
                                                        <w:left w:val="none" w:sz="0" w:space="0" w:color="auto"/>
                                                        <w:bottom w:val="none" w:sz="0" w:space="0" w:color="auto"/>
                                                        <w:right w:val="none" w:sz="0" w:space="0" w:color="auto"/>
                                                      </w:divBdr>
                                                      <w:divsChild>
                                                        <w:div w:id="146749357">
                                                          <w:marLeft w:val="0"/>
                                                          <w:marRight w:val="75"/>
                                                          <w:marTop w:val="0"/>
                                                          <w:marBottom w:val="0"/>
                                                          <w:divBdr>
                                                            <w:top w:val="none" w:sz="0" w:space="0" w:color="auto"/>
                                                            <w:left w:val="none" w:sz="0" w:space="0" w:color="auto"/>
                                                            <w:bottom w:val="none" w:sz="0" w:space="0" w:color="auto"/>
                                                            <w:right w:val="none" w:sz="0" w:space="0" w:color="auto"/>
                                                          </w:divBdr>
                                                        </w:div>
                                                        <w:div w:id="2004964673">
                                                          <w:marLeft w:val="0"/>
                                                          <w:marRight w:val="0"/>
                                                          <w:marTop w:val="0"/>
                                                          <w:marBottom w:val="0"/>
                                                          <w:divBdr>
                                                            <w:top w:val="none" w:sz="0" w:space="0" w:color="auto"/>
                                                            <w:left w:val="none" w:sz="0" w:space="0" w:color="auto"/>
                                                            <w:bottom w:val="none" w:sz="0" w:space="0" w:color="auto"/>
                                                            <w:right w:val="none" w:sz="0" w:space="0" w:color="auto"/>
                                                          </w:divBdr>
                                                        </w:div>
                                                      </w:divsChild>
                                                    </w:div>
                                                    <w:div w:id="1362315545">
                                                      <w:marLeft w:val="0"/>
                                                      <w:marRight w:val="0"/>
                                                      <w:marTop w:val="75"/>
                                                      <w:marBottom w:val="0"/>
                                                      <w:divBdr>
                                                        <w:top w:val="none" w:sz="0" w:space="0" w:color="auto"/>
                                                        <w:left w:val="none" w:sz="0" w:space="0" w:color="auto"/>
                                                        <w:bottom w:val="none" w:sz="0" w:space="0" w:color="auto"/>
                                                        <w:right w:val="none" w:sz="0" w:space="0" w:color="auto"/>
                                                      </w:divBdr>
                                                    </w:div>
                                                    <w:div w:id="1734961280">
                                                      <w:marLeft w:val="0"/>
                                                      <w:marRight w:val="0"/>
                                                      <w:marTop w:val="240"/>
                                                      <w:marBottom w:val="0"/>
                                                      <w:divBdr>
                                                        <w:top w:val="none" w:sz="0" w:space="0" w:color="auto"/>
                                                        <w:left w:val="none" w:sz="0" w:space="0" w:color="auto"/>
                                                        <w:bottom w:val="none" w:sz="0" w:space="0" w:color="auto"/>
                                                        <w:right w:val="none" w:sz="0" w:space="0" w:color="auto"/>
                                                      </w:divBdr>
                                                    </w:div>
                                                    <w:div w:id="539246744">
                                                      <w:marLeft w:val="0"/>
                                                      <w:marRight w:val="240"/>
                                                      <w:marTop w:val="0"/>
                                                      <w:marBottom w:val="0"/>
                                                      <w:divBdr>
                                                        <w:top w:val="none" w:sz="0" w:space="0" w:color="auto"/>
                                                        <w:left w:val="none" w:sz="0" w:space="0" w:color="auto"/>
                                                        <w:bottom w:val="none" w:sz="0" w:space="0" w:color="auto"/>
                                                        <w:right w:val="none" w:sz="0" w:space="0" w:color="auto"/>
                                                      </w:divBdr>
                                                    </w:div>
                                                    <w:div w:id="693776001">
                                                      <w:marLeft w:val="0"/>
                                                      <w:marRight w:val="240"/>
                                                      <w:marTop w:val="0"/>
                                                      <w:marBottom w:val="0"/>
                                                      <w:divBdr>
                                                        <w:top w:val="none" w:sz="0" w:space="0" w:color="auto"/>
                                                        <w:left w:val="none" w:sz="0" w:space="0" w:color="auto"/>
                                                        <w:bottom w:val="none" w:sz="0" w:space="0" w:color="auto"/>
                                                        <w:right w:val="none" w:sz="0" w:space="0" w:color="auto"/>
                                                      </w:divBdr>
                                                    </w:div>
                                                    <w:div w:id="3270522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98218638">
                                          <w:marLeft w:val="0"/>
                                          <w:marRight w:val="0"/>
                                          <w:marTop w:val="0"/>
                                          <w:marBottom w:val="0"/>
                                          <w:divBdr>
                                            <w:top w:val="none" w:sz="0" w:space="0" w:color="auto"/>
                                            <w:left w:val="none" w:sz="0" w:space="0" w:color="auto"/>
                                            <w:bottom w:val="none" w:sz="0" w:space="0" w:color="auto"/>
                                            <w:right w:val="none" w:sz="0" w:space="0" w:color="auto"/>
                                          </w:divBdr>
                                          <w:divsChild>
                                            <w:div w:id="58863851">
                                              <w:marLeft w:val="0"/>
                                              <w:marRight w:val="0"/>
                                              <w:marTop w:val="0"/>
                                              <w:marBottom w:val="0"/>
                                              <w:divBdr>
                                                <w:top w:val="none" w:sz="0" w:space="0" w:color="auto"/>
                                                <w:left w:val="none" w:sz="0" w:space="0" w:color="auto"/>
                                                <w:bottom w:val="none" w:sz="0" w:space="0" w:color="auto"/>
                                                <w:right w:val="none" w:sz="0" w:space="0" w:color="auto"/>
                                              </w:divBdr>
                                              <w:divsChild>
                                                <w:div w:id="15967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863202471">
      <w:bodyDiv w:val="1"/>
      <w:marLeft w:val="0"/>
      <w:marRight w:val="0"/>
      <w:marTop w:val="0"/>
      <w:marBottom w:val="0"/>
      <w:divBdr>
        <w:top w:val="none" w:sz="0" w:space="0" w:color="auto"/>
        <w:left w:val="none" w:sz="0" w:space="0" w:color="auto"/>
        <w:bottom w:val="none" w:sz="0" w:space="0" w:color="auto"/>
        <w:right w:val="none" w:sz="0" w:space="0" w:color="auto"/>
      </w:divBdr>
      <w:divsChild>
        <w:div w:id="10469479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hsbsa.nhs.uk/access-our-data-products/epact2/dashboards-and-specifications/medication-safe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E627-5BB4-445D-B90A-FDB83089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6062</Words>
  <Characters>34554</Characters>
  <Application>Microsoft Office Word</Application>
  <DocSecurity>0</DocSecurity>
  <Lines>287</Lines>
  <Paragraphs>81</Paragraphs>
  <ScaleCrop>false</ScaleCrop>
  <Company/>
  <LinksUpToDate>false</LinksUpToDate>
  <CharactersWithSpaces>40535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2022-08-23T12:36:00Z</dcterms:created>
  <dcterms:modified xsi:type="dcterms:W3CDTF">2022-08-23T12:36:00Z</dcterms:modified>
</cp:coreProperties>
</file>