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966D4" w14:textId="77777777" w:rsidR="00482C01" w:rsidRDefault="00482C01" w:rsidP="00FE12CE">
      <w:pPr>
        <w:pStyle w:val="Title"/>
      </w:pPr>
      <w:bookmarkStart w:id="0" w:name="_Toc383595130"/>
      <w:bookmarkStart w:id="1" w:name="_Toc102647171"/>
      <w:bookmarkStart w:id="2" w:name="_Toc103334617"/>
      <w:bookmarkStart w:id="3" w:name="_Toc103955090"/>
      <w:bookmarkStart w:id="4" w:name="_Toc103957579"/>
      <w:bookmarkStart w:id="5" w:name="_Toc108167943"/>
      <w:r w:rsidRPr="00861C2E">
        <w:t>NATIONAL INSTITUTE FOR HEALTH AND CARE EXCELLENCE</w:t>
      </w:r>
      <w:bookmarkEnd w:id="0"/>
      <w:bookmarkEnd w:id="1"/>
      <w:bookmarkEnd w:id="2"/>
      <w:bookmarkEnd w:id="3"/>
      <w:bookmarkEnd w:id="4"/>
      <w:bookmarkEnd w:id="5"/>
    </w:p>
    <w:p w14:paraId="513A8F55" w14:textId="77777777" w:rsidR="008C183F" w:rsidRPr="00861C2E" w:rsidRDefault="008C183F" w:rsidP="00225BB4">
      <w:pPr>
        <w:pStyle w:val="Paragraph"/>
      </w:pPr>
    </w:p>
    <w:p w14:paraId="4E99922F" w14:textId="77777777" w:rsidR="00482C01" w:rsidRPr="00861C2E" w:rsidRDefault="00482C01" w:rsidP="00FE12CE">
      <w:pPr>
        <w:pStyle w:val="Title"/>
      </w:pPr>
      <w:bookmarkStart w:id="6" w:name="_Toc383595131"/>
      <w:bookmarkStart w:id="7" w:name="_Toc102647172"/>
      <w:bookmarkStart w:id="8" w:name="_Toc103334618"/>
      <w:bookmarkStart w:id="9" w:name="_Toc103955091"/>
      <w:bookmarkStart w:id="10" w:name="_Toc103957580"/>
      <w:bookmarkStart w:id="11" w:name="_Toc108167944"/>
      <w:r w:rsidRPr="00861C2E">
        <w:t>INDICATOR DEVELOPMENT PROGRAMME</w:t>
      </w:r>
      <w:bookmarkEnd w:id="6"/>
      <w:bookmarkEnd w:id="7"/>
      <w:bookmarkEnd w:id="8"/>
      <w:bookmarkEnd w:id="9"/>
      <w:bookmarkEnd w:id="10"/>
      <w:bookmarkEnd w:id="11"/>
    </w:p>
    <w:p w14:paraId="7489FAE6" w14:textId="77777777" w:rsidR="00482C01" w:rsidRDefault="00482C01" w:rsidP="00225BB4">
      <w:pPr>
        <w:pStyle w:val="Paragraph"/>
      </w:pPr>
      <w:bookmarkStart w:id="12" w:name="_Toc383595132"/>
      <w:r>
        <w:tab/>
      </w:r>
    </w:p>
    <w:p w14:paraId="6C6B43FC" w14:textId="1F50B72D" w:rsidR="00482C01" w:rsidRDefault="00482C01" w:rsidP="00FE12CE">
      <w:pPr>
        <w:pStyle w:val="Title"/>
        <w:rPr>
          <w:rFonts w:cs="Arial"/>
        </w:rPr>
      </w:pPr>
      <w:bookmarkStart w:id="13" w:name="_Toc102647173"/>
      <w:bookmarkStart w:id="14" w:name="_Toc103334619"/>
      <w:bookmarkStart w:id="15" w:name="_Toc103955092"/>
      <w:bookmarkStart w:id="16" w:name="_Toc103957581"/>
      <w:bookmarkStart w:id="17" w:name="_Toc108167945"/>
      <w:r w:rsidRPr="00861C2E">
        <w:rPr>
          <w:rFonts w:cs="Arial"/>
        </w:rPr>
        <w:t>C</w:t>
      </w:r>
      <w:r w:rsidR="00DB5AE0">
        <w:rPr>
          <w:rFonts w:cs="Arial"/>
        </w:rPr>
        <w:t>onsultation report</w:t>
      </w:r>
      <w:bookmarkEnd w:id="13"/>
      <w:bookmarkEnd w:id="14"/>
      <w:bookmarkEnd w:id="15"/>
      <w:bookmarkEnd w:id="16"/>
      <w:bookmarkEnd w:id="17"/>
      <w:r w:rsidR="00DB5AE0">
        <w:rPr>
          <w:rFonts w:cs="Arial"/>
        </w:rPr>
        <w:t xml:space="preserve"> </w:t>
      </w:r>
      <w:bookmarkEnd w:id="12"/>
    </w:p>
    <w:p w14:paraId="496B6A1B" w14:textId="4A993F17" w:rsidR="00FE12CE" w:rsidRPr="00FE12CE" w:rsidRDefault="00FE12CE" w:rsidP="00FE12CE">
      <w:pPr>
        <w:pStyle w:val="Paragraph"/>
      </w:pPr>
      <w:r w:rsidRPr="00FE12CE">
        <w:t xml:space="preserve">Indicator area: </w:t>
      </w:r>
      <w:r w:rsidR="007809E6">
        <w:t>C</w:t>
      </w:r>
      <w:r w:rsidR="00B769EB">
        <w:t xml:space="preserve">hronic kidney disease </w:t>
      </w:r>
      <w:r w:rsidR="00621972">
        <w:t>(CKD)</w:t>
      </w:r>
    </w:p>
    <w:p w14:paraId="38D25E82" w14:textId="34F40CE5" w:rsidR="00FE12CE" w:rsidRPr="00FE12CE" w:rsidRDefault="00FE12CE" w:rsidP="00FE12CE">
      <w:pPr>
        <w:pStyle w:val="Paragraph"/>
      </w:pPr>
      <w:r w:rsidRPr="00FE12CE">
        <w:t xml:space="preserve">Consultation period: </w:t>
      </w:r>
      <w:r w:rsidR="009B64AD">
        <w:t>22</w:t>
      </w:r>
      <w:r w:rsidRPr="00FE12CE">
        <w:t xml:space="preserve"> M</w:t>
      </w:r>
      <w:r w:rsidR="009B64AD">
        <w:t>arch</w:t>
      </w:r>
      <w:r w:rsidRPr="00FE12CE">
        <w:t xml:space="preserve"> – </w:t>
      </w:r>
      <w:r w:rsidR="009B64AD">
        <w:t>21</w:t>
      </w:r>
      <w:r w:rsidRPr="00FE12CE">
        <w:t xml:space="preserve"> </w:t>
      </w:r>
      <w:r w:rsidR="009B64AD">
        <w:t>April</w:t>
      </w:r>
      <w:r w:rsidRPr="00FE12CE">
        <w:t xml:space="preserve"> 20</w:t>
      </w:r>
      <w:r w:rsidR="009B64AD">
        <w:t>22</w:t>
      </w:r>
    </w:p>
    <w:p w14:paraId="6A1C1341" w14:textId="2F8D9545" w:rsidR="00482C01" w:rsidRDefault="00FE12CE" w:rsidP="00FE12CE">
      <w:pPr>
        <w:pStyle w:val="Paragraph"/>
      </w:pPr>
      <w:r w:rsidRPr="00FE12CE">
        <w:t xml:space="preserve">Date of Indicator Advisory Committee meeting: </w:t>
      </w:r>
      <w:r w:rsidR="009B64AD">
        <w:t>14 June 2022</w:t>
      </w:r>
    </w:p>
    <w:p w14:paraId="629E4D4E" w14:textId="77777777" w:rsidR="00FE12CE" w:rsidRDefault="00FE12CE" w:rsidP="00482C01">
      <w:pPr>
        <w:jc w:val="center"/>
        <w:rPr>
          <w:rFonts w:ascii="Arial" w:hAnsi="Arial" w:cs="Arial"/>
          <w:b/>
          <w:sz w:val="32"/>
          <w:szCs w:val="32"/>
        </w:rPr>
      </w:pPr>
    </w:p>
    <w:p w14:paraId="7858D874" w14:textId="77777777" w:rsidR="00482C01" w:rsidRPr="00802740" w:rsidRDefault="00482C01" w:rsidP="00FE12CE">
      <w:pPr>
        <w:pStyle w:val="Heading1"/>
      </w:pPr>
      <w:bookmarkStart w:id="18" w:name="_Toc102647174"/>
      <w:bookmarkStart w:id="19" w:name="_Toc103334620"/>
      <w:bookmarkStart w:id="20" w:name="_Toc103955093"/>
      <w:bookmarkStart w:id="21" w:name="_Toc103957582"/>
      <w:bookmarkStart w:id="22" w:name="_Toc108167946"/>
      <w:r>
        <w:t>Contents</w:t>
      </w:r>
      <w:bookmarkEnd w:id="18"/>
      <w:bookmarkEnd w:id="19"/>
      <w:bookmarkEnd w:id="20"/>
      <w:bookmarkEnd w:id="21"/>
      <w:bookmarkEnd w:id="22"/>
    </w:p>
    <w:p w14:paraId="0C65CCAC" w14:textId="0CBCE5CC" w:rsidR="00056978" w:rsidRDefault="00472CEC" w:rsidP="00056978">
      <w:pPr>
        <w:pStyle w:val="TOC1"/>
        <w:tabs>
          <w:tab w:val="right" w:leader="dot" w:pos="9017"/>
        </w:tabs>
        <w:rPr>
          <w:rFonts w:asciiTheme="minorHAnsi" w:eastAsiaTheme="minorEastAsia" w:hAnsiTheme="minorHAnsi" w:cstheme="minorBidi"/>
          <w:noProof/>
          <w:sz w:val="22"/>
          <w:szCs w:val="22"/>
          <w:lang w:eastAsia="en-GB"/>
        </w:rPr>
      </w:pPr>
      <w:r w:rsidRPr="00802740">
        <w:rPr>
          <w:rStyle w:val="Hyperlink"/>
          <w:noProof/>
        </w:rPr>
        <w:fldChar w:fldCharType="begin"/>
      </w:r>
      <w:r w:rsidR="00482C01" w:rsidRPr="00802740">
        <w:rPr>
          <w:rStyle w:val="Hyperlink"/>
          <w:noProof/>
        </w:rPr>
        <w:instrText xml:space="preserve"> TOC \o "1-3" \h \z \u </w:instrText>
      </w:r>
      <w:r w:rsidRPr="00802740">
        <w:rPr>
          <w:rStyle w:val="Hyperlink"/>
          <w:noProof/>
        </w:rPr>
        <w:fldChar w:fldCharType="separate"/>
      </w:r>
    </w:p>
    <w:p w14:paraId="38698C85" w14:textId="4A303AB3" w:rsidR="00056978" w:rsidRDefault="005205BA">
      <w:pPr>
        <w:pStyle w:val="TOC1"/>
        <w:tabs>
          <w:tab w:val="right" w:leader="dot" w:pos="9017"/>
        </w:tabs>
        <w:rPr>
          <w:rFonts w:asciiTheme="minorHAnsi" w:eastAsiaTheme="minorEastAsia" w:hAnsiTheme="minorHAnsi" w:cstheme="minorBidi"/>
          <w:noProof/>
          <w:sz w:val="22"/>
          <w:szCs w:val="22"/>
          <w:lang w:eastAsia="en-GB"/>
        </w:rPr>
      </w:pPr>
      <w:hyperlink w:anchor="_Toc108167947" w:history="1">
        <w:r w:rsidR="00056978" w:rsidRPr="008B5E7A">
          <w:rPr>
            <w:rStyle w:val="Hyperlink"/>
            <w:noProof/>
          </w:rPr>
          <w:t>Summary of indicators included in the consultation</w:t>
        </w:r>
        <w:r w:rsidR="00056978">
          <w:rPr>
            <w:noProof/>
            <w:webHidden/>
          </w:rPr>
          <w:tab/>
        </w:r>
        <w:r w:rsidR="00056978">
          <w:rPr>
            <w:noProof/>
            <w:webHidden/>
          </w:rPr>
          <w:fldChar w:fldCharType="begin"/>
        </w:r>
        <w:r w:rsidR="00056978">
          <w:rPr>
            <w:noProof/>
            <w:webHidden/>
          </w:rPr>
          <w:instrText xml:space="preserve"> PAGEREF _Toc108167947 \h </w:instrText>
        </w:r>
        <w:r w:rsidR="00056978">
          <w:rPr>
            <w:noProof/>
            <w:webHidden/>
          </w:rPr>
        </w:r>
        <w:r w:rsidR="00056978">
          <w:rPr>
            <w:noProof/>
            <w:webHidden/>
          </w:rPr>
          <w:fldChar w:fldCharType="separate"/>
        </w:r>
        <w:r w:rsidR="00056978">
          <w:rPr>
            <w:noProof/>
            <w:webHidden/>
          </w:rPr>
          <w:t>3</w:t>
        </w:r>
        <w:r w:rsidR="00056978">
          <w:rPr>
            <w:noProof/>
            <w:webHidden/>
          </w:rPr>
          <w:fldChar w:fldCharType="end"/>
        </w:r>
      </w:hyperlink>
    </w:p>
    <w:p w14:paraId="4440A056" w14:textId="503E4BDD" w:rsidR="00056978" w:rsidRDefault="005205BA">
      <w:pPr>
        <w:pStyle w:val="TOC1"/>
        <w:tabs>
          <w:tab w:val="right" w:leader="dot" w:pos="9017"/>
        </w:tabs>
        <w:rPr>
          <w:rFonts w:asciiTheme="minorHAnsi" w:eastAsiaTheme="minorEastAsia" w:hAnsiTheme="minorHAnsi" w:cstheme="minorBidi"/>
          <w:noProof/>
          <w:sz w:val="22"/>
          <w:szCs w:val="22"/>
          <w:lang w:eastAsia="en-GB"/>
        </w:rPr>
      </w:pPr>
      <w:hyperlink w:anchor="_Toc108167948" w:history="1">
        <w:r w:rsidR="00056978" w:rsidRPr="008B5E7A">
          <w:rPr>
            <w:rStyle w:val="Hyperlink"/>
            <w:noProof/>
          </w:rPr>
          <w:t>General comments</w:t>
        </w:r>
        <w:r w:rsidR="00056978">
          <w:rPr>
            <w:noProof/>
            <w:webHidden/>
          </w:rPr>
          <w:tab/>
        </w:r>
        <w:r w:rsidR="00056978">
          <w:rPr>
            <w:noProof/>
            <w:webHidden/>
          </w:rPr>
          <w:fldChar w:fldCharType="begin"/>
        </w:r>
        <w:r w:rsidR="00056978">
          <w:rPr>
            <w:noProof/>
            <w:webHidden/>
          </w:rPr>
          <w:instrText xml:space="preserve"> PAGEREF _Toc108167948 \h </w:instrText>
        </w:r>
        <w:r w:rsidR="00056978">
          <w:rPr>
            <w:noProof/>
            <w:webHidden/>
          </w:rPr>
        </w:r>
        <w:r w:rsidR="00056978">
          <w:rPr>
            <w:noProof/>
            <w:webHidden/>
          </w:rPr>
          <w:fldChar w:fldCharType="separate"/>
        </w:r>
        <w:r w:rsidR="00056978">
          <w:rPr>
            <w:noProof/>
            <w:webHidden/>
          </w:rPr>
          <w:t>4</w:t>
        </w:r>
        <w:r w:rsidR="00056978">
          <w:rPr>
            <w:noProof/>
            <w:webHidden/>
          </w:rPr>
          <w:fldChar w:fldCharType="end"/>
        </w:r>
      </w:hyperlink>
    </w:p>
    <w:p w14:paraId="6F97DFDB" w14:textId="66B1E5A1" w:rsidR="00056978" w:rsidRDefault="005205BA">
      <w:pPr>
        <w:pStyle w:val="TOC1"/>
        <w:tabs>
          <w:tab w:val="right" w:leader="dot" w:pos="9017"/>
        </w:tabs>
        <w:rPr>
          <w:rFonts w:asciiTheme="minorHAnsi" w:eastAsiaTheme="minorEastAsia" w:hAnsiTheme="minorHAnsi" w:cstheme="minorBidi"/>
          <w:noProof/>
          <w:sz w:val="22"/>
          <w:szCs w:val="22"/>
          <w:lang w:eastAsia="en-GB"/>
        </w:rPr>
      </w:pPr>
      <w:hyperlink w:anchor="_Toc108167950" w:history="1">
        <w:r w:rsidR="00056978" w:rsidRPr="008B5E7A">
          <w:rPr>
            <w:rStyle w:val="Hyperlink"/>
            <w:noProof/>
          </w:rPr>
          <w:t>IND2021-118: long-term NSAID use</w:t>
        </w:r>
        <w:r w:rsidR="00056978">
          <w:rPr>
            <w:noProof/>
            <w:webHidden/>
          </w:rPr>
          <w:tab/>
        </w:r>
        <w:r w:rsidR="00056978">
          <w:rPr>
            <w:noProof/>
            <w:webHidden/>
          </w:rPr>
          <w:fldChar w:fldCharType="begin"/>
        </w:r>
        <w:r w:rsidR="00056978">
          <w:rPr>
            <w:noProof/>
            <w:webHidden/>
          </w:rPr>
          <w:instrText xml:space="preserve"> PAGEREF _Toc108167950 \h </w:instrText>
        </w:r>
        <w:r w:rsidR="00056978">
          <w:rPr>
            <w:noProof/>
            <w:webHidden/>
          </w:rPr>
        </w:r>
        <w:r w:rsidR="00056978">
          <w:rPr>
            <w:noProof/>
            <w:webHidden/>
          </w:rPr>
          <w:fldChar w:fldCharType="separate"/>
        </w:r>
        <w:r w:rsidR="00056978">
          <w:rPr>
            <w:noProof/>
            <w:webHidden/>
          </w:rPr>
          <w:t>6</w:t>
        </w:r>
        <w:r w:rsidR="00056978">
          <w:rPr>
            <w:noProof/>
            <w:webHidden/>
          </w:rPr>
          <w:fldChar w:fldCharType="end"/>
        </w:r>
      </w:hyperlink>
    </w:p>
    <w:p w14:paraId="7E54888C" w14:textId="5C0F2EA2" w:rsidR="00056978" w:rsidRDefault="005205BA">
      <w:pPr>
        <w:pStyle w:val="TOC1"/>
        <w:tabs>
          <w:tab w:val="right" w:leader="dot" w:pos="9017"/>
        </w:tabs>
        <w:rPr>
          <w:rFonts w:asciiTheme="minorHAnsi" w:eastAsiaTheme="minorEastAsia" w:hAnsiTheme="minorHAnsi" w:cstheme="minorBidi"/>
          <w:noProof/>
          <w:sz w:val="22"/>
          <w:szCs w:val="22"/>
          <w:lang w:eastAsia="en-GB"/>
        </w:rPr>
      </w:pPr>
      <w:hyperlink w:anchor="_Toc108167955" w:history="1">
        <w:r w:rsidR="00056978" w:rsidRPr="008B5E7A">
          <w:rPr>
            <w:rStyle w:val="Hyperlink"/>
            <w:noProof/>
          </w:rPr>
          <w:t>IND2021-119: eGFR testing at diagnosis</w:t>
        </w:r>
        <w:r w:rsidR="00056978">
          <w:rPr>
            <w:noProof/>
            <w:webHidden/>
          </w:rPr>
          <w:tab/>
        </w:r>
        <w:r w:rsidR="00056978">
          <w:rPr>
            <w:noProof/>
            <w:webHidden/>
          </w:rPr>
          <w:fldChar w:fldCharType="begin"/>
        </w:r>
        <w:r w:rsidR="00056978">
          <w:rPr>
            <w:noProof/>
            <w:webHidden/>
          </w:rPr>
          <w:instrText xml:space="preserve"> PAGEREF _Toc108167955 \h </w:instrText>
        </w:r>
        <w:r w:rsidR="00056978">
          <w:rPr>
            <w:noProof/>
            <w:webHidden/>
          </w:rPr>
        </w:r>
        <w:r w:rsidR="00056978">
          <w:rPr>
            <w:noProof/>
            <w:webHidden/>
          </w:rPr>
          <w:fldChar w:fldCharType="separate"/>
        </w:r>
        <w:r w:rsidR="00056978">
          <w:rPr>
            <w:noProof/>
            <w:webHidden/>
          </w:rPr>
          <w:t>8</w:t>
        </w:r>
        <w:r w:rsidR="00056978">
          <w:rPr>
            <w:noProof/>
            <w:webHidden/>
          </w:rPr>
          <w:fldChar w:fldCharType="end"/>
        </w:r>
      </w:hyperlink>
    </w:p>
    <w:p w14:paraId="33FD53ED" w14:textId="0CD4F9E1" w:rsidR="00056978" w:rsidRDefault="005205BA">
      <w:pPr>
        <w:pStyle w:val="TOC1"/>
        <w:tabs>
          <w:tab w:val="right" w:leader="dot" w:pos="9017"/>
        </w:tabs>
        <w:rPr>
          <w:rFonts w:asciiTheme="minorHAnsi" w:eastAsiaTheme="minorEastAsia" w:hAnsiTheme="minorHAnsi" w:cstheme="minorBidi"/>
          <w:noProof/>
          <w:sz w:val="22"/>
          <w:szCs w:val="22"/>
          <w:lang w:eastAsia="en-GB"/>
        </w:rPr>
      </w:pPr>
      <w:hyperlink w:anchor="_Toc108167960" w:history="1">
        <w:r w:rsidR="00056978" w:rsidRPr="008B5E7A">
          <w:rPr>
            <w:rStyle w:val="Hyperlink"/>
            <w:noProof/>
          </w:rPr>
          <w:t>IND2021-120: ACR and eGFR testing at diagnosis</w:t>
        </w:r>
        <w:r w:rsidR="00056978">
          <w:rPr>
            <w:noProof/>
            <w:webHidden/>
          </w:rPr>
          <w:tab/>
        </w:r>
        <w:r w:rsidR="00056978">
          <w:rPr>
            <w:noProof/>
            <w:webHidden/>
          </w:rPr>
          <w:fldChar w:fldCharType="begin"/>
        </w:r>
        <w:r w:rsidR="00056978">
          <w:rPr>
            <w:noProof/>
            <w:webHidden/>
          </w:rPr>
          <w:instrText xml:space="preserve"> PAGEREF _Toc108167960 \h </w:instrText>
        </w:r>
        <w:r w:rsidR="00056978">
          <w:rPr>
            <w:noProof/>
            <w:webHidden/>
          </w:rPr>
        </w:r>
        <w:r w:rsidR="00056978">
          <w:rPr>
            <w:noProof/>
            <w:webHidden/>
          </w:rPr>
          <w:fldChar w:fldCharType="separate"/>
        </w:r>
        <w:r w:rsidR="00056978">
          <w:rPr>
            <w:noProof/>
            <w:webHidden/>
          </w:rPr>
          <w:t>10</w:t>
        </w:r>
        <w:r w:rsidR="00056978">
          <w:rPr>
            <w:noProof/>
            <w:webHidden/>
          </w:rPr>
          <w:fldChar w:fldCharType="end"/>
        </w:r>
      </w:hyperlink>
    </w:p>
    <w:p w14:paraId="3D3B2D17" w14:textId="4C1FB620" w:rsidR="00056978" w:rsidRDefault="005205BA">
      <w:pPr>
        <w:pStyle w:val="TOC1"/>
        <w:tabs>
          <w:tab w:val="right" w:leader="dot" w:pos="9017"/>
        </w:tabs>
        <w:rPr>
          <w:rFonts w:asciiTheme="minorHAnsi" w:eastAsiaTheme="minorEastAsia" w:hAnsiTheme="minorHAnsi" w:cstheme="minorBidi"/>
          <w:noProof/>
          <w:sz w:val="22"/>
          <w:szCs w:val="22"/>
          <w:lang w:eastAsia="en-GB"/>
        </w:rPr>
      </w:pPr>
      <w:hyperlink w:anchor="_Toc108167965" w:history="1">
        <w:r w:rsidR="00056978" w:rsidRPr="008B5E7A">
          <w:rPr>
            <w:rStyle w:val="Hyperlink"/>
            <w:noProof/>
          </w:rPr>
          <w:t>IND2021-121: blood pressure target when ACR is less than 70 mg/mmol</w:t>
        </w:r>
        <w:r w:rsidR="00056978">
          <w:rPr>
            <w:noProof/>
            <w:webHidden/>
          </w:rPr>
          <w:tab/>
        </w:r>
        <w:r w:rsidR="00056978">
          <w:rPr>
            <w:noProof/>
            <w:webHidden/>
          </w:rPr>
          <w:fldChar w:fldCharType="begin"/>
        </w:r>
        <w:r w:rsidR="00056978">
          <w:rPr>
            <w:noProof/>
            <w:webHidden/>
          </w:rPr>
          <w:instrText xml:space="preserve"> PAGEREF _Toc108167965 \h </w:instrText>
        </w:r>
        <w:r w:rsidR="00056978">
          <w:rPr>
            <w:noProof/>
            <w:webHidden/>
          </w:rPr>
        </w:r>
        <w:r w:rsidR="00056978">
          <w:rPr>
            <w:noProof/>
            <w:webHidden/>
          </w:rPr>
          <w:fldChar w:fldCharType="separate"/>
        </w:r>
        <w:r w:rsidR="00056978">
          <w:rPr>
            <w:noProof/>
            <w:webHidden/>
          </w:rPr>
          <w:t>12</w:t>
        </w:r>
        <w:r w:rsidR="00056978">
          <w:rPr>
            <w:noProof/>
            <w:webHidden/>
          </w:rPr>
          <w:fldChar w:fldCharType="end"/>
        </w:r>
      </w:hyperlink>
    </w:p>
    <w:p w14:paraId="2AECA083" w14:textId="2F828CBC" w:rsidR="00056978" w:rsidRDefault="005205BA">
      <w:pPr>
        <w:pStyle w:val="TOC1"/>
        <w:tabs>
          <w:tab w:val="right" w:leader="dot" w:pos="9017"/>
        </w:tabs>
        <w:rPr>
          <w:rFonts w:asciiTheme="minorHAnsi" w:eastAsiaTheme="minorEastAsia" w:hAnsiTheme="minorHAnsi" w:cstheme="minorBidi"/>
          <w:noProof/>
          <w:sz w:val="22"/>
          <w:szCs w:val="22"/>
          <w:lang w:eastAsia="en-GB"/>
        </w:rPr>
      </w:pPr>
      <w:hyperlink w:anchor="_Toc108167970" w:history="1">
        <w:r w:rsidR="00056978" w:rsidRPr="008B5E7A">
          <w:rPr>
            <w:rStyle w:val="Hyperlink"/>
            <w:noProof/>
          </w:rPr>
          <w:t>Appendix 1: Consultation comments</w:t>
        </w:r>
        <w:r w:rsidR="00056978">
          <w:rPr>
            <w:noProof/>
            <w:webHidden/>
          </w:rPr>
          <w:tab/>
        </w:r>
        <w:r w:rsidR="00056978">
          <w:rPr>
            <w:noProof/>
            <w:webHidden/>
          </w:rPr>
          <w:fldChar w:fldCharType="begin"/>
        </w:r>
        <w:r w:rsidR="00056978">
          <w:rPr>
            <w:noProof/>
            <w:webHidden/>
          </w:rPr>
          <w:instrText xml:space="preserve"> PAGEREF _Toc108167970 \h </w:instrText>
        </w:r>
        <w:r w:rsidR="00056978">
          <w:rPr>
            <w:noProof/>
            <w:webHidden/>
          </w:rPr>
        </w:r>
        <w:r w:rsidR="00056978">
          <w:rPr>
            <w:noProof/>
            <w:webHidden/>
          </w:rPr>
          <w:fldChar w:fldCharType="separate"/>
        </w:r>
        <w:r w:rsidR="00056978">
          <w:rPr>
            <w:noProof/>
            <w:webHidden/>
          </w:rPr>
          <w:t>14</w:t>
        </w:r>
        <w:r w:rsidR="00056978">
          <w:rPr>
            <w:noProof/>
            <w:webHidden/>
          </w:rPr>
          <w:fldChar w:fldCharType="end"/>
        </w:r>
      </w:hyperlink>
    </w:p>
    <w:p w14:paraId="52D68493" w14:textId="74247782" w:rsidR="00056978" w:rsidRDefault="005205BA">
      <w:pPr>
        <w:pStyle w:val="TOC1"/>
        <w:tabs>
          <w:tab w:val="right" w:leader="dot" w:pos="9017"/>
        </w:tabs>
        <w:rPr>
          <w:rFonts w:asciiTheme="minorHAnsi" w:eastAsiaTheme="minorEastAsia" w:hAnsiTheme="minorHAnsi" w:cstheme="minorBidi"/>
          <w:noProof/>
          <w:sz w:val="22"/>
          <w:szCs w:val="22"/>
          <w:lang w:eastAsia="en-GB"/>
        </w:rPr>
      </w:pPr>
      <w:hyperlink w:anchor="_Toc108167971" w:history="1">
        <w:r w:rsidR="00056978" w:rsidRPr="008B5E7A">
          <w:rPr>
            <w:rStyle w:val="Hyperlink"/>
            <w:noProof/>
          </w:rPr>
          <w:t>Appendix 2: Consultation comments from respondents with links to the tobacco industry</w:t>
        </w:r>
        <w:r w:rsidR="00056978">
          <w:rPr>
            <w:noProof/>
            <w:webHidden/>
          </w:rPr>
          <w:tab/>
        </w:r>
        <w:r w:rsidR="00056978">
          <w:rPr>
            <w:noProof/>
            <w:webHidden/>
          </w:rPr>
          <w:fldChar w:fldCharType="begin"/>
        </w:r>
        <w:r w:rsidR="00056978">
          <w:rPr>
            <w:noProof/>
            <w:webHidden/>
          </w:rPr>
          <w:instrText xml:space="preserve"> PAGEREF _Toc108167971 \h </w:instrText>
        </w:r>
        <w:r w:rsidR="00056978">
          <w:rPr>
            <w:noProof/>
            <w:webHidden/>
          </w:rPr>
        </w:r>
        <w:r w:rsidR="00056978">
          <w:rPr>
            <w:noProof/>
            <w:webHidden/>
          </w:rPr>
          <w:fldChar w:fldCharType="separate"/>
        </w:r>
        <w:r w:rsidR="00056978">
          <w:rPr>
            <w:noProof/>
            <w:webHidden/>
          </w:rPr>
          <w:t>39</w:t>
        </w:r>
        <w:r w:rsidR="00056978">
          <w:rPr>
            <w:noProof/>
            <w:webHidden/>
          </w:rPr>
          <w:fldChar w:fldCharType="end"/>
        </w:r>
      </w:hyperlink>
    </w:p>
    <w:p w14:paraId="43A0535F" w14:textId="0AA8E415" w:rsidR="009C3C0C" w:rsidRDefault="00472CEC" w:rsidP="00225BB4">
      <w:pPr>
        <w:pStyle w:val="Paragraph"/>
        <w:rPr>
          <w:rStyle w:val="Hyperlink"/>
          <w:noProof/>
        </w:rPr>
      </w:pPr>
      <w:r w:rsidRPr="00802740">
        <w:rPr>
          <w:rStyle w:val="Hyperlink"/>
          <w:noProof/>
        </w:rPr>
        <w:fldChar w:fldCharType="end"/>
      </w:r>
    </w:p>
    <w:p w14:paraId="78AB4105" w14:textId="77777777" w:rsidR="009C3C0C" w:rsidRDefault="009C3C0C">
      <w:pPr>
        <w:rPr>
          <w:rStyle w:val="Hyperlink"/>
          <w:rFonts w:ascii="Arial" w:hAnsi="Arial"/>
          <w:b/>
          <w:bCs/>
          <w:noProof/>
          <w:kern w:val="32"/>
          <w:sz w:val="28"/>
          <w:szCs w:val="32"/>
        </w:rPr>
      </w:pPr>
      <w:r>
        <w:rPr>
          <w:rStyle w:val="Hyperlink"/>
          <w:noProof/>
        </w:rPr>
        <w:br w:type="page"/>
      </w:r>
    </w:p>
    <w:p w14:paraId="5CEA5107" w14:textId="2AFD13BE" w:rsidR="006814B9" w:rsidRDefault="00D47082" w:rsidP="006814B9">
      <w:pPr>
        <w:pStyle w:val="Heading1"/>
      </w:pPr>
      <w:bookmarkStart w:id="23" w:name="_Toc108167947"/>
      <w:r>
        <w:lastRenderedPageBreak/>
        <w:t>Summary of i</w:t>
      </w:r>
      <w:r w:rsidR="006814B9">
        <w:t>ndicators</w:t>
      </w:r>
      <w:r w:rsidR="006814B9" w:rsidRPr="006814B9">
        <w:t xml:space="preserve"> </w:t>
      </w:r>
      <w:r w:rsidR="00657C65">
        <w:t xml:space="preserve">included in the </w:t>
      </w:r>
      <w:r w:rsidR="006814B9" w:rsidRPr="00205FBE">
        <w:t>consultation</w:t>
      </w:r>
      <w:bookmarkEnd w:id="23"/>
    </w:p>
    <w:tbl>
      <w:tblPr>
        <w:tblStyle w:val="TableGrid"/>
        <w:tblW w:w="9299" w:type="dxa"/>
        <w:tblInd w:w="165" w:type="dxa"/>
        <w:tblLayout w:type="fixed"/>
        <w:tblLook w:val="01E0" w:firstRow="1" w:lastRow="1" w:firstColumn="1" w:lastColumn="1" w:noHBand="0" w:noVBand="0"/>
      </w:tblPr>
      <w:tblGrid>
        <w:gridCol w:w="936"/>
        <w:gridCol w:w="5505"/>
        <w:gridCol w:w="2858"/>
      </w:tblGrid>
      <w:tr w:rsidR="00482C01" w:rsidRPr="001036A1" w14:paraId="40FCF7F2" w14:textId="77777777" w:rsidTr="00286537">
        <w:trPr>
          <w:trHeight w:val="263"/>
        </w:trPr>
        <w:tc>
          <w:tcPr>
            <w:tcW w:w="936" w:type="dxa"/>
          </w:tcPr>
          <w:p w14:paraId="24336F42" w14:textId="77777777" w:rsidR="00482C01" w:rsidRPr="001036A1" w:rsidRDefault="00482C01" w:rsidP="00F82391">
            <w:pPr>
              <w:pStyle w:val="Tabletext"/>
              <w:rPr>
                <w:b/>
                <w:szCs w:val="22"/>
                <w:lang w:val="en-GB"/>
              </w:rPr>
            </w:pPr>
            <w:r w:rsidRPr="001036A1">
              <w:rPr>
                <w:b/>
                <w:szCs w:val="22"/>
                <w:lang w:val="en-GB"/>
              </w:rPr>
              <w:t>ID</w:t>
            </w:r>
          </w:p>
        </w:tc>
        <w:tc>
          <w:tcPr>
            <w:tcW w:w="5505" w:type="dxa"/>
          </w:tcPr>
          <w:p w14:paraId="643FF82A" w14:textId="77777777" w:rsidR="00482C01" w:rsidRPr="001036A1" w:rsidRDefault="00482C01" w:rsidP="00F82391">
            <w:pPr>
              <w:pStyle w:val="Tabletext"/>
              <w:rPr>
                <w:b/>
                <w:szCs w:val="22"/>
                <w:lang w:val="en-GB"/>
              </w:rPr>
            </w:pPr>
            <w:r w:rsidRPr="001036A1">
              <w:rPr>
                <w:b/>
                <w:szCs w:val="22"/>
                <w:lang w:val="en-GB"/>
              </w:rPr>
              <w:t>Indicator</w:t>
            </w:r>
          </w:p>
        </w:tc>
        <w:tc>
          <w:tcPr>
            <w:tcW w:w="2858" w:type="dxa"/>
          </w:tcPr>
          <w:p w14:paraId="05203E26" w14:textId="77777777" w:rsidR="00482C01" w:rsidRPr="001036A1" w:rsidRDefault="00482C01" w:rsidP="00F82391">
            <w:pPr>
              <w:pStyle w:val="Tabletext"/>
              <w:rPr>
                <w:b/>
                <w:szCs w:val="22"/>
                <w:lang w:val="en-GB"/>
              </w:rPr>
            </w:pPr>
            <w:r w:rsidRPr="001036A1">
              <w:rPr>
                <w:b/>
                <w:szCs w:val="22"/>
                <w:lang w:val="en-GB"/>
              </w:rPr>
              <w:t>Evidence source</w:t>
            </w:r>
          </w:p>
        </w:tc>
      </w:tr>
      <w:tr w:rsidR="00482C01" w:rsidRPr="001036A1" w14:paraId="5B81F32D" w14:textId="77777777" w:rsidTr="00286537">
        <w:trPr>
          <w:trHeight w:val="263"/>
        </w:trPr>
        <w:tc>
          <w:tcPr>
            <w:tcW w:w="936" w:type="dxa"/>
          </w:tcPr>
          <w:p w14:paraId="43C0C4F9" w14:textId="10C458EF" w:rsidR="00732C44" w:rsidRDefault="009B64AD" w:rsidP="00FC0D46">
            <w:pPr>
              <w:pStyle w:val="Tabletext"/>
              <w:rPr>
                <w:szCs w:val="22"/>
                <w:lang w:val="en-GB"/>
              </w:rPr>
            </w:pPr>
            <w:r>
              <w:t>IND2021-118</w:t>
            </w:r>
          </w:p>
          <w:p w14:paraId="555157ED" w14:textId="43AC1A22" w:rsidR="00482C01" w:rsidRPr="001036A1" w:rsidRDefault="00482C01" w:rsidP="00FC0D46">
            <w:pPr>
              <w:pStyle w:val="Tabletext"/>
              <w:rPr>
                <w:szCs w:val="22"/>
                <w:lang w:val="en-GB"/>
              </w:rPr>
            </w:pPr>
          </w:p>
        </w:tc>
        <w:tc>
          <w:tcPr>
            <w:tcW w:w="5505" w:type="dxa"/>
          </w:tcPr>
          <w:p w14:paraId="2CA70647" w14:textId="58402981" w:rsidR="00732C44" w:rsidRDefault="009B64AD" w:rsidP="00482C01">
            <w:pPr>
              <w:pStyle w:val="Tabletext"/>
            </w:pPr>
            <w:r w:rsidRPr="009B64AD">
              <w:t>The percentage of patients (excluding those on the CKD register) prescribed long-term (chronic) oral non-steroidal anti-inflammatory drugs (NSAIDs) who have had an eGFR measurement in the preceding 12 months.</w:t>
            </w:r>
          </w:p>
          <w:p w14:paraId="1EA889D7" w14:textId="30852C6E" w:rsidR="00482C01" w:rsidRPr="001036A1" w:rsidRDefault="00482C01" w:rsidP="00482C01">
            <w:pPr>
              <w:pStyle w:val="Tabletext"/>
              <w:rPr>
                <w:szCs w:val="22"/>
                <w:lang w:val="en-GB"/>
              </w:rPr>
            </w:pPr>
          </w:p>
        </w:tc>
        <w:tc>
          <w:tcPr>
            <w:tcW w:w="2858" w:type="dxa"/>
          </w:tcPr>
          <w:p w14:paraId="4CFB308A" w14:textId="0D8D752E" w:rsidR="009B64AD" w:rsidRPr="0029330E" w:rsidRDefault="005205BA" w:rsidP="0029330E">
            <w:pPr>
              <w:pStyle w:val="tabletext2"/>
              <w:rPr>
                <w:sz w:val="22"/>
                <w:szCs w:val="22"/>
              </w:rPr>
            </w:pPr>
            <w:hyperlink r:id="rId8" w:history="1">
              <w:r w:rsidR="009B64AD" w:rsidRPr="009B64AD">
                <w:rPr>
                  <w:rStyle w:val="Hyperlink"/>
                  <w:sz w:val="22"/>
                  <w:szCs w:val="22"/>
                </w:rPr>
                <w:t>Chronic kidney disease: assessment and management</w:t>
              </w:r>
            </w:hyperlink>
            <w:r w:rsidR="009B64AD">
              <w:rPr>
                <w:sz w:val="22"/>
                <w:szCs w:val="22"/>
              </w:rPr>
              <w:t xml:space="preserve"> (2021), NICE guideline NG203 recommendation 1.1.20</w:t>
            </w:r>
          </w:p>
        </w:tc>
      </w:tr>
      <w:tr w:rsidR="009B64AD" w:rsidRPr="001036A1" w14:paraId="4B9F185E" w14:textId="77777777" w:rsidTr="00286537">
        <w:trPr>
          <w:trHeight w:val="263"/>
        </w:trPr>
        <w:tc>
          <w:tcPr>
            <w:tcW w:w="936" w:type="dxa"/>
          </w:tcPr>
          <w:p w14:paraId="235AE568" w14:textId="54008D43" w:rsidR="009B64AD" w:rsidRPr="00B341DA" w:rsidRDefault="009B64AD" w:rsidP="009B64AD">
            <w:pPr>
              <w:rPr>
                <w:rFonts w:ascii="Arial" w:hAnsi="Arial" w:cs="Arial"/>
                <w:sz w:val="22"/>
                <w:szCs w:val="22"/>
              </w:rPr>
            </w:pPr>
            <w:r>
              <w:rPr>
                <w:rFonts w:ascii="Arial" w:hAnsi="Arial" w:cs="Arial"/>
                <w:sz w:val="22"/>
                <w:szCs w:val="22"/>
              </w:rPr>
              <w:t>IND2021-119</w:t>
            </w:r>
          </w:p>
        </w:tc>
        <w:tc>
          <w:tcPr>
            <w:tcW w:w="5505" w:type="dxa"/>
          </w:tcPr>
          <w:p w14:paraId="711F9B5F" w14:textId="50CCBD45" w:rsidR="009B64AD" w:rsidRPr="001036A1" w:rsidRDefault="009B64AD" w:rsidP="009B64AD">
            <w:pPr>
              <w:pStyle w:val="Tabletext"/>
              <w:rPr>
                <w:szCs w:val="22"/>
                <w:lang w:val="en-GB"/>
              </w:rPr>
            </w:pPr>
            <w:r w:rsidRPr="009B64AD">
              <w:t>The percentage of patients with a new diagnosis of CKD stage G3a-G5 (on the register, within the preceding 12 months) who had 2 separate eGFR tests undertaken prior to diagnosis being confirmed, with at least 90 days between tests and the second test no later than 90 days before the diagnosis was recorded.</w:t>
            </w:r>
          </w:p>
        </w:tc>
        <w:tc>
          <w:tcPr>
            <w:tcW w:w="2858" w:type="dxa"/>
          </w:tcPr>
          <w:p w14:paraId="64988E7C" w14:textId="55435C79" w:rsidR="009B64AD" w:rsidRPr="009B64AD" w:rsidRDefault="005205BA" w:rsidP="009B64AD">
            <w:pPr>
              <w:pStyle w:val="tabletext2"/>
              <w:rPr>
                <w:rFonts w:cs="Arial"/>
                <w:sz w:val="22"/>
                <w:szCs w:val="22"/>
              </w:rPr>
            </w:pPr>
            <w:hyperlink r:id="rId9" w:history="1">
              <w:r w:rsidR="009B64AD" w:rsidRPr="009B64AD">
                <w:rPr>
                  <w:rStyle w:val="Hyperlink"/>
                  <w:sz w:val="22"/>
                  <w:szCs w:val="22"/>
                </w:rPr>
                <w:t>Chronic kidney disease: assessment and management</w:t>
              </w:r>
            </w:hyperlink>
            <w:r w:rsidR="009B64AD" w:rsidRPr="009B64AD">
              <w:rPr>
                <w:sz w:val="22"/>
                <w:szCs w:val="22"/>
              </w:rPr>
              <w:t xml:space="preserve"> (2021), NICE guideline NG203 </w:t>
            </w:r>
            <w:r w:rsidR="009B64AD">
              <w:rPr>
                <w:sz w:val="22"/>
                <w:szCs w:val="22"/>
              </w:rPr>
              <w:t>terms used in this guideline</w:t>
            </w:r>
          </w:p>
        </w:tc>
      </w:tr>
      <w:tr w:rsidR="009B64AD" w:rsidRPr="001036A1" w14:paraId="69595CF5" w14:textId="77777777" w:rsidTr="00286537">
        <w:trPr>
          <w:trHeight w:val="263"/>
        </w:trPr>
        <w:tc>
          <w:tcPr>
            <w:tcW w:w="936" w:type="dxa"/>
          </w:tcPr>
          <w:p w14:paraId="3176A883" w14:textId="6003922E" w:rsidR="009B64AD" w:rsidRPr="00B341DA" w:rsidRDefault="009B64AD" w:rsidP="009B64AD">
            <w:pPr>
              <w:rPr>
                <w:rFonts w:ascii="Arial" w:hAnsi="Arial" w:cs="Arial"/>
                <w:sz w:val="22"/>
                <w:szCs w:val="22"/>
              </w:rPr>
            </w:pPr>
            <w:r>
              <w:rPr>
                <w:rFonts w:ascii="Arial" w:hAnsi="Arial" w:cs="Arial"/>
                <w:sz w:val="22"/>
                <w:szCs w:val="22"/>
              </w:rPr>
              <w:t>IND2021-120</w:t>
            </w:r>
          </w:p>
        </w:tc>
        <w:tc>
          <w:tcPr>
            <w:tcW w:w="5505" w:type="dxa"/>
          </w:tcPr>
          <w:p w14:paraId="302B85AE" w14:textId="435FE30E" w:rsidR="009B64AD" w:rsidRPr="007831FB" w:rsidRDefault="009B64AD" w:rsidP="009B64AD">
            <w:pPr>
              <w:pStyle w:val="Tabletext"/>
            </w:pPr>
            <w:r w:rsidRPr="009B64AD">
              <w:t>The percentage of patients with a new diagnosis of CKD stage G3a-G5 (on the register, within the preceding 12 months) who had eGFR and ACR (urine albumin to creatinine ratio) measurements recorded 90 days before or after diagnosis</w:t>
            </w:r>
          </w:p>
        </w:tc>
        <w:tc>
          <w:tcPr>
            <w:tcW w:w="2858" w:type="dxa"/>
          </w:tcPr>
          <w:p w14:paraId="6561A7BA" w14:textId="77777777" w:rsidR="009B64AD" w:rsidRDefault="005205BA" w:rsidP="009B64AD">
            <w:pPr>
              <w:pStyle w:val="tabletext2"/>
              <w:rPr>
                <w:sz w:val="22"/>
                <w:szCs w:val="22"/>
              </w:rPr>
            </w:pPr>
            <w:hyperlink r:id="rId10" w:history="1">
              <w:r w:rsidR="009B64AD" w:rsidRPr="009B64AD">
                <w:rPr>
                  <w:rStyle w:val="Hyperlink"/>
                  <w:sz w:val="22"/>
                  <w:szCs w:val="22"/>
                </w:rPr>
                <w:t>Chronic kidney disease: assessment and management</w:t>
              </w:r>
            </w:hyperlink>
            <w:r w:rsidR="009B64AD" w:rsidRPr="009B64AD">
              <w:rPr>
                <w:sz w:val="22"/>
                <w:szCs w:val="22"/>
              </w:rPr>
              <w:t xml:space="preserve"> (2021), NICE guideline NG203</w:t>
            </w:r>
            <w:r w:rsidR="009B64AD">
              <w:rPr>
                <w:sz w:val="22"/>
                <w:szCs w:val="22"/>
              </w:rPr>
              <w:t xml:space="preserve"> recommendation 1.2.1 and</w:t>
            </w:r>
            <w:r w:rsidR="009B64AD" w:rsidRPr="009B64AD">
              <w:rPr>
                <w:sz w:val="22"/>
                <w:szCs w:val="22"/>
              </w:rPr>
              <w:t xml:space="preserve"> terms used in this guideline</w:t>
            </w:r>
          </w:p>
          <w:p w14:paraId="10B420C2" w14:textId="4FB81DF2" w:rsidR="00AB3308" w:rsidRPr="009B64AD" w:rsidRDefault="00AB3308" w:rsidP="009B64AD">
            <w:pPr>
              <w:pStyle w:val="tabletext2"/>
              <w:rPr>
                <w:rFonts w:cs="Arial"/>
                <w:sz w:val="22"/>
                <w:szCs w:val="22"/>
              </w:rPr>
            </w:pPr>
          </w:p>
        </w:tc>
      </w:tr>
      <w:tr w:rsidR="009B64AD" w:rsidRPr="001036A1" w14:paraId="1770C2A0" w14:textId="77777777" w:rsidTr="00286537">
        <w:trPr>
          <w:trHeight w:val="263"/>
        </w:trPr>
        <w:tc>
          <w:tcPr>
            <w:tcW w:w="936" w:type="dxa"/>
          </w:tcPr>
          <w:p w14:paraId="245022D5" w14:textId="6459E4F8" w:rsidR="009B64AD" w:rsidRPr="00B341DA" w:rsidRDefault="009B64AD" w:rsidP="009B64AD">
            <w:pPr>
              <w:rPr>
                <w:rFonts w:ascii="Arial" w:hAnsi="Arial" w:cs="Arial"/>
                <w:sz w:val="22"/>
                <w:szCs w:val="22"/>
              </w:rPr>
            </w:pPr>
            <w:r>
              <w:rPr>
                <w:rFonts w:ascii="Arial" w:hAnsi="Arial" w:cs="Arial"/>
                <w:sz w:val="22"/>
                <w:szCs w:val="22"/>
              </w:rPr>
              <w:t>IND2021-121</w:t>
            </w:r>
          </w:p>
        </w:tc>
        <w:tc>
          <w:tcPr>
            <w:tcW w:w="5505" w:type="dxa"/>
          </w:tcPr>
          <w:p w14:paraId="31551A93" w14:textId="311DF117" w:rsidR="009B64AD" w:rsidRPr="007831FB" w:rsidRDefault="009B64AD" w:rsidP="009B64AD">
            <w:pPr>
              <w:pStyle w:val="Tabletext"/>
            </w:pPr>
            <w:r w:rsidRPr="009B64AD">
              <w:t>The percentage of patients with CKD on the register and with an ACR of less than 70 mg/mmol, without moderate or severe frailty, in whom the last blood pressure reading (measured in the preceding 12 months) is less than 140/90 mmHg.</w:t>
            </w:r>
          </w:p>
        </w:tc>
        <w:tc>
          <w:tcPr>
            <w:tcW w:w="2858" w:type="dxa"/>
          </w:tcPr>
          <w:p w14:paraId="04791E88" w14:textId="55449AE4" w:rsidR="001A4D02" w:rsidRDefault="005205BA" w:rsidP="009B64AD">
            <w:pPr>
              <w:rPr>
                <w:rFonts w:ascii="Arial" w:hAnsi="Arial" w:cs="Arial"/>
                <w:sz w:val="22"/>
                <w:szCs w:val="22"/>
              </w:rPr>
            </w:pPr>
            <w:hyperlink r:id="rId11" w:history="1">
              <w:r w:rsidR="009B64AD" w:rsidRPr="009B64AD">
                <w:rPr>
                  <w:rStyle w:val="Hyperlink"/>
                  <w:rFonts w:ascii="Arial" w:hAnsi="Arial" w:cs="Arial"/>
                  <w:sz w:val="22"/>
                  <w:szCs w:val="22"/>
                </w:rPr>
                <w:t>Chronic kidney disease: assessment and management</w:t>
              </w:r>
            </w:hyperlink>
            <w:r w:rsidR="009B64AD" w:rsidRPr="009B64AD">
              <w:rPr>
                <w:rFonts w:ascii="Arial" w:hAnsi="Arial" w:cs="Arial"/>
                <w:sz w:val="22"/>
                <w:szCs w:val="22"/>
              </w:rPr>
              <w:t xml:space="preserve"> (2021), NICE guideline NG203 recommendation 1.</w:t>
            </w:r>
            <w:r w:rsidR="009B64AD">
              <w:rPr>
                <w:rFonts w:ascii="Arial" w:hAnsi="Arial" w:cs="Arial"/>
                <w:sz w:val="22"/>
                <w:szCs w:val="22"/>
              </w:rPr>
              <w:t>6.1</w:t>
            </w:r>
          </w:p>
          <w:p w14:paraId="43F71204" w14:textId="77777777" w:rsidR="00AB3308" w:rsidRDefault="00AB3308" w:rsidP="009B64AD">
            <w:pPr>
              <w:rPr>
                <w:rFonts w:ascii="Arial" w:hAnsi="Arial" w:cs="Arial"/>
                <w:sz w:val="22"/>
                <w:szCs w:val="22"/>
              </w:rPr>
            </w:pPr>
          </w:p>
          <w:p w14:paraId="206B4EBB" w14:textId="77777777" w:rsidR="009B64AD" w:rsidRDefault="005205BA" w:rsidP="009B64AD">
            <w:pPr>
              <w:rPr>
                <w:rFonts w:ascii="Arial" w:hAnsi="Arial" w:cs="Arial"/>
                <w:sz w:val="22"/>
                <w:szCs w:val="22"/>
              </w:rPr>
            </w:pPr>
            <w:hyperlink r:id="rId12" w:history="1">
              <w:r w:rsidR="001A4D02" w:rsidRPr="001A4D02">
                <w:rPr>
                  <w:rStyle w:val="Hyperlink"/>
                  <w:rFonts w:ascii="Arial" w:hAnsi="Arial" w:cs="Arial"/>
                  <w:sz w:val="22"/>
                  <w:szCs w:val="22"/>
                </w:rPr>
                <w:t>Hypertension in adults: diagnosis and management</w:t>
              </w:r>
            </w:hyperlink>
            <w:r w:rsidR="001A4D02">
              <w:rPr>
                <w:rFonts w:ascii="Arial" w:hAnsi="Arial" w:cs="Arial"/>
                <w:sz w:val="22"/>
                <w:szCs w:val="22"/>
              </w:rPr>
              <w:t xml:space="preserve"> (2019), NICE guideline NG136 recommendations 1.4.10 and 1.4.20</w:t>
            </w:r>
          </w:p>
          <w:p w14:paraId="28E94109" w14:textId="2174FF1A" w:rsidR="00AB3308" w:rsidRPr="00B341DA" w:rsidRDefault="00AB3308" w:rsidP="009B64AD">
            <w:pPr>
              <w:rPr>
                <w:rFonts w:ascii="Arial" w:hAnsi="Arial" w:cs="Arial"/>
                <w:sz w:val="22"/>
                <w:szCs w:val="22"/>
              </w:rPr>
            </w:pPr>
          </w:p>
        </w:tc>
      </w:tr>
    </w:tbl>
    <w:p w14:paraId="10C223D8" w14:textId="77777777" w:rsidR="00BF24FE" w:rsidRDefault="00BF24FE">
      <w:pPr>
        <w:rPr>
          <w:rFonts w:ascii="Arial" w:hAnsi="Arial" w:cs="Arial"/>
          <w:b/>
          <w:bCs/>
          <w:kern w:val="32"/>
          <w:sz w:val="28"/>
          <w:szCs w:val="28"/>
        </w:rPr>
      </w:pPr>
      <w:r>
        <w:rPr>
          <w:rFonts w:cs="Arial"/>
          <w:szCs w:val="28"/>
        </w:rPr>
        <w:br w:type="page"/>
      </w:r>
    </w:p>
    <w:p w14:paraId="37A22415" w14:textId="457E07BD" w:rsidR="00FE12CE" w:rsidRDefault="00FE12CE" w:rsidP="00FE12CE">
      <w:pPr>
        <w:pStyle w:val="Heading1"/>
      </w:pPr>
      <w:bookmarkStart w:id="24" w:name="_Toc108167948"/>
      <w:bookmarkStart w:id="25" w:name="_Toc418246137"/>
      <w:r>
        <w:lastRenderedPageBreak/>
        <w:t>General comments</w:t>
      </w:r>
      <w:bookmarkEnd w:id="24"/>
      <w:r>
        <w:t xml:space="preserve"> </w:t>
      </w:r>
    </w:p>
    <w:p w14:paraId="34CB5ED9" w14:textId="793439E7" w:rsidR="00621972" w:rsidRDefault="00621972" w:rsidP="00FE12CE">
      <w:pPr>
        <w:pStyle w:val="Paragraph"/>
      </w:pPr>
      <w:r>
        <w:t>The following comments were summitted from stakeholders (summarised):</w:t>
      </w:r>
    </w:p>
    <w:p w14:paraId="0EFBC630" w14:textId="77EC06BC" w:rsidR="00FE12CE" w:rsidRDefault="008513F1" w:rsidP="00B63534">
      <w:pPr>
        <w:pStyle w:val="Bullets"/>
        <w:ind w:left="454"/>
      </w:pPr>
      <w:r>
        <w:t>Barriers to implementing the care described by these indicators:</w:t>
      </w:r>
    </w:p>
    <w:p w14:paraId="34AB1CBB" w14:textId="2379F885" w:rsidR="0000499E" w:rsidRDefault="0000499E" w:rsidP="00B63534">
      <w:pPr>
        <w:pStyle w:val="Subbullets"/>
        <w:ind w:left="738"/>
      </w:pPr>
      <w:r>
        <w:t>Potential for small numbers at practice level for some of these indicators.</w:t>
      </w:r>
    </w:p>
    <w:p w14:paraId="6F97E38D" w14:textId="5B0D9F74" w:rsidR="008513F1" w:rsidRDefault="005B7FBF" w:rsidP="00B63534">
      <w:pPr>
        <w:pStyle w:val="Subbullets"/>
        <w:ind w:left="738"/>
      </w:pPr>
      <w:r>
        <w:t>T</w:t>
      </w:r>
      <w:r w:rsidR="008513F1">
        <w:t>he current challenges of COVID and reduced testing capacity</w:t>
      </w:r>
      <w:r>
        <w:t xml:space="preserve"> may limit identification of patients</w:t>
      </w:r>
      <w:r w:rsidRPr="005B7FBF">
        <w:t xml:space="preserve"> </w:t>
      </w:r>
      <w:r>
        <w:t>in primary care with CKD</w:t>
      </w:r>
      <w:r w:rsidR="008513F1">
        <w:t>.</w:t>
      </w:r>
    </w:p>
    <w:p w14:paraId="4B2E7012" w14:textId="11BFB384" w:rsidR="008513F1" w:rsidRDefault="008513F1" w:rsidP="00B63534">
      <w:pPr>
        <w:pStyle w:val="Subbullets"/>
        <w:ind w:left="738"/>
      </w:pPr>
      <w:r>
        <w:t xml:space="preserve">ACR testing is not optimal in primary care. </w:t>
      </w:r>
    </w:p>
    <w:p w14:paraId="52C4C40E" w14:textId="77777777" w:rsidR="001F79C5" w:rsidRDefault="008513F1" w:rsidP="00B63534">
      <w:pPr>
        <w:pStyle w:val="Subbullets"/>
        <w:ind w:left="738"/>
      </w:pPr>
      <w:r>
        <w:t>Future point of care testing could assist in identification or monitoring of patients.</w:t>
      </w:r>
      <w:r w:rsidR="001F79C5" w:rsidRPr="001F79C5">
        <w:t xml:space="preserve"> </w:t>
      </w:r>
    </w:p>
    <w:p w14:paraId="02567AB7" w14:textId="42C58B81" w:rsidR="008513F1" w:rsidRDefault="001F79C5" w:rsidP="00B63534">
      <w:pPr>
        <w:pStyle w:val="Subbullets"/>
        <w:ind w:left="738"/>
      </w:pPr>
      <w:r>
        <w:t>Stakeholders emphasised the importance of combining health checks into the same appointment is an important resource consideration</w:t>
      </w:r>
      <w:r w:rsidR="00CD5DE9">
        <w:t>.</w:t>
      </w:r>
    </w:p>
    <w:p w14:paraId="20419A4C" w14:textId="1BAD9F10" w:rsidR="008513F1" w:rsidRDefault="00621972" w:rsidP="00B63534">
      <w:pPr>
        <w:pStyle w:val="Bullets"/>
        <w:ind w:left="454"/>
      </w:pPr>
      <w:r>
        <w:t>Potential unintended consequences to implementing or using any of these indicators:</w:t>
      </w:r>
    </w:p>
    <w:p w14:paraId="63DBB35F" w14:textId="37E26912" w:rsidR="00621972" w:rsidRDefault="00621972" w:rsidP="00B63534">
      <w:pPr>
        <w:pStyle w:val="Subbullets"/>
        <w:ind w:left="738"/>
      </w:pPr>
      <w:r>
        <w:t>Consequence on resource and the time to monitor.</w:t>
      </w:r>
    </w:p>
    <w:p w14:paraId="03E59DE7" w14:textId="72F6CBEF" w:rsidR="00362BA3" w:rsidRDefault="0061647E" w:rsidP="00B63534">
      <w:pPr>
        <w:pStyle w:val="Subbullets"/>
        <w:ind w:left="738"/>
      </w:pPr>
      <w:r>
        <w:t>M</w:t>
      </w:r>
      <w:r w:rsidR="00362BA3">
        <w:t>ay incentivise GPs to not code CKD. GPs tend to have a few years of blood tests</w:t>
      </w:r>
      <w:r w:rsidR="005B7FBF">
        <w:t xml:space="preserve"> showing a trend</w:t>
      </w:r>
      <w:r w:rsidR="00362BA3">
        <w:t xml:space="preserve"> before coding</w:t>
      </w:r>
      <w:r w:rsidR="005B7FBF">
        <w:t>.</w:t>
      </w:r>
    </w:p>
    <w:p w14:paraId="46D50A1A" w14:textId="68B1971C" w:rsidR="00362BA3" w:rsidRDefault="005B7FBF" w:rsidP="00B63534">
      <w:pPr>
        <w:pStyle w:val="Subbullets"/>
        <w:ind w:left="738"/>
      </w:pPr>
      <w:r>
        <w:t>There may be a b</w:t>
      </w:r>
      <w:r w:rsidR="00362BA3">
        <w:t>urden of increased amount of blood tests for patients</w:t>
      </w:r>
      <w:r>
        <w:t>.</w:t>
      </w:r>
    </w:p>
    <w:p w14:paraId="0714CACE" w14:textId="45553A1A" w:rsidR="00362BA3" w:rsidRDefault="00621972" w:rsidP="00B63534">
      <w:pPr>
        <w:pStyle w:val="Subbullets"/>
        <w:ind w:left="738"/>
      </w:pPr>
      <w:r>
        <w:t>Increased referrals to secondary care.</w:t>
      </w:r>
    </w:p>
    <w:p w14:paraId="06664E3D" w14:textId="38EA89F3" w:rsidR="00621972" w:rsidRDefault="00621972" w:rsidP="00B63534">
      <w:pPr>
        <w:pStyle w:val="Bullets"/>
        <w:ind w:left="454"/>
      </w:pPr>
      <w:r>
        <w:t>Potential for differential impact:</w:t>
      </w:r>
    </w:p>
    <w:p w14:paraId="7B79FD27" w14:textId="1DB622BD" w:rsidR="00B63534" w:rsidRDefault="00B63534" w:rsidP="00B63534">
      <w:pPr>
        <w:pStyle w:val="Subbullets"/>
        <w:ind w:left="738"/>
      </w:pPr>
      <w:r>
        <w:t>S</w:t>
      </w:r>
      <w:r w:rsidR="00621972">
        <w:t>ome ethnic groups are less likely to seek help</w:t>
      </w:r>
      <w:r w:rsidR="00313AED">
        <w:t>.</w:t>
      </w:r>
      <w:r w:rsidR="00621972">
        <w:t xml:space="preserve"> </w:t>
      </w:r>
    </w:p>
    <w:p w14:paraId="6DE22F2A" w14:textId="2148A8A1" w:rsidR="00621972" w:rsidRDefault="005B7FBF" w:rsidP="00B63534">
      <w:pPr>
        <w:pStyle w:val="Subbullets"/>
        <w:ind w:left="738"/>
      </w:pPr>
      <w:r>
        <w:t>Some ethnic groups have more severe kidney disease and progress more rapidly than people from Caucasian backgrounds.</w:t>
      </w:r>
    </w:p>
    <w:p w14:paraId="461BCFB8" w14:textId="3C1CCC2D" w:rsidR="00B718BA" w:rsidRDefault="00B63534" w:rsidP="00B63534">
      <w:pPr>
        <w:pStyle w:val="Subbullets"/>
        <w:ind w:left="738"/>
      </w:pPr>
      <w:r>
        <w:t>P</w:t>
      </w:r>
      <w:r w:rsidR="00B718BA">
        <w:t xml:space="preserve">eople from South Asian and Black communities are more likely to live with risk factors associated with CKD and are 3 to 5 times more likely to start </w:t>
      </w:r>
      <w:r w:rsidR="00C10025">
        <w:t xml:space="preserve">renal replacement therapy </w:t>
      </w:r>
      <w:r w:rsidR="00B718BA">
        <w:t>than people from Caucasian backgrounds.</w:t>
      </w:r>
      <w:r w:rsidR="0090276A">
        <w:t xml:space="preserve"> </w:t>
      </w:r>
    </w:p>
    <w:p w14:paraId="47F6AB54" w14:textId="5B6209AC" w:rsidR="00621972" w:rsidRDefault="00621972" w:rsidP="00B63534">
      <w:pPr>
        <w:pStyle w:val="Bullets"/>
        <w:ind w:left="454"/>
      </w:pPr>
      <w:r>
        <w:t>How the indicators might be delivered differently to different groups to reduce health inequalities:</w:t>
      </w:r>
    </w:p>
    <w:p w14:paraId="29367608" w14:textId="4551FE01" w:rsidR="00621972" w:rsidRPr="00DE1965" w:rsidRDefault="00B63534" w:rsidP="00B63534">
      <w:pPr>
        <w:pStyle w:val="Subbullets"/>
        <w:ind w:left="738"/>
      </w:pPr>
      <w:r>
        <w:t>P</w:t>
      </w:r>
      <w:r w:rsidR="005B7FBF" w:rsidRPr="00DE1965">
        <w:t xml:space="preserve">rograms could be developed </w:t>
      </w:r>
      <w:r w:rsidR="00621972" w:rsidRPr="00DE1965">
        <w:t>to identify all groups</w:t>
      </w:r>
      <w:r w:rsidR="00B718BA" w:rsidRPr="00DE1965">
        <w:t>, for example,</w:t>
      </w:r>
      <w:r w:rsidR="00621972" w:rsidRPr="00DE1965">
        <w:t xml:space="preserve"> community education programs and identification of patient advocates.</w:t>
      </w:r>
    </w:p>
    <w:p w14:paraId="280AEFE2" w14:textId="1C3EBF83" w:rsidR="00B718BA" w:rsidRDefault="005B7FBF" w:rsidP="00B63534">
      <w:pPr>
        <w:pStyle w:val="Subbullets"/>
        <w:ind w:left="738"/>
      </w:pPr>
      <w:r w:rsidRPr="00DE1965">
        <w:t>The need for a</w:t>
      </w:r>
      <w:r w:rsidR="00B718BA" w:rsidRPr="00DE1965">
        <w:t>ccessible appointment letters</w:t>
      </w:r>
      <w:r w:rsidRPr="00DE1965">
        <w:t xml:space="preserve"> was noted</w:t>
      </w:r>
      <w:r w:rsidR="00B718BA" w:rsidRPr="00DE1965">
        <w:t>.</w:t>
      </w:r>
    </w:p>
    <w:p w14:paraId="3DE47917" w14:textId="77777777" w:rsidR="001F79C5" w:rsidRDefault="001F79C5" w:rsidP="00B63534">
      <w:pPr>
        <w:pStyle w:val="Subbullets"/>
        <w:ind w:left="738"/>
      </w:pPr>
      <w:r>
        <w:t xml:space="preserve">The needs of people with a learning disability were highlighted as was the importance of ensuring they are not excluded. </w:t>
      </w:r>
    </w:p>
    <w:p w14:paraId="09B11507" w14:textId="0C1AABD8" w:rsidR="00621972" w:rsidRDefault="00621972" w:rsidP="00B63534">
      <w:pPr>
        <w:pStyle w:val="Bullets"/>
        <w:ind w:left="454"/>
      </w:pPr>
      <w:r>
        <w:t>Other comments:</w:t>
      </w:r>
    </w:p>
    <w:p w14:paraId="695FD593" w14:textId="6D5EA85F" w:rsidR="00621972" w:rsidRDefault="00621972" w:rsidP="00B63534">
      <w:pPr>
        <w:pStyle w:val="Subbullets"/>
        <w:ind w:left="738"/>
      </w:pPr>
      <w:r>
        <w:t>The impact of implement</w:t>
      </w:r>
      <w:r w:rsidR="00642932">
        <w:t>ing</w:t>
      </w:r>
      <w:r>
        <w:t xml:space="preserve"> guidelines on use of SGLT-2 inhibitors in diabetes and patients with CKD should be considered. There is an education gap in primary care that needs to be addressed.</w:t>
      </w:r>
    </w:p>
    <w:p w14:paraId="5EDA6B19" w14:textId="5066B412" w:rsidR="005B7FBF" w:rsidRDefault="005B7FBF" w:rsidP="00B63534">
      <w:pPr>
        <w:pStyle w:val="Subbullets"/>
        <w:ind w:left="738"/>
      </w:pPr>
      <w:r>
        <w:t>Stakeholders noted the recent introduction of the Kidney Failure Risk Equation (KFRE) that will assist in identification of patients at risk of progression.</w:t>
      </w:r>
    </w:p>
    <w:p w14:paraId="0F16F627" w14:textId="5041DA18" w:rsidR="005B7FBF" w:rsidRDefault="00E97180" w:rsidP="00B63534">
      <w:pPr>
        <w:pStyle w:val="Subbullets"/>
        <w:ind w:left="738"/>
      </w:pPr>
      <w:r>
        <w:t>Kidney Disease: Improving Global Outcomes (</w:t>
      </w:r>
      <w:r w:rsidR="005B7FBF">
        <w:t>KDIGO</w:t>
      </w:r>
      <w:r>
        <w:t>)</w:t>
      </w:r>
      <w:r w:rsidR="005B7FBF">
        <w:t xml:space="preserve"> recommend an individualised management approach for many aspects of renal care. Frailty </w:t>
      </w:r>
      <w:r w:rsidR="005B7FBF">
        <w:lastRenderedPageBreak/>
        <w:t xml:space="preserve">status needs to be considered as many patients will not progress to dialysis or transplant. </w:t>
      </w:r>
    </w:p>
    <w:p w14:paraId="6D8A5A88" w14:textId="77777777" w:rsidR="001A173A" w:rsidRDefault="001A173A" w:rsidP="00362BA3">
      <w:pPr>
        <w:pStyle w:val="NICEnormal"/>
      </w:pPr>
    </w:p>
    <w:p w14:paraId="740A7BC6" w14:textId="14670B2D" w:rsidR="00FE12CE" w:rsidRDefault="00FE12CE" w:rsidP="00FE12CE">
      <w:pPr>
        <w:pStyle w:val="Heading2"/>
      </w:pPr>
      <w:bookmarkStart w:id="26" w:name="_Toc102647177"/>
      <w:bookmarkStart w:id="27" w:name="_Toc103334623"/>
      <w:bookmarkStart w:id="28" w:name="_Toc103955096"/>
      <w:bookmarkStart w:id="29" w:name="_Toc103957585"/>
      <w:bookmarkStart w:id="30" w:name="_Toc108167949"/>
      <w:r>
        <w:t>Considerations for the advisory committee</w:t>
      </w:r>
      <w:bookmarkEnd w:id="26"/>
      <w:bookmarkEnd w:id="27"/>
      <w:bookmarkEnd w:id="28"/>
      <w:bookmarkEnd w:id="29"/>
      <w:bookmarkEnd w:id="30"/>
      <w:r>
        <w:t xml:space="preserve"> </w:t>
      </w:r>
    </w:p>
    <w:p w14:paraId="7DE496E7" w14:textId="35EE1B4E" w:rsidR="00FE12CE" w:rsidRPr="00AB3308" w:rsidRDefault="00FE12CE" w:rsidP="00313AED">
      <w:pPr>
        <w:pStyle w:val="Paragraph"/>
      </w:pPr>
      <w:r w:rsidRPr="0090276A">
        <w:t>The committee is asked to consider</w:t>
      </w:r>
      <w:r w:rsidR="00245EF6">
        <w:t xml:space="preserve"> t</w:t>
      </w:r>
      <w:r w:rsidR="0090276A" w:rsidRPr="00AB3308">
        <w:t>he potential unintended consequences on workload and resource</w:t>
      </w:r>
      <w:r w:rsidR="00C31381" w:rsidRPr="00AB3308">
        <w:t>.</w:t>
      </w:r>
      <w:r w:rsidR="00AB3308">
        <w:t xml:space="preserve"> </w:t>
      </w:r>
      <w:r w:rsidR="009A50A7" w:rsidRPr="00AB3308">
        <w:t xml:space="preserve">Stakeholders noted </w:t>
      </w:r>
      <w:r w:rsidR="00C31381" w:rsidRPr="00AB3308">
        <w:t xml:space="preserve">that patients may have had testing in secondary care that is not recorded in general practice. Addition of results to patient records in general practice would carry administrative burden or may have an unintended consequence of additional blood tests for patients. There was concern about an increase in referrals to secondary care. </w:t>
      </w:r>
    </w:p>
    <w:p w14:paraId="3042A1BA" w14:textId="5D92515A" w:rsidR="0090276A" w:rsidRPr="00AB3308" w:rsidRDefault="0090276A" w:rsidP="00AB3308">
      <w:pPr>
        <w:spacing w:line="276" w:lineRule="auto"/>
        <w:rPr>
          <w:rFonts w:ascii="Arial" w:hAnsi="Arial"/>
        </w:rPr>
      </w:pPr>
      <w:r w:rsidRPr="00AB3308">
        <w:rPr>
          <w:rFonts w:ascii="Arial" w:hAnsi="Arial"/>
        </w:rPr>
        <w:br w:type="page"/>
      </w:r>
    </w:p>
    <w:p w14:paraId="02E5DF0D" w14:textId="2FD24234" w:rsidR="00F87E9D" w:rsidRPr="00E8632C" w:rsidRDefault="00066F6E" w:rsidP="00FE12CE">
      <w:pPr>
        <w:pStyle w:val="Heading1"/>
      </w:pPr>
      <w:bookmarkStart w:id="31" w:name="_Toc108167950"/>
      <w:r>
        <w:lastRenderedPageBreak/>
        <w:t>IND2021-118</w:t>
      </w:r>
      <w:r w:rsidR="005143BA">
        <w:t xml:space="preserve">: </w:t>
      </w:r>
      <w:r>
        <w:t>long-term NSAID use</w:t>
      </w:r>
      <w:bookmarkEnd w:id="31"/>
      <w:r w:rsidR="00F34B87">
        <w:t xml:space="preserve"> </w:t>
      </w:r>
      <w:bookmarkEnd w:id="25"/>
    </w:p>
    <w:p w14:paraId="55429D1A" w14:textId="07BD38CD" w:rsidR="00154516" w:rsidRPr="00DE1965" w:rsidRDefault="00066F6E" w:rsidP="00C74D07">
      <w:pPr>
        <w:pStyle w:val="Paragraph"/>
        <w:rPr>
          <w:i/>
        </w:rPr>
      </w:pPr>
      <w:r w:rsidRPr="00DE1965">
        <w:rPr>
          <w:i/>
        </w:rPr>
        <w:t>The percentage of patients (excluding those on the CKD register) prescribed long-term (chronic) oral non-steroidal anti-inflammatory drugs (NSAIDs) who have had an eGFR measurement in the preceding 12 months.</w:t>
      </w:r>
    </w:p>
    <w:p w14:paraId="7B4C02A0" w14:textId="3EAC1615" w:rsidR="00907DF5" w:rsidRPr="003D5D5A" w:rsidRDefault="00C0570D" w:rsidP="00FE12CE">
      <w:pPr>
        <w:pStyle w:val="Heading2"/>
      </w:pPr>
      <w:bookmarkStart w:id="32" w:name="_Toc102647179"/>
      <w:bookmarkStart w:id="33" w:name="_Toc103334625"/>
      <w:bookmarkStart w:id="34" w:name="_Toc103955098"/>
      <w:bookmarkStart w:id="35" w:name="_Toc103957587"/>
      <w:bookmarkStart w:id="36" w:name="_Toc108167951"/>
      <w:r w:rsidRPr="00FE12CE">
        <w:t>Rationale</w:t>
      </w:r>
      <w:bookmarkEnd w:id="32"/>
      <w:bookmarkEnd w:id="33"/>
      <w:bookmarkEnd w:id="34"/>
      <w:bookmarkEnd w:id="35"/>
      <w:bookmarkEnd w:id="36"/>
    </w:p>
    <w:p w14:paraId="759CC89C" w14:textId="77777777" w:rsidR="00066F6E" w:rsidRDefault="00066F6E" w:rsidP="00066F6E">
      <w:pPr>
        <w:pStyle w:val="Paragraphnonumbers"/>
      </w:pPr>
      <w:bookmarkStart w:id="37" w:name="_Hlk94518647"/>
      <w:r>
        <w:t xml:space="preserve">Non-steroidal anti-inflammatory drugs (NSAIDs) are one of the most commonly prescribed drug groups in the UK and can adversely affect kidney function. Early detection of CKD in patients prescribed these medications long-term can help to prevent or delay progression and complications. </w:t>
      </w:r>
      <w:bookmarkEnd w:id="37"/>
    </w:p>
    <w:p w14:paraId="33578256" w14:textId="4EDB58CB" w:rsidR="003D5D5A" w:rsidRPr="00AF5D31" w:rsidRDefault="00C0570D" w:rsidP="00FE12CE">
      <w:pPr>
        <w:pStyle w:val="Heading2"/>
      </w:pPr>
      <w:bookmarkStart w:id="38" w:name="_Toc102647180"/>
      <w:bookmarkStart w:id="39" w:name="_Toc103334626"/>
      <w:bookmarkStart w:id="40" w:name="_Toc103955099"/>
      <w:bookmarkStart w:id="41" w:name="_Toc103957588"/>
      <w:bookmarkStart w:id="42" w:name="_Toc108167952"/>
      <w:r>
        <w:t>Summary of consultation comments</w:t>
      </w:r>
      <w:bookmarkEnd w:id="38"/>
      <w:bookmarkEnd w:id="39"/>
      <w:bookmarkEnd w:id="40"/>
      <w:bookmarkEnd w:id="41"/>
      <w:bookmarkEnd w:id="42"/>
    </w:p>
    <w:p w14:paraId="4709608F" w14:textId="5872F99F" w:rsidR="001E06C6" w:rsidRDefault="00421160" w:rsidP="001B5300">
      <w:pPr>
        <w:pStyle w:val="Paragraph"/>
      </w:pPr>
      <w:r>
        <w:t xml:space="preserve">There was a mixed response to this indicator. Some stakeholders supported the indicator </w:t>
      </w:r>
      <w:r w:rsidR="00DE1965">
        <w:t>to improve</w:t>
      </w:r>
      <w:r>
        <w:t xml:space="preserve"> patient care and safe prescribing. </w:t>
      </w:r>
      <w:r w:rsidR="001F468B">
        <w:t>Others were less supportive. They</w:t>
      </w:r>
      <w:r w:rsidR="001E06C6">
        <w:t xml:space="preserve"> </w:t>
      </w:r>
      <w:r w:rsidR="001F468B">
        <w:t>wondered if there was sufficient evidence for the introduction of this indicator and noted</w:t>
      </w:r>
      <w:r w:rsidR="001E06C6">
        <w:t xml:space="preserve"> a lack of randomised controlled trial data on benefits and harms of NSAID avoidance, although they were aware of observational studies showing more rapid decline in eGFR. </w:t>
      </w:r>
      <w:r w:rsidR="001F468B">
        <w:t>Stakeholders</w:t>
      </w:r>
      <w:r w:rsidR="001E06C6">
        <w:t xml:space="preserve"> commented that people issuing prescriptions for NSAIDs should know what the patient’s eGFR is. </w:t>
      </w:r>
      <w:r w:rsidR="001F468B">
        <w:t>Stakeholders suggested a better indicator would incentivise movement away from long-term NSAIDs.</w:t>
      </w:r>
    </w:p>
    <w:p w14:paraId="253705CB" w14:textId="04B6A82E" w:rsidR="001E06C6" w:rsidRDefault="001E06C6" w:rsidP="001B5300">
      <w:pPr>
        <w:pStyle w:val="Paragraph"/>
      </w:pPr>
      <w:r>
        <w:t>Stakeholders noted a large workload associated with this indicator</w:t>
      </w:r>
      <w:r w:rsidR="001F468B">
        <w:t xml:space="preserve"> and others</w:t>
      </w:r>
      <w:r w:rsidR="00421160">
        <w:t xml:space="preserve"> suggested </w:t>
      </w:r>
      <w:r w:rsidR="0090276A">
        <w:t xml:space="preserve">that </w:t>
      </w:r>
      <w:r w:rsidR="00421160">
        <w:t>a focus on a smaller population may bring more significant safety gains</w:t>
      </w:r>
      <w:r w:rsidR="001F468B">
        <w:t>, allowing</w:t>
      </w:r>
      <w:r w:rsidR="00421160">
        <w:t xml:space="preserve"> primary care to focus </w:t>
      </w:r>
      <w:r w:rsidR="005B6DF5">
        <w:t xml:space="preserve">on </w:t>
      </w:r>
      <w:r w:rsidR="00421160">
        <w:t xml:space="preserve">those </w:t>
      </w:r>
      <w:r w:rsidR="0090276A">
        <w:t>with</w:t>
      </w:r>
      <w:r w:rsidR="00421160">
        <w:t xml:space="preserve"> greatest risk. They suggested people </w:t>
      </w:r>
      <w:r w:rsidR="001F468B">
        <w:t xml:space="preserve">aged </w:t>
      </w:r>
      <w:r w:rsidR="00421160">
        <w:t xml:space="preserve">over 65. </w:t>
      </w:r>
    </w:p>
    <w:p w14:paraId="4733E64C" w14:textId="53C4215A" w:rsidR="00844032" w:rsidRDefault="00844032" w:rsidP="00FE12CE">
      <w:pPr>
        <w:pStyle w:val="Heading2"/>
      </w:pPr>
      <w:bookmarkStart w:id="43" w:name="_Toc102647181"/>
      <w:bookmarkStart w:id="44" w:name="_Toc103334627"/>
      <w:bookmarkStart w:id="45" w:name="_Toc103955100"/>
      <w:bookmarkStart w:id="46" w:name="_Toc103957589"/>
      <w:bookmarkStart w:id="47" w:name="_Toc108167953"/>
      <w:r w:rsidRPr="00E8632C">
        <w:t xml:space="preserve">Specific </w:t>
      </w:r>
      <w:r w:rsidR="00762D25">
        <w:t>question/s</w:t>
      </w:r>
      <w:r w:rsidRPr="00E8632C">
        <w:t xml:space="preserve"> </w:t>
      </w:r>
      <w:r w:rsidR="00BF1474">
        <w:t>included at</w:t>
      </w:r>
      <w:r w:rsidRPr="00E8632C">
        <w:t xml:space="preserve"> consultation</w:t>
      </w:r>
      <w:bookmarkEnd w:id="43"/>
      <w:bookmarkEnd w:id="44"/>
      <w:bookmarkEnd w:id="45"/>
      <w:bookmarkEnd w:id="46"/>
      <w:bookmarkEnd w:id="47"/>
    </w:p>
    <w:p w14:paraId="4875E413" w14:textId="1C1A18DE" w:rsidR="005A576F" w:rsidRDefault="001E06C6" w:rsidP="001E06C6">
      <w:pPr>
        <w:pStyle w:val="Paragraph"/>
      </w:pPr>
      <w:r w:rsidRPr="001E06C6">
        <w:t>Is the proposed definition of long-term prescriptions appropriate? If not, how should we define this?</w:t>
      </w:r>
      <w:r w:rsidR="005A576F">
        <w:t xml:space="preserve"> </w:t>
      </w:r>
    </w:p>
    <w:p w14:paraId="17FEE10B" w14:textId="7549ABC4" w:rsidR="008F5739" w:rsidRPr="00867CDA" w:rsidRDefault="00F46768" w:rsidP="008F5739">
      <w:pPr>
        <w:pStyle w:val="Paragraphnonumbers"/>
      </w:pPr>
      <w:r>
        <w:t>Current d</w:t>
      </w:r>
      <w:r w:rsidR="008F5739">
        <w:t>efinition: Long-term prescription is defined as 12 prescriptions in the preceding 24 months.</w:t>
      </w:r>
    </w:p>
    <w:p w14:paraId="13B7EED1" w14:textId="2D186AD8" w:rsidR="001E06C6" w:rsidRDefault="001E06C6" w:rsidP="001E06C6">
      <w:pPr>
        <w:pStyle w:val="Paragraph"/>
      </w:pPr>
      <w:r>
        <w:t>There was a mixed response from stakeholders</w:t>
      </w:r>
      <w:r w:rsidR="00421160">
        <w:t xml:space="preserve">, some </w:t>
      </w:r>
      <w:r>
        <w:t>comments that the definition seems reasonable but alternative definitions were suggested:</w:t>
      </w:r>
    </w:p>
    <w:p w14:paraId="68C0B536" w14:textId="77C2EFCC" w:rsidR="001E06C6" w:rsidRDefault="001D6A26" w:rsidP="00DE1965">
      <w:pPr>
        <w:pStyle w:val="Bullets"/>
      </w:pPr>
      <w:r>
        <w:t>M</w:t>
      </w:r>
      <w:r w:rsidR="001E06C6">
        <w:t>ore than 6 weeks of treatment in 12 months</w:t>
      </w:r>
      <w:r>
        <w:t>.</w:t>
      </w:r>
    </w:p>
    <w:p w14:paraId="6DBAF8B4" w14:textId="3468C433" w:rsidR="0090276A" w:rsidRDefault="001D6A26" w:rsidP="00DE1965">
      <w:pPr>
        <w:pStyle w:val="Bullets"/>
      </w:pPr>
      <w:r>
        <w:t>M</w:t>
      </w:r>
      <w:r w:rsidR="001E06C6">
        <w:t>ore than 3 prescriptions in any 12</w:t>
      </w:r>
      <w:r w:rsidR="00C10025">
        <w:t>-</w:t>
      </w:r>
      <w:r w:rsidR="001E06C6">
        <w:t>month period.</w:t>
      </w:r>
      <w:r w:rsidR="0090276A" w:rsidRPr="0090276A">
        <w:t xml:space="preserve"> </w:t>
      </w:r>
    </w:p>
    <w:p w14:paraId="299488BF" w14:textId="616B9740" w:rsidR="001E06C6" w:rsidRDefault="0090276A" w:rsidP="0090276A">
      <w:pPr>
        <w:pStyle w:val="Paragraph"/>
      </w:pPr>
      <w:r>
        <w:t xml:space="preserve">Stakeholders suggested that the definition should consider intermittent </w:t>
      </w:r>
      <w:r w:rsidRPr="001E06C6">
        <w:t>prescribing</w:t>
      </w:r>
      <w:r>
        <w:t>. They noted lack of clarity on the length of a prescription. They also noted that some NSAID use may be from over</w:t>
      </w:r>
      <w:r w:rsidR="00C10025">
        <w:t>-</w:t>
      </w:r>
      <w:r>
        <w:t>the</w:t>
      </w:r>
      <w:r w:rsidR="00C10025">
        <w:t>-</w:t>
      </w:r>
      <w:r>
        <w:t>counter preparations</w:t>
      </w:r>
      <w:r w:rsidR="001D6A26">
        <w:t>.</w:t>
      </w:r>
    </w:p>
    <w:p w14:paraId="24BF1951" w14:textId="27209C3F" w:rsidR="002C7316" w:rsidRDefault="002D2FD2" w:rsidP="00FE12CE">
      <w:pPr>
        <w:pStyle w:val="Heading2"/>
      </w:pPr>
      <w:bookmarkStart w:id="48" w:name="_Toc102647182"/>
      <w:bookmarkStart w:id="49" w:name="_Toc103334628"/>
      <w:bookmarkStart w:id="50" w:name="_Toc103955101"/>
      <w:bookmarkStart w:id="51" w:name="_Toc103957590"/>
      <w:bookmarkStart w:id="52" w:name="_Toc108167954"/>
      <w:r w:rsidRPr="002D2FD2">
        <w:lastRenderedPageBreak/>
        <w:t xml:space="preserve">Considerations for the </w:t>
      </w:r>
      <w:r w:rsidR="0002231A">
        <w:t>a</w:t>
      </w:r>
      <w:r w:rsidRPr="002D2FD2">
        <w:t xml:space="preserve">dvisory </w:t>
      </w:r>
      <w:r w:rsidR="0002231A">
        <w:t>c</w:t>
      </w:r>
      <w:r w:rsidRPr="002D2FD2">
        <w:t>ommittee</w:t>
      </w:r>
      <w:bookmarkEnd w:id="48"/>
      <w:bookmarkEnd w:id="49"/>
      <w:bookmarkEnd w:id="50"/>
      <w:bookmarkEnd w:id="51"/>
      <w:bookmarkEnd w:id="52"/>
    </w:p>
    <w:p w14:paraId="51A3F6D0" w14:textId="77777777" w:rsidR="007067D1" w:rsidRPr="00241410" w:rsidRDefault="007067D1" w:rsidP="007067D1">
      <w:pPr>
        <w:pStyle w:val="Paragraphnonumbers"/>
      </w:pPr>
      <w:r>
        <w:t>The c</w:t>
      </w:r>
      <w:r w:rsidRPr="00241410">
        <w:t>ommittee is asked to consider:</w:t>
      </w:r>
    </w:p>
    <w:p w14:paraId="17CE2B00" w14:textId="57A3A4A2" w:rsidR="00F63D66" w:rsidRPr="00487EBC" w:rsidRDefault="001072AD" w:rsidP="00DE1965">
      <w:pPr>
        <w:pStyle w:val="Bullets"/>
      </w:pPr>
      <w:r>
        <w:t>Should</w:t>
      </w:r>
      <w:r w:rsidR="001F468B" w:rsidRPr="00487EBC">
        <w:t xml:space="preserve"> the </w:t>
      </w:r>
      <w:r w:rsidR="00BE23AB">
        <w:t>denominator focus on people aged over 65</w:t>
      </w:r>
      <w:r>
        <w:t>?</w:t>
      </w:r>
    </w:p>
    <w:p w14:paraId="5B5458D8" w14:textId="58BA7E83" w:rsidR="00883721" w:rsidRPr="00487EBC" w:rsidRDefault="0091129C" w:rsidP="00DE1965">
      <w:pPr>
        <w:pStyle w:val="Bullets"/>
      </w:pPr>
      <w:r>
        <w:t>Is</w:t>
      </w:r>
      <w:r w:rsidR="005C32F7">
        <w:t xml:space="preserve"> t</w:t>
      </w:r>
      <w:r w:rsidR="001F468B" w:rsidRPr="00487EBC">
        <w:t xml:space="preserve">he </w:t>
      </w:r>
      <w:r w:rsidR="00487EBC" w:rsidRPr="00487EBC">
        <w:t xml:space="preserve">proposed </w:t>
      </w:r>
      <w:r w:rsidR="001F468B" w:rsidRPr="00487EBC">
        <w:t>defin</w:t>
      </w:r>
      <w:r w:rsidR="00487EBC" w:rsidRPr="00487EBC">
        <w:t>i</w:t>
      </w:r>
      <w:r w:rsidR="001F468B" w:rsidRPr="00487EBC">
        <w:t xml:space="preserve">tion of </w:t>
      </w:r>
      <w:r>
        <w:t xml:space="preserve">a </w:t>
      </w:r>
      <w:r w:rsidR="001F468B" w:rsidRPr="00487EBC">
        <w:t>long-term prescription</w:t>
      </w:r>
      <w:r w:rsidR="005C32F7">
        <w:t xml:space="preserve"> acceptable</w:t>
      </w:r>
      <w:r>
        <w:t>?</w:t>
      </w:r>
    </w:p>
    <w:p w14:paraId="2D7718D9" w14:textId="77777777" w:rsidR="00BD4879" w:rsidRPr="00BD4879" w:rsidRDefault="00BD4879" w:rsidP="00BD4879">
      <w:pPr>
        <w:pStyle w:val="ListParagraph"/>
        <w:rPr>
          <w:rFonts w:ascii="Arial" w:hAnsi="Arial"/>
          <w:highlight w:val="cyan"/>
        </w:rPr>
      </w:pPr>
    </w:p>
    <w:p w14:paraId="46C92401" w14:textId="34380C8F" w:rsidR="00BD4879" w:rsidRPr="00220661" w:rsidRDefault="00BD4879" w:rsidP="001F468B">
      <w:pPr>
        <w:pStyle w:val="ListParagraph"/>
        <w:spacing w:line="276" w:lineRule="auto"/>
        <w:ind w:left="360"/>
        <w:rPr>
          <w:rFonts w:ascii="Arial" w:hAnsi="Arial"/>
          <w:highlight w:val="cyan"/>
        </w:rPr>
      </w:pPr>
    </w:p>
    <w:p w14:paraId="108301E1" w14:textId="77777777" w:rsidR="00F63D66" w:rsidRPr="00220661" w:rsidRDefault="00F63D66" w:rsidP="00FC373B">
      <w:pPr>
        <w:spacing w:line="276" w:lineRule="auto"/>
        <w:rPr>
          <w:rFonts w:ascii="Arial" w:hAnsi="Arial"/>
          <w:highlight w:val="cyan"/>
        </w:rPr>
      </w:pPr>
    </w:p>
    <w:p w14:paraId="7A076CF3" w14:textId="77777777" w:rsidR="003D5D5A" w:rsidRDefault="003D5D5A" w:rsidP="00FD40F7">
      <w:pPr>
        <w:pStyle w:val="Paragraph"/>
        <w:rPr>
          <w:bCs/>
          <w:kern w:val="32"/>
        </w:rPr>
      </w:pPr>
    </w:p>
    <w:p w14:paraId="09EB9493" w14:textId="77777777" w:rsidR="008F2FAE" w:rsidRDefault="008F2FAE">
      <w:pPr>
        <w:rPr>
          <w:rFonts w:ascii="Arial" w:hAnsi="Arial"/>
          <w:b/>
          <w:bCs/>
          <w:sz w:val="28"/>
          <w:szCs w:val="28"/>
        </w:rPr>
      </w:pPr>
      <w:bookmarkStart w:id="53" w:name="_Toc418246138"/>
      <w:r>
        <w:rPr>
          <w:sz w:val="28"/>
          <w:szCs w:val="28"/>
        </w:rPr>
        <w:br w:type="page"/>
      </w:r>
    </w:p>
    <w:p w14:paraId="2DAF8D44" w14:textId="3B44BBE4" w:rsidR="00F87E9D" w:rsidRPr="00E8632C" w:rsidRDefault="001E06C6" w:rsidP="00FE12CE">
      <w:pPr>
        <w:pStyle w:val="Heading1"/>
      </w:pPr>
      <w:bookmarkStart w:id="54" w:name="_Toc108167955"/>
      <w:r>
        <w:lastRenderedPageBreak/>
        <w:t>IND2021-119</w:t>
      </w:r>
      <w:r w:rsidR="007C4241">
        <w:t>:</w:t>
      </w:r>
      <w:r w:rsidR="005143BA">
        <w:t xml:space="preserve"> </w:t>
      </w:r>
      <w:r>
        <w:t>eGFR testing at diagnosis</w:t>
      </w:r>
      <w:bookmarkEnd w:id="54"/>
      <w:r w:rsidR="001B06E1">
        <w:t xml:space="preserve"> </w:t>
      </w:r>
      <w:bookmarkEnd w:id="53"/>
    </w:p>
    <w:p w14:paraId="4881A48E" w14:textId="77777777" w:rsidR="001E06C6" w:rsidRPr="00DE1965" w:rsidRDefault="001E06C6" w:rsidP="00DE1965">
      <w:pPr>
        <w:pStyle w:val="Paragraph"/>
        <w:rPr>
          <w:i/>
          <w:iCs/>
        </w:rPr>
      </w:pPr>
      <w:r w:rsidRPr="00DE1965">
        <w:rPr>
          <w:i/>
          <w:iCs/>
        </w:rPr>
        <w:t xml:space="preserve">The percentage of patients with a new diagnosis of CKD stage G3a-G5 (on the register, within the preceding 12 months) who had 2 separate eGFR tests undertaken prior to diagnosis being confirmed, with at least 90 days between tests and the second test no later than 90 days before the diagnosis was recorded. </w:t>
      </w:r>
    </w:p>
    <w:p w14:paraId="08F9B38C" w14:textId="6362A428" w:rsidR="004E0E78" w:rsidRPr="003D5D5A" w:rsidRDefault="002C292E" w:rsidP="00FE12CE">
      <w:pPr>
        <w:pStyle w:val="Heading2"/>
      </w:pPr>
      <w:bookmarkStart w:id="55" w:name="_Toc102647184"/>
      <w:bookmarkStart w:id="56" w:name="_Toc103334630"/>
      <w:bookmarkStart w:id="57" w:name="_Toc103955103"/>
      <w:bookmarkStart w:id="58" w:name="_Toc103957592"/>
      <w:bookmarkStart w:id="59" w:name="_Toc108167956"/>
      <w:r>
        <w:t>Rationale</w:t>
      </w:r>
      <w:bookmarkEnd w:id="55"/>
      <w:bookmarkEnd w:id="56"/>
      <w:bookmarkEnd w:id="57"/>
      <w:bookmarkEnd w:id="58"/>
      <w:bookmarkEnd w:id="59"/>
    </w:p>
    <w:p w14:paraId="682587AA" w14:textId="77777777" w:rsidR="001E06C6" w:rsidRDefault="001E06C6" w:rsidP="001E06C6">
      <w:pPr>
        <w:pStyle w:val="Paragraphnonumbers"/>
      </w:pPr>
      <w:r>
        <w:t xml:space="preserve">Chronic kidney disease (CKD) is a long-term condition characterised by abnormal kidney function or structure (or both) present for more than 3 months. Having two eGFR tests 90 days apart helps ensure appropriate advice, treatment and support can be provided and can help to preserve kidney function and reduce the risk of developing comorbidity. </w:t>
      </w:r>
    </w:p>
    <w:p w14:paraId="75051FFD" w14:textId="08805DDB" w:rsidR="004E0E78" w:rsidRPr="00780214" w:rsidRDefault="002C292E" w:rsidP="00FE12CE">
      <w:pPr>
        <w:pStyle w:val="Heading2"/>
      </w:pPr>
      <w:bookmarkStart w:id="60" w:name="_Toc102647185"/>
      <w:bookmarkStart w:id="61" w:name="_Toc103334631"/>
      <w:bookmarkStart w:id="62" w:name="_Toc103955104"/>
      <w:bookmarkStart w:id="63" w:name="_Toc103957593"/>
      <w:bookmarkStart w:id="64" w:name="_Toc108167957"/>
      <w:r>
        <w:t>Summary of consultation c</w:t>
      </w:r>
      <w:r w:rsidR="004E0E78" w:rsidRPr="00780214">
        <w:t>omments</w:t>
      </w:r>
      <w:bookmarkEnd w:id="60"/>
      <w:bookmarkEnd w:id="61"/>
      <w:bookmarkEnd w:id="62"/>
      <w:bookmarkEnd w:id="63"/>
      <w:bookmarkEnd w:id="64"/>
    </w:p>
    <w:p w14:paraId="1E81BEB1" w14:textId="76BA130C" w:rsidR="00092F3F" w:rsidRDefault="00F33676" w:rsidP="00092F3F">
      <w:pPr>
        <w:pStyle w:val="Paragraph"/>
        <w:rPr>
          <w:rFonts w:cs="Arial"/>
        </w:rPr>
      </w:pPr>
      <w:r>
        <w:rPr>
          <w:rFonts w:cs="Arial"/>
        </w:rPr>
        <w:t xml:space="preserve">There was a mixed response </w:t>
      </w:r>
      <w:r w:rsidR="00BE23AB">
        <w:rPr>
          <w:rFonts w:cs="Arial"/>
        </w:rPr>
        <w:t>to</w:t>
      </w:r>
      <w:r>
        <w:rPr>
          <w:rFonts w:cs="Arial"/>
        </w:rPr>
        <w:t xml:space="preserve"> this indicator. </w:t>
      </w:r>
      <w:r w:rsidR="00092F3F">
        <w:rPr>
          <w:rFonts w:cs="Arial"/>
        </w:rPr>
        <w:t xml:space="preserve">Stakeholders welcomed the indicator and noted the alignment with the definition of CKD in NICE’s guideline on CKD. </w:t>
      </w:r>
    </w:p>
    <w:p w14:paraId="61B58070" w14:textId="5B79A34D" w:rsidR="00515063" w:rsidRDefault="00092F3F" w:rsidP="00ED6AAF">
      <w:pPr>
        <w:pStyle w:val="Paragraph"/>
        <w:rPr>
          <w:rFonts w:cs="Arial"/>
        </w:rPr>
      </w:pPr>
      <w:r>
        <w:rPr>
          <w:rFonts w:cs="Arial"/>
        </w:rPr>
        <w:t>Other s</w:t>
      </w:r>
      <w:r w:rsidR="00F33676">
        <w:rPr>
          <w:rFonts w:cs="Arial"/>
        </w:rPr>
        <w:t xml:space="preserve">takeholders </w:t>
      </w:r>
      <w:r w:rsidR="00515063">
        <w:rPr>
          <w:rFonts w:cs="Arial"/>
        </w:rPr>
        <w:t>had some concerns:</w:t>
      </w:r>
    </w:p>
    <w:p w14:paraId="0E6D2B41" w14:textId="16BFC04B" w:rsidR="001B06E1" w:rsidRDefault="00515063" w:rsidP="00DE1965">
      <w:pPr>
        <w:pStyle w:val="Bullets"/>
      </w:pPr>
      <w:r>
        <w:t>An</w:t>
      </w:r>
      <w:r w:rsidR="00F33676">
        <w:t xml:space="preserve"> indicator on people already diagnosed </w:t>
      </w:r>
      <w:r w:rsidR="00BE23AB">
        <w:t xml:space="preserve">with CKD </w:t>
      </w:r>
      <w:r w:rsidR="00E96479">
        <w:t xml:space="preserve">will </w:t>
      </w:r>
      <w:r w:rsidR="00F33676">
        <w:t>not have a significant impact on patient outcomes. They suggested indicator</w:t>
      </w:r>
      <w:r w:rsidR="00DB2A48">
        <w:t>s</w:t>
      </w:r>
      <w:r w:rsidR="00F33676">
        <w:t xml:space="preserve"> on eGFR and ACR testing</w:t>
      </w:r>
      <w:r w:rsidR="00DB2A48">
        <w:t>, and a focus on early intervention in patients with proteinuria prior to progression to stage G3a</w:t>
      </w:r>
      <w:r w:rsidR="00F33676">
        <w:t xml:space="preserve"> would be more useful. </w:t>
      </w:r>
    </w:p>
    <w:p w14:paraId="429BC0A0" w14:textId="01B0C799" w:rsidR="00E96479" w:rsidRDefault="00515063" w:rsidP="00DE1965">
      <w:pPr>
        <w:pStyle w:val="Bullets"/>
      </w:pPr>
      <w:r>
        <w:t>The</w:t>
      </w:r>
      <w:r w:rsidR="00F33676">
        <w:t xml:space="preserve"> 90</w:t>
      </w:r>
      <w:r w:rsidR="005C32F7">
        <w:t>-</w:t>
      </w:r>
      <w:r w:rsidR="00F33676">
        <w:t xml:space="preserve">day timeframe </w:t>
      </w:r>
      <w:r>
        <w:t xml:space="preserve">is </w:t>
      </w:r>
      <w:r w:rsidR="00F33676">
        <w:t xml:space="preserve">“arbitrary” and “unlikely to be appropriate or practical”. </w:t>
      </w:r>
      <w:r w:rsidR="00AF43FA">
        <w:t>T</w:t>
      </w:r>
      <w:r w:rsidR="00F33676">
        <w:t xml:space="preserve">here may be instances where only one measurement is needed. </w:t>
      </w:r>
    </w:p>
    <w:p w14:paraId="0C8D2F77" w14:textId="0E170A3A" w:rsidR="00515063" w:rsidRDefault="00E96479" w:rsidP="00DE1965">
      <w:pPr>
        <w:pStyle w:val="Bullets"/>
      </w:pPr>
      <w:r>
        <w:t>It</w:t>
      </w:r>
      <w:r w:rsidR="00F33676">
        <w:t xml:space="preserve"> would be difficult to implement in practice and require significant administrative burden. </w:t>
      </w:r>
    </w:p>
    <w:p w14:paraId="51D5C423" w14:textId="24EFFD42" w:rsidR="00F33676" w:rsidRDefault="00F33676" w:rsidP="00DE1965">
      <w:pPr>
        <w:pStyle w:val="Bullets"/>
      </w:pPr>
      <w:r>
        <w:t>eGFR measurement may be performed in other settings (secondary care) and would require re-coding in primary care for this indicator. This may also lead to extra blood testing needed to ensure coding is complete, unnecessary testing for patients leading to increase in wait</w:t>
      </w:r>
      <w:r w:rsidR="00092F3F">
        <w:t>ing times</w:t>
      </w:r>
      <w:r>
        <w:t xml:space="preserve"> for community investigations.</w:t>
      </w:r>
    </w:p>
    <w:p w14:paraId="04B0513B" w14:textId="2D1DF68B" w:rsidR="00092F3F" w:rsidRPr="00F33676" w:rsidRDefault="00092F3F" w:rsidP="00DE1965">
      <w:pPr>
        <w:pStyle w:val="Bullets"/>
      </w:pPr>
      <w:r>
        <w:t xml:space="preserve">Stakeholders also highlighted </w:t>
      </w:r>
      <w:r w:rsidR="00BE23AB">
        <w:t xml:space="preserve">the </w:t>
      </w:r>
      <w:r w:rsidR="00487EBC">
        <w:t xml:space="preserve">NICE </w:t>
      </w:r>
      <w:r>
        <w:t xml:space="preserve">recommendation </w:t>
      </w:r>
      <w:r w:rsidR="00BE23AB">
        <w:t>for</w:t>
      </w:r>
      <w:r>
        <w:t xml:space="preserve"> a repeat within 2 weeks </w:t>
      </w:r>
      <w:r w:rsidR="00BE23AB">
        <w:t xml:space="preserve">to exclude acute kidney injury (AKI) </w:t>
      </w:r>
      <w:r>
        <w:t>when eGFR is less than 60 ml/mi</w:t>
      </w:r>
      <w:r w:rsidR="00BE23AB">
        <w:t>.</w:t>
      </w:r>
      <w:r>
        <w:t xml:space="preserve"> This would require a</w:t>
      </w:r>
      <w:r w:rsidR="00487EBC">
        <w:t>n additional</w:t>
      </w:r>
      <w:r>
        <w:t xml:space="preserve"> repeat test at 90 days. </w:t>
      </w:r>
    </w:p>
    <w:p w14:paraId="510A1330" w14:textId="609EE4ED" w:rsidR="00ED6AAF" w:rsidRPr="00E8632C" w:rsidRDefault="00ED6AAF" w:rsidP="00FE12CE">
      <w:pPr>
        <w:pStyle w:val="Heading2"/>
      </w:pPr>
      <w:bookmarkStart w:id="65" w:name="_Toc102647186"/>
      <w:bookmarkStart w:id="66" w:name="_Toc103334632"/>
      <w:bookmarkStart w:id="67" w:name="_Toc103955105"/>
      <w:bookmarkStart w:id="68" w:name="_Toc103957594"/>
      <w:bookmarkStart w:id="69" w:name="_Toc108167958"/>
      <w:r w:rsidRPr="00E8632C">
        <w:t xml:space="preserve">Specific </w:t>
      </w:r>
      <w:r w:rsidR="002C292E">
        <w:t>question/s</w:t>
      </w:r>
      <w:r w:rsidRPr="00E8632C">
        <w:t xml:space="preserve"> </w:t>
      </w:r>
      <w:r w:rsidR="00AB09A9">
        <w:t>included at</w:t>
      </w:r>
      <w:r w:rsidRPr="00E8632C">
        <w:t xml:space="preserve"> consultation</w:t>
      </w:r>
      <w:bookmarkEnd w:id="65"/>
      <w:bookmarkEnd w:id="66"/>
      <w:bookmarkEnd w:id="67"/>
      <w:bookmarkEnd w:id="68"/>
      <w:bookmarkEnd w:id="69"/>
    </w:p>
    <w:p w14:paraId="65EC63C5" w14:textId="33124413" w:rsidR="005243EC" w:rsidRDefault="00F33676" w:rsidP="00F33676">
      <w:pPr>
        <w:pStyle w:val="Paragraph"/>
      </w:pPr>
      <w:r w:rsidRPr="00F33676">
        <w:t xml:space="preserve">NICE is attempting to quantify the denominator size for this indicator as there should be more than 20 patients per average practice for an indicator to be suitable for use </w:t>
      </w:r>
      <w:r w:rsidRPr="00F33676">
        <w:lastRenderedPageBreak/>
        <w:t>in the QOF. Are you aware of any data that would assist us in estimating the number of patients at practice level?</w:t>
      </w:r>
    </w:p>
    <w:p w14:paraId="38BC6DA2" w14:textId="53958A07" w:rsidR="005243EC" w:rsidRDefault="00F33676" w:rsidP="00F33676">
      <w:pPr>
        <w:pStyle w:val="Paragraph"/>
      </w:pPr>
      <w:r>
        <w:t xml:space="preserve">Stakeholders </w:t>
      </w:r>
      <w:r w:rsidRPr="00F33676">
        <w:t>suggested</w:t>
      </w:r>
      <w:r>
        <w:t xml:space="preserve"> a number of sources</w:t>
      </w:r>
      <w:r w:rsidR="00515063">
        <w:t xml:space="preserve"> including national audits and research papers. They suggested that new presentation of CKD is likely to be at least 20 patients per 10</w:t>
      </w:r>
      <w:r w:rsidR="00383C3E">
        <w:t>,</w:t>
      </w:r>
      <w:r w:rsidR="00515063">
        <w:t>000 practice size, but other stakeholders suggested a small number of new cases.</w:t>
      </w:r>
    </w:p>
    <w:p w14:paraId="6AA0B079" w14:textId="635CD188" w:rsidR="0006231E" w:rsidRPr="00AB09A9" w:rsidRDefault="0006231E" w:rsidP="00FE12CE">
      <w:pPr>
        <w:pStyle w:val="Heading2"/>
      </w:pPr>
      <w:bookmarkStart w:id="70" w:name="_Toc102647187"/>
      <w:bookmarkStart w:id="71" w:name="_Toc103334633"/>
      <w:bookmarkStart w:id="72" w:name="_Toc103955106"/>
      <w:bookmarkStart w:id="73" w:name="_Toc103957595"/>
      <w:bookmarkStart w:id="74" w:name="_Toc108167959"/>
      <w:r w:rsidRPr="00565745">
        <w:t xml:space="preserve">Considerations for the </w:t>
      </w:r>
      <w:r w:rsidR="003C3023">
        <w:t>a</w:t>
      </w:r>
      <w:r w:rsidRPr="00565745">
        <w:t xml:space="preserve">dvisory </w:t>
      </w:r>
      <w:r w:rsidR="003C3023">
        <w:t>c</w:t>
      </w:r>
      <w:r w:rsidRPr="00565745">
        <w:t>ommittee</w:t>
      </w:r>
      <w:bookmarkEnd w:id="70"/>
      <w:bookmarkEnd w:id="71"/>
      <w:bookmarkEnd w:id="72"/>
      <w:bookmarkEnd w:id="73"/>
      <w:bookmarkEnd w:id="74"/>
    </w:p>
    <w:p w14:paraId="765B66A2" w14:textId="3E97572C" w:rsidR="005243EC" w:rsidRDefault="002C292E" w:rsidP="005243EC">
      <w:pPr>
        <w:pStyle w:val="Paragraphnonumbers"/>
      </w:pPr>
      <w:r>
        <w:t>The c</w:t>
      </w:r>
      <w:r w:rsidRPr="00241410">
        <w:t xml:space="preserve">ommittee </w:t>
      </w:r>
      <w:r w:rsidR="00487EBC">
        <w:t>i</w:t>
      </w:r>
      <w:r w:rsidRPr="00241410">
        <w:t>s asked to consider:</w:t>
      </w:r>
    </w:p>
    <w:p w14:paraId="62800F25" w14:textId="42BB81C7" w:rsidR="00DB2A48" w:rsidRPr="00245EF6" w:rsidRDefault="00DB2A48" w:rsidP="00DE1965">
      <w:pPr>
        <w:pStyle w:val="Bullets"/>
        <w:rPr>
          <w:b/>
          <w:bCs/>
          <w:kern w:val="32"/>
          <w:sz w:val="28"/>
          <w:szCs w:val="32"/>
        </w:rPr>
      </w:pPr>
      <w:r>
        <w:t>If the focus on people with CKD stage G3a to G5 will lead to improved outcomes.</w:t>
      </w:r>
    </w:p>
    <w:p w14:paraId="3DFE86C6" w14:textId="1B1728AC" w:rsidR="008F2FAE" w:rsidRPr="000968F3" w:rsidRDefault="00515063" w:rsidP="00DE1965">
      <w:pPr>
        <w:pStyle w:val="Bullets"/>
        <w:rPr>
          <w:b/>
          <w:bCs/>
          <w:kern w:val="32"/>
          <w:sz w:val="28"/>
          <w:szCs w:val="32"/>
        </w:rPr>
      </w:pPr>
      <w:r>
        <w:t xml:space="preserve">Whether the </w:t>
      </w:r>
      <w:r w:rsidR="00225BB4">
        <w:t>90-day</w:t>
      </w:r>
      <w:r w:rsidR="00487EBC">
        <w:t xml:space="preserve"> timeframe </w:t>
      </w:r>
      <w:r>
        <w:t>is feasible.</w:t>
      </w:r>
    </w:p>
    <w:p w14:paraId="7839EDF2" w14:textId="57561D11" w:rsidR="000968F3" w:rsidRPr="00EF1AB4" w:rsidRDefault="0091129C" w:rsidP="00DE1965">
      <w:pPr>
        <w:pStyle w:val="Bullets"/>
        <w:rPr>
          <w:b/>
          <w:bCs/>
          <w:kern w:val="32"/>
          <w:sz w:val="28"/>
          <w:szCs w:val="32"/>
        </w:rPr>
      </w:pPr>
      <w:r>
        <w:t>Would t</w:t>
      </w:r>
      <w:r w:rsidR="00515063">
        <w:t>he o</w:t>
      </w:r>
      <w:r w:rsidR="000140FD">
        <w:t>verlap</w:t>
      </w:r>
      <w:r w:rsidR="000968F3">
        <w:t xml:space="preserve"> between primary and secondary care </w:t>
      </w:r>
      <w:r w:rsidR="000140FD">
        <w:t>(measurement and recording)</w:t>
      </w:r>
      <w:r w:rsidR="00515063">
        <w:t xml:space="preserve"> </w:t>
      </w:r>
      <w:r>
        <w:t xml:space="preserve">have an </w:t>
      </w:r>
      <w:r w:rsidR="00515063">
        <w:t>impact on the indicator</w:t>
      </w:r>
      <w:r>
        <w:t>?</w:t>
      </w:r>
    </w:p>
    <w:p w14:paraId="4702B7F6" w14:textId="4D61B2D8" w:rsidR="00515063" w:rsidRPr="000968F3" w:rsidRDefault="0091129C" w:rsidP="00DE1965">
      <w:pPr>
        <w:pStyle w:val="Bullets"/>
        <w:rPr>
          <w:b/>
          <w:bCs/>
          <w:kern w:val="32"/>
          <w:sz w:val="28"/>
          <w:szCs w:val="32"/>
        </w:rPr>
      </w:pPr>
      <w:r>
        <w:t>Do</w:t>
      </w:r>
      <w:r w:rsidR="003372C0">
        <w:t xml:space="preserve"> the</w:t>
      </w:r>
      <w:r w:rsidR="00515063">
        <w:t xml:space="preserve"> implementation issues suggested by stakeholders</w:t>
      </w:r>
      <w:r w:rsidR="003372C0">
        <w:t>,</w:t>
      </w:r>
      <w:r w:rsidR="00515063">
        <w:t xml:space="preserve"> including the administrative burden and </w:t>
      </w:r>
      <w:r w:rsidR="00E96479">
        <w:t xml:space="preserve">unnecessary repeat blood draw from </w:t>
      </w:r>
      <w:r w:rsidR="00225BB4">
        <w:t>patients</w:t>
      </w:r>
      <w:r>
        <w:t xml:space="preserve"> mean there would be potential unintended consequence associated with this indicator?</w:t>
      </w:r>
    </w:p>
    <w:p w14:paraId="585D27DF" w14:textId="45C867BE" w:rsidR="000968F3" w:rsidRPr="000968F3" w:rsidRDefault="003372C0" w:rsidP="00DE1965">
      <w:pPr>
        <w:pStyle w:val="Bullets"/>
        <w:rPr>
          <w:b/>
          <w:bCs/>
          <w:kern w:val="32"/>
          <w:sz w:val="28"/>
          <w:szCs w:val="32"/>
        </w:rPr>
      </w:pPr>
      <w:r>
        <w:t>Is</w:t>
      </w:r>
      <w:r w:rsidR="00F6545B">
        <w:t xml:space="preserve"> this indicator suitable for inclusion in QOF, based on t</w:t>
      </w:r>
      <w:r w:rsidR="00487EBC">
        <w:t xml:space="preserve">he estimated </w:t>
      </w:r>
      <w:r w:rsidR="00F6545B">
        <w:t xml:space="preserve">patient </w:t>
      </w:r>
      <w:r w:rsidR="00487EBC">
        <w:t>numbers for the denominator</w:t>
      </w:r>
      <w:r>
        <w:t>?</w:t>
      </w:r>
      <w:r w:rsidR="00487EBC">
        <w:t xml:space="preserve"> </w:t>
      </w:r>
      <w:hyperlink r:id="rId13" w:history="1">
        <w:r w:rsidR="000968F3" w:rsidRPr="000968F3">
          <w:rPr>
            <w:rStyle w:val="Hyperlink"/>
            <w:rFonts w:cs="Arial"/>
          </w:rPr>
          <w:t>CVD</w:t>
        </w:r>
        <w:r w:rsidR="00056978">
          <w:rPr>
            <w:rStyle w:val="Hyperlink"/>
            <w:rFonts w:cs="Arial"/>
          </w:rPr>
          <w:t xml:space="preserve"> </w:t>
        </w:r>
        <w:r w:rsidR="000968F3" w:rsidRPr="000968F3">
          <w:rPr>
            <w:rStyle w:val="Hyperlink"/>
            <w:rFonts w:cs="Arial"/>
          </w:rPr>
          <w:t>Prevent audit</w:t>
        </w:r>
      </w:hyperlink>
      <w:r w:rsidR="000968F3">
        <w:t xml:space="preserve"> </w:t>
      </w:r>
      <w:r w:rsidR="00487EBC">
        <w:t>data suggests approximately 18 to 21 patients per practice in 2020 to 2021</w:t>
      </w:r>
      <w:r w:rsidR="00951AFE">
        <w:t xml:space="preserve"> (approximately 115,000 new cases in 2020 to 2021)</w:t>
      </w:r>
      <w:r w:rsidR="001D307A">
        <w:t xml:space="preserve">. </w:t>
      </w:r>
      <w:r w:rsidR="000968F3">
        <w:t>This is based on their dataset showing n</w:t>
      </w:r>
      <w:r w:rsidR="000968F3" w:rsidRPr="000968F3">
        <w:t xml:space="preserve">umber of new cases of CKD recorded on GP systems by month </w:t>
      </w:r>
      <w:r w:rsidR="000968F3">
        <w:t xml:space="preserve">and estimated </w:t>
      </w:r>
      <w:r w:rsidR="001D307A" w:rsidRPr="000968F3">
        <w:t>94% coverage</w:t>
      </w:r>
      <w:r w:rsidR="000968F3">
        <w:t xml:space="preserve">. </w:t>
      </w:r>
      <w:r w:rsidR="001D307A" w:rsidRPr="000968F3">
        <w:t xml:space="preserve">Actual analytical coverage may be 79%. </w:t>
      </w:r>
    </w:p>
    <w:p w14:paraId="0CA50098" w14:textId="77777777" w:rsidR="00E96479" w:rsidRDefault="00E96479">
      <w:pPr>
        <w:rPr>
          <w:rFonts w:ascii="Arial" w:hAnsi="Arial"/>
          <w:b/>
          <w:bCs/>
          <w:kern w:val="32"/>
          <w:sz w:val="28"/>
          <w:szCs w:val="32"/>
        </w:rPr>
      </w:pPr>
      <w:r>
        <w:br w:type="page"/>
      </w:r>
    </w:p>
    <w:p w14:paraId="51345DE6" w14:textId="54990015" w:rsidR="005243EC" w:rsidRPr="000968F3" w:rsidRDefault="00092F3F" w:rsidP="000968F3">
      <w:pPr>
        <w:pStyle w:val="Heading1"/>
      </w:pPr>
      <w:bookmarkStart w:id="75" w:name="_Toc108167960"/>
      <w:r>
        <w:lastRenderedPageBreak/>
        <w:t>IND2021-120</w:t>
      </w:r>
      <w:r w:rsidR="007C4241">
        <w:t>:</w:t>
      </w:r>
      <w:r w:rsidR="005143BA">
        <w:t xml:space="preserve"> </w:t>
      </w:r>
      <w:r>
        <w:t>ACR and eGFR testing at diagnosis</w:t>
      </w:r>
      <w:bookmarkEnd w:id="75"/>
      <w:r w:rsidR="005243EC">
        <w:t xml:space="preserve"> </w:t>
      </w:r>
    </w:p>
    <w:p w14:paraId="6103100D" w14:textId="4FDCC6B7" w:rsidR="005243EC" w:rsidRPr="00DE1965" w:rsidRDefault="00092F3F" w:rsidP="001A173A">
      <w:pPr>
        <w:pStyle w:val="Paragraph"/>
        <w:rPr>
          <w:i/>
          <w:iCs/>
        </w:rPr>
      </w:pPr>
      <w:r w:rsidRPr="00DE1965">
        <w:rPr>
          <w:i/>
          <w:iCs/>
        </w:rPr>
        <w:t>The percentage of patients with a new diagnosis of CKD stage G3a-G5 (on the register, within the preceding 12 months) who had eGFR and ACR (urine albumin to creatinine ratio) measurements recorded 90 days before or after diagnosis.</w:t>
      </w:r>
    </w:p>
    <w:p w14:paraId="28C90240" w14:textId="77777777" w:rsidR="00C50FF0" w:rsidRPr="003D5D5A" w:rsidRDefault="00C50FF0" w:rsidP="00FE12CE">
      <w:pPr>
        <w:pStyle w:val="Heading2"/>
      </w:pPr>
      <w:bookmarkStart w:id="76" w:name="_Toc102647189"/>
      <w:bookmarkStart w:id="77" w:name="_Toc103334635"/>
      <w:bookmarkStart w:id="78" w:name="_Toc103955108"/>
      <w:bookmarkStart w:id="79" w:name="_Toc103957597"/>
      <w:bookmarkStart w:id="80" w:name="_Toc108167961"/>
      <w:r>
        <w:t>Rationale</w:t>
      </w:r>
      <w:bookmarkEnd w:id="76"/>
      <w:bookmarkEnd w:id="77"/>
      <w:bookmarkEnd w:id="78"/>
      <w:bookmarkEnd w:id="79"/>
      <w:bookmarkEnd w:id="80"/>
    </w:p>
    <w:p w14:paraId="33A02D03" w14:textId="77777777" w:rsidR="00092F3F" w:rsidRDefault="00092F3F" w:rsidP="00092F3F">
      <w:pPr>
        <w:pStyle w:val="Paragraphnonumbers"/>
      </w:pPr>
      <w:r>
        <w:t>Chronic kidney disease (CKD) is a long-term condition characterised by abnormal function or structure (or both). A combination of estimated glomerular filtration rate (eGFR) and urine albumin to creatinine ratio (ACR) measurement can be used to estimate the risk of complications and can guide decisions for treatment. An increased risk of adverse outcomes in CKD is seen in people with decreased eGFR or increased ACR, or both.</w:t>
      </w:r>
    </w:p>
    <w:p w14:paraId="2E6CE402" w14:textId="77777777" w:rsidR="00C50FF0" w:rsidRPr="00780214" w:rsidRDefault="00C50FF0" w:rsidP="00FE12CE">
      <w:pPr>
        <w:pStyle w:val="Heading2"/>
      </w:pPr>
      <w:bookmarkStart w:id="81" w:name="_Toc102647190"/>
      <w:bookmarkStart w:id="82" w:name="_Toc103334636"/>
      <w:bookmarkStart w:id="83" w:name="_Toc103955109"/>
      <w:bookmarkStart w:id="84" w:name="_Toc103957598"/>
      <w:bookmarkStart w:id="85" w:name="_Toc108167962"/>
      <w:r>
        <w:t>Summary of consultation c</w:t>
      </w:r>
      <w:r w:rsidRPr="00780214">
        <w:t>omments</w:t>
      </w:r>
      <w:bookmarkEnd w:id="81"/>
      <w:bookmarkEnd w:id="82"/>
      <w:bookmarkEnd w:id="83"/>
      <w:bookmarkEnd w:id="84"/>
      <w:bookmarkEnd w:id="85"/>
    </w:p>
    <w:p w14:paraId="279F5D5B" w14:textId="09CD702F" w:rsidR="00182B45" w:rsidRDefault="00092F3F" w:rsidP="00C50FF0">
      <w:pPr>
        <w:pStyle w:val="Paragraph"/>
        <w:rPr>
          <w:rFonts w:cs="Arial"/>
        </w:rPr>
      </w:pPr>
      <w:r>
        <w:rPr>
          <w:rFonts w:cs="Arial"/>
        </w:rPr>
        <w:t>Stakeholders supported this indicator. They note</w:t>
      </w:r>
      <w:r w:rsidR="006A762E">
        <w:rPr>
          <w:rFonts w:cs="Arial"/>
        </w:rPr>
        <w:t>d</w:t>
      </w:r>
      <w:r>
        <w:rPr>
          <w:rFonts w:cs="Arial"/>
        </w:rPr>
        <w:t xml:space="preserve"> the importance of ACR testing to support identification of </w:t>
      </w:r>
      <w:r w:rsidR="00182B45">
        <w:rPr>
          <w:rFonts w:cs="Arial"/>
        </w:rPr>
        <w:t xml:space="preserve">risk of adverse outcomes including </w:t>
      </w:r>
      <w:r>
        <w:rPr>
          <w:rFonts w:cs="Arial"/>
        </w:rPr>
        <w:t>cardiovascular risk</w:t>
      </w:r>
      <w:r w:rsidR="00182B45">
        <w:rPr>
          <w:rFonts w:cs="Arial"/>
        </w:rPr>
        <w:t xml:space="preserve"> to allow for risk stratification</w:t>
      </w:r>
      <w:r>
        <w:rPr>
          <w:rFonts w:cs="Arial"/>
        </w:rPr>
        <w:t>.</w:t>
      </w:r>
      <w:r w:rsidR="00182B45">
        <w:rPr>
          <w:rFonts w:cs="Arial"/>
        </w:rPr>
        <w:t xml:space="preserve"> They note</w:t>
      </w:r>
      <w:r w:rsidR="006A762E">
        <w:rPr>
          <w:rFonts w:cs="Arial"/>
        </w:rPr>
        <w:t>d</w:t>
      </w:r>
      <w:r w:rsidR="00182B45">
        <w:rPr>
          <w:rFonts w:cs="Arial"/>
        </w:rPr>
        <w:t xml:space="preserve"> the low uptake of ACR testing reported in the national CKD audit (2017) and the national diabetes audit (2020), and the variation between CCGs. </w:t>
      </w:r>
      <w:r w:rsidR="00DB2A48">
        <w:rPr>
          <w:rFonts w:cs="Arial"/>
        </w:rPr>
        <w:t xml:space="preserve">However, stakeholders noted that the focus on CKD stage G3a to G5 will miss opportunities for prevention of progression. </w:t>
      </w:r>
    </w:p>
    <w:p w14:paraId="2273E2D1" w14:textId="479C9FFF" w:rsidR="00C50FF0" w:rsidRDefault="00182B45" w:rsidP="00C50FF0">
      <w:pPr>
        <w:pStyle w:val="Paragraph"/>
      </w:pPr>
      <w:r>
        <w:rPr>
          <w:rFonts w:cs="Arial"/>
        </w:rPr>
        <w:t>They commented on barriers to urine ACR testing including lack of clarity on the need for testing, limited treatment options for albuminuria and patient reluctance to provide urine samples. These could be overcome by education on importance of testing and the potential treatment options available. Other stakeholders commented that people who decline or fail to return a urine test should be excluded from this indicator.</w:t>
      </w:r>
    </w:p>
    <w:p w14:paraId="52D12758" w14:textId="057DACB2" w:rsidR="00C50FF0" w:rsidRPr="00E8632C" w:rsidRDefault="00C50FF0" w:rsidP="00FE12CE">
      <w:pPr>
        <w:pStyle w:val="Heading2"/>
      </w:pPr>
      <w:bookmarkStart w:id="86" w:name="_Toc102647191"/>
      <w:bookmarkStart w:id="87" w:name="_Toc103334637"/>
      <w:bookmarkStart w:id="88" w:name="_Toc103955110"/>
      <w:bookmarkStart w:id="89" w:name="_Toc103957599"/>
      <w:bookmarkStart w:id="90" w:name="_Toc108167963"/>
      <w:r w:rsidRPr="00E8632C">
        <w:t xml:space="preserve">Specific </w:t>
      </w:r>
      <w:r>
        <w:t>questions</w:t>
      </w:r>
      <w:r w:rsidRPr="00E8632C">
        <w:t xml:space="preserve"> </w:t>
      </w:r>
      <w:r w:rsidR="00AB09A9">
        <w:t>included at</w:t>
      </w:r>
      <w:r w:rsidRPr="00E8632C">
        <w:t xml:space="preserve"> consultation</w:t>
      </w:r>
      <w:bookmarkEnd w:id="86"/>
      <w:bookmarkEnd w:id="87"/>
      <w:bookmarkEnd w:id="88"/>
      <w:bookmarkEnd w:id="89"/>
      <w:bookmarkEnd w:id="90"/>
    </w:p>
    <w:p w14:paraId="5A361827" w14:textId="515CE1DE" w:rsidR="00C50FF0" w:rsidRDefault="00092F3F" w:rsidP="00182B45">
      <w:pPr>
        <w:pStyle w:val="Paragraph"/>
      </w:pPr>
      <w:r w:rsidRPr="00092F3F">
        <w:t>We propose a timeframe of measurement 90 days before or after diagnosis. This is to align with other indicators on the NICE menu. Is this an appropriate and feasible timeframe for measurement before or after diagnosis?</w:t>
      </w:r>
    </w:p>
    <w:p w14:paraId="69247858" w14:textId="77777777" w:rsidR="00E96479" w:rsidRDefault="00032DE1" w:rsidP="00E96479">
      <w:pPr>
        <w:pStyle w:val="Paragraph"/>
      </w:pPr>
      <w:r w:rsidRPr="00E96479">
        <w:t>There</w:t>
      </w:r>
      <w:r>
        <w:t xml:space="preserve"> was a mixed response to this question. </w:t>
      </w:r>
    </w:p>
    <w:p w14:paraId="560B7305" w14:textId="77777777" w:rsidR="00E96479" w:rsidRDefault="00032DE1" w:rsidP="00DE1965">
      <w:pPr>
        <w:pStyle w:val="Bullets"/>
      </w:pPr>
      <w:r>
        <w:t>Stakeholders commented that the timeframe is appropriate and achievable, but others commented</w:t>
      </w:r>
      <w:r w:rsidR="00182B45">
        <w:t xml:space="preserve"> that 90 days “seems an arbitrary number” and </w:t>
      </w:r>
      <w:r w:rsidR="00EC0481">
        <w:t>has</w:t>
      </w:r>
      <w:r w:rsidR="00182B45">
        <w:t xml:space="preserve"> workload implications.</w:t>
      </w:r>
      <w:r>
        <w:t xml:space="preserve"> </w:t>
      </w:r>
    </w:p>
    <w:p w14:paraId="0661616C" w14:textId="60E327E0" w:rsidR="00E96479" w:rsidRDefault="00032DE1" w:rsidP="00DE1965">
      <w:pPr>
        <w:pStyle w:val="Bullets"/>
      </w:pPr>
      <w:r>
        <w:t>Stakeholders commented that t</w:t>
      </w:r>
      <w:r w:rsidRPr="00032DE1">
        <w:t xml:space="preserve">he repeat test at 90 days may miss progressive disease. </w:t>
      </w:r>
      <w:r>
        <w:t>They s</w:t>
      </w:r>
      <w:r w:rsidRPr="00032DE1">
        <w:t xml:space="preserve">uggest measurement within 30 days to confirm CKD and allow timely management. </w:t>
      </w:r>
    </w:p>
    <w:p w14:paraId="0B40679D" w14:textId="47BBB025" w:rsidR="00032DE1" w:rsidRPr="00032DE1" w:rsidRDefault="00032DE1" w:rsidP="00DE1965">
      <w:pPr>
        <w:pStyle w:val="Bullets"/>
      </w:pPr>
      <w:r w:rsidRPr="00032DE1">
        <w:lastRenderedPageBreak/>
        <w:t xml:space="preserve">Three measurements would allow the estimation of slope creatinine and identify those with greater than 3ml/min annual fall in eGFR. </w:t>
      </w:r>
    </w:p>
    <w:p w14:paraId="67AA8FE6" w14:textId="5AE60558" w:rsidR="00C50FF0" w:rsidRPr="00565745" w:rsidRDefault="00C50FF0" w:rsidP="00FE12CE">
      <w:pPr>
        <w:pStyle w:val="Heading2"/>
      </w:pPr>
      <w:bookmarkStart w:id="91" w:name="_Toc102647192"/>
      <w:bookmarkStart w:id="92" w:name="_Toc103334638"/>
      <w:bookmarkStart w:id="93" w:name="_Toc103955111"/>
      <w:bookmarkStart w:id="94" w:name="_Toc103957600"/>
      <w:bookmarkStart w:id="95" w:name="_Toc108167964"/>
      <w:r w:rsidRPr="00565745">
        <w:t xml:space="preserve">Considerations for the </w:t>
      </w:r>
      <w:r w:rsidR="003C3023">
        <w:t>a</w:t>
      </w:r>
      <w:r w:rsidRPr="00565745">
        <w:t xml:space="preserve">dvisory </w:t>
      </w:r>
      <w:r w:rsidR="003C3023">
        <w:t>c</w:t>
      </w:r>
      <w:r w:rsidRPr="00565745">
        <w:t>ommittee</w:t>
      </w:r>
      <w:bookmarkEnd w:id="91"/>
      <w:bookmarkEnd w:id="92"/>
      <w:bookmarkEnd w:id="93"/>
      <w:bookmarkEnd w:id="94"/>
      <w:bookmarkEnd w:id="95"/>
    </w:p>
    <w:p w14:paraId="155F5F72" w14:textId="77777777" w:rsidR="00C50FF0" w:rsidRDefault="00C50FF0" w:rsidP="00C50FF0">
      <w:pPr>
        <w:pStyle w:val="Paragraphnonumbers"/>
      </w:pPr>
      <w:r>
        <w:t>The c</w:t>
      </w:r>
      <w:r w:rsidRPr="00241410">
        <w:t>ommittee is asked to consider:</w:t>
      </w:r>
    </w:p>
    <w:p w14:paraId="386C701F" w14:textId="77777777" w:rsidR="00DB2A48" w:rsidRDefault="00DB2A48" w:rsidP="00DE1965">
      <w:pPr>
        <w:pStyle w:val="Bullets"/>
      </w:pPr>
      <w:r>
        <w:t>If the indicator should include people with CKD stages 1 and 2.</w:t>
      </w:r>
    </w:p>
    <w:p w14:paraId="06DD59AE" w14:textId="5E95EB30" w:rsidR="00C50FF0" w:rsidRPr="00A74615" w:rsidRDefault="003372C0" w:rsidP="00DE1965">
      <w:pPr>
        <w:pStyle w:val="Bullets"/>
      </w:pPr>
      <w:r w:rsidRPr="00A74615">
        <w:t>Is</w:t>
      </w:r>
      <w:r w:rsidR="00F6545B" w:rsidRPr="00A74615">
        <w:t xml:space="preserve"> the </w:t>
      </w:r>
      <w:r w:rsidR="000968F3" w:rsidRPr="00A74615">
        <w:t>timeframe of 90 days before or after diagnosis</w:t>
      </w:r>
      <w:r w:rsidR="00F6545B" w:rsidRPr="00A74615">
        <w:t xml:space="preserve"> </w:t>
      </w:r>
      <w:r w:rsidRPr="00A74615">
        <w:t>appropriate and achievable?</w:t>
      </w:r>
    </w:p>
    <w:p w14:paraId="2BCE22AB" w14:textId="7CBA3A96" w:rsidR="000140FD" w:rsidRPr="00A74615" w:rsidRDefault="003372C0" w:rsidP="00DE1965">
      <w:pPr>
        <w:pStyle w:val="Bullets"/>
      </w:pPr>
      <w:r w:rsidRPr="00A74615">
        <w:t>What would be the impact of the highlighted b</w:t>
      </w:r>
      <w:r w:rsidR="000140FD" w:rsidRPr="00A74615">
        <w:t xml:space="preserve">arriers </w:t>
      </w:r>
      <w:r w:rsidRPr="00A74615">
        <w:t xml:space="preserve">that are </w:t>
      </w:r>
      <w:r w:rsidR="000140FD" w:rsidRPr="00A74615">
        <w:t xml:space="preserve">associated with urinary ACR </w:t>
      </w:r>
      <w:r w:rsidR="00A74615" w:rsidRPr="00A74615">
        <w:t>testing?</w:t>
      </w:r>
    </w:p>
    <w:p w14:paraId="226FF563" w14:textId="3440CD29" w:rsidR="00E96479" w:rsidRPr="000968F3" w:rsidRDefault="003372C0" w:rsidP="00DE1965">
      <w:pPr>
        <w:pStyle w:val="Bullets"/>
        <w:rPr>
          <w:b/>
          <w:bCs/>
          <w:kern w:val="32"/>
          <w:sz w:val="28"/>
          <w:szCs w:val="32"/>
        </w:rPr>
      </w:pPr>
      <w:r>
        <w:t>Is</w:t>
      </w:r>
      <w:r w:rsidR="00E96479">
        <w:t xml:space="preserve"> this </w:t>
      </w:r>
      <w:r w:rsidR="00F6545B">
        <w:t xml:space="preserve">indicator </w:t>
      </w:r>
      <w:r w:rsidR="00E96479">
        <w:t>suitable for inclusion in QOF</w:t>
      </w:r>
      <w:r w:rsidR="00F6545B">
        <w:t>, based on the estimated patient numbers for the denominator</w:t>
      </w:r>
      <w:r>
        <w:t>?</w:t>
      </w:r>
      <w:r w:rsidR="00E96479">
        <w:t xml:space="preserve"> </w:t>
      </w:r>
      <w:hyperlink r:id="rId14" w:history="1">
        <w:r w:rsidR="00E96479" w:rsidRPr="000968F3">
          <w:rPr>
            <w:rStyle w:val="Hyperlink"/>
          </w:rPr>
          <w:t>CVD</w:t>
        </w:r>
        <w:r w:rsidR="00056978">
          <w:rPr>
            <w:rStyle w:val="Hyperlink"/>
          </w:rPr>
          <w:t xml:space="preserve"> </w:t>
        </w:r>
        <w:r w:rsidR="00E96479" w:rsidRPr="000968F3">
          <w:rPr>
            <w:rStyle w:val="Hyperlink"/>
          </w:rPr>
          <w:t>Prevent audit</w:t>
        </w:r>
      </w:hyperlink>
      <w:r w:rsidR="00E96479">
        <w:t xml:space="preserve"> data suggests approximately 18 to 21 patients per practice in 2020 to 2021 (approximately 115,000 new cases in 2020 to 2021). This is based on their dataset showing n</w:t>
      </w:r>
      <w:r w:rsidR="00E96479" w:rsidRPr="000968F3">
        <w:t xml:space="preserve">umber of new cases of CKD recorded on GP systems by month </w:t>
      </w:r>
      <w:r w:rsidR="00E96479">
        <w:t xml:space="preserve">and estimated </w:t>
      </w:r>
      <w:r w:rsidR="00E96479" w:rsidRPr="000968F3">
        <w:t>94% coverage</w:t>
      </w:r>
      <w:r w:rsidR="00E96479">
        <w:t xml:space="preserve">. </w:t>
      </w:r>
      <w:r w:rsidR="00E96479" w:rsidRPr="000968F3">
        <w:t xml:space="preserve">Actual analytical coverage may be 79%. </w:t>
      </w:r>
    </w:p>
    <w:p w14:paraId="13B85A61" w14:textId="77777777" w:rsidR="00E96479" w:rsidRPr="005243EC" w:rsidRDefault="00E96479" w:rsidP="00E96479">
      <w:pPr>
        <w:pStyle w:val="Bulletleft1last"/>
        <w:numPr>
          <w:ilvl w:val="0"/>
          <w:numId w:val="0"/>
        </w:numPr>
        <w:ind w:left="284"/>
        <w:rPr>
          <w:b/>
          <w:bCs/>
          <w:kern w:val="32"/>
          <w:sz w:val="28"/>
          <w:szCs w:val="32"/>
        </w:rPr>
      </w:pPr>
    </w:p>
    <w:p w14:paraId="780BACC1" w14:textId="77777777" w:rsidR="00092F3F" w:rsidRDefault="00092F3F" w:rsidP="005243EC">
      <w:pPr>
        <w:rPr>
          <w:sz w:val="28"/>
          <w:szCs w:val="28"/>
        </w:rPr>
      </w:pPr>
    </w:p>
    <w:p w14:paraId="54270894" w14:textId="77777777" w:rsidR="00032DE1" w:rsidRDefault="00032DE1">
      <w:pPr>
        <w:rPr>
          <w:rFonts w:ascii="Arial" w:hAnsi="Arial"/>
          <w:b/>
          <w:bCs/>
          <w:kern w:val="32"/>
          <w:sz w:val="28"/>
          <w:szCs w:val="32"/>
        </w:rPr>
      </w:pPr>
      <w:r>
        <w:br w:type="page"/>
      </w:r>
    </w:p>
    <w:p w14:paraId="72EF6CCF" w14:textId="7B64A559" w:rsidR="00092F3F" w:rsidRPr="00E8632C" w:rsidRDefault="00032DE1" w:rsidP="00092F3F">
      <w:pPr>
        <w:pStyle w:val="Heading1"/>
      </w:pPr>
      <w:bookmarkStart w:id="96" w:name="_Toc108167965"/>
      <w:r>
        <w:lastRenderedPageBreak/>
        <w:t>IND2021-121: blood pressure target when ACR is less than 70 mg/mmol</w:t>
      </w:r>
      <w:bookmarkEnd w:id="96"/>
      <w:r w:rsidR="00092F3F">
        <w:t xml:space="preserve"> </w:t>
      </w:r>
    </w:p>
    <w:p w14:paraId="662E3569" w14:textId="3AC31243" w:rsidR="00092F3F" w:rsidRPr="00DE1965" w:rsidRDefault="00032DE1" w:rsidP="001A173A">
      <w:pPr>
        <w:pStyle w:val="Paragraph"/>
        <w:rPr>
          <w:i/>
          <w:iCs/>
        </w:rPr>
      </w:pPr>
      <w:r w:rsidRPr="00DE1965">
        <w:rPr>
          <w:i/>
          <w:iCs/>
        </w:rPr>
        <w:t>The percentage of patients with CKD on the register and with an ACR of less than 70 mg/mmol, without moderate or severe frailty, in whom the last blood pressure reading (measured in the preceding 12 months) is less than 140/90 mmHg.</w:t>
      </w:r>
    </w:p>
    <w:p w14:paraId="15C3F2DC" w14:textId="77777777" w:rsidR="00092F3F" w:rsidRPr="003D5D5A" w:rsidRDefault="00092F3F" w:rsidP="00092F3F">
      <w:pPr>
        <w:pStyle w:val="Heading2"/>
      </w:pPr>
      <w:bookmarkStart w:id="97" w:name="_Toc102647194"/>
      <w:bookmarkStart w:id="98" w:name="_Toc103334640"/>
      <w:bookmarkStart w:id="99" w:name="_Toc103955113"/>
      <w:bookmarkStart w:id="100" w:name="_Toc103957602"/>
      <w:bookmarkStart w:id="101" w:name="_Toc108167966"/>
      <w:r>
        <w:t>Rationale</w:t>
      </w:r>
      <w:bookmarkEnd w:id="97"/>
      <w:bookmarkEnd w:id="98"/>
      <w:bookmarkEnd w:id="99"/>
      <w:bookmarkEnd w:id="100"/>
      <w:bookmarkEnd w:id="101"/>
    </w:p>
    <w:p w14:paraId="23DB2465" w14:textId="77777777" w:rsidR="00032DE1" w:rsidRPr="00225BB4" w:rsidRDefault="00032DE1" w:rsidP="00A74615">
      <w:pPr>
        <w:pStyle w:val="Paragraph"/>
      </w:pPr>
      <w:r w:rsidRPr="00E96479">
        <w:t>Chronic kidney disease (CKD) is a long-term condition characterised by abnormal function or structure (or both). Optimal blood pressure control can slow progres</w:t>
      </w:r>
      <w:r w:rsidRPr="00225BB4">
        <w:t>sion of CKD and reduce the risk of cardiovascular disease. A focus on people without moderate or severe frailty allows for an individualised management approach that adjusts care according to frailty status.</w:t>
      </w:r>
    </w:p>
    <w:p w14:paraId="12A64410" w14:textId="77777777" w:rsidR="00092F3F" w:rsidRPr="00780214" w:rsidRDefault="00092F3F" w:rsidP="00092F3F">
      <w:pPr>
        <w:pStyle w:val="Heading2"/>
      </w:pPr>
      <w:bookmarkStart w:id="102" w:name="_Toc102647195"/>
      <w:bookmarkStart w:id="103" w:name="_Toc103334641"/>
      <w:bookmarkStart w:id="104" w:name="_Toc103955114"/>
      <w:bookmarkStart w:id="105" w:name="_Toc103957603"/>
      <w:bookmarkStart w:id="106" w:name="_Toc108167967"/>
      <w:r>
        <w:t>Summary of consultation c</w:t>
      </w:r>
      <w:r w:rsidRPr="00780214">
        <w:t>omments</w:t>
      </w:r>
      <w:bookmarkEnd w:id="102"/>
      <w:bookmarkEnd w:id="103"/>
      <w:bookmarkEnd w:id="104"/>
      <w:bookmarkEnd w:id="105"/>
      <w:bookmarkEnd w:id="106"/>
    </w:p>
    <w:p w14:paraId="2CB3D357" w14:textId="77777777" w:rsidR="00E96479" w:rsidRDefault="00751036" w:rsidP="00092F3F">
      <w:pPr>
        <w:pStyle w:val="Paragraph"/>
        <w:rPr>
          <w:rFonts w:cs="Arial"/>
        </w:rPr>
      </w:pPr>
      <w:r>
        <w:rPr>
          <w:rFonts w:cs="Arial"/>
        </w:rPr>
        <w:t>Stakeholders queried the blood pressure cut-off used in this indicator</w:t>
      </w:r>
      <w:r w:rsidR="00E96479">
        <w:rPr>
          <w:rFonts w:cs="Arial"/>
        </w:rPr>
        <w:t>.</w:t>
      </w:r>
    </w:p>
    <w:p w14:paraId="01C6C1B0" w14:textId="4101245A" w:rsidR="00E96479" w:rsidRDefault="00E96479" w:rsidP="00DE1965">
      <w:pPr>
        <w:pStyle w:val="Bullets"/>
      </w:pPr>
      <w:r>
        <w:t>They</w:t>
      </w:r>
      <w:r w:rsidR="00751036">
        <w:t xml:space="preserve"> not</w:t>
      </w:r>
      <w:r>
        <w:t>ed</w:t>
      </w:r>
      <w:r w:rsidR="00751036">
        <w:t xml:space="preserve"> the NICE cut-off varies from that used elsewhere</w:t>
      </w:r>
      <w:r>
        <w:t>.</w:t>
      </w:r>
      <w:r w:rsidRPr="00E96479">
        <w:t xml:space="preserve"> </w:t>
      </w:r>
    </w:p>
    <w:p w14:paraId="6E20FBC0" w14:textId="09F26956" w:rsidR="00E96479" w:rsidRDefault="00E96479" w:rsidP="00DE1965">
      <w:pPr>
        <w:pStyle w:val="Bullets"/>
      </w:pPr>
      <w:r>
        <w:t>Stakeholders also highlighted better outcomes associated with lower blood pressure targets (less than 130/80 mmHg) in people with ACR more than 30 mg/mmol.</w:t>
      </w:r>
      <w:r w:rsidR="00F6545B" w:rsidRPr="00F6545B">
        <w:t xml:space="preserve"> </w:t>
      </w:r>
    </w:p>
    <w:p w14:paraId="34F51B24" w14:textId="599DDDAD" w:rsidR="00E96479" w:rsidRPr="00E96479" w:rsidRDefault="00E96479" w:rsidP="00F6545B">
      <w:pPr>
        <w:pStyle w:val="Paragraph"/>
      </w:pPr>
      <w:r w:rsidRPr="00E96479">
        <w:t>Stakeholders queried</w:t>
      </w:r>
      <w:r>
        <w:t xml:space="preserve"> the</w:t>
      </w:r>
      <w:r w:rsidRPr="00E96479">
        <w:t xml:space="preserve"> ACR cut-off used in this indicator</w:t>
      </w:r>
      <w:r>
        <w:t xml:space="preserve"> and questioned whether the indicator should </w:t>
      </w:r>
      <w:r w:rsidR="00F6545B">
        <w:t xml:space="preserve">instead </w:t>
      </w:r>
      <w:r>
        <w:t>focus on significant proteinuria greater than 70 mg/mmol</w:t>
      </w:r>
      <w:r w:rsidRPr="00E96479">
        <w:t>.</w:t>
      </w:r>
    </w:p>
    <w:p w14:paraId="4FEF2BB3" w14:textId="5B8BEACB" w:rsidR="00092F3F" w:rsidRPr="00E8632C" w:rsidRDefault="00092F3F" w:rsidP="00092F3F">
      <w:pPr>
        <w:pStyle w:val="Heading2"/>
      </w:pPr>
      <w:bookmarkStart w:id="107" w:name="_Toc102647196"/>
      <w:bookmarkStart w:id="108" w:name="_Toc103334642"/>
      <w:bookmarkStart w:id="109" w:name="_Toc103955115"/>
      <w:bookmarkStart w:id="110" w:name="_Toc103957604"/>
      <w:bookmarkStart w:id="111" w:name="_Toc108167968"/>
      <w:r w:rsidRPr="00E8632C">
        <w:t xml:space="preserve">Specific </w:t>
      </w:r>
      <w:r>
        <w:t>questions</w:t>
      </w:r>
      <w:r w:rsidRPr="00E8632C">
        <w:t xml:space="preserve"> </w:t>
      </w:r>
      <w:r>
        <w:t>included at</w:t>
      </w:r>
      <w:r w:rsidRPr="00E8632C">
        <w:t xml:space="preserve"> consultation</w:t>
      </w:r>
      <w:bookmarkEnd w:id="107"/>
      <w:bookmarkEnd w:id="108"/>
      <w:bookmarkEnd w:id="109"/>
      <w:bookmarkEnd w:id="110"/>
      <w:bookmarkEnd w:id="111"/>
    </w:p>
    <w:p w14:paraId="45B30050" w14:textId="39928430" w:rsidR="00092F3F" w:rsidRDefault="008112BE" w:rsidP="008112BE">
      <w:pPr>
        <w:pStyle w:val="Paragraph"/>
      </w:pPr>
      <w:r w:rsidRPr="008112BE">
        <w:t xml:space="preserve">The proposed indicator takes an individualised management approach that adjusts care according to frailty status. This is based on previous work for indicators on diabetes (see NICE menu indicator NM159). Is this approach appropriate in management of CKD?  </w:t>
      </w:r>
    </w:p>
    <w:p w14:paraId="7F1FDB78" w14:textId="77669257" w:rsidR="00092F3F" w:rsidRDefault="008112BE" w:rsidP="001A173A">
      <w:pPr>
        <w:pStyle w:val="Bullets"/>
      </w:pPr>
      <w:r>
        <w:t xml:space="preserve">Stakeholders supported an </w:t>
      </w:r>
      <w:r w:rsidRPr="008112BE">
        <w:t>individualised</w:t>
      </w:r>
      <w:r>
        <w:t xml:space="preserve"> approach. </w:t>
      </w:r>
    </w:p>
    <w:p w14:paraId="46C72D0F" w14:textId="15BB7D30" w:rsidR="008112BE" w:rsidRDefault="008112BE" w:rsidP="008112BE">
      <w:pPr>
        <w:pStyle w:val="Paragraph"/>
      </w:pPr>
      <w:r w:rsidRPr="008112BE">
        <w:t>NICE is attempting to quantify the denominator size for this indicator as there should be more than 20 patients per average practice for an indicator to be suitable for use in the QOF. Are you aware of any data that would assist us in estimating the number of patients at practice level?</w:t>
      </w:r>
    </w:p>
    <w:p w14:paraId="0A132F15" w14:textId="77777777" w:rsidR="00A74615" w:rsidRDefault="0035532A" w:rsidP="001A173A">
      <w:pPr>
        <w:pStyle w:val="Bullets"/>
        <w:rPr>
          <w:b/>
          <w:bCs/>
          <w:i/>
          <w:iCs/>
        </w:rPr>
      </w:pPr>
      <w:r>
        <w:t>Stakeholders suggested small patient numbers for this indicator.</w:t>
      </w:r>
      <w:bookmarkStart w:id="112" w:name="_Toc102647197"/>
      <w:bookmarkStart w:id="113" w:name="_Toc103334643"/>
    </w:p>
    <w:p w14:paraId="043385B4" w14:textId="46BADF3E" w:rsidR="00092F3F" w:rsidRPr="00565745" w:rsidRDefault="00092F3F" w:rsidP="00092F3F">
      <w:pPr>
        <w:pStyle w:val="Heading2"/>
      </w:pPr>
      <w:bookmarkStart w:id="114" w:name="_Toc103955116"/>
      <w:bookmarkStart w:id="115" w:name="_Toc103957605"/>
      <w:bookmarkStart w:id="116" w:name="_Toc108167969"/>
      <w:r w:rsidRPr="00565745">
        <w:t xml:space="preserve">Considerations for the </w:t>
      </w:r>
      <w:r>
        <w:t>a</w:t>
      </w:r>
      <w:r w:rsidRPr="00565745">
        <w:t xml:space="preserve">dvisory </w:t>
      </w:r>
      <w:r>
        <w:t>c</w:t>
      </w:r>
      <w:r w:rsidRPr="00565745">
        <w:t>ommittee</w:t>
      </w:r>
      <w:bookmarkEnd w:id="112"/>
      <w:bookmarkEnd w:id="113"/>
      <w:bookmarkEnd w:id="114"/>
      <w:bookmarkEnd w:id="115"/>
      <w:bookmarkEnd w:id="116"/>
    </w:p>
    <w:p w14:paraId="479D0EA6" w14:textId="77777777" w:rsidR="00092F3F" w:rsidRDefault="00092F3F" w:rsidP="00092F3F">
      <w:pPr>
        <w:pStyle w:val="Paragraphnonumbers"/>
      </w:pPr>
      <w:r>
        <w:t>The c</w:t>
      </w:r>
      <w:r w:rsidRPr="00241410">
        <w:t>ommittee is asked to consider:</w:t>
      </w:r>
    </w:p>
    <w:p w14:paraId="6F47E259" w14:textId="161393FA" w:rsidR="00092F3F" w:rsidRPr="00A74615" w:rsidRDefault="00F37E7F" w:rsidP="00DE1965">
      <w:pPr>
        <w:pStyle w:val="Bullets"/>
      </w:pPr>
      <w:r w:rsidRPr="00A74615">
        <w:lastRenderedPageBreak/>
        <w:t xml:space="preserve">Would </w:t>
      </w:r>
      <w:r w:rsidR="003C207A" w:rsidRPr="00A74615">
        <w:t>there be improved outcomes</w:t>
      </w:r>
      <w:r w:rsidR="00225BB4" w:rsidRPr="00A74615">
        <w:t xml:space="preserve"> as a consequence of</w:t>
      </w:r>
      <w:r w:rsidR="00225BB4" w:rsidRPr="00E249E4">
        <w:t xml:space="preserve"> </w:t>
      </w:r>
      <w:r w:rsidR="003C207A" w:rsidRPr="00E249E4">
        <w:t>this indicator or would a focus on patients with an ACR of</w:t>
      </w:r>
      <w:r w:rsidR="0073299E" w:rsidRPr="00E249E4">
        <w:t xml:space="preserve"> 70 mg/mmol or more</w:t>
      </w:r>
      <w:r w:rsidR="00225BB4" w:rsidRPr="00A74615">
        <w:t xml:space="preserve"> offer better outcomes?</w:t>
      </w:r>
      <w:r w:rsidR="00A74615" w:rsidRPr="00A74615">
        <w:t xml:space="preserve"> Note the presence of current NICE menu in</w:t>
      </w:r>
      <w:r w:rsidR="00A74615" w:rsidRPr="00E249E4">
        <w:t>dicator NM117 which measures the percentage of patients on the CKD register in whom the last blood pressure reading is 140/90 mmHg or less.</w:t>
      </w:r>
    </w:p>
    <w:p w14:paraId="6B6C47C2" w14:textId="25ADD7B3" w:rsidR="00F37E7F" w:rsidRPr="00A74615" w:rsidRDefault="003372C0" w:rsidP="00DE1965">
      <w:pPr>
        <w:pStyle w:val="Bullets"/>
      </w:pPr>
      <w:r w:rsidRPr="00A74615">
        <w:t>Are there</w:t>
      </w:r>
      <w:r w:rsidR="00F37E7F" w:rsidRPr="00A74615">
        <w:t xml:space="preserve"> potential unintended consequences for people who would benefit from tighter blood pressure control</w:t>
      </w:r>
      <w:r w:rsidRPr="00A74615">
        <w:t>?</w:t>
      </w:r>
      <w:r w:rsidR="00F37E7F" w:rsidRPr="00A74615">
        <w:t xml:space="preserve"> </w:t>
      </w:r>
      <w:r w:rsidRPr="00A74615">
        <w:t>The</w:t>
      </w:r>
      <w:r w:rsidR="00F37E7F" w:rsidRPr="00A74615">
        <w:t xml:space="preserve"> indicator is based on NICE recommendations.</w:t>
      </w:r>
    </w:p>
    <w:p w14:paraId="1F2B2E4A" w14:textId="2E1CB214" w:rsidR="00F6545B" w:rsidRPr="000968F3" w:rsidRDefault="003372C0" w:rsidP="00DE1965">
      <w:pPr>
        <w:pStyle w:val="Bullets"/>
        <w:rPr>
          <w:b/>
          <w:bCs/>
          <w:kern w:val="32"/>
          <w:sz w:val="28"/>
          <w:szCs w:val="32"/>
        </w:rPr>
      </w:pPr>
      <w:r>
        <w:t>Is</w:t>
      </w:r>
      <w:r w:rsidR="00F6545B">
        <w:t xml:space="preserve"> this indicator suitable for inclusion in QOF</w:t>
      </w:r>
      <w:r>
        <w:t xml:space="preserve">? We were unable to find data to estimate patient numbers.  </w:t>
      </w:r>
      <w:r w:rsidR="00F6545B" w:rsidRPr="000968F3">
        <w:t xml:space="preserve"> </w:t>
      </w:r>
    </w:p>
    <w:p w14:paraId="498219F8" w14:textId="77777777" w:rsidR="00F6545B" w:rsidRPr="005243EC" w:rsidRDefault="00F6545B" w:rsidP="00F6545B">
      <w:pPr>
        <w:pStyle w:val="ListParagraph"/>
        <w:ind w:left="360"/>
        <w:rPr>
          <w:rFonts w:ascii="Arial" w:hAnsi="Arial"/>
          <w:b/>
          <w:bCs/>
          <w:kern w:val="32"/>
          <w:sz w:val="28"/>
          <w:szCs w:val="32"/>
        </w:rPr>
      </w:pPr>
    </w:p>
    <w:p w14:paraId="3479388A" w14:textId="442FC7AA" w:rsidR="005243EC" w:rsidRDefault="005243EC" w:rsidP="005243EC">
      <w:pPr>
        <w:rPr>
          <w:rFonts w:ascii="Arial" w:hAnsi="Arial"/>
          <w:b/>
          <w:bCs/>
          <w:sz w:val="28"/>
          <w:szCs w:val="28"/>
        </w:rPr>
      </w:pPr>
      <w:r>
        <w:rPr>
          <w:sz w:val="28"/>
          <w:szCs w:val="28"/>
        </w:rPr>
        <w:br w:type="page"/>
      </w:r>
    </w:p>
    <w:p w14:paraId="166E5755" w14:textId="77777777" w:rsidR="008E56A4" w:rsidRDefault="008E56A4" w:rsidP="00C130C8">
      <w:pPr>
        <w:pStyle w:val="Heading1"/>
        <w:sectPr w:rsidR="008E56A4" w:rsidSect="009F1902">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09" w:footer="709" w:gutter="0"/>
          <w:pgNumType w:chapStyle="1"/>
          <w:cols w:space="708"/>
          <w:docGrid w:linePitch="360"/>
        </w:sectPr>
      </w:pPr>
    </w:p>
    <w:p w14:paraId="6FD71D8E" w14:textId="1BD54166" w:rsidR="00C130C8" w:rsidRDefault="00C130C8" w:rsidP="00C130C8">
      <w:pPr>
        <w:pStyle w:val="Heading1"/>
      </w:pPr>
      <w:bookmarkStart w:id="117" w:name="_Toc108167970"/>
      <w:r>
        <w:lastRenderedPageBreak/>
        <w:t>Appendix</w:t>
      </w:r>
      <w:r w:rsidR="000528DF">
        <w:t xml:space="preserve"> 1</w:t>
      </w:r>
      <w:r w:rsidR="00BB716A">
        <w:t>: C</w:t>
      </w:r>
      <w:r>
        <w:t>onsultation comments</w:t>
      </w:r>
      <w:bookmarkEnd w:id="117"/>
      <w:r>
        <w:t xml:space="preserve"> </w:t>
      </w:r>
    </w:p>
    <w:p w14:paraId="5F3A9ABA" w14:textId="3206EF91" w:rsidR="00C77B40" w:rsidRPr="00C77B40" w:rsidRDefault="00C77B40" w:rsidP="00982090">
      <w:pPr>
        <w:pStyle w:val="Paragraph"/>
      </w:pPr>
      <w:r w:rsidRPr="00C77B40">
        <w:t>Question 1: Do you think there are any barriers to implementing the care described by these indicators?</w:t>
      </w:r>
    </w:p>
    <w:tbl>
      <w:tblPr>
        <w:tblStyle w:val="TableGrid"/>
        <w:tblW w:w="5000" w:type="pct"/>
        <w:tblLook w:val="04A0" w:firstRow="1" w:lastRow="0" w:firstColumn="1" w:lastColumn="0" w:noHBand="0" w:noVBand="1"/>
      </w:tblPr>
      <w:tblGrid>
        <w:gridCol w:w="494"/>
        <w:gridCol w:w="1194"/>
        <w:gridCol w:w="2857"/>
        <w:gridCol w:w="5990"/>
        <w:gridCol w:w="3415"/>
      </w:tblGrid>
      <w:tr w:rsidR="008D0EA5" w:rsidRPr="00215444" w14:paraId="2B3E895E" w14:textId="5CF15488" w:rsidTr="000528DF">
        <w:trPr>
          <w:tblHeader/>
        </w:trPr>
        <w:tc>
          <w:tcPr>
            <w:tcW w:w="177" w:type="pct"/>
            <w:noWrap/>
            <w:hideMark/>
          </w:tcPr>
          <w:p w14:paraId="2A95CE04" w14:textId="77777777" w:rsidR="008D0EA5" w:rsidRPr="00215444" w:rsidRDefault="008D0EA5" w:rsidP="00F53495">
            <w:pPr>
              <w:pStyle w:val="NICEnormal"/>
              <w:spacing w:line="240" w:lineRule="auto"/>
              <w:rPr>
                <w:rFonts w:cs="Arial"/>
                <w:b/>
                <w:sz w:val="22"/>
                <w:szCs w:val="22"/>
              </w:rPr>
            </w:pPr>
            <w:bookmarkStart w:id="118" w:name="_Hlk102638388"/>
            <w:r>
              <w:rPr>
                <w:rFonts w:cs="Arial"/>
                <w:b/>
                <w:sz w:val="22"/>
                <w:szCs w:val="22"/>
              </w:rPr>
              <w:t>ID</w:t>
            </w:r>
          </w:p>
        </w:tc>
        <w:tc>
          <w:tcPr>
            <w:tcW w:w="428" w:type="pct"/>
          </w:tcPr>
          <w:p w14:paraId="500D4BFD" w14:textId="77777777" w:rsidR="008D0EA5" w:rsidRPr="00215444" w:rsidRDefault="008D0EA5" w:rsidP="009B0897">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29290F44" w14:textId="77777777" w:rsidR="008D0EA5" w:rsidRPr="00215444" w:rsidRDefault="008D0EA5" w:rsidP="00F53495">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273B5BD4" w14:textId="77777777" w:rsidR="008D0EA5" w:rsidRPr="00215444" w:rsidRDefault="008D0EA5" w:rsidP="00352FD0">
            <w:pPr>
              <w:pStyle w:val="NICEnormal"/>
              <w:spacing w:line="240" w:lineRule="auto"/>
              <w:rPr>
                <w:rFonts w:cs="Arial"/>
                <w:b/>
                <w:sz w:val="22"/>
                <w:szCs w:val="22"/>
              </w:rPr>
            </w:pPr>
            <w:r w:rsidRPr="00215444">
              <w:rPr>
                <w:rFonts w:cs="Arial"/>
                <w:b/>
                <w:sz w:val="22"/>
                <w:szCs w:val="22"/>
              </w:rPr>
              <w:t>Comment</w:t>
            </w:r>
          </w:p>
        </w:tc>
        <w:tc>
          <w:tcPr>
            <w:tcW w:w="1224" w:type="pct"/>
          </w:tcPr>
          <w:p w14:paraId="3144DC2B" w14:textId="09151956" w:rsidR="008D0EA5" w:rsidRPr="00215444" w:rsidRDefault="000528DF" w:rsidP="00352FD0">
            <w:pPr>
              <w:pStyle w:val="NICEnormal"/>
              <w:spacing w:line="240" w:lineRule="auto"/>
              <w:rPr>
                <w:rFonts w:cs="Arial"/>
                <w:b/>
                <w:sz w:val="22"/>
                <w:szCs w:val="22"/>
              </w:rPr>
            </w:pPr>
            <w:r>
              <w:rPr>
                <w:rFonts w:cs="Arial"/>
                <w:b/>
                <w:sz w:val="22"/>
                <w:szCs w:val="22"/>
              </w:rPr>
              <w:t>NICE response</w:t>
            </w:r>
          </w:p>
        </w:tc>
      </w:tr>
      <w:tr w:rsidR="008D0EA5" w:rsidRPr="00215444" w14:paraId="20967B5B" w14:textId="0FEC1E1A" w:rsidTr="000528DF">
        <w:tc>
          <w:tcPr>
            <w:tcW w:w="177" w:type="pct"/>
            <w:hideMark/>
          </w:tcPr>
          <w:p w14:paraId="3B59A6CA" w14:textId="325BBE48" w:rsidR="008D0EA5" w:rsidRPr="005B73E7" w:rsidRDefault="008D0EA5" w:rsidP="00EE065C">
            <w:pPr>
              <w:rPr>
                <w:rFonts w:ascii="Arial" w:hAnsi="Arial" w:cs="Arial"/>
                <w:color w:val="000000"/>
                <w:sz w:val="22"/>
                <w:szCs w:val="22"/>
                <w:lang w:eastAsia="en-GB"/>
              </w:rPr>
            </w:pPr>
            <w:r>
              <w:rPr>
                <w:rFonts w:ascii="Arial" w:hAnsi="Arial" w:cs="Arial"/>
                <w:color w:val="000000"/>
                <w:sz w:val="22"/>
                <w:szCs w:val="22"/>
                <w:lang w:eastAsia="en-GB"/>
              </w:rPr>
              <w:t>01</w:t>
            </w:r>
          </w:p>
        </w:tc>
        <w:tc>
          <w:tcPr>
            <w:tcW w:w="428" w:type="pct"/>
            <w:hideMark/>
          </w:tcPr>
          <w:p w14:paraId="79607550" w14:textId="385BBEDE" w:rsidR="008D0EA5" w:rsidRPr="005B73E7" w:rsidRDefault="008D0EA5" w:rsidP="00EE065C">
            <w:pPr>
              <w:rPr>
                <w:rFonts w:ascii="Arial" w:hAnsi="Arial" w:cs="Arial"/>
                <w:color w:val="000000"/>
                <w:sz w:val="22"/>
                <w:szCs w:val="22"/>
                <w:lang w:eastAsia="en-GB"/>
              </w:rPr>
            </w:pPr>
            <w:r>
              <w:rPr>
                <w:rFonts w:ascii="Arial" w:hAnsi="Arial" w:cs="Arial"/>
                <w:sz w:val="22"/>
                <w:szCs w:val="22"/>
              </w:rPr>
              <w:t>1</w:t>
            </w:r>
          </w:p>
        </w:tc>
        <w:tc>
          <w:tcPr>
            <w:tcW w:w="1024" w:type="pct"/>
            <w:hideMark/>
          </w:tcPr>
          <w:p w14:paraId="0481676A" w14:textId="382D616C" w:rsidR="008D0EA5" w:rsidRPr="005B73E7" w:rsidRDefault="008D0EA5" w:rsidP="00EE065C">
            <w:pPr>
              <w:rPr>
                <w:rFonts w:ascii="Arial" w:hAnsi="Arial" w:cs="Arial"/>
                <w:sz w:val="22"/>
                <w:szCs w:val="22"/>
              </w:rPr>
            </w:pPr>
            <w:r>
              <w:rPr>
                <w:rFonts w:ascii="Arial" w:hAnsi="Arial" w:cs="Arial"/>
                <w:sz w:val="22"/>
                <w:szCs w:val="22"/>
              </w:rPr>
              <w:t>UK Kidney Association (UKKA)</w:t>
            </w:r>
          </w:p>
        </w:tc>
        <w:tc>
          <w:tcPr>
            <w:tcW w:w="2147" w:type="pct"/>
            <w:hideMark/>
          </w:tcPr>
          <w:p w14:paraId="73690FF7" w14:textId="458CE86D" w:rsidR="008D0EA5" w:rsidRPr="00EE065C" w:rsidRDefault="008D0EA5" w:rsidP="00EE065C">
            <w:pPr>
              <w:rPr>
                <w:rFonts w:ascii="Arial" w:hAnsi="Arial" w:cs="Arial"/>
                <w:sz w:val="22"/>
                <w:szCs w:val="22"/>
              </w:rPr>
            </w:pPr>
            <w:r w:rsidRPr="005B2876">
              <w:rPr>
                <w:rFonts w:ascii="Arial" w:hAnsi="Arial" w:cs="Arial"/>
                <w:sz w:val="22"/>
                <w:szCs w:val="22"/>
              </w:rPr>
              <w:t>Barriers to implementing the care described by these indicators? – the main limitation is the identification of patients in primary care with chronic kidney disease, especially with the ongoing challenges presented by the COVID pandemic and reduced testing capability. In addition, ACR checking is currently not optimal in primary care. Future point of care testing may assist this identification and monitoring of patients</w:t>
            </w:r>
          </w:p>
        </w:tc>
        <w:tc>
          <w:tcPr>
            <w:tcW w:w="1224" w:type="pct"/>
          </w:tcPr>
          <w:p w14:paraId="704B86B6" w14:textId="42266D7F" w:rsidR="008D0EA5" w:rsidRPr="005B2876" w:rsidRDefault="008D0EA5" w:rsidP="00EE065C">
            <w:pPr>
              <w:rPr>
                <w:rFonts w:ascii="Arial" w:hAnsi="Arial" w:cs="Arial"/>
                <w:sz w:val="22"/>
                <w:szCs w:val="22"/>
              </w:rPr>
            </w:pPr>
            <w:r>
              <w:rPr>
                <w:rFonts w:ascii="Arial" w:hAnsi="Arial" w:cs="Arial"/>
                <w:sz w:val="22"/>
                <w:szCs w:val="22"/>
              </w:rPr>
              <w:t>Thank you for your comment.</w:t>
            </w:r>
          </w:p>
        </w:tc>
      </w:tr>
    </w:tbl>
    <w:p w14:paraId="7A5184E8" w14:textId="15B8E398" w:rsidR="00C77B40" w:rsidRDefault="00C77B40" w:rsidP="00982090">
      <w:pPr>
        <w:pStyle w:val="Paragraph"/>
      </w:pPr>
      <w:r w:rsidRPr="00C77B40">
        <w:t>Question 2: Do you think there are potential unintended consequences to implementing/ using any of these indicators?</w:t>
      </w:r>
    </w:p>
    <w:tbl>
      <w:tblPr>
        <w:tblStyle w:val="TableGrid"/>
        <w:tblW w:w="5000" w:type="pct"/>
        <w:tblLook w:val="04A0" w:firstRow="1" w:lastRow="0" w:firstColumn="1" w:lastColumn="0" w:noHBand="0" w:noVBand="1"/>
      </w:tblPr>
      <w:tblGrid>
        <w:gridCol w:w="494"/>
        <w:gridCol w:w="1194"/>
        <w:gridCol w:w="2857"/>
        <w:gridCol w:w="5990"/>
        <w:gridCol w:w="3415"/>
      </w:tblGrid>
      <w:tr w:rsidR="00C77B40" w:rsidRPr="00215444" w14:paraId="1C409DAB" w14:textId="77777777" w:rsidTr="00342C38">
        <w:trPr>
          <w:tblHeader/>
        </w:trPr>
        <w:tc>
          <w:tcPr>
            <w:tcW w:w="177" w:type="pct"/>
            <w:noWrap/>
            <w:hideMark/>
          </w:tcPr>
          <w:p w14:paraId="60D94FD6" w14:textId="77777777" w:rsidR="00C77B40" w:rsidRPr="00215444" w:rsidRDefault="00C77B40" w:rsidP="00342C38">
            <w:pPr>
              <w:pStyle w:val="NICEnormal"/>
              <w:spacing w:line="240" w:lineRule="auto"/>
              <w:rPr>
                <w:rFonts w:cs="Arial"/>
                <w:b/>
                <w:sz w:val="22"/>
                <w:szCs w:val="22"/>
              </w:rPr>
            </w:pPr>
            <w:bookmarkStart w:id="119" w:name="_Hlk111457044"/>
            <w:r>
              <w:rPr>
                <w:rFonts w:cs="Arial"/>
                <w:b/>
                <w:sz w:val="22"/>
                <w:szCs w:val="22"/>
              </w:rPr>
              <w:t>ID</w:t>
            </w:r>
          </w:p>
        </w:tc>
        <w:tc>
          <w:tcPr>
            <w:tcW w:w="428" w:type="pct"/>
          </w:tcPr>
          <w:p w14:paraId="0BD8AD45" w14:textId="77777777" w:rsidR="00C77B40" w:rsidRPr="00215444" w:rsidRDefault="00C77B40"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127BF275" w14:textId="77777777" w:rsidR="00C77B40" w:rsidRPr="00215444" w:rsidRDefault="00C77B40"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3811236F" w14:textId="77777777" w:rsidR="00C77B40" w:rsidRPr="00215444" w:rsidRDefault="00C77B40"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04892442" w14:textId="77777777" w:rsidR="00C77B40" w:rsidRPr="00215444" w:rsidRDefault="00C77B40" w:rsidP="00342C38">
            <w:pPr>
              <w:pStyle w:val="NICEnormal"/>
              <w:spacing w:line="240" w:lineRule="auto"/>
              <w:rPr>
                <w:rFonts w:cs="Arial"/>
                <w:b/>
                <w:sz w:val="22"/>
                <w:szCs w:val="22"/>
              </w:rPr>
            </w:pPr>
            <w:r>
              <w:rPr>
                <w:rFonts w:cs="Arial"/>
                <w:b/>
                <w:sz w:val="22"/>
                <w:szCs w:val="22"/>
              </w:rPr>
              <w:t>NICE response</w:t>
            </w:r>
          </w:p>
        </w:tc>
      </w:tr>
      <w:bookmarkEnd w:id="119"/>
      <w:tr w:rsidR="008D0EA5" w:rsidRPr="00215444" w14:paraId="2C6879B2" w14:textId="06596B0B" w:rsidTr="000528DF">
        <w:tc>
          <w:tcPr>
            <w:tcW w:w="177" w:type="pct"/>
          </w:tcPr>
          <w:p w14:paraId="693849B7" w14:textId="6749D0B2" w:rsidR="008D0EA5" w:rsidRDefault="008D0EA5" w:rsidP="00015441">
            <w:pPr>
              <w:rPr>
                <w:rFonts w:ascii="Arial" w:hAnsi="Arial" w:cs="Arial"/>
                <w:color w:val="000000"/>
                <w:sz w:val="22"/>
                <w:szCs w:val="22"/>
                <w:lang w:eastAsia="en-GB"/>
              </w:rPr>
            </w:pPr>
            <w:r>
              <w:rPr>
                <w:rFonts w:ascii="Arial" w:hAnsi="Arial" w:cs="Arial"/>
                <w:color w:val="000000"/>
                <w:sz w:val="22"/>
                <w:szCs w:val="22"/>
                <w:lang w:eastAsia="en-GB"/>
              </w:rPr>
              <w:t>02</w:t>
            </w:r>
          </w:p>
        </w:tc>
        <w:tc>
          <w:tcPr>
            <w:tcW w:w="428" w:type="pct"/>
          </w:tcPr>
          <w:p w14:paraId="2F70D343" w14:textId="7951448B" w:rsidR="008D0EA5" w:rsidRPr="005B2876" w:rsidRDefault="008D0EA5" w:rsidP="009B0897">
            <w:pPr>
              <w:rPr>
                <w:rFonts w:ascii="Arial" w:hAnsi="Arial" w:cs="Arial"/>
                <w:color w:val="000000"/>
                <w:sz w:val="22"/>
                <w:szCs w:val="22"/>
                <w:lang w:eastAsia="en-GB"/>
              </w:rPr>
            </w:pPr>
            <w:r>
              <w:rPr>
                <w:rFonts w:ascii="Arial" w:hAnsi="Arial" w:cs="Arial"/>
                <w:color w:val="000000"/>
                <w:sz w:val="22"/>
                <w:szCs w:val="22"/>
                <w:lang w:eastAsia="en-GB"/>
              </w:rPr>
              <w:t>2</w:t>
            </w:r>
          </w:p>
        </w:tc>
        <w:tc>
          <w:tcPr>
            <w:tcW w:w="1024" w:type="pct"/>
          </w:tcPr>
          <w:p w14:paraId="16658CC1" w14:textId="7A4CA962" w:rsidR="008D0EA5" w:rsidRPr="005B2876" w:rsidRDefault="008D0EA5" w:rsidP="00015441">
            <w:pPr>
              <w:rPr>
                <w:rFonts w:ascii="Arial" w:hAnsi="Arial" w:cs="Arial"/>
                <w:color w:val="000000"/>
                <w:sz w:val="22"/>
                <w:szCs w:val="22"/>
                <w:lang w:eastAsia="en-GB"/>
              </w:rPr>
            </w:pPr>
            <w:r>
              <w:rPr>
                <w:rFonts w:ascii="Arial" w:hAnsi="Arial" w:cs="Arial"/>
                <w:color w:val="000000"/>
                <w:sz w:val="22"/>
                <w:szCs w:val="22"/>
                <w:lang w:eastAsia="en-GB"/>
              </w:rPr>
              <w:t>BMA</w:t>
            </w:r>
          </w:p>
        </w:tc>
        <w:tc>
          <w:tcPr>
            <w:tcW w:w="2147" w:type="pct"/>
          </w:tcPr>
          <w:p w14:paraId="50D592AB" w14:textId="74DB3FFD" w:rsidR="008D0EA5" w:rsidRPr="005B2876" w:rsidRDefault="008D0EA5" w:rsidP="005B2876">
            <w:pPr>
              <w:rPr>
                <w:rFonts w:ascii="Arial" w:hAnsi="Arial" w:cs="Arial"/>
                <w:sz w:val="22"/>
                <w:szCs w:val="28"/>
              </w:rPr>
            </w:pPr>
            <w:r w:rsidRPr="005B2876">
              <w:rPr>
                <w:rFonts w:ascii="Arial" w:hAnsi="Arial" w:cs="Arial"/>
                <w:sz w:val="22"/>
                <w:szCs w:val="28"/>
              </w:rPr>
              <w:t xml:space="preserve">Some of the CKD indicators seem to give a perverse incentive not to code the CKD in the first place, in particular requirements to prescribe statin and to repeat blood test within 3 months before coding. GPs tend to have a few years of blood tests before coding and the trend is usually clear, and the burden on patients of getting lots of blood test done should also be considered. </w:t>
            </w:r>
          </w:p>
        </w:tc>
        <w:tc>
          <w:tcPr>
            <w:tcW w:w="1224" w:type="pct"/>
          </w:tcPr>
          <w:p w14:paraId="2F6C3387" w14:textId="65A58970" w:rsidR="008D0EA5" w:rsidRPr="005B2876" w:rsidRDefault="008D0EA5" w:rsidP="005B2876">
            <w:pPr>
              <w:rPr>
                <w:rFonts w:ascii="Arial" w:hAnsi="Arial" w:cs="Arial"/>
                <w:sz w:val="22"/>
                <w:szCs w:val="28"/>
              </w:rPr>
            </w:pPr>
            <w:r>
              <w:rPr>
                <w:rFonts w:ascii="Arial" w:hAnsi="Arial" w:cs="Arial"/>
                <w:sz w:val="22"/>
                <w:szCs w:val="28"/>
              </w:rPr>
              <w:t xml:space="preserve">Thank you for your comment. The indicator advisory committee agreed that the indicators would support practice efforts to increase case finding.  </w:t>
            </w:r>
          </w:p>
        </w:tc>
      </w:tr>
      <w:tr w:rsidR="008D0EA5" w:rsidRPr="00215444" w14:paraId="4D6F049F" w14:textId="6501942A" w:rsidTr="000528DF">
        <w:tc>
          <w:tcPr>
            <w:tcW w:w="177" w:type="pct"/>
          </w:tcPr>
          <w:p w14:paraId="10CF49FC" w14:textId="1F11F6F5" w:rsidR="008D0EA5" w:rsidRPr="005B2876" w:rsidRDefault="008D0EA5" w:rsidP="00015441">
            <w:pPr>
              <w:rPr>
                <w:rFonts w:ascii="Arial" w:hAnsi="Arial" w:cs="Arial"/>
                <w:color w:val="000000"/>
                <w:sz w:val="22"/>
                <w:szCs w:val="22"/>
                <w:lang w:eastAsia="en-GB"/>
              </w:rPr>
            </w:pPr>
            <w:r>
              <w:rPr>
                <w:rFonts w:ascii="Arial" w:hAnsi="Arial" w:cs="Arial"/>
                <w:color w:val="000000"/>
                <w:sz w:val="22"/>
                <w:szCs w:val="22"/>
                <w:lang w:eastAsia="en-GB"/>
              </w:rPr>
              <w:t>03</w:t>
            </w:r>
          </w:p>
        </w:tc>
        <w:tc>
          <w:tcPr>
            <w:tcW w:w="428" w:type="pct"/>
          </w:tcPr>
          <w:p w14:paraId="7B561293" w14:textId="49BD7C02" w:rsidR="008D0EA5" w:rsidRPr="005B2876" w:rsidRDefault="008D0EA5" w:rsidP="009B0897">
            <w:pPr>
              <w:rPr>
                <w:rFonts w:ascii="Arial" w:hAnsi="Arial" w:cs="Arial"/>
                <w:color w:val="000000"/>
                <w:sz w:val="22"/>
                <w:szCs w:val="22"/>
                <w:lang w:eastAsia="en-GB"/>
              </w:rPr>
            </w:pPr>
            <w:r w:rsidRPr="005B2876">
              <w:rPr>
                <w:rFonts w:ascii="Arial" w:hAnsi="Arial" w:cs="Arial"/>
                <w:color w:val="000000"/>
                <w:sz w:val="22"/>
                <w:szCs w:val="22"/>
                <w:lang w:eastAsia="en-GB"/>
              </w:rPr>
              <w:t>2</w:t>
            </w:r>
          </w:p>
        </w:tc>
        <w:tc>
          <w:tcPr>
            <w:tcW w:w="1024" w:type="pct"/>
          </w:tcPr>
          <w:p w14:paraId="30137CED" w14:textId="71807B9A" w:rsidR="008D0EA5" w:rsidRPr="005B2876" w:rsidRDefault="008D0EA5" w:rsidP="00015441">
            <w:pPr>
              <w:rPr>
                <w:rFonts w:ascii="Arial" w:hAnsi="Arial" w:cs="Arial"/>
                <w:color w:val="000000"/>
                <w:sz w:val="22"/>
                <w:szCs w:val="22"/>
                <w:lang w:eastAsia="en-GB"/>
              </w:rPr>
            </w:pPr>
            <w:r w:rsidRPr="005B2876">
              <w:rPr>
                <w:rFonts w:ascii="Arial" w:hAnsi="Arial" w:cs="Arial"/>
                <w:color w:val="000000"/>
                <w:sz w:val="22"/>
                <w:szCs w:val="22"/>
                <w:lang w:eastAsia="en-GB"/>
              </w:rPr>
              <w:t>UKKA</w:t>
            </w:r>
          </w:p>
        </w:tc>
        <w:tc>
          <w:tcPr>
            <w:tcW w:w="2147" w:type="pct"/>
          </w:tcPr>
          <w:p w14:paraId="6B5E6678" w14:textId="041CF7AA" w:rsidR="008D0EA5" w:rsidRPr="005B2876" w:rsidRDefault="008D0EA5" w:rsidP="005B2876">
            <w:pPr>
              <w:rPr>
                <w:rFonts w:ascii="Arial" w:hAnsi="Arial" w:cs="Arial"/>
                <w:sz w:val="22"/>
                <w:szCs w:val="28"/>
              </w:rPr>
            </w:pPr>
            <w:r w:rsidRPr="005B2876">
              <w:rPr>
                <w:rFonts w:ascii="Arial" w:hAnsi="Arial" w:cs="Arial"/>
                <w:sz w:val="22"/>
                <w:szCs w:val="28"/>
              </w:rPr>
              <w:t>It is difficult to detail potential unintended consequences to implementing/using any of these indicators? The main consequence will be the resources available and the time to monitor; treat and implement best practice.</w:t>
            </w:r>
          </w:p>
          <w:p w14:paraId="1F8E0A9F" w14:textId="77777777" w:rsidR="008D0EA5" w:rsidRPr="005B2876" w:rsidRDefault="008D0EA5" w:rsidP="005B2876">
            <w:pPr>
              <w:rPr>
                <w:rFonts w:ascii="Arial" w:hAnsi="Arial" w:cs="Arial"/>
                <w:sz w:val="22"/>
                <w:szCs w:val="28"/>
              </w:rPr>
            </w:pPr>
            <w:r w:rsidRPr="005B2876">
              <w:rPr>
                <w:rFonts w:ascii="Arial" w:hAnsi="Arial" w:cs="Arial"/>
                <w:sz w:val="22"/>
                <w:szCs w:val="28"/>
              </w:rPr>
              <w:lastRenderedPageBreak/>
              <w:t>The other consequence will be the referrals required to secondary care, increasing pressure to see patients earlier. This is particularity relevant given the increasing numbers of CKD patients, the increase in diabetes; the aging population; increase in obesity and hence hypertension and impact of COVID-19 on the kidney.</w:t>
            </w:r>
          </w:p>
          <w:p w14:paraId="76AC5CBF" w14:textId="273A4783" w:rsidR="008D0EA5" w:rsidRPr="005B73E7" w:rsidRDefault="008D0EA5" w:rsidP="005B2876">
            <w:pPr>
              <w:rPr>
                <w:rFonts w:ascii="Arial" w:hAnsi="Arial" w:cs="Arial"/>
                <w:color w:val="000000"/>
                <w:sz w:val="22"/>
                <w:szCs w:val="22"/>
                <w:highlight w:val="cyan"/>
                <w:lang w:eastAsia="en-GB"/>
              </w:rPr>
            </w:pPr>
            <w:r w:rsidRPr="005B2876">
              <w:rPr>
                <w:rFonts w:ascii="Arial" w:hAnsi="Arial" w:cs="Arial"/>
                <w:sz w:val="22"/>
                <w:szCs w:val="28"/>
              </w:rPr>
              <w:t>There is also the impact of implementing the recent UKKA guidelines on SGLT2 inhibitors in diabetes, which appears in the NICE recommendations but not yet in those with CKD not due to diabetes. There is a clear education gap in Primary care which needs to be addressed urgently.</w:t>
            </w:r>
          </w:p>
        </w:tc>
        <w:tc>
          <w:tcPr>
            <w:tcW w:w="1224" w:type="pct"/>
          </w:tcPr>
          <w:p w14:paraId="089DEC19" w14:textId="4C2D1697" w:rsidR="008D0EA5" w:rsidRPr="005B2876" w:rsidRDefault="008D0EA5" w:rsidP="005B2876">
            <w:pPr>
              <w:rPr>
                <w:rFonts w:ascii="Arial" w:hAnsi="Arial" w:cs="Arial"/>
                <w:sz w:val="22"/>
                <w:szCs w:val="28"/>
              </w:rPr>
            </w:pPr>
            <w:r>
              <w:rPr>
                <w:rFonts w:ascii="Arial" w:hAnsi="Arial" w:cs="Arial"/>
                <w:sz w:val="22"/>
                <w:szCs w:val="28"/>
              </w:rPr>
              <w:lastRenderedPageBreak/>
              <w:t xml:space="preserve">Thank you for your comment. </w:t>
            </w:r>
            <w:r w:rsidR="008C18BD">
              <w:rPr>
                <w:rFonts w:ascii="Arial" w:hAnsi="Arial" w:cs="Arial"/>
                <w:sz w:val="22"/>
                <w:szCs w:val="28"/>
              </w:rPr>
              <w:t xml:space="preserve">The indicators aim to improve the quality of care and outcomes for people with chronic kidney </w:t>
            </w:r>
            <w:r w:rsidR="008C18BD">
              <w:rPr>
                <w:rFonts w:ascii="Arial" w:hAnsi="Arial" w:cs="Arial"/>
                <w:sz w:val="22"/>
                <w:szCs w:val="28"/>
              </w:rPr>
              <w:lastRenderedPageBreak/>
              <w:t xml:space="preserve">disease. A resource impact assessment has been performed. NICE will explore indicators on </w:t>
            </w:r>
            <w:r w:rsidR="00DB2921">
              <w:rPr>
                <w:rFonts w:ascii="Arial" w:hAnsi="Arial" w:cs="Arial"/>
                <w:sz w:val="22"/>
                <w:szCs w:val="28"/>
              </w:rPr>
              <w:t xml:space="preserve">treatment with </w:t>
            </w:r>
            <w:r w:rsidR="008C18BD">
              <w:rPr>
                <w:rFonts w:ascii="Arial" w:hAnsi="Arial" w:cs="Arial"/>
                <w:sz w:val="22"/>
                <w:szCs w:val="28"/>
              </w:rPr>
              <w:t xml:space="preserve">SGLT2 inhibitor </w:t>
            </w:r>
            <w:r w:rsidR="00DB2921">
              <w:rPr>
                <w:rFonts w:ascii="Arial" w:hAnsi="Arial" w:cs="Arial"/>
                <w:sz w:val="22"/>
                <w:szCs w:val="28"/>
              </w:rPr>
              <w:t>for</w:t>
            </w:r>
            <w:r w:rsidR="008C18BD">
              <w:rPr>
                <w:rFonts w:ascii="Arial" w:hAnsi="Arial" w:cs="Arial"/>
                <w:sz w:val="22"/>
                <w:szCs w:val="28"/>
              </w:rPr>
              <w:t xml:space="preserve"> people with </w:t>
            </w:r>
            <w:r w:rsidR="00DB2921">
              <w:rPr>
                <w:rFonts w:ascii="Arial" w:hAnsi="Arial" w:cs="Arial"/>
                <w:sz w:val="22"/>
                <w:szCs w:val="28"/>
              </w:rPr>
              <w:t>CKD</w:t>
            </w:r>
            <w:r w:rsidR="00CC3237">
              <w:rPr>
                <w:rFonts w:ascii="Arial" w:hAnsi="Arial" w:cs="Arial"/>
                <w:sz w:val="22"/>
                <w:szCs w:val="28"/>
              </w:rPr>
              <w:t xml:space="preserve"> </w:t>
            </w:r>
            <w:r w:rsidR="00CC3237" w:rsidRPr="00012CC3">
              <w:rPr>
                <w:rFonts w:ascii="Arial" w:hAnsi="Arial" w:cs="Arial"/>
                <w:color w:val="000000"/>
                <w:sz w:val="22"/>
                <w:szCs w:val="22"/>
                <w:lang w:eastAsia="en-GB"/>
              </w:rPr>
              <w:t>in the next cycle of the work programme</w:t>
            </w:r>
            <w:r w:rsidR="008C18BD">
              <w:rPr>
                <w:rFonts w:ascii="Arial" w:hAnsi="Arial" w:cs="Arial"/>
                <w:sz w:val="22"/>
                <w:szCs w:val="28"/>
              </w:rPr>
              <w:t xml:space="preserve">. </w:t>
            </w:r>
          </w:p>
        </w:tc>
      </w:tr>
    </w:tbl>
    <w:p w14:paraId="020EB198" w14:textId="359C0D2F" w:rsidR="00C77B40" w:rsidRDefault="00C77B40" w:rsidP="00982090">
      <w:pPr>
        <w:pStyle w:val="Paragraph"/>
      </w:pPr>
      <w:r w:rsidRPr="00C77B40">
        <w:lastRenderedPageBreak/>
        <w:t>Question 3: Do you think there is potential for differential impact (in respect of age, disability, gender and gender reassignment, pregnancy and maternity, race, religion or belief, and sexual orientation)? If so, please state whether this is adverse or positive and for which group.</w:t>
      </w:r>
    </w:p>
    <w:tbl>
      <w:tblPr>
        <w:tblStyle w:val="TableGrid"/>
        <w:tblW w:w="5000" w:type="pct"/>
        <w:tblLook w:val="04A0" w:firstRow="1" w:lastRow="0" w:firstColumn="1" w:lastColumn="0" w:noHBand="0" w:noVBand="1"/>
      </w:tblPr>
      <w:tblGrid>
        <w:gridCol w:w="494"/>
        <w:gridCol w:w="1194"/>
        <w:gridCol w:w="2857"/>
        <w:gridCol w:w="5990"/>
        <w:gridCol w:w="3415"/>
      </w:tblGrid>
      <w:tr w:rsidR="00C77B40" w:rsidRPr="00215444" w14:paraId="63D8B8CE" w14:textId="77777777" w:rsidTr="00342C38">
        <w:trPr>
          <w:tblHeader/>
        </w:trPr>
        <w:tc>
          <w:tcPr>
            <w:tcW w:w="177" w:type="pct"/>
            <w:noWrap/>
            <w:hideMark/>
          </w:tcPr>
          <w:p w14:paraId="0C930D5E" w14:textId="77777777" w:rsidR="00C77B40" w:rsidRPr="00215444" w:rsidRDefault="00C77B40" w:rsidP="00342C38">
            <w:pPr>
              <w:pStyle w:val="NICEnormal"/>
              <w:spacing w:line="240" w:lineRule="auto"/>
              <w:rPr>
                <w:rFonts w:cs="Arial"/>
                <w:b/>
                <w:sz w:val="22"/>
                <w:szCs w:val="22"/>
              </w:rPr>
            </w:pPr>
            <w:r>
              <w:rPr>
                <w:rFonts w:cs="Arial"/>
                <w:b/>
                <w:sz w:val="22"/>
                <w:szCs w:val="22"/>
              </w:rPr>
              <w:t>ID</w:t>
            </w:r>
          </w:p>
        </w:tc>
        <w:tc>
          <w:tcPr>
            <w:tcW w:w="428" w:type="pct"/>
          </w:tcPr>
          <w:p w14:paraId="007490B7" w14:textId="77777777" w:rsidR="00C77B40" w:rsidRPr="00215444" w:rsidRDefault="00C77B40"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12E06D7D" w14:textId="77777777" w:rsidR="00C77B40" w:rsidRPr="00215444" w:rsidRDefault="00C77B40"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46D4FFF2" w14:textId="77777777" w:rsidR="00C77B40" w:rsidRPr="00215444" w:rsidRDefault="00C77B40"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746BBA58" w14:textId="77777777" w:rsidR="00C77B40" w:rsidRPr="00215444" w:rsidRDefault="00C77B40" w:rsidP="00342C38">
            <w:pPr>
              <w:pStyle w:val="NICEnormal"/>
              <w:spacing w:line="240" w:lineRule="auto"/>
              <w:rPr>
                <w:rFonts w:cs="Arial"/>
                <w:b/>
                <w:sz w:val="22"/>
                <w:szCs w:val="22"/>
              </w:rPr>
            </w:pPr>
            <w:r>
              <w:rPr>
                <w:rFonts w:cs="Arial"/>
                <w:b/>
                <w:sz w:val="22"/>
                <w:szCs w:val="22"/>
              </w:rPr>
              <w:t>NICE response</w:t>
            </w:r>
          </w:p>
        </w:tc>
      </w:tr>
      <w:tr w:rsidR="008D0EA5" w:rsidRPr="00215444" w14:paraId="02FCE99D" w14:textId="2EE5D933" w:rsidTr="000528DF">
        <w:tc>
          <w:tcPr>
            <w:tcW w:w="177" w:type="pct"/>
          </w:tcPr>
          <w:p w14:paraId="48912CAE" w14:textId="079A596A" w:rsidR="008D0EA5" w:rsidRPr="005B2876" w:rsidRDefault="008D0EA5" w:rsidP="00015441">
            <w:pPr>
              <w:rPr>
                <w:rFonts w:ascii="Arial" w:hAnsi="Arial" w:cs="Arial"/>
                <w:color w:val="000000"/>
                <w:sz w:val="22"/>
                <w:szCs w:val="22"/>
                <w:lang w:eastAsia="en-GB"/>
              </w:rPr>
            </w:pPr>
            <w:r>
              <w:rPr>
                <w:rFonts w:ascii="Arial" w:hAnsi="Arial" w:cs="Arial"/>
                <w:color w:val="000000"/>
                <w:sz w:val="22"/>
                <w:szCs w:val="22"/>
                <w:lang w:eastAsia="en-GB"/>
              </w:rPr>
              <w:t>04</w:t>
            </w:r>
          </w:p>
        </w:tc>
        <w:tc>
          <w:tcPr>
            <w:tcW w:w="428" w:type="pct"/>
          </w:tcPr>
          <w:p w14:paraId="046BF81D" w14:textId="233E1114" w:rsidR="008D0EA5" w:rsidRPr="005B2876" w:rsidRDefault="008D0EA5" w:rsidP="009B0897">
            <w:pPr>
              <w:rPr>
                <w:rFonts w:ascii="Arial" w:hAnsi="Arial" w:cs="Arial"/>
                <w:color w:val="000000"/>
                <w:sz w:val="22"/>
                <w:szCs w:val="22"/>
                <w:lang w:eastAsia="en-GB"/>
              </w:rPr>
            </w:pPr>
            <w:r w:rsidRPr="005B2876">
              <w:rPr>
                <w:rFonts w:ascii="Arial" w:hAnsi="Arial" w:cs="Arial"/>
                <w:color w:val="000000"/>
                <w:sz w:val="22"/>
                <w:szCs w:val="22"/>
                <w:lang w:eastAsia="en-GB"/>
              </w:rPr>
              <w:t>3</w:t>
            </w:r>
          </w:p>
        </w:tc>
        <w:tc>
          <w:tcPr>
            <w:tcW w:w="1024" w:type="pct"/>
          </w:tcPr>
          <w:p w14:paraId="3D1A2F67" w14:textId="7C02F15F" w:rsidR="008D0EA5" w:rsidRPr="005B2876" w:rsidRDefault="008D0EA5" w:rsidP="00015441">
            <w:pPr>
              <w:rPr>
                <w:rFonts w:ascii="Arial" w:hAnsi="Arial" w:cs="Arial"/>
                <w:color w:val="000000"/>
                <w:sz w:val="22"/>
                <w:szCs w:val="22"/>
                <w:lang w:eastAsia="en-GB"/>
              </w:rPr>
            </w:pPr>
            <w:r w:rsidRPr="005B2876">
              <w:rPr>
                <w:rFonts w:ascii="Arial" w:hAnsi="Arial" w:cs="Arial"/>
                <w:color w:val="000000"/>
                <w:sz w:val="22"/>
                <w:szCs w:val="22"/>
                <w:lang w:eastAsia="en-GB"/>
              </w:rPr>
              <w:t>UKKA</w:t>
            </w:r>
          </w:p>
        </w:tc>
        <w:tc>
          <w:tcPr>
            <w:tcW w:w="2147" w:type="pct"/>
          </w:tcPr>
          <w:p w14:paraId="5D3FC7CB" w14:textId="1A0A8A85" w:rsidR="008D0EA5" w:rsidRPr="005B2876" w:rsidRDefault="008D0EA5" w:rsidP="005B2876">
            <w:pPr>
              <w:rPr>
                <w:rFonts w:ascii="Arial" w:hAnsi="Arial" w:cs="Arial"/>
                <w:sz w:val="22"/>
                <w:szCs w:val="28"/>
              </w:rPr>
            </w:pPr>
            <w:r w:rsidRPr="005B2876">
              <w:rPr>
                <w:rFonts w:ascii="Arial" w:hAnsi="Arial" w:cs="Arial"/>
                <w:sz w:val="22"/>
                <w:szCs w:val="28"/>
              </w:rPr>
              <w:t>There are potential for differential impact (in respect of age, disability, gender and gender reassignment, pregnancy and maternity, race, religion or belief, and sexual orientation)? The main areas are in ethnic groups who in general are less likely to seek help and attend screening programs. Diabetes is also more prevalent in CKD.</w:t>
            </w:r>
          </w:p>
          <w:p w14:paraId="72E0A051" w14:textId="77777777" w:rsidR="008D0EA5" w:rsidRPr="005B2876" w:rsidRDefault="008D0EA5" w:rsidP="005B2876">
            <w:pPr>
              <w:rPr>
                <w:rFonts w:ascii="Arial" w:hAnsi="Arial" w:cs="Arial"/>
                <w:sz w:val="22"/>
                <w:szCs w:val="28"/>
              </w:rPr>
            </w:pPr>
            <w:r w:rsidRPr="005B2876">
              <w:rPr>
                <w:rFonts w:ascii="Arial" w:hAnsi="Arial" w:cs="Arial"/>
                <w:sz w:val="22"/>
                <w:szCs w:val="28"/>
              </w:rPr>
              <w:t xml:space="preserve">We know that Asians and Black people have more severe kidney disease and progress more rapidly – Renal Registry data shows that the median age of incident renal </w:t>
            </w:r>
            <w:r w:rsidRPr="005B2876">
              <w:rPr>
                <w:rFonts w:ascii="Arial" w:hAnsi="Arial" w:cs="Arial"/>
                <w:sz w:val="22"/>
                <w:szCs w:val="28"/>
              </w:rPr>
              <w:lastRenderedPageBreak/>
              <w:t>replacement therapy (RRT) patients was 64.2 years, but this was dependent on ethnicity (White</w:t>
            </w:r>
          </w:p>
          <w:p w14:paraId="3099451B" w14:textId="5D02DBB7" w:rsidR="008D0EA5" w:rsidRPr="005B73E7" w:rsidRDefault="008D0EA5" w:rsidP="005B2876">
            <w:pPr>
              <w:rPr>
                <w:rFonts w:ascii="Arial" w:hAnsi="Arial" w:cs="Arial"/>
                <w:color w:val="000000"/>
                <w:sz w:val="22"/>
                <w:szCs w:val="22"/>
                <w:highlight w:val="cyan"/>
                <w:lang w:eastAsia="en-GB"/>
              </w:rPr>
            </w:pPr>
            <w:r w:rsidRPr="005B2876">
              <w:rPr>
                <w:rFonts w:ascii="Arial" w:hAnsi="Arial" w:cs="Arial"/>
                <w:sz w:val="22"/>
                <w:szCs w:val="28"/>
              </w:rPr>
              <w:t>66.3 years, Asian 62.3 years and Black 56.3 years). Indeed, diabetes remains the most common identifiable primary renal disease (PRD) for patients starting RRT (30.4%)</w:t>
            </w:r>
          </w:p>
        </w:tc>
        <w:tc>
          <w:tcPr>
            <w:tcW w:w="1224" w:type="pct"/>
          </w:tcPr>
          <w:p w14:paraId="42CA51DE" w14:textId="6F8AE19B" w:rsidR="008D0EA5" w:rsidRPr="005B2876" w:rsidRDefault="008C18BD" w:rsidP="005B2876">
            <w:pPr>
              <w:rPr>
                <w:rFonts w:ascii="Arial" w:hAnsi="Arial" w:cs="Arial"/>
                <w:sz w:val="22"/>
                <w:szCs w:val="28"/>
              </w:rPr>
            </w:pPr>
            <w:r>
              <w:rPr>
                <w:rFonts w:ascii="Arial" w:hAnsi="Arial" w:cs="Arial"/>
                <w:sz w:val="22"/>
                <w:szCs w:val="28"/>
              </w:rPr>
              <w:lastRenderedPageBreak/>
              <w:t xml:space="preserve">Thank you for your comment. The indicator advisory committee recognise the inequalities associated with chronic kidney disease. These indicators aim to improve quality of care and outcomes for people with chronic kidney disease. </w:t>
            </w:r>
            <w:r w:rsidR="00CC3237">
              <w:rPr>
                <w:rFonts w:ascii="Arial" w:hAnsi="Arial" w:cs="Arial"/>
                <w:sz w:val="22"/>
                <w:szCs w:val="28"/>
              </w:rPr>
              <w:t>The</w:t>
            </w:r>
            <w:r>
              <w:rPr>
                <w:rFonts w:ascii="Arial" w:hAnsi="Arial" w:cs="Arial"/>
                <w:sz w:val="22"/>
                <w:szCs w:val="28"/>
              </w:rPr>
              <w:t xml:space="preserve"> equality impact assessment for </w:t>
            </w:r>
            <w:r>
              <w:rPr>
                <w:rFonts w:ascii="Arial" w:hAnsi="Arial" w:cs="Arial"/>
                <w:sz w:val="22"/>
                <w:szCs w:val="28"/>
              </w:rPr>
              <w:lastRenderedPageBreak/>
              <w:t>these indicators</w:t>
            </w:r>
            <w:r w:rsidR="00CC3237">
              <w:rPr>
                <w:rFonts w:ascii="Arial" w:hAnsi="Arial" w:cs="Arial"/>
                <w:sz w:val="22"/>
                <w:szCs w:val="28"/>
              </w:rPr>
              <w:t xml:space="preserve"> highlights this issue</w:t>
            </w:r>
            <w:r>
              <w:rPr>
                <w:rFonts w:ascii="Arial" w:hAnsi="Arial" w:cs="Arial"/>
                <w:sz w:val="22"/>
                <w:szCs w:val="28"/>
              </w:rPr>
              <w:t>.</w:t>
            </w:r>
          </w:p>
        </w:tc>
      </w:tr>
    </w:tbl>
    <w:p w14:paraId="7559837B" w14:textId="20021D99" w:rsidR="00C77B40" w:rsidRDefault="00C77B40" w:rsidP="00982090">
      <w:pPr>
        <w:pStyle w:val="Paragraph"/>
      </w:pPr>
      <w:r w:rsidRPr="00C77B40">
        <w:lastRenderedPageBreak/>
        <w:t>Question 4: If you think any of these indicators may have an adverse impact in different groups in the community, can you suggest how the indicator might be delivered differently to different groups to reduce health inequalities?</w:t>
      </w:r>
    </w:p>
    <w:tbl>
      <w:tblPr>
        <w:tblStyle w:val="TableGrid"/>
        <w:tblW w:w="5000" w:type="pct"/>
        <w:tblLook w:val="04A0" w:firstRow="1" w:lastRow="0" w:firstColumn="1" w:lastColumn="0" w:noHBand="0" w:noVBand="1"/>
      </w:tblPr>
      <w:tblGrid>
        <w:gridCol w:w="494"/>
        <w:gridCol w:w="1194"/>
        <w:gridCol w:w="2857"/>
        <w:gridCol w:w="5990"/>
        <w:gridCol w:w="3415"/>
      </w:tblGrid>
      <w:tr w:rsidR="00C77B40" w:rsidRPr="00215444" w14:paraId="4EAAA4F5" w14:textId="77777777" w:rsidTr="00342C38">
        <w:trPr>
          <w:tblHeader/>
        </w:trPr>
        <w:tc>
          <w:tcPr>
            <w:tcW w:w="177" w:type="pct"/>
            <w:noWrap/>
            <w:hideMark/>
          </w:tcPr>
          <w:p w14:paraId="536324A5" w14:textId="77777777" w:rsidR="00C77B40" w:rsidRPr="00215444" w:rsidRDefault="00C77B40" w:rsidP="00342C38">
            <w:pPr>
              <w:pStyle w:val="NICEnormal"/>
              <w:spacing w:line="240" w:lineRule="auto"/>
              <w:rPr>
                <w:rFonts w:cs="Arial"/>
                <w:b/>
                <w:sz w:val="22"/>
                <w:szCs w:val="22"/>
              </w:rPr>
            </w:pPr>
            <w:r>
              <w:rPr>
                <w:rFonts w:cs="Arial"/>
                <w:b/>
                <w:sz w:val="22"/>
                <w:szCs w:val="22"/>
              </w:rPr>
              <w:t>ID</w:t>
            </w:r>
          </w:p>
        </w:tc>
        <w:tc>
          <w:tcPr>
            <w:tcW w:w="428" w:type="pct"/>
          </w:tcPr>
          <w:p w14:paraId="1D81AD07" w14:textId="77777777" w:rsidR="00C77B40" w:rsidRPr="00215444" w:rsidRDefault="00C77B40"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12D7AC47" w14:textId="77777777" w:rsidR="00C77B40" w:rsidRPr="00215444" w:rsidRDefault="00C77B40"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76F8E540" w14:textId="77777777" w:rsidR="00C77B40" w:rsidRPr="00215444" w:rsidRDefault="00C77B40"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457FB0B3" w14:textId="77777777" w:rsidR="00C77B40" w:rsidRPr="00215444" w:rsidRDefault="00C77B40" w:rsidP="00342C38">
            <w:pPr>
              <w:pStyle w:val="NICEnormal"/>
              <w:spacing w:line="240" w:lineRule="auto"/>
              <w:rPr>
                <w:rFonts w:cs="Arial"/>
                <w:b/>
                <w:sz w:val="22"/>
                <w:szCs w:val="22"/>
              </w:rPr>
            </w:pPr>
            <w:r>
              <w:rPr>
                <w:rFonts w:cs="Arial"/>
                <w:b/>
                <w:sz w:val="22"/>
                <w:szCs w:val="22"/>
              </w:rPr>
              <w:t>NICE response</w:t>
            </w:r>
          </w:p>
        </w:tc>
      </w:tr>
      <w:tr w:rsidR="008D0EA5" w:rsidRPr="00215444" w14:paraId="4546CD12" w14:textId="11C60862" w:rsidTr="000528DF">
        <w:tc>
          <w:tcPr>
            <w:tcW w:w="177" w:type="pct"/>
          </w:tcPr>
          <w:p w14:paraId="44FB5DEC" w14:textId="0689C1EB" w:rsidR="008D0EA5" w:rsidRPr="005B2876" w:rsidRDefault="008D0EA5" w:rsidP="00015441">
            <w:pPr>
              <w:rPr>
                <w:rFonts w:ascii="Arial" w:hAnsi="Arial" w:cs="Arial"/>
                <w:color w:val="000000"/>
                <w:sz w:val="22"/>
                <w:szCs w:val="22"/>
                <w:lang w:eastAsia="en-GB"/>
              </w:rPr>
            </w:pPr>
            <w:r>
              <w:rPr>
                <w:rFonts w:ascii="Arial" w:hAnsi="Arial" w:cs="Arial"/>
                <w:color w:val="000000"/>
                <w:sz w:val="22"/>
                <w:szCs w:val="22"/>
                <w:lang w:eastAsia="en-GB"/>
              </w:rPr>
              <w:t>05</w:t>
            </w:r>
          </w:p>
        </w:tc>
        <w:tc>
          <w:tcPr>
            <w:tcW w:w="428" w:type="pct"/>
          </w:tcPr>
          <w:p w14:paraId="7A4F0EE2" w14:textId="2170E211" w:rsidR="008D0EA5" w:rsidRPr="005B2876" w:rsidRDefault="008D0EA5" w:rsidP="009B0897">
            <w:pPr>
              <w:rPr>
                <w:rFonts w:ascii="Arial" w:hAnsi="Arial" w:cs="Arial"/>
                <w:color w:val="000000"/>
                <w:sz w:val="22"/>
                <w:szCs w:val="22"/>
                <w:lang w:eastAsia="en-GB"/>
              </w:rPr>
            </w:pPr>
            <w:r w:rsidRPr="005B2876">
              <w:rPr>
                <w:rFonts w:ascii="Arial" w:hAnsi="Arial" w:cs="Arial"/>
                <w:color w:val="000000"/>
                <w:sz w:val="22"/>
                <w:szCs w:val="22"/>
                <w:lang w:eastAsia="en-GB"/>
              </w:rPr>
              <w:t>4</w:t>
            </w:r>
          </w:p>
        </w:tc>
        <w:tc>
          <w:tcPr>
            <w:tcW w:w="1024" w:type="pct"/>
          </w:tcPr>
          <w:p w14:paraId="45FAE05F" w14:textId="28DECC82" w:rsidR="008D0EA5" w:rsidRPr="005B2876" w:rsidRDefault="008D0EA5" w:rsidP="00015441">
            <w:pPr>
              <w:rPr>
                <w:rFonts w:ascii="Arial" w:hAnsi="Arial" w:cs="Arial"/>
                <w:color w:val="000000"/>
                <w:sz w:val="22"/>
                <w:szCs w:val="22"/>
                <w:lang w:eastAsia="en-GB"/>
              </w:rPr>
            </w:pPr>
            <w:r w:rsidRPr="005B2876">
              <w:rPr>
                <w:rFonts w:ascii="Arial" w:hAnsi="Arial" w:cs="Arial"/>
                <w:color w:val="000000"/>
                <w:sz w:val="22"/>
                <w:szCs w:val="22"/>
                <w:lang w:eastAsia="en-GB"/>
              </w:rPr>
              <w:t>UKKA</w:t>
            </w:r>
          </w:p>
        </w:tc>
        <w:tc>
          <w:tcPr>
            <w:tcW w:w="2147" w:type="pct"/>
          </w:tcPr>
          <w:p w14:paraId="447E887C" w14:textId="51B3DD43" w:rsidR="008D0EA5" w:rsidRPr="005B73E7" w:rsidRDefault="008D0EA5" w:rsidP="00352FD0">
            <w:pPr>
              <w:rPr>
                <w:rFonts w:ascii="Arial" w:hAnsi="Arial" w:cs="Arial"/>
                <w:color w:val="000000"/>
                <w:sz w:val="22"/>
                <w:szCs w:val="22"/>
                <w:highlight w:val="cyan"/>
                <w:lang w:eastAsia="en-GB"/>
              </w:rPr>
            </w:pPr>
            <w:r w:rsidRPr="005B2876">
              <w:rPr>
                <w:rFonts w:ascii="Arial" w:hAnsi="Arial" w:cs="Arial"/>
                <w:color w:val="000000"/>
                <w:sz w:val="22"/>
                <w:szCs w:val="22"/>
                <w:lang w:eastAsia="en-GB"/>
              </w:rPr>
              <w:t>In order to minimise health inequalities, it is critical to develop programs to identify all groups. This should include community education programs and identification of patient advocates.</w:t>
            </w:r>
          </w:p>
        </w:tc>
        <w:tc>
          <w:tcPr>
            <w:tcW w:w="1224" w:type="pct"/>
          </w:tcPr>
          <w:p w14:paraId="753C5D0F" w14:textId="27431132" w:rsidR="008D0EA5" w:rsidRPr="005B2876" w:rsidRDefault="008C18BD" w:rsidP="00352FD0">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This was presented to the indicator advisory committee in June 2022 as part of the consultation report for CKD indicators but no indicators on education programmes or patient advocates were progressed. </w:t>
            </w:r>
          </w:p>
        </w:tc>
      </w:tr>
    </w:tbl>
    <w:p w14:paraId="024BE720" w14:textId="7DC444AF" w:rsidR="00C77B40" w:rsidRDefault="00C77B40" w:rsidP="00982090">
      <w:pPr>
        <w:pStyle w:val="Paragraph"/>
      </w:pPr>
      <w:r w:rsidRPr="00C77B40">
        <w:t>General comments</w:t>
      </w:r>
    </w:p>
    <w:tbl>
      <w:tblPr>
        <w:tblStyle w:val="TableGrid"/>
        <w:tblW w:w="5000" w:type="pct"/>
        <w:tblLook w:val="04A0" w:firstRow="1" w:lastRow="0" w:firstColumn="1" w:lastColumn="0" w:noHBand="0" w:noVBand="1"/>
      </w:tblPr>
      <w:tblGrid>
        <w:gridCol w:w="494"/>
        <w:gridCol w:w="1194"/>
        <w:gridCol w:w="2857"/>
        <w:gridCol w:w="5990"/>
        <w:gridCol w:w="3415"/>
      </w:tblGrid>
      <w:tr w:rsidR="00C77B40" w:rsidRPr="00215444" w14:paraId="0CC02352" w14:textId="77777777" w:rsidTr="00342C38">
        <w:trPr>
          <w:tblHeader/>
        </w:trPr>
        <w:tc>
          <w:tcPr>
            <w:tcW w:w="177" w:type="pct"/>
            <w:noWrap/>
            <w:hideMark/>
          </w:tcPr>
          <w:p w14:paraId="6144FFDE" w14:textId="77777777" w:rsidR="00C77B40" w:rsidRPr="00215444" w:rsidRDefault="00C77B40" w:rsidP="00342C38">
            <w:pPr>
              <w:pStyle w:val="NICEnormal"/>
              <w:spacing w:line="240" w:lineRule="auto"/>
              <w:rPr>
                <w:rFonts w:cs="Arial"/>
                <w:b/>
                <w:sz w:val="22"/>
                <w:szCs w:val="22"/>
              </w:rPr>
            </w:pPr>
            <w:r>
              <w:rPr>
                <w:rFonts w:cs="Arial"/>
                <w:b/>
                <w:sz w:val="22"/>
                <w:szCs w:val="22"/>
              </w:rPr>
              <w:lastRenderedPageBreak/>
              <w:t>ID</w:t>
            </w:r>
          </w:p>
        </w:tc>
        <w:tc>
          <w:tcPr>
            <w:tcW w:w="428" w:type="pct"/>
          </w:tcPr>
          <w:p w14:paraId="2F18C6E2" w14:textId="77777777" w:rsidR="00C77B40" w:rsidRPr="00215444" w:rsidRDefault="00C77B40"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6492A0C5" w14:textId="77777777" w:rsidR="00C77B40" w:rsidRPr="00215444" w:rsidRDefault="00C77B40"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682E8925" w14:textId="77777777" w:rsidR="00C77B40" w:rsidRPr="00215444" w:rsidRDefault="00C77B40"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5C5039A4" w14:textId="77777777" w:rsidR="00C77B40" w:rsidRPr="00215444" w:rsidRDefault="00C77B40" w:rsidP="00342C38">
            <w:pPr>
              <w:pStyle w:val="NICEnormal"/>
              <w:spacing w:line="240" w:lineRule="auto"/>
              <w:rPr>
                <w:rFonts w:cs="Arial"/>
                <w:b/>
                <w:sz w:val="22"/>
                <w:szCs w:val="22"/>
              </w:rPr>
            </w:pPr>
            <w:r>
              <w:rPr>
                <w:rFonts w:cs="Arial"/>
                <w:b/>
                <w:sz w:val="22"/>
                <w:szCs w:val="22"/>
              </w:rPr>
              <w:t>NICE response</w:t>
            </w:r>
          </w:p>
        </w:tc>
      </w:tr>
      <w:tr w:rsidR="008D0EA5" w:rsidRPr="00215444" w14:paraId="1057B448" w14:textId="240F4366" w:rsidTr="000528DF">
        <w:tc>
          <w:tcPr>
            <w:tcW w:w="177" w:type="pct"/>
          </w:tcPr>
          <w:p w14:paraId="52060AE8" w14:textId="6C6FC794" w:rsidR="008D0EA5" w:rsidRDefault="008D0EA5" w:rsidP="00015441">
            <w:pPr>
              <w:rPr>
                <w:rFonts w:ascii="Arial" w:hAnsi="Arial" w:cs="Arial"/>
                <w:color w:val="000000"/>
                <w:sz w:val="22"/>
                <w:szCs w:val="22"/>
                <w:lang w:eastAsia="en-GB"/>
              </w:rPr>
            </w:pPr>
            <w:r>
              <w:rPr>
                <w:rFonts w:ascii="Arial" w:hAnsi="Arial" w:cs="Arial"/>
                <w:color w:val="000000"/>
                <w:sz w:val="22"/>
                <w:szCs w:val="22"/>
                <w:lang w:eastAsia="en-GB"/>
              </w:rPr>
              <w:t>06</w:t>
            </w:r>
          </w:p>
        </w:tc>
        <w:tc>
          <w:tcPr>
            <w:tcW w:w="428" w:type="pct"/>
          </w:tcPr>
          <w:p w14:paraId="4CDD57CC" w14:textId="01FFAD8E" w:rsidR="008D0EA5" w:rsidRPr="00A94A2F" w:rsidRDefault="008D0EA5" w:rsidP="009B0897">
            <w:pPr>
              <w:rPr>
                <w:rFonts w:ascii="Arial" w:hAnsi="Arial" w:cs="Arial"/>
                <w:color w:val="000000"/>
                <w:sz w:val="22"/>
                <w:szCs w:val="22"/>
                <w:lang w:eastAsia="en-GB"/>
              </w:rPr>
            </w:pPr>
            <w:r>
              <w:rPr>
                <w:rFonts w:ascii="Arial" w:hAnsi="Arial" w:cs="Arial"/>
                <w:color w:val="000000"/>
                <w:sz w:val="22"/>
                <w:szCs w:val="22"/>
                <w:lang w:eastAsia="en-GB"/>
              </w:rPr>
              <w:t>General</w:t>
            </w:r>
          </w:p>
        </w:tc>
        <w:tc>
          <w:tcPr>
            <w:tcW w:w="1024" w:type="pct"/>
          </w:tcPr>
          <w:p w14:paraId="627E0E11" w14:textId="4A90FB4A" w:rsidR="008D0EA5" w:rsidRPr="00A94A2F" w:rsidRDefault="008D0EA5" w:rsidP="00015441">
            <w:pPr>
              <w:rPr>
                <w:rFonts w:ascii="Arial" w:hAnsi="Arial" w:cs="Arial"/>
                <w:color w:val="000000"/>
                <w:sz w:val="22"/>
                <w:szCs w:val="22"/>
                <w:lang w:eastAsia="en-GB"/>
              </w:rPr>
            </w:pPr>
            <w:r>
              <w:rPr>
                <w:rFonts w:ascii="Arial" w:hAnsi="Arial" w:cs="Arial"/>
                <w:color w:val="000000"/>
                <w:sz w:val="22"/>
                <w:szCs w:val="22"/>
                <w:lang w:eastAsia="en-GB"/>
              </w:rPr>
              <w:t>AstraZeneca</w:t>
            </w:r>
          </w:p>
        </w:tc>
        <w:tc>
          <w:tcPr>
            <w:tcW w:w="2147" w:type="pct"/>
          </w:tcPr>
          <w:p w14:paraId="0FABF99D" w14:textId="77777777" w:rsidR="008D0EA5" w:rsidRDefault="008D0EA5" w:rsidP="008112BE">
            <w:pPr>
              <w:rPr>
                <w:rFonts w:ascii="Arial" w:hAnsi="Arial" w:cs="Arial"/>
                <w:color w:val="000000"/>
                <w:sz w:val="22"/>
                <w:szCs w:val="22"/>
                <w:lang w:eastAsia="en-GB"/>
              </w:rPr>
            </w:pPr>
            <w:r w:rsidRPr="00E46E83">
              <w:rPr>
                <w:rFonts w:ascii="Arial" w:hAnsi="Arial" w:cs="Arial"/>
                <w:color w:val="000000"/>
                <w:sz w:val="22"/>
                <w:szCs w:val="22"/>
                <w:lang w:eastAsia="en-GB"/>
              </w:rPr>
              <w:t>Ultimately, while measuring testing is important, encouraging appropriate management is likely to have a more significant impact on patient outcomes. We therefore suggest that NICE focuses its efforts on indicators that encourage best practice in management and intervention, in line with guidance set out in NG203 on interventions to address CVD risk and manage CKD</w:t>
            </w:r>
            <w:r>
              <w:rPr>
                <w:rFonts w:ascii="Arial" w:hAnsi="Arial" w:cs="Arial"/>
                <w:color w:val="000000"/>
                <w:sz w:val="22"/>
                <w:szCs w:val="22"/>
                <w:lang w:eastAsia="en-GB"/>
              </w:rPr>
              <w:t xml:space="preserve"> (</w:t>
            </w:r>
            <w:r w:rsidRPr="00E46E83">
              <w:rPr>
                <w:rFonts w:ascii="Arial" w:hAnsi="Arial" w:cs="Arial"/>
                <w:color w:val="000000"/>
                <w:sz w:val="22"/>
                <w:szCs w:val="22"/>
                <w:lang w:eastAsia="en-GB"/>
              </w:rPr>
              <w:t xml:space="preserve">National Institute for Health and Care Excellence, Chronic kidney disease: assessment and management, NICE guideline 203 [NG203], 25 August 2021. Available at: </w:t>
            </w:r>
            <w:hyperlink r:id="rId21" w:history="1">
              <w:r w:rsidRPr="009D0053">
                <w:rPr>
                  <w:rStyle w:val="Hyperlink"/>
                  <w:rFonts w:ascii="Arial" w:hAnsi="Arial" w:cs="Arial"/>
                  <w:sz w:val="22"/>
                  <w:szCs w:val="22"/>
                  <w:lang w:eastAsia="en-GB"/>
                </w:rPr>
                <w:t>https://www.nice.org.uk/guidance/ng203/resources/chronic-kidney-disease-assessment-and-management-pdf-66143713055173</w:t>
              </w:r>
            </w:hyperlink>
            <w:r>
              <w:rPr>
                <w:rFonts w:ascii="Arial" w:hAnsi="Arial" w:cs="Arial"/>
                <w:color w:val="000000"/>
                <w:sz w:val="22"/>
                <w:szCs w:val="22"/>
                <w:lang w:eastAsia="en-GB"/>
              </w:rPr>
              <w:t xml:space="preserve">) </w:t>
            </w:r>
            <w:r w:rsidRPr="00E46E83">
              <w:rPr>
                <w:rFonts w:ascii="Arial" w:hAnsi="Arial" w:cs="Arial"/>
                <w:color w:val="000000"/>
                <w:sz w:val="22"/>
                <w:szCs w:val="22"/>
                <w:lang w:eastAsia="en-GB"/>
              </w:rPr>
              <w:t xml:space="preserve"> and NG28 on managing CKD in patients with diabetes</w:t>
            </w:r>
            <w:r>
              <w:rPr>
                <w:rFonts w:ascii="Arial" w:hAnsi="Arial" w:cs="Arial"/>
                <w:color w:val="000000"/>
                <w:sz w:val="22"/>
                <w:szCs w:val="22"/>
                <w:lang w:eastAsia="en-GB"/>
              </w:rPr>
              <w:t xml:space="preserve"> (</w:t>
            </w:r>
            <w:r w:rsidRPr="00E46E83">
              <w:rPr>
                <w:rFonts w:ascii="Arial" w:hAnsi="Arial" w:cs="Arial"/>
                <w:color w:val="000000"/>
                <w:sz w:val="22"/>
                <w:szCs w:val="22"/>
                <w:lang w:eastAsia="en-GB"/>
              </w:rPr>
              <w:t xml:space="preserve">National Institute for Health and Care Excellence, Type 2 diabetes in adults: management, NICE guideline 28 [NG28], 2 December 2015. Available at: </w:t>
            </w:r>
            <w:hyperlink r:id="rId22" w:history="1">
              <w:r w:rsidRPr="009D0053">
                <w:rPr>
                  <w:rStyle w:val="Hyperlink"/>
                  <w:rFonts w:ascii="Arial" w:hAnsi="Arial" w:cs="Arial"/>
                  <w:sz w:val="22"/>
                  <w:szCs w:val="22"/>
                  <w:lang w:eastAsia="en-GB"/>
                </w:rPr>
                <w:t>https://www.nice.org.uk/guidance/ng28/resources/type-2-diabetes-in-adults-management-pdf-1837338615493</w:t>
              </w:r>
            </w:hyperlink>
            <w:r>
              <w:rPr>
                <w:rFonts w:ascii="Arial" w:hAnsi="Arial" w:cs="Arial"/>
                <w:color w:val="000000"/>
                <w:sz w:val="22"/>
                <w:szCs w:val="22"/>
                <w:lang w:eastAsia="en-GB"/>
              </w:rPr>
              <w:t>)</w:t>
            </w:r>
            <w:r w:rsidRPr="00E46E83">
              <w:rPr>
                <w:rFonts w:ascii="Arial" w:hAnsi="Arial" w:cs="Arial"/>
                <w:color w:val="000000"/>
                <w:sz w:val="22"/>
                <w:szCs w:val="22"/>
                <w:lang w:eastAsia="en-GB"/>
              </w:rPr>
              <w:t>.</w:t>
            </w:r>
          </w:p>
          <w:p w14:paraId="18EE7DAA" w14:textId="77777777" w:rsidR="008D0EA5" w:rsidRPr="00A94A2F" w:rsidRDefault="008D0EA5" w:rsidP="00A94A2F">
            <w:pPr>
              <w:rPr>
                <w:rFonts w:ascii="Arial" w:hAnsi="Arial" w:cs="Arial"/>
                <w:color w:val="000000"/>
                <w:sz w:val="22"/>
                <w:szCs w:val="22"/>
                <w:lang w:eastAsia="en-GB"/>
              </w:rPr>
            </w:pPr>
          </w:p>
        </w:tc>
        <w:tc>
          <w:tcPr>
            <w:tcW w:w="1224" w:type="pct"/>
          </w:tcPr>
          <w:p w14:paraId="7899625D" w14:textId="3FF8BD3F" w:rsidR="008D0EA5" w:rsidRPr="00E46E83" w:rsidRDefault="008C18BD" w:rsidP="008112BE">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Indicator </w:t>
            </w:r>
            <w:r w:rsidR="00425640">
              <w:rPr>
                <w:rFonts w:ascii="Arial" w:hAnsi="Arial" w:cs="Arial"/>
                <w:color w:val="000000"/>
                <w:sz w:val="22"/>
                <w:szCs w:val="22"/>
                <w:lang w:eastAsia="en-GB"/>
              </w:rPr>
              <w:t>NM213</w:t>
            </w:r>
            <w:r>
              <w:rPr>
                <w:rFonts w:ascii="Arial" w:hAnsi="Arial" w:cs="Arial"/>
                <w:color w:val="000000"/>
                <w:sz w:val="22"/>
                <w:szCs w:val="22"/>
                <w:lang w:eastAsia="en-GB"/>
              </w:rPr>
              <w:t xml:space="preserve"> on lipid management in people with CKD was progressed at indicator advisory committee meeting in June 2022. NICE will explore indicators on </w:t>
            </w:r>
            <w:r w:rsidR="00DB2921">
              <w:rPr>
                <w:rFonts w:ascii="Arial" w:hAnsi="Arial" w:cs="Arial"/>
                <w:color w:val="000000"/>
                <w:sz w:val="22"/>
                <w:szCs w:val="22"/>
                <w:lang w:eastAsia="en-GB"/>
              </w:rPr>
              <w:t xml:space="preserve">treatment with </w:t>
            </w:r>
            <w:r>
              <w:rPr>
                <w:rFonts w:ascii="Arial" w:hAnsi="Arial" w:cs="Arial"/>
                <w:color w:val="000000"/>
                <w:sz w:val="22"/>
                <w:szCs w:val="22"/>
                <w:lang w:eastAsia="en-GB"/>
              </w:rPr>
              <w:t xml:space="preserve">ACE inhibitor and SGLT2 inhibitor </w:t>
            </w:r>
            <w:r w:rsidR="00DB2921">
              <w:rPr>
                <w:rFonts w:ascii="Arial" w:hAnsi="Arial" w:cs="Arial"/>
                <w:color w:val="000000"/>
                <w:sz w:val="22"/>
                <w:szCs w:val="22"/>
                <w:lang w:eastAsia="en-GB"/>
              </w:rPr>
              <w:t>for</w:t>
            </w:r>
            <w:r>
              <w:rPr>
                <w:rFonts w:ascii="Arial" w:hAnsi="Arial" w:cs="Arial"/>
                <w:color w:val="000000"/>
                <w:sz w:val="22"/>
                <w:szCs w:val="22"/>
                <w:lang w:eastAsia="en-GB"/>
              </w:rPr>
              <w:t xml:space="preserve"> people with CKD</w:t>
            </w:r>
            <w:r w:rsidR="00CC3237">
              <w:rPr>
                <w:rFonts w:ascii="Arial" w:hAnsi="Arial" w:cs="Arial"/>
                <w:color w:val="000000"/>
                <w:sz w:val="22"/>
                <w:szCs w:val="22"/>
                <w:lang w:eastAsia="en-GB"/>
              </w:rPr>
              <w:t xml:space="preserve"> </w:t>
            </w:r>
            <w:r w:rsidR="00CC3237" w:rsidRPr="00012CC3">
              <w:rPr>
                <w:rFonts w:ascii="Arial" w:hAnsi="Arial" w:cs="Arial"/>
                <w:color w:val="000000"/>
                <w:sz w:val="22"/>
                <w:szCs w:val="22"/>
                <w:lang w:eastAsia="en-GB"/>
              </w:rPr>
              <w:t>in the next cycle of the work programme</w:t>
            </w:r>
            <w:r>
              <w:rPr>
                <w:rFonts w:ascii="Arial" w:hAnsi="Arial" w:cs="Arial"/>
                <w:color w:val="000000"/>
                <w:sz w:val="22"/>
                <w:szCs w:val="22"/>
                <w:lang w:eastAsia="en-GB"/>
              </w:rPr>
              <w:t xml:space="preserve">. </w:t>
            </w:r>
          </w:p>
        </w:tc>
      </w:tr>
      <w:tr w:rsidR="008D0EA5" w:rsidRPr="00215444" w14:paraId="5D7DC981" w14:textId="408C2568" w:rsidTr="000528DF">
        <w:tc>
          <w:tcPr>
            <w:tcW w:w="177" w:type="pct"/>
          </w:tcPr>
          <w:p w14:paraId="0326D01D" w14:textId="7585C320" w:rsidR="008D0EA5" w:rsidRPr="00A94A2F" w:rsidRDefault="008D0EA5" w:rsidP="00015441">
            <w:pPr>
              <w:rPr>
                <w:rFonts w:ascii="Arial" w:hAnsi="Arial" w:cs="Arial"/>
                <w:color w:val="000000"/>
                <w:sz w:val="22"/>
                <w:szCs w:val="22"/>
                <w:lang w:eastAsia="en-GB"/>
              </w:rPr>
            </w:pPr>
            <w:r>
              <w:rPr>
                <w:rFonts w:ascii="Arial" w:hAnsi="Arial" w:cs="Arial"/>
                <w:color w:val="000000"/>
                <w:sz w:val="22"/>
                <w:szCs w:val="22"/>
                <w:lang w:eastAsia="en-GB"/>
              </w:rPr>
              <w:t>0</w:t>
            </w:r>
            <w:r w:rsidR="000444C3">
              <w:rPr>
                <w:rFonts w:ascii="Arial" w:hAnsi="Arial" w:cs="Arial"/>
                <w:color w:val="000000"/>
                <w:sz w:val="22"/>
                <w:szCs w:val="22"/>
                <w:lang w:eastAsia="en-GB"/>
              </w:rPr>
              <w:t>7</w:t>
            </w:r>
          </w:p>
        </w:tc>
        <w:tc>
          <w:tcPr>
            <w:tcW w:w="428" w:type="pct"/>
          </w:tcPr>
          <w:p w14:paraId="030A9007" w14:textId="29ED0A8D" w:rsidR="008D0EA5" w:rsidRPr="00A94A2F" w:rsidRDefault="008D0EA5" w:rsidP="009B0897">
            <w:pPr>
              <w:rPr>
                <w:rFonts w:ascii="Arial" w:hAnsi="Arial" w:cs="Arial"/>
                <w:color w:val="000000"/>
                <w:sz w:val="22"/>
                <w:szCs w:val="22"/>
                <w:lang w:eastAsia="en-GB"/>
              </w:rPr>
            </w:pPr>
            <w:r w:rsidRPr="00A94A2F">
              <w:rPr>
                <w:rFonts w:ascii="Arial" w:hAnsi="Arial" w:cs="Arial"/>
                <w:color w:val="000000"/>
                <w:sz w:val="22"/>
                <w:szCs w:val="22"/>
                <w:lang w:eastAsia="en-GB"/>
              </w:rPr>
              <w:t>General</w:t>
            </w:r>
          </w:p>
        </w:tc>
        <w:tc>
          <w:tcPr>
            <w:tcW w:w="1024" w:type="pct"/>
          </w:tcPr>
          <w:p w14:paraId="47440575" w14:textId="696C2316" w:rsidR="008D0EA5" w:rsidRPr="00A94A2F" w:rsidRDefault="008D0EA5" w:rsidP="00015441">
            <w:pPr>
              <w:rPr>
                <w:rFonts w:ascii="Arial" w:hAnsi="Arial" w:cs="Arial"/>
                <w:color w:val="000000"/>
                <w:sz w:val="22"/>
                <w:szCs w:val="22"/>
                <w:lang w:eastAsia="en-GB"/>
              </w:rPr>
            </w:pPr>
            <w:r w:rsidRPr="00A94A2F">
              <w:rPr>
                <w:rFonts w:ascii="Arial" w:hAnsi="Arial" w:cs="Arial"/>
                <w:color w:val="000000"/>
                <w:sz w:val="22"/>
                <w:szCs w:val="22"/>
                <w:lang w:eastAsia="en-GB"/>
              </w:rPr>
              <w:t>Kidney Research UK</w:t>
            </w:r>
          </w:p>
        </w:tc>
        <w:tc>
          <w:tcPr>
            <w:tcW w:w="2147" w:type="pct"/>
          </w:tcPr>
          <w:p w14:paraId="6A2A3167" w14:textId="5945208E" w:rsidR="008D0EA5" w:rsidRDefault="008D0EA5" w:rsidP="00A94A2F">
            <w:pPr>
              <w:rPr>
                <w:rFonts w:ascii="Arial" w:hAnsi="Arial" w:cs="Arial"/>
                <w:color w:val="000000"/>
                <w:sz w:val="22"/>
                <w:szCs w:val="22"/>
                <w:lang w:eastAsia="en-GB"/>
              </w:rPr>
            </w:pPr>
            <w:r w:rsidRPr="00A94A2F">
              <w:rPr>
                <w:rFonts w:ascii="Arial" w:hAnsi="Arial" w:cs="Arial"/>
                <w:color w:val="000000"/>
                <w:sz w:val="22"/>
                <w:szCs w:val="22"/>
                <w:lang w:eastAsia="en-GB"/>
              </w:rPr>
              <w:t xml:space="preserve">There are significant health inequalities associated with kidney disease. In 2019, Kidney Research UK published a report </w:t>
            </w:r>
            <w:hyperlink r:id="rId23" w:history="1">
              <w:r w:rsidRPr="00A94A2F">
                <w:rPr>
                  <w:rStyle w:val="Hyperlink"/>
                  <w:rFonts w:ascii="Arial" w:hAnsi="Arial" w:cs="Arial"/>
                  <w:sz w:val="22"/>
                  <w:szCs w:val="22"/>
                  <w:lang w:eastAsia="en-GB"/>
                </w:rPr>
                <w:t>Kidney Health Inequalities in the UK: reflecting on the past, reducing in the future</w:t>
              </w:r>
            </w:hyperlink>
            <w:r w:rsidRPr="00A94A2F">
              <w:rPr>
                <w:rFonts w:ascii="Arial" w:hAnsi="Arial" w:cs="Arial"/>
                <w:color w:val="000000"/>
                <w:sz w:val="22"/>
                <w:szCs w:val="22"/>
                <w:lang w:eastAsia="en-GB"/>
              </w:rPr>
              <w:t>.</w:t>
            </w:r>
          </w:p>
          <w:p w14:paraId="63873BDB" w14:textId="513B4746" w:rsidR="008D0EA5" w:rsidRPr="00A94A2F" w:rsidRDefault="008D0EA5" w:rsidP="00A94A2F">
            <w:pPr>
              <w:rPr>
                <w:rFonts w:ascii="Arial" w:hAnsi="Arial" w:cs="Arial"/>
                <w:color w:val="000000"/>
                <w:sz w:val="22"/>
                <w:szCs w:val="22"/>
                <w:lang w:eastAsia="en-GB"/>
              </w:rPr>
            </w:pPr>
            <w:r w:rsidRPr="00A94A2F">
              <w:rPr>
                <w:rFonts w:ascii="Arial" w:hAnsi="Arial" w:cs="Arial"/>
                <w:color w:val="000000"/>
                <w:sz w:val="22"/>
                <w:szCs w:val="22"/>
                <w:lang w:eastAsia="en-GB"/>
              </w:rPr>
              <w:t xml:space="preserve">The report set out evidence of the impact of CKD on different groups within society. It found that health inequalities existed related to ethnicity, age, gender, socio-economic status and rurality of location. It found that people from ethnic minority groups are more likely to develop CKD and progress faster towards kidney failure than people from Caucasian backgrounds. In particular, people from South Asian and Black communities are more </w:t>
            </w:r>
            <w:r w:rsidRPr="00A94A2F">
              <w:rPr>
                <w:rFonts w:ascii="Arial" w:hAnsi="Arial" w:cs="Arial"/>
                <w:color w:val="000000"/>
                <w:sz w:val="22"/>
                <w:szCs w:val="22"/>
                <w:lang w:eastAsia="en-GB"/>
              </w:rPr>
              <w:lastRenderedPageBreak/>
              <w:t xml:space="preserve">likely to live with the risk factors associated with kidney disease (type-2 diabetes, hypertension and cardio-vascular conditions) and are three to five times more likely to start dialysis than people from Caucasian backgrounds.  </w:t>
            </w:r>
          </w:p>
          <w:p w14:paraId="56103ED0" w14:textId="77777777" w:rsidR="008D0EA5" w:rsidRPr="00A94A2F" w:rsidRDefault="008D0EA5" w:rsidP="00A94A2F">
            <w:pPr>
              <w:rPr>
                <w:rFonts w:ascii="Arial" w:hAnsi="Arial" w:cs="Arial"/>
                <w:color w:val="000000"/>
                <w:sz w:val="22"/>
                <w:szCs w:val="22"/>
                <w:lang w:eastAsia="en-GB"/>
              </w:rPr>
            </w:pPr>
          </w:p>
          <w:p w14:paraId="17922AB9" w14:textId="48468DE0" w:rsidR="008D0EA5" w:rsidRPr="005B73E7" w:rsidRDefault="008D0EA5" w:rsidP="00A94A2F">
            <w:pPr>
              <w:rPr>
                <w:rFonts w:ascii="Arial" w:hAnsi="Arial" w:cs="Arial"/>
                <w:color w:val="000000"/>
                <w:sz w:val="22"/>
                <w:szCs w:val="22"/>
                <w:highlight w:val="cyan"/>
                <w:lang w:eastAsia="en-GB"/>
              </w:rPr>
            </w:pPr>
            <w:r w:rsidRPr="00A94A2F">
              <w:rPr>
                <w:rFonts w:ascii="Arial" w:hAnsi="Arial" w:cs="Arial"/>
                <w:color w:val="000000"/>
                <w:sz w:val="22"/>
                <w:szCs w:val="22"/>
                <w:lang w:eastAsia="en-GB"/>
              </w:rPr>
              <w:t>NICE proposals for general practice level indicators focusing on early identification of CKD in people at risk has the potential to positively impact people from ethnic minority groups.  Achieving an earlier diagnosis of CKD will enable treatment to start earlier, thus potentially delaying/preventing progression of the disease and reducing the likelihood of comorbidities. However, additional indicators related to monitoring at-risk groups could further positively impact people from ethnic minority groups (see comment 4 below).</w:t>
            </w:r>
          </w:p>
        </w:tc>
        <w:tc>
          <w:tcPr>
            <w:tcW w:w="1224" w:type="pct"/>
          </w:tcPr>
          <w:p w14:paraId="5B83CBF0" w14:textId="5B034E1D" w:rsidR="008D0EA5" w:rsidRPr="00A94A2F" w:rsidRDefault="00F84619" w:rsidP="00A94A2F">
            <w:pPr>
              <w:rPr>
                <w:rFonts w:ascii="Arial" w:hAnsi="Arial" w:cs="Arial"/>
                <w:color w:val="000000"/>
                <w:sz w:val="22"/>
                <w:szCs w:val="22"/>
                <w:lang w:eastAsia="en-GB"/>
              </w:rPr>
            </w:pPr>
            <w:r>
              <w:rPr>
                <w:rFonts w:ascii="Arial" w:hAnsi="Arial" w:cs="Arial"/>
                <w:color w:val="000000"/>
                <w:sz w:val="22"/>
                <w:szCs w:val="22"/>
                <w:lang w:eastAsia="en-GB"/>
              </w:rPr>
              <w:lastRenderedPageBreak/>
              <w:t xml:space="preserve">Thank you for your comment. </w:t>
            </w:r>
          </w:p>
        </w:tc>
      </w:tr>
      <w:tr w:rsidR="008D0EA5" w:rsidRPr="00215444" w14:paraId="0086D206" w14:textId="6A33A920" w:rsidTr="000528DF">
        <w:tc>
          <w:tcPr>
            <w:tcW w:w="177" w:type="pct"/>
          </w:tcPr>
          <w:p w14:paraId="26B7EEEF" w14:textId="183E36B7" w:rsidR="008D0EA5" w:rsidRPr="00A94A2F" w:rsidRDefault="008D0EA5" w:rsidP="00015441">
            <w:pPr>
              <w:rPr>
                <w:rFonts w:ascii="Arial" w:hAnsi="Arial" w:cs="Arial"/>
                <w:color w:val="000000"/>
                <w:sz w:val="22"/>
                <w:szCs w:val="22"/>
                <w:lang w:eastAsia="en-GB"/>
              </w:rPr>
            </w:pPr>
            <w:r>
              <w:rPr>
                <w:rFonts w:ascii="Arial" w:hAnsi="Arial" w:cs="Arial"/>
                <w:color w:val="000000"/>
                <w:sz w:val="22"/>
                <w:szCs w:val="22"/>
                <w:lang w:eastAsia="en-GB"/>
              </w:rPr>
              <w:t>0</w:t>
            </w:r>
            <w:r w:rsidR="000444C3">
              <w:rPr>
                <w:rFonts w:ascii="Arial" w:hAnsi="Arial" w:cs="Arial"/>
                <w:color w:val="000000"/>
                <w:sz w:val="22"/>
                <w:szCs w:val="22"/>
                <w:lang w:eastAsia="en-GB"/>
              </w:rPr>
              <w:t>8</w:t>
            </w:r>
          </w:p>
        </w:tc>
        <w:tc>
          <w:tcPr>
            <w:tcW w:w="428" w:type="pct"/>
          </w:tcPr>
          <w:p w14:paraId="79560443" w14:textId="211AF62C" w:rsidR="008D0EA5" w:rsidRPr="00A94A2F" w:rsidRDefault="008D0EA5" w:rsidP="009B0897">
            <w:pPr>
              <w:rPr>
                <w:rFonts w:ascii="Arial" w:hAnsi="Arial" w:cs="Arial"/>
                <w:color w:val="000000"/>
                <w:sz w:val="22"/>
                <w:szCs w:val="22"/>
                <w:lang w:eastAsia="en-GB"/>
              </w:rPr>
            </w:pPr>
            <w:r>
              <w:rPr>
                <w:rFonts w:ascii="Arial" w:hAnsi="Arial" w:cs="Arial"/>
                <w:color w:val="000000"/>
                <w:sz w:val="22"/>
                <w:szCs w:val="22"/>
                <w:lang w:eastAsia="en-GB"/>
              </w:rPr>
              <w:t>General</w:t>
            </w:r>
          </w:p>
        </w:tc>
        <w:tc>
          <w:tcPr>
            <w:tcW w:w="1024" w:type="pct"/>
          </w:tcPr>
          <w:p w14:paraId="73EE7C71" w14:textId="0DAFE71C" w:rsidR="008D0EA5" w:rsidRPr="00A94A2F" w:rsidRDefault="008D0EA5" w:rsidP="00015441">
            <w:pPr>
              <w:rPr>
                <w:rFonts w:ascii="Arial" w:hAnsi="Arial" w:cs="Arial"/>
                <w:color w:val="000000"/>
                <w:sz w:val="22"/>
                <w:szCs w:val="22"/>
                <w:lang w:eastAsia="en-GB"/>
              </w:rPr>
            </w:pPr>
            <w:r>
              <w:rPr>
                <w:rFonts w:ascii="Arial" w:hAnsi="Arial" w:cs="Arial"/>
                <w:color w:val="000000"/>
                <w:sz w:val="22"/>
                <w:szCs w:val="22"/>
                <w:lang w:eastAsia="en-GB"/>
              </w:rPr>
              <w:t>Kidney Research UK</w:t>
            </w:r>
          </w:p>
        </w:tc>
        <w:tc>
          <w:tcPr>
            <w:tcW w:w="2147" w:type="pct"/>
          </w:tcPr>
          <w:p w14:paraId="1F28EFDE" w14:textId="4BA46423" w:rsidR="008D0EA5" w:rsidRPr="00A94A2F" w:rsidRDefault="008D0EA5" w:rsidP="00A94A2F">
            <w:pPr>
              <w:rPr>
                <w:rFonts w:ascii="Arial" w:hAnsi="Arial" w:cs="Arial"/>
                <w:sz w:val="20"/>
              </w:rPr>
            </w:pPr>
            <w:r w:rsidRPr="00A94A2F">
              <w:rPr>
                <w:rFonts w:ascii="Arial" w:hAnsi="Arial" w:cs="Arial"/>
                <w:sz w:val="22"/>
                <w:szCs w:val="28"/>
              </w:rPr>
              <w:t xml:space="preserve">While we welcome these indicators, we believe there are further indicators which should be introduced regarding identification of CKD in patients living with known risk factors such as diabetes, hypertension and cardiovascular disease. These are all conditions for which GPs have existing registers and patients on these registers should be monitored for evidence of CKD. This could particularly positively impact people from ethnic minority communities, who are more likely to live with the risk factors associated with CKD (diabetes, hypertension and cardio-vascular disease) and are more likely to go on to develop CKD. </w:t>
            </w:r>
          </w:p>
        </w:tc>
        <w:tc>
          <w:tcPr>
            <w:tcW w:w="1224" w:type="pct"/>
          </w:tcPr>
          <w:p w14:paraId="5AEC22E4" w14:textId="483C58BE" w:rsidR="008D0EA5" w:rsidRPr="00A94A2F" w:rsidRDefault="00F84619" w:rsidP="00A94A2F">
            <w:pPr>
              <w:rPr>
                <w:rFonts w:ascii="Arial" w:hAnsi="Arial" w:cs="Arial"/>
                <w:sz w:val="22"/>
                <w:szCs w:val="28"/>
              </w:rPr>
            </w:pPr>
            <w:r>
              <w:rPr>
                <w:rFonts w:ascii="Arial" w:hAnsi="Arial" w:cs="Arial"/>
                <w:color w:val="000000"/>
                <w:sz w:val="22"/>
                <w:szCs w:val="22"/>
                <w:lang w:eastAsia="en-GB"/>
              </w:rPr>
              <w:t xml:space="preserve">Thank you for your comment. Potential indicators on testing in people with risk factors were discussed at the indicator advisory committee in September 2021. Indicator </w:t>
            </w:r>
            <w:r w:rsidR="00425640">
              <w:rPr>
                <w:rFonts w:ascii="Arial" w:hAnsi="Arial" w:cs="Arial"/>
                <w:color w:val="000000"/>
                <w:sz w:val="22"/>
                <w:szCs w:val="22"/>
                <w:lang w:eastAsia="en-GB"/>
              </w:rPr>
              <w:t>NM214</w:t>
            </w:r>
            <w:r>
              <w:rPr>
                <w:rFonts w:ascii="Arial" w:hAnsi="Arial" w:cs="Arial"/>
                <w:color w:val="000000"/>
                <w:sz w:val="22"/>
                <w:szCs w:val="22"/>
                <w:lang w:eastAsia="en-GB"/>
              </w:rPr>
              <w:t xml:space="preserve"> on testing in people on long-term NSAIDs was progressed.</w:t>
            </w:r>
          </w:p>
        </w:tc>
      </w:tr>
      <w:tr w:rsidR="008D0EA5" w:rsidRPr="00215444" w14:paraId="3AD444DE" w14:textId="30035EBE" w:rsidTr="000528DF">
        <w:tc>
          <w:tcPr>
            <w:tcW w:w="177" w:type="pct"/>
          </w:tcPr>
          <w:p w14:paraId="685A1D08" w14:textId="585E34F1" w:rsidR="008D0EA5" w:rsidRDefault="000444C3" w:rsidP="00015441">
            <w:pPr>
              <w:rPr>
                <w:rFonts w:ascii="Arial" w:hAnsi="Arial" w:cs="Arial"/>
                <w:color w:val="000000"/>
                <w:sz w:val="22"/>
                <w:szCs w:val="22"/>
                <w:lang w:eastAsia="en-GB"/>
              </w:rPr>
            </w:pPr>
            <w:r>
              <w:rPr>
                <w:rFonts w:ascii="Arial" w:hAnsi="Arial" w:cs="Arial"/>
                <w:color w:val="000000"/>
                <w:sz w:val="22"/>
                <w:szCs w:val="22"/>
                <w:lang w:eastAsia="en-GB"/>
              </w:rPr>
              <w:t>09</w:t>
            </w:r>
          </w:p>
        </w:tc>
        <w:tc>
          <w:tcPr>
            <w:tcW w:w="428" w:type="pct"/>
          </w:tcPr>
          <w:p w14:paraId="6418AF12" w14:textId="66A3417E" w:rsidR="008D0EA5" w:rsidRDefault="008D0EA5" w:rsidP="009B0897">
            <w:pPr>
              <w:rPr>
                <w:rFonts w:ascii="Arial" w:hAnsi="Arial" w:cs="Arial"/>
                <w:color w:val="000000"/>
                <w:sz w:val="22"/>
                <w:szCs w:val="22"/>
                <w:lang w:eastAsia="en-GB"/>
              </w:rPr>
            </w:pPr>
            <w:r>
              <w:rPr>
                <w:rFonts w:ascii="Arial" w:hAnsi="Arial" w:cs="Arial"/>
                <w:color w:val="000000"/>
                <w:sz w:val="22"/>
                <w:szCs w:val="22"/>
                <w:lang w:eastAsia="en-GB"/>
              </w:rPr>
              <w:t>General</w:t>
            </w:r>
          </w:p>
        </w:tc>
        <w:tc>
          <w:tcPr>
            <w:tcW w:w="1024" w:type="pct"/>
          </w:tcPr>
          <w:p w14:paraId="22012659" w14:textId="73E4BA6B" w:rsidR="008D0EA5" w:rsidRDefault="008D0EA5" w:rsidP="00015441">
            <w:pPr>
              <w:rPr>
                <w:rFonts w:ascii="Arial" w:hAnsi="Arial" w:cs="Arial"/>
                <w:color w:val="000000"/>
                <w:sz w:val="22"/>
                <w:szCs w:val="22"/>
                <w:lang w:eastAsia="en-GB"/>
              </w:rPr>
            </w:pPr>
            <w:r>
              <w:rPr>
                <w:rFonts w:ascii="Arial" w:hAnsi="Arial" w:cs="Arial"/>
                <w:color w:val="000000"/>
                <w:sz w:val="22"/>
                <w:szCs w:val="22"/>
                <w:lang w:eastAsia="en-GB"/>
              </w:rPr>
              <w:t>Kidney Research UK</w:t>
            </w:r>
          </w:p>
        </w:tc>
        <w:tc>
          <w:tcPr>
            <w:tcW w:w="2147" w:type="pct"/>
          </w:tcPr>
          <w:p w14:paraId="536266D6" w14:textId="77777777" w:rsidR="008D0EA5" w:rsidRPr="000D273C" w:rsidRDefault="008D0EA5" w:rsidP="000D273C">
            <w:pPr>
              <w:rPr>
                <w:rFonts w:ascii="Arial" w:hAnsi="Arial" w:cs="Arial"/>
                <w:sz w:val="22"/>
                <w:szCs w:val="28"/>
              </w:rPr>
            </w:pPr>
            <w:r w:rsidRPr="000D273C">
              <w:rPr>
                <w:rFonts w:ascii="Arial" w:hAnsi="Arial" w:cs="Arial"/>
                <w:sz w:val="22"/>
                <w:szCs w:val="28"/>
              </w:rPr>
              <w:t xml:space="preserve">We strongly advocate inclusion of an indicator for annual monitoring for moderately raised albuminuria in all people with diabetes (see NG18 1.2.119 and 1.3.42 for children and young adults; NG 203 1.1.21 for adults). Diabetes is the commonest cause of end-stage kidney failure in the </w:t>
            </w:r>
            <w:r w:rsidRPr="000D273C">
              <w:rPr>
                <w:rFonts w:ascii="Arial" w:hAnsi="Arial" w:cs="Arial"/>
                <w:sz w:val="22"/>
                <w:szCs w:val="28"/>
              </w:rPr>
              <w:lastRenderedPageBreak/>
              <w:t>UK: detection of albuminuria should trigger additional preventive treatment; and repeated audits have shown failure to test for albuminuria in large numbers of people with diabetes in the UK.</w:t>
            </w:r>
          </w:p>
          <w:p w14:paraId="010FF218" w14:textId="77777777" w:rsidR="008D0EA5" w:rsidRPr="000D273C" w:rsidRDefault="008D0EA5" w:rsidP="000D273C">
            <w:pPr>
              <w:rPr>
                <w:rFonts w:ascii="Arial" w:hAnsi="Arial" w:cs="Arial"/>
                <w:sz w:val="22"/>
                <w:szCs w:val="28"/>
              </w:rPr>
            </w:pPr>
          </w:p>
          <w:p w14:paraId="2128F1E3" w14:textId="5BC727BB" w:rsidR="008D0EA5" w:rsidRPr="00E344DA" w:rsidRDefault="008D0EA5" w:rsidP="000D273C">
            <w:pPr>
              <w:rPr>
                <w:rFonts w:ascii="Arial" w:hAnsi="Arial" w:cs="Arial"/>
                <w:sz w:val="22"/>
                <w:szCs w:val="28"/>
              </w:rPr>
            </w:pPr>
            <w:r w:rsidRPr="000D273C">
              <w:rPr>
                <w:rFonts w:ascii="Arial" w:hAnsi="Arial" w:cs="Arial"/>
                <w:sz w:val="22"/>
                <w:szCs w:val="28"/>
              </w:rPr>
              <w:t>In 2017 we published a joint statement with Diabetes UK. The statement sets out the close link between diabetes and kidney disease and the life-threatening impact of kidney disease on diabetes patients. We believe much more needs to be done to monitor diabetes patients and prevent them developing renal failure.</w:t>
            </w:r>
          </w:p>
        </w:tc>
        <w:tc>
          <w:tcPr>
            <w:tcW w:w="1224" w:type="pct"/>
          </w:tcPr>
          <w:p w14:paraId="0C5677AB" w14:textId="3B9A819A" w:rsidR="008D0EA5" w:rsidRPr="000D273C" w:rsidRDefault="00F84619" w:rsidP="000D273C">
            <w:pPr>
              <w:rPr>
                <w:rFonts w:ascii="Arial" w:hAnsi="Arial" w:cs="Arial"/>
                <w:sz w:val="22"/>
                <w:szCs w:val="28"/>
              </w:rPr>
            </w:pPr>
            <w:r>
              <w:rPr>
                <w:rFonts w:ascii="Arial" w:hAnsi="Arial" w:cs="Arial"/>
                <w:color w:val="000000"/>
                <w:sz w:val="22"/>
                <w:szCs w:val="22"/>
                <w:lang w:eastAsia="en-GB"/>
              </w:rPr>
              <w:lastRenderedPageBreak/>
              <w:t xml:space="preserve">Thank you for your comment. NICE menu indicators NM59 and CCG70 measures the percentage of patients with diabetes who have a record of </w:t>
            </w:r>
            <w:r>
              <w:rPr>
                <w:rFonts w:ascii="Arial" w:hAnsi="Arial" w:cs="Arial"/>
                <w:color w:val="000000"/>
                <w:sz w:val="22"/>
                <w:szCs w:val="22"/>
                <w:lang w:eastAsia="en-GB"/>
              </w:rPr>
              <w:lastRenderedPageBreak/>
              <w:t>urine ACR in the preceding 12 or 15 months.</w:t>
            </w:r>
          </w:p>
        </w:tc>
      </w:tr>
      <w:tr w:rsidR="008D0EA5" w:rsidRPr="00215444" w14:paraId="75087128" w14:textId="6C398A06" w:rsidTr="000528DF">
        <w:tc>
          <w:tcPr>
            <w:tcW w:w="177" w:type="pct"/>
          </w:tcPr>
          <w:p w14:paraId="10BF019F" w14:textId="7D37A27C" w:rsidR="008D0EA5" w:rsidRPr="00A94A2F" w:rsidRDefault="008D0EA5" w:rsidP="00015441">
            <w:pPr>
              <w:rPr>
                <w:rFonts w:ascii="Arial" w:hAnsi="Arial" w:cs="Arial"/>
                <w:color w:val="000000"/>
                <w:sz w:val="22"/>
                <w:szCs w:val="22"/>
                <w:lang w:eastAsia="en-GB"/>
              </w:rPr>
            </w:pPr>
            <w:r>
              <w:rPr>
                <w:rFonts w:ascii="Arial" w:hAnsi="Arial" w:cs="Arial"/>
                <w:color w:val="000000"/>
                <w:sz w:val="22"/>
                <w:szCs w:val="22"/>
                <w:lang w:eastAsia="en-GB"/>
              </w:rPr>
              <w:lastRenderedPageBreak/>
              <w:t>1</w:t>
            </w:r>
            <w:r w:rsidR="000444C3">
              <w:rPr>
                <w:rFonts w:ascii="Arial" w:hAnsi="Arial" w:cs="Arial"/>
                <w:color w:val="000000"/>
                <w:sz w:val="22"/>
                <w:szCs w:val="22"/>
                <w:lang w:eastAsia="en-GB"/>
              </w:rPr>
              <w:t>0</w:t>
            </w:r>
          </w:p>
        </w:tc>
        <w:tc>
          <w:tcPr>
            <w:tcW w:w="428" w:type="pct"/>
          </w:tcPr>
          <w:p w14:paraId="0AADF912" w14:textId="7D6E64F9" w:rsidR="008D0EA5" w:rsidRDefault="008D0EA5" w:rsidP="009B0897">
            <w:pPr>
              <w:rPr>
                <w:rFonts w:ascii="Arial" w:hAnsi="Arial" w:cs="Arial"/>
                <w:color w:val="000000"/>
                <w:sz w:val="22"/>
                <w:szCs w:val="22"/>
                <w:lang w:eastAsia="en-GB"/>
              </w:rPr>
            </w:pPr>
            <w:r>
              <w:rPr>
                <w:rFonts w:ascii="Arial" w:hAnsi="Arial" w:cs="Arial"/>
                <w:color w:val="000000"/>
                <w:sz w:val="22"/>
                <w:szCs w:val="22"/>
                <w:lang w:eastAsia="en-GB"/>
              </w:rPr>
              <w:t>General</w:t>
            </w:r>
          </w:p>
        </w:tc>
        <w:tc>
          <w:tcPr>
            <w:tcW w:w="1024" w:type="pct"/>
          </w:tcPr>
          <w:p w14:paraId="4F38E5E1" w14:textId="456AF311" w:rsidR="008D0EA5" w:rsidRDefault="008D0EA5" w:rsidP="00015441">
            <w:pPr>
              <w:rPr>
                <w:rFonts w:ascii="Arial" w:hAnsi="Arial" w:cs="Arial"/>
                <w:color w:val="000000"/>
                <w:sz w:val="22"/>
                <w:szCs w:val="22"/>
                <w:lang w:eastAsia="en-GB"/>
              </w:rPr>
            </w:pPr>
            <w:r>
              <w:rPr>
                <w:rFonts w:ascii="Arial" w:hAnsi="Arial" w:cs="Arial"/>
                <w:color w:val="000000"/>
                <w:sz w:val="22"/>
                <w:szCs w:val="22"/>
                <w:lang w:eastAsia="en-GB"/>
              </w:rPr>
              <w:t>NHSEI (learning disability and autism programme)</w:t>
            </w:r>
          </w:p>
        </w:tc>
        <w:tc>
          <w:tcPr>
            <w:tcW w:w="2147" w:type="pct"/>
          </w:tcPr>
          <w:p w14:paraId="54D7C75F" w14:textId="568CDCB8" w:rsidR="008D0EA5" w:rsidRPr="00A94A2F" w:rsidRDefault="008D0EA5" w:rsidP="00A94A2F">
            <w:pPr>
              <w:rPr>
                <w:rFonts w:ascii="Arial" w:hAnsi="Arial" w:cs="Arial"/>
                <w:sz w:val="22"/>
                <w:szCs w:val="28"/>
              </w:rPr>
            </w:pPr>
            <w:r w:rsidRPr="00E344DA">
              <w:rPr>
                <w:rFonts w:ascii="Arial" w:hAnsi="Arial" w:cs="Arial"/>
                <w:sz w:val="22"/>
                <w:szCs w:val="28"/>
              </w:rPr>
              <w:t>For people with a learning disability, the importance of understanding the context of their general health, how it is progressing, the importance of a holistic annual health check. In relation to all the indicators (and not just for people with a learning disability): important that the checks are done together rather than in multiple health appointments.</w:t>
            </w:r>
          </w:p>
        </w:tc>
        <w:tc>
          <w:tcPr>
            <w:tcW w:w="1224" w:type="pct"/>
          </w:tcPr>
          <w:p w14:paraId="7670FD24" w14:textId="442FBCA9" w:rsidR="008D0EA5" w:rsidRPr="00E344DA" w:rsidRDefault="00F84619" w:rsidP="00A94A2F">
            <w:pPr>
              <w:rPr>
                <w:rFonts w:ascii="Arial" w:hAnsi="Arial" w:cs="Arial"/>
                <w:sz w:val="22"/>
                <w:szCs w:val="28"/>
              </w:rPr>
            </w:pPr>
            <w:r>
              <w:rPr>
                <w:rFonts w:ascii="Arial" w:hAnsi="Arial" w:cs="Arial"/>
                <w:sz w:val="22"/>
                <w:szCs w:val="28"/>
              </w:rPr>
              <w:t>Thank you for your comment.</w:t>
            </w:r>
          </w:p>
        </w:tc>
      </w:tr>
      <w:tr w:rsidR="008D0EA5" w:rsidRPr="00215444" w14:paraId="629A82DB" w14:textId="67AC3CBF" w:rsidTr="000528DF">
        <w:tc>
          <w:tcPr>
            <w:tcW w:w="177" w:type="pct"/>
          </w:tcPr>
          <w:p w14:paraId="125DA2CA" w14:textId="66C4DE45" w:rsidR="008D0EA5" w:rsidRPr="00A94A2F" w:rsidRDefault="008D0EA5" w:rsidP="00E344DA">
            <w:pPr>
              <w:rPr>
                <w:rFonts w:ascii="Arial" w:hAnsi="Arial" w:cs="Arial"/>
                <w:color w:val="000000"/>
                <w:sz w:val="22"/>
                <w:szCs w:val="22"/>
                <w:lang w:eastAsia="en-GB"/>
              </w:rPr>
            </w:pPr>
            <w:r>
              <w:rPr>
                <w:rFonts w:ascii="Arial" w:hAnsi="Arial" w:cs="Arial"/>
                <w:color w:val="000000"/>
                <w:sz w:val="22"/>
                <w:szCs w:val="22"/>
                <w:lang w:eastAsia="en-GB"/>
              </w:rPr>
              <w:t>1</w:t>
            </w:r>
            <w:r w:rsidR="000444C3">
              <w:rPr>
                <w:rFonts w:ascii="Arial" w:hAnsi="Arial" w:cs="Arial"/>
                <w:color w:val="000000"/>
                <w:sz w:val="22"/>
                <w:szCs w:val="22"/>
                <w:lang w:eastAsia="en-GB"/>
              </w:rPr>
              <w:t>1</w:t>
            </w:r>
          </w:p>
        </w:tc>
        <w:tc>
          <w:tcPr>
            <w:tcW w:w="428" w:type="pct"/>
          </w:tcPr>
          <w:p w14:paraId="2D3AE1FF" w14:textId="3D8D61C5" w:rsidR="008D0EA5" w:rsidRDefault="008D0EA5" w:rsidP="00E344DA">
            <w:pPr>
              <w:rPr>
                <w:rFonts w:ascii="Arial" w:hAnsi="Arial" w:cs="Arial"/>
                <w:color w:val="000000"/>
                <w:sz w:val="22"/>
                <w:szCs w:val="22"/>
                <w:lang w:eastAsia="en-GB"/>
              </w:rPr>
            </w:pPr>
            <w:r>
              <w:rPr>
                <w:rFonts w:ascii="Arial" w:hAnsi="Arial" w:cs="Arial"/>
                <w:color w:val="000000"/>
                <w:sz w:val="22"/>
                <w:szCs w:val="22"/>
                <w:lang w:eastAsia="en-GB"/>
              </w:rPr>
              <w:t>General</w:t>
            </w:r>
          </w:p>
        </w:tc>
        <w:tc>
          <w:tcPr>
            <w:tcW w:w="1024" w:type="pct"/>
          </w:tcPr>
          <w:p w14:paraId="46FCB978" w14:textId="73EC8BD8" w:rsidR="008D0EA5" w:rsidRDefault="008D0EA5" w:rsidP="00E344DA">
            <w:pPr>
              <w:rPr>
                <w:rFonts w:ascii="Arial" w:hAnsi="Arial" w:cs="Arial"/>
                <w:color w:val="000000"/>
                <w:sz w:val="22"/>
                <w:szCs w:val="22"/>
                <w:lang w:eastAsia="en-GB"/>
              </w:rPr>
            </w:pPr>
            <w:r>
              <w:rPr>
                <w:rFonts w:ascii="Arial" w:hAnsi="Arial" w:cs="Arial"/>
                <w:color w:val="000000"/>
                <w:sz w:val="22"/>
                <w:szCs w:val="22"/>
                <w:lang w:eastAsia="en-GB"/>
              </w:rPr>
              <w:t>NHSEI (learning disability and autism programme)</w:t>
            </w:r>
          </w:p>
        </w:tc>
        <w:tc>
          <w:tcPr>
            <w:tcW w:w="2147" w:type="pct"/>
          </w:tcPr>
          <w:p w14:paraId="68641585" w14:textId="13EF97AF" w:rsidR="008D0EA5" w:rsidRPr="00A94A2F" w:rsidRDefault="008D0EA5" w:rsidP="00E344DA">
            <w:pPr>
              <w:rPr>
                <w:rFonts w:ascii="Arial" w:hAnsi="Arial" w:cs="Arial"/>
                <w:sz w:val="22"/>
                <w:szCs w:val="28"/>
              </w:rPr>
            </w:pPr>
            <w:r w:rsidRPr="00E344DA">
              <w:rPr>
                <w:rFonts w:ascii="Arial" w:hAnsi="Arial" w:cs="Arial"/>
                <w:sz w:val="22"/>
                <w:szCs w:val="28"/>
              </w:rPr>
              <w:t xml:space="preserve">It might be practically more difficult to ensure that people with a learning disability and autistic people are included and so a risk that they are left out of the denominator: which would in turn create an appearance that care of whole patient group is being given.  Very important that all the denominators do not inadvertently exclude people.   </w:t>
            </w:r>
          </w:p>
        </w:tc>
        <w:tc>
          <w:tcPr>
            <w:tcW w:w="1224" w:type="pct"/>
          </w:tcPr>
          <w:p w14:paraId="55A3502A" w14:textId="043CCDE1" w:rsidR="008D0EA5" w:rsidRPr="00E344DA" w:rsidRDefault="00F84619" w:rsidP="00E344DA">
            <w:pPr>
              <w:rPr>
                <w:rFonts w:ascii="Arial" w:hAnsi="Arial" w:cs="Arial"/>
                <w:sz w:val="22"/>
                <w:szCs w:val="28"/>
              </w:rPr>
            </w:pPr>
            <w:r>
              <w:rPr>
                <w:rFonts w:ascii="Arial" w:hAnsi="Arial" w:cs="Arial"/>
                <w:sz w:val="22"/>
                <w:szCs w:val="28"/>
              </w:rPr>
              <w:t>Thank you for your comment.</w:t>
            </w:r>
            <w:r w:rsidR="006A498D">
              <w:rPr>
                <w:rFonts w:ascii="Arial" w:hAnsi="Arial" w:cs="Arial"/>
                <w:sz w:val="22"/>
                <w:szCs w:val="28"/>
              </w:rPr>
              <w:t xml:space="preserve"> No population groups are excluded from the denominator.</w:t>
            </w:r>
          </w:p>
        </w:tc>
      </w:tr>
      <w:tr w:rsidR="008D0EA5" w:rsidRPr="00215444" w14:paraId="582A6446" w14:textId="754740DC" w:rsidTr="000528DF">
        <w:tc>
          <w:tcPr>
            <w:tcW w:w="177" w:type="pct"/>
          </w:tcPr>
          <w:p w14:paraId="2DBC53F2" w14:textId="0F39E830" w:rsidR="008D0EA5" w:rsidRPr="00A94A2F" w:rsidRDefault="008D0EA5" w:rsidP="00E344DA">
            <w:pPr>
              <w:rPr>
                <w:rFonts w:ascii="Arial" w:hAnsi="Arial" w:cs="Arial"/>
                <w:color w:val="000000"/>
                <w:sz w:val="22"/>
                <w:szCs w:val="22"/>
                <w:lang w:eastAsia="en-GB"/>
              </w:rPr>
            </w:pPr>
            <w:r>
              <w:rPr>
                <w:rFonts w:ascii="Arial" w:hAnsi="Arial" w:cs="Arial"/>
                <w:color w:val="000000"/>
                <w:sz w:val="22"/>
                <w:szCs w:val="22"/>
                <w:lang w:eastAsia="en-GB"/>
              </w:rPr>
              <w:t>1</w:t>
            </w:r>
            <w:r w:rsidR="000444C3">
              <w:rPr>
                <w:rFonts w:ascii="Arial" w:hAnsi="Arial" w:cs="Arial"/>
                <w:color w:val="000000"/>
                <w:sz w:val="22"/>
                <w:szCs w:val="22"/>
                <w:lang w:eastAsia="en-GB"/>
              </w:rPr>
              <w:t>2</w:t>
            </w:r>
          </w:p>
        </w:tc>
        <w:tc>
          <w:tcPr>
            <w:tcW w:w="428" w:type="pct"/>
          </w:tcPr>
          <w:p w14:paraId="2CED4222" w14:textId="2BF9AF2B" w:rsidR="008D0EA5" w:rsidRDefault="008D0EA5" w:rsidP="00E344DA">
            <w:pPr>
              <w:rPr>
                <w:rFonts w:ascii="Arial" w:hAnsi="Arial" w:cs="Arial"/>
                <w:color w:val="000000"/>
                <w:sz w:val="22"/>
                <w:szCs w:val="22"/>
                <w:lang w:eastAsia="en-GB"/>
              </w:rPr>
            </w:pPr>
            <w:r>
              <w:rPr>
                <w:rFonts w:ascii="Arial" w:hAnsi="Arial" w:cs="Arial"/>
                <w:color w:val="000000"/>
                <w:sz w:val="22"/>
                <w:szCs w:val="22"/>
                <w:lang w:eastAsia="en-GB"/>
              </w:rPr>
              <w:t>General</w:t>
            </w:r>
          </w:p>
        </w:tc>
        <w:tc>
          <w:tcPr>
            <w:tcW w:w="1024" w:type="pct"/>
          </w:tcPr>
          <w:p w14:paraId="250ED650" w14:textId="24C1C3A3" w:rsidR="008D0EA5" w:rsidRDefault="008D0EA5" w:rsidP="00E344DA">
            <w:pPr>
              <w:rPr>
                <w:rFonts w:ascii="Arial" w:hAnsi="Arial" w:cs="Arial"/>
                <w:color w:val="000000"/>
                <w:sz w:val="22"/>
                <w:szCs w:val="22"/>
                <w:lang w:eastAsia="en-GB"/>
              </w:rPr>
            </w:pPr>
            <w:r>
              <w:rPr>
                <w:rFonts w:ascii="Arial" w:hAnsi="Arial" w:cs="Arial"/>
                <w:color w:val="000000"/>
                <w:sz w:val="22"/>
                <w:szCs w:val="22"/>
                <w:lang w:eastAsia="en-GB"/>
              </w:rPr>
              <w:t>NHSEI (learning disability and autism programme)</w:t>
            </w:r>
          </w:p>
        </w:tc>
        <w:tc>
          <w:tcPr>
            <w:tcW w:w="2147" w:type="pct"/>
          </w:tcPr>
          <w:p w14:paraId="45408B3C" w14:textId="742F08A7" w:rsidR="008D0EA5" w:rsidRPr="00A94A2F" w:rsidRDefault="008D0EA5" w:rsidP="00E344DA">
            <w:pPr>
              <w:rPr>
                <w:rFonts w:ascii="Arial" w:hAnsi="Arial" w:cs="Arial"/>
                <w:sz w:val="22"/>
                <w:szCs w:val="28"/>
              </w:rPr>
            </w:pPr>
            <w:r w:rsidRPr="00E344DA">
              <w:rPr>
                <w:rFonts w:ascii="Arial" w:hAnsi="Arial" w:cs="Arial"/>
                <w:sz w:val="22"/>
                <w:szCs w:val="28"/>
              </w:rPr>
              <w:t>Cross reference to NICE guidance on learning disability and autism to make sure the indicator is inclusive. This applies to all of the proposed indicators.  There needs to be accessible appointment letters.</w:t>
            </w:r>
          </w:p>
        </w:tc>
        <w:tc>
          <w:tcPr>
            <w:tcW w:w="1224" w:type="pct"/>
          </w:tcPr>
          <w:p w14:paraId="49901D73" w14:textId="133954B2" w:rsidR="008D0EA5" w:rsidRPr="00E344DA" w:rsidRDefault="00F84619" w:rsidP="00E344DA">
            <w:pPr>
              <w:rPr>
                <w:rFonts w:ascii="Arial" w:hAnsi="Arial" w:cs="Arial"/>
                <w:sz w:val="22"/>
                <w:szCs w:val="28"/>
              </w:rPr>
            </w:pPr>
            <w:r>
              <w:rPr>
                <w:rFonts w:ascii="Arial" w:hAnsi="Arial" w:cs="Arial"/>
                <w:sz w:val="22"/>
                <w:szCs w:val="28"/>
              </w:rPr>
              <w:t>Thank you for your comment.</w:t>
            </w:r>
            <w:r w:rsidR="006A498D">
              <w:rPr>
                <w:rFonts w:ascii="Arial" w:hAnsi="Arial" w:cs="Arial"/>
                <w:sz w:val="22"/>
                <w:szCs w:val="28"/>
              </w:rPr>
              <w:t xml:space="preserve"> The importance of accessibility is highlighted in the equality impact assessment. </w:t>
            </w:r>
          </w:p>
        </w:tc>
      </w:tr>
      <w:tr w:rsidR="008D0EA5" w:rsidRPr="00215444" w14:paraId="1AC7D24D" w14:textId="38C6A36A" w:rsidTr="000528DF">
        <w:tc>
          <w:tcPr>
            <w:tcW w:w="177" w:type="pct"/>
          </w:tcPr>
          <w:p w14:paraId="6D82B034" w14:textId="333A3096" w:rsidR="008D0EA5" w:rsidRDefault="008D0EA5" w:rsidP="00E344DA">
            <w:pPr>
              <w:rPr>
                <w:rFonts w:ascii="Arial" w:hAnsi="Arial" w:cs="Arial"/>
                <w:color w:val="000000"/>
                <w:sz w:val="22"/>
                <w:szCs w:val="22"/>
                <w:lang w:eastAsia="en-GB"/>
              </w:rPr>
            </w:pPr>
            <w:r>
              <w:rPr>
                <w:rFonts w:ascii="Arial" w:hAnsi="Arial" w:cs="Arial"/>
                <w:color w:val="000000"/>
                <w:sz w:val="22"/>
                <w:szCs w:val="22"/>
                <w:lang w:eastAsia="en-GB"/>
              </w:rPr>
              <w:t>1</w:t>
            </w:r>
            <w:r w:rsidR="000444C3">
              <w:rPr>
                <w:rFonts w:ascii="Arial" w:hAnsi="Arial" w:cs="Arial"/>
                <w:color w:val="000000"/>
                <w:sz w:val="22"/>
                <w:szCs w:val="22"/>
                <w:lang w:eastAsia="en-GB"/>
              </w:rPr>
              <w:t>3</w:t>
            </w:r>
          </w:p>
        </w:tc>
        <w:tc>
          <w:tcPr>
            <w:tcW w:w="428" w:type="pct"/>
          </w:tcPr>
          <w:p w14:paraId="49AE9BD9" w14:textId="22DA4471" w:rsidR="008D0EA5" w:rsidRDefault="008D0EA5" w:rsidP="00E344DA">
            <w:pPr>
              <w:rPr>
                <w:rFonts w:ascii="Arial" w:hAnsi="Arial" w:cs="Arial"/>
                <w:color w:val="000000"/>
                <w:sz w:val="22"/>
                <w:szCs w:val="22"/>
                <w:lang w:eastAsia="en-GB"/>
              </w:rPr>
            </w:pPr>
            <w:r>
              <w:rPr>
                <w:rFonts w:ascii="Arial" w:hAnsi="Arial" w:cs="Arial"/>
                <w:color w:val="000000"/>
                <w:sz w:val="22"/>
                <w:szCs w:val="22"/>
                <w:lang w:eastAsia="en-GB"/>
              </w:rPr>
              <w:t>General</w:t>
            </w:r>
          </w:p>
        </w:tc>
        <w:tc>
          <w:tcPr>
            <w:tcW w:w="1024" w:type="pct"/>
          </w:tcPr>
          <w:p w14:paraId="4A9DAF78" w14:textId="23DFBC97" w:rsidR="008D0EA5" w:rsidRDefault="008D0EA5" w:rsidP="00E344DA">
            <w:pPr>
              <w:rPr>
                <w:rFonts w:ascii="Arial" w:hAnsi="Arial" w:cs="Arial"/>
                <w:color w:val="000000"/>
                <w:sz w:val="22"/>
                <w:szCs w:val="22"/>
                <w:lang w:eastAsia="en-GB"/>
              </w:rPr>
            </w:pPr>
            <w:r>
              <w:rPr>
                <w:rFonts w:ascii="Arial" w:hAnsi="Arial" w:cs="Arial"/>
                <w:color w:val="000000"/>
                <w:sz w:val="22"/>
                <w:szCs w:val="22"/>
                <w:lang w:eastAsia="en-GB"/>
              </w:rPr>
              <w:t>RCGP</w:t>
            </w:r>
          </w:p>
        </w:tc>
        <w:tc>
          <w:tcPr>
            <w:tcW w:w="2147" w:type="pct"/>
          </w:tcPr>
          <w:p w14:paraId="38440B8D" w14:textId="77777777" w:rsidR="008D0EA5" w:rsidRPr="000D273C" w:rsidRDefault="008D0EA5" w:rsidP="000D273C">
            <w:pPr>
              <w:rPr>
                <w:rFonts w:ascii="Arial" w:hAnsi="Arial" w:cs="Arial"/>
                <w:sz w:val="22"/>
                <w:szCs w:val="28"/>
              </w:rPr>
            </w:pPr>
            <w:r w:rsidRPr="000D273C">
              <w:rPr>
                <w:rFonts w:ascii="Arial" w:hAnsi="Arial" w:cs="Arial"/>
                <w:sz w:val="22"/>
                <w:szCs w:val="28"/>
              </w:rPr>
              <w:t>Background information</w:t>
            </w:r>
          </w:p>
          <w:p w14:paraId="257BF8B7" w14:textId="77777777" w:rsidR="008D0EA5" w:rsidRPr="000D273C" w:rsidRDefault="008D0EA5" w:rsidP="000D273C">
            <w:pPr>
              <w:rPr>
                <w:rFonts w:ascii="Arial" w:hAnsi="Arial" w:cs="Arial"/>
                <w:sz w:val="22"/>
                <w:szCs w:val="28"/>
              </w:rPr>
            </w:pPr>
            <w:r w:rsidRPr="000D273C">
              <w:rPr>
                <w:rFonts w:ascii="Arial" w:hAnsi="Arial" w:cs="Arial"/>
                <w:sz w:val="22"/>
                <w:szCs w:val="28"/>
              </w:rPr>
              <w:t>•</w:t>
            </w:r>
            <w:r w:rsidRPr="000D273C">
              <w:rPr>
                <w:rFonts w:ascii="Arial" w:hAnsi="Arial" w:cs="Arial"/>
                <w:sz w:val="22"/>
                <w:szCs w:val="28"/>
              </w:rPr>
              <w:tab/>
              <w:t xml:space="preserve">The RCGP is calling for an independent review of contractual requirements, such as the Quality Outcomes </w:t>
            </w:r>
            <w:r w:rsidRPr="000D273C">
              <w:rPr>
                <w:rFonts w:ascii="Arial" w:hAnsi="Arial" w:cs="Arial"/>
                <w:sz w:val="22"/>
                <w:szCs w:val="28"/>
              </w:rPr>
              <w:lastRenderedPageBreak/>
              <w:t>Framework (QOF). Reforming contractual requirements such as QOF will not only enable high-trust environments that encourage quality improvement processes and professional judgement, rather than top-down edicts which perversely incentivise tick-box approaches to medicine.</w:t>
            </w:r>
          </w:p>
          <w:p w14:paraId="20014BD1" w14:textId="7D9A24DF" w:rsidR="008D0EA5" w:rsidRPr="000D273C" w:rsidRDefault="008D0EA5" w:rsidP="000D273C">
            <w:pPr>
              <w:rPr>
                <w:rFonts w:ascii="Arial" w:hAnsi="Arial" w:cs="Arial"/>
                <w:sz w:val="22"/>
                <w:szCs w:val="28"/>
              </w:rPr>
            </w:pPr>
            <w:r w:rsidRPr="000D273C">
              <w:rPr>
                <w:rFonts w:ascii="Arial" w:hAnsi="Arial" w:cs="Arial"/>
                <w:sz w:val="22"/>
                <w:szCs w:val="28"/>
              </w:rPr>
              <w:t>•</w:t>
            </w:r>
            <w:r w:rsidRPr="000D273C">
              <w:rPr>
                <w:rFonts w:ascii="Arial" w:hAnsi="Arial" w:cs="Arial"/>
                <w:sz w:val="22"/>
                <w:szCs w:val="28"/>
              </w:rPr>
              <w:tab/>
              <w:t xml:space="preserve">A focus on patients, especially those who are more disadvantage, not targets is essential. We need an independent review of how to better ensure vulnerable patients get the care they need without resorting to some of the box ticking exercises in the current Quality Outcomes Framework (QOF). The problems that were identified linked to health inequalities during the COVID19 pandemic suggest to us that a careful review of the model and its impact and value is overdue – as is the fundamental need to prioritise workload over the next couple of years with significant, varied waiting times for care and delays in review. </w:t>
            </w:r>
          </w:p>
          <w:p w14:paraId="33948B26" w14:textId="77777777" w:rsidR="008D0EA5" w:rsidRDefault="008D0EA5" w:rsidP="000D273C">
            <w:pPr>
              <w:rPr>
                <w:rFonts w:ascii="Arial" w:hAnsi="Arial" w:cs="Arial"/>
                <w:sz w:val="22"/>
                <w:szCs w:val="28"/>
              </w:rPr>
            </w:pPr>
            <w:r w:rsidRPr="000D273C">
              <w:rPr>
                <w:rFonts w:ascii="Arial" w:hAnsi="Arial" w:cs="Arial"/>
                <w:sz w:val="22"/>
                <w:szCs w:val="28"/>
              </w:rPr>
              <w:t>It is important that patients get appointments when they need them or when their GP feels it is clinically appropriate to reach out to them. Unfortunately, the current QOF system incentivises check-ups based on a strict artificial calendar determined nationally, rather than on the needs of individual patients. In Scotland they have managed to maintain high standards of care and put greater faith in patients and clinicians to make judgements. Learning from models across the UK should form part of a review into the ideal model for England</w:t>
            </w:r>
            <w:r w:rsidR="00D01133">
              <w:rPr>
                <w:rFonts w:ascii="Arial" w:hAnsi="Arial" w:cs="Arial"/>
                <w:sz w:val="22"/>
                <w:szCs w:val="28"/>
              </w:rPr>
              <w:t>.</w:t>
            </w:r>
          </w:p>
          <w:p w14:paraId="425FB54D" w14:textId="77777777" w:rsidR="00D01133" w:rsidRPr="00D01133" w:rsidRDefault="00D01133" w:rsidP="00D01133">
            <w:pPr>
              <w:rPr>
                <w:rFonts w:ascii="Arial" w:hAnsi="Arial" w:cs="Arial"/>
                <w:sz w:val="22"/>
                <w:szCs w:val="22"/>
              </w:rPr>
            </w:pPr>
            <w:r w:rsidRPr="00D01133">
              <w:rPr>
                <w:rFonts w:ascii="Arial" w:hAnsi="Arial" w:cs="Arial"/>
                <w:sz w:val="22"/>
                <w:szCs w:val="22"/>
              </w:rPr>
              <w:t xml:space="preserve">In view of the safety issues surrounding Valproate, we are surprised that there is not a quality indicator being considered for review of females of child bearing age who are prescribed valproate and wonder whether this should </w:t>
            </w:r>
            <w:r w:rsidRPr="00D01133">
              <w:rPr>
                <w:rFonts w:ascii="Arial" w:hAnsi="Arial" w:cs="Arial"/>
                <w:sz w:val="22"/>
                <w:szCs w:val="22"/>
              </w:rPr>
              <w:lastRenderedPageBreak/>
              <w:t>be considered (both for people with epilepsy and those given valproate for another reason).</w:t>
            </w:r>
          </w:p>
          <w:p w14:paraId="1E616E0E" w14:textId="2363C878" w:rsidR="00D01133" w:rsidRPr="00D01133" w:rsidRDefault="00D01133" w:rsidP="00D01133">
            <w:pPr>
              <w:rPr>
                <w:sz w:val="20"/>
                <w:szCs w:val="20"/>
              </w:rPr>
            </w:pPr>
            <w:r w:rsidRPr="00D01133">
              <w:rPr>
                <w:rFonts w:ascii="Arial" w:hAnsi="Arial" w:cs="Arial"/>
                <w:sz w:val="22"/>
                <w:szCs w:val="22"/>
              </w:rPr>
              <w:t>In view of the recent ME CFS guidance and the need for increased capacity of appointments in primary care, we are surprised that this is not considered as one of the indicators for QOF.</w:t>
            </w:r>
          </w:p>
        </w:tc>
        <w:tc>
          <w:tcPr>
            <w:tcW w:w="1224" w:type="pct"/>
          </w:tcPr>
          <w:p w14:paraId="4628B3D7" w14:textId="77777777" w:rsidR="008D0EA5" w:rsidRDefault="00F84619" w:rsidP="000D273C">
            <w:pPr>
              <w:rPr>
                <w:rFonts w:ascii="Arial" w:hAnsi="Arial" w:cs="Arial"/>
                <w:sz w:val="22"/>
                <w:szCs w:val="28"/>
              </w:rPr>
            </w:pPr>
            <w:r>
              <w:rPr>
                <w:rFonts w:ascii="Arial" w:hAnsi="Arial" w:cs="Arial"/>
                <w:sz w:val="22"/>
                <w:szCs w:val="28"/>
              </w:rPr>
              <w:lastRenderedPageBreak/>
              <w:t>Thank you for your comment.</w:t>
            </w:r>
            <w:r w:rsidR="004F7907">
              <w:t xml:space="preserve"> </w:t>
            </w:r>
            <w:r w:rsidR="004F7907" w:rsidRPr="004F7907">
              <w:rPr>
                <w:rFonts w:ascii="Arial" w:hAnsi="Arial" w:cs="Arial"/>
                <w:sz w:val="22"/>
                <w:szCs w:val="28"/>
              </w:rPr>
              <w:t xml:space="preserve">NICE has no role in the negotiations </w:t>
            </w:r>
            <w:r w:rsidR="004F7907">
              <w:rPr>
                <w:rFonts w:ascii="Arial" w:hAnsi="Arial" w:cs="Arial"/>
                <w:sz w:val="22"/>
                <w:szCs w:val="28"/>
              </w:rPr>
              <w:t>for</w:t>
            </w:r>
            <w:r w:rsidR="004F7907" w:rsidRPr="004F7907">
              <w:rPr>
                <w:rFonts w:ascii="Arial" w:hAnsi="Arial" w:cs="Arial"/>
                <w:sz w:val="22"/>
                <w:szCs w:val="28"/>
              </w:rPr>
              <w:t xml:space="preserve"> QOF</w:t>
            </w:r>
            <w:r w:rsidR="004F7907">
              <w:rPr>
                <w:rFonts w:ascii="Arial" w:hAnsi="Arial" w:cs="Arial"/>
                <w:sz w:val="22"/>
                <w:szCs w:val="28"/>
              </w:rPr>
              <w:t>.</w:t>
            </w:r>
          </w:p>
          <w:p w14:paraId="28F7EB1A" w14:textId="77777777" w:rsidR="00D01133" w:rsidRPr="00D01133" w:rsidRDefault="00D01133" w:rsidP="00D01133">
            <w:pPr>
              <w:rPr>
                <w:rFonts w:ascii="Arial" w:hAnsi="Arial" w:cs="Arial"/>
                <w:sz w:val="22"/>
                <w:szCs w:val="28"/>
              </w:rPr>
            </w:pPr>
            <w:r w:rsidRPr="00D01133">
              <w:rPr>
                <w:rFonts w:ascii="Arial" w:hAnsi="Arial" w:cs="Arial"/>
                <w:sz w:val="22"/>
                <w:szCs w:val="28"/>
              </w:rPr>
              <w:lastRenderedPageBreak/>
              <w:t xml:space="preserve">The committee has previously discussed the feasibility of indicators specifically focussed on review of women of child-bearing age who are prescribed valproate. Denominator numbers on average are too small to be suitable for use in the QOF. However, the committee agreed that the NICE team are to explore the value of an indicators for use outside the QOF. </w:t>
            </w:r>
          </w:p>
          <w:p w14:paraId="4A0313B8" w14:textId="77777777" w:rsidR="00D01133" w:rsidRPr="00D01133" w:rsidRDefault="00D01133" w:rsidP="00D01133">
            <w:pPr>
              <w:rPr>
                <w:rFonts w:ascii="Arial" w:hAnsi="Arial" w:cs="Arial"/>
                <w:sz w:val="22"/>
                <w:szCs w:val="28"/>
              </w:rPr>
            </w:pPr>
          </w:p>
          <w:p w14:paraId="3777DCCB" w14:textId="73185A6C" w:rsidR="00D01133" w:rsidRPr="000D273C" w:rsidRDefault="00D01133" w:rsidP="00D01133">
            <w:pPr>
              <w:rPr>
                <w:rFonts w:ascii="Arial" w:hAnsi="Arial" w:cs="Arial"/>
                <w:sz w:val="22"/>
                <w:szCs w:val="28"/>
              </w:rPr>
            </w:pPr>
            <w:r w:rsidRPr="00D01133">
              <w:rPr>
                <w:rFonts w:ascii="Arial" w:hAnsi="Arial" w:cs="Arial"/>
                <w:sz w:val="22"/>
                <w:szCs w:val="28"/>
              </w:rPr>
              <w:t>The suggestion to develop indicators focused on chronic fatigue syndrome has been shared with NHS England.</w:t>
            </w:r>
          </w:p>
        </w:tc>
      </w:tr>
      <w:tr w:rsidR="008D0EA5" w:rsidRPr="00215444" w14:paraId="2D3A343D" w14:textId="0C5E35EF" w:rsidTr="000528DF">
        <w:tc>
          <w:tcPr>
            <w:tcW w:w="177" w:type="pct"/>
          </w:tcPr>
          <w:p w14:paraId="0A369F2F" w14:textId="2F621246" w:rsidR="008D0EA5" w:rsidRDefault="008D0EA5" w:rsidP="00E344DA">
            <w:pPr>
              <w:rPr>
                <w:rFonts w:ascii="Arial" w:hAnsi="Arial" w:cs="Arial"/>
                <w:color w:val="000000"/>
                <w:sz w:val="22"/>
                <w:szCs w:val="22"/>
                <w:lang w:eastAsia="en-GB"/>
              </w:rPr>
            </w:pPr>
            <w:r>
              <w:rPr>
                <w:rFonts w:ascii="Arial" w:hAnsi="Arial" w:cs="Arial"/>
                <w:color w:val="000000"/>
                <w:sz w:val="22"/>
                <w:szCs w:val="22"/>
                <w:lang w:eastAsia="en-GB"/>
              </w:rPr>
              <w:lastRenderedPageBreak/>
              <w:t>1</w:t>
            </w:r>
            <w:r w:rsidR="000444C3">
              <w:rPr>
                <w:rFonts w:ascii="Arial" w:hAnsi="Arial" w:cs="Arial"/>
                <w:color w:val="000000"/>
                <w:sz w:val="22"/>
                <w:szCs w:val="22"/>
                <w:lang w:eastAsia="en-GB"/>
              </w:rPr>
              <w:t>4</w:t>
            </w:r>
          </w:p>
        </w:tc>
        <w:tc>
          <w:tcPr>
            <w:tcW w:w="428" w:type="pct"/>
          </w:tcPr>
          <w:p w14:paraId="6C857901" w14:textId="1B38E008" w:rsidR="008D0EA5" w:rsidRDefault="008D0EA5" w:rsidP="00E344DA">
            <w:pPr>
              <w:rPr>
                <w:rFonts w:ascii="Arial" w:hAnsi="Arial" w:cs="Arial"/>
                <w:color w:val="000000"/>
                <w:sz w:val="22"/>
                <w:szCs w:val="22"/>
                <w:lang w:eastAsia="en-GB"/>
              </w:rPr>
            </w:pPr>
            <w:r>
              <w:rPr>
                <w:rFonts w:ascii="Arial" w:hAnsi="Arial" w:cs="Arial"/>
                <w:color w:val="000000"/>
                <w:sz w:val="22"/>
                <w:szCs w:val="22"/>
                <w:lang w:eastAsia="en-GB"/>
              </w:rPr>
              <w:t>General</w:t>
            </w:r>
          </w:p>
        </w:tc>
        <w:tc>
          <w:tcPr>
            <w:tcW w:w="1024" w:type="pct"/>
          </w:tcPr>
          <w:p w14:paraId="57801EA3" w14:textId="2CCF4619" w:rsidR="008D0EA5" w:rsidRDefault="008D0EA5" w:rsidP="00E344DA">
            <w:pPr>
              <w:rPr>
                <w:rFonts w:ascii="Arial" w:hAnsi="Arial" w:cs="Arial"/>
                <w:color w:val="000000"/>
                <w:sz w:val="22"/>
                <w:szCs w:val="22"/>
                <w:lang w:eastAsia="en-GB"/>
              </w:rPr>
            </w:pPr>
            <w:r>
              <w:rPr>
                <w:rFonts w:ascii="Arial" w:hAnsi="Arial" w:cs="Arial"/>
                <w:color w:val="000000"/>
                <w:sz w:val="22"/>
                <w:szCs w:val="22"/>
                <w:lang w:eastAsia="en-GB"/>
              </w:rPr>
              <w:t>Renal Service Transformation Programme</w:t>
            </w:r>
          </w:p>
        </w:tc>
        <w:tc>
          <w:tcPr>
            <w:tcW w:w="2147" w:type="pct"/>
          </w:tcPr>
          <w:p w14:paraId="6924360B" w14:textId="6C64339E" w:rsidR="008D0EA5" w:rsidRPr="000D273C" w:rsidRDefault="008D0EA5" w:rsidP="000D273C">
            <w:pPr>
              <w:rPr>
                <w:rFonts w:ascii="Arial" w:hAnsi="Arial" w:cs="Arial"/>
                <w:sz w:val="22"/>
                <w:szCs w:val="28"/>
              </w:rPr>
            </w:pPr>
            <w:r w:rsidRPr="00DB2A48">
              <w:rPr>
                <w:rFonts w:ascii="Arial" w:hAnsi="Arial" w:cs="Arial"/>
                <w:sz w:val="22"/>
                <w:szCs w:val="28"/>
              </w:rPr>
              <w:t>Recommend inclusion of ACE/ARB, SGLT2i therapies similar to inclusion of lipid modifying therapies for people with CKD. ACE/ARB and SGLT2i are evidenced based interventions and in line with NICE guidance that attenuate progression of CKD</w:t>
            </w:r>
            <w:r>
              <w:rPr>
                <w:rFonts w:ascii="Arial" w:hAnsi="Arial" w:cs="Arial"/>
                <w:sz w:val="22"/>
                <w:szCs w:val="28"/>
              </w:rPr>
              <w:t>.</w:t>
            </w:r>
          </w:p>
        </w:tc>
        <w:tc>
          <w:tcPr>
            <w:tcW w:w="1224" w:type="pct"/>
          </w:tcPr>
          <w:p w14:paraId="1547D1AB" w14:textId="22ED6E6A" w:rsidR="008D0EA5" w:rsidRPr="00DB2A48" w:rsidRDefault="00F84619" w:rsidP="000D273C">
            <w:pPr>
              <w:rPr>
                <w:rFonts w:ascii="Arial" w:hAnsi="Arial" w:cs="Arial"/>
                <w:sz w:val="22"/>
                <w:szCs w:val="28"/>
              </w:rPr>
            </w:pPr>
            <w:r>
              <w:rPr>
                <w:rFonts w:ascii="Arial" w:hAnsi="Arial" w:cs="Arial"/>
                <w:sz w:val="22"/>
                <w:szCs w:val="28"/>
              </w:rPr>
              <w:t xml:space="preserve">Thank you for your comment. </w:t>
            </w:r>
            <w:r>
              <w:rPr>
                <w:rFonts w:ascii="Arial" w:hAnsi="Arial" w:cs="Arial"/>
                <w:color w:val="000000"/>
                <w:sz w:val="22"/>
                <w:szCs w:val="22"/>
                <w:lang w:eastAsia="en-GB"/>
              </w:rPr>
              <w:t xml:space="preserve">NICE will explore indicators on </w:t>
            </w:r>
            <w:r w:rsidR="00DB2921">
              <w:rPr>
                <w:rFonts w:ascii="Arial" w:hAnsi="Arial" w:cs="Arial"/>
                <w:color w:val="000000"/>
                <w:sz w:val="22"/>
                <w:szCs w:val="22"/>
                <w:lang w:eastAsia="en-GB"/>
              </w:rPr>
              <w:t xml:space="preserve">treatment with </w:t>
            </w:r>
            <w:r>
              <w:rPr>
                <w:rFonts w:ascii="Arial" w:hAnsi="Arial" w:cs="Arial"/>
                <w:color w:val="000000"/>
                <w:sz w:val="22"/>
                <w:szCs w:val="22"/>
                <w:lang w:eastAsia="en-GB"/>
              </w:rPr>
              <w:t xml:space="preserve">ACE inhibitor and SGLT2 inhibitor </w:t>
            </w:r>
            <w:r w:rsidR="00DB2921">
              <w:rPr>
                <w:rFonts w:ascii="Arial" w:hAnsi="Arial" w:cs="Arial"/>
                <w:color w:val="000000"/>
                <w:sz w:val="22"/>
                <w:szCs w:val="22"/>
                <w:lang w:eastAsia="en-GB"/>
              </w:rPr>
              <w:t>for</w:t>
            </w:r>
            <w:r>
              <w:rPr>
                <w:rFonts w:ascii="Arial" w:hAnsi="Arial" w:cs="Arial"/>
                <w:color w:val="000000"/>
                <w:sz w:val="22"/>
                <w:szCs w:val="22"/>
                <w:lang w:eastAsia="en-GB"/>
              </w:rPr>
              <w:t xml:space="preserve"> people with CKD</w:t>
            </w:r>
            <w:r w:rsidR="00CC3237">
              <w:rPr>
                <w:rFonts w:ascii="Arial" w:hAnsi="Arial" w:cs="Arial"/>
                <w:color w:val="000000"/>
                <w:sz w:val="22"/>
                <w:szCs w:val="22"/>
                <w:lang w:eastAsia="en-GB"/>
              </w:rPr>
              <w:t xml:space="preserve"> </w:t>
            </w:r>
            <w:r w:rsidR="00CC3237" w:rsidRPr="00012CC3">
              <w:rPr>
                <w:rFonts w:ascii="Arial" w:hAnsi="Arial" w:cs="Arial"/>
                <w:color w:val="000000"/>
                <w:sz w:val="22"/>
                <w:szCs w:val="22"/>
                <w:lang w:eastAsia="en-GB"/>
              </w:rPr>
              <w:t>in the next cycle of the work programme</w:t>
            </w:r>
            <w:r>
              <w:rPr>
                <w:rFonts w:ascii="Arial" w:hAnsi="Arial" w:cs="Arial"/>
                <w:color w:val="000000"/>
                <w:sz w:val="22"/>
                <w:szCs w:val="22"/>
                <w:lang w:eastAsia="en-GB"/>
              </w:rPr>
              <w:t>.</w:t>
            </w:r>
          </w:p>
        </w:tc>
      </w:tr>
      <w:tr w:rsidR="008D0EA5" w:rsidRPr="00215444" w14:paraId="40F1D8C5" w14:textId="7F43374D" w:rsidTr="000528DF">
        <w:tc>
          <w:tcPr>
            <w:tcW w:w="177" w:type="pct"/>
          </w:tcPr>
          <w:p w14:paraId="6D55A559" w14:textId="70A0DE70" w:rsidR="008D0EA5" w:rsidRPr="00A94A2F" w:rsidRDefault="008D0EA5" w:rsidP="00015441">
            <w:pPr>
              <w:rPr>
                <w:rFonts w:ascii="Arial" w:hAnsi="Arial" w:cs="Arial"/>
                <w:color w:val="000000"/>
                <w:sz w:val="22"/>
                <w:szCs w:val="22"/>
                <w:lang w:eastAsia="en-GB"/>
              </w:rPr>
            </w:pPr>
            <w:r>
              <w:rPr>
                <w:rFonts w:ascii="Arial" w:hAnsi="Arial" w:cs="Arial"/>
                <w:color w:val="000000"/>
                <w:sz w:val="22"/>
                <w:szCs w:val="22"/>
                <w:lang w:eastAsia="en-GB"/>
              </w:rPr>
              <w:t>1</w:t>
            </w:r>
            <w:r w:rsidR="000444C3">
              <w:rPr>
                <w:rFonts w:ascii="Arial" w:hAnsi="Arial" w:cs="Arial"/>
                <w:color w:val="000000"/>
                <w:sz w:val="22"/>
                <w:szCs w:val="22"/>
                <w:lang w:eastAsia="en-GB"/>
              </w:rPr>
              <w:t>5</w:t>
            </w:r>
          </w:p>
        </w:tc>
        <w:tc>
          <w:tcPr>
            <w:tcW w:w="428" w:type="pct"/>
          </w:tcPr>
          <w:p w14:paraId="09B531F5" w14:textId="278B97B7" w:rsidR="008D0EA5" w:rsidRDefault="008D0EA5" w:rsidP="009B0897">
            <w:pPr>
              <w:rPr>
                <w:rFonts w:ascii="Arial" w:hAnsi="Arial" w:cs="Arial"/>
                <w:color w:val="000000"/>
                <w:sz w:val="22"/>
                <w:szCs w:val="22"/>
                <w:lang w:eastAsia="en-GB"/>
              </w:rPr>
            </w:pPr>
            <w:r>
              <w:rPr>
                <w:rFonts w:ascii="Arial" w:hAnsi="Arial" w:cs="Arial"/>
                <w:color w:val="000000"/>
                <w:sz w:val="22"/>
                <w:szCs w:val="22"/>
                <w:lang w:eastAsia="en-GB"/>
              </w:rPr>
              <w:t>General - diagnosis</w:t>
            </w:r>
          </w:p>
        </w:tc>
        <w:tc>
          <w:tcPr>
            <w:tcW w:w="1024" w:type="pct"/>
          </w:tcPr>
          <w:p w14:paraId="074A49C4" w14:textId="5F3A4E4E" w:rsidR="008D0EA5" w:rsidRDefault="008D0EA5" w:rsidP="00015441">
            <w:pPr>
              <w:rPr>
                <w:rFonts w:ascii="Arial" w:hAnsi="Arial" w:cs="Arial"/>
                <w:color w:val="000000"/>
                <w:sz w:val="22"/>
                <w:szCs w:val="22"/>
                <w:lang w:eastAsia="en-GB"/>
              </w:rPr>
            </w:pPr>
            <w:r>
              <w:rPr>
                <w:rFonts w:ascii="Arial" w:hAnsi="Arial" w:cs="Arial"/>
                <w:color w:val="000000"/>
                <w:sz w:val="22"/>
                <w:szCs w:val="22"/>
                <w:lang w:eastAsia="en-GB"/>
              </w:rPr>
              <w:t>UKKA</w:t>
            </w:r>
          </w:p>
        </w:tc>
        <w:tc>
          <w:tcPr>
            <w:tcW w:w="2147" w:type="pct"/>
          </w:tcPr>
          <w:p w14:paraId="7968C2E8" w14:textId="0A1E6653" w:rsidR="008D0EA5" w:rsidRPr="005B2876" w:rsidRDefault="008D0EA5" w:rsidP="005B2876">
            <w:pPr>
              <w:rPr>
                <w:rFonts w:ascii="Arial" w:hAnsi="Arial" w:cs="Arial"/>
                <w:sz w:val="22"/>
                <w:szCs w:val="28"/>
              </w:rPr>
            </w:pPr>
            <w:r w:rsidRPr="005B2876">
              <w:rPr>
                <w:rFonts w:ascii="Arial" w:hAnsi="Arial" w:cs="Arial"/>
                <w:sz w:val="22"/>
                <w:szCs w:val="28"/>
              </w:rPr>
              <w:t>The KFRE equation recently introduced will assist in the identification of patients at high risk of progression and includes comorbidities and will assist in directing optimal management and targeting risk factors.</w:t>
            </w:r>
          </w:p>
          <w:p w14:paraId="430A34E5" w14:textId="77777777" w:rsidR="008D0EA5" w:rsidRPr="005B2876" w:rsidRDefault="008D0EA5" w:rsidP="005B2876">
            <w:pPr>
              <w:rPr>
                <w:rFonts w:ascii="Arial" w:hAnsi="Arial" w:cs="Arial"/>
                <w:sz w:val="22"/>
                <w:szCs w:val="28"/>
              </w:rPr>
            </w:pPr>
          </w:p>
          <w:p w14:paraId="47FC9BCD" w14:textId="1D8568F6" w:rsidR="008D0EA5" w:rsidRPr="00A94A2F" w:rsidRDefault="008D0EA5" w:rsidP="005B2876">
            <w:pPr>
              <w:rPr>
                <w:rFonts w:ascii="Arial" w:hAnsi="Arial" w:cs="Arial"/>
                <w:sz w:val="22"/>
                <w:szCs w:val="28"/>
              </w:rPr>
            </w:pPr>
            <w:r w:rsidRPr="005B2876">
              <w:rPr>
                <w:rFonts w:ascii="Arial" w:hAnsi="Arial" w:cs="Arial"/>
                <w:sz w:val="22"/>
                <w:szCs w:val="28"/>
              </w:rPr>
              <w:t>Many of the renal guidelines, such as KDIGO suggest an individualised management approach for many aspects of renal care. At a primary care level many interventions such as cardiac protection, use of ACEI.ARB optimisation of glycaemic control and use of SGLT2 inhibitors will be generic and should be considered where possible. However, in view of the multi-morbidity of this patient group frailty status needs to be considered as many patients will not progress to dialysis or transplantation as they will not benefit from this therapy.</w:t>
            </w:r>
          </w:p>
        </w:tc>
        <w:tc>
          <w:tcPr>
            <w:tcW w:w="1224" w:type="pct"/>
          </w:tcPr>
          <w:p w14:paraId="50AD8F4A" w14:textId="00111DA6" w:rsidR="008D0EA5" w:rsidRPr="005B2876" w:rsidRDefault="00F84619" w:rsidP="005B2876">
            <w:pPr>
              <w:rPr>
                <w:rFonts w:ascii="Arial" w:hAnsi="Arial" w:cs="Arial"/>
                <w:sz w:val="22"/>
                <w:szCs w:val="28"/>
              </w:rPr>
            </w:pPr>
            <w:r>
              <w:rPr>
                <w:rFonts w:ascii="Arial" w:hAnsi="Arial" w:cs="Arial"/>
                <w:sz w:val="22"/>
                <w:szCs w:val="28"/>
              </w:rPr>
              <w:t xml:space="preserve">Thank you for your comment. </w:t>
            </w:r>
            <w:r>
              <w:rPr>
                <w:rFonts w:ascii="Arial" w:hAnsi="Arial" w:cs="Arial"/>
                <w:color w:val="000000"/>
                <w:sz w:val="22"/>
                <w:szCs w:val="22"/>
                <w:lang w:eastAsia="en-GB"/>
              </w:rPr>
              <w:t xml:space="preserve">NICE will explore indicators on </w:t>
            </w:r>
            <w:r w:rsidR="00DB2921">
              <w:rPr>
                <w:rFonts w:ascii="Arial" w:hAnsi="Arial" w:cs="Arial"/>
                <w:color w:val="000000"/>
                <w:sz w:val="22"/>
                <w:szCs w:val="22"/>
                <w:lang w:eastAsia="en-GB"/>
              </w:rPr>
              <w:t xml:space="preserve">treatment with </w:t>
            </w:r>
            <w:r>
              <w:rPr>
                <w:rFonts w:ascii="Arial" w:hAnsi="Arial" w:cs="Arial"/>
                <w:color w:val="000000"/>
                <w:sz w:val="22"/>
                <w:szCs w:val="22"/>
                <w:lang w:eastAsia="en-GB"/>
              </w:rPr>
              <w:t xml:space="preserve">ACE </w:t>
            </w:r>
            <w:r w:rsidR="00DB2921">
              <w:rPr>
                <w:rFonts w:ascii="Arial" w:hAnsi="Arial" w:cs="Arial"/>
                <w:color w:val="000000"/>
                <w:sz w:val="22"/>
                <w:szCs w:val="22"/>
                <w:lang w:eastAsia="en-GB"/>
              </w:rPr>
              <w:t>inhibitor</w:t>
            </w:r>
            <w:r>
              <w:rPr>
                <w:rFonts w:ascii="Arial" w:hAnsi="Arial" w:cs="Arial"/>
                <w:color w:val="000000"/>
                <w:sz w:val="22"/>
                <w:szCs w:val="22"/>
                <w:lang w:eastAsia="en-GB"/>
              </w:rPr>
              <w:t xml:space="preserve"> and SGLT2 inhibitor </w:t>
            </w:r>
            <w:r w:rsidR="00DB2921">
              <w:rPr>
                <w:rFonts w:ascii="Arial" w:hAnsi="Arial" w:cs="Arial"/>
                <w:color w:val="000000"/>
                <w:sz w:val="22"/>
                <w:szCs w:val="22"/>
                <w:lang w:eastAsia="en-GB"/>
              </w:rPr>
              <w:t xml:space="preserve">for </w:t>
            </w:r>
            <w:r>
              <w:rPr>
                <w:rFonts w:ascii="Arial" w:hAnsi="Arial" w:cs="Arial"/>
                <w:color w:val="000000"/>
                <w:sz w:val="22"/>
                <w:szCs w:val="22"/>
                <w:lang w:eastAsia="en-GB"/>
              </w:rPr>
              <w:t>people with CKD</w:t>
            </w:r>
            <w:r w:rsidR="00CC3237">
              <w:rPr>
                <w:rFonts w:ascii="Arial" w:hAnsi="Arial" w:cs="Arial"/>
                <w:color w:val="000000"/>
                <w:sz w:val="22"/>
                <w:szCs w:val="22"/>
                <w:lang w:eastAsia="en-GB"/>
              </w:rPr>
              <w:t xml:space="preserve"> </w:t>
            </w:r>
            <w:r w:rsidR="00CC3237" w:rsidRPr="00012CC3">
              <w:rPr>
                <w:rFonts w:ascii="Arial" w:hAnsi="Arial" w:cs="Arial"/>
                <w:color w:val="000000"/>
                <w:sz w:val="22"/>
                <w:szCs w:val="22"/>
                <w:lang w:eastAsia="en-GB"/>
              </w:rPr>
              <w:t>in the next cycle of the work programme</w:t>
            </w:r>
            <w:r>
              <w:rPr>
                <w:rFonts w:ascii="Arial" w:hAnsi="Arial" w:cs="Arial"/>
                <w:color w:val="000000"/>
                <w:sz w:val="22"/>
                <w:szCs w:val="22"/>
                <w:lang w:eastAsia="en-GB"/>
              </w:rPr>
              <w:t>.</w:t>
            </w:r>
          </w:p>
        </w:tc>
      </w:tr>
    </w:tbl>
    <w:p w14:paraId="5925D423" w14:textId="47A5B7E4" w:rsidR="00212C54" w:rsidRDefault="00212C54" w:rsidP="00982090">
      <w:pPr>
        <w:pStyle w:val="Paragraph"/>
        <w:keepNext/>
      </w:pPr>
      <w:r>
        <w:lastRenderedPageBreak/>
        <w:t>IND2021-118 General comments</w:t>
      </w:r>
    </w:p>
    <w:tbl>
      <w:tblPr>
        <w:tblStyle w:val="TableGrid"/>
        <w:tblW w:w="5000" w:type="pct"/>
        <w:tblLook w:val="04A0" w:firstRow="1" w:lastRow="0" w:firstColumn="1" w:lastColumn="0" w:noHBand="0" w:noVBand="1"/>
      </w:tblPr>
      <w:tblGrid>
        <w:gridCol w:w="494"/>
        <w:gridCol w:w="1194"/>
        <w:gridCol w:w="2857"/>
        <w:gridCol w:w="5990"/>
        <w:gridCol w:w="3415"/>
      </w:tblGrid>
      <w:tr w:rsidR="00212C54" w:rsidRPr="00215444" w14:paraId="1CE63E27" w14:textId="77777777" w:rsidTr="00342C38">
        <w:trPr>
          <w:tblHeader/>
        </w:trPr>
        <w:tc>
          <w:tcPr>
            <w:tcW w:w="177" w:type="pct"/>
            <w:noWrap/>
            <w:hideMark/>
          </w:tcPr>
          <w:p w14:paraId="226DA577" w14:textId="77777777" w:rsidR="00212C54" w:rsidRPr="00215444" w:rsidRDefault="00212C54" w:rsidP="00342C38">
            <w:pPr>
              <w:pStyle w:val="NICEnormal"/>
              <w:spacing w:line="240" w:lineRule="auto"/>
              <w:rPr>
                <w:rFonts w:cs="Arial"/>
                <w:b/>
                <w:sz w:val="22"/>
                <w:szCs w:val="22"/>
              </w:rPr>
            </w:pPr>
            <w:r>
              <w:rPr>
                <w:rFonts w:cs="Arial"/>
                <w:b/>
                <w:sz w:val="22"/>
                <w:szCs w:val="22"/>
              </w:rPr>
              <w:t>ID</w:t>
            </w:r>
          </w:p>
        </w:tc>
        <w:tc>
          <w:tcPr>
            <w:tcW w:w="428" w:type="pct"/>
          </w:tcPr>
          <w:p w14:paraId="6371870B" w14:textId="77777777" w:rsidR="00212C54" w:rsidRPr="00215444" w:rsidRDefault="00212C54"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15568F69" w14:textId="77777777" w:rsidR="00212C54" w:rsidRPr="00215444" w:rsidRDefault="00212C54"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34C85D87" w14:textId="77777777" w:rsidR="00212C54" w:rsidRPr="00215444" w:rsidRDefault="00212C54"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05B8C83B" w14:textId="77777777" w:rsidR="00212C54" w:rsidRPr="00215444" w:rsidRDefault="00212C54" w:rsidP="00342C38">
            <w:pPr>
              <w:pStyle w:val="NICEnormal"/>
              <w:spacing w:line="240" w:lineRule="auto"/>
              <w:rPr>
                <w:rFonts w:cs="Arial"/>
                <w:b/>
                <w:sz w:val="22"/>
                <w:szCs w:val="22"/>
              </w:rPr>
            </w:pPr>
            <w:r>
              <w:rPr>
                <w:rFonts w:cs="Arial"/>
                <w:b/>
                <w:sz w:val="22"/>
                <w:szCs w:val="22"/>
              </w:rPr>
              <w:t>NICE response</w:t>
            </w:r>
          </w:p>
        </w:tc>
      </w:tr>
      <w:tr w:rsidR="008D0EA5" w:rsidRPr="00215444" w14:paraId="39B30574" w14:textId="289242C6" w:rsidTr="000528DF">
        <w:tc>
          <w:tcPr>
            <w:tcW w:w="177" w:type="pct"/>
          </w:tcPr>
          <w:p w14:paraId="391FBFA6" w14:textId="320DB35F" w:rsidR="008D0EA5" w:rsidRDefault="008D0EA5" w:rsidP="00421160">
            <w:pPr>
              <w:rPr>
                <w:rFonts w:ascii="Arial" w:hAnsi="Arial" w:cs="Arial"/>
                <w:color w:val="000000"/>
                <w:sz w:val="22"/>
                <w:szCs w:val="22"/>
                <w:lang w:eastAsia="en-GB"/>
              </w:rPr>
            </w:pPr>
            <w:r w:rsidRPr="008513F1">
              <w:rPr>
                <w:rFonts w:ascii="Arial" w:hAnsi="Arial" w:cs="Arial"/>
                <w:sz w:val="22"/>
                <w:szCs w:val="22"/>
              </w:rPr>
              <w:t>1</w:t>
            </w:r>
            <w:r w:rsidR="000444C3">
              <w:rPr>
                <w:rFonts w:ascii="Arial" w:hAnsi="Arial" w:cs="Arial"/>
                <w:sz w:val="22"/>
                <w:szCs w:val="22"/>
              </w:rPr>
              <w:t>6</w:t>
            </w:r>
          </w:p>
        </w:tc>
        <w:tc>
          <w:tcPr>
            <w:tcW w:w="428" w:type="pct"/>
          </w:tcPr>
          <w:p w14:paraId="1208058B" w14:textId="64D2DCD3" w:rsidR="008D0EA5" w:rsidRDefault="008D0EA5" w:rsidP="00421160">
            <w:pPr>
              <w:rPr>
                <w:rFonts w:ascii="Arial" w:hAnsi="Arial" w:cs="Arial"/>
                <w:color w:val="000000"/>
                <w:sz w:val="22"/>
                <w:szCs w:val="22"/>
                <w:lang w:eastAsia="en-GB"/>
              </w:rPr>
            </w:pPr>
            <w:r>
              <w:rPr>
                <w:rFonts w:ascii="Arial" w:hAnsi="Arial" w:cs="Arial"/>
                <w:sz w:val="22"/>
                <w:szCs w:val="22"/>
              </w:rPr>
              <w:t>IND2021-118</w:t>
            </w:r>
          </w:p>
        </w:tc>
        <w:tc>
          <w:tcPr>
            <w:tcW w:w="1024" w:type="pct"/>
          </w:tcPr>
          <w:p w14:paraId="58C96EDA" w14:textId="086E8756" w:rsidR="008D0EA5" w:rsidRDefault="008D0EA5" w:rsidP="00421160">
            <w:pPr>
              <w:rPr>
                <w:rFonts w:ascii="Arial" w:hAnsi="Arial" w:cs="Arial"/>
                <w:sz w:val="22"/>
                <w:szCs w:val="22"/>
              </w:rPr>
            </w:pPr>
            <w:r>
              <w:rPr>
                <w:rFonts w:ascii="Arial" w:hAnsi="Arial" w:cs="Arial"/>
                <w:sz w:val="22"/>
                <w:szCs w:val="22"/>
              </w:rPr>
              <w:t>BMA</w:t>
            </w:r>
          </w:p>
        </w:tc>
        <w:tc>
          <w:tcPr>
            <w:tcW w:w="2147" w:type="pct"/>
          </w:tcPr>
          <w:p w14:paraId="134AAB50" w14:textId="77777777" w:rsidR="008D0EA5" w:rsidRPr="005B2876" w:rsidRDefault="008D0EA5" w:rsidP="00421160">
            <w:pPr>
              <w:rPr>
                <w:rFonts w:ascii="Arial" w:hAnsi="Arial" w:cs="Arial"/>
                <w:sz w:val="22"/>
                <w:szCs w:val="28"/>
              </w:rPr>
            </w:pPr>
            <w:r w:rsidRPr="005B2876">
              <w:rPr>
                <w:rFonts w:ascii="Arial" w:hAnsi="Arial" w:cs="Arial"/>
                <w:sz w:val="22"/>
                <w:szCs w:val="28"/>
              </w:rPr>
              <w:t>Large workload associated with this as this would require manual searches as there is no register.</w:t>
            </w:r>
          </w:p>
          <w:p w14:paraId="42AE745E" w14:textId="329AD0F7" w:rsidR="008D0EA5" w:rsidRPr="00E344DA" w:rsidRDefault="008D0EA5" w:rsidP="00421160">
            <w:pPr>
              <w:rPr>
                <w:rFonts w:ascii="Arial" w:hAnsi="Arial" w:cs="Arial"/>
                <w:sz w:val="22"/>
                <w:szCs w:val="28"/>
              </w:rPr>
            </w:pPr>
            <w:r w:rsidRPr="005B2876">
              <w:rPr>
                <w:rFonts w:ascii="Arial" w:hAnsi="Arial" w:cs="Arial"/>
                <w:sz w:val="22"/>
                <w:szCs w:val="28"/>
              </w:rPr>
              <w:t>Would it not be better to incentivise movement away from using long term NSAIDs?</w:t>
            </w:r>
          </w:p>
        </w:tc>
        <w:tc>
          <w:tcPr>
            <w:tcW w:w="1224" w:type="pct"/>
          </w:tcPr>
          <w:p w14:paraId="0E18744F" w14:textId="4424905C" w:rsidR="008D0EA5" w:rsidRPr="005B2876" w:rsidRDefault="00F84619" w:rsidP="00421160">
            <w:pPr>
              <w:rPr>
                <w:rFonts w:ascii="Arial" w:hAnsi="Arial" w:cs="Arial"/>
                <w:sz w:val="22"/>
                <w:szCs w:val="28"/>
              </w:rPr>
            </w:pPr>
            <w:r>
              <w:rPr>
                <w:rFonts w:ascii="Arial" w:hAnsi="Arial" w:cs="Arial"/>
                <w:sz w:val="22"/>
                <w:szCs w:val="28"/>
              </w:rPr>
              <w:t xml:space="preserve">Thank you for your comment. NICE explored the </w:t>
            </w:r>
            <w:r w:rsidR="00012CC3">
              <w:rPr>
                <w:rFonts w:ascii="Arial" w:hAnsi="Arial" w:cs="Arial"/>
                <w:sz w:val="22"/>
                <w:szCs w:val="28"/>
              </w:rPr>
              <w:t xml:space="preserve">impact on </w:t>
            </w:r>
            <w:r>
              <w:rPr>
                <w:rFonts w:ascii="Arial" w:hAnsi="Arial" w:cs="Arial"/>
                <w:sz w:val="22"/>
                <w:szCs w:val="28"/>
              </w:rPr>
              <w:t xml:space="preserve">workload and the indicator advisory committee noted that this would be manageable. </w:t>
            </w:r>
            <w:r w:rsidR="00BA1FEB">
              <w:rPr>
                <w:rFonts w:ascii="Arial" w:hAnsi="Arial" w:cs="Arial"/>
                <w:sz w:val="22"/>
                <w:szCs w:val="28"/>
              </w:rPr>
              <w:t>The committee</w:t>
            </w:r>
            <w:r w:rsidR="00C77FB4">
              <w:rPr>
                <w:rFonts w:ascii="Arial" w:hAnsi="Arial" w:cs="Arial"/>
                <w:sz w:val="22"/>
                <w:szCs w:val="28"/>
              </w:rPr>
              <w:t xml:space="preserve"> noted that this indicator would help initiate important conversation</w:t>
            </w:r>
            <w:r w:rsidR="00B1748B">
              <w:rPr>
                <w:rFonts w:ascii="Arial" w:hAnsi="Arial" w:cs="Arial"/>
                <w:sz w:val="22"/>
                <w:szCs w:val="28"/>
              </w:rPr>
              <w:t>s</w:t>
            </w:r>
            <w:r w:rsidR="00C77FB4">
              <w:rPr>
                <w:rFonts w:ascii="Arial" w:hAnsi="Arial" w:cs="Arial"/>
                <w:sz w:val="22"/>
                <w:szCs w:val="28"/>
              </w:rPr>
              <w:t xml:space="preserve"> about the use of NSAIDs.</w:t>
            </w:r>
            <w:r>
              <w:rPr>
                <w:rFonts w:ascii="Arial" w:hAnsi="Arial" w:cs="Arial"/>
                <w:sz w:val="22"/>
                <w:szCs w:val="28"/>
              </w:rPr>
              <w:t xml:space="preserve"> </w:t>
            </w:r>
          </w:p>
        </w:tc>
      </w:tr>
      <w:tr w:rsidR="008D0EA5" w:rsidRPr="00215444" w14:paraId="65D1EB7C" w14:textId="5B32AE06" w:rsidTr="000528DF">
        <w:tc>
          <w:tcPr>
            <w:tcW w:w="177" w:type="pct"/>
          </w:tcPr>
          <w:p w14:paraId="3731129E" w14:textId="6D691688" w:rsidR="008D0EA5" w:rsidRDefault="008D0EA5" w:rsidP="00EE065C">
            <w:pPr>
              <w:rPr>
                <w:rFonts w:ascii="Arial" w:hAnsi="Arial" w:cs="Arial"/>
                <w:color w:val="000000"/>
                <w:sz w:val="22"/>
                <w:szCs w:val="22"/>
                <w:lang w:eastAsia="en-GB"/>
              </w:rPr>
            </w:pPr>
            <w:r>
              <w:rPr>
                <w:rFonts w:ascii="Arial" w:hAnsi="Arial" w:cs="Arial"/>
                <w:color w:val="000000"/>
                <w:sz w:val="22"/>
                <w:szCs w:val="22"/>
                <w:lang w:eastAsia="en-GB"/>
              </w:rPr>
              <w:t>1</w:t>
            </w:r>
            <w:r w:rsidR="000444C3">
              <w:rPr>
                <w:rFonts w:ascii="Arial" w:hAnsi="Arial" w:cs="Arial"/>
                <w:color w:val="000000"/>
                <w:sz w:val="22"/>
                <w:szCs w:val="22"/>
                <w:lang w:eastAsia="en-GB"/>
              </w:rPr>
              <w:t>7</w:t>
            </w:r>
          </w:p>
        </w:tc>
        <w:tc>
          <w:tcPr>
            <w:tcW w:w="428" w:type="pct"/>
          </w:tcPr>
          <w:p w14:paraId="70A411E9" w14:textId="5C91CB9E" w:rsidR="008D0EA5" w:rsidRDefault="008D0EA5" w:rsidP="00EE065C">
            <w:pPr>
              <w:rPr>
                <w:rFonts w:ascii="Arial" w:hAnsi="Arial" w:cs="Arial"/>
                <w:color w:val="000000"/>
                <w:sz w:val="22"/>
                <w:szCs w:val="22"/>
                <w:lang w:eastAsia="en-GB"/>
              </w:rPr>
            </w:pPr>
            <w:r>
              <w:rPr>
                <w:rFonts w:ascii="Arial" w:hAnsi="Arial" w:cs="Arial"/>
                <w:color w:val="000000"/>
                <w:sz w:val="22"/>
                <w:szCs w:val="22"/>
                <w:lang w:eastAsia="en-GB"/>
              </w:rPr>
              <w:t>IND2021-118</w:t>
            </w:r>
          </w:p>
        </w:tc>
        <w:tc>
          <w:tcPr>
            <w:tcW w:w="1024" w:type="pct"/>
          </w:tcPr>
          <w:p w14:paraId="615001AB" w14:textId="28A3A689" w:rsidR="008D0EA5" w:rsidRDefault="008D0EA5" w:rsidP="00EE065C">
            <w:pPr>
              <w:rPr>
                <w:rFonts w:ascii="Arial" w:hAnsi="Arial" w:cs="Arial"/>
                <w:sz w:val="22"/>
                <w:szCs w:val="22"/>
              </w:rPr>
            </w:pPr>
            <w:r>
              <w:rPr>
                <w:rFonts w:ascii="Arial" w:hAnsi="Arial" w:cs="Arial"/>
                <w:sz w:val="22"/>
                <w:szCs w:val="22"/>
              </w:rPr>
              <w:t>RCGP</w:t>
            </w:r>
          </w:p>
        </w:tc>
        <w:tc>
          <w:tcPr>
            <w:tcW w:w="2147" w:type="pct"/>
          </w:tcPr>
          <w:p w14:paraId="720CA7E6" w14:textId="52C537BC" w:rsidR="008D0EA5" w:rsidRPr="00421160" w:rsidRDefault="008D0EA5" w:rsidP="00421160">
            <w:pPr>
              <w:rPr>
                <w:rFonts w:ascii="Arial" w:hAnsi="Arial" w:cs="Arial"/>
                <w:sz w:val="22"/>
                <w:szCs w:val="28"/>
              </w:rPr>
            </w:pPr>
            <w:r w:rsidRPr="00421160">
              <w:rPr>
                <w:rFonts w:ascii="Arial" w:hAnsi="Arial" w:cs="Arial"/>
                <w:sz w:val="22"/>
                <w:szCs w:val="28"/>
              </w:rPr>
              <w:t>We fully support this indicator to improve patient care and safe prescribing</w:t>
            </w:r>
            <w:r>
              <w:rPr>
                <w:rFonts w:ascii="Arial" w:hAnsi="Arial" w:cs="Arial"/>
                <w:sz w:val="22"/>
                <w:szCs w:val="28"/>
              </w:rPr>
              <w:t>.</w:t>
            </w:r>
          </w:p>
          <w:p w14:paraId="6A921664" w14:textId="77777777" w:rsidR="008D0EA5" w:rsidRPr="00421160" w:rsidRDefault="008D0EA5" w:rsidP="00421160">
            <w:pPr>
              <w:rPr>
                <w:rFonts w:ascii="Arial" w:hAnsi="Arial" w:cs="Arial"/>
                <w:sz w:val="22"/>
                <w:szCs w:val="28"/>
              </w:rPr>
            </w:pPr>
            <w:r w:rsidRPr="00421160">
              <w:rPr>
                <w:rFonts w:ascii="Arial" w:hAnsi="Arial" w:cs="Arial"/>
                <w:sz w:val="22"/>
                <w:szCs w:val="28"/>
              </w:rPr>
              <w:t>We note that the list of drugs is not included in the explanation for this indicator and would expect all of the indicators to be consistently defined, therefore removing the list of drug names from the CVD indicators as indicated above.</w:t>
            </w:r>
          </w:p>
          <w:p w14:paraId="0171F3A4" w14:textId="77777777" w:rsidR="008D0EA5" w:rsidRPr="00421160" w:rsidRDefault="008D0EA5" w:rsidP="00421160">
            <w:pPr>
              <w:rPr>
                <w:rFonts w:ascii="Arial" w:hAnsi="Arial" w:cs="Arial"/>
                <w:sz w:val="22"/>
                <w:szCs w:val="28"/>
              </w:rPr>
            </w:pPr>
          </w:p>
          <w:p w14:paraId="0B9C90FB" w14:textId="72F80870" w:rsidR="008D0EA5" w:rsidRPr="00421160" w:rsidRDefault="008D0EA5" w:rsidP="00421160">
            <w:pPr>
              <w:rPr>
                <w:rFonts w:ascii="Arial" w:hAnsi="Arial" w:cs="Arial"/>
                <w:sz w:val="22"/>
                <w:szCs w:val="28"/>
              </w:rPr>
            </w:pPr>
            <w:r w:rsidRPr="00421160">
              <w:rPr>
                <w:rFonts w:ascii="Arial" w:hAnsi="Arial" w:cs="Arial"/>
                <w:sz w:val="22"/>
                <w:szCs w:val="28"/>
              </w:rPr>
              <w:t>Q1. This is a positive indicator and would build on the safe prescribing work that primary care has begun in this area. We see no barriers to implementation</w:t>
            </w:r>
            <w:r>
              <w:rPr>
                <w:rFonts w:ascii="Arial" w:hAnsi="Arial" w:cs="Arial"/>
                <w:sz w:val="22"/>
                <w:szCs w:val="28"/>
              </w:rPr>
              <w:t>.</w:t>
            </w:r>
          </w:p>
          <w:p w14:paraId="10729BB8" w14:textId="3068B0D1" w:rsidR="008D0EA5" w:rsidRPr="00421160" w:rsidRDefault="008D0EA5" w:rsidP="00421160">
            <w:pPr>
              <w:rPr>
                <w:rFonts w:ascii="Arial" w:hAnsi="Arial" w:cs="Arial"/>
                <w:sz w:val="22"/>
                <w:szCs w:val="28"/>
              </w:rPr>
            </w:pPr>
            <w:r w:rsidRPr="00421160">
              <w:rPr>
                <w:rFonts w:ascii="Arial" w:hAnsi="Arial" w:cs="Arial"/>
                <w:sz w:val="22"/>
                <w:szCs w:val="28"/>
              </w:rPr>
              <w:t>Q2. None identified</w:t>
            </w:r>
            <w:r>
              <w:rPr>
                <w:rFonts w:ascii="Arial" w:hAnsi="Arial" w:cs="Arial"/>
                <w:sz w:val="22"/>
                <w:szCs w:val="28"/>
              </w:rPr>
              <w:t>.</w:t>
            </w:r>
          </w:p>
          <w:p w14:paraId="17CC991B" w14:textId="77777777" w:rsidR="008D0EA5" w:rsidRPr="00421160" w:rsidRDefault="008D0EA5" w:rsidP="00421160">
            <w:pPr>
              <w:rPr>
                <w:rFonts w:ascii="Arial" w:hAnsi="Arial" w:cs="Arial"/>
                <w:sz w:val="22"/>
                <w:szCs w:val="28"/>
              </w:rPr>
            </w:pPr>
            <w:r w:rsidRPr="00421160">
              <w:rPr>
                <w:rFonts w:ascii="Arial" w:hAnsi="Arial" w:cs="Arial"/>
                <w:sz w:val="22"/>
                <w:szCs w:val="28"/>
              </w:rPr>
              <w:t xml:space="preserve">Q3. The greatest risk for bleeding is for those over the age of 65 and so focussing on a smaller population may bring more significant safety gains, allowing primary care to focus on those at greatest risk, rather than all ages as the current indicator suggests. </w:t>
            </w:r>
          </w:p>
          <w:p w14:paraId="555CD7DC" w14:textId="1F1A65EF" w:rsidR="008D0EA5" w:rsidRPr="00E344DA" w:rsidRDefault="008D0EA5" w:rsidP="00421160">
            <w:pPr>
              <w:rPr>
                <w:rFonts w:ascii="Arial" w:hAnsi="Arial" w:cs="Arial"/>
                <w:sz w:val="22"/>
                <w:szCs w:val="28"/>
              </w:rPr>
            </w:pPr>
            <w:r w:rsidRPr="00421160">
              <w:rPr>
                <w:rFonts w:ascii="Arial" w:hAnsi="Arial" w:cs="Arial"/>
                <w:sz w:val="22"/>
                <w:szCs w:val="28"/>
              </w:rPr>
              <w:t>Q4 none identified</w:t>
            </w:r>
          </w:p>
        </w:tc>
        <w:tc>
          <w:tcPr>
            <w:tcW w:w="1224" w:type="pct"/>
          </w:tcPr>
          <w:p w14:paraId="424B0647" w14:textId="7262652D" w:rsidR="008D0EA5" w:rsidRPr="00421160" w:rsidRDefault="00F84619" w:rsidP="00421160">
            <w:pPr>
              <w:rPr>
                <w:rFonts w:ascii="Arial" w:hAnsi="Arial" w:cs="Arial"/>
                <w:sz w:val="22"/>
                <w:szCs w:val="28"/>
              </w:rPr>
            </w:pPr>
            <w:r>
              <w:rPr>
                <w:rFonts w:ascii="Arial" w:hAnsi="Arial" w:cs="Arial"/>
                <w:sz w:val="22"/>
                <w:szCs w:val="28"/>
              </w:rPr>
              <w:t xml:space="preserve">Thank you for your comment. </w:t>
            </w:r>
            <w:r w:rsidR="00BA1FEB">
              <w:rPr>
                <w:rFonts w:ascii="Arial" w:hAnsi="Arial" w:cs="Arial"/>
                <w:sz w:val="22"/>
                <w:szCs w:val="28"/>
              </w:rPr>
              <w:t xml:space="preserve">The report for contextual data in support of piloted indicators includes the specification of oral NSAIDs using BNF classification. The indicator advisory committee discussed potentially focusing on people over the age of 65 but felt that the workload associated with the indicator as worded was manageable. </w:t>
            </w:r>
          </w:p>
        </w:tc>
      </w:tr>
      <w:tr w:rsidR="008D0EA5" w:rsidRPr="00215444" w14:paraId="55ABDA87" w14:textId="533CB36C" w:rsidTr="000528DF">
        <w:tc>
          <w:tcPr>
            <w:tcW w:w="177" w:type="pct"/>
            <w:hideMark/>
          </w:tcPr>
          <w:p w14:paraId="0A83126C" w14:textId="50B59D7E" w:rsidR="008D0EA5" w:rsidRPr="005B73E7" w:rsidRDefault="008D0EA5" w:rsidP="00EE065C">
            <w:pPr>
              <w:rPr>
                <w:rFonts w:ascii="Arial" w:hAnsi="Arial" w:cs="Arial"/>
                <w:color w:val="000000"/>
                <w:sz w:val="22"/>
                <w:szCs w:val="22"/>
                <w:lang w:eastAsia="en-GB"/>
              </w:rPr>
            </w:pPr>
            <w:r>
              <w:rPr>
                <w:rFonts w:ascii="Arial" w:hAnsi="Arial" w:cs="Arial"/>
                <w:color w:val="000000"/>
                <w:sz w:val="22"/>
                <w:szCs w:val="22"/>
                <w:lang w:eastAsia="en-GB"/>
              </w:rPr>
              <w:t>1</w:t>
            </w:r>
            <w:r w:rsidR="000444C3">
              <w:rPr>
                <w:rFonts w:ascii="Arial" w:hAnsi="Arial" w:cs="Arial"/>
                <w:color w:val="000000"/>
                <w:sz w:val="22"/>
                <w:szCs w:val="22"/>
                <w:lang w:eastAsia="en-GB"/>
              </w:rPr>
              <w:t>8</w:t>
            </w:r>
          </w:p>
        </w:tc>
        <w:tc>
          <w:tcPr>
            <w:tcW w:w="428" w:type="pct"/>
          </w:tcPr>
          <w:p w14:paraId="61666690" w14:textId="43FD39E7" w:rsidR="008D0EA5" w:rsidRPr="005B73E7" w:rsidRDefault="008D0EA5" w:rsidP="00EE065C">
            <w:pPr>
              <w:rPr>
                <w:rFonts w:ascii="Arial" w:hAnsi="Arial" w:cs="Arial"/>
                <w:color w:val="000000"/>
                <w:sz w:val="22"/>
                <w:szCs w:val="22"/>
                <w:lang w:eastAsia="en-GB"/>
              </w:rPr>
            </w:pPr>
            <w:r>
              <w:rPr>
                <w:rFonts w:ascii="Arial" w:hAnsi="Arial" w:cs="Arial"/>
                <w:color w:val="000000"/>
                <w:sz w:val="22"/>
                <w:szCs w:val="22"/>
                <w:lang w:eastAsia="en-GB"/>
              </w:rPr>
              <w:t>IND2021-118</w:t>
            </w:r>
          </w:p>
        </w:tc>
        <w:tc>
          <w:tcPr>
            <w:tcW w:w="1024" w:type="pct"/>
          </w:tcPr>
          <w:p w14:paraId="30799E65" w14:textId="680D1E5F" w:rsidR="008D0EA5" w:rsidRPr="005B73E7" w:rsidRDefault="008D0EA5" w:rsidP="00EE065C">
            <w:pPr>
              <w:rPr>
                <w:rFonts w:ascii="Arial" w:hAnsi="Arial" w:cs="Arial"/>
                <w:sz w:val="22"/>
                <w:szCs w:val="22"/>
              </w:rPr>
            </w:pPr>
            <w:r>
              <w:rPr>
                <w:rFonts w:ascii="Arial" w:hAnsi="Arial" w:cs="Arial"/>
                <w:sz w:val="22"/>
                <w:szCs w:val="22"/>
              </w:rPr>
              <w:t>UKKA</w:t>
            </w:r>
          </w:p>
        </w:tc>
        <w:tc>
          <w:tcPr>
            <w:tcW w:w="2147" w:type="pct"/>
          </w:tcPr>
          <w:p w14:paraId="4B990DDC" w14:textId="17BF9741" w:rsidR="008D0EA5" w:rsidRDefault="008D0EA5" w:rsidP="00E344DA">
            <w:pPr>
              <w:rPr>
                <w:rFonts w:ascii="Arial" w:hAnsi="Arial" w:cs="Arial"/>
                <w:sz w:val="22"/>
                <w:szCs w:val="28"/>
              </w:rPr>
            </w:pPr>
            <w:r w:rsidRPr="00E344DA">
              <w:rPr>
                <w:rFonts w:ascii="Arial" w:hAnsi="Arial" w:cs="Arial"/>
                <w:sz w:val="22"/>
                <w:szCs w:val="28"/>
              </w:rPr>
              <w:t xml:space="preserve">The current guidelines recommend monitoring of patients on NSAIDS. The proposed definition of long-term </w:t>
            </w:r>
            <w:r w:rsidRPr="00E344DA">
              <w:rPr>
                <w:rFonts w:ascii="Arial" w:hAnsi="Arial" w:cs="Arial"/>
                <w:sz w:val="22"/>
                <w:szCs w:val="28"/>
              </w:rPr>
              <w:lastRenderedPageBreak/>
              <w:t>prescriptions needs to consider the use in people which is more intermittent than 12 prescriptions in 2 years. First it is not clear how long a “prescription” is: ? one week, one month or longer. More clarity is required but it would seem sensible to suggest chronic use defined as exposure to more than 6 weeks of treatment annually.</w:t>
            </w:r>
          </w:p>
          <w:p w14:paraId="2C1A52FC" w14:textId="77777777" w:rsidR="008D0EA5" w:rsidRPr="00E344DA" w:rsidRDefault="008D0EA5" w:rsidP="00E344DA">
            <w:pPr>
              <w:rPr>
                <w:rFonts w:ascii="Arial" w:hAnsi="Arial" w:cs="Arial"/>
                <w:sz w:val="22"/>
                <w:szCs w:val="28"/>
              </w:rPr>
            </w:pPr>
          </w:p>
          <w:p w14:paraId="49B59D0B" w14:textId="22187937" w:rsidR="008D0EA5" w:rsidRDefault="008D0EA5" w:rsidP="00E344DA">
            <w:pPr>
              <w:rPr>
                <w:rFonts w:ascii="Arial" w:hAnsi="Arial" w:cs="Arial"/>
                <w:sz w:val="22"/>
                <w:szCs w:val="28"/>
              </w:rPr>
            </w:pPr>
            <w:r w:rsidRPr="00E344DA">
              <w:rPr>
                <w:rFonts w:ascii="Arial" w:hAnsi="Arial" w:cs="Arial"/>
                <w:sz w:val="22"/>
                <w:szCs w:val="28"/>
              </w:rPr>
              <w:t xml:space="preserve">I’m not aware that this strategy has been assessed in the context of a randomised controlled trial. There are observational studies suggesting that patients taking NSAIDs show more rapid declines in eGFR, but I am not aware of a large RCT that has fully assessed the true benefits/harms of NSAID avoidance. Some patients may choose to be in less pain but accept a faster decline in kidney function, particularly if they are unlikely to require renal replacement therapy during their lifetime.  </w:t>
            </w:r>
          </w:p>
          <w:p w14:paraId="388482B4" w14:textId="77777777" w:rsidR="008D0EA5" w:rsidRPr="00E344DA" w:rsidRDefault="008D0EA5" w:rsidP="00E344DA">
            <w:pPr>
              <w:rPr>
                <w:rFonts w:ascii="Arial" w:hAnsi="Arial" w:cs="Arial"/>
                <w:sz w:val="22"/>
                <w:szCs w:val="28"/>
              </w:rPr>
            </w:pPr>
          </w:p>
          <w:p w14:paraId="44BE5ABD" w14:textId="4E97146C" w:rsidR="008D0EA5" w:rsidRPr="00E344DA" w:rsidRDefault="008D0EA5" w:rsidP="00E344DA">
            <w:pPr>
              <w:rPr>
                <w:rFonts w:ascii="Arial" w:hAnsi="Arial" w:cs="Arial"/>
                <w:sz w:val="22"/>
                <w:szCs w:val="28"/>
              </w:rPr>
            </w:pPr>
            <w:r w:rsidRPr="00E344DA">
              <w:rPr>
                <w:rFonts w:ascii="Arial" w:hAnsi="Arial" w:cs="Arial"/>
                <w:sz w:val="22"/>
                <w:szCs w:val="28"/>
              </w:rPr>
              <w:t>Long-term NSAID prescription of 12 prescriptions in the previous 24 months is an arbitrary time frame. This may be better phrased as any individual with more than three prescriptions in any 12-month period. Presumably this group of patients may also be buying NSAIDs over the counter? Arguably if you are issuing repeat prescriptions for NSAIDs, you should know what the eGFR is. As many patients who are on the register are not having their eGFR test done within the last 12 months, as shown by the national CKD audit, and some patients who fulfil criteria for CKD will not be on the practice CKD register then the exclusion criteria of CKD shown should be dropped.</w:t>
            </w:r>
          </w:p>
        </w:tc>
        <w:tc>
          <w:tcPr>
            <w:tcW w:w="1224" w:type="pct"/>
          </w:tcPr>
          <w:p w14:paraId="5ABC2A12" w14:textId="54B18A4E" w:rsidR="008D0EA5" w:rsidRPr="00E344DA" w:rsidRDefault="00BA1FEB" w:rsidP="00E344DA">
            <w:pPr>
              <w:rPr>
                <w:rFonts w:ascii="Arial" w:hAnsi="Arial" w:cs="Arial"/>
                <w:sz w:val="22"/>
                <w:szCs w:val="28"/>
              </w:rPr>
            </w:pPr>
            <w:r>
              <w:rPr>
                <w:rFonts w:ascii="Arial" w:hAnsi="Arial" w:cs="Arial"/>
                <w:sz w:val="22"/>
                <w:szCs w:val="28"/>
              </w:rPr>
              <w:lastRenderedPageBreak/>
              <w:t xml:space="preserve">Thank you for your comment. The indicator is based on an </w:t>
            </w:r>
            <w:r>
              <w:rPr>
                <w:rFonts w:ascii="Arial" w:hAnsi="Arial" w:cs="Arial"/>
                <w:sz w:val="22"/>
                <w:szCs w:val="28"/>
              </w:rPr>
              <w:lastRenderedPageBreak/>
              <w:t xml:space="preserve">evidence-based recommendation in NICE’s guideline on chronic kidney disease. The NCCID explored the current definition of long-term use using NHSBSA data and this included determining average prescription length and prescribing patterns. There are no SNOMED codes for over the counter NSAID and so these could not be included in the indicator. </w:t>
            </w:r>
          </w:p>
        </w:tc>
      </w:tr>
    </w:tbl>
    <w:p w14:paraId="3B0D22A0" w14:textId="4CFE8B53" w:rsidR="00212C54" w:rsidRDefault="00212C54" w:rsidP="00982090">
      <w:pPr>
        <w:pStyle w:val="Paragraph"/>
      </w:pPr>
      <w:r w:rsidRPr="00212C54">
        <w:lastRenderedPageBreak/>
        <w:t>Question 9: Is the proposed definition of long-term prescriptions appropriate? If not, how should we define this?</w:t>
      </w:r>
    </w:p>
    <w:tbl>
      <w:tblPr>
        <w:tblStyle w:val="TableGrid"/>
        <w:tblW w:w="5000" w:type="pct"/>
        <w:tblLook w:val="04A0" w:firstRow="1" w:lastRow="0" w:firstColumn="1" w:lastColumn="0" w:noHBand="0" w:noVBand="1"/>
      </w:tblPr>
      <w:tblGrid>
        <w:gridCol w:w="494"/>
        <w:gridCol w:w="1194"/>
        <w:gridCol w:w="2857"/>
        <w:gridCol w:w="5990"/>
        <w:gridCol w:w="3415"/>
      </w:tblGrid>
      <w:tr w:rsidR="00212C54" w:rsidRPr="00215444" w14:paraId="5BF1E00F" w14:textId="77777777" w:rsidTr="00342C38">
        <w:trPr>
          <w:tblHeader/>
        </w:trPr>
        <w:tc>
          <w:tcPr>
            <w:tcW w:w="177" w:type="pct"/>
            <w:noWrap/>
            <w:hideMark/>
          </w:tcPr>
          <w:p w14:paraId="0E6E130A" w14:textId="77777777" w:rsidR="00212C54" w:rsidRPr="00215444" w:rsidRDefault="00212C54" w:rsidP="00342C38">
            <w:pPr>
              <w:pStyle w:val="NICEnormal"/>
              <w:spacing w:line="240" w:lineRule="auto"/>
              <w:rPr>
                <w:rFonts w:cs="Arial"/>
                <w:b/>
                <w:sz w:val="22"/>
                <w:szCs w:val="22"/>
              </w:rPr>
            </w:pPr>
            <w:r>
              <w:rPr>
                <w:rFonts w:cs="Arial"/>
                <w:b/>
                <w:sz w:val="22"/>
                <w:szCs w:val="22"/>
              </w:rPr>
              <w:lastRenderedPageBreak/>
              <w:t>ID</w:t>
            </w:r>
          </w:p>
        </w:tc>
        <w:tc>
          <w:tcPr>
            <w:tcW w:w="428" w:type="pct"/>
          </w:tcPr>
          <w:p w14:paraId="2FDD24F9" w14:textId="77777777" w:rsidR="00212C54" w:rsidRPr="00215444" w:rsidRDefault="00212C54"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51E04317" w14:textId="77777777" w:rsidR="00212C54" w:rsidRPr="00215444" w:rsidRDefault="00212C54"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237AB302" w14:textId="77777777" w:rsidR="00212C54" w:rsidRPr="00215444" w:rsidRDefault="00212C54"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35320B8D" w14:textId="77777777" w:rsidR="00212C54" w:rsidRPr="00215444" w:rsidRDefault="00212C54" w:rsidP="00342C38">
            <w:pPr>
              <w:pStyle w:val="NICEnormal"/>
              <w:spacing w:line="240" w:lineRule="auto"/>
              <w:rPr>
                <w:rFonts w:cs="Arial"/>
                <w:b/>
                <w:sz w:val="22"/>
                <w:szCs w:val="22"/>
              </w:rPr>
            </w:pPr>
            <w:r>
              <w:rPr>
                <w:rFonts w:cs="Arial"/>
                <w:b/>
                <w:sz w:val="22"/>
                <w:szCs w:val="22"/>
              </w:rPr>
              <w:t>NICE response</w:t>
            </w:r>
          </w:p>
        </w:tc>
      </w:tr>
      <w:tr w:rsidR="008D0EA5" w:rsidRPr="00215444" w14:paraId="2B484B12" w14:textId="24821A55" w:rsidTr="000528DF">
        <w:tc>
          <w:tcPr>
            <w:tcW w:w="177" w:type="pct"/>
            <w:hideMark/>
          </w:tcPr>
          <w:p w14:paraId="5637E658" w14:textId="243EE187" w:rsidR="008D0EA5" w:rsidRPr="008513F1" w:rsidRDefault="000444C3" w:rsidP="00E344DA">
            <w:pPr>
              <w:rPr>
                <w:rFonts w:ascii="Arial" w:hAnsi="Arial" w:cs="Arial"/>
              </w:rPr>
            </w:pPr>
            <w:r>
              <w:rPr>
                <w:rFonts w:ascii="Arial" w:hAnsi="Arial" w:cs="Arial"/>
              </w:rPr>
              <w:t>19</w:t>
            </w:r>
          </w:p>
        </w:tc>
        <w:tc>
          <w:tcPr>
            <w:tcW w:w="428" w:type="pct"/>
            <w:hideMark/>
          </w:tcPr>
          <w:p w14:paraId="398C9DE1" w14:textId="445DBE1B" w:rsidR="008D0EA5" w:rsidRDefault="008D0EA5" w:rsidP="00E344DA">
            <w:r>
              <w:rPr>
                <w:rFonts w:ascii="Arial" w:hAnsi="Arial" w:cs="Arial"/>
                <w:sz w:val="22"/>
                <w:szCs w:val="22"/>
              </w:rPr>
              <w:t>9</w:t>
            </w:r>
          </w:p>
        </w:tc>
        <w:tc>
          <w:tcPr>
            <w:tcW w:w="1024" w:type="pct"/>
            <w:hideMark/>
          </w:tcPr>
          <w:p w14:paraId="62918765" w14:textId="174C6F4C" w:rsidR="008D0EA5" w:rsidRPr="005B73E7" w:rsidRDefault="008D0EA5" w:rsidP="00E344DA">
            <w:pPr>
              <w:rPr>
                <w:rFonts w:ascii="Arial" w:hAnsi="Arial" w:cs="Arial"/>
                <w:sz w:val="22"/>
                <w:szCs w:val="22"/>
              </w:rPr>
            </w:pPr>
            <w:r>
              <w:rPr>
                <w:rFonts w:ascii="Arial" w:hAnsi="Arial" w:cs="Arial"/>
                <w:sz w:val="22"/>
                <w:szCs w:val="22"/>
              </w:rPr>
              <w:t>Primary Care Cardiovascular Society</w:t>
            </w:r>
          </w:p>
        </w:tc>
        <w:tc>
          <w:tcPr>
            <w:tcW w:w="2147" w:type="pct"/>
            <w:hideMark/>
          </w:tcPr>
          <w:p w14:paraId="0404128D" w14:textId="1397987B" w:rsidR="008D0EA5" w:rsidRPr="00EE065C" w:rsidRDefault="008D0EA5" w:rsidP="00E344DA">
            <w:pPr>
              <w:rPr>
                <w:rFonts w:ascii="Arial" w:hAnsi="Arial" w:cs="Arial"/>
                <w:sz w:val="22"/>
                <w:szCs w:val="22"/>
              </w:rPr>
            </w:pPr>
            <w:r w:rsidRPr="00A94A2F">
              <w:rPr>
                <w:rFonts w:ascii="Arial" w:hAnsi="Arial" w:cs="Arial"/>
                <w:sz w:val="22"/>
                <w:szCs w:val="22"/>
              </w:rPr>
              <w:t>This definition of long-term use seems reasonable</w:t>
            </w:r>
            <w:r>
              <w:rPr>
                <w:rFonts w:ascii="Arial" w:hAnsi="Arial" w:cs="Arial"/>
                <w:sz w:val="22"/>
                <w:szCs w:val="22"/>
              </w:rPr>
              <w:t>.</w:t>
            </w:r>
          </w:p>
        </w:tc>
        <w:tc>
          <w:tcPr>
            <w:tcW w:w="1224" w:type="pct"/>
          </w:tcPr>
          <w:p w14:paraId="2E390041" w14:textId="7756C6F4" w:rsidR="008D0EA5" w:rsidRPr="00A94A2F" w:rsidRDefault="00C77FB4" w:rsidP="00E344DA">
            <w:pPr>
              <w:rPr>
                <w:rFonts w:ascii="Arial" w:hAnsi="Arial" w:cs="Arial"/>
                <w:sz w:val="22"/>
                <w:szCs w:val="22"/>
              </w:rPr>
            </w:pPr>
            <w:r>
              <w:rPr>
                <w:rFonts w:ascii="Arial" w:hAnsi="Arial" w:cs="Arial"/>
                <w:sz w:val="22"/>
                <w:szCs w:val="28"/>
              </w:rPr>
              <w:t>Thank you for your comment.</w:t>
            </w:r>
          </w:p>
        </w:tc>
      </w:tr>
      <w:tr w:rsidR="008D0EA5" w:rsidRPr="00215444" w14:paraId="28AE838D" w14:textId="5BCB7B21" w:rsidTr="000528DF">
        <w:tc>
          <w:tcPr>
            <w:tcW w:w="177" w:type="pct"/>
          </w:tcPr>
          <w:p w14:paraId="41F924B4" w14:textId="19FDDDF5" w:rsidR="008D0EA5" w:rsidRPr="008513F1" w:rsidRDefault="008D0EA5" w:rsidP="00E344DA">
            <w:pPr>
              <w:rPr>
                <w:rFonts w:ascii="Arial" w:hAnsi="Arial" w:cs="Arial"/>
                <w:sz w:val="22"/>
                <w:szCs w:val="22"/>
              </w:rPr>
            </w:pPr>
            <w:bookmarkStart w:id="120" w:name="_Toc418246141"/>
            <w:r>
              <w:rPr>
                <w:rFonts w:ascii="Arial" w:hAnsi="Arial" w:cs="Arial"/>
                <w:sz w:val="22"/>
                <w:szCs w:val="22"/>
              </w:rPr>
              <w:t>2</w:t>
            </w:r>
            <w:r w:rsidR="000444C3">
              <w:rPr>
                <w:rFonts w:ascii="Arial" w:hAnsi="Arial" w:cs="Arial"/>
                <w:sz w:val="22"/>
                <w:szCs w:val="22"/>
              </w:rPr>
              <w:t>0</w:t>
            </w:r>
          </w:p>
        </w:tc>
        <w:tc>
          <w:tcPr>
            <w:tcW w:w="428" w:type="pct"/>
          </w:tcPr>
          <w:p w14:paraId="0E01DFBD" w14:textId="24F677A8" w:rsidR="008D0EA5" w:rsidRDefault="008D0EA5" w:rsidP="00E344DA">
            <w:pPr>
              <w:rPr>
                <w:rFonts w:ascii="Arial" w:hAnsi="Arial" w:cs="Arial"/>
                <w:sz w:val="22"/>
                <w:szCs w:val="22"/>
              </w:rPr>
            </w:pPr>
            <w:r>
              <w:rPr>
                <w:rFonts w:ascii="Arial" w:hAnsi="Arial" w:cs="Arial"/>
                <w:sz w:val="22"/>
                <w:szCs w:val="22"/>
              </w:rPr>
              <w:t>9</w:t>
            </w:r>
          </w:p>
        </w:tc>
        <w:tc>
          <w:tcPr>
            <w:tcW w:w="1024" w:type="pct"/>
          </w:tcPr>
          <w:p w14:paraId="78F12109" w14:textId="75B66F17" w:rsidR="008D0EA5" w:rsidRDefault="008D0EA5" w:rsidP="00E344DA">
            <w:pPr>
              <w:rPr>
                <w:rFonts w:ascii="Arial" w:hAnsi="Arial" w:cs="Arial"/>
                <w:sz w:val="22"/>
                <w:szCs w:val="22"/>
              </w:rPr>
            </w:pPr>
            <w:r>
              <w:rPr>
                <w:rFonts w:ascii="Arial" w:hAnsi="Arial" w:cs="Arial"/>
                <w:sz w:val="22"/>
                <w:szCs w:val="22"/>
              </w:rPr>
              <w:t>RCGP</w:t>
            </w:r>
          </w:p>
        </w:tc>
        <w:tc>
          <w:tcPr>
            <w:tcW w:w="2147" w:type="pct"/>
          </w:tcPr>
          <w:p w14:paraId="558D4C21" w14:textId="1FEEF046" w:rsidR="008D0EA5" w:rsidRPr="00A94A2F" w:rsidRDefault="008D0EA5" w:rsidP="00E344DA">
            <w:pPr>
              <w:rPr>
                <w:rFonts w:ascii="Arial" w:hAnsi="Arial" w:cs="Arial"/>
                <w:sz w:val="22"/>
                <w:szCs w:val="22"/>
              </w:rPr>
            </w:pPr>
            <w:r w:rsidRPr="00421160">
              <w:rPr>
                <w:rFonts w:ascii="Arial" w:hAnsi="Arial" w:cs="Arial"/>
                <w:sz w:val="22"/>
                <w:szCs w:val="22"/>
              </w:rPr>
              <w:t>Q9: 12 scripts in the previous 24 months is an acceptable way of defining chronic prescribing of NSAIDs</w:t>
            </w:r>
          </w:p>
        </w:tc>
        <w:tc>
          <w:tcPr>
            <w:tcW w:w="1224" w:type="pct"/>
          </w:tcPr>
          <w:p w14:paraId="283F7FB3" w14:textId="571B68AA" w:rsidR="008D0EA5" w:rsidRPr="00421160" w:rsidRDefault="00C77FB4" w:rsidP="00E344DA">
            <w:pPr>
              <w:rPr>
                <w:rFonts w:ascii="Arial" w:hAnsi="Arial" w:cs="Arial"/>
                <w:sz w:val="22"/>
                <w:szCs w:val="22"/>
              </w:rPr>
            </w:pPr>
            <w:r>
              <w:rPr>
                <w:rFonts w:ascii="Arial" w:hAnsi="Arial" w:cs="Arial"/>
                <w:sz w:val="22"/>
                <w:szCs w:val="28"/>
              </w:rPr>
              <w:t>Thank you for your comment.</w:t>
            </w:r>
          </w:p>
        </w:tc>
      </w:tr>
    </w:tbl>
    <w:p w14:paraId="4EEECC68" w14:textId="3A509F46" w:rsidR="00212C54" w:rsidRDefault="00212C54" w:rsidP="00982090">
      <w:pPr>
        <w:pStyle w:val="Paragraph"/>
      </w:pPr>
      <w:r>
        <w:t xml:space="preserve">IND2021-119 General comments </w:t>
      </w:r>
    </w:p>
    <w:tbl>
      <w:tblPr>
        <w:tblStyle w:val="TableGrid"/>
        <w:tblW w:w="5000" w:type="pct"/>
        <w:tblLook w:val="04A0" w:firstRow="1" w:lastRow="0" w:firstColumn="1" w:lastColumn="0" w:noHBand="0" w:noVBand="1"/>
      </w:tblPr>
      <w:tblGrid>
        <w:gridCol w:w="494"/>
        <w:gridCol w:w="1194"/>
        <w:gridCol w:w="2857"/>
        <w:gridCol w:w="5990"/>
        <w:gridCol w:w="3415"/>
      </w:tblGrid>
      <w:tr w:rsidR="00212C54" w:rsidRPr="00215444" w14:paraId="33443462" w14:textId="77777777" w:rsidTr="00342C38">
        <w:trPr>
          <w:tblHeader/>
        </w:trPr>
        <w:tc>
          <w:tcPr>
            <w:tcW w:w="177" w:type="pct"/>
            <w:noWrap/>
            <w:hideMark/>
          </w:tcPr>
          <w:p w14:paraId="5CAFEC1A" w14:textId="77777777" w:rsidR="00212C54" w:rsidRPr="00215444" w:rsidRDefault="00212C54" w:rsidP="00342C38">
            <w:pPr>
              <w:pStyle w:val="NICEnormal"/>
              <w:spacing w:line="240" w:lineRule="auto"/>
              <w:rPr>
                <w:rFonts w:cs="Arial"/>
                <w:b/>
                <w:sz w:val="22"/>
                <w:szCs w:val="22"/>
              </w:rPr>
            </w:pPr>
            <w:r>
              <w:rPr>
                <w:rFonts w:cs="Arial"/>
                <w:b/>
                <w:sz w:val="22"/>
                <w:szCs w:val="22"/>
              </w:rPr>
              <w:t>ID</w:t>
            </w:r>
          </w:p>
        </w:tc>
        <w:tc>
          <w:tcPr>
            <w:tcW w:w="428" w:type="pct"/>
          </w:tcPr>
          <w:p w14:paraId="640186AC" w14:textId="77777777" w:rsidR="00212C54" w:rsidRPr="00215444" w:rsidRDefault="00212C54"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29985D89" w14:textId="77777777" w:rsidR="00212C54" w:rsidRPr="00215444" w:rsidRDefault="00212C54"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55491D92" w14:textId="77777777" w:rsidR="00212C54" w:rsidRPr="00215444" w:rsidRDefault="00212C54"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71004AD8" w14:textId="77777777" w:rsidR="00212C54" w:rsidRPr="00215444" w:rsidRDefault="00212C54" w:rsidP="00342C38">
            <w:pPr>
              <w:pStyle w:val="NICEnormal"/>
              <w:spacing w:line="240" w:lineRule="auto"/>
              <w:rPr>
                <w:rFonts w:cs="Arial"/>
                <w:b/>
                <w:sz w:val="22"/>
                <w:szCs w:val="22"/>
              </w:rPr>
            </w:pPr>
            <w:r>
              <w:rPr>
                <w:rFonts w:cs="Arial"/>
                <w:b/>
                <w:sz w:val="22"/>
                <w:szCs w:val="22"/>
              </w:rPr>
              <w:t>NICE response</w:t>
            </w:r>
          </w:p>
        </w:tc>
      </w:tr>
      <w:tr w:rsidR="008D0EA5" w:rsidRPr="00215444" w14:paraId="5EBEE5B9" w14:textId="70635830" w:rsidTr="000528DF">
        <w:tc>
          <w:tcPr>
            <w:tcW w:w="177" w:type="pct"/>
          </w:tcPr>
          <w:p w14:paraId="3837D099" w14:textId="0A07FED3" w:rsidR="008D0EA5" w:rsidRPr="00EE065C" w:rsidRDefault="008D0EA5" w:rsidP="00015441">
            <w:pPr>
              <w:rPr>
                <w:rFonts w:ascii="Arial" w:hAnsi="Arial" w:cs="Arial"/>
                <w:color w:val="000000"/>
                <w:sz w:val="22"/>
                <w:szCs w:val="22"/>
                <w:highlight w:val="cyan"/>
                <w:lang w:eastAsia="en-GB"/>
              </w:rPr>
            </w:pPr>
            <w:r w:rsidRPr="00421160">
              <w:rPr>
                <w:rFonts w:ascii="Arial" w:hAnsi="Arial" w:cs="Arial"/>
                <w:color w:val="000000"/>
                <w:sz w:val="22"/>
                <w:szCs w:val="22"/>
                <w:lang w:eastAsia="en-GB"/>
              </w:rPr>
              <w:t>2</w:t>
            </w:r>
            <w:r w:rsidR="000444C3">
              <w:rPr>
                <w:rFonts w:ascii="Arial" w:hAnsi="Arial" w:cs="Arial"/>
                <w:color w:val="000000"/>
                <w:sz w:val="22"/>
                <w:szCs w:val="22"/>
                <w:lang w:eastAsia="en-GB"/>
              </w:rPr>
              <w:t>1</w:t>
            </w:r>
          </w:p>
        </w:tc>
        <w:tc>
          <w:tcPr>
            <w:tcW w:w="428" w:type="pct"/>
          </w:tcPr>
          <w:p w14:paraId="504A4789" w14:textId="62EFC495" w:rsidR="008D0EA5" w:rsidRPr="00E46E83" w:rsidRDefault="008D0EA5" w:rsidP="009B0897">
            <w:pPr>
              <w:rPr>
                <w:rFonts w:ascii="Arial" w:hAnsi="Arial" w:cs="Arial"/>
                <w:color w:val="000000"/>
                <w:sz w:val="22"/>
                <w:szCs w:val="22"/>
                <w:lang w:eastAsia="en-GB"/>
              </w:rPr>
            </w:pPr>
            <w:r w:rsidRPr="00E46E83">
              <w:rPr>
                <w:rFonts w:ascii="Arial" w:hAnsi="Arial" w:cs="Arial"/>
                <w:color w:val="000000"/>
                <w:sz w:val="22"/>
                <w:szCs w:val="22"/>
                <w:lang w:eastAsia="en-GB"/>
              </w:rPr>
              <w:t>IND2021-119</w:t>
            </w:r>
          </w:p>
        </w:tc>
        <w:tc>
          <w:tcPr>
            <w:tcW w:w="1024" w:type="pct"/>
          </w:tcPr>
          <w:p w14:paraId="4CA73753" w14:textId="06BDA65D" w:rsidR="008D0EA5" w:rsidRPr="00E46E83" w:rsidRDefault="008D0EA5" w:rsidP="00015441">
            <w:pPr>
              <w:rPr>
                <w:rFonts w:ascii="Arial" w:hAnsi="Arial" w:cs="Arial"/>
                <w:color w:val="000000"/>
                <w:sz w:val="22"/>
                <w:szCs w:val="22"/>
                <w:lang w:eastAsia="en-GB"/>
              </w:rPr>
            </w:pPr>
            <w:r w:rsidRPr="00E46E83">
              <w:rPr>
                <w:rFonts w:ascii="Arial" w:hAnsi="Arial" w:cs="Arial"/>
                <w:color w:val="000000"/>
                <w:sz w:val="22"/>
                <w:szCs w:val="22"/>
                <w:lang w:eastAsia="en-GB"/>
              </w:rPr>
              <w:t>AstraZeneca</w:t>
            </w:r>
          </w:p>
        </w:tc>
        <w:tc>
          <w:tcPr>
            <w:tcW w:w="2147" w:type="pct"/>
          </w:tcPr>
          <w:p w14:paraId="52F148EC" w14:textId="77777777" w:rsidR="008D0EA5" w:rsidRPr="00E46E83" w:rsidRDefault="008D0EA5" w:rsidP="00E46E83">
            <w:pPr>
              <w:rPr>
                <w:rFonts w:ascii="Arial" w:hAnsi="Arial" w:cs="Arial"/>
                <w:color w:val="000000"/>
                <w:sz w:val="22"/>
                <w:szCs w:val="22"/>
                <w:lang w:eastAsia="en-GB"/>
              </w:rPr>
            </w:pPr>
            <w:r w:rsidRPr="00E46E83">
              <w:rPr>
                <w:rFonts w:ascii="Arial" w:hAnsi="Arial" w:cs="Arial"/>
                <w:color w:val="000000"/>
                <w:sz w:val="22"/>
                <w:szCs w:val="22"/>
                <w:lang w:eastAsia="en-GB"/>
              </w:rPr>
              <w:t xml:space="preserve">The proposed indicator encapsulates the spirit of NICE Guideline 203 (NG203) on the assessment and management of CKD.  However, we have concerns that creating an indicator focused on tracking estimated Glomerular Filtration Rate (eGFR) testing among patients that have already been newly diagnosed at stage G3a to G5 is unlikely to have a significant impact on patient outcomes. We believe that an indicator, and related incentive, relating to encouraging annual eGFR and ACR testing for patients with an existing CKD diagnosis would be more clinically meaningful and would be more useful in supporting intervention to improve patient outcomes. </w:t>
            </w:r>
          </w:p>
          <w:p w14:paraId="0D8755FC" w14:textId="77777777" w:rsidR="008D0EA5" w:rsidRPr="00E46E83" w:rsidRDefault="008D0EA5" w:rsidP="00E46E83">
            <w:pPr>
              <w:rPr>
                <w:rFonts w:ascii="Arial" w:hAnsi="Arial" w:cs="Arial"/>
                <w:color w:val="000000"/>
                <w:sz w:val="22"/>
                <w:szCs w:val="22"/>
                <w:lang w:eastAsia="en-GB"/>
              </w:rPr>
            </w:pPr>
          </w:p>
          <w:p w14:paraId="1BFA6CA1" w14:textId="77777777" w:rsidR="008D0EA5" w:rsidRPr="00E46E83" w:rsidRDefault="008D0EA5" w:rsidP="00E46E83">
            <w:pPr>
              <w:rPr>
                <w:rFonts w:ascii="Arial" w:hAnsi="Arial" w:cs="Arial"/>
                <w:color w:val="000000"/>
                <w:sz w:val="22"/>
                <w:szCs w:val="22"/>
                <w:lang w:eastAsia="en-GB"/>
              </w:rPr>
            </w:pPr>
            <w:r w:rsidRPr="00E46E83">
              <w:rPr>
                <w:rFonts w:ascii="Arial" w:hAnsi="Arial" w:cs="Arial"/>
                <w:color w:val="000000"/>
                <w:sz w:val="22"/>
                <w:szCs w:val="22"/>
                <w:lang w:eastAsia="en-GB"/>
              </w:rPr>
              <w:t xml:space="preserve">We therefore believe that IND2021-119 should be deprioritised in favour of IND2021-120 and an additional indicator relating to annual testing. </w:t>
            </w:r>
          </w:p>
          <w:p w14:paraId="71262C49" w14:textId="77777777" w:rsidR="008D0EA5" w:rsidRPr="00E46E83" w:rsidRDefault="008D0EA5" w:rsidP="00E46E83">
            <w:pPr>
              <w:rPr>
                <w:rFonts w:ascii="Arial" w:hAnsi="Arial" w:cs="Arial"/>
                <w:color w:val="000000"/>
                <w:sz w:val="22"/>
                <w:szCs w:val="22"/>
                <w:lang w:eastAsia="en-GB"/>
              </w:rPr>
            </w:pPr>
          </w:p>
          <w:p w14:paraId="3CB1B9D5" w14:textId="77777777" w:rsidR="008D0EA5" w:rsidRDefault="008D0EA5" w:rsidP="00E46E83">
            <w:pPr>
              <w:rPr>
                <w:rFonts w:ascii="Arial" w:hAnsi="Arial" w:cs="Arial"/>
                <w:color w:val="000000"/>
                <w:sz w:val="22"/>
                <w:szCs w:val="22"/>
                <w:lang w:eastAsia="en-GB"/>
              </w:rPr>
            </w:pPr>
            <w:r w:rsidRPr="00E46E83">
              <w:rPr>
                <w:rFonts w:ascii="Arial" w:hAnsi="Arial" w:cs="Arial"/>
                <w:color w:val="000000"/>
                <w:sz w:val="22"/>
                <w:szCs w:val="22"/>
                <w:lang w:eastAsia="en-GB"/>
              </w:rPr>
              <w:t xml:space="preserve">In terms of data that may assist in estimating the number of patients at practice level to quantify a denominator size, NICE may wish to refer to the 2017 National CKD Audit </w:t>
            </w:r>
            <w:r w:rsidRPr="00E46E83">
              <w:rPr>
                <w:rFonts w:ascii="Arial" w:hAnsi="Arial" w:cs="Arial"/>
                <w:color w:val="000000"/>
                <w:sz w:val="22"/>
                <w:szCs w:val="22"/>
                <w:lang w:eastAsia="en-GB"/>
              </w:rPr>
              <w:lastRenderedPageBreak/>
              <w:t xml:space="preserve">Report (Part 1). The audit estimated a total prevalence of stage 3-5 CKD of between 5.5%-5.8% across the adult population.   </w:t>
            </w:r>
          </w:p>
          <w:p w14:paraId="34A69C31" w14:textId="0DF88613" w:rsidR="008D0EA5" w:rsidRDefault="008D0EA5" w:rsidP="00E46E83">
            <w:pPr>
              <w:rPr>
                <w:rFonts w:ascii="Arial" w:hAnsi="Arial" w:cs="Arial"/>
                <w:color w:val="000000"/>
                <w:sz w:val="22"/>
                <w:szCs w:val="22"/>
                <w:lang w:eastAsia="en-GB"/>
              </w:rPr>
            </w:pPr>
            <w:r w:rsidRPr="00E46E83">
              <w:rPr>
                <w:rFonts w:ascii="Arial" w:hAnsi="Arial" w:cs="Arial"/>
                <w:color w:val="000000"/>
                <w:sz w:val="22"/>
                <w:szCs w:val="22"/>
                <w:lang w:eastAsia="en-GB"/>
              </w:rPr>
              <w:t xml:space="preserve">Nitsch D, Caplin B, Hull S and Wheeler DC on behalf of the National CKD Audit and Quality Improvement Programme in Primary Care, First National CKD Audit Report, January 2017. Available at: </w:t>
            </w:r>
            <w:hyperlink r:id="rId24" w:history="1">
              <w:r w:rsidRPr="009D0053">
                <w:rPr>
                  <w:rStyle w:val="Hyperlink"/>
                  <w:rFonts w:ascii="Arial" w:hAnsi="Arial" w:cs="Arial"/>
                  <w:sz w:val="22"/>
                  <w:szCs w:val="22"/>
                  <w:lang w:eastAsia="en-GB"/>
                </w:rPr>
                <w:t>https://www.lshtm.ac.uk/files/ckd_audit_report.pdf</w:t>
              </w:r>
            </w:hyperlink>
          </w:p>
          <w:p w14:paraId="46023BDA" w14:textId="3D7B0CCB" w:rsidR="008D0EA5" w:rsidRPr="00E46E83" w:rsidRDefault="008D0EA5" w:rsidP="00E46E83">
            <w:pPr>
              <w:rPr>
                <w:rFonts w:ascii="Arial" w:hAnsi="Arial" w:cs="Arial"/>
                <w:color w:val="000000"/>
                <w:sz w:val="22"/>
                <w:szCs w:val="22"/>
                <w:lang w:eastAsia="en-GB"/>
              </w:rPr>
            </w:pPr>
          </w:p>
        </w:tc>
        <w:tc>
          <w:tcPr>
            <w:tcW w:w="1224" w:type="pct"/>
          </w:tcPr>
          <w:p w14:paraId="2E3B10FD" w14:textId="02DF9EEC" w:rsidR="008D0EA5" w:rsidRPr="00E46E83" w:rsidRDefault="00C77FB4" w:rsidP="00E46E83">
            <w:pPr>
              <w:rPr>
                <w:rFonts w:ascii="Arial" w:hAnsi="Arial" w:cs="Arial"/>
                <w:color w:val="000000"/>
                <w:sz w:val="22"/>
                <w:szCs w:val="22"/>
                <w:lang w:eastAsia="en-GB"/>
              </w:rPr>
            </w:pPr>
            <w:r>
              <w:rPr>
                <w:rFonts w:ascii="Arial" w:hAnsi="Arial" w:cs="Arial"/>
                <w:sz w:val="22"/>
                <w:szCs w:val="28"/>
              </w:rPr>
              <w:lastRenderedPageBreak/>
              <w:t xml:space="preserve">Thank you for your comment. Existing NICE menu indicator NM109 measures the percentage of patients with an annual ACR test. </w:t>
            </w:r>
          </w:p>
        </w:tc>
      </w:tr>
      <w:tr w:rsidR="008D0EA5" w:rsidRPr="00215444" w14:paraId="015C16C4" w14:textId="1782ECE1" w:rsidTr="000528DF">
        <w:tc>
          <w:tcPr>
            <w:tcW w:w="177" w:type="pct"/>
          </w:tcPr>
          <w:p w14:paraId="38D5F538" w14:textId="568E8262" w:rsidR="008D0EA5" w:rsidRPr="00A94A2F" w:rsidRDefault="008D0EA5" w:rsidP="005B2876">
            <w:pPr>
              <w:rPr>
                <w:rFonts w:ascii="Arial" w:hAnsi="Arial" w:cs="Arial"/>
                <w:color w:val="000000"/>
                <w:sz w:val="22"/>
                <w:szCs w:val="22"/>
                <w:lang w:eastAsia="en-GB"/>
              </w:rPr>
            </w:pPr>
            <w:r>
              <w:rPr>
                <w:rFonts w:ascii="Arial" w:hAnsi="Arial" w:cs="Arial"/>
                <w:color w:val="000000"/>
                <w:sz w:val="22"/>
                <w:szCs w:val="22"/>
                <w:lang w:eastAsia="en-GB"/>
              </w:rPr>
              <w:t>2</w:t>
            </w:r>
            <w:r w:rsidR="000444C3">
              <w:rPr>
                <w:rFonts w:ascii="Arial" w:hAnsi="Arial" w:cs="Arial"/>
                <w:color w:val="000000"/>
                <w:sz w:val="22"/>
                <w:szCs w:val="22"/>
                <w:lang w:eastAsia="en-GB"/>
              </w:rPr>
              <w:t>2</w:t>
            </w:r>
          </w:p>
        </w:tc>
        <w:tc>
          <w:tcPr>
            <w:tcW w:w="428" w:type="pct"/>
          </w:tcPr>
          <w:p w14:paraId="032D336C" w14:textId="08EE8C6A"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IND2021-119</w:t>
            </w:r>
          </w:p>
        </w:tc>
        <w:tc>
          <w:tcPr>
            <w:tcW w:w="1024" w:type="pct"/>
          </w:tcPr>
          <w:p w14:paraId="781A740C" w14:textId="26B865BE"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BMA</w:t>
            </w:r>
          </w:p>
        </w:tc>
        <w:tc>
          <w:tcPr>
            <w:tcW w:w="2147" w:type="pct"/>
          </w:tcPr>
          <w:p w14:paraId="4FD471DF" w14:textId="77777777" w:rsidR="008D0EA5" w:rsidRPr="005B2876" w:rsidRDefault="008D0EA5" w:rsidP="005B2876">
            <w:pPr>
              <w:rPr>
                <w:rFonts w:ascii="Arial" w:hAnsi="Arial" w:cs="Arial"/>
                <w:sz w:val="22"/>
                <w:szCs w:val="28"/>
              </w:rPr>
            </w:pPr>
            <w:r w:rsidRPr="005B2876">
              <w:rPr>
                <w:rFonts w:ascii="Arial" w:hAnsi="Arial" w:cs="Arial"/>
                <w:sz w:val="22"/>
                <w:szCs w:val="28"/>
              </w:rPr>
              <w:t>90 days seems an arbitrary number and is unlikely to be appropriate or practical.</w:t>
            </w:r>
          </w:p>
          <w:p w14:paraId="24215620" w14:textId="77777777" w:rsidR="008D0EA5" w:rsidRPr="005B2876" w:rsidRDefault="008D0EA5" w:rsidP="005B2876">
            <w:pPr>
              <w:rPr>
                <w:rFonts w:ascii="Arial" w:hAnsi="Arial" w:cs="Arial"/>
                <w:sz w:val="22"/>
                <w:szCs w:val="28"/>
              </w:rPr>
            </w:pPr>
          </w:p>
          <w:p w14:paraId="29E2EAF2" w14:textId="2DF1C27F" w:rsidR="008D0EA5" w:rsidRPr="005B2876" w:rsidRDefault="008D0EA5" w:rsidP="005B2876">
            <w:pPr>
              <w:rPr>
                <w:rFonts w:ascii="Arial" w:hAnsi="Arial" w:cs="Arial"/>
                <w:color w:val="000000"/>
                <w:sz w:val="22"/>
                <w:szCs w:val="28"/>
                <w:lang w:eastAsia="en-GB"/>
              </w:rPr>
            </w:pPr>
            <w:r w:rsidRPr="005B2876">
              <w:rPr>
                <w:rFonts w:ascii="Arial" w:hAnsi="Arial" w:cs="Arial"/>
                <w:sz w:val="22"/>
                <w:szCs w:val="28"/>
              </w:rPr>
              <w:t>Having two separate readings is reasonable, but there may be instances where only one is needed.</w:t>
            </w:r>
          </w:p>
        </w:tc>
        <w:tc>
          <w:tcPr>
            <w:tcW w:w="1224" w:type="pct"/>
          </w:tcPr>
          <w:p w14:paraId="14C62199" w14:textId="14494988" w:rsidR="008D0EA5" w:rsidRPr="005B2876" w:rsidRDefault="00C77FB4" w:rsidP="005B2876">
            <w:pPr>
              <w:rPr>
                <w:rFonts w:ascii="Arial" w:hAnsi="Arial" w:cs="Arial"/>
                <w:sz w:val="22"/>
                <w:szCs w:val="28"/>
              </w:rPr>
            </w:pPr>
            <w:r>
              <w:rPr>
                <w:rFonts w:ascii="Arial" w:hAnsi="Arial" w:cs="Arial"/>
                <w:sz w:val="22"/>
                <w:szCs w:val="28"/>
              </w:rPr>
              <w:t xml:space="preserve">Thank you for your comment. The </w:t>
            </w:r>
            <w:r w:rsidR="00012CC3">
              <w:rPr>
                <w:rFonts w:ascii="Arial" w:hAnsi="Arial" w:cs="Arial"/>
                <w:sz w:val="22"/>
                <w:szCs w:val="28"/>
              </w:rPr>
              <w:t xml:space="preserve">need for 2 readings and the </w:t>
            </w:r>
            <w:r>
              <w:rPr>
                <w:rFonts w:ascii="Arial" w:hAnsi="Arial" w:cs="Arial"/>
                <w:sz w:val="22"/>
                <w:szCs w:val="28"/>
              </w:rPr>
              <w:t xml:space="preserve">90 day timeframe </w:t>
            </w:r>
            <w:r w:rsidR="00012CC3">
              <w:rPr>
                <w:rFonts w:ascii="Arial" w:hAnsi="Arial" w:cs="Arial"/>
                <w:sz w:val="22"/>
                <w:szCs w:val="28"/>
              </w:rPr>
              <w:t>are</w:t>
            </w:r>
            <w:r>
              <w:rPr>
                <w:rFonts w:ascii="Arial" w:hAnsi="Arial" w:cs="Arial"/>
                <w:sz w:val="22"/>
                <w:szCs w:val="28"/>
              </w:rPr>
              <w:t xml:space="preserve"> </w:t>
            </w:r>
            <w:r w:rsidR="00CC3237">
              <w:rPr>
                <w:rFonts w:ascii="Arial" w:hAnsi="Arial" w:cs="Arial"/>
                <w:sz w:val="22"/>
                <w:szCs w:val="28"/>
              </w:rPr>
              <w:t>based on</w:t>
            </w:r>
            <w:r>
              <w:rPr>
                <w:rFonts w:ascii="Arial" w:hAnsi="Arial" w:cs="Arial"/>
                <w:sz w:val="22"/>
                <w:szCs w:val="28"/>
              </w:rPr>
              <w:t xml:space="preserve"> NICE’s guideline on chronic kidney disease.</w:t>
            </w:r>
          </w:p>
        </w:tc>
      </w:tr>
      <w:tr w:rsidR="008D0EA5" w:rsidRPr="00215444" w14:paraId="2A8CCCA7" w14:textId="1003A45B" w:rsidTr="000528DF">
        <w:tc>
          <w:tcPr>
            <w:tcW w:w="177" w:type="pct"/>
          </w:tcPr>
          <w:p w14:paraId="35E563E5" w14:textId="37A57171" w:rsidR="008D0EA5" w:rsidRPr="00A94A2F" w:rsidRDefault="008D0EA5" w:rsidP="005B2876">
            <w:pPr>
              <w:rPr>
                <w:rFonts w:ascii="Arial" w:hAnsi="Arial" w:cs="Arial"/>
                <w:color w:val="000000"/>
                <w:sz w:val="22"/>
                <w:szCs w:val="22"/>
                <w:lang w:eastAsia="en-GB"/>
              </w:rPr>
            </w:pPr>
            <w:r>
              <w:rPr>
                <w:rFonts w:ascii="Arial" w:hAnsi="Arial" w:cs="Arial"/>
                <w:color w:val="000000"/>
                <w:sz w:val="22"/>
                <w:szCs w:val="22"/>
                <w:lang w:eastAsia="en-GB"/>
              </w:rPr>
              <w:t>2</w:t>
            </w:r>
            <w:r w:rsidR="000444C3">
              <w:rPr>
                <w:rFonts w:ascii="Arial" w:hAnsi="Arial" w:cs="Arial"/>
                <w:color w:val="000000"/>
                <w:sz w:val="22"/>
                <w:szCs w:val="22"/>
                <w:lang w:eastAsia="en-GB"/>
              </w:rPr>
              <w:t>3</w:t>
            </w:r>
          </w:p>
        </w:tc>
        <w:tc>
          <w:tcPr>
            <w:tcW w:w="428" w:type="pct"/>
          </w:tcPr>
          <w:p w14:paraId="3C362494" w14:textId="068DFBF8" w:rsidR="008D0EA5" w:rsidRPr="00A94A2F" w:rsidRDefault="008D0EA5" w:rsidP="005B2876">
            <w:pPr>
              <w:rPr>
                <w:rFonts w:ascii="Arial" w:hAnsi="Arial" w:cs="Arial"/>
                <w:color w:val="000000"/>
                <w:sz w:val="22"/>
                <w:szCs w:val="22"/>
                <w:lang w:eastAsia="en-GB"/>
              </w:rPr>
            </w:pPr>
            <w:r>
              <w:rPr>
                <w:rFonts w:ascii="Arial" w:hAnsi="Arial" w:cs="Arial"/>
                <w:color w:val="000000"/>
                <w:sz w:val="22"/>
                <w:szCs w:val="22"/>
                <w:lang w:eastAsia="en-GB"/>
              </w:rPr>
              <w:t>IND2021-119</w:t>
            </w:r>
          </w:p>
        </w:tc>
        <w:tc>
          <w:tcPr>
            <w:tcW w:w="1024" w:type="pct"/>
          </w:tcPr>
          <w:p w14:paraId="04261A2F" w14:textId="5E19F81B" w:rsidR="008D0EA5" w:rsidRPr="00A94A2F" w:rsidRDefault="008D0EA5" w:rsidP="005B2876">
            <w:pPr>
              <w:rPr>
                <w:rFonts w:ascii="Arial" w:hAnsi="Arial" w:cs="Arial"/>
                <w:color w:val="000000"/>
                <w:sz w:val="22"/>
                <w:szCs w:val="22"/>
                <w:lang w:eastAsia="en-GB"/>
              </w:rPr>
            </w:pPr>
            <w:r>
              <w:rPr>
                <w:rFonts w:ascii="Arial" w:hAnsi="Arial" w:cs="Arial"/>
                <w:color w:val="000000"/>
                <w:sz w:val="22"/>
                <w:szCs w:val="22"/>
                <w:lang w:eastAsia="en-GB"/>
              </w:rPr>
              <w:t>Kidney Research UK</w:t>
            </w:r>
          </w:p>
        </w:tc>
        <w:tc>
          <w:tcPr>
            <w:tcW w:w="2147" w:type="pct"/>
          </w:tcPr>
          <w:p w14:paraId="44C73D70" w14:textId="6321048C" w:rsidR="008D0EA5" w:rsidRPr="00E46E83" w:rsidRDefault="008D0EA5" w:rsidP="005B2876">
            <w:pPr>
              <w:rPr>
                <w:rFonts w:ascii="Arial" w:hAnsi="Arial" w:cs="Arial"/>
                <w:color w:val="000000"/>
                <w:sz w:val="22"/>
                <w:szCs w:val="22"/>
                <w:lang w:eastAsia="en-GB"/>
              </w:rPr>
            </w:pPr>
            <w:r w:rsidRPr="00A94A2F">
              <w:rPr>
                <w:rFonts w:ascii="Arial" w:hAnsi="Arial" w:cs="Arial"/>
                <w:color w:val="000000"/>
                <w:sz w:val="22"/>
                <w:szCs w:val="22"/>
                <w:lang w:eastAsia="en-GB"/>
              </w:rPr>
              <w:t xml:space="preserve">We welcome this indicator and agree that having two eGFR tests could help ensure appropriate advice, treatment and support can be provided to kidney patients and can help to preserve kidney function and reduce the risk of developing comorbidity.  </w:t>
            </w:r>
          </w:p>
        </w:tc>
        <w:tc>
          <w:tcPr>
            <w:tcW w:w="1224" w:type="pct"/>
          </w:tcPr>
          <w:p w14:paraId="76C4EC41" w14:textId="783279EA" w:rsidR="008D0EA5" w:rsidRPr="00A94A2F" w:rsidRDefault="00C77FB4" w:rsidP="005B2876">
            <w:pPr>
              <w:rPr>
                <w:rFonts w:ascii="Arial" w:hAnsi="Arial" w:cs="Arial"/>
                <w:color w:val="000000"/>
                <w:sz w:val="22"/>
                <w:szCs w:val="22"/>
                <w:lang w:eastAsia="en-GB"/>
              </w:rPr>
            </w:pPr>
            <w:r>
              <w:rPr>
                <w:rFonts w:ascii="Arial" w:hAnsi="Arial" w:cs="Arial"/>
                <w:sz w:val="22"/>
                <w:szCs w:val="28"/>
              </w:rPr>
              <w:t>Thank you for your comment.</w:t>
            </w:r>
          </w:p>
        </w:tc>
      </w:tr>
      <w:tr w:rsidR="008D0EA5" w:rsidRPr="00215444" w14:paraId="179C7D83" w14:textId="7BA87877" w:rsidTr="000528DF">
        <w:tc>
          <w:tcPr>
            <w:tcW w:w="177" w:type="pct"/>
          </w:tcPr>
          <w:p w14:paraId="7C6EE485" w14:textId="061D10D4" w:rsidR="008D0EA5" w:rsidRPr="00A94A2F" w:rsidRDefault="008D0EA5" w:rsidP="005B2876">
            <w:pPr>
              <w:rPr>
                <w:rFonts w:ascii="Arial" w:hAnsi="Arial" w:cs="Arial"/>
                <w:color w:val="000000"/>
                <w:sz w:val="22"/>
                <w:szCs w:val="22"/>
                <w:lang w:eastAsia="en-GB"/>
              </w:rPr>
            </w:pPr>
            <w:r>
              <w:rPr>
                <w:rFonts w:ascii="Arial" w:hAnsi="Arial" w:cs="Arial"/>
                <w:color w:val="000000"/>
                <w:sz w:val="22"/>
                <w:szCs w:val="22"/>
                <w:lang w:eastAsia="en-GB"/>
              </w:rPr>
              <w:t>2</w:t>
            </w:r>
            <w:r w:rsidR="000444C3">
              <w:rPr>
                <w:rFonts w:ascii="Arial" w:hAnsi="Arial" w:cs="Arial"/>
                <w:color w:val="000000"/>
                <w:sz w:val="22"/>
                <w:szCs w:val="22"/>
                <w:lang w:eastAsia="en-GB"/>
              </w:rPr>
              <w:t>4</w:t>
            </w:r>
          </w:p>
        </w:tc>
        <w:tc>
          <w:tcPr>
            <w:tcW w:w="428" w:type="pct"/>
          </w:tcPr>
          <w:p w14:paraId="4541C60A" w14:textId="7D8588F1"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IND2021-119</w:t>
            </w:r>
          </w:p>
        </w:tc>
        <w:tc>
          <w:tcPr>
            <w:tcW w:w="1024" w:type="pct"/>
          </w:tcPr>
          <w:p w14:paraId="07575410" w14:textId="13B706D4"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RCGP</w:t>
            </w:r>
          </w:p>
        </w:tc>
        <w:tc>
          <w:tcPr>
            <w:tcW w:w="2147" w:type="pct"/>
          </w:tcPr>
          <w:p w14:paraId="6C517F53" w14:textId="77777777" w:rsidR="008D0EA5" w:rsidRPr="00A94A2F" w:rsidRDefault="008D0EA5" w:rsidP="005B2876">
            <w:pPr>
              <w:rPr>
                <w:rFonts w:ascii="Arial" w:hAnsi="Arial" w:cs="Arial"/>
                <w:color w:val="000000"/>
                <w:sz w:val="22"/>
                <w:szCs w:val="22"/>
                <w:lang w:eastAsia="en-GB"/>
              </w:rPr>
            </w:pPr>
            <w:r w:rsidRPr="00A94A2F">
              <w:rPr>
                <w:rFonts w:ascii="Arial" w:hAnsi="Arial" w:cs="Arial"/>
                <w:color w:val="000000"/>
                <w:sz w:val="22"/>
                <w:szCs w:val="22"/>
                <w:lang w:eastAsia="en-GB"/>
              </w:rPr>
              <w:t>We do not support the introduction of this indicator</w:t>
            </w:r>
          </w:p>
          <w:p w14:paraId="0D8E8CEA" w14:textId="77777777" w:rsidR="008D0EA5" w:rsidRPr="00A94A2F" w:rsidRDefault="008D0EA5" w:rsidP="005B2876">
            <w:pPr>
              <w:rPr>
                <w:rFonts w:ascii="Arial" w:hAnsi="Arial" w:cs="Arial"/>
                <w:color w:val="000000"/>
                <w:sz w:val="22"/>
                <w:szCs w:val="22"/>
                <w:lang w:eastAsia="en-GB"/>
              </w:rPr>
            </w:pPr>
            <w:r w:rsidRPr="00A94A2F">
              <w:rPr>
                <w:rFonts w:ascii="Arial" w:hAnsi="Arial" w:cs="Arial"/>
                <w:color w:val="000000"/>
                <w:sz w:val="22"/>
                <w:szCs w:val="22"/>
                <w:lang w:eastAsia="en-GB"/>
              </w:rPr>
              <w:t xml:space="preserve">Q1. </w:t>
            </w:r>
          </w:p>
          <w:p w14:paraId="30C0A6EE" w14:textId="70DF0F69" w:rsidR="008D0EA5" w:rsidRPr="00A94A2F" w:rsidRDefault="008D0EA5" w:rsidP="005B2876">
            <w:pPr>
              <w:rPr>
                <w:rFonts w:ascii="Arial" w:hAnsi="Arial" w:cs="Arial"/>
                <w:color w:val="000000"/>
                <w:sz w:val="22"/>
                <w:szCs w:val="22"/>
                <w:lang w:eastAsia="en-GB"/>
              </w:rPr>
            </w:pPr>
            <w:r w:rsidRPr="00A94A2F">
              <w:rPr>
                <w:rFonts w:ascii="Arial" w:hAnsi="Arial" w:cs="Arial"/>
                <w:color w:val="000000"/>
                <w:sz w:val="22"/>
                <w:szCs w:val="22"/>
                <w:lang w:eastAsia="en-GB"/>
              </w:rPr>
              <w:t>•</w:t>
            </w:r>
            <w:r w:rsidRPr="00A94A2F">
              <w:rPr>
                <w:rFonts w:ascii="Arial" w:hAnsi="Arial" w:cs="Arial"/>
                <w:color w:val="000000"/>
                <w:sz w:val="22"/>
                <w:szCs w:val="22"/>
                <w:lang w:eastAsia="en-GB"/>
              </w:rPr>
              <w:tab/>
              <w:t xml:space="preserve">It will be extremely complicated to fulfil in practice and would require either a significant administrative burden to “chase” results” from outside of primary care e.g. in outpatient or inpatient facilities where eGFRs are recorded and recode them in the primary care record to achieve the indicator aims, or will mean patients who have a diagnosis, but the blood tests did not originate in primary care are subjected to additional blood tests to ensure coding is completed within primary care. At a time of significant backlog in the post pandemic phase of recovery, this would </w:t>
            </w:r>
            <w:r w:rsidRPr="00A94A2F">
              <w:rPr>
                <w:rFonts w:ascii="Arial" w:hAnsi="Arial" w:cs="Arial"/>
                <w:color w:val="000000"/>
                <w:sz w:val="22"/>
                <w:szCs w:val="22"/>
                <w:lang w:eastAsia="en-GB"/>
              </w:rPr>
              <w:lastRenderedPageBreak/>
              <w:t>potentially add to the burden of investigation waiting lists and we would strongly recommend against its use.</w:t>
            </w:r>
          </w:p>
          <w:p w14:paraId="69D0BB98" w14:textId="385F2E73" w:rsidR="008D0EA5" w:rsidRPr="00A94A2F" w:rsidRDefault="008D0EA5" w:rsidP="005B2876">
            <w:pPr>
              <w:rPr>
                <w:rFonts w:ascii="Arial" w:hAnsi="Arial" w:cs="Arial"/>
                <w:color w:val="000000"/>
                <w:sz w:val="22"/>
                <w:szCs w:val="22"/>
                <w:lang w:eastAsia="en-GB"/>
              </w:rPr>
            </w:pPr>
            <w:r w:rsidRPr="00A94A2F">
              <w:rPr>
                <w:rFonts w:ascii="Arial" w:hAnsi="Arial" w:cs="Arial"/>
                <w:color w:val="000000"/>
                <w:sz w:val="22"/>
                <w:szCs w:val="22"/>
                <w:lang w:eastAsia="en-GB"/>
              </w:rPr>
              <w:t>Q2. Unintended consequences may mean additional unnecessary tests for patients and an increase in the waiting list for community investigations</w:t>
            </w:r>
          </w:p>
          <w:p w14:paraId="07B9ACD6" w14:textId="77777777" w:rsidR="008D0EA5" w:rsidRPr="00A94A2F" w:rsidRDefault="008D0EA5" w:rsidP="005B2876">
            <w:pPr>
              <w:rPr>
                <w:rFonts w:ascii="Arial" w:hAnsi="Arial" w:cs="Arial"/>
                <w:color w:val="000000"/>
                <w:sz w:val="22"/>
                <w:szCs w:val="22"/>
                <w:lang w:eastAsia="en-GB"/>
              </w:rPr>
            </w:pPr>
            <w:r w:rsidRPr="00A94A2F">
              <w:rPr>
                <w:rFonts w:ascii="Arial" w:hAnsi="Arial" w:cs="Arial"/>
                <w:color w:val="000000"/>
                <w:sz w:val="22"/>
                <w:szCs w:val="22"/>
                <w:lang w:eastAsia="en-GB"/>
              </w:rPr>
              <w:t>Q3 none detected</w:t>
            </w:r>
          </w:p>
          <w:p w14:paraId="3C40A8E7" w14:textId="50028E0F" w:rsidR="008D0EA5" w:rsidRPr="00A94A2F" w:rsidRDefault="008D0EA5" w:rsidP="005B2876">
            <w:pPr>
              <w:rPr>
                <w:rFonts w:ascii="Arial" w:hAnsi="Arial" w:cs="Arial"/>
                <w:color w:val="000000"/>
                <w:sz w:val="22"/>
                <w:szCs w:val="22"/>
                <w:lang w:eastAsia="en-GB"/>
              </w:rPr>
            </w:pPr>
            <w:r w:rsidRPr="00A94A2F">
              <w:rPr>
                <w:rFonts w:ascii="Arial" w:hAnsi="Arial" w:cs="Arial"/>
                <w:color w:val="000000"/>
                <w:sz w:val="22"/>
                <w:szCs w:val="22"/>
                <w:lang w:eastAsia="en-GB"/>
              </w:rPr>
              <w:t>Q4 none detected</w:t>
            </w:r>
          </w:p>
        </w:tc>
        <w:tc>
          <w:tcPr>
            <w:tcW w:w="1224" w:type="pct"/>
          </w:tcPr>
          <w:p w14:paraId="09225B01" w14:textId="1D708F32" w:rsidR="008D0EA5" w:rsidRPr="00A94A2F" w:rsidRDefault="00C77FB4" w:rsidP="005B2876">
            <w:pPr>
              <w:rPr>
                <w:rFonts w:ascii="Arial" w:hAnsi="Arial" w:cs="Arial"/>
                <w:color w:val="000000"/>
                <w:sz w:val="22"/>
                <w:szCs w:val="22"/>
                <w:lang w:eastAsia="en-GB"/>
              </w:rPr>
            </w:pPr>
            <w:r>
              <w:rPr>
                <w:rFonts w:ascii="Arial" w:hAnsi="Arial" w:cs="Arial"/>
                <w:sz w:val="22"/>
                <w:szCs w:val="28"/>
              </w:rPr>
              <w:lastRenderedPageBreak/>
              <w:t>Thank you for your comment. The indicator advisory committee noted that results from acute episodes in secondary care would not be used to identify chronic kidney disease.</w:t>
            </w:r>
          </w:p>
        </w:tc>
      </w:tr>
      <w:tr w:rsidR="008D0EA5" w:rsidRPr="00215444" w14:paraId="65FFAE88" w14:textId="0609ECE4" w:rsidTr="000528DF">
        <w:tc>
          <w:tcPr>
            <w:tcW w:w="177" w:type="pct"/>
          </w:tcPr>
          <w:p w14:paraId="0844DCC9" w14:textId="485F3CED"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2</w:t>
            </w:r>
            <w:r w:rsidR="000444C3">
              <w:rPr>
                <w:rFonts w:ascii="Arial" w:hAnsi="Arial" w:cs="Arial"/>
                <w:color w:val="000000"/>
                <w:sz w:val="22"/>
                <w:szCs w:val="22"/>
                <w:lang w:eastAsia="en-GB"/>
              </w:rPr>
              <w:t>5</w:t>
            </w:r>
          </w:p>
        </w:tc>
        <w:tc>
          <w:tcPr>
            <w:tcW w:w="428" w:type="pct"/>
          </w:tcPr>
          <w:p w14:paraId="54D6C550" w14:textId="1D4C6132"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IND2021-119</w:t>
            </w:r>
          </w:p>
        </w:tc>
        <w:tc>
          <w:tcPr>
            <w:tcW w:w="1024" w:type="pct"/>
          </w:tcPr>
          <w:p w14:paraId="4E5C740A" w14:textId="0D36DBC1"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Renal Service Transformation Programme</w:t>
            </w:r>
          </w:p>
        </w:tc>
        <w:tc>
          <w:tcPr>
            <w:tcW w:w="2147" w:type="pct"/>
          </w:tcPr>
          <w:p w14:paraId="4BDC85A3" w14:textId="1B2F25BE" w:rsidR="008D0EA5" w:rsidRPr="00A94A2F" w:rsidRDefault="008D0EA5" w:rsidP="005B2876">
            <w:pPr>
              <w:rPr>
                <w:rFonts w:ascii="Arial" w:hAnsi="Arial" w:cs="Arial"/>
                <w:color w:val="000000"/>
                <w:sz w:val="22"/>
                <w:szCs w:val="22"/>
                <w:lang w:eastAsia="en-GB"/>
              </w:rPr>
            </w:pPr>
            <w:r w:rsidRPr="00DB2A48">
              <w:rPr>
                <w:rFonts w:ascii="Arial" w:hAnsi="Arial" w:cs="Arial"/>
                <w:color w:val="000000"/>
                <w:sz w:val="22"/>
                <w:szCs w:val="22"/>
                <w:lang w:eastAsia="en-GB"/>
              </w:rPr>
              <w:t>The indicator focuses on a new diagnosis of CKD stage G3a – G5 with no mention of albuminuria stage and misses out on the opportunity to identify CKD stage G1 and G2 which would be enable early intervention and help to preserve kidney function and reduce the risk of developing co-morbidity. The progression to CKD stage 3a – 5 already reflects significant progression and lost opportunity to intervene early. Evidence and NICE NG 203 supports earlier intervention in patients with proteinuria prior to progression to G3a.</w:t>
            </w:r>
          </w:p>
        </w:tc>
        <w:tc>
          <w:tcPr>
            <w:tcW w:w="1224" w:type="pct"/>
          </w:tcPr>
          <w:p w14:paraId="45D18ACB" w14:textId="331DACA6" w:rsidR="008D0EA5" w:rsidRPr="00DB2A48" w:rsidRDefault="00C77FB4" w:rsidP="005B2876">
            <w:pPr>
              <w:rPr>
                <w:rFonts w:ascii="Arial" w:hAnsi="Arial" w:cs="Arial"/>
                <w:color w:val="000000"/>
                <w:sz w:val="22"/>
                <w:szCs w:val="22"/>
                <w:lang w:eastAsia="en-GB"/>
              </w:rPr>
            </w:pPr>
            <w:r>
              <w:rPr>
                <w:rFonts w:ascii="Arial" w:hAnsi="Arial" w:cs="Arial"/>
                <w:sz w:val="22"/>
                <w:szCs w:val="28"/>
              </w:rPr>
              <w:t xml:space="preserve">Thank you for your comment. The proposed indicator </w:t>
            </w:r>
            <w:r w:rsidR="00012CC3">
              <w:rPr>
                <w:rFonts w:ascii="Arial" w:hAnsi="Arial" w:cs="Arial"/>
                <w:sz w:val="22"/>
                <w:szCs w:val="28"/>
              </w:rPr>
              <w:t xml:space="preserve">NM216 </w:t>
            </w:r>
            <w:r>
              <w:rPr>
                <w:rFonts w:ascii="Arial" w:hAnsi="Arial" w:cs="Arial"/>
                <w:sz w:val="22"/>
                <w:szCs w:val="28"/>
              </w:rPr>
              <w:t xml:space="preserve">measures eGFR and ACR testing in people with a new diagnosis of CKD stage G3a to G5. </w:t>
            </w:r>
            <w:r w:rsidR="00425640" w:rsidRPr="00425640">
              <w:rPr>
                <w:rFonts w:ascii="Arial" w:hAnsi="Arial" w:cs="Arial"/>
                <w:sz w:val="22"/>
                <w:szCs w:val="28"/>
              </w:rPr>
              <w:t>The Quality and Outcomes Framework guidance for 2021/22 notes that people with GFR less than 60 ml/min/1.73m2 are more likely to have hypertension, diabetes and CVD compared to people with GFR more than 60 ml/min/1.73m2.</w:t>
            </w:r>
            <w:r w:rsidR="00425640">
              <w:rPr>
                <w:rFonts w:ascii="Arial" w:hAnsi="Arial" w:cs="Arial"/>
                <w:sz w:val="22"/>
                <w:szCs w:val="28"/>
              </w:rPr>
              <w:t xml:space="preserve"> </w:t>
            </w:r>
            <w:r>
              <w:rPr>
                <w:rFonts w:ascii="Arial" w:hAnsi="Arial" w:cs="Arial"/>
                <w:sz w:val="22"/>
                <w:szCs w:val="28"/>
              </w:rPr>
              <w:t xml:space="preserve">The indicator advisory committee noted that ACR would be measured in people with stage G1 and G2 CKD with evidence of structural damage only, and that measurement in people with CKD stage G1 and G2 would represent a large workload. </w:t>
            </w:r>
          </w:p>
        </w:tc>
      </w:tr>
      <w:tr w:rsidR="008D0EA5" w:rsidRPr="00215444" w14:paraId="50F08020" w14:textId="12C66EC8" w:rsidTr="000528DF">
        <w:tc>
          <w:tcPr>
            <w:tcW w:w="177" w:type="pct"/>
          </w:tcPr>
          <w:p w14:paraId="2C5D9FA5" w14:textId="0D8C05EB" w:rsidR="008D0EA5" w:rsidRPr="00A94A2F" w:rsidRDefault="008D0EA5" w:rsidP="005B2876">
            <w:pPr>
              <w:rPr>
                <w:rFonts w:ascii="Arial" w:hAnsi="Arial" w:cs="Arial"/>
                <w:color w:val="000000"/>
                <w:sz w:val="22"/>
                <w:szCs w:val="22"/>
                <w:lang w:eastAsia="en-GB"/>
              </w:rPr>
            </w:pPr>
            <w:r>
              <w:rPr>
                <w:rFonts w:ascii="Arial" w:hAnsi="Arial" w:cs="Arial"/>
                <w:color w:val="000000"/>
                <w:sz w:val="22"/>
                <w:szCs w:val="22"/>
                <w:lang w:eastAsia="en-GB"/>
              </w:rPr>
              <w:t>2</w:t>
            </w:r>
            <w:r w:rsidR="000444C3">
              <w:rPr>
                <w:rFonts w:ascii="Arial" w:hAnsi="Arial" w:cs="Arial"/>
                <w:color w:val="000000"/>
                <w:sz w:val="22"/>
                <w:szCs w:val="22"/>
                <w:lang w:eastAsia="en-GB"/>
              </w:rPr>
              <w:t>6</w:t>
            </w:r>
          </w:p>
        </w:tc>
        <w:tc>
          <w:tcPr>
            <w:tcW w:w="428" w:type="pct"/>
          </w:tcPr>
          <w:p w14:paraId="1EC251D6" w14:textId="5929AEAC"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IND2021-119</w:t>
            </w:r>
          </w:p>
        </w:tc>
        <w:tc>
          <w:tcPr>
            <w:tcW w:w="1024" w:type="pct"/>
          </w:tcPr>
          <w:p w14:paraId="1FCA50DE" w14:textId="3BB70F76"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UKKA</w:t>
            </w:r>
          </w:p>
        </w:tc>
        <w:tc>
          <w:tcPr>
            <w:tcW w:w="2147" w:type="pct"/>
            <w:vAlign w:val="center"/>
          </w:tcPr>
          <w:p w14:paraId="41FBDF30" w14:textId="43A257F0" w:rsidR="008D0EA5" w:rsidRDefault="008D0EA5" w:rsidP="005B2876">
            <w:pPr>
              <w:rPr>
                <w:rFonts w:ascii="Arial" w:eastAsia="MinionPro-Regular" w:hAnsi="Arial" w:cs="Arial"/>
                <w:sz w:val="22"/>
                <w:szCs w:val="22"/>
              </w:rPr>
            </w:pPr>
            <w:r w:rsidRPr="00E344DA">
              <w:rPr>
                <w:rFonts w:ascii="Arial" w:hAnsi="Arial" w:cs="Arial"/>
                <w:sz w:val="22"/>
                <w:szCs w:val="22"/>
              </w:rPr>
              <w:t xml:space="preserve">I am not aware on the numbers of patients at practice level but based at a population level one would anticipate that </w:t>
            </w:r>
            <w:r w:rsidRPr="00E344DA">
              <w:rPr>
                <w:rFonts w:ascii="Arial" w:hAnsi="Arial" w:cs="Arial"/>
                <w:sz w:val="22"/>
                <w:szCs w:val="22"/>
              </w:rPr>
              <w:lastRenderedPageBreak/>
              <w:t xml:space="preserve">up to 1 in 10 patients in the geographic region will have evidence of chronic kidney disease based on the current criteria. In addition, it might be possible to interrogate the Diabetes and heart failure GP databases as both these populations will have CKD. The UK renal Registry offers a wealth of data – the </w:t>
            </w:r>
            <w:r w:rsidRPr="00E344DA">
              <w:rPr>
                <w:rFonts w:ascii="Arial" w:eastAsia="MinionPro-Regular" w:hAnsi="Arial" w:cs="Arial"/>
                <w:sz w:val="22"/>
                <w:szCs w:val="22"/>
              </w:rPr>
              <w:t xml:space="preserve">CKD prevalence was 1,301 per million population (pmp) overall but ranged from 149 to 2,793 pmp between kidney centres. It is also important to recognise that there are substantial differences in the ages and distribution of disease stages between centres. </w:t>
            </w:r>
          </w:p>
          <w:p w14:paraId="0F04A45B" w14:textId="77777777" w:rsidR="008D0EA5" w:rsidRDefault="008D0EA5" w:rsidP="005B2876">
            <w:pPr>
              <w:rPr>
                <w:rFonts w:ascii="Arial" w:hAnsi="Arial" w:cs="Arial"/>
                <w:sz w:val="22"/>
                <w:szCs w:val="22"/>
              </w:rPr>
            </w:pPr>
          </w:p>
          <w:p w14:paraId="5061A219" w14:textId="76AE1265" w:rsidR="008D0EA5" w:rsidRPr="00E344DA" w:rsidRDefault="008D0EA5" w:rsidP="005B2876">
            <w:pPr>
              <w:rPr>
                <w:rFonts w:ascii="Arial" w:eastAsia="MinionPro-Regular" w:hAnsi="Arial" w:cs="Arial"/>
                <w:sz w:val="22"/>
                <w:szCs w:val="22"/>
              </w:rPr>
            </w:pPr>
            <w:r w:rsidRPr="00E344DA">
              <w:rPr>
                <w:rFonts w:ascii="Arial" w:hAnsi="Arial" w:cs="Arial"/>
                <w:sz w:val="22"/>
                <w:szCs w:val="22"/>
              </w:rPr>
              <w:t>Reasonable. This is an indicator of good practice and appropriate follow-up. The KDIGO guidelines on the classification and treatment of chronic kidney disease are currently being updated. There is a possibility that definitions will be changed.</w:t>
            </w:r>
          </w:p>
          <w:p w14:paraId="7B6136D8" w14:textId="77777777" w:rsidR="008D0EA5" w:rsidRDefault="008D0EA5" w:rsidP="005B2876">
            <w:pPr>
              <w:rPr>
                <w:rFonts w:ascii="Arial" w:hAnsi="Arial" w:cs="Arial"/>
                <w:sz w:val="22"/>
                <w:szCs w:val="22"/>
              </w:rPr>
            </w:pPr>
          </w:p>
          <w:p w14:paraId="4C946BCD" w14:textId="70A81602" w:rsidR="008D0EA5" w:rsidRPr="00E344DA" w:rsidRDefault="008D0EA5" w:rsidP="005B2876">
            <w:pPr>
              <w:rPr>
                <w:rFonts w:ascii="Arial" w:hAnsi="Arial" w:cs="Arial"/>
                <w:sz w:val="22"/>
                <w:szCs w:val="22"/>
              </w:rPr>
            </w:pPr>
            <w:r w:rsidRPr="00E344DA">
              <w:rPr>
                <w:rFonts w:ascii="Arial" w:hAnsi="Arial" w:cs="Arial"/>
                <w:sz w:val="22"/>
                <w:szCs w:val="22"/>
              </w:rPr>
              <w:t xml:space="preserve">Patients not previously tested and with an eGFR &lt;60 ml/min require a repeat test within 2 weeks (to exclude an acute kidney injury episode) as recommended in the CKD guideline then a third test at 90 days+. </w:t>
            </w:r>
          </w:p>
          <w:p w14:paraId="74F885B0" w14:textId="77777777" w:rsidR="008D0EA5" w:rsidRPr="00E344DA" w:rsidRDefault="008D0EA5" w:rsidP="005B2876">
            <w:pPr>
              <w:rPr>
                <w:rFonts w:ascii="Arial" w:hAnsi="Arial" w:cs="Arial"/>
                <w:sz w:val="22"/>
                <w:szCs w:val="22"/>
              </w:rPr>
            </w:pPr>
          </w:p>
          <w:p w14:paraId="2F8D0B1F" w14:textId="461457CC" w:rsidR="008D0EA5" w:rsidRPr="00E344DA" w:rsidRDefault="008D0EA5" w:rsidP="005B2876">
            <w:pPr>
              <w:rPr>
                <w:color w:val="000000"/>
                <w:lang w:eastAsia="en-GB"/>
              </w:rPr>
            </w:pPr>
            <w:r w:rsidRPr="00E344DA">
              <w:rPr>
                <w:rFonts w:ascii="Arial" w:hAnsi="Arial" w:cs="Arial"/>
                <w:sz w:val="22"/>
                <w:szCs w:val="22"/>
              </w:rPr>
              <w:t>New presentation of CKD based on a prevalence of 750 per 10000 practice and new presentation of CKD clustering into older individuals is likely to be at least 20/year per 10,000 practice. This could be calculated based on the prevalence and survival - there is information on this in the public domain, e.g., Public Health England have prevalence data and the CKD prognosis consortium have published on mortality.</w:t>
            </w:r>
          </w:p>
        </w:tc>
        <w:tc>
          <w:tcPr>
            <w:tcW w:w="1224" w:type="pct"/>
          </w:tcPr>
          <w:p w14:paraId="6194AABF" w14:textId="14751BC6" w:rsidR="008D0EA5" w:rsidRPr="00E344DA" w:rsidRDefault="00C77FB4" w:rsidP="005B2876">
            <w:pPr>
              <w:rPr>
                <w:rFonts w:ascii="Arial" w:hAnsi="Arial" w:cs="Arial"/>
                <w:sz w:val="22"/>
                <w:szCs w:val="22"/>
              </w:rPr>
            </w:pPr>
            <w:r>
              <w:rPr>
                <w:rFonts w:ascii="Arial" w:hAnsi="Arial" w:cs="Arial"/>
                <w:sz w:val="22"/>
                <w:szCs w:val="28"/>
              </w:rPr>
              <w:lastRenderedPageBreak/>
              <w:t>Thank you for your comment.</w:t>
            </w:r>
            <w:r w:rsidR="00012CC3">
              <w:rPr>
                <w:rFonts w:ascii="Arial" w:hAnsi="Arial" w:cs="Arial"/>
                <w:sz w:val="22"/>
                <w:szCs w:val="28"/>
              </w:rPr>
              <w:t xml:space="preserve"> Indicators are reviewed when </w:t>
            </w:r>
            <w:r w:rsidR="00012CC3">
              <w:rPr>
                <w:rFonts w:ascii="Arial" w:hAnsi="Arial" w:cs="Arial"/>
                <w:sz w:val="22"/>
                <w:szCs w:val="28"/>
              </w:rPr>
              <w:lastRenderedPageBreak/>
              <w:t xml:space="preserve">source guidance is updated to ensure they remain </w:t>
            </w:r>
            <w:r w:rsidR="00CC3237">
              <w:rPr>
                <w:rFonts w:ascii="Arial" w:hAnsi="Arial" w:cs="Arial"/>
                <w:sz w:val="22"/>
                <w:szCs w:val="28"/>
              </w:rPr>
              <w:t>evidence based</w:t>
            </w:r>
            <w:r w:rsidR="00012CC3">
              <w:rPr>
                <w:rFonts w:ascii="Arial" w:hAnsi="Arial" w:cs="Arial"/>
                <w:sz w:val="22"/>
                <w:szCs w:val="28"/>
              </w:rPr>
              <w:t xml:space="preserve">. </w:t>
            </w:r>
          </w:p>
        </w:tc>
      </w:tr>
    </w:tbl>
    <w:p w14:paraId="1C20A8FA" w14:textId="2CD51218" w:rsidR="00212C54" w:rsidRDefault="00212C54" w:rsidP="00982090">
      <w:pPr>
        <w:pStyle w:val="Paragraph"/>
      </w:pPr>
      <w:r w:rsidRPr="00212C54">
        <w:lastRenderedPageBreak/>
        <w:t>Question 10: NICE is attempting to quantify the denominator size for this indicator as there should be more than 20 patients per average practice for an indicator to be suitable for use in the QOF. Are you aware of any data that would assist us in estimating the number of patients at practice level?</w:t>
      </w:r>
    </w:p>
    <w:tbl>
      <w:tblPr>
        <w:tblStyle w:val="TableGrid"/>
        <w:tblW w:w="5000" w:type="pct"/>
        <w:tblLook w:val="04A0" w:firstRow="1" w:lastRow="0" w:firstColumn="1" w:lastColumn="0" w:noHBand="0" w:noVBand="1"/>
      </w:tblPr>
      <w:tblGrid>
        <w:gridCol w:w="494"/>
        <w:gridCol w:w="1194"/>
        <w:gridCol w:w="2857"/>
        <w:gridCol w:w="5990"/>
        <w:gridCol w:w="3415"/>
      </w:tblGrid>
      <w:tr w:rsidR="00212C54" w:rsidRPr="00215444" w14:paraId="73863D15" w14:textId="77777777" w:rsidTr="00342C38">
        <w:trPr>
          <w:tblHeader/>
        </w:trPr>
        <w:tc>
          <w:tcPr>
            <w:tcW w:w="177" w:type="pct"/>
            <w:noWrap/>
            <w:hideMark/>
          </w:tcPr>
          <w:p w14:paraId="2A2ED7C1" w14:textId="77777777" w:rsidR="00212C54" w:rsidRPr="00215444" w:rsidRDefault="00212C54" w:rsidP="00342C38">
            <w:pPr>
              <w:pStyle w:val="NICEnormal"/>
              <w:spacing w:line="240" w:lineRule="auto"/>
              <w:rPr>
                <w:rFonts w:cs="Arial"/>
                <w:b/>
                <w:sz w:val="22"/>
                <w:szCs w:val="22"/>
              </w:rPr>
            </w:pPr>
            <w:r>
              <w:rPr>
                <w:rFonts w:cs="Arial"/>
                <w:b/>
                <w:sz w:val="22"/>
                <w:szCs w:val="22"/>
              </w:rPr>
              <w:t>ID</w:t>
            </w:r>
          </w:p>
        </w:tc>
        <w:tc>
          <w:tcPr>
            <w:tcW w:w="428" w:type="pct"/>
          </w:tcPr>
          <w:p w14:paraId="6217C8D3" w14:textId="77777777" w:rsidR="00212C54" w:rsidRPr="00215444" w:rsidRDefault="00212C54"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45802BF5" w14:textId="77777777" w:rsidR="00212C54" w:rsidRPr="00215444" w:rsidRDefault="00212C54"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61231FA8" w14:textId="77777777" w:rsidR="00212C54" w:rsidRPr="00215444" w:rsidRDefault="00212C54"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1B825F14" w14:textId="77777777" w:rsidR="00212C54" w:rsidRPr="00215444" w:rsidRDefault="00212C54" w:rsidP="00342C38">
            <w:pPr>
              <w:pStyle w:val="NICEnormal"/>
              <w:spacing w:line="240" w:lineRule="auto"/>
              <w:rPr>
                <w:rFonts w:cs="Arial"/>
                <w:b/>
                <w:sz w:val="22"/>
                <w:szCs w:val="22"/>
              </w:rPr>
            </w:pPr>
            <w:r>
              <w:rPr>
                <w:rFonts w:cs="Arial"/>
                <w:b/>
                <w:sz w:val="22"/>
                <w:szCs w:val="22"/>
              </w:rPr>
              <w:t>NICE response</w:t>
            </w:r>
          </w:p>
        </w:tc>
      </w:tr>
      <w:tr w:rsidR="008D0EA5" w:rsidRPr="00215444" w14:paraId="1950CD3F" w14:textId="120CFD96" w:rsidTr="000528DF">
        <w:tc>
          <w:tcPr>
            <w:tcW w:w="177" w:type="pct"/>
          </w:tcPr>
          <w:p w14:paraId="7C921497" w14:textId="55C44792" w:rsidR="008D0EA5" w:rsidRPr="00E344DA" w:rsidRDefault="008D0EA5" w:rsidP="005B2876">
            <w:pPr>
              <w:rPr>
                <w:rFonts w:ascii="Arial" w:hAnsi="Arial" w:cs="Arial"/>
                <w:color w:val="000000"/>
                <w:sz w:val="22"/>
                <w:szCs w:val="22"/>
                <w:lang w:eastAsia="en-GB"/>
              </w:rPr>
            </w:pPr>
            <w:r>
              <w:rPr>
                <w:rFonts w:ascii="Arial" w:hAnsi="Arial" w:cs="Arial"/>
                <w:color w:val="000000"/>
                <w:sz w:val="22"/>
                <w:szCs w:val="22"/>
                <w:lang w:eastAsia="en-GB"/>
              </w:rPr>
              <w:t>2</w:t>
            </w:r>
            <w:r w:rsidR="000444C3">
              <w:rPr>
                <w:rFonts w:ascii="Arial" w:hAnsi="Arial" w:cs="Arial"/>
                <w:color w:val="000000"/>
                <w:sz w:val="22"/>
                <w:szCs w:val="22"/>
                <w:lang w:eastAsia="en-GB"/>
              </w:rPr>
              <w:t>7</w:t>
            </w:r>
          </w:p>
        </w:tc>
        <w:tc>
          <w:tcPr>
            <w:tcW w:w="428" w:type="pct"/>
          </w:tcPr>
          <w:p w14:paraId="0B2CD374" w14:textId="739C58AB" w:rsidR="008D0EA5" w:rsidRPr="00E344DA" w:rsidRDefault="008D0EA5" w:rsidP="005B2876">
            <w:pPr>
              <w:rPr>
                <w:rFonts w:ascii="Arial" w:hAnsi="Arial" w:cs="Arial"/>
                <w:color w:val="000000"/>
                <w:sz w:val="22"/>
                <w:szCs w:val="22"/>
                <w:lang w:eastAsia="en-GB"/>
              </w:rPr>
            </w:pPr>
            <w:r w:rsidRPr="00E344DA">
              <w:rPr>
                <w:rFonts w:ascii="Arial" w:hAnsi="Arial" w:cs="Arial"/>
                <w:color w:val="000000"/>
                <w:sz w:val="22"/>
                <w:szCs w:val="22"/>
                <w:lang w:eastAsia="en-GB"/>
              </w:rPr>
              <w:t>10</w:t>
            </w:r>
          </w:p>
        </w:tc>
        <w:tc>
          <w:tcPr>
            <w:tcW w:w="1024" w:type="pct"/>
          </w:tcPr>
          <w:p w14:paraId="51B8C083" w14:textId="7AB373DD" w:rsidR="008D0EA5" w:rsidRPr="00E344DA" w:rsidRDefault="008D0EA5" w:rsidP="005B2876">
            <w:pPr>
              <w:rPr>
                <w:rFonts w:ascii="Arial" w:hAnsi="Arial" w:cs="Arial"/>
                <w:color w:val="000000"/>
                <w:sz w:val="22"/>
                <w:szCs w:val="22"/>
                <w:lang w:eastAsia="en-GB"/>
              </w:rPr>
            </w:pPr>
            <w:r w:rsidRPr="00E344DA">
              <w:rPr>
                <w:rFonts w:ascii="Arial" w:hAnsi="Arial" w:cs="Arial"/>
                <w:color w:val="000000"/>
                <w:sz w:val="22"/>
                <w:szCs w:val="22"/>
                <w:lang w:eastAsia="en-GB"/>
              </w:rPr>
              <w:t>RCGP</w:t>
            </w:r>
          </w:p>
        </w:tc>
        <w:tc>
          <w:tcPr>
            <w:tcW w:w="2147" w:type="pct"/>
          </w:tcPr>
          <w:p w14:paraId="37BE4459" w14:textId="23ED3263" w:rsidR="008D0EA5" w:rsidRPr="00EE065C" w:rsidRDefault="008D0EA5" w:rsidP="005B2876">
            <w:pPr>
              <w:rPr>
                <w:rFonts w:ascii="Arial" w:hAnsi="Arial" w:cs="Arial"/>
                <w:color w:val="000000"/>
                <w:sz w:val="22"/>
                <w:szCs w:val="22"/>
                <w:highlight w:val="cyan"/>
                <w:lang w:eastAsia="en-GB"/>
              </w:rPr>
            </w:pPr>
            <w:r w:rsidRPr="00E344DA">
              <w:rPr>
                <w:rFonts w:ascii="Arial" w:hAnsi="Arial" w:cs="Arial"/>
                <w:color w:val="000000"/>
                <w:sz w:val="22"/>
                <w:szCs w:val="22"/>
                <w:lang w:eastAsia="en-GB"/>
              </w:rPr>
              <w:t>Q10. We would expect the number of new cases, especially in well run practices to be extremely small. The OxRENS study might help provide an estimate of new cases per year.</w:t>
            </w:r>
          </w:p>
        </w:tc>
        <w:tc>
          <w:tcPr>
            <w:tcW w:w="1224" w:type="pct"/>
          </w:tcPr>
          <w:p w14:paraId="176919E5" w14:textId="7E5C3194" w:rsidR="008D0EA5" w:rsidRPr="00E344DA" w:rsidRDefault="00C77FB4" w:rsidP="005B2876">
            <w:pPr>
              <w:rPr>
                <w:rFonts w:ascii="Arial" w:hAnsi="Arial" w:cs="Arial"/>
                <w:color w:val="000000"/>
                <w:sz w:val="22"/>
                <w:szCs w:val="22"/>
                <w:lang w:eastAsia="en-GB"/>
              </w:rPr>
            </w:pPr>
            <w:r>
              <w:rPr>
                <w:rFonts w:ascii="Arial" w:hAnsi="Arial" w:cs="Arial"/>
                <w:sz w:val="22"/>
                <w:szCs w:val="28"/>
              </w:rPr>
              <w:t>Thank you for your comment.</w:t>
            </w:r>
          </w:p>
        </w:tc>
      </w:tr>
    </w:tbl>
    <w:p w14:paraId="58BDD3F6" w14:textId="78098772" w:rsidR="00212C54" w:rsidRDefault="00212C54" w:rsidP="00982090">
      <w:pPr>
        <w:pStyle w:val="Paragraph"/>
      </w:pPr>
      <w:r>
        <w:t xml:space="preserve">IND2021-120 General comments </w:t>
      </w:r>
    </w:p>
    <w:tbl>
      <w:tblPr>
        <w:tblStyle w:val="TableGrid"/>
        <w:tblW w:w="5000" w:type="pct"/>
        <w:tblLook w:val="04A0" w:firstRow="1" w:lastRow="0" w:firstColumn="1" w:lastColumn="0" w:noHBand="0" w:noVBand="1"/>
      </w:tblPr>
      <w:tblGrid>
        <w:gridCol w:w="494"/>
        <w:gridCol w:w="1194"/>
        <w:gridCol w:w="2857"/>
        <w:gridCol w:w="5990"/>
        <w:gridCol w:w="3415"/>
      </w:tblGrid>
      <w:tr w:rsidR="00212C54" w:rsidRPr="00215444" w14:paraId="13944361" w14:textId="77777777" w:rsidTr="00342C38">
        <w:trPr>
          <w:tblHeader/>
        </w:trPr>
        <w:tc>
          <w:tcPr>
            <w:tcW w:w="177" w:type="pct"/>
            <w:noWrap/>
            <w:hideMark/>
          </w:tcPr>
          <w:p w14:paraId="206BDFA9" w14:textId="77777777" w:rsidR="00212C54" w:rsidRPr="00215444" w:rsidRDefault="00212C54" w:rsidP="00342C38">
            <w:pPr>
              <w:pStyle w:val="NICEnormal"/>
              <w:spacing w:line="240" w:lineRule="auto"/>
              <w:rPr>
                <w:rFonts w:cs="Arial"/>
                <w:b/>
                <w:sz w:val="22"/>
                <w:szCs w:val="22"/>
              </w:rPr>
            </w:pPr>
            <w:bookmarkStart w:id="121" w:name="_Hlk111457509"/>
            <w:r>
              <w:rPr>
                <w:rFonts w:cs="Arial"/>
                <w:b/>
                <w:sz w:val="22"/>
                <w:szCs w:val="22"/>
              </w:rPr>
              <w:t>ID</w:t>
            </w:r>
          </w:p>
        </w:tc>
        <w:tc>
          <w:tcPr>
            <w:tcW w:w="428" w:type="pct"/>
          </w:tcPr>
          <w:p w14:paraId="6570085F" w14:textId="77777777" w:rsidR="00212C54" w:rsidRPr="00215444" w:rsidRDefault="00212C54"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15FE0446" w14:textId="77777777" w:rsidR="00212C54" w:rsidRPr="00215444" w:rsidRDefault="00212C54"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4CF6AA26" w14:textId="77777777" w:rsidR="00212C54" w:rsidRPr="00215444" w:rsidRDefault="00212C54"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2DEA60E7" w14:textId="77777777" w:rsidR="00212C54" w:rsidRPr="00215444" w:rsidRDefault="00212C54" w:rsidP="00342C38">
            <w:pPr>
              <w:pStyle w:val="NICEnormal"/>
              <w:spacing w:line="240" w:lineRule="auto"/>
              <w:rPr>
                <w:rFonts w:cs="Arial"/>
                <w:b/>
                <w:sz w:val="22"/>
                <w:szCs w:val="22"/>
              </w:rPr>
            </w:pPr>
            <w:r>
              <w:rPr>
                <w:rFonts w:cs="Arial"/>
                <w:b/>
                <w:sz w:val="22"/>
                <w:szCs w:val="22"/>
              </w:rPr>
              <w:t>NICE response</w:t>
            </w:r>
          </w:p>
        </w:tc>
      </w:tr>
      <w:bookmarkEnd w:id="121"/>
      <w:tr w:rsidR="008D0EA5" w:rsidRPr="00215444" w14:paraId="037F5699" w14:textId="52A88A19" w:rsidTr="000528DF">
        <w:tc>
          <w:tcPr>
            <w:tcW w:w="177" w:type="pct"/>
          </w:tcPr>
          <w:p w14:paraId="077A4D36" w14:textId="1B060A66" w:rsidR="008D0EA5" w:rsidRPr="00E46E83" w:rsidRDefault="000444C3" w:rsidP="005B2876">
            <w:pPr>
              <w:rPr>
                <w:rFonts w:ascii="Arial" w:hAnsi="Arial" w:cs="Arial"/>
                <w:color w:val="000000"/>
                <w:sz w:val="22"/>
                <w:szCs w:val="22"/>
                <w:lang w:eastAsia="en-GB"/>
              </w:rPr>
            </w:pPr>
            <w:r>
              <w:rPr>
                <w:rFonts w:ascii="Arial" w:hAnsi="Arial" w:cs="Arial"/>
                <w:color w:val="000000"/>
                <w:sz w:val="22"/>
                <w:szCs w:val="22"/>
                <w:lang w:eastAsia="en-GB"/>
              </w:rPr>
              <w:t>28</w:t>
            </w:r>
          </w:p>
        </w:tc>
        <w:tc>
          <w:tcPr>
            <w:tcW w:w="428" w:type="pct"/>
          </w:tcPr>
          <w:p w14:paraId="79F0D253" w14:textId="00C3BAAA" w:rsidR="008D0EA5" w:rsidRPr="00E46E83" w:rsidRDefault="008D0EA5" w:rsidP="005B2876">
            <w:pPr>
              <w:rPr>
                <w:rFonts w:ascii="Arial" w:hAnsi="Arial" w:cs="Arial"/>
                <w:color w:val="000000"/>
                <w:sz w:val="22"/>
                <w:szCs w:val="22"/>
                <w:lang w:eastAsia="en-GB"/>
              </w:rPr>
            </w:pPr>
            <w:r w:rsidRPr="00E46E83">
              <w:rPr>
                <w:rFonts w:ascii="Arial" w:hAnsi="Arial" w:cs="Arial"/>
                <w:color w:val="000000"/>
                <w:sz w:val="22"/>
                <w:szCs w:val="22"/>
                <w:lang w:eastAsia="en-GB"/>
              </w:rPr>
              <w:t>IND2021-120</w:t>
            </w:r>
          </w:p>
        </w:tc>
        <w:tc>
          <w:tcPr>
            <w:tcW w:w="1024" w:type="pct"/>
          </w:tcPr>
          <w:p w14:paraId="26C1C5D2" w14:textId="57D049D6" w:rsidR="008D0EA5" w:rsidRPr="00E46E83" w:rsidRDefault="008D0EA5" w:rsidP="005B2876">
            <w:pPr>
              <w:rPr>
                <w:rFonts w:ascii="Arial" w:hAnsi="Arial" w:cs="Arial"/>
                <w:color w:val="000000"/>
                <w:sz w:val="22"/>
                <w:szCs w:val="22"/>
                <w:lang w:eastAsia="en-GB"/>
              </w:rPr>
            </w:pPr>
            <w:r w:rsidRPr="00E46E83">
              <w:rPr>
                <w:rFonts w:ascii="Arial" w:hAnsi="Arial" w:cs="Arial"/>
                <w:color w:val="000000"/>
                <w:sz w:val="22"/>
                <w:szCs w:val="22"/>
                <w:lang w:eastAsia="en-GB"/>
              </w:rPr>
              <w:t>AstraZeneca</w:t>
            </w:r>
          </w:p>
        </w:tc>
        <w:tc>
          <w:tcPr>
            <w:tcW w:w="2147" w:type="pct"/>
          </w:tcPr>
          <w:p w14:paraId="68E1B8C3" w14:textId="77777777" w:rsidR="008D0EA5" w:rsidRPr="00E46E83" w:rsidRDefault="008D0EA5" w:rsidP="005B2876">
            <w:pPr>
              <w:rPr>
                <w:rFonts w:ascii="Arial" w:hAnsi="Arial" w:cs="Arial"/>
                <w:color w:val="000000"/>
                <w:sz w:val="22"/>
                <w:szCs w:val="22"/>
                <w:lang w:eastAsia="en-GB"/>
              </w:rPr>
            </w:pPr>
            <w:r w:rsidRPr="00E46E83">
              <w:rPr>
                <w:rFonts w:ascii="Arial" w:hAnsi="Arial" w:cs="Arial"/>
                <w:color w:val="000000"/>
                <w:sz w:val="22"/>
                <w:szCs w:val="22"/>
                <w:lang w:eastAsia="en-GB"/>
              </w:rPr>
              <w:t xml:space="preserve">We are supportive of efforts to improve diagnosis of CKD and associated CVD risk and recognise the importance of diagnosing both as early as possible. We note that the requirement for both ACR and eGFR testing within IND2021-120 would help to improve earlier diagnosis and we believe this indicator would be more clinically relevant than IND2021-119, given the use of ACR, which can support improved identification of CVD risk. </w:t>
            </w:r>
          </w:p>
          <w:p w14:paraId="367A1251" w14:textId="77777777" w:rsidR="008D0EA5" w:rsidRPr="00E46E83" w:rsidRDefault="008D0EA5" w:rsidP="005B2876">
            <w:pPr>
              <w:rPr>
                <w:rFonts w:ascii="Arial" w:hAnsi="Arial" w:cs="Arial"/>
                <w:color w:val="000000"/>
                <w:sz w:val="22"/>
                <w:szCs w:val="22"/>
                <w:lang w:eastAsia="en-GB"/>
              </w:rPr>
            </w:pPr>
          </w:p>
          <w:p w14:paraId="041D8279" w14:textId="3467B361" w:rsidR="008D0EA5" w:rsidRPr="00E46E83" w:rsidRDefault="008D0EA5" w:rsidP="005B2876">
            <w:pPr>
              <w:pStyle w:val="EndnoteText"/>
              <w:rPr>
                <w:sz w:val="22"/>
                <w:szCs w:val="22"/>
              </w:rPr>
            </w:pPr>
            <w:r w:rsidRPr="00E46E83">
              <w:rPr>
                <w:rFonts w:cs="Arial"/>
                <w:color w:val="000000"/>
                <w:sz w:val="22"/>
                <w:szCs w:val="22"/>
                <w:lang w:eastAsia="en-GB"/>
              </w:rPr>
              <w:t xml:space="preserve">However, as with IND2021-119, we believe that it is important for all patients with CKD to receive annual testing to support appropriate management of their conditions. Therefore, we propose that NICE consider developing an additional indicator that includes the existing patient population, measuring annual rates of ACR and eGFR </w:t>
            </w:r>
            <w:r w:rsidRPr="00E46E83">
              <w:rPr>
                <w:rFonts w:cs="Arial"/>
                <w:color w:val="000000"/>
                <w:sz w:val="22"/>
                <w:szCs w:val="22"/>
                <w:lang w:eastAsia="en-GB"/>
              </w:rPr>
              <w:lastRenderedPageBreak/>
              <w:t>testing for all CKD patients on the register – this would complement the existing NM109 indicator, which currently solely focuses on ACR.</w:t>
            </w:r>
            <w:r>
              <w:rPr>
                <w:rFonts w:cs="Arial"/>
                <w:color w:val="000000"/>
                <w:sz w:val="22"/>
                <w:szCs w:val="22"/>
                <w:lang w:eastAsia="en-GB"/>
              </w:rPr>
              <w:t xml:space="preserve"> </w:t>
            </w:r>
            <w:r w:rsidRPr="00E46E83">
              <w:rPr>
                <w:rFonts w:cs="Arial"/>
                <w:color w:val="000000"/>
                <w:sz w:val="22"/>
                <w:szCs w:val="22"/>
                <w:lang w:eastAsia="en-GB"/>
              </w:rPr>
              <w:t>(</w:t>
            </w:r>
            <w:r w:rsidRPr="00E46E83">
              <w:rPr>
                <w:sz w:val="22"/>
                <w:szCs w:val="22"/>
              </w:rPr>
              <w:t xml:space="preserve">National Institute for Health and Care Excellence, NICE indicator NM109 guidance, August 2021. Available at: </w:t>
            </w:r>
            <w:hyperlink r:id="rId25" w:history="1">
              <w:r w:rsidRPr="00E46E83">
                <w:rPr>
                  <w:rStyle w:val="Hyperlink"/>
                  <w:sz w:val="22"/>
                  <w:szCs w:val="22"/>
                </w:rPr>
                <w:t>https://www.nice.org.uk/standards-and-indicators/qofindicators/the-percentage-of-patients-on-the-ckd-register-whose-notes-have-a-record-of-a-urine-albumin-creatinine-ratio-or-protein-creatinine-ratio-test-in-the-preceding-12-months-nm109</w:t>
              </w:r>
            </w:hyperlink>
            <w:r w:rsidRPr="00E46E83">
              <w:rPr>
                <w:sz w:val="22"/>
                <w:szCs w:val="22"/>
              </w:rPr>
              <w:t>)</w:t>
            </w:r>
            <w:r w:rsidRPr="00E46E83">
              <w:rPr>
                <w:rFonts w:cs="Arial"/>
                <w:color w:val="000000"/>
                <w:sz w:val="22"/>
                <w:szCs w:val="22"/>
                <w:lang w:eastAsia="en-GB"/>
              </w:rPr>
              <w:t xml:space="preserve">  </w:t>
            </w:r>
          </w:p>
          <w:p w14:paraId="5665F306" w14:textId="3A14321A" w:rsidR="008D0EA5" w:rsidRPr="00E46E83" w:rsidRDefault="008D0EA5" w:rsidP="005B2876">
            <w:pPr>
              <w:rPr>
                <w:rFonts w:ascii="Arial" w:hAnsi="Arial" w:cs="Arial"/>
                <w:color w:val="000000"/>
                <w:sz w:val="22"/>
                <w:szCs w:val="22"/>
                <w:lang w:eastAsia="en-GB"/>
              </w:rPr>
            </w:pPr>
            <w:r w:rsidRPr="00E46E83">
              <w:rPr>
                <w:rFonts w:ascii="Arial" w:hAnsi="Arial" w:cs="Arial"/>
                <w:color w:val="000000"/>
                <w:sz w:val="22"/>
                <w:szCs w:val="22"/>
                <w:lang w:eastAsia="en-GB"/>
              </w:rPr>
              <w:t xml:space="preserve">  </w:t>
            </w:r>
          </w:p>
          <w:p w14:paraId="3558C78A" w14:textId="38E355FA" w:rsidR="008D0EA5" w:rsidRDefault="008D0EA5" w:rsidP="005B2876">
            <w:pPr>
              <w:rPr>
                <w:rFonts w:ascii="Arial" w:hAnsi="Arial" w:cs="Arial"/>
                <w:color w:val="000000"/>
                <w:sz w:val="22"/>
                <w:szCs w:val="22"/>
                <w:lang w:eastAsia="en-GB"/>
              </w:rPr>
            </w:pPr>
            <w:r w:rsidRPr="00E46E83">
              <w:rPr>
                <w:rFonts w:ascii="Arial" w:hAnsi="Arial" w:cs="Arial"/>
                <w:color w:val="000000"/>
                <w:sz w:val="22"/>
                <w:szCs w:val="22"/>
                <w:lang w:eastAsia="en-GB"/>
              </w:rPr>
              <w:t>In terms of data that may assist in estimating the number of patients at practice level to quantify a denominator size, NICE may wish to refer to the 2017 National CKD Audit Report (Part 1)</w:t>
            </w:r>
            <w:r>
              <w:rPr>
                <w:rFonts w:ascii="Arial" w:hAnsi="Arial" w:cs="Arial"/>
                <w:color w:val="000000"/>
                <w:sz w:val="22"/>
                <w:szCs w:val="22"/>
                <w:lang w:eastAsia="en-GB"/>
              </w:rPr>
              <w:t>.</w:t>
            </w:r>
            <w:r w:rsidRPr="00E46E83">
              <w:rPr>
                <w:rFonts w:ascii="Arial" w:hAnsi="Arial" w:cs="Arial"/>
                <w:color w:val="000000"/>
                <w:sz w:val="22"/>
                <w:szCs w:val="22"/>
                <w:lang w:eastAsia="en-GB"/>
              </w:rPr>
              <w:t xml:space="preserve"> The audit estimated a total prevalence of stage 3-5 CKD of between 5.5%-5.8% across the adult population.</w:t>
            </w:r>
            <w:r>
              <w:rPr>
                <w:rFonts w:ascii="Arial" w:hAnsi="Arial" w:cs="Arial"/>
                <w:color w:val="000000"/>
                <w:sz w:val="22"/>
                <w:szCs w:val="22"/>
                <w:lang w:eastAsia="en-GB"/>
              </w:rPr>
              <w:t xml:space="preserve"> </w:t>
            </w:r>
            <w:r w:rsidRPr="00E46E83">
              <w:rPr>
                <w:rFonts w:ascii="Arial" w:hAnsi="Arial" w:cs="Arial"/>
                <w:color w:val="000000"/>
                <w:sz w:val="22"/>
                <w:szCs w:val="22"/>
                <w:lang w:eastAsia="en-GB"/>
              </w:rPr>
              <w:t xml:space="preserve">National Institute for Health and Care Excellence, Chronic kidney disease: assessment and management, NICE guideline 203 [NG203], 25 August 2021. Available at: </w:t>
            </w:r>
            <w:hyperlink r:id="rId26" w:history="1">
              <w:r w:rsidRPr="009D0053">
                <w:rPr>
                  <w:rStyle w:val="Hyperlink"/>
                  <w:rFonts w:ascii="Arial" w:hAnsi="Arial" w:cs="Arial"/>
                  <w:sz w:val="22"/>
                  <w:szCs w:val="22"/>
                  <w:lang w:eastAsia="en-GB"/>
                </w:rPr>
                <w:t>https://www.nice.org.uk/guidance/ng203/resources/chronic-kidney-disease-assessment-and-management-pdf-66143713055173</w:t>
              </w:r>
            </w:hyperlink>
          </w:p>
          <w:p w14:paraId="72CED2F1" w14:textId="205699D8" w:rsidR="008D0EA5" w:rsidRPr="00E46E83" w:rsidRDefault="008D0EA5" w:rsidP="005B2876">
            <w:pPr>
              <w:rPr>
                <w:rFonts w:ascii="Arial" w:hAnsi="Arial" w:cs="Arial"/>
                <w:color w:val="000000"/>
                <w:sz w:val="22"/>
                <w:szCs w:val="22"/>
                <w:lang w:eastAsia="en-GB"/>
              </w:rPr>
            </w:pPr>
          </w:p>
        </w:tc>
        <w:tc>
          <w:tcPr>
            <w:tcW w:w="1224" w:type="pct"/>
          </w:tcPr>
          <w:p w14:paraId="26C6CC3B" w14:textId="1A5B9764" w:rsidR="008D0EA5" w:rsidRPr="00E46E83" w:rsidRDefault="00C77FB4" w:rsidP="005B2876">
            <w:pPr>
              <w:rPr>
                <w:rFonts w:ascii="Arial" w:hAnsi="Arial" w:cs="Arial"/>
                <w:color w:val="000000"/>
                <w:sz w:val="22"/>
                <w:szCs w:val="22"/>
                <w:lang w:eastAsia="en-GB"/>
              </w:rPr>
            </w:pPr>
            <w:r>
              <w:rPr>
                <w:rFonts w:ascii="Arial" w:hAnsi="Arial" w:cs="Arial"/>
                <w:sz w:val="22"/>
                <w:szCs w:val="28"/>
              </w:rPr>
              <w:lastRenderedPageBreak/>
              <w:t xml:space="preserve">Thank you for your comment. </w:t>
            </w:r>
            <w:r>
              <w:rPr>
                <w:rFonts w:ascii="Arial" w:hAnsi="Arial" w:cs="Arial"/>
                <w:color w:val="000000"/>
                <w:sz w:val="22"/>
                <w:szCs w:val="22"/>
                <w:lang w:eastAsia="en-GB"/>
              </w:rPr>
              <w:t xml:space="preserve">This was presented to the indicator advisory committee in June 2022 as part of the consultation report for CKD indicators but no indicator on this was progressed. </w:t>
            </w:r>
          </w:p>
        </w:tc>
      </w:tr>
      <w:tr w:rsidR="008D0EA5" w:rsidRPr="00215444" w14:paraId="36B32DC7" w14:textId="7477A10C" w:rsidTr="000528DF">
        <w:tc>
          <w:tcPr>
            <w:tcW w:w="177" w:type="pct"/>
          </w:tcPr>
          <w:p w14:paraId="7A567ED1" w14:textId="24781E07" w:rsidR="008D0EA5" w:rsidRPr="00A94A2F" w:rsidRDefault="000444C3" w:rsidP="005B2876">
            <w:pPr>
              <w:rPr>
                <w:rFonts w:ascii="Arial" w:hAnsi="Arial" w:cs="Arial"/>
                <w:color w:val="000000"/>
                <w:sz w:val="22"/>
                <w:szCs w:val="22"/>
                <w:lang w:eastAsia="en-GB"/>
              </w:rPr>
            </w:pPr>
            <w:r>
              <w:rPr>
                <w:rFonts w:ascii="Arial" w:hAnsi="Arial" w:cs="Arial"/>
                <w:color w:val="000000"/>
                <w:sz w:val="22"/>
                <w:szCs w:val="22"/>
                <w:lang w:eastAsia="en-GB"/>
              </w:rPr>
              <w:t>29</w:t>
            </w:r>
          </w:p>
        </w:tc>
        <w:tc>
          <w:tcPr>
            <w:tcW w:w="428" w:type="pct"/>
          </w:tcPr>
          <w:p w14:paraId="634C0CD0" w14:textId="1D950A7E"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IND2021-120</w:t>
            </w:r>
          </w:p>
        </w:tc>
        <w:tc>
          <w:tcPr>
            <w:tcW w:w="1024" w:type="pct"/>
          </w:tcPr>
          <w:p w14:paraId="77946F2F" w14:textId="06FA2DCE"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BMA</w:t>
            </w:r>
          </w:p>
        </w:tc>
        <w:tc>
          <w:tcPr>
            <w:tcW w:w="2147" w:type="pct"/>
          </w:tcPr>
          <w:p w14:paraId="147A664C" w14:textId="13882922" w:rsidR="008D0EA5" w:rsidRPr="005B2876" w:rsidRDefault="008D0EA5" w:rsidP="005B2876">
            <w:pPr>
              <w:rPr>
                <w:rFonts w:ascii="Arial" w:hAnsi="Arial" w:cs="Arial"/>
                <w:sz w:val="20"/>
              </w:rPr>
            </w:pPr>
            <w:r w:rsidRPr="005B2876">
              <w:rPr>
                <w:rFonts w:ascii="Arial" w:hAnsi="Arial" w:cs="Arial"/>
                <w:sz w:val="22"/>
                <w:szCs w:val="28"/>
              </w:rPr>
              <w:t>As above - 90 days seems an arbitrary number, and this would also mean unquantified extra workload.</w:t>
            </w:r>
          </w:p>
        </w:tc>
        <w:tc>
          <w:tcPr>
            <w:tcW w:w="1224" w:type="pct"/>
          </w:tcPr>
          <w:p w14:paraId="2C6A339C" w14:textId="6BB728A2" w:rsidR="008D0EA5" w:rsidRPr="005B2876" w:rsidRDefault="00DB2921" w:rsidP="005B2876">
            <w:pPr>
              <w:rPr>
                <w:rFonts w:ascii="Arial" w:hAnsi="Arial" w:cs="Arial"/>
                <w:sz w:val="22"/>
                <w:szCs w:val="28"/>
              </w:rPr>
            </w:pPr>
            <w:r>
              <w:rPr>
                <w:rFonts w:ascii="Arial" w:hAnsi="Arial" w:cs="Arial"/>
                <w:sz w:val="22"/>
                <w:szCs w:val="28"/>
              </w:rPr>
              <w:t>Thank you for your comment.</w:t>
            </w:r>
            <w:r w:rsidR="00AC1F73">
              <w:rPr>
                <w:rFonts w:ascii="Arial" w:hAnsi="Arial" w:cs="Arial"/>
                <w:sz w:val="22"/>
                <w:szCs w:val="28"/>
              </w:rPr>
              <w:t xml:space="preserve"> The timeframe of 90 days is used in the indicator for measurement purposes</w:t>
            </w:r>
          </w:p>
        </w:tc>
      </w:tr>
      <w:tr w:rsidR="008D0EA5" w:rsidRPr="00215444" w14:paraId="31CC58EC" w14:textId="014AB108" w:rsidTr="000528DF">
        <w:tc>
          <w:tcPr>
            <w:tcW w:w="177" w:type="pct"/>
          </w:tcPr>
          <w:p w14:paraId="138F4029" w14:textId="30296FA4" w:rsidR="008D0EA5" w:rsidRPr="00A94A2F" w:rsidRDefault="008D0EA5" w:rsidP="005B2876">
            <w:pPr>
              <w:rPr>
                <w:rFonts w:ascii="Arial" w:hAnsi="Arial" w:cs="Arial"/>
                <w:color w:val="000000"/>
                <w:sz w:val="22"/>
                <w:szCs w:val="22"/>
                <w:lang w:eastAsia="en-GB"/>
              </w:rPr>
            </w:pPr>
            <w:r>
              <w:rPr>
                <w:rFonts w:ascii="Arial" w:hAnsi="Arial" w:cs="Arial"/>
                <w:color w:val="000000"/>
                <w:sz w:val="22"/>
                <w:szCs w:val="22"/>
                <w:lang w:eastAsia="en-GB"/>
              </w:rPr>
              <w:t>3</w:t>
            </w:r>
            <w:r w:rsidR="000444C3">
              <w:rPr>
                <w:rFonts w:ascii="Arial" w:hAnsi="Arial" w:cs="Arial"/>
                <w:color w:val="000000"/>
                <w:sz w:val="22"/>
                <w:szCs w:val="22"/>
                <w:lang w:eastAsia="en-GB"/>
              </w:rPr>
              <w:t>0</w:t>
            </w:r>
          </w:p>
        </w:tc>
        <w:tc>
          <w:tcPr>
            <w:tcW w:w="428" w:type="pct"/>
          </w:tcPr>
          <w:p w14:paraId="799D10E0" w14:textId="6117FAC5" w:rsidR="008D0EA5" w:rsidRPr="00A94A2F" w:rsidRDefault="008D0EA5" w:rsidP="005B2876">
            <w:pPr>
              <w:rPr>
                <w:rFonts w:ascii="Arial" w:hAnsi="Arial" w:cs="Arial"/>
                <w:color w:val="000000"/>
                <w:sz w:val="22"/>
                <w:szCs w:val="22"/>
                <w:lang w:eastAsia="en-GB"/>
              </w:rPr>
            </w:pPr>
            <w:r>
              <w:rPr>
                <w:rFonts w:ascii="Arial" w:hAnsi="Arial" w:cs="Arial"/>
                <w:color w:val="000000"/>
                <w:sz w:val="22"/>
                <w:szCs w:val="22"/>
                <w:lang w:eastAsia="en-GB"/>
              </w:rPr>
              <w:t>IND2021-120</w:t>
            </w:r>
          </w:p>
        </w:tc>
        <w:tc>
          <w:tcPr>
            <w:tcW w:w="1024" w:type="pct"/>
          </w:tcPr>
          <w:p w14:paraId="199D531E" w14:textId="5C582313" w:rsidR="008D0EA5" w:rsidRPr="00A94A2F" w:rsidRDefault="008D0EA5" w:rsidP="005B2876">
            <w:pPr>
              <w:rPr>
                <w:rFonts w:ascii="Arial" w:hAnsi="Arial" w:cs="Arial"/>
                <w:color w:val="000000"/>
                <w:sz w:val="22"/>
                <w:szCs w:val="22"/>
                <w:lang w:eastAsia="en-GB"/>
              </w:rPr>
            </w:pPr>
            <w:r>
              <w:rPr>
                <w:rFonts w:ascii="Arial" w:hAnsi="Arial" w:cs="Arial"/>
                <w:color w:val="000000"/>
                <w:sz w:val="22"/>
                <w:szCs w:val="22"/>
                <w:lang w:eastAsia="en-GB"/>
              </w:rPr>
              <w:t>Kidney Research UK</w:t>
            </w:r>
          </w:p>
        </w:tc>
        <w:tc>
          <w:tcPr>
            <w:tcW w:w="2147" w:type="pct"/>
          </w:tcPr>
          <w:p w14:paraId="438A758C" w14:textId="2BDBFCD7" w:rsidR="008D0EA5" w:rsidRPr="00A94A2F" w:rsidRDefault="008D0EA5" w:rsidP="005B2876">
            <w:pPr>
              <w:rPr>
                <w:rFonts w:ascii="Arial" w:hAnsi="Arial" w:cs="Arial"/>
                <w:sz w:val="20"/>
              </w:rPr>
            </w:pPr>
            <w:r w:rsidRPr="00A94A2F">
              <w:rPr>
                <w:rFonts w:ascii="Arial" w:hAnsi="Arial" w:cs="Arial"/>
                <w:sz w:val="22"/>
                <w:szCs w:val="28"/>
              </w:rPr>
              <w:t xml:space="preserve">We welcome this indicator. A combination of estimated glomerular filtration rate (eGFR) and urine albumin to creatinine ratio (ACR) measurement is a useful tool for </w:t>
            </w:r>
            <w:r w:rsidRPr="00A94A2F">
              <w:rPr>
                <w:rFonts w:ascii="Arial" w:hAnsi="Arial" w:cs="Arial"/>
                <w:sz w:val="22"/>
                <w:szCs w:val="28"/>
              </w:rPr>
              <w:lastRenderedPageBreak/>
              <w:t xml:space="preserve">estimating the risk of complications and can guide decisions for treatment. </w:t>
            </w:r>
          </w:p>
        </w:tc>
        <w:tc>
          <w:tcPr>
            <w:tcW w:w="1224" w:type="pct"/>
          </w:tcPr>
          <w:p w14:paraId="29762CB7" w14:textId="1D0ACC03" w:rsidR="008D0EA5" w:rsidRPr="00A94A2F" w:rsidRDefault="00DB2921" w:rsidP="005B2876">
            <w:pPr>
              <w:rPr>
                <w:rFonts w:ascii="Arial" w:hAnsi="Arial" w:cs="Arial"/>
                <w:sz w:val="22"/>
                <w:szCs w:val="28"/>
              </w:rPr>
            </w:pPr>
            <w:r>
              <w:rPr>
                <w:rFonts w:ascii="Arial" w:hAnsi="Arial" w:cs="Arial"/>
                <w:sz w:val="22"/>
                <w:szCs w:val="28"/>
              </w:rPr>
              <w:lastRenderedPageBreak/>
              <w:t>Thank you for your comment.</w:t>
            </w:r>
          </w:p>
        </w:tc>
      </w:tr>
      <w:tr w:rsidR="008D0EA5" w:rsidRPr="00215444" w14:paraId="333E7970" w14:textId="359E33C9" w:rsidTr="000528DF">
        <w:tc>
          <w:tcPr>
            <w:tcW w:w="177" w:type="pct"/>
          </w:tcPr>
          <w:p w14:paraId="0C1BA4A5" w14:textId="3A034CB9" w:rsidR="008D0EA5" w:rsidRPr="00A94A2F" w:rsidRDefault="008D0EA5" w:rsidP="005B2876">
            <w:pPr>
              <w:rPr>
                <w:rFonts w:ascii="Arial" w:hAnsi="Arial" w:cs="Arial"/>
                <w:color w:val="000000"/>
                <w:sz w:val="22"/>
                <w:szCs w:val="22"/>
                <w:lang w:eastAsia="en-GB"/>
              </w:rPr>
            </w:pPr>
            <w:r>
              <w:rPr>
                <w:rFonts w:ascii="Arial" w:hAnsi="Arial" w:cs="Arial"/>
                <w:color w:val="000000"/>
                <w:sz w:val="22"/>
                <w:szCs w:val="22"/>
                <w:lang w:eastAsia="en-GB"/>
              </w:rPr>
              <w:t>3</w:t>
            </w:r>
            <w:r w:rsidR="000444C3">
              <w:rPr>
                <w:rFonts w:ascii="Arial" w:hAnsi="Arial" w:cs="Arial"/>
                <w:color w:val="000000"/>
                <w:sz w:val="22"/>
                <w:szCs w:val="22"/>
                <w:lang w:eastAsia="en-GB"/>
              </w:rPr>
              <w:t>1</w:t>
            </w:r>
          </w:p>
        </w:tc>
        <w:tc>
          <w:tcPr>
            <w:tcW w:w="428" w:type="pct"/>
          </w:tcPr>
          <w:p w14:paraId="1B87F522" w14:textId="7B3FFED6"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IND2021-120</w:t>
            </w:r>
          </w:p>
        </w:tc>
        <w:tc>
          <w:tcPr>
            <w:tcW w:w="1024" w:type="pct"/>
          </w:tcPr>
          <w:p w14:paraId="49D3CCC1" w14:textId="17BBB7F5"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RCGP</w:t>
            </w:r>
          </w:p>
        </w:tc>
        <w:tc>
          <w:tcPr>
            <w:tcW w:w="2147" w:type="pct"/>
          </w:tcPr>
          <w:p w14:paraId="08C18A3B" w14:textId="77777777" w:rsidR="008D0EA5" w:rsidRPr="00A94A2F" w:rsidRDefault="008D0EA5" w:rsidP="005B2876">
            <w:pPr>
              <w:rPr>
                <w:rFonts w:ascii="Arial" w:hAnsi="Arial" w:cs="Arial"/>
                <w:sz w:val="22"/>
                <w:szCs w:val="28"/>
              </w:rPr>
            </w:pPr>
            <w:r w:rsidRPr="00A94A2F">
              <w:rPr>
                <w:rFonts w:ascii="Arial" w:hAnsi="Arial" w:cs="Arial"/>
                <w:sz w:val="22"/>
                <w:szCs w:val="28"/>
              </w:rPr>
              <w:t>Q1 none identified</w:t>
            </w:r>
          </w:p>
          <w:p w14:paraId="03E0ABCA" w14:textId="77777777" w:rsidR="008D0EA5" w:rsidRPr="00A94A2F" w:rsidRDefault="008D0EA5" w:rsidP="005B2876">
            <w:pPr>
              <w:rPr>
                <w:rFonts w:ascii="Arial" w:hAnsi="Arial" w:cs="Arial"/>
                <w:sz w:val="22"/>
                <w:szCs w:val="28"/>
              </w:rPr>
            </w:pPr>
            <w:r w:rsidRPr="00A94A2F">
              <w:rPr>
                <w:rFonts w:ascii="Arial" w:hAnsi="Arial" w:cs="Arial"/>
                <w:sz w:val="22"/>
                <w:szCs w:val="28"/>
              </w:rPr>
              <w:t>Q2 none identified</w:t>
            </w:r>
          </w:p>
          <w:p w14:paraId="5D2B1A41" w14:textId="77777777" w:rsidR="008D0EA5" w:rsidRPr="00A94A2F" w:rsidRDefault="008D0EA5" w:rsidP="005B2876">
            <w:pPr>
              <w:rPr>
                <w:rFonts w:ascii="Arial" w:hAnsi="Arial" w:cs="Arial"/>
                <w:sz w:val="22"/>
                <w:szCs w:val="28"/>
              </w:rPr>
            </w:pPr>
            <w:r w:rsidRPr="00A94A2F">
              <w:rPr>
                <w:rFonts w:ascii="Arial" w:hAnsi="Arial" w:cs="Arial"/>
                <w:sz w:val="22"/>
                <w:szCs w:val="28"/>
              </w:rPr>
              <w:t>Q3 none identified</w:t>
            </w:r>
          </w:p>
          <w:p w14:paraId="599B2074" w14:textId="77777777" w:rsidR="008D0EA5" w:rsidRPr="00A94A2F" w:rsidRDefault="008D0EA5" w:rsidP="005B2876">
            <w:pPr>
              <w:rPr>
                <w:rFonts w:ascii="Arial" w:hAnsi="Arial" w:cs="Arial"/>
                <w:sz w:val="22"/>
                <w:szCs w:val="28"/>
              </w:rPr>
            </w:pPr>
            <w:r w:rsidRPr="00A94A2F">
              <w:rPr>
                <w:rFonts w:ascii="Arial" w:hAnsi="Arial" w:cs="Arial"/>
                <w:sz w:val="22"/>
                <w:szCs w:val="28"/>
              </w:rPr>
              <w:t>Q4 None identified</w:t>
            </w:r>
          </w:p>
          <w:p w14:paraId="2F38F11C" w14:textId="77777777" w:rsidR="008D0EA5" w:rsidRPr="00A94A2F" w:rsidRDefault="008D0EA5" w:rsidP="005B2876">
            <w:pPr>
              <w:rPr>
                <w:rFonts w:ascii="Arial" w:hAnsi="Arial" w:cs="Arial"/>
                <w:sz w:val="22"/>
                <w:szCs w:val="28"/>
              </w:rPr>
            </w:pPr>
            <w:r w:rsidRPr="00A94A2F">
              <w:rPr>
                <w:rFonts w:ascii="Arial" w:hAnsi="Arial" w:cs="Arial"/>
                <w:sz w:val="22"/>
                <w:szCs w:val="28"/>
              </w:rPr>
              <w:t>Exclusions. Should include those who dissent and decline investigation or fail to return their requested urine test.</w:t>
            </w:r>
          </w:p>
          <w:p w14:paraId="5D62D2D1" w14:textId="26073030" w:rsidR="008D0EA5" w:rsidRPr="00A94A2F" w:rsidRDefault="008D0EA5" w:rsidP="005B2876">
            <w:pPr>
              <w:rPr>
                <w:rFonts w:ascii="Arial" w:hAnsi="Arial" w:cs="Arial"/>
                <w:sz w:val="22"/>
                <w:szCs w:val="28"/>
              </w:rPr>
            </w:pPr>
          </w:p>
        </w:tc>
        <w:tc>
          <w:tcPr>
            <w:tcW w:w="1224" w:type="pct"/>
          </w:tcPr>
          <w:p w14:paraId="11357A0E" w14:textId="23851D58" w:rsidR="008D0EA5" w:rsidRPr="00A94A2F" w:rsidRDefault="00DB2921" w:rsidP="005B2876">
            <w:pPr>
              <w:rPr>
                <w:rFonts w:ascii="Arial" w:hAnsi="Arial" w:cs="Arial"/>
                <w:sz w:val="22"/>
                <w:szCs w:val="28"/>
              </w:rPr>
            </w:pPr>
            <w:r>
              <w:rPr>
                <w:rFonts w:ascii="Arial" w:hAnsi="Arial" w:cs="Arial"/>
                <w:sz w:val="22"/>
                <w:szCs w:val="28"/>
              </w:rPr>
              <w:t>Thank you for your comment. Personalised care adjustments may be used if these indicators are introduced into QOF.</w:t>
            </w:r>
          </w:p>
        </w:tc>
      </w:tr>
      <w:tr w:rsidR="008D0EA5" w:rsidRPr="00215444" w14:paraId="5DC5FCA4" w14:textId="4B982694" w:rsidTr="000528DF">
        <w:tc>
          <w:tcPr>
            <w:tcW w:w="177" w:type="pct"/>
          </w:tcPr>
          <w:p w14:paraId="52D1559B" w14:textId="2C680705"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3</w:t>
            </w:r>
            <w:r w:rsidR="000444C3">
              <w:rPr>
                <w:rFonts w:ascii="Arial" w:hAnsi="Arial" w:cs="Arial"/>
                <w:color w:val="000000"/>
                <w:sz w:val="22"/>
                <w:szCs w:val="22"/>
                <w:lang w:eastAsia="en-GB"/>
              </w:rPr>
              <w:t>2</w:t>
            </w:r>
          </w:p>
        </w:tc>
        <w:tc>
          <w:tcPr>
            <w:tcW w:w="428" w:type="pct"/>
          </w:tcPr>
          <w:p w14:paraId="43CDF7D8" w14:textId="46BA5BF3"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IND2021-120</w:t>
            </w:r>
          </w:p>
        </w:tc>
        <w:tc>
          <w:tcPr>
            <w:tcW w:w="1024" w:type="pct"/>
          </w:tcPr>
          <w:p w14:paraId="4FA9FFD2" w14:textId="66E3BA72"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Renal Service Transformation Programme</w:t>
            </w:r>
          </w:p>
        </w:tc>
        <w:tc>
          <w:tcPr>
            <w:tcW w:w="2147" w:type="pct"/>
          </w:tcPr>
          <w:p w14:paraId="47C7F9C6" w14:textId="36A54C4B" w:rsidR="008D0EA5" w:rsidRPr="00A94A2F" w:rsidRDefault="008D0EA5" w:rsidP="00DB2A48">
            <w:pPr>
              <w:rPr>
                <w:rFonts w:ascii="Arial" w:hAnsi="Arial" w:cs="Arial"/>
                <w:sz w:val="22"/>
                <w:szCs w:val="28"/>
              </w:rPr>
            </w:pPr>
            <w:r w:rsidRPr="00DB2A48">
              <w:rPr>
                <w:rFonts w:ascii="Arial" w:hAnsi="Arial" w:cs="Arial"/>
                <w:sz w:val="22"/>
                <w:szCs w:val="28"/>
              </w:rPr>
              <w:t>The focus on CKD Stage G3a – G5 will miss out on opportunities for prevention of progression. NICE TAs for dapagliflozin and NICE CKD guidance 2022 recommend initiation of treatment at earlier G stages. Recommend including patients with G1 – G5</w:t>
            </w:r>
            <w:r>
              <w:rPr>
                <w:rFonts w:ascii="Arial" w:hAnsi="Arial" w:cs="Arial"/>
                <w:sz w:val="22"/>
                <w:szCs w:val="28"/>
              </w:rPr>
              <w:t>.</w:t>
            </w:r>
          </w:p>
        </w:tc>
        <w:tc>
          <w:tcPr>
            <w:tcW w:w="1224" w:type="pct"/>
          </w:tcPr>
          <w:p w14:paraId="270CDE26" w14:textId="62D6D883" w:rsidR="008D0EA5" w:rsidRPr="00DB2A48" w:rsidRDefault="00DB2921" w:rsidP="00DB2A48">
            <w:pPr>
              <w:rPr>
                <w:rFonts w:ascii="Arial" w:hAnsi="Arial" w:cs="Arial"/>
                <w:sz w:val="22"/>
                <w:szCs w:val="28"/>
              </w:rPr>
            </w:pPr>
            <w:r>
              <w:rPr>
                <w:rFonts w:ascii="Arial" w:hAnsi="Arial" w:cs="Arial"/>
                <w:sz w:val="22"/>
                <w:szCs w:val="28"/>
              </w:rPr>
              <w:t xml:space="preserve">Thank you for your comment. The proposed indicators focus on patients on the CKD register. The indicator advisory committee considered including stages G1 and G2 where relevant but noted that coding is uncertain and commented on the potential for large workload. </w:t>
            </w:r>
            <w:r w:rsidR="00012CC3">
              <w:rPr>
                <w:rFonts w:ascii="Arial" w:hAnsi="Arial" w:cs="Arial"/>
                <w:sz w:val="22"/>
                <w:szCs w:val="28"/>
              </w:rPr>
              <w:t xml:space="preserve"> </w:t>
            </w:r>
            <w:r w:rsidR="00012CC3" w:rsidRPr="00012CC3">
              <w:rPr>
                <w:rFonts w:ascii="Arial" w:hAnsi="Arial" w:cs="Arial"/>
                <w:color w:val="000000"/>
                <w:sz w:val="22"/>
                <w:szCs w:val="22"/>
                <w:lang w:eastAsia="en-GB"/>
              </w:rPr>
              <w:t>NICE will explore</w:t>
            </w:r>
            <w:r w:rsidR="00012CC3">
              <w:rPr>
                <w:rFonts w:ascii="Arial" w:hAnsi="Arial" w:cs="Arial"/>
                <w:color w:val="000000"/>
                <w:sz w:val="22"/>
                <w:szCs w:val="22"/>
                <w:lang w:eastAsia="en-GB"/>
              </w:rPr>
              <w:t xml:space="preserve"> development of an</w:t>
            </w:r>
            <w:r w:rsidR="00012CC3" w:rsidRPr="00012CC3">
              <w:rPr>
                <w:rFonts w:ascii="Arial" w:hAnsi="Arial" w:cs="Arial"/>
                <w:color w:val="000000"/>
                <w:sz w:val="22"/>
                <w:szCs w:val="22"/>
                <w:lang w:eastAsia="en-GB"/>
              </w:rPr>
              <w:t xml:space="preserve"> indicator on </w:t>
            </w:r>
            <w:r w:rsidR="00012CC3">
              <w:rPr>
                <w:rFonts w:ascii="Arial" w:hAnsi="Arial" w:cs="Arial"/>
                <w:color w:val="000000"/>
                <w:sz w:val="22"/>
                <w:szCs w:val="22"/>
                <w:lang w:eastAsia="en-GB"/>
              </w:rPr>
              <w:t>SLGT2 inhibitors in CKD</w:t>
            </w:r>
            <w:r w:rsidR="00012CC3" w:rsidRPr="00012CC3">
              <w:rPr>
                <w:rFonts w:ascii="Arial" w:hAnsi="Arial" w:cs="Arial"/>
                <w:color w:val="000000"/>
                <w:sz w:val="22"/>
                <w:szCs w:val="22"/>
                <w:lang w:eastAsia="en-GB"/>
              </w:rPr>
              <w:t xml:space="preserve"> in the next cycle of the work programme.</w:t>
            </w:r>
          </w:p>
        </w:tc>
      </w:tr>
      <w:tr w:rsidR="008D0EA5" w:rsidRPr="00215444" w14:paraId="7329BE32" w14:textId="33B31E3D" w:rsidTr="000528DF">
        <w:tc>
          <w:tcPr>
            <w:tcW w:w="177" w:type="pct"/>
          </w:tcPr>
          <w:p w14:paraId="241837FD" w14:textId="5355445D" w:rsidR="008D0EA5" w:rsidRPr="00A94A2F" w:rsidRDefault="008D0EA5" w:rsidP="005B2876">
            <w:pPr>
              <w:rPr>
                <w:rFonts w:ascii="Arial" w:hAnsi="Arial" w:cs="Arial"/>
                <w:color w:val="000000"/>
                <w:sz w:val="22"/>
                <w:szCs w:val="22"/>
                <w:lang w:eastAsia="en-GB"/>
              </w:rPr>
            </w:pPr>
            <w:r>
              <w:rPr>
                <w:rFonts w:ascii="Arial" w:hAnsi="Arial" w:cs="Arial"/>
                <w:color w:val="000000"/>
                <w:sz w:val="22"/>
                <w:szCs w:val="22"/>
                <w:lang w:eastAsia="en-GB"/>
              </w:rPr>
              <w:t>3</w:t>
            </w:r>
            <w:r w:rsidR="000444C3">
              <w:rPr>
                <w:rFonts w:ascii="Arial" w:hAnsi="Arial" w:cs="Arial"/>
                <w:color w:val="000000"/>
                <w:sz w:val="22"/>
                <w:szCs w:val="22"/>
                <w:lang w:eastAsia="en-GB"/>
              </w:rPr>
              <w:t>3</w:t>
            </w:r>
          </w:p>
        </w:tc>
        <w:tc>
          <w:tcPr>
            <w:tcW w:w="428" w:type="pct"/>
          </w:tcPr>
          <w:p w14:paraId="5028AA5E" w14:textId="4BB07AC4"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IND2021-120</w:t>
            </w:r>
          </w:p>
        </w:tc>
        <w:tc>
          <w:tcPr>
            <w:tcW w:w="1024" w:type="pct"/>
          </w:tcPr>
          <w:p w14:paraId="431CC099" w14:textId="45CC1FFA"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UKKA</w:t>
            </w:r>
          </w:p>
        </w:tc>
        <w:tc>
          <w:tcPr>
            <w:tcW w:w="2147" w:type="pct"/>
            <w:vAlign w:val="center"/>
          </w:tcPr>
          <w:p w14:paraId="15C800E9" w14:textId="3520D000" w:rsidR="008D0EA5" w:rsidRPr="00E344DA" w:rsidRDefault="008D0EA5" w:rsidP="005B2876">
            <w:pPr>
              <w:rPr>
                <w:rFonts w:ascii="Arial" w:hAnsi="Arial" w:cs="Arial"/>
                <w:sz w:val="22"/>
                <w:szCs w:val="28"/>
              </w:rPr>
            </w:pPr>
            <w:r w:rsidRPr="00E344DA">
              <w:rPr>
                <w:rFonts w:ascii="Arial" w:hAnsi="Arial" w:cs="Arial"/>
                <w:sz w:val="22"/>
                <w:szCs w:val="28"/>
              </w:rPr>
              <w:t>The repeat test at 90 days should be re-evaluated as this may miss progressive disease. We would suggest measurement within 30 days to confirm CKD, to allow timely management of CKD and initiation of therapies that can delay progression. This would allow 3 measurements to be taken and allow the estimation of slope creatinine and identify those patients with rapid progression with a greater than 3 ml/min annual fall in eGFR.</w:t>
            </w:r>
          </w:p>
          <w:p w14:paraId="34D7997A" w14:textId="77777777" w:rsidR="008D0EA5" w:rsidRPr="00E344DA" w:rsidRDefault="008D0EA5" w:rsidP="005B2876">
            <w:pPr>
              <w:rPr>
                <w:rFonts w:ascii="Arial" w:hAnsi="Arial" w:cs="Arial"/>
                <w:sz w:val="22"/>
                <w:szCs w:val="28"/>
              </w:rPr>
            </w:pPr>
          </w:p>
          <w:p w14:paraId="4E27A4F4" w14:textId="77777777" w:rsidR="008D0EA5" w:rsidRPr="00E344DA" w:rsidRDefault="008D0EA5" w:rsidP="005B2876">
            <w:pPr>
              <w:rPr>
                <w:rFonts w:ascii="Arial" w:hAnsi="Arial" w:cs="Arial"/>
                <w:sz w:val="22"/>
                <w:szCs w:val="28"/>
              </w:rPr>
            </w:pPr>
            <w:r w:rsidRPr="00E344DA">
              <w:rPr>
                <w:rFonts w:ascii="Arial" w:hAnsi="Arial" w:cs="Arial"/>
                <w:sz w:val="22"/>
                <w:szCs w:val="28"/>
              </w:rPr>
              <w:lastRenderedPageBreak/>
              <w:t xml:space="preserve">In 2018 the National Kidney Foundation, United States Food and Drug Administration, and European Medicines Agency evaluated the evidence for rate of change in GFR (i.e., GFR slope) as an alternative endpoint for kidney disease progression and several recent studies and a meta-analysis have assessed CKD disease risk using kidney function loss reflected by the rate of decline of eGFR (slope eGFR).  These studies have confirmed the potential changes in eGFR slope as a surrogate means of assessing the potential kidney protection by medications. Inker et al using a Bayesian individual patient meta-analysis of 47 studies including 60,620 participants found that treatment effects on GFR slope from baseline to end strongly predicted benefits on clinical outcomes. </w:t>
            </w:r>
          </w:p>
          <w:p w14:paraId="61EFF0FE" w14:textId="77777777" w:rsidR="008D0EA5" w:rsidRPr="00E344DA" w:rsidRDefault="008D0EA5" w:rsidP="005B2876">
            <w:pPr>
              <w:rPr>
                <w:rFonts w:ascii="Arial" w:hAnsi="Arial" w:cs="Arial"/>
                <w:sz w:val="22"/>
                <w:szCs w:val="28"/>
              </w:rPr>
            </w:pPr>
          </w:p>
          <w:p w14:paraId="4CFD1DA2" w14:textId="77777777" w:rsidR="008D0EA5" w:rsidRPr="00E344DA" w:rsidRDefault="008D0EA5" w:rsidP="005B2876">
            <w:pPr>
              <w:rPr>
                <w:rFonts w:ascii="Arial" w:hAnsi="Arial" w:cs="Arial"/>
                <w:sz w:val="22"/>
                <w:szCs w:val="28"/>
              </w:rPr>
            </w:pPr>
            <w:r w:rsidRPr="00E344DA">
              <w:rPr>
                <w:rFonts w:ascii="Arial" w:hAnsi="Arial" w:cs="Arial"/>
                <w:sz w:val="22"/>
                <w:szCs w:val="28"/>
              </w:rPr>
              <w:t>Levy AS, Gansevoort RT, Coresh J, Inker LA, Heerspink HL, Grams ME, et al: Change in albuminuria and GFR as end points for clinical trials in early stages of CKD: A scientific workshop sponsored by the National Kidney Foundation in collaboration with the US Food and Drug Administration and European Medicines Agency. Am J Kidney Dis 75: 84–104, 2020.</w:t>
            </w:r>
          </w:p>
          <w:p w14:paraId="2566B621" w14:textId="77777777" w:rsidR="008D0EA5" w:rsidRPr="00E344DA" w:rsidRDefault="008D0EA5" w:rsidP="005B2876">
            <w:pPr>
              <w:rPr>
                <w:rFonts w:ascii="Arial" w:hAnsi="Arial" w:cs="Arial"/>
                <w:sz w:val="22"/>
                <w:szCs w:val="28"/>
              </w:rPr>
            </w:pPr>
            <w:r w:rsidRPr="00E344DA">
              <w:rPr>
                <w:rFonts w:ascii="Arial" w:hAnsi="Arial" w:cs="Arial"/>
                <w:sz w:val="22"/>
                <w:szCs w:val="28"/>
              </w:rPr>
              <w:t>Inker LA, Heerspink HJL, Tighioart H, Levey AS, Coresh J, Gansevoort RT et al. GFR Slop as a surrogate end point for kidney disease progression inn clinical trials: A meta-analysis of treatment effects of Randomised controlled trials. J Am Soc Nephrol 2019: 30, 1735-1745</w:t>
            </w:r>
          </w:p>
          <w:p w14:paraId="7065E780" w14:textId="77777777" w:rsidR="008D0EA5" w:rsidRPr="00E344DA" w:rsidRDefault="008D0EA5" w:rsidP="005B2876">
            <w:pPr>
              <w:rPr>
                <w:rFonts w:ascii="Arial" w:hAnsi="Arial" w:cs="Arial"/>
                <w:sz w:val="22"/>
                <w:szCs w:val="28"/>
              </w:rPr>
            </w:pPr>
            <w:r w:rsidRPr="00E344DA">
              <w:rPr>
                <w:rFonts w:ascii="Arial" w:hAnsi="Arial" w:cs="Arial"/>
                <w:sz w:val="22"/>
                <w:szCs w:val="28"/>
              </w:rPr>
              <w:t xml:space="preserve">Greene T, Ying Y, Vanesh EF, Tighioart H, Levey AS, Coresh J et al. Performance of eGFR slope as a surrogate endpoint for kidney disease progression in a clinical trial: A </w:t>
            </w:r>
            <w:r w:rsidRPr="00E344DA">
              <w:rPr>
                <w:rFonts w:ascii="Arial" w:hAnsi="Arial" w:cs="Arial"/>
                <w:sz w:val="22"/>
                <w:szCs w:val="28"/>
              </w:rPr>
              <w:lastRenderedPageBreak/>
              <w:t>statistical simulation. J Am Soc Nephrol 2019: 30, 1756-1769.</w:t>
            </w:r>
          </w:p>
          <w:p w14:paraId="106F1FB3" w14:textId="673A5150" w:rsidR="008D0EA5" w:rsidRPr="00E344DA" w:rsidRDefault="008D0EA5" w:rsidP="005B2876">
            <w:pPr>
              <w:rPr>
                <w:rFonts w:ascii="Arial" w:hAnsi="Arial" w:cs="Arial"/>
                <w:sz w:val="22"/>
                <w:szCs w:val="28"/>
              </w:rPr>
            </w:pPr>
            <w:r w:rsidRPr="00E344DA">
              <w:rPr>
                <w:rFonts w:ascii="Arial" w:hAnsi="Arial" w:cs="Arial"/>
                <w:sz w:val="22"/>
                <w:szCs w:val="28"/>
              </w:rPr>
              <w:t xml:space="preserve">Important and reflects the previous QOF requirement. I would strongly endorse this indicator. </w:t>
            </w:r>
          </w:p>
          <w:p w14:paraId="41158F5D" w14:textId="434E68C4" w:rsidR="008D0EA5" w:rsidRPr="00E344DA" w:rsidRDefault="008D0EA5" w:rsidP="005B2876">
            <w:pPr>
              <w:rPr>
                <w:rFonts w:ascii="Arial" w:hAnsi="Arial" w:cs="Arial"/>
                <w:sz w:val="22"/>
                <w:szCs w:val="28"/>
              </w:rPr>
            </w:pPr>
            <w:r w:rsidRPr="00E344DA">
              <w:rPr>
                <w:rFonts w:ascii="Arial" w:hAnsi="Arial" w:cs="Arial"/>
                <w:sz w:val="22"/>
                <w:szCs w:val="28"/>
              </w:rPr>
              <w:t>The timeframe is appropriate. As ACR testing will be done on all patients with a new diagnosis the answer to this question is the same as that for eGFR.</w:t>
            </w:r>
          </w:p>
        </w:tc>
        <w:tc>
          <w:tcPr>
            <w:tcW w:w="1224" w:type="pct"/>
          </w:tcPr>
          <w:p w14:paraId="799BDA1B" w14:textId="74BE9B2F" w:rsidR="008D0EA5" w:rsidRPr="00E344DA" w:rsidRDefault="00DB2921" w:rsidP="005B2876">
            <w:pPr>
              <w:rPr>
                <w:rFonts w:ascii="Arial" w:hAnsi="Arial" w:cs="Arial"/>
                <w:sz w:val="22"/>
                <w:szCs w:val="28"/>
              </w:rPr>
            </w:pPr>
            <w:r>
              <w:rPr>
                <w:rFonts w:ascii="Arial" w:hAnsi="Arial" w:cs="Arial"/>
                <w:sz w:val="22"/>
                <w:szCs w:val="28"/>
              </w:rPr>
              <w:lastRenderedPageBreak/>
              <w:t xml:space="preserve">Thank you for your comment. The indicator is based NICE’s guideline for chronic kidney disease. </w:t>
            </w:r>
          </w:p>
        </w:tc>
      </w:tr>
    </w:tbl>
    <w:p w14:paraId="3A986FC9" w14:textId="62C0DB98" w:rsidR="00212C54" w:rsidRDefault="009F5C6B" w:rsidP="00982090">
      <w:pPr>
        <w:pStyle w:val="Paragraph"/>
      </w:pPr>
      <w:r w:rsidRPr="009F5C6B">
        <w:lastRenderedPageBreak/>
        <w:t>Question 11: We propose a timeframe of measurement 90 days before or after diagnosis. This is to align with other indicators on the NICE menu. Is this an appropriate and feasible timeframe for measurement before or after diagnosis?</w:t>
      </w:r>
    </w:p>
    <w:tbl>
      <w:tblPr>
        <w:tblStyle w:val="TableGrid"/>
        <w:tblW w:w="5000" w:type="pct"/>
        <w:tblLook w:val="04A0" w:firstRow="1" w:lastRow="0" w:firstColumn="1" w:lastColumn="0" w:noHBand="0" w:noVBand="1"/>
      </w:tblPr>
      <w:tblGrid>
        <w:gridCol w:w="494"/>
        <w:gridCol w:w="1194"/>
        <w:gridCol w:w="2857"/>
        <w:gridCol w:w="5990"/>
        <w:gridCol w:w="3415"/>
      </w:tblGrid>
      <w:tr w:rsidR="009F5C6B" w:rsidRPr="00215444" w14:paraId="3F579589" w14:textId="77777777" w:rsidTr="00342C38">
        <w:trPr>
          <w:tblHeader/>
        </w:trPr>
        <w:tc>
          <w:tcPr>
            <w:tcW w:w="177" w:type="pct"/>
            <w:noWrap/>
            <w:hideMark/>
          </w:tcPr>
          <w:p w14:paraId="7CB2F989" w14:textId="77777777" w:rsidR="009F5C6B" w:rsidRPr="00215444" w:rsidRDefault="009F5C6B" w:rsidP="00342C38">
            <w:pPr>
              <w:pStyle w:val="NICEnormal"/>
              <w:spacing w:line="240" w:lineRule="auto"/>
              <w:rPr>
                <w:rFonts w:cs="Arial"/>
                <w:b/>
                <w:sz w:val="22"/>
                <w:szCs w:val="22"/>
              </w:rPr>
            </w:pPr>
            <w:r>
              <w:rPr>
                <w:rFonts w:cs="Arial"/>
                <w:b/>
                <w:sz w:val="22"/>
                <w:szCs w:val="22"/>
              </w:rPr>
              <w:t>ID</w:t>
            </w:r>
          </w:p>
        </w:tc>
        <w:tc>
          <w:tcPr>
            <w:tcW w:w="428" w:type="pct"/>
          </w:tcPr>
          <w:p w14:paraId="791BFD32" w14:textId="77777777" w:rsidR="009F5C6B" w:rsidRPr="00215444" w:rsidRDefault="009F5C6B"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41CD4DE4" w14:textId="77777777" w:rsidR="009F5C6B" w:rsidRPr="00215444" w:rsidRDefault="009F5C6B"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7C31FEDD" w14:textId="77777777" w:rsidR="009F5C6B" w:rsidRPr="00215444" w:rsidRDefault="009F5C6B"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250B58BA" w14:textId="77777777" w:rsidR="009F5C6B" w:rsidRPr="00215444" w:rsidRDefault="009F5C6B" w:rsidP="00342C38">
            <w:pPr>
              <w:pStyle w:val="NICEnormal"/>
              <w:spacing w:line="240" w:lineRule="auto"/>
              <w:rPr>
                <w:rFonts w:cs="Arial"/>
                <w:b/>
                <w:sz w:val="22"/>
                <w:szCs w:val="22"/>
              </w:rPr>
            </w:pPr>
            <w:r>
              <w:rPr>
                <w:rFonts w:cs="Arial"/>
                <w:b/>
                <w:sz w:val="22"/>
                <w:szCs w:val="22"/>
              </w:rPr>
              <w:t>NICE response</w:t>
            </w:r>
          </w:p>
        </w:tc>
      </w:tr>
      <w:tr w:rsidR="008D0EA5" w:rsidRPr="00215444" w14:paraId="06BC5A22" w14:textId="390514A7" w:rsidTr="000528DF">
        <w:tc>
          <w:tcPr>
            <w:tcW w:w="177" w:type="pct"/>
          </w:tcPr>
          <w:p w14:paraId="271909E0" w14:textId="0C3AE506" w:rsidR="008D0EA5" w:rsidRPr="00EE065C" w:rsidRDefault="008D0EA5" w:rsidP="005B2876">
            <w:pPr>
              <w:rPr>
                <w:rFonts w:ascii="Arial" w:hAnsi="Arial" w:cs="Arial"/>
                <w:color w:val="000000"/>
                <w:sz w:val="22"/>
                <w:szCs w:val="22"/>
                <w:highlight w:val="cyan"/>
                <w:lang w:eastAsia="en-GB"/>
              </w:rPr>
            </w:pPr>
            <w:r w:rsidRPr="008112BE">
              <w:rPr>
                <w:rFonts w:ascii="Arial" w:hAnsi="Arial" w:cs="Arial"/>
                <w:color w:val="000000"/>
                <w:sz w:val="22"/>
                <w:szCs w:val="22"/>
                <w:lang w:eastAsia="en-GB"/>
              </w:rPr>
              <w:t>3</w:t>
            </w:r>
            <w:r w:rsidR="000444C3">
              <w:rPr>
                <w:rFonts w:ascii="Arial" w:hAnsi="Arial" w:cs="Arial"/>
                <w:color w:val="000000"/>
                <w:sz w:val="22"/>
                <w:szCs w:val="22"/>
                <w:lang w:eastAsia="en-GB"/>
              </w:rPr>
              <w:t>4</w:t>
            </w:r>
          </w:p>
        </w:tc>
        <w:tc>
          <w:tcPr>
            <w:tcW w:w="428" w:type="pct"/>
          </w:tcPr>
          <w:p w14:paraId="069CAC52" w14:textId="61F659FB" w:rsidR="008D0EA5" w:rsidRPr="00A94A2F" w:rsidRDefault="008D0EA5" w:rsidP="005B2876">
            <w:pPr>
              <w:rPr>
                <w:rFonts w:ascii="Arial" w:hAnsi="Arial" w:cs="Arial"/>
                <w:color w:val="000000"/>
                <w:sz w:val="22"/>
                <w:szCs w:val="22"/>
                <w:lang w:eastAsia="en-GB"/>
              </w:rPr>
            </w:pPr>
            <w:r w:rsidRPr="00A94A2F">
              <w:rPr>
                <w:rFonts w:ascii="Arial" w:hAnsi="Arial" w:cs="Arial"/>
                <w:color w:val="000000"/>
                <w:sz w:val="22"/>
                <w:szCs w:val="22"/>
                <w:lang w:eastAsia="en-GB"/>
              </w:rPr>
              <w:t>11</w:t>
            </w:r>
          </w:p>
        </w:tc>
        <w:tc>
          <w:tcPr>
            <w:tcW w:w="1024" w:type="pct"/>
          </w:tcPr>
          <w:p w14:paraId="438B8661" w14:textId="2A1D4350" w:rsidR="008D0EA5" w:rsidRPr="00A94A2F" w:rsidRDefault="008D0EA5" w:rsidP="005B2876">
            <w:pPr>
              <w:rPr>
                <w:rFonts w:ascii="Arial" w:hAnsi="Arial" w:cs="Arial"/>
                <w:color w:val="000000"/>
                <w:sz w:val="22"/>
                <w:szCs w:val="22"/>
                <w:lang w:eastAsia="en-GB"/>
              </w:rPr>
            </w:pPr>
            <w:r w:rsidRPr="00A94A2F">
              <w:rPr>
                <w:rFonts w:ascii="Arial" w:hAnsi="Arial" w:cs="Arial"/>
                <w:color w:val="000000"/>
                <w:sz w:val="22"/>
                <w:szCs w:val="22"/>
                <w:lang w:eastAsia="en-GB"/>
              </w:rPr>
              <w:t>RCGP</w:t>
            </w:r>
          </w:p>
        </w:tc>
        <w:tc>
          <w:tcPr>
            <w:tcW w:w="2147" w:type="pct"/>
          </w:tcPr>
          <w:p w14:paraId="5AAF00BE" w14:textId="691D9145" w:rsidR="008D0EA5" w:rsidRPr="00EE065C" w:rsidRDefault="008D0EA5" w:rsidP="005B2876">
            <w:pPr>
              <w:rPr>
                <w:rFonts w:ascii="Arial" w:hAnsi="Arial" w:cs="Arial"/>
                <w:color w:val="000000"/>
                <w:sz w:val="22"/>
                <w:szCs w:val="22"/>
                <w:highlight w:val="cyan"/>
                <w:lang w:eastAsia="en-GB"/>
              </w:rPr>
            </w:pPr>
            <w:r w:rsidRPr="00A94A2F">
              <w:rPr>
                <w:rFonts w:ascii="Arial" w:hAnsi="Arial" w:cs="Arial"/>
                <w:color w:val="000000"/>
                <w:sz w:val="22"/>
                <w:szCs w:val="22"/>
                <w:lang w:eastAsia="en-GB"/>
              </w:rPr>
              <w:t>Q11. In view of the delay to achieving blood tests that are none urgent, the longer the period to process non urgent investigations the better it is at the current time. 90 days we feel is achievable</w:t>
            </w:r>
          </w:p>
        </w:tc>
        <w:tc>
          <w:tcPr>
            <w:tcW w:w="1224" w:type="pct"/>
          </w:tcPr>
          <w:p w14:paraId="12F619A5" w14:textId="4F543D34" w:rsidR="008D0EA5" w:rsidRPr="00A94A2F" w:rsidRDefault="00DB2921" w:rsidP="005B2876">
            <w:pPr>
              <w:rPr>
                <w:rFonts w:ascii="Arial" w:hAnsi="Arial" w:cs="Arial"/>
                <w:color w:val="000000"/>
                <w:sz w:val="22"/>
                <w:szCs w:val="22"/>
                <w:lang w:eastAsia="en-GB"/>
              </w:rPr>
            </w:pPr>
            <w:r>
              <w:rPr>
                <w:rFonts w:ascii="Arial" w:hAnsi="Arial" w:cs="Arial"/>
                <w:sz w:val="22"/>
                <w:szCs w:val="28"/>
              </w:rPr>
              <w:t>Thank you for your comment.</w:t>
            </w:r>
          </w:p>
        </w:tc>
      </w:tr>
    </w:tbl>
    <w:p w14:paraId="64495560" w14:textId="399F1E4B" w:rsidR="00212C54" w:rsidRDefault="009F5C6B" w:rsidP="00982090">
      <w:pPr>
        <w:pStyle w:val="Paragraph"/>
      </w:pPr>
      <w:r w:rsidRPr="009F5C6B">
        <w:t>Question 12: NICE is attempting to quantify the denominator size for this indicator as there should be more than 20 patients per average practice for an indicator to be suitable for use in the QOF. Are you aware of any data that would assist us in estimating the number of patients at practice level?</w:t>
      </w:r>
    </w:p>
    <w:tbl>
      <w:tblPr>
        <w:tblStyle w:val="TableGrid"/>
        <w:tblW w:w="5000" w:type="pct"/>
        <w:tblLook w:val="04A0" w:firstRow="1" w:lastRow="0" w:firstColumn="1" w:lastColumn="0" w:noHBand="0" w:noVBand="1"/>
      </w:tblPr>
      <w:tblGrid>
        <w:gridCol w:w="494"/>
        <w:gridCol w:w="1194"/>
        <w:gridCol w:w="2857"/>
        <w:gridCol w:w="5990"/>
        <w:gridCol w:w="3415"/>
      </w:tblGrid>
      <w:tr w:rsidR="009F5C6B" w:rsidRPr="00215444" w14:paraId="4BDD2AC5" w14:textId="77777777" w:rsidTr="00342C38">
        <w:trPr>
          <w:tblHeader/>
        </w:trPr>
        <w:tc>
          <w:tcPr>
            <w:tcW w:w="177" w:type="pct"/>
            <w:noWrap/>
            <w:hideMark/>
          </w:tcPr>
          <w:p w14:paraId="42AD40DA" w14:textId="77777777" w:rsidR="009F5C6B" w:rsidRPr="00215444" w:rsidRDefault="009F5C6B" w:rsidP="00342C38">
            <w:pPr>
              <w:pStyle w:val="NICEnormal"/>
              <w:spacing w:line="240" w:lineRule="auto"/>
              <w:rPr>
                <w:rFonts w:cs="Arial"/>
                <w:b/>
                <w:sz w:val="22"/>
                <w:szCs w:val="22"/>
              </w:rPr>
            </w:pPr>
            <w:r>
              <w:rPr>
                <w:rFonts w:cs="Arial"/>
                <w:b/>
                <w:sz w:val="22"/>
                <w:szCs w:val="22"/>
              </w:rPr>
              <w:t>ID</w:t>
            </w:r>
          </w:p>
        </w:tc>
        <w:tc>
          <w:tcPr>
            <w:tcW w:w="428" w:type="pct"/>
          </w:tcPr>
          <w:p w14:paraId="0B9DB5C1" w14:textId="77777777" w:rsidR="009F5C6B" w:rsidRPr="00215444" w:rsidRDefault="009F5C6B"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3C525653" w14:textId="77777777" w:rsidR="009F5C6B" w:rsidRPr="00215444" w:rsidRDefault="009F5C6B"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3DC6843F" w14:textId="77777777" w:rsidR="009F5C6B" w:rsidRPr="00215444" w:rsidRDefault="009F5C6B"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03CC336A" w14:textId="77777777" w:rsidR="009F5C6B" w:rsidRPr="00215444" w:rsidRDefault="009F5C6B" w:rsidP="00342C38">
            <w:pPr>
              <w:pStyle w:val="NICEnormal"/>
              <w:spacing w:line="240" w:lineRule="auto"/>
              <w:rPr>
                <w:rFonts w:cs="Arial"/>
                <w:b/>
                <w:sz w:val="22"/>
                <w:szCs w:val="22"/>
              </w:rPr>
            </w:pPr>
            <w:r>
              <w:rPr>
                <w:rFonts w:cs="Arial"/>
                <w:b/>
                <w:sz w:val="22"/>
                <w:szCs w:val="22"/>
              </w:rPr>
              <w:t>NICE response</w:t>
            </w:r>
          </w:p>
        </w:tc>
      </w:tr>
      <w:tr w:rsidR="008D0EA5" w:rsidRPr="00215444" w14:paraId="2349D76B" w14:textId="526E14BD" w:rsidTr="000528DF">
        <w:tc>
          <w:tcPr>
            <w:tcW w:w="177" w:type="pct"/>
          </w:tcPr>
          <w:p w14:paraId="0BD5A289" w14:textId="636EE876" w:rsidR="008D0EA5" w:rsidRPr="00EE065C" w:rsidRDefault="008D0EA5" w:rsidP="005B2876">
            <w:pPr>
              <w:rPr>
                <w:rFonts w:ascii="Arial" w:hAnsi="Arial" w:cs="Arial"/>
                <w:color w:val="000000"/>
                <w:sz w:val="22"/>
                <w:szCs w:val="22"/>
                <w:highlight w:val="cyan"/>
                <w:lang w:eastAsia="en-GB"/>
              </w:rPr>
            </w:pPr>
            <w:r w:rsidRPr="008112BE">
              <w:rPr>
                <w:rFonts w:ascii="Arial" w:hAnsi="Arial" w:cs="Arial"/>
                <w:color w:val="000000"/>
                <w:sz w:val="22"/>
                <w:szCs w:val="22"/>
                <w:lang w:eastAsia="en-GB"/>
              </w:rPr>
              <w:t>3</w:t>
            </w:r>
            <w:r w:rsidR="000444C3">
              <w:rPr>
                <w:rFonts w:ascii="Arial" w:hAnsi="Arial" w:cs="Arial"/>
                <w:color w:val="000000"/>
                <w:sz w:val="22"/>
                <w:szCs w:val="22"/>
                <w:lang w:eastAsia="en-GB"/>
              </w:rPr>
              <w:t>5</w:t>
            </w:r>
          </w:p>
        </w:tc>
        <w:tc>
          <w:tcPr>
            <w:tcW w:w="428" w:type="pct"/>
          </w:tcPr>
          <w:p w14:paraId="1DC92A87" w14:textId="72A614EB" w:rsidR="008D0EA5" w:rsidRPr="00A94A2F" w:rsidRDefault="008D0EA5" w:rsidP="005B2876">
            <w:pPr>
              <w:rPr>
                <w:rFonts w:ascii="Arial" w:hAnsi="Arial" w:cs="Arial"/>
                <w:color w:val="000000"/>
                <w:sz w:val="22"/>
                <w:szCs w:val="22"/>
                <w:lang w:eastAsia="en-GB"/>
              </w:rPr>
            </w:pPr>
            <w:r w:rsidRPr="00A94A2F">
              <w:rPr>
                <w:rFonts w:ascii="Arial" w:hAnsi="Arial" w:cs="Arial"/>
                <w:color w:val="000000"/>
                <w:sz w:val="22"/>
                <w:szCs w:val="22"/>
                <w:lang w:eastAsia="en-GB"/>
              </w:rPr>
              <w:t>12</w:t>
            </w:r>
          </w:p>
        </w:tc>
        <w:tc>
          <w:tcPr>
            <w:tcW w:w="1024" w:type="pct"/>
          </w:tcPr>
          <w:p w14:paraId="49713ED4" w14:textId="0481892A" w:rsidR="008D0EA5" w:rsidRPr="00A94A2F" w:rsidRDefault="008D0EA5" w:rsidP="005B2876">
            <w:pPr>
              <w:rPr>
                <w:rFonts w:ascii="Arial" w:hAnsi="Arial" w:cs="Arial"/>
                <w:color w:val="000000"/>
                <w:sz w:val="22"/>
                <w:szCs w:val="22"/>
                <w:lang w:eastAsia="en-GB"/>
              </w:rPr>
            </w:pPr>
            <w:r w:rsidRPr="00A94A2F">
              <w:rPr>
                <w:rFonts w:ascii="Arial" w:hAnsi="Arial" w:cs="Arial"/>
                <w:color w:val="000000"/>
                <w:sz w:val="22"/>
                <w:szCs w:val="22"/>
                <w:lang w:eastAsia="en-GB"/>
              </w:rPr>
              <w:t>RCGP</w:t>
            </w:r>
          </w:p>
        </w:tc>
        <w:tc>
          <w:tcPr>
            <w:tcW w:w="2147" w:type="pct"/>
          </w:tcPr>
          <w:p w14:paraId="1884374A" w14:textId="77F9241A" w:rsidR="008D0EA5" w:rsidRPr="00EE065C" w:rsidRDefault="008D0EA5" w:rsidP="005B2876">
            <w:pPr>
              <w:rPr>
                <w:rFonts w:ascii="Arial" w:hAnsi="Arial" w:cs="Arial"/>
                <w:color w:val="000000"/>
                <w:sz w:val="22"/>
                <w:szCs w:val="22"/>
                <w:highlight w:val="cyan"/>
                <w:lang w:eastAsia="en-GB"/>
              </w:rPr>
            </w:pPr>
            <w:r w:rsidRPr="00A94A2F">
              <w:rPr>
                <w:rFonts w:ascii="Arial" w:hAnsi="Arial" w:cs="Arial"/>
                <w:color w:val="000000"/>
                <w:sz w:val="22"/>
                <w:szCs w:val="22"/>
                <w:lang w:eastAsia="en-GB"/>
              </w:rPr>
              <w:t xml:space="preserve">Q12. We would expect the number of new cases, especially in well run practices to be extremely small. The </w:t>
            </w:r>
            <w:r w:rsidRPr="00A94A2F">
              <w:rPr>
                <w:rFonts w:ascii="Arial" w:hAnsi="Arial" w:cs="Arial"/>
                <w:color w:val="000000"/>
                <w:sz w:val="22"/>
                <w:szCs w:val="22"/>
                <w:lang w:eastAsia="en-GB"/>
              </w:rPr>
              <w:lastRenderedPageBreak/>
              <w:t>OxRENS study might help provide an estimate of new cases per year.</w:t>
            </w:r>
          </w:p>
        </w:tc>
        <w:tc>
          <w:tcPr>
            <w:tcW w:w="1224" w:type="pct"/>
          </w:tcPr>
          <w:p w14:paraId="641E6E53" w14:textId="6DBCD9B7" w:rsidR="008D0EA5" w:rsidRPr="00A94A2F" w:rsidRDefault="00DB2921" w:rsidP="005B2876">
            <w:pPr>
              <w:rPr>
                <w:rFonts w:ascii="Arial" w:hAnsi="Arial" w:cs="Arial"/>
                <w:color w:val="000000"/>
                <w:sz w:val="22"/>
                <w:szCs w:val="22"/>
                <w:lang w:eastAsia="en-GB"/>
              </w:rPr>
            </w:pPr>
            <w:r>
              <w:rPr>
                <w:rFonts w:ascii="Arial" w:hAnsi="Arial" w:cs="Arial"/>
                <w:sz w:val="22"/>
                <w:szCs w:val="28"/>
              </w:rPr>
              <w:lastRenderedPageBreak/>
              <w:t>Thank you for your comment.</w:t>
            </w:r>
          </w:p>
        </w:tc>
      </w:tr>
    </w:tbl>
    <w:p w14:paraId="00EDB7EB" w14:textId="6E6D1ECE" w:rsidR="00212C54" w:rsidRDefault="009F5C6B" w:rsidP="00982090">
      <w:pPr>
        <w:pStyle w:val="Paragraph"/>
      </w:pPr>
      <w:r>
        <w:t xml:space="preserve">IND2021-121 General comments </w:t>
      </w:r>
    </w:p>
    <w:tbl>
      <w:tblPr>
        <w:tblStyle w:val="TableGrid"/>
        <w:tblW w:w="5000" w:type="pct"/>
        <w:tblLook w:val="04A0" w:firstRow="1" w:lastRow="0" w:firstColumn="1" w:lastColumn="0" w:noHBand="0" w:noVBand="1"/>
      </w:tblPr>
      <w:tblGrid>
        <w:gridCol w:w="494"/>
        <w:gridCol w:w="1194"/>
        <w:gridCol w:w="2857"/>
        <w:gridCol w:w="5990"/>
        <w:gridCol w:w="3415"/>
      </w:tblGrid>
      <w:tr w:rsidR="009F5C6B" w:rsidRPr="00215444" w14:paraId="76B449C7" w14:textId="77777777" w:rsidTr="00342C38">
        <w:trPr>
          <w:tblHeader/>
        </w:trPr>
        <w:tc>
          <w:tcPr>
            <w:tcW w:w="177" w:type="pct"/>
            <w:noWrap/>
            <w:hideMark/>
          </w:tcPr>
          <w:p w14:paraId="47845A77" w14:textId="77777777" w:rsidR="009F5C6B" w:rsidRPr="00215444" w:rsidRDefault="009F5C6B" w:rsidP="00342C38">
            <w:pPr>
              <w:pStyle w:val="NICEnormal"/>
              <w:spacing w:line="240" w:lineRule="auto"/>
              <w:rPr>
                <w:rFonts w:cs="Arial"/>
                <w:b/>
                <w:sz w:val="22"/>
                <w:szCs w:val="22"/>
              </w:rPr>
            </w:pPr>
            <w:r>
              <w:rPr>
                <w:rFonts w:cs="Arial"/>
                <w:b/>
                <w:sz w:val="22"/>
                <w:szCs w:val="22"/>
              </w:rPr>
              <w:t>ID</w:t>
            </w:r>
          </w:p>
        </w:tc>
        <w:tc>
          <w:tcPr>
            <w:tcW w:w="428" w:type="pct"/>
          </w:tcPr>
          <w:p w14:paraId="3B8F55FB" w14:textId="77777777" w:rsidR="009F5C6B" w:rsidRPr="00215444" w:rsidRDefault="009F5C6B"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04E2545B" w14:textId="77777777" w:rsidR="009F5C6B" w:rsidRPr="00215444" w:rsidRDefault="009F5C6B"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79CAD62F" w14:textId="77777777" w:rsidR="009F5C6B" w:rsidRPr="00215444" w:rsidRDefault="009F5C6B"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7587D2F0" w14:textId="77777777" w:rsidR="009F5C6B" w:rsidRPr="00215444" w:rsidRDefault="009F5C6B" w:rsidP="00342C38">
            <w:pPr>
              <w:pStyle w:val="NICEnormal"/>
              <w:spacing w:line="240" w:lineRule="auto"/>
              <w:rPr>
                <w:rFonts w:cs="Arial"/>
                <w:b/>
                <w:sz w:val="22"/>
                <w:szCs w:val="22"/>
              </w:rPr>
            </w:pPr>
            <w:r>
              <w:rPr>
                <w:rFonts w:cs="Arial"/>
                <w:b/>
                <w:sz w:val="22"/>
                <w:szCs w:val="22"/>
              </w:rPr>
              <w:t>NICE response</w:t>
            </w:r>
          </w:p>
        </w:tc>
      </w:tr>
      <w:tr w:rsidR="008D0EA5" w:rsidRPr="00215444" w14:paraId="3C63BDA4" w14:textId="2B92875F" w:rsidTr="000528DF">
        <w:tc>
          <w:tcPr>
            <w:tcW w:w="177" w:type="pct"/>
          </w:tcPr>
          <w:p w14:paraId="6195CB94" w14:textId="0B49A4B8" w:rsidR="008D0EA5" w:rsidRDefault="008D0EA5" w:rsidP="005B2876">
            <w:pPr>
              <w:rPr>
                <w:rFonts w:ascii="Arial" w:hAnsi="Arial" w:cs="Arial"/>
                <w:color w:val="000000"/>
                <w:sz w:val="22"/>
                <w:szCs w:val="22"/>
                <w:lang w:eastAsia="en-GB"/>
              </w:rPr>
            </w:pPr>
            <w:r>
              <w:rPr>
                <w:rFonts w:ascii="Arial" w:hAnsi="Arial" w:cs="Arial"/>
                <w:color w:val="000000"/>
                <w:sz w:val="22"/>
                <w:szCs w:val="22"/>
                <w:lang w:eastAsia="en-GB"/>
              </w:rPr>
              <w:t>3</w:t>
            </w:r>
            <w:r w:rsidR="000444C3">
              <w:rPr>
                <w:rFonts w:ascii="Arial" w:hAnsi="Arial" w:cs="Arial"/>
                <w:color w:val="000000"/>
                <w:sz w:val="22"/>
                <w:szCs w:val="22"/>
                <w:lang w:eastAsia="en-GB"/>
              </w:rPr>
              <w:t>6</w:t>
            </w:r>
          </w:p>
        </w:tc>
        <w:tc>
          <w:tcPr>
            <w:tcW w:w="428" w:type="pct"/>
          </w:tcPr>
          <w:p w14:paraId="4AAFE77F" w14:textId="30CCDBF4" w:rsidR="008D0EA5" w:rsidRPr="00A94A2F" w:rsidRDefault="008D0EA5" w:rsidP="005B2876">
            <w:pPr>
              <w:rPr>
                <w:rFonts w:ascii="Arial" w:hAnsi="Arial" w:cs="Arial"/>
                <w:color w:val="000000"/>
                <w:sz w:val="22"/>
                <w:szCs w:val="22"/>
                <w:lang w:eastAsia="en-GB"/>
              </w:rPr>
            </w:pPr>
            <w:r>
              <w:rPr>
                <w:rFonts w:ascii="Arial" w:hAnsi="Arial" w:cs="Arial"/>
                <w:color w:val="000000"/>
                <w:sz w:val="22"/>
                <w:szCs w:val="22"/>
                <w:lang w:eastAsia="en-GB"/>
              </w:rPr>
              <w:t>IND2021-121</w:t>
            </w:r>
          </w:p>
        </w:tc>
        <w:tc>
          <w:tcPr>
            <w:tcW w:w="1024" w:type="pct"/>
          </w:tcPr>
          <w:p w14:paraId="5950E135" w14:textId="1106D65E" w:rsidR="008D0EA5" w:rsidRPr="00A94A2F" w:rsidRDefault="008D0EA5" w:rsidP="005B2876">
            <w:pPr>
              <w:rPr>
                <w:rFonts w:ascii="Arial" w:hAnsi="Arial" w:cs="Arial"/>
                <w:color w:val="000000"/>
                <w:sz w:val="22"/>
                <w:szCs w:val="22"/>
                <w:lang w:eastAsia="en-GB"/>
              </w:rPr>
            </w:pPr>
            <w:r>
              <w:rPr>
                <w:rFonts w:ascii="Arial" w:hAnsi="Arial" w:cs="Arial"/>
                <w:color w:val="000000"/>
                <w:sz w:val="22"/>
                <w:szCs w:val="22"/>
                <w:lang w:eastAsia="en-GB"/>
              </w:rPr>
              <w:t>BMA</w:t>
            </w:r>
          </w:p>
        </w:tc>
        <w:tc>
          <w:tcPr>
            <w:tcW w:w="2147" w:type="pct"/>
          </w:tcPr>
          <w:p w14:paraId="0EDC8194" w14:textId="596F233B" w:rsidR="008D0EA5" w:rsidRPr="00A94A2F" w:rsidRDefault="008D0EA5" w:rsidP="005B2876">
            <w:pPr>
              <w:rPr>
                <w:rFonts w:ascii="Arial" w:hAnsi="Arial" w:cs="Arial"/>
                <w:color w:val="000000"/>
                <w:sz w:val="22"/>
                <w:szCs w:val="22"/>
                <w:lang w:eastAsia="en-GB"/>
              </w:rPr>
            </w:pPr>
            <w:r w:rsidRPr="005B2876">
              <w:rPr>
                <w:rFonts w:ascii="Arial" w:hAnsi="Arial" w:cs="Arial"/>
                <w:sz w:val="22"/>
                <w:szCs w:val="28"/>
              </w:rPr>
              <w:t>We are unclear why the BP target is only for those with ACR&lt;70.  What happens if ACR goes above 70 – it says to offer ACEI, but there is no suggested indicator for this.</w:t>
            </w:r>
          </w:p>
        </w:tc>
        <w:tc>
          <w:tcPr>
            <w:tcW w:w="1224" w:type="pct"/>
          </w:tcPr>
          <w:p w14:paraId="2F600002" w14:textId="7C0AAD6F" w:rsidR="008D0EA5" w:rsidRPr="005B2876" w:rsidRDefault="00DB2921" w:rsidP="005B2876">
            <w:pPr>
              <w:rPr>
                <w:rFonts w:ascii="Arial" w:hAnsi="Arial" w:cs="Arial"/>
                <w:sz w:val="22"/>
                <w:szCs w:val="28"/>
              </w:rPr>
            </w:pPr>
            <w:r>
              <w:rPr>
                <w:rFonts w:ascii="Arial" w:hAnsi="Arial" w:cs="Arial"/>
                <w:sz w:val="22"/>
                <w:szCs w:val="28"/>
              </w:rPr>
              <w:t>Thank you for your comment.</w:t>
            </w:r>
            <w:r>
              <w:rPr>
                <w:rFonts w:ascii="Arial" w:hAnsi="Arial" w:cs="Arial"/>
                <w:color w:val="000000"/>
                <w:sz w:val="22"/>
                <w:szCs w:val="22"/>
                <w:lang w:eastAsia="en-GB"/>
              </w:rPr>
              <w:t xml:space="preserve"> NICE will explore</w:t>
            </w:r>
            <w:r w:rsidR="00012CC3">
              <w:rPr>
                <w:rFonts w:ascii="Arial" w:hAnsi="Arial" w:cs="Arial"/>
                <w:color w:val="000000"/>
                <w:sz w:val="22"/>
                <w:szCs w:val="22"/>
                <w:lang w:eastAsia="en-GB"/>
              </w:rPr>
              <w:t xml:space="preserve"> development of</w:t>
            </w:r>
            <w:r>
              <w:rPr>
                <w:rFonts w:ascii="Arial" w:hAnsi="Arial" w:cs="Arial"/>
                <w:color w:val="000000"/>
                <w:sz w:val="22"/>
                <w:szCs w:val="22"/>
                <w:lang w:eastAsia="en-GB"/>
              </w:rPr>
              <w:t xml:space="preserve"> indicators on treatment with ACE inhibitor for people with CKD</w:t>
            </w:r>
            <w:r w:rsidR="00012CC3">
              <w:rPr>
                <w:rFonts w:ascii="Arial" w:hAnsi="Arial" w:cs="Arial"/>
                <w:color w:val="000000"/>
                <w:sz w:val="22"/>
                <w:szCs w:val="22"/>
                <w:lang w:eastAsia="en-GB"/>
              </w:rPr>
              <w:t xml:space="preserve"> and blood pressure management in people with CKD and ACR of 70 mg/mmol or more in the next cycle of the work programme</w:t>
            </w:r>
            <w:r>
              <w:rPr>
                <w:rFonts w:ascii="Arial" w:hAnsi="Arial" w:cs="Arial"/>
                <w:color w:val="000000"/>
                <w:sz w:val="22"/>
                <w:szCs w:val="22"/>
                <w:lang w:eastAsia="en-GB"/>
              </w:rPr>
              <w:t>.</w:t>
            </w:r>
          </w:p>
        </w:tc>
      </w:tr>
      <w:tr w:rsidR="008D0EA5" w:rsidRPr="00215444" w14:paraId="1C045DA1" w14:textId="10ED24EC" w:rsidTr="000528DF">
        <w:tc>
          <w:tcPr>
            <w:tcW w:w="177" w:type="pct"/>
          </w:tcPr>
          <w:p w14:paraId="51FAAFF9" w14:textId="680E1DCC" w:rsidR="008D0EA5" w:rsidRPr="00A94A2F" w:rsidRDefault="000444C3" w:rsidP="005B2876">
            <w:pPr>
              <w:rPr>
                <w:rFonts w:ascii="Arial" w:hAnsi="Arial" w:cs="Arial"/>
                <w:color w:val="000000"/>
                <w:sz w:val="22"/>
                <w:szCs w:val="22"/>
                <w:lang w:eastAsia="en-GB"/>
              </w:rPr>
            </w:pPr>
            <w:r>
              <w:rPr>
                <w:rFonts w:ascii="Arial" w:hAnsi="Arial" w:cs="Arial"/>
                <w:color w:val="000000"/>
                <w:sz w:val="22"/>
                <w:szCs w:val="22"/>
                <w:lang w:eastAsia="en-GB"/>
              </w:rPr>
              <w:t>37</w:t>
            </w:r>
          </w:p>
        </w:tc>
        <w:tc>
          <w:tcPr>
            <w:tcW w:w="428" w:type="pct"/>
          </w:tcPr>
          <w:p w14:paraId="193DBD13" w14:textId="5788C417" w:rsidR="008D0EA5" w:rsidRPr="00A94A2F" w:rsidRDefault="008D0EA5" w:rsidP="005B2876">
            <w:pPr>
              <w:rPr>
                <w:rFonts w:ascii="Arial" w:hAnsi="Arial" w:cs="Arial"/>
                <w:color w:val="000000"/>
                <w:sz w:val="22"/>
                <w:szCs w:val="22"/>
                <w:lang w:eastAsia="en-GB"/>
              </w:rPr>
            </w:pPr>
            <w:r w:rsidRPr="00A94A2F">
              <w:rPr>
                <w:rFonts w:ascii="Arial" w:hAnsi="Arial" w:cs="Arial"/>
                <w:color w:val="000000"/>
                <w:sz w:val="22"/>
                <w:szCs w:val="22"/>
                <w:lang w:eastAsia="en-GB"/>
              </w:rPr>
              <w:t>IND2021-121</w:t>
            </w:r>
          </w:p>
        </w:tc>
        <w:tc>
          <w:tcPr>
            <w:tcW w:w="1024" w:type="pct"/>
          </w:tcPr>
          <w:p w14:paraId="708B3EAB" w14:textId="5CBA7112" w:rsidR="008D0EA5" w:rsidRPr="00A94A2F" w:rsidRDefault="008D0EA5" w:rsidP="005B2876">
            <w:pPr>
              <w:rPr>
                <w:rFonts w:ascii="Arial" w:hAnsi="Arial" w:cs="Arial"/>
                <w:color w:val="000000"/>
                <w:sz w:val="22"/>
                <w:szCs w:val="22"/>
                <w:lang w:eastAsia="en-GB"/>
              </w:rPr>
            </w:pPr>
            <w:r w:rsidRPr="00A94A2F">
              <w:rPr>
                <w:rFonts w:ascii="Arial" w:hAnsi="Arial" w:cs="Arial"/>
                <w:color w:val="000000"/>
                <w:sz w:val="22"/>
                <w:szCs w:val="22"/>
                <w:lang w:eastAsia="en-GB"/>
              </w:rPr>
              <w:t>Primary Care Cardiovascular Society</w:t>
            </w:r>
          </w:p>
        </w:tc>
        <w:tc>
          <w:tcPr>
            <w:tcW w:w="2147" w:type="pct"/>
          </w:tcPr>
          <w:p w14:paraId="28F00BE0" w14:textId="406BDD30" w:rsidR="008D0EA5" w:rsidRPr="00EE065C" w:rsidRDefault="008D0EA5" w:rsidP="005B2876">
            <w:pPr>
              <w:rPr>
                <w:rFonts w:ascii="Arial" w:hAnsi="Arial" w:cs="Arial"/>
                <w:color w:val="000000"/>
                <w:sz w:val="22"/>
                <w:szCs w:val="22"/>
                <w:highlight w:val="cyan"/>
                <w:lang w:eastAsia="en-GB"/>
              </w:rPr>
            </w:pPr>
            <w:r w:rsidRPr="00A94A2F">
              <w:rPr>
                <w:rFonts w:ascii="Arial" w:hAnsi="Arial" w:cs="Arial"/>
                <w:color w:val="000000"/>
                <w:sz w:val="22"/>
                <w:szCs w:val="22"/>
                <w:lang w:eastAsia="en-GB"/>
              </w:rPr>
              <w:t>Agree that this concurs with NICE, but should a lower target be looked at is significant proteinuria eve if not &gt; 70 mg/mmol?</w:t>
            </w:r>
          </w:p>
        </w:tc>
        <w:tc>
          <w:tcPr>
            <w:tcW w:w="1224" w:type="pct"/>
          </w:tcPr>
          <w:p w14:paraId="74AE1D31" w14:textId="4E9C0B01" w:rsidR="008D0EA5" w:rsidRPr="00A94A2F" w:rsidRDefault="00DB2921" w:rsidP="005B2876">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00012CC3" w:rsidRPr="00012CC3">
              <w:rPr>
                <w:rFonts w:ascii="Arial" w:hAnsi="Arial" w:cs="Arial"/>
                <w:color w:val="000000"/>
                <w:sz w:val="22"/>
                <w:szCs w:val="22"/>
                <w:lang w:eastAsia="en-GB"/>
              </w:rPr>
              <w:t>NICE will explore</w:t>
            </w:r>
            <w:r w:rsidR="00012CC3">
              <w:rPr>
                <w:rFonts w:ascii="Arial" w:hAnsi="Arial" w:cs="Arial"/>
                <w:color w:val="000000"/>
                <w:sz w:val="22"/>
                <w:szCs w:val="22"/>
                <w:lang w:eastAsia="en-GB"/>
              </w:rPr>
              <w:t xml:space="preserve"> development of an</w:t>
            </w:r>
            <w:r w:rsidR="00012CC3" w:rsidRPr="00012CC3">
              <w:rPr>
                <w:rFonts w:ascii="Arial" w:hAnsi="Arial" w:cs="Arial"/>
                <w:color w:val="000000"/>
                <w:sz w:val="22"/>
                <w:szCs w:val="22"/>
                <w:lang w:eastAsia="en-GB"/>
              </w:rPr>
              <w:t xml:space="preserve"> indicator on blood pressure management in people with CKD and ACR of 70 mg/mmol or more in the next cycle of the work programme.</w:t>
            </w:r>
          </w:p>
        </w:tc>
      </w:tr>
      <w:tr w:rsidR="008D0EA5" w:rsidRPr="00215444" w14:paraId="60E35B21" w14:textId="56A2C820" w:rsidTr="000528DF">
        <w:tc>
          <w:tcPr>
            <w:tcW w:w="177" w:type="pct"/>
          </w:tcPr>
          <w:p w14:paraId="604789E8" w14:textId="290A1219" w:rsidR="008D0EA5" w:rsidRPr="008513F1" w:rsidRDefault="000444C3" w:rsidP="005B2876">
            <w:pPr>
              <w:rPr>
                <w:rFonts w:ascii="Arial" w:hAnsi="Arial" w:cs="Arial"/>
                <w:color w:val="000000"/>
                <w:sz w:val="22"/>
                <w:szCs w:val="22"/>
                <w:lang w:eastAsia="en-GB"/>
              </w:rPr>
            </w:pPr>
            <w:r>
              <w:rPr>
                <w:rFonts w:ascii="Arial" w:hAnsi="Arial" w:cs="Arial"/>
                <w:color w:val="000000"/>
                <w:sz w:val="22"/>
                <w:szCs w:val="22"/>
                <w:lang w:eastAsia="en-GB"/>
              </w:rPr>
              <w:t>38</w:t>
            </w:r>
          </w:p>
        </w:tc>
        <w:tc>
          <w:tcPr>
            <w:tcW w:w="428" w:type="pct"/>
          </w:tcPr>
          <w:p w14:paraId="33826BF7" w14:textId="68771DFB" w:rsidR="008D0EA5" w:rsidRPr="005B2876" w:rsidRDefault="008D0EA5" w:rsidP="005B2876">
            <w:pPr>
              <w:rPr>
                <w:rFonts w:ascii="Arial" w:hAnsi="Arial" w:cs="Arial"/>
                <w:color w:val="000000"/>
                <w:sz w:val="22"/>
                <w:szCs w:val="22"/>
                <w:lang w:eastAsia="en-GB"/>
              </w:rPr>
            </w:pPr>
            <w:r w:rsidRPr="005B2876">
              <w:rPr>
                <w:rFonts w:ascii="Arial" w:hAnsi="Arial" w:cs="Arial"/>
                <w:color w:val="000000"/>
                <w:sz w:val="22"/>
                <w:szCs w:val="22"/>
                <w:lang w:eastAsia="en-GB"/>
              </w:rPr>
              <w:t>IND2021-121</w:t>
            </w:r>
          </w:p>
        </w:tc>
        <w:tc>
          <w:tcPr>
            <w:tcW w:w="1024" w:type="pct"/>
          </w:tcPr>
          <w:p w14:paraId="2D749EAD" w14:textId="74216E4F" w:rsidR="008D0EA5" w:rsidRPr="005B2876" w:rsidRDefault="008D0EA5" w:rsidP="005B2876">
            <w:pPr>
              <w:rPr>
                <w:rFonts w:ascii="Arial" w:hAnsi="Arial" w:cs="Arial"/>
                <w:color w:val="000000"/>
                <w:sz w:val="22"/>
                <w:szCs w:val="22"/>
                <w:lang w:eastAsia="en-GB"/>
              </w:rPr>
            </w:pPr>
            <w:r w:rsidRPr="005B2876">
              <w:rPr>
                <w:rFonts w:ascii="Arial" w:hAnsi="Arial" w:cs="Arial"/>
                <w:color w:val="000000"/>
                <w:sz w:val="22"/>
                <w:szCs w:val="22"/>
                <w:lang w:eastAsia="en-GB"/>
              </w:rPr>
              <w:t>RCGP</w:t>
            </w:r>
          </w:p>
        </w:tc>
        <w:tc>
          <w:tcPr>
            <w:tcW w:w="2147" w:type="pct"/>
          </w:tcPr>
          <w:p w14:paraId="0410FF02" w14:textId="77777777" w:rsidR="008D0EA5" w:rsidRPr="00E344DA" w:rsidRDefault="008D0EA5" w:rsidP="005B2876">
            <w:pPr>
              <w:rPr>
                <w:rFonts w:ascii="Arial" w:hAnsi="Arial" w:cs="Arial"/>
                <w:color w:val="000000"/>
                <w:sz w:val="22"/>
                <w:szCs w:val="22"/>
                <w:lang w:eastAsia="en-GB"/>
              </w:rPr>
            </w:pPr>
            <w:r w:rsidRPr="00E344DA">
              <w:rPr>
                <w:rFonts w:ascii="Arial" w:hAnsi="Arial" w:cs="Arial"/>
                <w:color w:val="000000"/>
                <w:sz w:val="22"/>
                <w:szCs w:val="22"/>
                <w:lang w:eastAsia="en-GB"/>
              </w:rPr>
              <w:t>Q1 None identified</w:t>
            </w:r>
            <w:r w:rsidRPr="00E344DA">
              <w:rPr>
                <w:rFonts w:ascii="Arial" w:hAnsi="Arial" w:cs="Arial"/>
                <w:color w:val="000000"/>
                <w:sz w:val="22"/>
                <w:szCs w:val="22"/>
                <w:lang w:eastAsia="en-GB"/>
              </w:rPr>
              <w:tab/>
              <w:t>.</w:t>
            </w:r>
          </w:p>
          <w:p w14:paraId="1B139186" w14:textId="77777777" w:rsidR="008D0EA5" w:rsidRPr="00E344DA" w:rsidRDefault="008D0EA5" w:rsidP="005B2876">
            <w:pPr>
              <w:rPr>
                <w:rFonts w:ascii="Arial" w:hAnsi="Arial" w:cs="Arial"/>
                <w:color w:val="000000"/>
                <w:sz w:val="22"/>
                <w:szCs w:val="22"/>
                <w:lang w:eastAsia="en-GB"/>
              </w:rPr>
            </w:pPr>
            <w:r w:rsidRPr="00E344DA">
              <w:rPr>
                <w:rFonts w:ascii="Arial" w:hAnsi="Arial" w:cs="Arial"/>
                <w:color w:val="000000"/>
                <w:sz w:val="22"/>
                <w:szCs w:val="22"/>
                <w:lang w:eastAsia="en-GB"/>
              </w:rPr>
              <w:t>Q2 none identified</w:t>
            </w:r>
          </w:p>
          <w:p w14:paraId="58C27215" w14:textId="77777777" w:rsidR="008D0EA5" w:rsidRPr="00E344DA" w:rsidRDefault="008D0EA5" w:rsidP="005B2876">
            <w:pPr>
              <w:rPr>
                <w:rFonts w:ascii="Arial" w:hAnsi="Arial" w:cs="Arial"/>
                <w:color w:val="000000"/>
                <w:sz w:val="22"/>
                <w:szCs w:val="22"/>
                <w:lang w:eastAsia="en-GB"/>
              </w:rPr>
            </w:pPr>
            <w:r w:rsidRPr="00E344DA">
              <w:rPr>
                <w:rFonts w:ascii="Arial" w:hAnsi="Arial" w:cs="Arial"/>
                <w:color w:val="000000"/>
                <w:sz w:val="22"/>
                <w:szCs w:val="22"/>
                <w:lang w:eastAsia="en-GB"/>
              </w:rPr>
              <w:t>Q3 None identified</w:t>
            </w:r>
          </w:p>
          <w:p w14:paraId="6DF8124F" w14:textId="369F7682" w:rsidR="008D0EA5" w:rsidRPr="00EE065C" w:rsidRDefault="008D0EA5" w:rsidP="005B2876">
            <w:pPr>
              <w:rPr>
                <w:rFonts w:ascii="Arial" w:hAnsi="Arial" w:cs="Arial"/>
                <w:color w:val="000000"/>
                <w:sz w:val="22"/>
                <w:szCs w:val="22"/>
                <w:highlight w:val="cyan"/>
                <w:lang w:eastAsia="en-GB"/>
              </w:rPr>
            </w:pPr>
            <w:r w:rsidRPr="00E344DA">
              <w:rPr>
                <w:rFonts w:ascii="Arial" w:hAnsi="Arial" w:cs="Arial"/>
                <w:color w:val="000000"/>
                <w:sz w:val="22"/>
                <w:szCs w:val="22"/>
                <w:lang w:eastAsia="en-GB"/>
              </w:rPr>
              <w:t>Q4 None identified</w:t>
            </w:r>
          </w:p>
        </w:tc>
        <w:tc>
          <w:tcPr>
            <w:tcW w:w="1224" w:type="pct"/>
          </w:tcPr>
          <w:p w14:paraId="3DE4600C" w14:textId="66AB258C" w:rsidR="008D0EA5" w:rsidRPr="00E344DA" w:rsidRDefault="00DB2921" w:rsidP="005B2876">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r w:rsidR="008D0EA5" w:rsidRPr="00215444" w14:paraId="0052CE03" w14:textId="7D457FD3" w:rsidTr="000528DF">
        <w:tc>
          <w:tcPr>
            <w:tcW w:w="177" w:type="pct"/>
          </w:tcPr>
          <w:p w14:paraId="7054E78F" w14:textId="6B2F7039" w:rsidR="008D0EA5" w:rsidRPr="008513F1" w:rsidRDefault="000444C3" w:rsidP="005B2876">
            <w:pPr>
              <w:rPr>
                <w:rFonts w:ascii="Arial" w:hAnsi="Arial" w:cs="Arial"/>
                <w:color w:val="000000"/>
                <w:sz w:val="22"/>
                <w:szCs w:val="22"/>
                <w:lang w:eastAsia="en-GB"/>
              </w:rPr>
            </w:pPr>
            <w:r>
              <w:rPr>
                <w:rFonts w:ascii="Arial" w:hAnsi="Arial" w:cs="Arial"/>
                <w:color w:val="000000"/>
                <w:sz w:val="22"/>
                <w:szCs w:val="22"/>
                <w:lang w:eastAsia="en-GB"/>
              </w:rPr>
              <w:lastRenderedPageBreak/>
              <w:t>39</w:t>
            </w:r>
          </w:p>
        </w:tc>
        <w:tc>
          <w:tcPr>
            <w:tcW w:w="428" w:type="pct"/>
          </w:tcPr>
          <w:p w14:paraId="04444AB2" w14:textId="3FDD6A10" w:rsidR="008D0EA5" w:rsidRPr="008513F1" w:rsidRDefault="008D0EA5" w:rsidP="005B2876">
            <w:pPr>
              <w:rPr>
                <w:rFonts w:ascii="Arial" w:hAnsi="Arial" w:cs="Arial"/>
                <w:color w:val="000000"/>
                <w:sz w:val="22"/>
                <w:szCs w:val="22"/>
                <w:lang w:eastAsia="en-GB"/>
              </w:rPr>
            </w:pPr>
            <w:r>
              <w:rPr>
                <w:rFonts w:ascii="Arial" w:hAnsi="Arial" w:cs="Arial"/>
                <w:color w:val="000000"/>
                <w:sz w:val="22"/>
                <w:szCs w:val="22"/>
                <w:lang w:eastAsia="en-GB"/>
              </w:rPr>
              <w:t>IND2021-121</w:t>
            </w:r>
          </w:p>
        </w:tc>
        <w:tc>
          <w:tcPr>
            <w:tcW w:w="1024" w:type="pct"/>
          </w:tcPr>
          <w:p w14:paraId="4AF237F3" w14:textId="7C1920C1" w:rsidR="008D0EA5" w:rsidRPr="008513F1" w:rsidRDefault="008D0EA5" w:rsidP="005B2876">
            <w:pPr>
              <w:rPr>
                <w:rFonts w:ascii="Arial" w:hAnsi="Arial" w:cs="Arial"/>
                <w:color w:val="000000"/>
                <w:sz w:val="22"/>
                <w:szCs w:val="22"/>
                <w:lang w:eastAsia="en-GB"/>
              </w:rPr>
            </w:pPr>
            <w:r>
              <w:rPr>
                <w:rFonts w:ascii="Arial" w:hAnsi="Arial" w:cs="Arial"/>
                <w:color w:val="000000"/>
                <w:sz w:val="22"/>
                <w:szCs w:val="22"/>
                <w:lang w:eastAsia="en-GB"/>
              </w:rPr>
              <w:t>Renal Service Transformation programme</w:t>
            </w:r>
          </w:p>
        </w:tc>
        <w:tc>
          <w:tcPr>
            <w:tcW w:w="2147" w:type="pct"/>
          </w:tcPr>
          <w:p w14:paraId="49594257" w14:textId="0DC19FEE" w:rsidR="008D0EA5" w:rsidRPr="005B2876" w:rsidRDefault="008D0EA5" w:rsidP="005B2876">
            <w:pPr>
              <w:rPr>
                <w:rFonts w:ascii="Arial" w:hAnsi="Arial" w:cs="Arial"/>
                <w:sz w:val="22"/>
                <w:szCs w:val="28"/>
              </w:rPr>
            </w:pPr>
            <w:r w:rsidRPr="00DB2A48">
              <w:rPr>
                <w:rFonts w:ascii="Arial" w:hAnsi="Arial" w:cs="Arial"/>
                <w:sz w:val="22"/>
                <w:szCs w:val="28"/>
              </w:rPr>
              <w:t>This is outside internationally recommended guidelines. A more effective indic</w:t>
            </w:r>
            <w:r>
              <w:rPr>
                <w:rFonts w:ascii="Arial" w:hAnsi="Arial" w:cs="Arial"/>
                <w:sz w:val="22"/>
                <w:szCs w:val="28"/>
              </w:rPr>
              <w:t>a</w:t>
            </w:r>
            <w:r w:rsidRPr="00DB2A48">
              <w:rPr>
                <w:rFonts w:ascii="Arial" w:hAnsi="Arial" w:cs="Arial"/>
                <w:sz w:val="22"/>
                <w:szCs w:val="28"/>
              </w:rPr>
              <w:t>tor for CKD maybe to incorporate NICE CKD guidance with ACR &gt; 70mg/mmol as these are the patients at highest risk of progression and CV events NICE NG203: 1.6.2 In adults with CKD and an ACR of 70 mg/mmol or more, aim for a clinic systolic blood pressure below 130 mmHg (target range 120 to 129 mmHg) and a clinic diastolic blood pressure below 80 mmHg. [2021]</w:t>
            </w:r>
          </w:p>
        </w:tc>
        <w:tc>
          <w:tcPr>
            <w:tcW w:w="1224" w:type="pct"/>
          </w:tcPr>
          <w:p w14:paraId="6E45CF30" w14:textId="7EE9FA21" w:rsidR="008D0EA5" w:rsidRPr="00DB2A48" w:rsidRDefault="00DB2921" w:rsidP="005B2876">
            <w:pPr>
              <w:rPr>
                <w:rFonts w:ascii="Arial" w:hAnsi="Arial" w:cs="Arial"/>
                <w:sz w:val="22"/>
                <w:szCs w:val="28"/>
              </w:rPr>
            </w:pPr>
            <w:r>
              <w:rPr>
                <w:rFonts w:ascii="Arial" w:hAnsi="Arial" w:cs="Arial"/>
                <w:sz w:val="22"/>
                <w:szCs w:val="28"/>
              </w:rPr>
              <w:t xml:space="preserve">Thank you for your comment. </w:t>
            </w:r>
            <w:r w:rsidR="00012CC3" w:rsidRPr="00012CC3">
              <w:rPr>
                <w:rFonts w:ascii="Arial" w:hAnsi="Arial" w:cs="Arial"/>
                <w:color w:val="000000"/>
                <w:sz w:val="22"/>
                <w:szCs w:val="22"/>
                <w:lang w:eastAsia="en-GB"/>
              </w:rPr>
              <w:t>NICE will explore</w:t>
            </w:r>
            <w:r w:rsidR="00012CC3">
              <w:rPr>
                <w:rFonts w:ascii="Arial" w:hAnsi="Arial" w:cs="Arial"/>
                <w:color w:val="000000"/>
                <w:sz w:val="22"/>
                <w:szCs w:val="22"/>
                <w:lang w:eastAsia="en-GB"/>
              </w:rPr>
              <w:t xml:space="preserve"> development of an</w:t>
            </w:r>
            <w:r w:rsidR="00012CC3" w:rsidRPr="00012CC3">
              <w:rPr>
                <w:rFonts w:ascii="Arial" w:hAnsi="Arial" w:cs="Arial"/>
                <w:color w:val="000000"/>
                <w:sz w:val="22"/>
                <w:szCs w:val="22"/>
                <w:lang w:eastAsia="en-GB"/>
              </w:rPr>
              <w:t xml:space="preserve"> indicator on blood pressure management in people with CKD and ACR of 70 mg/mmol or more in the next cycle of the work programme.</w:t>
            </w:r>
          </w:p>
        </w:tc>
      </w:tr>
      <w:tr w:rsidR="008D0EA5" w:rsidRPr="00215444" w14:paraId="00048C04" w14:textId="072A694A" w:rsidTr="000528DF">
        <w:tc>
          <w:tcPr>
            <w:tcW w:w="177" w:type="pct"/>
          </w:tcPr>
          <w:p w14:paraId="16A35B9E" w14:textId="62D82988" w:rsidR="008D0EA5" w:rsidRPr="008513F1" w:rsidRDefault="008D0EA5" w:rsidP="005B2876">
            <w:pPr>
              <w:rPr>
                <w:rFonts w:ascii="Arial" w:hAnsi="Arial" w:cs="Arial"/>
                <w:color w:val="000000"/>
                <w:sz w:val="22"/>
                <w:szCs w:val="22"/>
                <w:lang w:eastAsia="en-GB"/>
              </w:rPr>
            </w:pPr>
            <w:r>
              <w:rPr>
                <w:rFonts w:ascii="Arial" w:hAnsi="Arial" w:cs="Arial"/>
                <w:color w:val="000000"/>
                <w:sz w:val="22"/>
                <w:szCs w:val="22"/>
                <w:lang w:eastAsia="en-GB"/>
              </w:rPr>
              <w:t>4</w:t>
            </w:r>
            <w:r w:rsidR="000444C3">
              <w:rPr>
                <w:rFonts w:ascii="Arial" w:hAnsi="Arial" w:cs="Arial"/>
                <w:color w:val="000000"/>
                <w:sz w:val="22"/>
                <w:szCs w:val="22"/>
                <w:lang w:eastAsia="en-GB"/>
              </w:rPr>
              <w:t>0</w:t>
            </w:r>
          </w:p>
        </w:tc>
        <w:tc>
          <w:tcPr>
            <w:tcW w:w="428" w:type="pct"/>
          </w:tcPr>
          <w:p w14:paraId="13FE6B02" w14:textId="1EE54CE3" w:rsidR="008D0EA5" w:rsidRPr="008513F1" w:rsidRDefault="008D0EA5" w:rsidP="005B2876">
            <w:pPr>
              <w:rPr>
                <w:rFonts w:ascii="Arial" w:hAnsi="Arial" w:cs="Arial"/>
                <w:color w:val="000000"/>
                <w:sz w:val="22"/>
                <w:szCs w:val="22"/>
                <w:lang w:eastAsia="en-GB"/>
              </w:rPr>
            </w:pPr>
            <w:r w:rsidRPr="008513F1">
              <w:rPr>
                <w:rFonts w:ascii="Arial" w:hAnsi="Arial" w:cs="Arial"/>
                <w:color w:val="000000"/>
                <w:sz w:val="22"/>
                <w:szCs w:val="22"/>
                <w:lang w:eastAsia="en-GB"/>
              </w:rPr>
              <w:t>IND2021-121</w:t>
            </w:r>
          </w:p>
        </w:tc>
        <w:tc>
          <w:tcPr>
            <w:tcW w:w="1024" w:type="pct"/>
          </w:tcPr>
          <w:p w14:paraId="225BE9F5" w14:textId="3378E5BE" w:rsidR="008D0EA5" w:rsidRPr="008513F1" w:rsidRDefault="008D0EA5" w:rsidP="005B2876">
            <w:pPr>
              <w:rPr>
                <w:rFonts w:ascii="Arial" w:hAnsi="Arial" w:cs="Arial"/>
                <w:color w:val="000000"/>
                <w:sz w:val="22"/>
                <w:szCs w:val="22"/>
                <w:lang w:eastAsia="en-GB"/>
              </w:rPr>
            </w:pPr>
            <w:r w:rsidRPr="008513F1">
              <w:rPr>
                <w:rFonts w:ascii="Arial" w:hAnsi="Arial" w:cs="Arial"/>
                <w:color w:val="000000"/>
                <w:sz w:val="22"/>
                <w:szCs w:val="22"/>
                <w:lang w:eastAsia="en-GB"/>
              </w:rPr>
              <w:t>UKKA</w:t>
            </w:r>
          </w:p>
        </w:tc>
        <w:tc>
          <w:tcPr>
            <w:tcW w:w="2147" w:type="pct"/>
          </w:tcPr>
          <w:p w14:paraId="08631E92" w14:textId="5D93DAE4" w:rsidR="008D0EA5" w:rsidRPr="005B2876" w:rsidRDefault="008D0EA5" w:rsidP="005B2876">
            <w:pPr>
              <w:rPr>
                <w:rFonts w:ascii="Arial" w:hAnsi="Arial" w:cs="Arial"/>
                <w:sz w:val="22"/>
                <w:szCs w:val="28"/>
              </w:rPr>
            </w:pPr>
            <w:r w:rsidRPr="005B2876">
              <w:rPr>
                <w:rFonts w:ascii="Arial" w:hAnsi="Arial" w:cs="Arial"/>
                <w:sz w:val="22"/>
                <w:szCs w:val="28"/>
              </w:rPr>
              <w:t xml:space="preserve">Reasonable assuming the blood pressure reading is random and not standardised. KDIGO is now recommending standardised blood pressure readings for CKD patients, although this may be impractical in most NHS settings. The NICE albuminuria “cut-off” of 70 mg/mmol is at variance with KDIGO and many other countries.   </w:t>
            </w:r>
          </w:p>
          <w:p w14:paraId="5D9876B1" w14:textId="77777777" w:rsidR="008D0EA5" w:rsidRPr="005B2876" w:rsidRDefault="008D0EA5" w:rsidP="005B2876">
            <w:pPr>
              <w:rPr>
                <w:rFonts w:ascii="Arial" w:hAnsi="Arial" w:cs="Arial"/>
                <w:sz w:val="22"/>
                <w:szCs w:val="28"/>
              </w:rPr>
            </w:pPr>
          </w:p>
          <w:p w14:paraId="3B2B1D01" w14:textId="0C4138FE" w:rsidR="008D0EA5" w:rsidRPr="005B2876" w:rsidRDefault="008D0EA5" w:rsidP="005B2876">
            <w:pPr>
              <w:rPr>
                <w:rFonts w:ascii="Arial" w:hAnsi="Arial" w:cs="Arial"/>
                <w:sz w:val="22"/>
                <w:szCs w:val="28"/>
              </w:rPr>
            </w:pPr>
            <w:r w:rsidRPr="005B2876">
              <w:rPr>
                <w:rFonts w:ascii="Arial" w:hAnsi="Arial" w:cs="Arial"/>
                <w:sz w:val="22"/>
                <w:szCs w:val="28"/>
              </w:rPr>
              <w:t>Lower blood pressure targets of &lt;130/80 (rather than &lt;140/90) broadly speaking align to better outcomes in individuals with an ACR&gt;30 mg/mmol (500 mg proteinuria over 24 hours). The challenge with this indicator is that in the attempt to protect individuals at risk of falls it may lead to a 30-year-old with an ACR of 30-69 and at very high long-term risk not being quality assured within an appropriate BP target. Should this read ACR &lt;70 mg/mmol</w:t>
            </w:r>
            <w:r>
              <w:rPr>
                <w:rFonts w:ascii="Arial" w:hAnsi="Arial" w:cs="Arial"/>
                <w:sz w:val="22"/>
                <w:szCs w:val="28"/>
              </w:rPr>
              <w:t>.</w:t>
            </w:r>
          </w:p>
        </w:tc>
        <w:tc>
          <w:tcPr>
            <w:tcW w:w="1224" w:type="pct"/>
          </w:tcPr>
          <w:p w14:paraId="0115F150" w14:textId="46CE93A6" w:rsidR="008D0EA5" w:rsidRPr="005B2876" w:rsidRDefault="00DB2921" w:rsidP="005B2876">
            <w:pPr>
              <w:rPr>
                <w:rFonts w:ascii="Arial" w:hAnsi="Arial" w:cs="Arial"/>
                <w:sz w:val="22"/>
                <w:szCs w:val="28"/>
              </w:rPr>
            </w:pPr>
            <w:r>
              <w:rPr>
                <w:rFonts w:ascii="Arial" w:hAnsi="Arial" w:cs="Arial"/>
                <w:sz w:val="22"/>
                <w:szCs w:val="28"/>
              </w:rPr>
              <w:t xml:space="preserve">Thank you for your comment. The indicator is based on recommendations in NICE’s guideline on CKD. NICE’s guideline on hypertension in adults has recommendations on standardising blood pressure measurement. </w:t>
            </w:r>
            <w:r w:rsidR="00012CC3" w:rsidRPr="00012CC3">
              <w:rPr>
                <w:rFonts w:ascii="Arial" w:hAnsi="Arial" w:cs="Arial"/>
                <w:color w:val="000000"/>
                <w:sz w:val="22"/>
                <w:szCs w:val="22"/>
                <w:lang w:eastAsia="en-GB"/>
              </w:rPr>
              <w:t>NICE will explore</w:t>
            </w:r>
            <w:r w:rsidR="00012CC3">
              <w:rPr>
                <w:rFonts w:ascii="Arial" w:hAnsi="Arial" w:cs="Arial"/>
                <w:color w:val="000000"/>
                <w:sz w:val="22"/>
                <w:szCs w:val="22"/>
                <w:lang w:eastAsia="en-GB"/>
              </w:rPr>
              <w:t xml:space="preserve"> development of an</w:t>
            </w:r>
            <w:r w:rsidR="00012CC3" w:rsidRPr="00012CC3">
              <w:rPr>
                <w:rFonts w:ascii="Arial" w:hAnsi="Arial" w:cs="Arial"/>
                <w:color w:val="000000"/>
                <w:sz w:val="22"/>
                <w:szCs w:val="22"/>
                <w:lang w:eastAsia="en-GB"/>
              </w:rPr>
              <w:t xml:space="preserve"> indicator on blood pressure management in people with CKD and ACR of 70 mg/mmol or more in the next cycle of the work programme.</w:t>
            </w:r>
          </w:p>
        </w:tc>
      </w:tr>
    </w:tbl>
    <w:p w14:paraId="7CBAA141" w14:textId="69663601" w:rsidR="00212C54" w:rsidRDefault="00EE4DCB" w:rsidP="00982090">
      <w:pPr>
        <w:pStyle w:val="Paragraph"/>
      </w:pPr>
      <w:r w:rsidRPr="00EE4DCB">
        <w:t xml:space="preserve">Question 13: The proposed indicator takes an individualised management approach that adjusts care according to frailty status. This is based on previous work for indicators on diabetes (see NICE menu indicator NM159). Is this approach appropriate in management of CKD?  </w:t>
      </w:r>
    </w:p>
    <w:tbl>
      <w:tblPr>
        <w:tblStyle w:val="TableGrid"/>
        <w:tblW w:w="5000" w:type="pct"/>
        <w:tblLook w:val="04A0" w:firstRow="1" w:lastRow="0" w:firstColumn="1" w:lastColumn="0" w:noHBand="0" w:noVBand="1"/>
      </w:tblPr>
      <w:tblGrid>
        <w:gridCol w:w="494"/>
        <w:gridCol w:w="1194"/>
        <w:gridCol w:w="2857"/>
        <w:gridCol w:w="5990"/>
        <w:gridCol w:w="3415"/>
      </w:tblGrid>
      <w:tr w:rsidR="009F5C6B" w:rsidRPr="00215444" w14:paraId="7FE53A4D" w14:textId="77777777" w:rsidTr="00342C38">
        <w:trPr>
          <w:tblHeader/>
        </w:trPr>
        <w:tc>
          <w:tcPr>
            <w:tcW w:w="177" w:type="pct"/>
            <w:noWrap/>
            <w:hideMark/>
          </w:tcPr>
          <w:p w14:paraId="3F152328" w14:textId="77777777" w:rsidR="009F5C6B" w:rsidRPr="00215444" w:rsidRDefault="009F5C6B" w:rsidP="00342C38">
            <w:pPr>
              <w:pStyle w:val="NICEnormal"/>
              <w:spacing w:line="240" w:lineRule="auto"/>
              <w:rPr>
                <w:rFonts w:cs="Arial"/>
                <w:b/>
                <w:sz w:val="22"/>
                <w:szCs w:val="22"/>
              </w:rPr>
            </w:pPr>
            <w:r>
              <w:rPr>
                <w:rFonts w:cs="Arial"/>
                <w:b/>
                <w:sz w:val="22"/>
                <w:szCs w:val="22"/>
              </w:rPr>
              <w:lastRenderedPageBreak/>
              <w:t>ID</w:t>
            </w:r>
          </w:p>
        </w:tc>
        <w:tc>
          <w:tcPr>
            <w:tcW w:w="428" w:type="pct"/>
          </w:tcPr>
          <w:p w14:paraId="28F27D8A" w14:textId="77777777" w:rsidR="009F5C6B" w:rsidRPr="00215444" w:rsidRDefault="009F5C6B"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79C6DFF6" w14:textId="77777777" w:rsidR="009F5C6B" w:rsidRPr="00215444" w:rsidRDefault="009F5C6B"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5D8ACF7C" w14:textId="77777777" w:rsidR="009F5C6B" w:rsidRPr="00215444" w:rsidRDefault="009F5C6B"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3146B046" w14:textId="77777777" w:rsidR="009F5C6B" w:rsidRPr="00215444" w:rsidRDefault="009F5C6B" w:rsidP="00342C38">
            <w:pPr>
              <w:pStyle w:val="NICEnormal"/>
              <w:spacing w:line="240" w:lineRule="auto"/>
              <w:rPr>
                <w:rFonts w:cs="Arial"/>
                <w:b/>
                <w:sz w:val="22"/>
                <w:szCs w:val="22"/>
              </w:rPr>
            </w:pPr>
            <w:r>
              <w:rPr>
                <w:rFonts w:cs="Arial"/>
                <w:b/>
                <w:sz w:val="22"/>
                <w:szCs w:val="22"/>
              </w:rPr>
              <w:t>NICE response</w:t>
            </w:r>
          </w:p>
        </w:tc>
      </w:tr>
      <w:tr w:rsidR="008D0EA5" w:rsidRPr="00215444" w14:paraId="3C767F92" w14:textId="6D2EF921" w:rsidTr="000528DF">
        <w:tc>
          <w:tcPr>
            <w:tcW w:w="177" w:type="pct"/>
          </w:tcPr>
          <w:p w14:paraId="6D69151C" w14:textId="2DFC01A8" w:rsidR="008D0EA5" w:rsidRPr="008513F1" w:rsidRDefault="008D0EA5" w:rsidP="005B2876">
            <w:pPr>
              <w:rPr>
                <w:rFonts w:ascii="Arial" w:hAnsi="Arial" w:cs="Arial"/>
                <w:color w:val="000000"/>
                <w:sz w:val="22"/>
                <w:szCs w:val="22"/>
                <w:lang w:eastAsia="en-GB"/>
              </w:rPr>
            </w:pPr>
            <w:r>
              <w:rPr>
                <w:rFonts w:ascii="Arial" w:hAnsi="Arial" w:cs="Arial"/>
                <w:color w:val="000000"/>
                <w:sz w:val="22"/>
                <w:szCs w:val="22"/>
                <w:lang w:eastAsia="en-GB"/>
              </w:rPr>
              <w:t>4</w:t>
            </w:r>
            <w:r w:rsidR="000444C3">
              <w:rPr>
                <w:rFonts w:ascii="Arial" w:hAnsi="Arial" w:cs="Arial"/>
                <w:color w:val="000000"/>
                <w:sz w:val="22"/>
                <w:szCs w:val="22"/>
                <w:lang w:eastAsia="en-GB"/>
              </w:rPr>
              <w:t>1</w:t>
            </w:r>
          </w:p>
        </w:tc>
        <w:tc>
          <w:tcPr>
            <w:tcW w:w="428" w:type="pct"/>
          </w:tcPr>
          <w:p w14:paraId="735BCEA7" w14:textId="663FED11" w:rsidR="008D0EA5" w:rsidRPr="00E344DA" w:rsidRDefault="008D0EA5" w:rsidP="005B2876">
            <w:pPr>
              <w:rPr>
                <w:rFonts w:ascii="Arial" w:hAnsi="Arial" w:cs="Arial"/>
                <w:color w:val="000000"/>
                <w:sz w:val="22"/>
                <w:szCs w:val="22"/>
                <w:lang w:eastAsia="en-GB"/>
              </w:rPr>
            </w:pPr>
            <w:r w:rsidRPr="00E344DA">
              <w:rPr>
                <w:rFonts w:ascii="Arial" w:hAnsi="Arial" w:cs="Arial"/>
                <w:color w:val="000000"/>
                <w:sz w:val="22"/>
                <w:szCs w:val="22"/>
                <w:lang w:eastAsia="en-GB"/>
              </w:rPr>
              <w:t>13</w:t>
            </w:r>
          </w:p>
        </w:tc>
        <w:tc>
          <w:tcPr>
            <w:tcW w:w="1024" w:type="pct"/>
          </w:tcPr>
          <w:p w14:paraId="2413C3B2" w14:textId="1A886FD8" w:rsidR="008D0EA5" w:rsidRPr="00E344DA" w:rsidRDefault="008D0EA5" w:rsidP="005B2876">
            <w:pPr>
              <w:rPr>
                <w:rFonts w:ascii="Arial" w:hAnsi="Arial" w:cs="Arial"/>
                <w:color w:val="000000"/>
                <w:sz w:val="22"/>
                <w:szCs w:val="22"/>
                <w:lang w:eastAsia="en-GB"/>
              </w:rPr>
            </w:pPr>
            <w:r w:rsidRPr="00E344DA">
              <w:rPr>
                <w:rFonts w:ascii="Arial" w:hAnsi="Arial" w:cs="Arial"/>
                <w:color w:val="000000"/>
                <w:sz w:val="22"/>
                <w:szCs w:val="22"/>
                <w:lang w:eastAsia="en-GB"/>
              </w:rPr>
              <w:t>RCGP</w:t>
            </w:r>
          </w:p>
        </w:tc>
        <w:tc>
          <w:tcPr>
            <w:tcW w:w="2147" w:type="pct"/>
          </w:tcPr>
          <w:p w14:paraId="25475437" w14:textId="777821E1" w:rsidR="008D0EA5" w:rsidRPr="00E344DA" w:rsidRDefault="008D0EA5" w:rsidP="005B2876">
            <w:pPr>
              <w:rPr>
                <w:rFonts w:ascii="Arial" w:hAnsi="Arial" w:cs="Arial"/>
                <w:sz w:val="20"/>
              </w:rPr>
            </w:pPr>
            <w:r w:rsidRPr="00E344DA">
              <w:rPr>
                <w:rFonts w:ascii="Arial" w:hAnsi="Arial" w:cs="Arial"/>
                <w:sz w:val="22"/>
                <w:szCs w:val="28"/>
              </w:rPr>
              <w:t xml:space="preserve">Q13. Yes, the RCGP strongly supports individualised and personalised care approaches to care and agree that this is an appropriate approach. </w:t>
            </w:r>
          </w:p>
        </w:tc>
        <w:tc>
          <w:tcPr>
            <w:tcW w:w="1224" w:type="pct"/>
          </w:tcPr>
          <w:p w14:paraId="3E1868B1" w14:textId="10B84CE3" w:rsidR="008D0EA5" w:rsidRPr="00E344DA" w:rsidRDefault="00DB2921" w:rsidP="005B2876">
            <w:pPr>
              <w:rPr>
                <w:rFonts w:ascii="Arial" w:hAnsi="Arial" w:cs="Arial"/>
                <w:sz w:val="22"/>
                <w:szCs w:val="28"/>
              </w:rPr>
            </w:pPr>
            <w:r>
              <w:rPr>
                <w:rFonts w:ascii="Arial" w:hAnsi="Arial" w:cs="Arial"/>
                <w:sz w:val="22"/>
                <w:szCs w:val="28"/>
              </w:rPr>
              <w:t>Thank you for your comment.</w:t>
            </w:r>
          </w:p>
        </w:tc>
      </w:tr>
    </w:tbl>
    <w:p w14:paraId="6DD7BE64" w14:textId="7F8466E7" w:rsidR="00212C54" w:rsidRDefault="00EE4DCB" w:rsidP="00982090">
      <w:pPr>
        <w:pStyle w:val="Paragraph"/>
      </w:pPr>
      <w:r w:rsidRPr="00EE4DCB">
        <w:t>Question 14: NICE is attempting to quantify the denominator size for this indicator as there should be more than 20 patients per average practice for an indicator to be suitable for use in the QOF. Are you aware of any data that would assist us in estimating the number of patients at practice level?</w:t>
      </w:r>
    </w:p>
    <w:tbl>
      <w:tblPr>
        <w:tblStyle w:val="TableGrid"/>
        <w:tblW w:w="5000" w:type="pct"/>
        <w:tblLook w:val="04A0" w:firstRow="1" w:lastRow="0" w:firstColumn="1" w:lastColumn="0" w:noHBand="0" w:noVBand="1"/>
      </w:tblPr>
      <w:tblGrid>
        <w:gridCol w:w="494"/>
        <w:gridCol w:w="1194"/>
        <w:gridCol w:w="2857"/>
        <w:gridCol w:w="5990"/>
        <w:gridCol w:w="3415"/>
      </w:tblGrid>
      <w:tr w:rsidR="009F5C6B" w:rsidRPr="00215444" w14:paraId="10981001" w14:textId="77777777" w:rsidTr="00342C38">
        <w:trPr>
          <w:tblHeader/>
        </w:trPr>
        <w:tc>
          <w:tcPr>
            <w:tcW w:w="177" w:type="pct"/>
            <w:noWrap/>
            <w:hideMark/>
          </w:tcPr>
          <w:p w14:paraId="1B1FA889" w14:textId="77777777" w:rsidR="009F5C6B" w:rsidRPr="00215444" w:rsidRDefault="009F5C6B" w:rsidP="00342C38">
            <w:pPr>
              <w:pStyle w:val="NICEnormal"/>
              <w:spacing w:line="240" w:lineRule="auto"/>
              <w:rPr>
                <w:rFonts w:cs="Arial"/>
                <w:b/>
                <w:sz w:val="22"/>
                <w:szCs w:val="22"/>
              </w:rPr>
            </w:pPr>
            <w:r>
              <w:rPr>
                <w:rFonts w:cs="Arial"/>
                <w:b/>
                <w:sz w:val="22"/>
                <w:szCs w:val="22"/>
              </w:rPr>
              <w:t>ID</w:t>
            </w:r>
          </w:p>
        </w:tc>
        <w:tc>
          <w:tcPr>
            <w:tcW w:w="428" w:type="pct"/>
          </w:tcPr>
          <w:p w14:paraId="2891402D" w14:textId="77777777" w:rsidR="009F5C6B" w:rsidRPr="00215444" w:rsidRDefault="009F5C6B"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6757BEDC" w14:textId="77777777" w:rsidR="009F5C6B" w:rsidRPr="00215444" w:rsidRDefault="009F5C6B"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2C41E6D3" w14:textId="77777777" w:rsidR="009F5C6B" w:rsidRPr="00215444" w:rsidRDefault="009F5C6B"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7740EB84" w14:textId="77777777" w:rsidR="009F5C6B" w:rsidRPr="00215444" w:rsidRDefault="009F5C6B" w:rsidP="00342C38">
            <w:pPr>
              <w:pStyle w:val="NICEnormal"/>
              <w:spacing w:line="240" w:lineRule="auto"/>
              <w:rPr>
                <w:rFonts w:cs="Arial"/>
                <w:b/>
                <w:sz w:val="22"/>
                <w:szCs w:val="22"/>
              </w:rPr>
            </w:pPr>
            <w:r>
              <w:rPr>
                <w:rFonts w:cs="Arial"/>
                <w:b/>
                <w:sz w:val="22"/>
                <w:szCs w:val="22"/>
              </w:rPr>
              <w:t>NICE response</w:t>
            </w:r>
          </w:p>
        </w:tc>
      </w:tr>
      <w:tr w:rsidR="008D0EA5" w:rsidRPr="00215444" w14:paraId="7352BF88" w14:textId="26E53581" w:rsidTr="000528DF">
        <w:tc>
          <w:tcPr>
            <w:tcW w:w="177" w:type="pct"/>
          </w:tcPr>
          <w:p w14:paraId="4CF69DB4" w14:textId="7F18463F" w:rsidR="008D0EA5" w:rsidRPr="008513F1" w:rsidRDefault="008D0EA5" w:rsidP="005B2876">
            <w:pPr>
              <w:rPr>
                <w:rFonts w:ascii="Arial" w:hAnsi="Arial" w:cs="Arial"/>
                <w:color w:val="000000"/>
                <w:sz w:val="22"/>
                <w:szCs w:val="22"/>
                <w:lang w:eastAsia="en-GB"/>
              </w:rPr>
            </w:pPr>
            <w:r>
              <w:rPr>
                <w:rFonts w:ascii="Arial" w:hAnsi="Arial" w:cs="Arial"/>
                <w:color w:val="000000"/>
                <w:sz w:val="22"/>
                <w:szCs w:val="22"/>
                <w:lang w:eastAsia="en-GB"/>
              </w:rPr>
              <w:t>4</w:t>
            </w:r>
            <w:r w:rsidR="000444C3">
              <w:rPr>
                <w:rFonts w:ascii="Arial" w:hAnsi="Arial" w:cs="Arial"/>
                <w:color w:val="000000"/>
                <w:sz w:val="22"/>
                <w:szCs w:val="22"/>
                <w:lang w:eastAsia="en-GB"/>
              </w:rPr>
              <w:t>2</w:t>
            </w:r>
          </w:p>
        </w:tc>
        <w:tc>
          <w:tcPr>
            <w:tcW w:w="428" w:type="pct"/>
          </w:tcPr>
          <w:p w14:paraId="2C0CDBC8" w14:textId="2B88FF52" w:rsidR="008D0EA5" w:rsidRPr="00E344DA" w:rsidRDefault="008D0EA5" w:rsidP="005B2876">
            <w:pPr>
              <w:rPr>
                <w:rFonts w:ascii="Arial" w:hAnsi="Arial" w:cs="Arial"/>
                <w:color w:val="000000"/>
                <w:sz w:val="22"/>
                <w:szCs w:val="22"/>
                <w:lang w:eastAsia="en-GB"/>
              </w:rPr>
            </w:pPr>
            <w:r w:rsidRPr="00E344DA">
              <w:rPr>
                <w:rFonts w:ascii="Arial" w:hAnsi="Arial" w:cs="Arial"/>
                <w:color w:val="000000"/>
                <w:sz w:val="22"/>
                <w:szCs w:val="22"/>
                <w:lang w:eastAsia="en-GB"/>
              </w:rPr>
              <w:t>14</w:t>
            </w:r>
          </w:p>
        </w:tc>
        <w:tc>
          <w:tcPr>
            <w:tcW w:w="1024" w:type="pct"/>
          </w:tcPr>
          <w:p w14:paraId="045855E3" w14:textId="19B46548" w:rsidR="008D0EA5" w:rsidRPr="00E344DA" w:rsidRDefault="008D0EA5" w:rsidP="005B2876">
            <w:pPr>
              <w:rPr>
                <w:rFonts w:ascii="Arial" w:hAnsi="Arial" w:cs="Arial"/>
                <w:color w:val="000000"/>
                <w:sz w:val="22"/>
                <w:szCs w:val="22"/>
                <w:lang w:eastAsia="en-GB"/>
              </w:rPr>
            </w:pPr>
            <w:r w:rsidRPr="00E344DA">
              <w:rPr>
                <w:rFonts w:ascii="Arial" w:hAnsi="Arial" w:cs="Arial"/>
                <w:color w:val="000000"/>
                <w:sz w:val="22"/>
                <w:szCs w:val="22"/>
                <w:lang w:eastAsia="en-GB"/>
              </w:rPr>
              <w:t>RCGP</w:t>
            </w:r>
          </w:p>
        </w:tc>
        <w:tc>
          <w:tcPr>
            <w:tcW w:w="2147" w:type="pct"/>
          </w:tcPr>
          <w:p w14:paraId="4BE38ADB" w14:textId="6BDFE3D4" w:rsidR="008D0EA5" w:rsidRPr="00EE065C" w:rsidRDefault="008D0EA5" w:rsidP="005B2876">
            <w:pPr>
              <w:rPr>
                <w:rFonts w:ascii="Arial" w:hAnsi="Arial" w:cs="Arial"/>
                <w:color w:val="000000"/>
                <w:sz w:val="22"/>
                <w:szCs w:val="22"/>
                <w:highlight w:val="cyan"/>
                <w:lang w:eastAsia="en-GB"/>
              </w:rPr>
            </w:pPr>
            <w:r w:rsidRPr="00E344DA">
              <w:rPr>
                <w:rFonts w:ascii="Arial" w:hAnsi="Arial" w:cs="Arial"/>
                <w:color w:val="000000"/>
                <w:sz w:val="22"/>
                <w:szCs w:val="22"/>
                <w:lang w:eastAsia="en-GB"/>
              </w:rPr>
              <w:t>Q14.We expect the denominator to be small and do not have any data that could assist with defining the population size</w:t>
            </w:r>
            <w:r>
              <w:rPr>
                <w:rFonts w:ascii="Arial" w:hAnsi="Arial" w:cs="Arial"/>
                <w:color w:val="000000"/>
                <w:sz w:val="22"/>
                <w:szCs w:val="22"/>
                <w:lang w:eastAsia="en-GB"/>
              </w:rPr>
              <w:t>.</w:t>
            </w:r>
          </w:p>
        </w:tc>
        <w:tc>
          <w:tcPr>
            <w:tcW w:w="1224" w:type="pct"/>
          </w:tcPr>
          <w:p w14:paraId="42426849" w14:textId="4A22FD11" w:rsidR="008D0EA5" w:rsidRPr="00E344DA" w:rsidRDefault="00DB2921" w:rsidP="005B2876">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bookmarkEnd w:id="118"/>
      <w:bookmarkEnd w:id="120"/>
    </w:tbl>
    <w:p w14:paraId="418C8A7A" w14:textId="6FBE3A92" w:rsidR="000528DF" w:rsidRDefault="000528DF" w:rsidP="00E249E4">
      <w:pPr>
        <w:pStyle w:val="Paragraph"/>
        <w:spacing w:line="240" w:lineRule="auto"/>
        <w:rPr>
          <w:rFonts w:cs="Arial"/>
          <w:sz w:val="22"/>
          <w:szCs w:val="22"/>
        </w:rPr>
      </w:pPr>
    </w:p>
    <w:p w14:paraId="6FD9EB4C" w14:textId="77777777" w:rsidR="000528DF" w:rsidRDefault="000528DF">
      <w:pPr>
        <w:rPr>
          <w:rFonts w:ascii="Arial" w:hAnsi="Arial" w:cs="Arial"/>
          <w:sz w:val="22"/>
          <w:szCs w:val="22"/>
        </w:rPr>
      </w:pPr>
      <w:r>
        <w:rPr>
          <w:rFonts w:cs="Arial"/>
          <w:sz w:val="22"/>
          <w:szCs w:val="22"/>
        </w:rPr>
        <w:br w:type="page"/>
      </w:r>
    </w:p>
    <w:p w14:paraId="10FDB2BA" w14:textId="210BCF27" w:rsidR="00E24E02" w:rsidRDefault="000528DF" w:rsidP="00056978">
      <w:pPr>
        <w:pStyle w:val="Heading1"/>
      </w:pPr>
      <w:bookmarkStart w:id="122" w:name="_Toc108167971"/>
      <w:r>
        <w:lastRenderedPageBreak/>
        <w:t>Appendix 2: Consultation comments from respondents with links to the tobacco industry</w:t>
      </w:r>
      <w:bookmarkEnd w:id="122"/>
    </w:p>
    <w:p w14:paraId="5D16DF16" w14:textId="15803E78" w:rsidR="000528DF" w:rsidRDefault="000528DF" w:rsidP="00E249E4">
      <w:pPr>
        <w:pStyle w:val="Paragraph"/>
        <w:spacing w:line="240" w:lineRule="auto"/>
        <w:rPr>
          <w:rFonts w:cs="Arial"/>
          <w:sz w:val="22"/>
          <w:szCs w:val="22"/>
        </w:rPr>
      </w:pPr>
      <w:r>
        <w:rPr>
          <w:rFonts w:cs="Arial"/>
          <w:sz w:val="22"/>
          <w:szCs w:val="22"/>
        </w:rPr>
        <w:t>Bayer declared that:</w:t>
      </w:r>
    </w:p>
    <w:p w14:paraId="24D4C729" w14:textId="77777777" w:rsidR="000528DF" w:rsidRPr="000528DF" w:rsidRDefault="000528DF" w:rsidP="000528DF">
      <w:pPr>
        <w:pStyle w:val="Bulletleft1"/>
        <w:numPr>
          <w:ilvl w:val="0"/>
          <w:numId w:val="47"/>
        </w:numPr>
        <w:rPr>
          <w:sz w:val="22"/>
          <w:szCs w:val="22"/>
        </w:rPr>
      </w:pPr>
      <w:r w:rsidRPr="000528DF">
        <w:rPr>
          <w:sz w:val="22"/>
          <w:szCs w:val="22"/>
        </w:rPr>
        <w:t>Bayer does not have direct or indirect links with, or funding from, manufacturers, distributors or sellers of smoking products but Bayer provides pesticides for crops, which would therefore include tobacco crops.  </w:t>
      </w:r>
    </w:p>
    <w:p w14:paraId="11E92360" w14:textId="77777777" w:rsidR="000528DF" w:rsidRPr="000528DF" w:rsidRDefault="000528DF" w:rsidP="000528DF">
      <w:pPr>
        <w:pStyle w:val="Bulletleft1"/>
        <w:numPr>
          <w:ilvl w:val="0"/>
          <w:numId w:val="47"/>
        </w:numPr>
        <w:rPr>
          <w:sz w:val="22"/>
          <w:szCs w:val="22"/>
        </w:rPr>
      </w:pPr>
      <w:r w:rsidRPr="000528DF">
        <w:rPr>
          <w:sz w:val="22"/>
          <w:szCs w:val="22"/>
        </w:rPr>
        <w:t>Bayer is a member of the Cooperation Centre for Scientific Research Relative to Tobacco (CORESTA) (</w:t>
      </w:r>
      <w:hyperlink r:id="rId27" w:history="1">
        <w:r w:rsidRPr="000528DF">
          <w:rPr>
            <w:rStyle w:val="Hyperlink"/>
            <w:rFonts w:cs="Arial"/>
            <w:sz w:val="22"/>
            <w:szCs w:val="22"/>
          </w:rPr>
          <w:t>http://www.coresta.org/</w:t>
        </w:r>
      </w:hyperlink>
      <w:r w:rsidRPr="000528DF">
        <w:rPr>
          <w:sz w:val="22"/>
          <w:szCs w:val="22"/>
        </w:rPr>
        <w:t xml:space="preserve">) within the scope of recommendations of pesticides used for protection of tobacco plants. </w:t>
      </w:r>
    </w:p>
    <w:p w14:paraId="3DCDDBDF" w14:textId="77777777" w:rsidR="000528DF" w:rsidRPr="000528DF" w:rsidRDefault="000528DF" w:rsidP="000528DF">
      <w:pPr>
        <w:pStyle w:val="Bulletleft1"/>
        <w:numPr>
          <w:ilvl w:val="0"/>
          <w:numId w:val="47"/>
        </w:numPr>
        <w:rPr>
          <w:sz w:val="22"/>
          <w:szCs w:val="22"/>
        </w:rPr>
      </w:pPr>
      <w:r w:rsidRPr="000528DF">
        <w:rPr>
          <w:sz w:val="22"/>
          <w:szCs w:val="22"/>
        </w:rPr>
        <w:t>It is also a member of country and EU business federations such as the Confederation of British Industry (CBI) and </w:t>
      </w:r>
      <w:r w:rsidRPr="000528DF">
        <w:rPr>
          <w:sz w:val="22"/>
          <w:szCs w:val="22"/>
          <w:lang w:val="en"/>
        </w:rPr>
        <w:t xml:space="preserve">‘Business Europe’, which include tobacco companies. </w:t>
      </w:r>
    </w:p>
    <w:p w14:paraId="73E9494C" w14:textId="082251CA" w:rsidR="000528DF" w:rsidRDefault="000528DF" w:rsidP="000528DF">
      <w:pPr>
        <w:pStyle w:val="Bulletleft1last"/>
        <w:numPr>
          <w:ilvl w:val="0"/>
          <w:numId w:val="47"/>
        </w:numPr>
        <w:rPr>
          <w:sz w:val="22"/>
          <w:szCs w:val="22"/>
        </w:rPr>
      </w:pPr>
      <w:r w:rsidRPr="000528DF">
        <w:rPr>
          <w:sz w:val="22"/>
          <w:szCs w:val="22"/>
        </w:rPr>
        <w:t>In 2006, Bayer and its subsidiary Icon Genetics piloted a new process for producing biotech drugs in tobacco plants. Icon Genetics was acquired by Nomad Bioscience GmbH from Bayer in 2012.</w:t>
      </w:r>
    </w:p>
    <w:p w14:paraId="27A8688F" w14:textId="5E271D5B" w:rsidR="00EE4DCB" w:rsidRPr="000528DF" w:rsidRDefault="00EE4DCB" w:rsidP="00982090">
      <w:pPr>
        <w:pStyle w:val="Paragraph"/>
      </w:pPr>
      <w:r>
        <w:t xml:space="preserve">General comments </w:t>
      </w:r>
    </w:p>
    <w:tbl>
      <w:tblPr>
        <w:tblStyle w:val="TableGrid"/>
        <w:tblW w:w="5000" w:type="pct"/>
        <w:tblLook w:val="04A0" w:firstRow="1" w:lastRow="0" w:firstColumn="1" w:lastColumn="0" w:noHBand="0" w:noVBand="1"/>
      </w:tblPr>
      <w:tblGrid>
        <w:gridCol w:w="494"/>
        <w:gridCol w:w="1194"/>
        <w:gridCol w:w="2857"/>
        <w:gridCol w:w="5990"/>
        <w:gridCol w:w="3415"/>
      </w:tblGrid>
      <w:tr w:rsidR="000528DF" w:rsidRPr="00215444" w14:paraId="71400FD8" w14:textId="77777777" w:rsidTr="000528DF">
        <w:trPr>
          <w:tblHeader/>
        </w:trPr>
        <w:tc>
          <w:tcPr>
            <w:tcW w:w="177" w:type="pct"/>
            <w:noWrap/>
            <w:hideMark/>
          </w:tcPr>
          <w:p w14:paraId="38F23C9C" w14:textId="77777777" w:rsidR="000528DF" w:rsidRPr="00215444" w:rsidRDefault="000528DF" w:rsidP="00F4507D">
            <w:pPr>
              <w:pStyle w:val="NICEnormal"/>
              <w:spacing w:line="240" w:lineRule="auto"/>
              <w:rPr>
                <w:rFonts w:cs="Arial"/>
                <w:b/>
                <w:sz w:val="22"/>
                <w:szCs w:val="22"/>
              </w:rPr>
            </w:pPr>
            <w:r>
              <w:rPr>
                <w:rFonts w:cs="Arial"/>
                <w:b/>
                <w:sz w:val="22"/>
                <w:szCs w:val="22"/>
              </w:rPr>
              <w:t>ID</w:t>
            </w:r>
          </w:p>
        </w:tc>
        <w:tc>
          <w:tcPr>
            <w:tcW w:w="428" w:type="pct"/>
          </w:tcPr>
          <w:p w14:paraId="400C0BD5" w14:textId="77777777" w:rsidR="000528DF" w:rsidRPr="00215444" w:rsidRDefault="000528DF" w:rsidP="00F4507D">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292EB815" w14:textId="77777777" w:rsidR="000528DF" w:rsidRPr="00215444" w:rsidRDefault="000528DF" w:rsidP="00F4507D">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0058BEF8" w14:textId="77777777" w:rsidR="000528DF" w:rsidRPr="00215444" w:rsidRDefault="000528DF" w:rsidP="00F4507D">
            <w:pPr>
              <w:pStyle w:val="NICEnormal"/>
              <w:spacing w:line="240" w:lineRule="auto"/>
              <w:rPr>
                <w:rFonts w:cs="Arial"/>
                <w:b/>
                <w:sz w:val="22"/>
                <w:szCs w:val="22"/>
              </w:rPr>
            </w:pPr>
            <w:r w:rsidRPr="00215444">
              <w:rPr>
                <w:rFonts w:cs="Arial"/>
                <w:b/>
                <w:sz w:val="22"/>
                <w:szCs w:val="22"/>
              </w:rPr>
              <w:t>Comment</w:t>
            </w:r>
          </w:p>
        </w:tc>
        <w:tc>
          <w:tcPr>
            <w:tcW w:w="1224" w:type="pct"/>
          </w:tcPr>
          <w:p w14:paraId="67A2F28E" w14:textId="1AF63C74" w:rsidR="000528DF" w:rsidRPr="00215444" w:rsidRDefault="00EE4DCB" w:rsidP="00F4507D">
            <w:pPr>
              <w:pStyle w:val="NICEnormal"/>
              <w:spacing w:line="240" w:lineRule="auto"/>
              <w:rPr>
                <w:rFonts w:cs="Arial"/>
                <w:b/>
                <w:sz w:val="22"/>
                <w:szCs w:val="22"/>
              </w:rPr>
            </w:pPr>
            <w:r>
              <w:rPr>
                <w:rFonts w:cs="Arial"/>
                <w:b/>
                <w:sz w:val="22"/>
                <w:szCs w:val="22"/>
              </w:rPr>
              <w:t>NICE response</w:t>
            </w:r>
          </w:p>
        </w:tc>
      </w:tr>
      <w:tr w:rsidR="000528DF" w:rsidRPr="005B2876" w14:paraId="29FFC721" w14:textId="77777777" w:rsidTr="000528DF">
        <w:tc>
          <w:tcPr>
            <w:tcW w:w="177" w:type="pct"/>
            <w:hideMark/>
          </w:tcPr>
          <w:p w14:paraId="24EAB148" w14:textId="36023717" w:rsidR="000528DF" w:rsidRPr="005B73E7" w:rsidRDefault="000528DF" w:rsidP="000528DF">
            <w:pPr>
              <w:rPr>
                <w:rFonts w:ascii="Arial" w:hAnsi="Arial" w:cs="Arial"/>
                <w:color w:val="000000"/>
                <w:sz w:val="22"/>
                <w:szCs w:val="22"/>
                <w:lang w:eastAsia="en-GB"/>
              </w:rPr>
            </w:pPr>
            <w:r>
              <w:rPr>
                <w:rFonts w:ascii="Arial" w:hAnsi="Arial" w:cs="Arial"/>
                <w:color w:val="000000"/>
                <w:sz w:val="22"/>
                <w:szCs w:val="22"/>
                <w:lang w:eastAsia="en-GB"/>
              </w:rPr>
              <w:t>01</w:t>
            </w:r>
          </w:p>
        </w:tc>
        <w:tc>
          <w:tcPr>
            <w:tcW w:w="428" w:type="pct"/>
            <w:hideMark/>
          </w:tcPr>
          <w:p w14:paraId="5A9FD772" w14:textId="4ACFB43E" w:rsidR="000528DF" w:rsidRPr="005B73E7"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General</w:t>
            </w:r>
          </w:p>
        </w:tc>
        <w:tc>
          <w:tcPr>
            <w:tcW w:w="1024" w:type="pct"/>
            <w:hideMark/>
          </w:tcPr>
          <w:p w14:paraId="41190469" w14:textId="1F3949A5" w:rsidR="000528DF" w:rsidRPr="005B73E7" w:rsidRDefault="000528DF" w:rsidP="000528DF">
            <w:pPr>
              <w:rPr>
                <w:rFonts w:ascii="Arial" w:hAnsi="Arial" w:cs="Arial"/>
                <w:sz w:val="22"/>
                <w:szCs w:val="22"/>
              </w:rPr>
            </w:pPr>
            <w:r w:rsidRPr="00A94A2F">
              <w:rPr>
                <w:rFonts w:ascii="Arial" w:hAnsi="Arial" w:cs="Arial"/>
                <w:color w:val="000000"/>
                <w:sz w:val="22"/>
                <w:szCs w:val="22"/>
                <w:lang w:eastAsia="en-GB"/>
              </w:rPr>
              <w:t>Bayer PLC</w:t>
            </w:r>
          </w:p>
        </w:tc>
        <w:tc>
          <w:tcPr>
            <w:tcW w:w="2147" w:type="pct"/>
            <w:hideMark/>
          </w:tcPr>
          <w:p w14:paraId="4EFE9F4C"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Whilst not included within this consultation, there are further indicators which could be proposed regarding identification of CKD in patients with risk factors, for example diabetes, hypertension and cardiovascular disease, all conditions for which GPs would have existing registers. Testing for CKD in such patients and others at risk of CKD is recommended in NG203, section 1.1.21 by measuring eGFR and UACR.</w:t>
            </w:r>
          </w:p>
          <w:p w14:paraId="1932028D" w14:textId="77777777" w:rsidR="000528DF" w:rsidRPr="00A94A2F" w:rsidRDefault="000528DF" w:rsidP="000528DF">
            <w:pPr>
              <w:rPr>
                <w:rFonts w:ascii="Arial" w:hAnsi="Arial" w:cs="Arial"/>
                <w:color w:val="000000"/>
                <w:sz w:val="22"/>
                <w:szCs w:val="22"/>
                <w:lang w:eastAsia="en-GB"/>
              </w:rPr>
            </w:pPr>
          </w:p>
          <w:p w14:paraId="2E9889D4"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 xml:space="preserve">Taking hypertension as an example, according to the National CKD audit (1) using a low threshold of tests every </w:t>
            </w:r>
            <w:r w:rsidRPr="00A94A2F">
              <w:rPr>
                <w:rFonts w:ascii="Arial" w:hAnsi="Arial" w:cs="Arial"/>
                <w:color w:val="000000"/>
                <w:sz w:val="22"/>
                <w:szCs w:val="22"/>
                <w:lang w:eastAsia="en-GB"/>
              </w:rPr>
              <w:lastRenderedPageBreak/>
              <w:t>five years – GPs measure eGFR with a median testing rate of 95.1%, but ACR testing over the five-year period remains very low at 27.7%. Therefore, the large proportion of the population with hypertension could benefit from improved proteinuria and eGFR testing. This is supported by Quality statement 1 of the Quality standard for chronic kidney disease in adults: ‘Routine monitoring of key markers of kidney function for adults with, or at risk of, CKD will enable earlier diagnosis and early action to reduce the risks of CKD progression, such as cardiovascular disease, end-stage kidney disease and mortality’ (2).</w:t>
            </w:r>
          </w:p>
          <w:p w14:paraId="2CEC631B" w14:textId="77777777" w:rsidR="000528DF" w:rsidRPr="00A94A2F" w:rsidRDefault="000528DF" w:rsidP="000528DF">
            <w:pPr>
              <w:rPr>
                <w:rFonts w:ascii="Arial" w:hAnsi="Arial" w:cs="Arial"/>
                <w:color w:val="000000"/>
                <w:sz w:val="22"/>
                <w:szCs w:val="22"/>
                <w:lang w:eastAsia="en-GB"/>
              </w:rPr>
            </w:pPr>
          </w:p>
          <w:p w14:paraId="03A2DB87"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(1)</w:t>
            </w:r>
            <w:r w:rsidRPr="00A94A2F">
              <w:rPr>
                <w:rFonts w:ascii="Arial" w:hAnsi="Arial" w:cs="Arial"/>
                <w:color w:val="000000"/>
                <w:sz w:val="22"/>
                <w:szCs w:val="22"/>
                <w:lang w:eastAsia="en-GB"/>
              </w:rPr>
              <w:tab/>
              <w:t>Nitsch D, Caplin B, Hull S and Wheeler DC on behalf of the National CKD Audit and Quality Improvement Programme in Primary Care, First National CKD Audit Report 2017.</w:t>
            </w:r>
          </w:p>
          <w:p w14:paraId="77CAFB5F" w14:textId="19CC7FEB" w:rsidR="000528DF" w:rsidRPr="00EE065C" w:rsidRDefault="000528DF" w:rsidP="000528DF">
            <w:pPr>
              <w:rPr>
                <w:rFonts w:ascii="Arial" w:hAnsi="Arial" w:cs="Arial"/>
                <w:sz w:val="22"/>
                <w:szCs w:val="22"/>
              </w:rPr>
            </w:pPr>
            <w:r w:rsidRPr="00A94A2F">
              <w:rPr>
                <w:rFonts w:ascii="Arial" w:hAnsi="Arial" w:cs="Arial"/>
                <w:color w:val="000000"/>
                <w:sz w:val="22"/>
                <w:szCs w:val="22"/>
                <w:lang w:eastAsia="en-GB"/>
              </w:rPr>
              <w:t>NICE. Quality standard [QS5] chronic kidney disease in adults. Last update July 2017.</w:t>
            </w:r>
          </w:p>
        </w:tc>
        <w:tc>
          <w:tcPr>
            <w:tcW w:w="1224" w:type="pct"/>
          </w:tcPr>
          <w:p w14:paraId="411A5370" w14:textId="181687CE" w:rsidR="000528DF" w:rsidRPr="005B2876" w:rsidRDefault="000528DF" w:rsidP="000528DF">
            <w:pPr>
              <w:rPr>
                <w:rFonts w:ascii="Arial" w:hAnsi="Arial" w:cs="Arial"/>
                <w:sz w:val="22"/>
                <w:szCs w:val="22"/>
              </w:rPr>
            </w:pPr>
            <w:r>
              <w:rPr>
                <w:rFonts w:ascii="Arial" w:hAnsi="Arial" w:cs="Arial"/>
                <w:color w:val="000000"/>
                <w:sz w:val="22"/>
                <w:szCs w:val="22"/>
                <w:lang w:eastAsia="en-GB"/>
              </w:rPr>
              <w:lastRenderedPageBreak/>
              <w:t>Thank you for your comment. Potential indicators on testing in people with risk factors were discussed at the indicator advisory committee in September 2021. Indicator NM214 on testing in people on long-term NSAIDs was progressed.</w:t>
            </w:r>
          </w:p>
        </w:tc>
      </w:tr>
    </w:tbl>
    <w:p w14:paraId="25D60B13" w14:textId="407BDD37" w:rsidR="00EE4DCB" w:rsidRDefault="00EE4DCB" w:rsidP="00982090">
      <w:pPr>
        <w:pStyle w:val="Paragraph"/>
      </w:pPr>
      <w:r>
        <w:t xml:space="preserve">IND2021-119 General comments </w:t>
      </w:r>
    </w:p>
    <w:tbl>
      <w:tblPr>
        <w:tblStyle w:val="TableGrid"/>
        <w:tblW w:w="5000" w:type="pct"/>
        <w:tblLook w:val="04A0" w:firstRow="1" w:lastRow="0" w:firstColumn="1" w:lastColumn="0" w:noHBand="0" w:noVBand="1"/>
      </w:tblPr>
      <w:tblGrid>
        <w:gridCol w:w="494"/>
        <w:gridCol w:w="1194"/>
        <w:gridCol w:w="2857"/>
        <w:gridCol w:w="5990"/>
        <w:gridCol w:w="3415"/>
      </w:tblGrid>
      <w:tr w:rsidR="00EE4DCB" w:rsidRPr="00215444" w14:paraId="6DE4B7B7" w14:textId="77777777" w:rsidTr="00342C38">
        <w:trPr>
          <w:tblHeader/>
        </w:trPr>
        <w:tc>
          <w:tcPr>
            <w:tcW w:w="177" w:type="pct"/>
            <w:noWrap/>
            <w:hideMark/>
          </w:tcPr>
          <w:p w14:paraId="30CCF376" w14:textId="77777777" w:rsidR="00EE4DCB" w:rsidRPr="00215444" w:rsidRDefault="00EE4DCB" w:rsidP="00342C38">
            <w:pPr>
              <w:pStyle w:val="NICEnormal"/>
              <w:spacing w:line="240" w:lineRule="auto"/>
              <w:rPr>
                <w:rFonts w:cs="Arial"/>
                <w:b/>
                <w:sz w:val="22"/>
                <w:szCs w:val="22"/>
              </w:rPr>
            </w:pPr>
            <w:r>
              <w:rPr>
                <w:rFonts w:cs="Arial"/>
                <w:b/>
                <w:sz w:val="22"/>
                <w:szCs w:val="22"/>
              </w:rPr>
              <w:t>ID</w:t>
            </w:r>
          </w:p>
        </w:tc>
        <w:tc>
          <w:tcPr>
            <w:tcW w:w="428" w:type="pct"/>
          </w:tcPr>
          <w:p w14:paraId="41A4C01F" w14:textId="77777777" w:rsidR="00EE4DCB" w:rsidRPr="00215444" w:rsidRDefault="00EE4DCB"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686B3F53" w14:textId="77777777" w:rsidR="00EE4DCB" w:rsidRPr="00215444" w:rsidRDefault="00EE4DCB"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756939BA" w14:textId="77777777" w:rsidR="00EE4DCB" w:rsidRPr="00215444" w:rsidRDefault="00EE4DCB"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60D887F5" w14:textId="77777777" w:rsidR="00EE4DCB" w:rsidRPr="00215444" w:rsidRDefault="00EE4DCB" w:rsidP="00342C38">
            <w:pPr>
              <w:pStyle w:val="NICEnormal"/>
              <w:spacing w:line="240" w:lineRule="auto"/>
              <w:rPr>
                <w:rFonts w:cs="Arial"/>
                <w:b/>
                <w:sz w:val="22"/>
                <w:szCs w:val="22"/>
              </w:rPr>
            </w:pPr>
            <w:r>
              <w:rPr>
                <w:rFonts w:cs="Arial"/>
                <w:b/>
                <w:sz w:val="22"/>
                <w:szCs w:val="22"/>
              </w:rPr>
              <w:t>NICE response</w:t>
            </w:r>
          </w:p>
        </w:tc>
      </w:tr>
      <w:tr w:rsidR="000528DF" w:rsidRPr="005B2876" w14:paraId="57F26F0E" w14:textId="77777777" w:rsidTr="000528DF">
        <w:tc>
          <w:tcPr>
            <w:tcW w:w="177" w:type="pct"/>
          </w:tcPr>
          <w:p w14:paraId="584ADD66" w14:textId="0351E4CC" w:rsidR="000528DF" w:rsidRDefault="00056978" w:rsidP="000528DF">
            <w:pPr>
              <w:rPr>
                <w:rFonts w:ascii="Arial" w:hAnsi="Arial" w:cs="Arial"/>
                <w:color w:val="000000"/>
                <w:sz w:val="22"/>
                <w:szCs w:val="22"/>
                <w:lang w:eastAsia="en-GB"/>
              </w:rPr>
            </w:pPr>
            <w:r>
              <w:rPr>
                <w:rFonts w:ascii="Arial" w:hAnsi="Arial" w:cs="Arial"/>
                <w:color w:val="000000"/>
                <w:sz w:val="22"/>
                <w:szCs w:val="22"/>
                <w:lang w:eastAsia="en-GB"/>
              </w:rPr>
              <w:t>02</w:t>
            </w:r>
          </w:p>
        </w:tc>
        <w:tc>
          <w:tcPr>
            <w:tcW w:w="428" w:type="pct"/>
          </w:tcPr>
          <w:p w14:paraId="4B1C6646" w14:textId="1BB51CCB"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IND2021-119</w:t>
            </w:r>
          </w:p>
        </w:tc>
        <w:tc>
          <w:tcPr>
            <w:tcW w:w="1024" w:type="pct"/>
          </w:tcPr>
          <w:p w14:paraId="1B8C6B91" w14:textId="0E1E62C1"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Bayer PLC</w:t>
            </w:r>
          </w:p>
        </w:tc>
        <w:tc>
          <w:tcPr>
            <w:tcW w:w="2147" w:type="pct"/>
          </w:tcPr>
          <w:p w14:paraId="3EBF32C5" w14:textId="77777777" w:rsidR="000528DF" w:rsidRPr="00E46E83" w:rsidRDefault="000528DF" w:rsidP="000528DF">
            <w:pPr>
              <w:rPr>
                <w:rFonts w:ascii="Arial" w:hAnsi="Arial" w:cs="Arial"/>
                <w:color w:val="000000"/>
                <w:sz w:val="22"/>
                <w:szCs w:val="22"/>
                <w:lang w:eastAsia="en-GB"/>
              </w:rPr>
            </w:pPr>
            <w:r w:rsidRPr="00E46E83">
              <w:rPr>
                <w:rFonts w:ascii="Arial" w:hAnsi="Arial" w:cs="Arial"/>
                <w:color w:val="000000"/>
                <w:sz w:val="22"/>
                <w:szCs w:val="22"/>
                <w:lang w:eastAsia="en-GB"/>
              </w:rPr>
              <w:t>Bayer welcome the proposal for this indicator:</w:t>
            </w:r>
          </w:p>
          <w:p w14:paraId="480B934C" w14:textId="77777777" w:rsidR="000528DF" w:rsidRPr="00E46E83" w:rsidRDefault="000528DF" w:rsidP="000528DF">
            <w:pPr>
              <w:rPr>
                <w:rFonts w:ascii="Arial" w:hAnsi="Arial" w:cs="Arial"/>
                <w:color w:val="000000"/>
                <w:sz w:val="22"/>
                <w:szCs w:val="22"/>
                <w:lang w:eastAsia="en-GB"/>
              </w:rPr>
            </w:pPr>
          </w:p>
          <w:p w14:paraId="7F1E9B61" w14:textId="77777777" w:rsidR="000528DF" w:rsidRPr="00E46E83" w:rsidRDefault="000528DF" w:rsidP="000528DF">
            <w:pPr>
              <w:rPr>
                <w:rFonts w:ascii="Arial" w:hAnsi="Arial" w:cs="Arial"/>
                <w:color w:val="000000"/>
                <w:sz w:val="22"/>
                <w:szCs w:val="22"/>
                <w:lang w:eastAsia="en-GB"/>
              </w:rPr>
            </w:pPr>
            <w:r w:rsidRPr="00E46E83">
              <w:rPr>
                <w:rFonts w:ascii="Arial" w:hAnsi="Arial" w:cs="Arial"/>
                <w:color w:val="000000"/>
                <w:sz w:val="22"/>
                <w:szCs w:val="22"/>
                <w:lang w:eastAsia="en-GB"/>
              </w:rPr>
              <w:t xml:space="preserve">The percentage of patients with a new diagnosis of CKD stage G3a-G5 (on the register, within the preceding 12 months) who had 2 separate eGFR tests undertaken prior </w:t>
            </w:r>
            <w:r w:rsidRPr="00E46E83">
              <w:rPr>
                <w:rFonts w:ascii="Arial" w:hAnsi="Arial" w:cs="Arial"/>
                <w:color w:val="000000"/>
                <w:sz w:val="22"/>
                <w:szCs w:val="22"/>
                <w:lang w:eastAsia="en-GB"/>
              </w:rPr>
              <w:lastRenderedPageBreak/>
              <w:t xml:space="preserve">to diagnosis being confirmed, with at least 90 days between tests and the second test no later than 90 days before the diagnosis was recorded. </w:t>
            </w:r>
          </w:p>
          <w:p w14:paraId="543BD119" w14:textId="77777777" w:rsidR="000528DF" w:rsidRPr="00E46E83" w:rsidRDefault="000528DF" w:rsidP="000528DF">
            <w:pPr>
              <w:rPr>
                <w:rFonts w:ascii="Arial" w:hAnsi="Arial" w:cs="Arial"/>
                <w:color w:val="000000"/>
                <w:sz w:val="22"/>
                <w:szCs w:val="22"/>
                <w:lang w:eastAsia="en-GB"/>
              </w:rPr>
            </w:pPr>
          </w:p>
          <w:p w14:paraId="15D18579" w14:textId="77777777" w:rsidR="000528DF" w:rsidRDefault="000528DF" w:rsidP="000528DF">
            <w:pPr>
              <w:rPr>
                <w:rFonts w:ascii="Arial" w:hAnsi="Arial" w:cs="Arial"/>
                <w:color w:val="000000"/>
                <w:sz w:val="22"/>
                <w:szCs w:val="22"/>
                <w:lang w:eastAsia="en-GB"/>
              </w:rPr>
            </w:pPr>
            <w:r w:rsidRPr="00E46E83">
              <w:rPr>
                <w:rFonts w:ascii="Arial" w:hAnsi="Arial" w:cs="Arial"/>
                <w:color w:val="000000"/>
                <w:sz w:val="22"/>
                <w:szCs w:val="22"/>
                <w:lang w:eastAsia="en-GB"/>
              </w:rPr>
              <w:t>According to the recent NICE guideline (NG203) (1): CKD is defined as “abnormalities of kidney function or structure present for more than 3 months, with implications for health. This includes all people with markers of kidney damage and those with a glomerular filtration rate (GFR) of less than 60ml/min/1.73m2 on at least 2 occasions separated by a period of at least 90 days (with or without markers of kidney damage)”.</w:t>
            </w:r>
          </w:p>
          <w:p w14:paraId="21FA412F" w14:textId="77777777" w:rsidR="000528DF" w:rsidRDefault="000528DF" w:rsidP="000528DF">
            <w:pPr>
              <w:rPr>
                <w:rFonts w:ascii="Arial" w:hAnsi="Arial" w:cs="Arial"/>
                <w:color w:val="000000"/>
                <w:sz w:val="22"/>
                <w:szCs w:val="22"/>
                <w:highlight w:val="cyan"/>
                <w:lang w:eastAsia="en-GB"/>
              </w:rPr>
            </w:pPr>
          </w:p>
          <w:p w14:paraId="18A373D4" w14:textId="77777777" w:rsidR="000528DF" w:rsidRPr="00E46E83" w:rsidRDefault="000528DF" w:rsidP="000528DF">
            <w:pPr>
              <w:rPr>
                <w:rFonts w:ascii="Arial" w:hAnsi="Arial" w:cs="Arial"/>
                <w:color w:val="000000"/>
                <w:sz w:val="22"/>
                <w:szCs w:val="22"/>
                <w:lang w:eastAsia="en-GB"/>
              </w:rPr>
            </w:pPr>
            <w:r w:rsidRPr="00E46E83">
              <w:rPr>
                <w:rFonts w:ascii="Arial" w:hAnsi="Arial" w:cs="Arial"/>
                <w:color w:val="000000"/>
                <w:sz w:val="22"/>
                <w:szCs w:val="22"/>
                <w:lang w:eastAsia="en-GB"/>
              </w:rPr>
              <w:t xml:space="preserve">As such, Bayer agrees that the proposed indicator will help ensure appropriate diagnosis of CKD which can guide ongoing advice, treatment and support with the aim of preservation of kidney function and reduction in the risk of comorbidities. </w:t>
            </w:r>
          </w:p>
          <w:p w14:paraId="519F57FE" w14:textId="77777777" w:rsidR="000528DF" w:rsidRPr="00E46E83" w:rsidRDefault="000528DF" w:rsidP="000528DF">
            <w:pPr>
              <w:rPr>
                <w:rFonts w:ascii="Arial" w:hAnsi="Arial" w:cs="Arial"/>
                <w:color w:val="000000"/>
                <w:sz w:val="22"/>
                <w:szCs w:val="22"/>
                <w:lang w:eastAsia="en-GB"/>
              </w:rPr>
            </w:pPr>
          </w:p>
          <w:p w14:paraId="68FF8C27" w14:textId="77777777" w:rsidR="000528DF" w:rsidRPr="00E46E83" w:rsidRDefault="000528DF" w:rsidP="000528DF">
            <w:pPr>
              <w:rPr>
                <w:rFonts w:ascii="Arial" w:hAnsi="Arial" w:cs="Arial"/>
                <w:color w:val="000000"/>
                <w:sz w:val="22"/>
                <w:szCs w:val="22"/>
                <w:lang w:eastAsia="en-GB"/>
              </w:rPr>
            </w:pPr>
          </w:p>
          <w:p w14:paraId="75074EDF" w14:textId="2EB0AF0D" w:rsidR="000528DF" w:rsidRPr="00A94A2F" w:rsidRDefault="000528DF" w:rsidP="000528DF">
            <w:pPr>
              <w:rPr>
                <w:rFonts w:ascii="Arial" w:hAnsi="Arial" w:cs="Arial"/>
                <w:color w:val="000000"/>
                <w:sz w:val="22"/>
                <w:szCs w:val="22"/>
                <w:lang w:eastAsia="en-GB"/>
              </w:rPr>
            </w:pPr>
            <w:r w:rsidRPr="00E46E83">
              <w:rPr>
                <w:rFonts w:ascii="Arial" w:hAnsi="Arial" w:cs="Arial"/>
                <w:color w:val="000000"/>
                <w:sz w:val="22"/>
                <w:szCs w:val="22"/>
                <w:lang w:eastAsia="en-GB"/>
              </w:rPr>
              <w:t>(1)</w:t>
            </w:r>
            <w:r w:rsidRPr="00E46E83">
              <w:rPr>
                <w:rFonts w:ascii="Arial" w:hAnsi="Arial" w:cs="Arial"/>
                <w:color w:val="000000"/>
                <w:sz w:val="22"/>
                <w:szCs w:val="22"/>
                <w:lang w:eastAsia="en-GB"/>
              </w:rPr>
              <w:tab/>
              <w:t>NICE. Chronic kidney disease: assessment and management. NICE guideline (NG203). August 2021.</w:t>
            </w:r>
          </w:p>
        </w:tc>
        <w:tc>
          <w:tcPr>
            <w:tcW w:w="1224" w:type="pct"/>
          </w:tcPr>
          <w:p w14:paraId="3469BFDE" w14:textId="4B385B5E" w:rsidR="000528DF" w:rsidRDefault="000528DF" w:rsidP="000528DF">
            <w:pPr>
              <w:rPr>
                <w:rFonts w:ascii="Arial" w:hAnsi="Arial" w:cs="Arial"/>
                <w:color w:val="000000"/>
                <w:sz w:val="22"/>
                <w:szCs w:val="22"/>
                <w:lang w:eastAsia="en-GB"/>
              </w:rPr>
            </w:pPr>
            <w:r>
              <w:rPr>
                <w:rFonts w:ascii="Arial" w:hAnsi="Arial" w:cs="Arial"/>
                <w:sz w:val="22"/>
                <w:szCs w:val="28"/>
              </w:rPr>
              <w:lastRenderedPageBreak/>
              <w:t>Thank you for your comment.</w:t>
            </w:r>
          </w:p>
        </w:tc>
      </w:tr>
    </w:tbl>
    <w:p w14:paraId="304ADFC9" w14:textId="77777777" w:rsidR="00EE4DCB" w:rsidRDefault="00EE4DCB"/>
    <w:tbl>
      <w:tblPr>
        <w:tblStyle w:val="TableGrid"/>
        <w:tblW w:w="5000" w:type="pct"/>
        <w:tblLook w:val="04A0" w:firstRow="1" w:lastRow="0" w:firstColumn="1" w:lastColumn="0" w:noHBand="0" w:noVBand="1"/>
      </w:tblPr>
      <w:tblGrid>
        <w:gridCol w:w="494"/>
        <w:gridCol w:w="1194"/>
        <w:gridCol w:w="2857"/>
        <w:gridCol w:w="5990"/>
        <w:gridCol w:w="3415"/>
      </w:tblGrid>
      <w:tr w:rsidR="00EE4DCB" w:rsidRPr="00215444" w14:paraId="51BCD0E8" w14:textId="77777777" w:rsidTr="00342C38">
        <w:trPr>
          <w:tblHeader/>
        </w:trPr>
        <w:tc>
          <w:tcPr>
            <w:tcW w:w="177" w:type="pct"/>
            <w:noWrap/>
            <w:hideMark/>
          </w:tcPr>
          <w:p w14:paraId="686A9ABE" w14:textId="77777777" w:rsidR="00EE4DCB" w:rsidRPr="00215444" w:rsidRDefault="00EE4DCB" w:rsidP="00342C38">
            <w:pPr>
              <w:pStyle w:val="NICEnormal"/>
              <w:spacing w:line="240" w:lineRule="auto"/>
              <w:rPr>
                <w:rFonts w:cs="Arial"/>
                <w:b/>
                <w:sz w:val="22"/>
                <w:szCs w:val="22"/>
              </w:rPr>
            </w:pPr>
            <w:r>
              <w:rPr>
                <w:rFonts w:cs="Arial"/>
                <w:b/>
                <w:sz w:val="22"/>
                <w:szCs w:val="22"/>
              </w:rPr>
              <w:t>ID</w:t>
            </w:r>
          </w:p>
        </w:tc>
        <w:tc>
          <w:tcPr>
            <w:tcW w:w="428" w:type="pct"/>
          </w:tcPr>
          <w:p w14:paraId="5CBF5CC3" w14:textId="77777777" w:rsidR="00EE4DCB" w:rsidRPr="00215444" w:rsidRDefault="00EE4DCB" w:rsidP="00342C38">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34569AB4" w14:textId="77777777" w:rsidR="00EE4DCB" w:rsidRPr="00215444" w:rsidRDefault="00EE4DCB" w:rsidP="00342C38">
            <w:pPr>
              <w:pStyle w:val="NICEnormal"/>
              <w:spacing w:line="240" w:lineRule="auto"/>
              <w:rPr>
                <w:rFonts w:cs="Arial"/>
                <w:b/>
                <w:sz w:val="22"/>
                <w:szCs w:val="22"/>
              </w:rPr>
            </w:pPr>
            <w:r w:rsidRPr="00215444">
              <w:rPr>
                <w:rFonts w:cs="Arial"/>
                <w:b/>
                <w:sz w:val="22"/>
                <w:szCs w:val="22"/>
              </w:rPr>
              <w:t>Stakeholder organisation</w:t>
            </w:r>
          </w:p>
        </w:tc>
        <w:tc>
          <w:tcPr>
            <w:tcW w:w="2147" w:type="pct"/>
            <w:hideMark/>
          </w:tcPr>
          <w:p w14:paraId="7979BA83" w14:textId="77777777" w:rsidR="00EE4DCB" w:rsidRPr="00215444" w:rsidRDefault="00EE4DCB" w:rsidP="00342C38">
            <w:pPr>
              <w:pStyle w:val="NICEnormal"/>
              <w:spacing w:line="240" w:lineRule="auto"/>
              <w:rPr>
                <w:rFonts w:cs="Arial"/>
                <w:b/>
                <w:sz w:val="22"/>
                <w:szCs w:val="22"/>
              </w:rPr>
            </w:pPr>
            <w:r w:rsidRPr="00215444">
              <w:rPr>
                <w:rFonts w:cs="Arial"/>
                <w:b/>
                <w:sz w:val="22"/>
                <w:szCs w:val="22"/>
              </w:rPr>
              <w:t>Comment</w:t>
            </w:r>
          </w:p>
        </w:tc>
        <w:tc>
          <w:tcPr>
            <w:tcW w:w="1224" w:type="pct"/>
          </w:tcPr>
          <w:p w14:paraId="4DF52C99" w14:textId="77777777" w:rsidR="00EE4DCB" w:rsidRPr="00215444" w:rsidRDefault="00EE4DCB" w:rsidP="00342C38">
            <w:pPr>
              <w:pStyle w:val="NICEnormal"/>
              <w:spacing w:line="240" w:lineRule="auto"/>
              <w:rPr>
                <w:rFonts w:cs="Arial"/>
                <w:b/>
                <w:sz w:val="22"/>
                <w:szCs w:val="22"/>
              </w:rPr>
            </w:pPr>
            <w:r>
              <w:rPr>
                <w:rFonts w:cs="Arial"/>
                <w:b/>
                <w:sz w:val="22"/>
                <w:szCs w:val="22"/>
              </w:rPr>
              <w:t>NICE response</w:t>
            </w:r>
          </w:p>
        </w:tc>
      </w:tr>
      <w:tr w:rsidR="000528DF" w:rsidRPr="005B2876" w14:paraId="002ACD83" w14:textId="77777777" w:rsidTr="000528DF">
        <w:tc>
          <w:tcPr>
            <w:tcW w:w="177" w:type="pct"/>
          </w:tcPr>
          <w:p w14:paraId="1E8FF584" w14:textId="7DD01873" w:rsidR="000528DF" w:rsidRDefault="00056978" w:rsidP="000528DF">
            <w:pPr>
              <w:rPr>
                <w:rFonts w:ascii="Arial" w:hAnsi="Arial" w:cs="Arial"/>
                <w:color w:val="000000"/>
                <w:sz w:val="22"/>
                <w:szCs w:val="22"/>
                <w:lang w:eastAsia="en-GB"/>
              </w:rPr>
            </w:pPr>
            <w:r>
              <w:rPr>
                <w:rFonts w:ascii="Arial" w:hAnsi="Arial" w:cs="Arial"/>
                <w:color w:val="000000"/>
                <w:sz w:val="22"/>
                <w:szCs w:val="22"/>
                <w:lang w:eastAsia="en-GB"/>
              </w:rPr>
              <w:t>03</w:t>
            </w:r>
          </w:p>
        </w:tc>
        <w:tc>
          <w:tcPr>
            <w:tcW w:w="428" w:type="pct"/>
          </w:tcPr>
          <w:p w14:paraId="13CA8426" w14:textId="4ED6EFF0"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IND2021-120</w:t>
            </w:r>
          </w:p>
        </w:tc>
        <w:tc>
          <w:tcPr>
            <w:tcW w:w="1024" w:type="pct"/>
          </w:tcPr>
          <w:p w14:paraId="5B3C6C50" w14:textId="26BF9C3C"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Bayer PLC</w:t>
            </w:r>
          </w:p>
        </w:tc>
        <w:tc>
          <w:tcPr>
            <w:tcW w:w="2147" w:type="pct"/>
          </w:tcPr>
          <w:p w14:paraId="1FD97FAB" w14:textId="77777777" w:rsidR="000528DF" w:rsidRPr="00E46E83" w:rsidRDefault="000528DF" w:rsidP="000528DF">
            <w:pPr>
              <w:rPr>
                <w:rFonts w:ascii="Arial" w:hAnsi="Arial" w:cs="Arial"/>
                <w:color w:val="000000"/>
                <w:sz w:val="22"/>
                <w:szCs w:val="22"/>
                <w:lang w:eastAsia="en-GB"/>
              </w:rPr>
            </w:pPr>
            <w:r w:rsidRPr="00E46E83">
              <w:rPr>
                <w:rFonts w:ascii="Arial" w:hAnsi="Arial" w:cs="Arial"/>
                <w:color w:val="000000"/>
                <w:sz w:val="22"/>
                <w:szCs w:val="22"/>
                <w:lang w:eastAsia="en-GB"/>
              </w:rPr>
              <w:t>Bayer welcome the proposal for this indicator:</w:t>
            </w:r>
          </w:p>
          <w:p w14:paraId="76037CBD" w14:textId="77777777" w:rsidR="000528DF" w:rsidRPr="00E46E83" w:rsidRDefault="000528DF" w:rsidP="000528DF">
            <w:pPr>
              <w:rPr>
                <w:rFonts w:ascii="Arial" w:hAnsi="Arial" w:cs="Arial"/>
                <w:color w:val="000000"/>
                <w:sz w:val="22"/>
                <w:szCs w:val="22"/>
                <w:lang w:eastAsia="en-GB"/>
              </w:rPr>
            </w:pPr>
          </w:p>
          <w:p w14:paraId="7ED552A5" w14:textId="77777777" w:rsidR="000528DF" w:rsidRPr="00E46E83" w:rsidRDefault="000528DF" w:rsidP="000528DF">
            <w:pPr>
              <w:rPr>
                <w:rFonts w:ascii="Arial" w:hAnsi="Arial" w:cs="Arial"/>
                <w:color w:val="000000"/>
                <w:sz w:val="22"/>
                <w:szCs w:val="22"/>
                <w:lang w:eastAsia="en-GB"/>
              </w:rPr>
            </w:pPr>
            <w:r w:rsidRPr="00E46E83">
              <w:rPr>
                <w:rFonts w:ascii="Arial" w:hAnsi="Arial" w:cs="Arial"/>
                <w:color w:val="000000"/>
                <w:sz w:val="22"/>
                <w:szCs w:val="22"/>
                <w:lang w:eastAsia="en-GB"/>
              </w:rPr>
              <w:t xml:space="preserve">The percentage of patients with a new diagnosis of CKD stage G3a-G5 (on the register, within the preceding 12 </w:t>
            </w:r>
            <w:r w:rsidRPr="00E46E83">
              <w:rPr>
                <w:rFonts w:ascii="Arial" w:hAnsi="Arial" w:cs="Arial"/>
                <w:color w:val="000000"/>
                <w:sz w:val="22"/>
                <w:szCs w:val="22"/>
                <w:lang w:eastAsia="en-GB"/>
              </w:rPr>
              <w:lastRenderedPageBreak/>
              <w:t>months) who had eGFR and ACR (urine albumin to creatinine ratio) measurements recorded 90 days before or after diagnosis.</w:t>
            </w:r>
          </w:p>
          <w:p w14:paraId="58D08B09" w14:textId="77777777" w:rsidR="000528DF" w:rsidRPr="00E46E83" w:rsidRDefault="000528DF" w:rsidP="000528DF">
            <w:pPr>
              <w:rPr>
                <w:rFonts w:ascii="Arial" w:hAnsi="Arial" w:cs="Arial"/>
                <w:color w:val="000000"/>
                <w:sz w:val="22"/>
                <w:szCs w:val="22"/>
                <w:lang w:eastAsia="en-GB"/>
              </w:rPr>
            </w:pPr>
          </w:p>
          <w:p w14:paraId="5372C54A" w14:textId="77777777" w:rsidR="000528DF" w:rsidRPr="00E46E83" w:rsidRDefault="000528DF" w:rsidP="000528DF">
            <w:pPr>
              <w:rPr>
                <w:rFonts w:ascii="Arial" w:hAnsi="Arial" w:cs="Arial"/>
                <w:color w:val="000000"/>
                <w:sz w:val="22"/>
                <w:szCs w:val="22"/>
                <w:lang w:eastAsia="en-GB"/>
              </w:rPr>
            </w:pPr>
            <w:r w:rsidRPr="00E46E83">
              <w:rPr>
                <w:rFonts w:ascii="Arial" w:hAnsi="Arial" w:cs="Arial"/>
                <w:color w:val="000000"/>
                <w:sz w:val="22"/>
                <w:szCs w:val="22"/>
                <w:lang w:eastAsia="en-GB"/>
              </w:rPr>
              <w:t xml:space="preserve">Whilst assessment of eGFR aids in the prognosis of CKD and risk of adverse outcomes (IND2021-119), CKD should also be classified based on ACR category (1). Albuminuria is a strong predictor of the risk of adverse outcomes in CKD (2), and the use of ACR and GFR in combination will allow better risk stratification, in line with NG203 (1). </w:t>
            </w:r>
          </w:p>
          <w:p w14:paraId="75078CBC" w14:textId="77777777" w:rsidR="000528DF" w:rsidRPr="00E46E83" w:rsidRDefault="000528DF" w:rsidP="000528DF">
            <w:pPr>
              <w:rPr>
                <w:rFonts w:ascii="Arial" w:hAnsi="Arial" w:cs="Arial"/>
                <w:color w:val="000000"/>
                <w:sz w:val="22"/>
                <w:szCs w:val="22"/>
                <w:lang w:eastAsia="en-GB"/>
              </w:rPr>
            </w:pPr>
          </w:p>
          <w:p w14:paraId="3DAEF4DE" w14:textId="77777777" w:rsidR="000528DF" w:rsidRPr="00E46E83" w:rsidRDefault="000528DF" w:rsidP="000528DF">
            <w:pPr>
              <w:rPr>
                <w:rFonts w:ascii="Arial" w:hAnsi="Arial" w:cs="Arial"/>
                <w:color w:val="000000"/>
                <w:sz w:val="22"/>
                <w:szCs w:val="22"/>
                <w:lang w:eastAsia="en-GB"/>
              </w:rPr>
            </w:pPr>
            <w:r w:rsidRPr="00E46E83">
              <w:rPr>
                <w:rFonts w:ascii="Arial" w:hAnsi="Arial" w:cs="Arial"/>
                <w:color w:val="000000"/>
                <w:sz w:val="22"/>
                <w:szCs w:val="22"/>
                <w:lang w:eastAsia="en-GB"/>
              </w:rPr>
              <w:t>Whilst eGFR is more commonly tested and recorded, there has historically been a relatively low uptake of ACR testing:</w:t>
            </w:r>
          </w:p>
          <w:p w14:paraId="7BF4CA20" w14:textId="77777777" w:rsidR="000528DF" w:rsidRPr="00E46E83" w:rsidRDefault="000528DF" w:rsidP="000528DF">
            <w:pPr>
              <w:rPr>
                <w:rFonts w:ascii="Arial" w:hAnsi="Arial" w:cs="Arial"/>
                <w:color w:val="000000"/>
                <w:sz w:val="22"/>
                <w:szCs w:val="22"/>
                <w:lang w:eastAsia="en-GB"/>
              </w:rPr>
            </w:pPr>
            <w:r w:rsidRPr="00E46E83">
              <w:rPr>
                <w:rFonts w:ascii="Arial" w:hAnsi="Arial" w:cs="Arial"/>
                <w:color w:val="000000"/>
                <w:sz w:val="22"/>
                <w:szCs w:val="22"/>
                <w:lang w:eastAsia="en-GB"/>
              </w:rPr>
              <w:t>• The National Chronic Kidney Disease Audit - National Report (Part 1) January 2017 (3), reported that: whilst over 80% of those with CKD had had an eGFR test in the previous year, only 31% had a repeat ACR test.</w:t>
            </w:r>
          </w:p>
          <w:p w14:paraId="78FB39E3" w14:textId="77777777" w:rsidR="000528DF" w:rsidRDefault="000528DF" w:rsidP="000528DF">
            <w:pPr>
              <w:rPr>
                <w:rFonts w:ascii="Arial" w:hAnsi="Arial" w:cs="Arial"/>
                <w:color w:val="000000"/>
                <w:sz w:val="22"/>
                <w:szCs w:val="22"/>
                <w:lang w:eastAsia="en-GB"/>
              </w:rPr>
            </w:pPr>
            <w:r w:rsidRPr="00E46E83">
              <w:rPr>
                <w:rFonts w:ascii="Arial" w:hAnsi="Arial" w:cs="Arial"/>
                <w:color w:val="000000"/>
                <w:sz w:val="22"/>
                <w:szCs w:val="22"/>
                <w:lang w:eastAsia="en-GB"/>
              </w:rPr>
              <w:t>• The National Diabetes Audit 2019-20. Report 1: Care Processes and Treatment Targets. England and Wales (4), reports on the uptake of NICE recommended care processes and found that in 2019/20, for those with type 2 diabetes in England, 92.3% of patients had an annual check of serum creatinine, but only 68.6% had an annual check of urine albumin/creatine ratio (UACR). The values for Wales were similar for serum creatinine, but the testing of UACR was even lower at 55%.  In addition, the marked variation in UACR measurement between CCGs was highlighted as a key finding of the report.</w:t>
            </w:r>
          </w:p>
          <w:p w14:paraId="58E8BADD" w14:textId="77777777" w:rsidR="000528DF" w:rsidRDefault="000528DF" w:rsidP="000528DF">
            <w:pPr>
              <w:rPr>
                <w:rFonts w:ascii="Arial" w:hAnsi="Arial" w:cs="Arial"/>
                <w:color w:val="000000"/>
                <w:sz w:val="22"/>
                <w:szCs w:val="22"/>
                <w:highlight w:val="cyan"/>
                <w:lang w:eastAsia="en-GB"/>
              </w:rPr>
            </w:pPr>
          </w:p>
          <w:p w14:paraId="7355A4CC" w14:textId="77777777" w:rsidR="000528D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 xml:space="preserve">Barriers to UACR testing may historically include a lack of clarity on the need for testing, the limited treatment options </w:t>
            </w:r>
            <w:r w:rsidRPr="00A94A2F">
              <w:rPr>
                <w:rFonts w:ascii="Arial" w:hAnsi="Arial" w:cs="Arial"/>
                <w:color w:val="000000"/>
                <w:sz w:val="22"/>
                <w:szCs w:val="22"/>
                <w:lang w:eastAsia="en-GB"/>
              </w:rPr>
              <w:lastRenderedPageBreak/>
              <w:t>should albuminuria be identified, as well as patient reluctance to provide urine samples.  These barriers may be overcome by both primary care clinician and patient education on the importance of UACR testing as well as the potential treatment options now available.</w:t>
            </w:r>
          </w:p>
          <w:p w14:paraId="37A01142" w14:textId="77777777" w:rsidR="000528DF" w:rsidRDefault="000528DF" w:rsidP="000528DF">
            <w:pPr>
              <w:rPr>
                <w:rFonts w:ascii="Arial" w:hAnsi="Arial" w:cs="Arial"/>
                <w:color w:val="000000"/>
                <w:sz w:val="22"/>
                <w:szCs w:val="22"/>
                <w:highlight w:val="cyan"/>
                <w:lang w:eastAsia="en-GB"/>
              </w:rPr>
            </w:pPr>
          </w:p>
          <w:p w14:paraId="12C2E13A"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Regarding the consultation question about differential impact, chronic kidney disease may disproportionately affect patients from lower socio-economic groups and those from Black, Asian and minority Ethnic populations. A report by Kidney Research UK (5) reported that people from lower socio-economic groups are more likely to:</w:t>
            </w:r>
          </w:p>
          <w:p w14:paraId="59473626"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o</w:t>
            </w:r>
            <w:r w:rsidRPr="00A94A2F">
              <w:rPr>
                <w:rFonts w:ascii="Arial" w:hAnsi="Arial" w:cs="Arial"/>
                <w:color w:val="000000"/>
                <w:sz w:val="22"/>
                <w:szCs w:val="22"/>
                <w:lang w:eastAsia="en-GB"/>
              </w:rPr>
              <w:tab/>
              <w:t>Have risk factors associated with CKD such as diabetes and hypertension</w:t>
            </w:r>
          </w:p>
          <w:p w14:paraId="1BF545F8"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o</w:t>
            </w:r>
            <w:r w:rsidRPr="00A94A2F">
              <w:rPr>
                <w:rFonts w:ascii="Arial" w:hAnsi="Arial" w:cs="Arial"/>
                <w:color w:val="000000"/>
                <w:sz w:val="22"/>
                <w:szCs w:val="22"/>
                <w:lang w:eastAsia="en-GB"/>
              </w:rPr>
              <w:tab/>
              <w:t>Develop CKD</w:t>
            </w:r>
          </w:p>
          <w:p w14:paraId="2B89FFBB"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o</w:t>
            </w:r>
            <w:r w:rsidRPr="00A94A2F">
              <w:rPr>
                <w:rFonts w:ascii="Arial" w:hAnsi="Arial" w:cs="Arial"/>
                <w:color w:val="000000"/>
                <w:sz w:val="22"/>
                <w:szCs w:val="22"/>
                <w:lang w:eastAsia="en-GB"/>
              </w:rPr>
              <w:tab/>
              <w:t>Progress faster towards kidney failure</w:t>
            </w:r>
          </w:p>
          <w:p w14:paraId="68246B18"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o</w:t>
            </w:r>
            <w:r w:rsidRPr="00A94A2F">
              <w:rPr>
                <w:rFonts w:ascii="Arial" w:hAnsi="Arial" w:cs="Arial"/>
                <w:color w:val="000000"/>
                <w:sz w:val="22"/>
                <w:szCs w:val="22"/>
                <w:lang w:eastAsia="en-GB"/>
              </w:rPr>
              <w:tab/>
              <w:t>Die earlier with CKD</w:t>
            </w:r>
          </w:p>
          <w:p w14:paraId="582D6078"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o</w:t>
            </w:r>
            <w:r w:rsidRPr="00A94A2F">
              <w:rPr>
                <w:rFonts w:ascii="Arial" w:hAnsi="Arial" w:cs="Arial"/>
                <w:color w:val="000000"/>
                <w:sz w:val="22"/>
                <w:szCs w:val="22"/>
                <w:lang w:eastAsia="en-GB"/>
              </w:rPr>
              <w:tab/>
              <w:t>Be diagnosed at a later stage of the disease</w:t>
            </w:r>
          </w:p>
          <w:p w14:paraId="5FDAB2E2"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o</w:t>
            </w:r>
            <w:r w:rsidRPr="00A94A2F">
              <w:rPr>
                <w:rFonts w:ascii="Arial" w:hAnsi="Arial" w:cs="Arial"/>
                <w:color w:val="000000"/>
                <w:sz w:val="22"/>
                <w:szCs w:val="22"/>
                <w:lang w:eastAsia="en-GB"/>
              </w:rPr>
              <w:tab/>
              <w:t>Have poorer survival rates on dialysis</w:t>
            </w:r>
          </w:p>
          <w:p w14:paraId="640D7964" w14:textId="77777777" w:rsidR="000528DF" w:rsidRPr="00A94A2F" w:rsidRDefault="000528DF" w:rsidP="000528DF">
            <w:pPr>
              <w:rPr>
                <w:rFonts w:ascii="Arial" w:hAnsi="Arial" w:cs="Arial"/>
                <w:color w:val="000000"/>
                <w:sz w:val="22"/>
                <w:szCs w:val="22"/>
                <w:lang w:eastAsia="en-GB"/>
              </w:rPr>
            </w:pPr>
          </w:p>
          <w:p w14:paraId="73F6E3BE"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In addition, people from lower socio-economic groups are less likely to:</w:t>
            </w:r>
          </w:p>
          <w:p w14:paraId="618BD7DF"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o</w:t>
            </w:r>
            <w:r w:rsidRPr="00A94A2F">
              <w:rPr>
                <w:rFonts w:ascii="Arial" w:hAnsi="Arial" w:cs="Arial"/>
                <w:color w:val="000000"/>
                <w:sz w:val="22"/>
                <w:szCs w:val="22"/>
                <w:lang w:eastAsia="en-GB"/>
              </w:rPr>
              <w:tab/>
              <w:t>Be offered peritoneal dialysis (potentially related to the home environment)</w:t>
            </w:r>
          </w:p>
          <w:p w14:paraId="4CE57CEC"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o</w:t>
            </w:r>
            <w:r w:rsidRPr="00A94A2F">
              <w:rPr>
                <w:rFonts w:ascii="Arial" w:hAnsi="Arial" w:cs="Arial"/>
                <w:color w:val="000000"/>
                <w:sz w:val="22"/>
                <w:szCs w:val="22"/>
                <w:lang w:eastAsia="en-GB"/>
              </w:rPr>
              <w:tab/>
              <w:t>Have a transplant</w:t>
            </w:r>
          </w:p>
          <w:p w14:paraId="1AF64DB1" w14:textId="77777777" w:rsidR="000528DF" w:rsidRPr="00A94A2F" w:rsidRDefault="000528DF" w:rsidP="000528DF">
            <w:pPr>
              <w:rPr>
                <w:rFonts w:ascii="Arial" w:hAnsi="Arial" w:cs="Arial"/>
                <w:color w:val="000000"/>
                <w:sz w:val="22"/>
                <w:szCs w:val="22"/>
                <w:lang w:eastAsia="en-GB"/>
              </w:rPr>
            </w:pPr>
          </w:p>
          <w:p w14:paraId="760F3E9D"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Further, that People from Black, Asian and Minority Ethnic populations:</w:t>
            </w:r>
          </w:p>
          <w:p w14:paraId="41E1F988"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o</w:t>
            </w:r>
            <w:r w:rsidRPr="00A94A2F">
              <w:rPr>
                <w:rFonts w:ascii="Arial" w:hAnsi="Arial" w:cs="Arial"/>
                <w:color w:val="000000"/>
                <w:sz w:val="22"/>
                <w:szCs w:val="22"/>
                <w:lang w:eastAsia="en-GB"/>
              </w:rPr>
              <w:tab/>
              <w:t>Have a greater burden of risk factors for kidney disease such as diabetes and hypertension</w:t>
            </w:r>
          </w:p>
          <w:p w14:paraId="152EB0D9"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lastRenderedPageBreak/>
              <w:t>o</w:t>
            </w:r>
            <w:r w:rsidRPr="00A94A2F">
              <w:rPr>
                <w:rFonts w:ascii="Arial" w:hAnsi="Arial" w:cs="Arial"/>
                <w:color w:val="000000"/>
                <w:sz w:val="22"/>
                <w:szCs w:val="22"/>
                <w:lang w:eastAsia="en-GB"/>
              </w:rPr>
              <w:tab/>
              <w:t>Are more likely to progress faster towards kidney failure</w:t>
            </w:r>
          </w:p>
          <w:p w14:paraId="3B433186"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o</w:t>
            </w:r>
            <w:r w:rsidRPr="00A94A2F">
              <w:rPr>
                <w:rFonts w:ascii="Arial" w:hAnsi="Arial" w:cs="Arial"/>
                <w:color w:val="000000"/>
                <w:sz w:val="22"/>
                <w:szCs w:val="22"/>
                <w:lang w:eastAsia="en-GB"/>
              </w:rPr>
              <w:tab/>
              <w:t>Are less likely to receive a kidney transplant</w:t>
            </w:r>
          </w:p>
          <w:p w14:paraId="1BCFC077" w14:textId="77777777" w:rsidR="000528D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o</w:t>
            </w:r>
            <w:r w:rsidRPr="00A94A2F">
              <w:rPr>
                <w:rFonts w:ascii="Arial" w:hAnsi="Arial" w:cs="Arial"/>
                <w:color w:val="000000"/>
                <w:sz w:val="22"/>
                <w:szCs w:val="22"/>
                <w:lang w:eastAsia="en-GB"/>
              </w:rPr>
              <w:tab/>
              <w:t>Have a different pattern of uptake of home dialysis therapies</w:t>
            </w:r>
          </w:p>
          <w:p w14:paraId="0C176675" w14:textId="77777777" w:rsidR="000528DF" w:rsidRDefault="000528DF" w:rsidP="000528DF">
            <w:pPr>
              <w:rPr>
                <w:rFonts w:ascii="Arial" w:hAnsi="Arial" w:cs="Arial"/>
                <w:color w:val="000000"/>
                <w:sz w:val="22"/>
                <w:szCs w:val="22"/>
                <w:highlight w:val="cyan"/>
                <w:lang w:eastAsia="en-GB"/>
              </w:rPr>
            </w:pPr>
          </w:p>
          <w:p w14:paraId="78C24615"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The report states that people from South Asian and Black backgrounds are 3-5 times more likely to start dialysis than people from Caucasian backgrounds. Those of South Asian, Black African and Black Caribbean descent are therefore over-represented on dialysis programmes, making up 22.7% of people in the UK receiving renal replacement therapy. In some London boroughs, this rises to over 60% of people.</w:t>
            </w:r>
          </w:p>
          <w:p w14:paraId="50077A94" w14:textId="77777777" w:rsidR="000528DF" w:rsidRPr="00A94A2F" w:rsidRDefault="000528DF" w:rsidP="000528DF">
            <w:pPr>
              <w:rPr>
                <w:rFonts w:ascii="Arial" w:hAnsi="Arial" w:cs="Arial"/>
                <w:color w:val="000000"/>
                <w:sz w:val="22"/>
                <w:szCs w:val="22"/>
                <w:lang w:eastAsia="en-GB"/>
              </w:rPr>
            </w:pPr>
          </w:p>
          <w:p w14:paraId="49F66FC8"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 xml:space="preserve">The report also states that “improving prevention and early detection and ensuring that everyone in the UK has access to the right treatment for them, is key to improving kidney health for the whole UK population.” Further “Reducing health inequalities, particularly preventing the development and progression of kidney disease in all UK populations may help alleviate the burden of kidney care to the NHS.” </w:t>
            </w:r>
          </w:p>
          <w:p w14:paraId="0E2B3AB4" w14:textId="77777777" w:rsidR="000528DF" w:rsidRPr="00A94A2F" w:rsidRDefault="000528DF" w:rsidP="000528DF">
            <w:pPr>
              <w:rPr>
                <w:rFonts w:ascii="Arial" w:hAnsi="Arial" w:cs="Arial"/>
                <w:color w:val="000000"/>
                <w:sz w:val="22"/>
                <w:szCs w:val="22"/>
                <w:lang w:eastAsia="en-GB"/>
              </w:rPr>
            </w:pPr>
          </w:p>
          <w:p w14:paraId="2B77C636"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Regarding the specific question for consultation question about potential data sources to inform the denominator for indicators IND2021-119</w:t>
            </w:r>
          </w:p>
          <w:p w14:paraId="2CFBCFA6" w14:textId="77777777" w:rsidR="000528D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and IND2021-120, a very brief search of the literature has found two sources that may be useful in estimating incidence of CKD:</w:t>
            </w:r>
          </w:p>
          <w:p w14:paraId="5359D876" w14:textId="77777777" w:rsidR="000528DF" w:rsidRDefault="000528DF" w:rsidP="000528DF">
            <w:pPr>
              <w:rPr>
                <w:rFonts w:ascii="Arial" w:hAnsi="Arial" w:cs="Arial"/>
                <w:color w:val="000000"/>
                <w:sz w:val="22"/>
                <w:szCs w:val="22"/>
                <w:highlight w:val="cyan"/>
                <w:lang w:eastAsia="en-GB"/>
              </w:rPr>
            </w:pPr>
          </w:p>
          <w:p w14:paraId="38D219CF"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lastRenderedPageBreak/>
              <w:t>Klebe B et al. The cost of implementing UK guidelines for the management of chronic kidney disease. Nephrol Dial Transplant (2007) 22: 2504–2512</w:t>
            </w:r>
          </w:p>
          <w:p w14:paraId="6F34E619" w14:textId="77777777" w:rsidR="000528DF" w:rsidRPr="00A94A2F" w:rsidRDefault="000528DF" w:rsidP="000528DF">
            <w:pPr>
              <w:rPr>
                <w:rFonts w:ascii="Arial" w:hAnsi="Arial" w:cs="Arial"/>
                <w:color w:val="000000"/>
                <w:sz w:val="22"/>
                <w:szCs w:val="22"/>
                <w:lang w:eastAsia="en-GB"/>
              </w:rPr>
            </w:pPr>
          </w:p>
          <w:p w14:paraId="5B6C4D5C"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Garcia Sanchez JJ. Inside CKD: Projecting the future burden of chronic kidney disease in Europe using microsimulation modelling. POS-323. Kidney International Reports (2021) 6, S1–S362.</w:t>
            </w:r>
          </w:p>
          <w:p w14:paraId="64E09B0F" w14:textId="77777777" w:rsidR="000528DF" w:rsidRPr="00A94A2F" w:rsidRDefault="000528DF" w:rsidP="000528DF">
            <w:pPr>
              <w:rPr>
                <w:rFonts w:ascii="Arial" w:hAnsi="Arial" w:cs="Arial"/>
                <w:color w:val="000000"/>
                <w:sz w:val="22"/>
                <w:szCs w:val="22"/>
                <w:lang w:eastAsia="en-GB"/>
              </w:rPr>
            </w:pPr>
          </w:p>
          <w:p w14:paraId="17A98A15" w14:textId="77777777" w:rsidR="000528DF" w:rsidRPr="00A94A2F" w:rsidRDefault="000528DF" w:rsidP="000528DF">
            <w:pPr>
              <w:rPr>
                <w:rFonts w:ascii="Arial" w:hAnsi="Arial" w:cs="Arial"/>
                <w:color w:val="000000"/>
                <w:sz w:val="22"/>
                <w:szCs w:val="22"/>
                <w:lang w:eastAsia="en-GB"/>
              </w:rPr>
            </w:pPr>
          </w:p>
          <w:p w14:paraId="5E23163A"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(1)</w:t>
            </w:r>
            <w:r w:rsidRPr="00A94A2F">
              <w:rPr>
                <w:rFonts w:ascii="Arial" w:hAnsi="Arial" w:cs="Arial"/>
                <w:color w:val="000000"/>
                <w:sz w:val="22"/>
                <w:szCs w:val="22"/>
                <w:lang w:eastAsia="en-GB"/>
              </w:rPr>
              <w:tab/>
              <w:t>NICE. Chronic kidney disease: assessment and management. NICE guideline (NG203) August 2021.</w:t>
            </w:r>
          </w:p>
          <w:p w14:paraId="03189DAB"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(2)</w:t>
            </w:r>
            <w:r w:rsidRPr="00A94A2F">
              <w:rPr>
                <w:rFonts w:ascii="Arial" w:hAnsi="Arial" w:cs="Arial"/>
                <w:color w:val="000000"/>
                <w:sz w:val="22"/>
                <w:szCs w:val="22"/>
                <w:lang w:eastAsia="en-GB"/>
              </w:rPr>
              <w:tab/>
              <w:t>Levey A S et al. Change in Albuminuria and GFR as End Points for Clinical Trials in Early Stages of CKD: A Scientific Workshop Sponsored by the National Kidney Foundation in Collaboration with the US Food and Drug Administration and European Medicines Agency. American Journal of Kidney Diseases. Volume 75, Issue 1, January 2020, pages 84-104.</w:t>
            </w:r>
          </w:p>
          <w:p w14:paraId="6265607E"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(3)</w:t>
            </w:r>
            <w:r w:rsidRPr="00A94A2F">
              <w:rPr>
                <w:rFonts w:ascii="Arial" w:hAnsi="Arial" w:cs="Arial"/>
                <w:color w:val="000000"/>
                <w:sz w:val="22"/>
                <w:szCs w:val="22"/>
                <w:lang w:eastAsia="en-GB"/>
              </w:rPr>
              <w:tab/>
              <w:t>Nitsch D, Caplin B, Hull S and Wheeler DC on behalf of the National CKD Audit and Quality Improvement Programme in Primary Care, First National CKD Audit Report 2017.</w:t>
            </w:r>
          </w:p>
          <w:p w14:paraId="6633A487" w14:textId="77777777"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(4)</w:t>
            </w:r>
            <w:r w:rsidRPr="00A94A2F">
              <w:rPr>
                <w:rFonts w:ascii="Arial" w:hAnsi="Arial" w:cs="Arial"/>
                <w:color w:val="000000"/>
                <w:sz w:val="22"/>
                <w:szCs w:val="22"/>
                <w:lang w:eastAsia="en-GB"/>
              </w:rPr>
              <w:tab/>
              <w:t>NHS Digital. National Diabetes Audit, 2019-20. Report 1: Care Processes and Treatment Targets. England and Wales. August 2021</w:t>
            </w:r>
          </w:p>
          <w:p w14:paraId="38140FFB" w14:textId="663BCF51" w:rsidR="000528DF" w:rsidRPr="00A94A2F" w:rsidRDefault="000528DF" w:rsidP="000528DF">
            <w:pPr>
              <w:rPr>
                <w:rFonts w:ascii="Arial" w:hAnsi="Arial" w:cs="Arial"/>
                <w:color w:val="000000"/>
                <w:sz w:val="22"/>
                <w:szCs w:val="22"/>
                <w:lang w:eastAsia="en-GB"/>
              </w:rPr>
            </w:pPr>
            <w:r w:rsidRPr="00A94A2F">
              <w:rPr>
                <w:rFonts w:ascii="Arial" w:hAnsi="Arial" w:cs="Arial"/>
                <w:color w:val="000000"/>
                <w:sz w:val="22"/>
                <w:szCs w:val="22"/>
                <w:lang w:eastAsia="en-GB"/>
              </w:rPr>
              <w:t>(5)</w:t>
            </w:r>
            <w:r w:rsidRPr="00A94A2F">
              <w:rPr>
                <w:rFonts w:ascii="Arial" w:hAnsi="Arial" w:cs="Arial"/>
                <w:color w:val="000000"/>
                <w:sz w:val="22"/>
                <w:szCs w:val="22"/>
                <w:lang w:eastAsia="en-GB"/>
              </w:rPr>
              <w:tab/>
              <w:t>Kidney Research UK. Kidney Health. Inequalities in the UK. An agenda for change 2019</w:t>
            </w:r>
          </w:p>
        </w:tc>
        <w:tc>
          <w:tcPr>
            <w:tcW w:w="1224" w:type="pct"/>
          </w:tcPr>
          <w:p w14:paraId="74B5DEA1" w14:textId="1F8D556E" w:rsidR="000528DF" w:rsidRDefault="000528DF" w:rsidP="000528DF">
            <w:pPr>
              <w:rPr>
                <w:rFonts w:ascii="Arial" w:hAnsi="Arial" w:cs="Arial"/>
                <w:color w:val="000000"/>
                <w:sz w:val="22"/>
                <w:szCs w:val="22"/>
                <w:lang w:eastAsia="en-GB"/>
              </w:rPr>
            </w:pPr>
            <w:r>
              <w:rPr>
                <w:rFonts w:ascii="Arial" w:hAnsi="Arial" w:cs="Arial"/>
                <w:sz w:val="22"/>
                <w:szCs w:val="28"/>
              </w:rPr>
              <w:lastRenderedPageBreak/>
              <w:t>Thank you for your comment.</w:t>
            </w:r>
          </w:p>
        </w:tc>
      </w:tr>
    </w:tbl>
    <w:p w14:paraId="0A6DFF92" w14:textId="77777777" w:rsidR="000528DF" w:rsidRPr="006966FC" w:rsidRDefault="000528DF" w:rsidP="00E249E4">
      <w:pPr>
        <w:pStyle w:val="Paragraph"/>
        <w:spacing w:line="240" w:lineRule="auto"/>
        <w:rPr>
          <w:rFonts w:cs="Arial"/>
          <w:sz w:val="22"/>
          <w:szCs w:val="22"/>
        </w:rPr>
      </w:pPr>
    </w:p>
    <w:sectPr w:rsidR="000528DF" w:rsidRPr="006966FC" w:rsidSect="00E249E4">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CA3B6" w14:textId="77777777" w:rsidR="00D45804" w:rsidRDefault="00D45804" w:rsidP="00446BEE">
      <w:r>
        <w:separator/>
      </w:r>
    </w:p>
  </w:endnote>
  <w:endnote w:type="continuationSeparator" w:id="0">
    <w:p w14:paraId="22EB9B1D" w14:textId="77777777" w:rsidR="00D45804" w:rsidRDefault="00D4580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71454" w14:textId="77777777" w:rsidR="001F7B97" w:rsidRDefault="001F7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B07A" w14:textId="3B143C03" w:rsidR="00C90846" w:rsidRPr="008C1C95" w:rsidRDefault="008C1C95" w:rsidP="008C1C95">
    <w:pPr>
      <w:pStyle w:val="Footer"/>
      <w:jc w:val="right"/>
    </w:pPr>
    <w:r>
      <w:fldChar w:fldCharType="begin"/>
    </w:r>
    <w:r>
      <w:instrText xml:space="preserve"> PAGE </w:instrText>
    </w:r>
    <w:r>
      <w:fldChar w:fldCharType="separate"/>
    </w:r>
    <w:r w:rsidR="005806EB">
      <w:rPr>
        <w:noProof/>
      </w:rPr>
      <w:t>3</w:t>
    </w:r>
    <w:r>
      <w:fldChar w:fldCharType="end"/>
    </w:r>
    <w:r>
      <w:t xml:space="preserve"> of </w:t>
    </w:r>
    <w:r w:rsidR="005806EB">
      <w:rPr>
        <w:noProof/>
      </w:rPr>
      <w:fldChar w:fldCharType="begin"/>
    </w:r>
    <w:r w:rsidR="005806EB">
      <w:rPr>
        <w:noProof/>
      </w:rPr>
      <w:instrText xml:space="preserve"> NUMPAGES  </w:instrText>
    </w:r>
    <w:r w:rsidR="005806EB">
      <w:rPr>
        <w:noProof/>
      </w:rPr>
      <w:fldChar w:fldCharType="separate"/>
    </w:r>
    <w:r w:rsidR="005806EB">
      <w:rPr>
        <w:noProof/>
      </w:rPr>
      <w:t>10</w:t>
    </w:r>
    <w:r w:rsidR="005806E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D506F" w14:textId="77777777" w:rsidR="001F7B97" w:rsidRDefault="001F7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157E4" w14:textId="77777777" w:rsidR="00D45804" w:rsidRDefault="00D45804" w:rsidP="00446BEE">
      <w:r>
        <w:separator/>
      </w:r>
    </w:p>
  </w:footnote>
  <w:footnote w:type="continuationSeparator" w:id="0">
    <w:p w14:paraId="1B316AC4" w14:textId="77777777" w:rsidR="00D45804" w:rsidRDefault="00D4580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AA49C" w14:textId="77777777" w:rsidR="001F7B97" w:rsidRDefault="001F7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E1FB0" w14:textId="00A84223" w:rsidR="00C90846" w:rsidRPr="00AA3E4A" w:rsidRDefault="00AA3E4A" w:rsidP="00AA3E4A">
    <w:pPr>
      <w:pStyle w:val="Paragraph"/>
      <w:jc w:val="right"/>
    </w:pPr>
    <w:r w:rsidRPr="00AA3E4A">
      <w:t>CKD</w:t>
    </w:r>
    <w:r w:rsidR="00C90846">
      <w:t xml:space="preserve"> consultation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948A3" w14:textId="77777777" w:rsidR="001F7B97" w:rsidRDefault="001F7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FCB0DA4"/>
    <w:multiLevelType w:val="hybridMultilevel"/>
    <w:tmpl w:val="117C2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1B3835"/>
    <w:multiLevelType w:val="multilevel"/>
    <w:tmpl w:val="336E6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100083"/>
    <w:multiLevelType w:val="hybridMultilevel"/>
    <w:tmpl w:val="89EA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012330"/>
    <w:multiLevelType w:val="hybridMultilevel"/>
    <w:tmpl w:val="318C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E951B9F"/>
    <w:multiLevelType w:val="hybridMultilevel"/>
    <w:tmpl w:val="A79A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DD65B2A"/>
    <w:multiLevelType w:val="hybridMultilevel"/>
    <w:tmpl w:val="3868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60929"/>
    <w:multiLevelType w:val="hybridMultilevel"/>
    <w:tmpl w:val="1F6CDE8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7" w15:restartNumberingAfterBreak="0">
    <w:nsid w:val="4F17644E"/>
    <w:multiLevelType w:val="multilevel"/>
    <w:tmpl w:val="F3D86946"/>
    <w:numStyleLink w:val="Tablebulletindented"/>
  </w:abstractNum>
  <w:abstractNum w:abstractNumId="28" w15:restartNumberingAfterBreak="0">
    <w:nsid w:val="4F1C36F6"/>
    <w:multiLevelType w:val="hybridMultilevel"/>
    <w:tmpl w:val="CF941BFE"/>
    <w:lvl w:ilvl="0" w:tplc="1EBA4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901BFD"/>
    <w:multiLevelType w:val="multilevel"/>
    <w:tmpl w:val="F3D86946"/>
    <w:numStyleLink w:val="Tablebulletindented"/>
  </w:abstractNum>
  <w:abstractNum w:abstractNumId="3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21A74A7"/>
    <w:multiLevelType w:val="multilevel"/>
    <w:tmpl w:val="AB7C2810"/>
    <w:numStyleLink w:val="Tablebulletleft"/>
  </w:abstractNum>
  <w:abstractNum w:abstractNumId="32"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4520F4"/>
    <w:multiLevelType w:val="multilevel"/>
    <w:tmpl w:val="AB7C2810"/>
    <w:numStyleLink w:val="Tablebulletleft"/>
  </w:abstractNum>
  <w:abstractNum w:abstractNumId="35" w15:restartNumberingAfterBreak="0">
    <w:nsid w:val="5D92015F"/>
    <w:multiLevelType w:val="multilevel"/>
    <w:tmpl w:val="AB7C2810"/>
    <w:numStyleLink w:val="Tablebulletleft"/>
  </w:abstractNum>
  <w:abstractNum w:abstractNumId="3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D3419C"/>
    <w:multiLevelType w:val="multilevel"/>
    <w:tmpl w:val="F3D86946"/>
    <w:numStyleLink w:val="Tablebulletindented"/>
  </w:abstractNum>
  <w:abstractNum w:abstractNumId="38" w15:restartNumberingAfterBreak="0">
    <w:nsid w:val="61234B40"/>
    <w:multiLevelType w:val="hybridMultilevel"/>
    <w:tmpl w:val="13D4F5E2"/>
    <w:lvl w:ilvl="0" w:tplc="62F6E4BC">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2A054AC"/>
    <w:multiLevelType w:val="multilevel"/>
    <w:tmpl w:val="8A3A3D5A"/>
    <w:numStyleLink w:val="Tablebullet"/>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A34081"/>
    <w:multiLevelType w:val="multilevel"/>
    <w:tmpl w:val="F3D86946"/>
    <w:numStyleLink w:val="Tablebulletindented"/>
  </w:abstractNum>
  <w:abstractNum w:abstractNumId="43" w15:restartNumberingAfterBreak="0">
    <w:nsid w:val="6BAC01BF"/>
    <w:multiLevelType w:val="hybridMultilevel"/>
    <w:tmpl w:val="6D84F9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FBC424D"/>
    <w:multiLevelType w:val="hybridMultilevel"/>
    <w:tmpl w:val="D5C445D4"/>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45" w15:restartNumberingAfterBreak="0">
    <w:nsid w:val="7B280F37"/>
    <w:multiLevelType w:val="multilevel"/>
    <w:tmpl w:val="F3D86946"/>
    <w:numStyleLink w:val="Tablebulletindented"/>
  </w:abstractNum>
  <w:abstractNum w:abstractNumId="46" w15:restartNumberingAfterBreak="0">
    <w:nsid w:val="7D364CCB"/>
    <w:multiLevelType w:val="multilevel"/>
    <w:tmpl w:val="AB7C2810"/>
    <w:numStyleLink w:val="Tablebulletleft"/>
  </w:abstractNum>
  <w:num w:numId="1">
    <w:abstractNumId w:val="41"/>
  </w:num>
  <w:num w:numId="2">
    <w:abstractNumId w:val="11"/>
  </w:num>
  <w:num w:numId="3">
    <w:abstractNumId w:val="33"/>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8"/>
  </w:num>
  <w:num w:numId="12">
    <w:abstractNumId w:val="2"/>
  </w:num>
  <w:num w:numId="13">
    <w:abstractNumId w:val="40"/>
  </w:num>
  <w:num w:numId="14">
    <w:abstractNumId w:val="15"/>
  </w:num>
  <w:num w:numId="15">
    <w:abstractNumId w:val="9"/>
  </w:num>
  <w:num w:numId="16">
    <w:abstractNumId w:val="19"/>
  </w:num>
  <w:num w:numId="17">
    <w:abstractNumId w:val="16"/>
  </w:num>
  <w:num w:numId="18">
    <w:abstractNumId w:val="20"/>
  </w:num>
  <w:num w:numId="19">
    <w:abstractNumId w:val="30"/>
  </w:num>
  <w:num w:numId="20">
    <w:abstractNumId w:val="6"/>
  </w:num>
  <w:num w:numId="21">
    <w:abstractNumId w:val="36"/>
  </w:num>
  <w:num w:numId="22">
    <w:abstractNumId w:val="25"/>
  </w:num>
  <w:num w:numId="23">
    <w:abstractNumId w:val="38"/>
  </w:num>
  <w:num w:numId="24">
    <w:abstractNumId w:val="0"/>
  </w:num>
  <w:num w:numId="25">
    <w:abstractNumId w:val="4"/>
  </w:num>
  <w:num w:numId="26">
    <w:abstractNumId w:val="46"/>
  </w:num>
  <w:num w:numId="27">
    <w:abstractNumId w:val="34"/>
  </w:num>
  <w:num w:numId="28">
    <w:abstractNumId w:val="35"/>
  </w:num>
  <w:num w:numId="29">
    <w:abstractNumId w:val="31"/>
  </w:num>
  <w:num w:numId="30">
    <w:abstractNumId w:val="32"/>
  </w:num>
  <w:num w:numId="31">
    <w:abstractNumId w:val="27"/>
  </w:num>
  <w:num w:numId="32">
    <w:abstractNumId w:val="37"/>
  </w:num>
  <w:num w:numId="33">
    <w:abstractNumId w:val="29"/>
  </w:num>
  <w:num w:numId="34">
    <w:abstractNumId w:val="45"/>
  </w:num>
  <w:num w:numId="35">
    <w:abstractNumId w:val="42"/>
  </w:num>
  <w:num w:numId="36">
    <w:abstractNumId w:val="18"/>
  </w:num>
  <w:num w:numId="37">
    <w:abstractNumId w:val="39"/>
  </w:num>
  <w:num w:numId="38">
    <w:abstractNumId w:val="43"/>
  </w:num>
  <w:num w:numId="39">
    <w:abstractNumId w:val="14"/>
  </w:num>
  <w:num w:numId="40">
    <w:abstractNumId w:val="13"/>
  </w:num>
  <w:num w:numId="41">
    <w:abstractNumId w:val="28"/>
  </w:num>
  <w:num w:numId="42">
    <w:abstractNumId w:val="7"/>
  </w:num>
  <w:num w:numId="43">
    <w:abstractNumId w:val="17"/>
  </w:num>
  <w:num w:numId="44">
    <w:abstractNumId w:val="3"/>
  </w:num>
  <w:num w:numId="45">
    <w:abstractNumId w:val="44"/>
  </w:num>
  <w:num w:numId="46">
    <w:abstractNumId w:val="26"/>
  </w:num>
  <w:num w:numId="4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2AC5"/>
    <w:rsid w:val="0000499E"/>
    <w:rsid w:val="00011FC6"/>
    <w:rsid w:val="0001222B"/>
    <w:rsid w:val="00012CC3"/>
    <w:rsid w:val="000140FD"/>
    <w:rsid w:val="00015441"/>
    <w:rsid w:val="00016234"/>
    <w:rsid w:val="00017F45"/>
    <w:rsid w:val="0002231A"/>
    <w:rsid w:val="00024D0A"/>
    <w:rsid w:val="00025A5C"/>
    <w:rsid w:val="000300AE"/>
    <w:rsid w:val="00030385"/>
    <w:rsid w:val="0003213D"/>
    <w:rsid w:val="00032DE1"/>
    <w:rsid w:val="00037552"/>
    <w:rsid w:val="000444C3"/>
    <w:rsid w:val="000524FA"/>
    <w:rsid w:val="000528DF"/>
    <w:rsid w:val="00052A67"/>
    <w:rsid w:val="00052B85"/>
    <w:rsid w:val="00053145"/>
    <w:rsid w:val="00056978"/>
    <w:rsid w:val="00060DA1"/>
    <w:rsid w:val="0006231E"/>
    <w:rsid w:val="00062405"/>
    <w:rsid w:val="00063213"/>
    <w:rsid w:val="00063B7C"/>
    <w:rsid w:val="000660D6"/>
    <w:rsid w:val="00066F6E"/>
    <w:rsid w:val="00070065"/>
    <w:rsid w:val="0007042D"/>
    <w:rsid w:val="000713BD"/>
    <w:rsid w:val="00077062"/>
    <w:rsid w:val="00077EEC"/>
    <w:rsid w:val="0008047F"/>
    <w:rsid w:val="00081BFA"/>
    <w:rsid w:val="00081C69"/>
    <w:rsid w:val="000853CB"/>
    <w:rsid w:val="0008748D"/>
    <w:rsid w:val="00092F3F"/>
    <w:rsid w:val="00094BC2"/>
    <w:rsid w:val="000963D1"/>
    <w:rsid w:val="000968F3"/>
    <w:rsid w:val="000A638C"/>
    <w:rsid w:val="000A7163"/>
    <w:rsid w:val="000B1301"/>
    <w:rsid w:val="000B34B8"/>
    <w:rsid w:val="000B5939"/>
    <w:rsid w:val="000B5EBE"/>
    <w:rsid w:val="000C22B9"/>
    <w:rsid w:val="000C4EE8"/>
    <w:rsid w:val="000C761B"/>
    <w:rsid w:val="000D1487"/>
    <w:rsid w:val="000D273C"/>
    <w:rsid w:val="000D3776"/>
    <w:rsid w:val="000E0E0D"/>
    <w:rsid w:val="000E4899"/>
    <w:rsid w:val="000E7E3C"/>
    <w:rsid w:val="000F3B49"/>
    <w:rsid w:val="001043B0"/>
    <w:rsid w:val="001072AD"/>
    <w:rsid w:val="00110AD8"/>
    <w:rsid w:val="00112FAE"/>
    <w:rsid w:val="001131E2"/>
    <w:rsid w:val="001134E7"/>
    <w:rsid w:val="00120A13"/>
    <w:rsid w:val="00124CBD"/>
    <w:rsid w:val="00134FDA"/>
    <w:rsid w:val="00135081"/>
    <w:rsid w:val="001352C4"/>
    <w:rsid w:val="001368F7"/>
    <w:rsid w:val="001413FC"/>
    <w:rsid w:val="001503E8"/>
    <w:rsid w:val="00154516"/>
    <w:rsid w:val="00156529"/>
    <w:rsid w:val="001579DA"/>
    <w:rsid w:val="00161EBC"/>
    <w:rsid w:val="00165770"/>
    <w:rsid w:val="00165B01"/>
    <w:rsid w:val="00166C1A"/>
    <w:rsid w:val="0017035D"/>
    <w:rsid w:val="0017169E"/>
    <w:rsid w:val="001734F3"/>
    <w:rsid w:val="0017396B"/>
    <w:rsid w:val="00175BE8"/>
    <w:rsid w:val="00177200"/>
    <w:rsid w:val="00182263"/>
    <w:rsid w:val="0018281C"/>
    <w:rsid w:val="00182B45"/>
    <w:rsid w:val="001852B8"/>
    <w:rsid w:val="00185F6B"/>
    <w:rsid w:val="00192188"/>
    <w:rsid w:val="001936A7"/>
    <w:rsid w:val="00193A4C"/>
    <w:rsid w:val="00193D4B"/>
    <w:rsid w:val="00194E6C"/>
    <w:rsid w:val="00196653"/>
    <w:rsid w:val="001976DA"/>
    <w:rsid w:val="001A056C"/>
    <w:rsid w:val="001A173A"/>
    <w:rsid w:val="001A23E4"/>
    <w:rsid w:val="001A281B"/>
    <w:rsid w:val="001A48E7"/>
    <w:rsid w:val="001A4D02"/>
    <w:rsid w:val="001A73CD"/>
    <w:rsid w:val="001B06E1"/>
    <w:rsid w:val="001B1619"/>
    <w:rsid w:val="001B187B"/>
    <w:rsid w:val="001B3C11"/>
    <w:rsid w:val="001B3FEC"/>
    <w:rsid w:val="001B5300"/>
    <w:rsid w:val="001B65B3"/>
    <w:rsid w:val="001B6DC2"/>
    <w:rsid w:val="001C74F4"/>
    <w:rsid w:val="001D0D90"/>
    <w:rsid w:val="001D24D0"/>
    <w:rsid w:val="001D307A"/>
    <w:rsid w:val="001D3D36"/>
    <w:rsid w:val="001D6A26"/>
    <w:rsid w:val="001D6E16"/>
    <w:rsid w:val="001E06C6"/>
    <w:rsid w:val="001E08E9"/>
    <w:rsid w:val="001E0B63"/>
    <w:rsid w:val="001F0D02"/>
    <w:rsid w:val="001F1315"/>
    <w:rsid w:val="001F1D2D"/>
    <w:rsid w:val="001F468B"/>
    <w:rsid w:val="001F6AB0"/>
    <w:rsid w:val="001F79C5"/>
    <w:rsid w:val="001F7B97"/>
    <w:rsid w:val="00204572"/>
    <w:rsid w:val="00205FBE"/>
    <w:rsid w:val="00210375"/>
    <w:rsid w:val="002128D3"/>
    <w:rsid w:val="00212C54"/>
    <w:rsid w:val="002132AF"/>
    <w:rsid w:val="002136AD"/>
    <w:rsid w:val="00214A72"/>
    <w:rsid w:val="00215444"/>
    <w:rsid w:val="00220661"/>
    <w:rsid w:val="0022189B"/>
    <w:rsid w:val="002229AD"/>
    <w:rsid w:val="00224AEE"/>
    <w:rsid w:val="00225BB4"/>
    <w:rsid w:val="00225FF4"/>
    <w:rsid w:val="00230A13"/>
    <w:rsid w:val="002331C6"/>
    <w:rsid w:val="00236B76"/>
    <w:rsid w:val="002408EA"/>
    <w:rsid w:val="00241410"/>
    <w:rsid w:val="00241EC4"/>
    <w:rsid w:val="00245EF6"/>
    <w:rsid w:val="002563DF"/>
    <w:rsid w:val="0026108E"/>
    <w:rsid w:val="002614ED"/>
    <w:rsid w:val="00265142"/>
    <w:rsid w:val="00266AA6"/>
    <w:rsid w:val="00266B50"/>
    <w:rsid w:val="00270605"/>
    <w:rsid w:val="00271804"/>
    <w:rsid w:val="00271857"/>
    <w:rsid w:val="00277ED2"/>
    <w:rsid w:val="00280F8A"/>
    <w:rsid w:val="00284B87"/>
    <w:rsid w:val="00286537"/>
    <w:rsid w:val="00286C3A"/>
    <w:rsid w:val="00291A5B"/>
    <w:rsid w:val="0029330E"/>
    <w:rsid w:val="002A5503"/>
    <w:rsid w:val="002A7339"/>
    <w:rsid w:val="002B71D2"/>
    <w:rsid w:val="002C1A7E"/>
    <w:rsid w:val="002C2893"/>
    <w:rsid w:val="002C292E"/>
    <w:rsid w:val="002C5955"/>
    <w:rsid w:val="002C5BFD"/>
    <w:rsid w:val="002C7316"/>
    <w:rsid w:val="002C73DF"/>
    <w:rsid w:val="002D11D0"/>
    <w:rsid w:val="002D12BB"/>
    <w:rsid w:val="002D20E7"/>
    <w:rsid w:val="002D2C7E"/>
    <w:rsid w:val="002D2CC4"/>
    <w:rsid w:val="002D2D5C"/>
    <w:rsid w:val="002D2FD2"/>
    <w:rsid w:val="002D58EA"/>
    <w:rsid w:val="002D7242"/>
    <w:rsid w:val="002E13A4"/>
    <w:rsid w:val="002F2EEF"/>
    <w:rsid w:val="002F3E31"/>
    <w:rsid w:val="002F58D0"/>
    <w:rsid w:val="002F67D9"/>
    <w:rsid w:val="002F69F1"/>
    <w:rsid w:val="003015B5"/>
    <w:rsid w:val="0030244C"/>
    <w:rsid w:val="003030A7"/>
    <w:rsid w:val="003052E9"/>
    <w:rsid w:val="00311ED0"/>
    <w:rsid w:val="00311FE4"/>
    <w:rsid w:val="00313AED"/>
    <w:rsid w:val="0031497D"/>
    <w:rsid w:val="00316D48"/>
    <w:rsid w:val="00324C60"/>
    <w:rsid w:val="00326131"/>
    <w:rsid w:val="00326482"/>
    <w:rsid w:val="00330EED"/>
    <w:rsid w:val="003351B7"/>
    <w:rsid w:val="0033631A"/>
    <w:rsid w:val="00336946"/>
    <w:rsid w:val="003372C0"/>
    <w:rsid w:val="00340D15"/>
    <w:rsid w:val="003479A0"/>
    <w:rsid w:val="00351FA4"/>
    <w:rsid w:val="00351FDE"/>
    <w:rsid w:val="003524BA"/>
    <w:rsid w:val="00352FD0"/>
    <w:rsid w:val="0035532A"/>
    <w:rsid w:val="00355BED"/>
    <w:rsid w:val="0035645A"/>
    <w:rsid w:val="00357C1E"/>
    <w:rsid w:val="003604C3"/>
    <w:rsid w:val="00362BA3"/>
    <w:rsid w:val="00362EE3"/>
    <w:rsid w:val="00365698"/>
    <w:rsid w:val="00370ACD"/>
    <w:rsid w:val="00371E29"/>
    <w:rsid w:val="003722FA"/>
    <w:rsid w:val="00373EA4"/>
    <w:rsid w:val="00374EB6"/>
    <w:rsid w:val="00375AE7"/>
    <w:rsid w:val="00376C2A"/>
    <w:rsid w:val="00377277"/>
    <w:rsid w:val="00377304"/>
    <w:rsid w:val="0037760D"/>
    <w:rsid w:val="00381BEA"/>
    <w:rsid w:val="00381FB7"/>
    <w:rsid w:val="00383C3E"/>
    <w:rsid w:val="00384141"/>
    <w:rsid w:val="003861AC"/>
    <w:rsid w:val="003862A5"/>
    <w:rsid w:val="003953C7"/>
    <w:rsid w:val="003A3E2A"/>
    <w:rsid w:val="003B0286"/>
    <w:rsid w:val="003B091A"/>
    <w:rsid w:val="003B1C33"/>
    <w:rsid w:val="003B69AA"/>
    <w:rsid w:val="003C207A"/>
    <w:rsid w:val="003C3023"/>
    <w:rsid w:val="003C39D1"/>
    <w:rsid w:val="003C7AAF"/>
    <w:rsid w:val="003D52EA"/>
    <w:rsid w:val="003D58F7"/>
    <w:rsid w:val="003D5D5A"/>
    <w:rsid w:val="003D6018"/>
    <w:rsid w:val="003E12B1"/>
    <w:rsid w:val="003E1787"/>
    <w:rsid w:val="003E22FC"/>
    <w:rsid w:val="003F2EC0"/>
    <w:rsid w:val="003F40D1"/>
    <w:rsid w:val="003F42F7"/>
    <w:rsid w:val="003F540E"/>
    <w:rsid w:val="003F7CE6"/>
    <w:rsid w:val="003F7D78"/>
    <w:rsid w:val="00405B03"/>
    <w:rsid w:val="004068EA"/>
    <w:rsid w:val="004075B6"/>
    <w:rsid w:val="00411C38"/>
    <w:rsid w:val="0041238E"/>
    <w:rsid w:val="004128CB"/>
    <w:rsid w:val="004150FB"/>
    <w:rsid w:val="00420952"/>
    <w:rsid w:val="00421160"/>
    <w:rsid w:val="00423C0E"/>
    <w:rsid w:val="00423DB4"/>
    <w:rsid w:val="0042425C"/>
    <w:rsid w:val="00425640"/>
    <w:rsid w:val="004271A0"/>
    <w:rsid w:val="0042743D"/>
    <w:rsid w:val="004306C0"/>
    <w:rsid w:val="00446BEE"/>
    <w:rsid w:val="00450E6D"/>
    <w:rsid w:val="004518F7"/>
    <w:rsid w:val="0045334C"/>
    <w:rsid w:val="00461C01"/>
    <w:rsid w:val="0046325E"/>
    <w:rsid w:val="0046709A"/>
    <w:rsid w:val="00472CEC"/>
    <w:rsid w:val="00474FE4"/>
    <w:rsid w:val="00475C7C"/>
    <w:rsid w:val="00475D8E"/>
    <w:rsid w:val="0047731B"/>
    <w:rsid w:val="004824B6"/>
    <w:rsid w:val="00482C01"/>
    <w:rsid w:val="00483498"/>
    <w:rsid w:val="0048353B"/>
    <w:rsid w:val="00486953"/>
    <w:rsid w:val="00487EBC"/>
    <w:rsid w:val="004907E0"/>
    <w:rsid w:val="0049285D"/>
    <w:rsid w:val="00492AC8"/>
    <w:rsid w:val="00492CB6"/>
    <w:rsid w:val="00496B1E"/>
    <w:rsid w:val="00497AD3"/>
    <w:rsid w:val="004A13E2"/>
    <w:rsid w:val="004A237B"/>
    <w:rsid w:val="004A664D"/>
    <w:rsid w:val="004B4360"/>
    <w:rsid w:val="004B5F89"/>
    <w:rsid w:val="004B686A"/>
    <w:rsid w:val="004B688D"/>
    <w:rsid w:val="004C3670"/>
    <w:rsid w:val="004C3770"/>
    <w:rsid w:val="004C3BFD"/>
    <w:rsid w:val="004D1267"/>
    <w:rsid w:val="004D26AD"/>
    <w:rsid w:val="004D2897"/>
    <w:rsid w:val="004D39E2"/>
    <w:rsid w:val="004D756F"/>
    <w:rsid w:val="004E0E78"/>
    <w:rsid w:val="004E4C4B"/>
    <w:rsid w:val="004E54B6"/>
    <w:rsid w:val="004F242D"/>
    <w:rsid w:val="004F3269"/>
    <w:rsid w:val="004F7907"/>
    <w:rsid w:val="005025A1"/>
    <w:rsid w:val="00502C4B"/>
    <w:rsid w:val="0050409D"/>
    <w:rsid w:val="00505407"/>
    <w:rsid w:val="00505DA4"/>
    <w:rsid w:val="00510FAD"/>
    <w:rsid w:val="005127C1"/>
    <w:rsid w:val="005138B7"/>
    <w:rsid w:val="005143BA"/>
    <w:rsid w:val="00515063"/>
    <w:rsid w:val="005205BA"/>
    <w:rsid w:val="005243EC"/>
    <w:rsid w:val="005249CF"/>
    <w:rsid w:val="00525DD1"/>
    <w:rsid w:val="00527A29"/>
    <w:rsid w:val="00545970"/>
    <w:rsid w:val="00555CC8"/>
    <w:rsid w:val="00556B58"/>
    <w:rsid w:val="005577FA"/>
    <w:rsid w:val="0056425E"/>
    <w:rsid w:val="00565745"/>
    <w:rsid w:val="0056705D"/>
    <w:rsid w:val="00570287"/>
    <w:rsid w:val="00571370"/>
    <w:rsid w:val="00575207"/>
    <w:rsid w:val="005806EB"/>
    <w:rsid w:val="00580FF4"/>
    <w:rsid w:val="00583913"/>
    <w:rsid w:val="005842A7"/>
    <w:rsid w:val="00584C95"/>
    <w:rsid w:val="00586210"/>
    <w:rsid w:val="005935C0"/>
    <w:rsid w:val="00596607"/>
    <w:rsid w:val="005A014D"/>
    <w:rsid w:val="005A188D"/>
    <w:rsid w:val="005A39FA"/>
    <w:rsid w:val="005A4AD8"/>
    <w:rsid w:val="005A50D3"/>
    <w:rsid w:val="005A576F"/>
    <w:rsid w:val="005A64F3"/>
    <w:rsid w:val="005A6AB3"/>
    <w:rsid w:val="005B0095"/>
    <w:rsid w:val="005B2876"/>
    <w:rsid w:val="005B5C8B"/>
    <w:rsid w:val="005B6DF5"/>
    <w:rsid w:val="005B73E7"/>
    <w:rsid w:val="005B7FBF"/>
    <w:rsid w:val="005C2DCB"/>
    <w:rsid w:val="005C32F7"/>
    <w:rsid w:val="005D15B9"/>
    <w:rsid w:val="005D1E0A"/>
    <w:rsid w:val="005D37F7"/>
    <w:rsid w:val="005E0AC1"/>
    <w:rsid w:val="005E437F"/>
    <w:rsid w:val="005E7950"/>
    <w:rsid w:val="005F25FD"/>
    <w:rsid w:val="005F3C5C"/>
    <w:rsid w:val="005F5AFD"/>
    <w:rsid w:val="005F6BB8"/>
    <w:rsid w:val="005F6F0A"/>
    <w:rsid w:val="0061221F"/>
    <w:rsid w:val="00614078"/>
    <w:rsid w:val="006150A0"/>
    <w:rsid w:val="0061647E"/>
    <w:rsid w:val="00621972"/>
    <w:rsid w:val="0062228B"/>
    <w:rsid w:val="00624430"/>
    <w:rsid w:val="00625AEE"/>
    <w:rsid w:val="00627687"/>
    <w:rsid w:val="00637F2A"/>
    <w:rsid w:val="00642932"/>
    <w:rsid w:val="00642C45"/>
    <w:rsid w:val="0064313B"/>
    <w:rsid w:val="0064604F"/>
    <w:rsid w:val="00651D20"/>
    <w:rsid w:val="006523CB"/>
    <w:rsid w:val="0065348A"/>
    <w:rsid w:val="006557A6"/>
    <w:rsid w:val="00657C65"/>
    <w:rsid w:val="006635D1"/>
    <w:rsid w:val="006639FD"/>
    <w:rsid w:val="00664F8F"/>
    <w:rsid w:val="00666A4E"/>
    <w:rsid w:val="00667C21"/>
    <w:rsid w:val="006814B9"/>
    <w:rsid w:val="00682F88"/>
    <w:rsid w:val="0068417E"/>
    <w:rsid w:val="00684913"/>
    <w:rsid w:val="00686D56"/>
    <w:rsid w:val="006921E1"/>
    <w:rsid w:val="00692F13"/>
    <w:rsid w:val="006937D0"/>
    <w:rsid w:val="00693996"/>
    <w:rsid w:val="00696325"/>
    <w:rsid w:val="006966FC"/>
    <w:rsid w:val="006A498D"/>
    <w:rsid w:val="006A5E06"/>
    <w:rsid w:val="006A762E"/>
    <w:rsid w:val="006B2FA5"/>
    <w:rsid w:val="006D4078"/>
    <w:rsid w:val="006D4325"/>
    <w:rsid w:val="006D55A6"/>
    <w:rsid w:val="006D6BD0"/>
    <w:rsid w:val="006E09CB"/>
    <w:rsid w:val="006E2124"/>
    <w:rsid w:val="006E23A2"/>
    <w:rsid w:val="006E303F"/>
    <w:rsid w:val="006E4E37"/>
    <w:rsid w:val="006E5D76"/>
    <w:rsid w:val="006F17D4"/>
    <w:rsid w:val="006F6463"/>
    <w:rsid w:val="00701F52"/>
    <w:rsid w:val="0070542C"/>
    <w:rsid w:val="007067D1"/>
    <w:rsid w:val="007139DD"/>
    <w:rsid w:val="007143AC"/>
    <w:rsid w:val="00716007"/>
    <w:rsid w:val="007238DC"/>
    <w:rsid w:val="00730AA4"/>
    <w:rsid w:val="0073299E"/>
    <w:rsid w:val="00732BD3"/>
    <w:rsid w:val="00732C44"/>
    <w:rsid w:val="00734CC7"/>
    <w:rsid w:val="00736348"/>
    <w:rsid w:val="00736448"/>
    <w:rsid w:val="00736D41"/>
    <w:rsid w:val="00737F84"/>
    <w:rsid w:val="00740203"/>
    <w:rsid w:val="007469C6"/>
    <w:rsid w:val="00746C13"/>
    <w:rsid w:val="00751036"/>
    <w:rsid w:val="00752F55"/>
    <w:rsid w:val="007573F4"/>
    <w:rsid w:val="007574DD"/>
    <w:rsid w:val="00760E09"/>
    <w:rsid w:val="007629B8"/>
    <w:rsid w:val="00762D25"/>
    <w:rsid w:val="0076441B"/>
    <w:rsid w:val="007646C3"/>
    <w:rsid w:val="0076595B"/>
    <w:rsid w:val="0076743A"/>
    <w:rsid w:val="00770B9A"/>
    <w:rsid w:val="007718E7"/>
    <w:rsid w:val="007809E6"/>
    <w:rsid w:val="007825BE"/>
    <w:rsid w:val="007831FB"/>
    <w:rsid w:val="007839C3"/>
    <w:rsid w:val="00785616"/>
    <w:rsid w:val="007910D0"/>
    <w:rsid w:val="00792D69"/>
    <w:rsid w:val="0079772A"/>
    <w:rsid w:val="007B5378"/>
    <w:rsid w:val="007C4241"/>
    <w:rsid w:val="007C4561"/>
    <w:rsid w:val="007C4814"/>
    <w:rsid w:val="007C516A"/>
    <w:rsid w:val="007C6CFD"/>
    <w:rsid w:val="007D28D7"/>
    <w:rsid w:val="007D31FD"/>
    <w:rsid w:val="007E2014"/>
    <w:rsid w:val="007E21F8"/>
    <w:rsid w:val="007E2696"/>
    <w:rsid w:val="007E6A87"/>
    <w:rsid w:val="007E78BD"/>
    <w:rsid w:val="007F14A6"/>
    <w:rsid w:val="007F71A5"/>
    <w:rsid w:val="007F744E"/>
    <w:rsid w:val="007F7F72"/>
    <w:rsid w:val="008010D5"/>
    <w:rsid w:val="00802828"/>
    <w:rsid w:val="0080288C"/>
    <w:rsid w:val="0080417F"/>
    <w:rsid w:val="00804466"/>
    <w:rsid w:val="00807FF1"/>
    <w:rsid w:val="00810C89"/>
    <w:rsid w:val="008112BE"/>
    <w:rsid w:val="008137AD"/>
    <w:rsid w:val="00813C4A"/>
    <w:rsid w:val="00817C3D"/>
    <w:rsid w:val="00820118"/>
    <w:rsid w:val="00822301"/>
    <w:rsid w:val="00822F81"/>
    <w:rsid w:val="008274B0"/>
    <w:rsid w:val="008318F6"/>
    <w:rsid w:val="0083313E"/>
    <w:rsid w:val="008331BB"/>
    <w:rsid w:val="00833D43"/>
    <w:rsid w:val="00840FF7"/>
    <w:rsid w:val="00841169"/>
    <w:rsid w:val="00844032"/>
    <w:rsid w:val="008443D8"/>
    <w:rsid w:val="008445E7"/>
    <w:rsid w:val="00847D3A"/>
    <w:rsid w:val="008513F1"/>
    <w:rsid w:val="00855549"/>
    <w:rsid w:val="00861B3D"/>
    <w:rsid w:val="00865CE7"/>
    <w:rsid w:val="00867262"/>
    <w:rsid w:val="00870BDD"/>
    <w:rsid w:val="008717F1"/>
    <w:rsid w:val="00876F5C"/>
    <w:rsid w:val="00880755"/>
    <w:rsid w:val="00880ED3"/>
    <w:rsid w:val="00883721"/>
    <w:rsid w:val="00884823"/>
    <w:rsid w:val="008866C7"/>
    <w:rsid w:val="008904D0"/>
    <w:rsid w:val="008924E3"/>
    <w:rsid w:val="008A08AA"/>
    <w:rsid w:val="008A1DAE"/>
    <w:rsid w:val="008A247E"/>
    <w:rsid w:val="008A2C2A"/>
    <w:rsid w:val="008A391D"/>
    <w:rsid w:val="008A3D62"/>
    <w:rsid w:val="008A6605"/>
    <w:rsid w:val="008B4B98"/>
    <w:rsid w:val="008C183F"/>
    <w:rsid w:val="008C18BD"/>
    <w:rsid w:val="008C1C95"/>
    <w:rsid w:val="008C4122"/>
    <w:rsid w:val="008C669E"/>
    <w:rsid w:val="008D0EA5"/>
    <w:rsid w:val="008D6A3E"/>
    <w:rsid w:val="008E56A4"/>
    <w:rsid w:val="008E5BA8"/>
    <w:rsid w:val="008E664D"/>
    <w:rsid w:val="008E6FCA"/>
    <w:rsid w:val="008F2FAE"/>
    <w:rsid w:val="008F4E22"/>
    <w:rsid w:val="008F5739"/>
    <w:rsid w:val="008F61C4"/>
    <w:rsid w:val="009019A9"/>
    <w:rsid w:val="0090276A"/>
    <w:rsid w:val="00903F6D"/>
    <w:rsid w:val="00907BFE"/>
    <w:rsid w:val="00907C13"/>
    <w:rsid w:val="00907DF5"/>
    <w:rsid w:val="0091129C"/>
    <w:rsid w:val="0091391C"/>
    <w:rsid w:val="00916CED"/>
    <w:rsid w:val="00917909"/>
    <w:rsid w:val="00917D07"/>
    <w:rsid w:val="0092122F"/>
    <w:rsid w:val="009225D9"/>
    <w:rsid w:val="00925F15"/>
    <w:rsid w:val="0092757A"/>
    <w:rsid w:val="0093101C"/>
    <w:rsid w:val="0093543E"/>
    <w:rsid w:val="00937E8B"/>
    <w:rsid w:val="009460E7"/>
    <w:rsid w:val="00947FDB"/>
    <w:rsid w:val="00951AFE"/>
    <w:rsid w:val="00952219"/>
    <w:rsid w:val="009543A4"/>
    <w:rsid w:val="00955D86"/>
    <w:rsid w:val="009562D0"/>
    <w:rsid w:val="00960CC3"/>
    <w:rsid w:val="0096180D"/>
    <w:rsid w:val="00961E3B"/>
    <w:rsid w:val="00962360"/>
    <w:rsid w:val="009669AD"/>
    <w:rsid w:val="00970115"/>
    <w:rsid w:val="00972945"/>
    <w:rsid w:val="00973C64"/>
    <w:rsid w:val="00974384"/>
    <w:rsid w:val="00974D81"/>
    <w:rsid w:val="00976903"/>
    <w:rsid w:val="00977F9C"/>
    <w:rsid w:val="00982090"/>
    <w:rsid w:val="00983AF5"/>
    <w:rsid w:val="00986AA9"/>
    <w:rsid w:val="00987E66"/>
    <w:rsid w:val="00990173"/>
    <w:rsid w:val="00992244"/>
    <w:rsid w:val="00993567"/>
    <w:rsid w:val="00995A38"/>
    <w:rsid w:val="009965E1"/>
    <w:rsid w:val="009A23F7"/>
    <w:rsid w:val="009A2B2A"/>
    <w:rsid w:val="009A38DA"/>
    <w:rsid w:val="009A50A7"/>
    <w:rsid w:val="009A75C4"/>
    <w:rsid w:val="009B0897"/>
    <w:rsid w:val="009B276A"/>
    <w:rsid w:val="009B3223"/>
    <w:rsid w:val="009B4063"/>
    <w:rsid w:val="009B4DB1"/>
    <w:rsid w:val="009B52E5"/>
    <w:rsid w:val="009B64AD"/>
    <w:rsid w:val="009C3C0C"/>
    <w:rsid w:val="009C3CDC"/>
    <w:rsid w:val="009C5ADA"/>
    <w:rsid w:val="009C6214"/>
    <w:rsid w:val="009C77BF"/>
    <w:rsid w:val="009D1D56"/>
    <w:rsid w:val="009D32DA"/>
    <w:rsid w:val="009D49AA"/>
    <w:rsid w:val="009D4FBB"/>
    <w:rsid w:val="009D7602"/>
    <w:rsid w:val="009E680B"/>
    <w:rsid w:val="009F1902"/>
    <w:rsid w:val="009F4086"/>
    <w:rsid w:val="009F4F44"/>
    <w:rsid w:val="009F5C6B"/>
    <w:rsid w:val="009F7239"/>
    <w:rsid w:val="00A0249B"/>
    <w:rsid w:val="00A05C88"/>
    <w:rsid w:val="00A07644"/>
    <w:rsid w:val="00A11761"/>
    <w:rsid w:val="00A11ECD"/>
    <w:rsid w:val="00A12BE0"/>
    <w:rsid w:val="00A144F8"/>
    <w:rsid w:val="00A1592C"/>
    <w:rsid w:val="00A15A1F"/>
    <w:rsid w:val="00A16F4B"/>
    <w:rsid w:val="00A17B57"/>
    <w:rsid w:val="00A240EE"/>
    <w:rsid w:val="00A3325A"/>
    <w:rsid w:val="00A526EF"/>
    <w:rsid w:val="00A53E97"/>
    <w:rsid w:val="00A60794"/>
    <w:rsid w:val="00A611CE"/>
    <w:rsid w:val="00A70A7A"/>
    <w:rsid w:val="00A74615"/>
    <w:rsid w:val="00A74AE2"/>
    <w:rsid w:val="00A756BB"/>
    <w:rsid w:val="00A77B63"/>
    <w:rsid w:val="00A80F87"/>
    <w:rsid w:val="00A8249A"/>
    <w:rsid w:val="00A85968"/>
    <w:rsid w:val="00A866E2"/>
    <w:rsid w:val="00A86F08"/>
    <w:rsid w:val="00A879B5"/>
    <w:rsid w:val="00A922F5"/>
    <w:rsid w:val="00A94A2F"/>
    <w:rsid w:val="00A9779D"/>
    <w:rsid w:val="00AA276F"/>
    <w:rsid w:val="00AA32D3"/>
    <w:rsid w:val="00AA3E4A"/>
    <w:rsid w:val="00AA4327"/>
    <w:rsid w:val="00AA7A0F"/>
    <w:rsid w:val="00AB09A9"/>
    <w:rsid w:val="00AB1BBA"/>
    <w:rsid w:val="00AB3308"/>
    <w:rsid w:val="00AB3D08"/>
    <w:rsid w:val="00AB5614"/>
    <w:rsid w:val="00AB744E"/>
    <w:rsid w:val="00AC1F73"/>
    <w:rsid w:val="00AC7C93"/>
    <w:rsid w:val="00AD23FF"/>
    <w:rsid w:val="00AD3BCE"/>
    <w:rsid w:val="00AD56B1"/>
    <w:rsid w:val="00AD7CB3"/>
    <w:rsid w:val="00AE0661"/>
    <w:rsid w:val="00AE495F"/>
    <w:rsid w:val="00AE537D"/>
    <w:rsid w:val="00AE5854"/>
    <w:rsid w:val="00AE76CB"/>
    <w:rsid w:val="00AF108A"/>
    <w:rsid w:val="00AF10F5"/>
    <w:rsid w:val="00AF1393"/>
    <w:rsid w:val="00AF3CED"/>
    <w:rsid w:val="00AF43FA"/>
    <w:rsid w:val="00AF5D31"/>
    <w:rsid w:val="00AF6DD8"/>
    <w:rsid w:val="00B01831"/>
    <w:rsid w:val="00B0269C"/>
    <w:rsid w:val="00B02E55"/>
    <w:rsid w:val="00B0389A"/>
    <w:rsid w:val="00B0538C"/>
    <w:rsid w:val="00B06D4E"/>
    <w:rsid w:val="00B11A62"/>
    <w:rsid w:val="00B14C5C"/>
    <w:rsid w:val="00B14DDE"/>
    <w:rsid w:val="00B157D0"/>
    <w:rsid w:val="00B1748B"/>
    <w:rsid w:val="00B17DE0"/>
    <w:rsid w:val="00B25D3C"/>
    <w:rsid w:val="00B27031"/>
    <w:rsid w:val="00B307EC"/>
    <w:rsid w:val="00B341DA"/>
    <w:rsid w:val="00B44CE2"/>
    <w:rsid w:val="00B53A23"/>
    <w:rsid w:val="00B54BE5"/>
    <w:rsid w:val="00B570F4"/>
    <w:rsid w:val="00B57BE4"/>
    <w:rsid w:val="00B63534"/>
    <w:rsid w:val="00B67460"/>
    <w:rsid w:val="00B70FFB"/>
    <w:rsid w:val="00B718BA"/>
    <w:rsid w:val="00B72513"/>
    <w:rsid w:val="00B73B73"/>
    <w:rsid w:val="00B769EB"/>
    <w:rsid w:val="00B77084"/>
    <w:rsid w:val="00B80DC7"/>
    <w:rsid w:val="00B8205D"/>
    <w:rsid w:val="00B8239B"/>
    <w:rsid w:val="00B8344E"/>
    <w:rsid w:val="00B847E6"/>
    <w:rsid w:val="00B87486"/>
    <w:rsid w:val="00B909E1"/>
    <w:rsid w:val="00B91264"/>
    <w:rsid w:val="00B94316"/>
    <w:rsid w:val="00B956ED"/>
    <w:rsid w:val="00B96E71"/>
    <w:rsid w:val="00B97C95"/>
    <w:rsid w:val="00BA02F9"/>
    <w:rsid w:val="00BA1FEB"/>
    <w:rsid w:val="00BA31F9"/>
    <w:rsid w:val="00BA3FDA"/>
    <w:rsid w:val="00BA4313"/>
    <w:rsid w:val="00BA4784"/>
    <w:rsid w:val="00BA49EA"/>
    <w:rsid w:val="00BA4F42"/>
    <w:rsid w:val="00BA513C"/>
    <w:rsid w:val="00BA714E"/>
    <w:rsid w:val="00BA7AA3"/>
    <w:rsid w:val="00BB4FE5"/>
    <w:rsid w:val="00BB6334"/>
    <w:rsid w:val="00BB6352"/>
    <w:rsid w:val="00BB716A"/>
    <w:rsid w:val="00BC0422"/>
    <w:rsid w:val="00BC2765"/>
    <w:rsid w:val="00BC3D2A"/>
    <w:rsid w:val="00BC4575"/>
    <w:rsid w:val="00BC4CA0"/>
    <w:rsid w:val="00BC6FC8"/>
    <w:rsid w:val="00BC7ABB"/>
    <w:rsid w:val="00BD3051"/>
    <w:rsid w:val="00BD38BB"/>
    <w:rsid w:val="00BD4879"/>
    <w:rsid w:val="00BE10A8"/>
    <w:rsid w:val="00BE23AB"/>
    <w:rsid w:val="00BE397F"/>
    <w:rsid w:val="00BE5835"/>
    <w:rsid w:val="00BE5D71"/>
    <w:rsid w:val="00BF1474"/>
    <w:rsid w:val="00BF24FE"/>
    <w:rsid w:val="00BF28F7"/>
    <w:rsid w:val="00BF3B0A"/>
    <w:rsid w:val="00BF4B06"/>
    <w:rsid w:val="00BF54C1"/>
    <w:rsid w:val="00BF7FE0"/>
    <w:rsid w:val="00C0050E"/>
    <w:rsid w:val="00C014F7"/>
    <w:rsid w:val="00C0570D"/>
    <w:rsid w:val="00C10025"/>
    <w:rsid w:val="00C130C8"/>
    <w:rsid w:val="00C13168"/>
    <w:rsid w:val="00C13F60"/>
    <w:rsid w:val="00C203C9"/>
    <w:rsid w:val="00C22E43"/>
    <w:rsid w:val="00C23238"/>
    <w:rsid w:val="00C235DF"/>
    <w:rsid w:val="00C2539E"/>
    <w:rsid w:val="00C278DE"/>
    <w:rsid w:val="00C3004B"/>
    <w:rsid w:val="00C31381"/>
    <w:rsid w:val="00C31F4C"/>
    <w:rsid w:val="00C32ADC"/>
    <w:rsid w:val="00C35755"/>
    <w:rsid w:val="00C42E13"/>
    <w:rsid w:val="00C4427F"/>
    <w:rsid w:val="00C44D2A"/>
    <w:rsid w:val="00C47DDE"/>
    <w:rsid w:val="00C50912"/>
    <w:rsid w:val="00C50FF0"/>
    <w:rsid w:val="00C63347"/>
    <w:rsid w:val="00C64D23"/>
    <w:rsid w:val="00C67B74"/>
    <w:rsid w:val="00C7123A"/>
    <w:rsid w:val="00C7128F"/>
    <w:rsid w:val="00C71666"/>
    <w:rsid w:val="00C7331B"/>
    <w:rsid w:val="00C74D07"/>
    <w:rsid w:val="00C77B40"/>
    <w:rsid w:val="00C77FB4"/>
    <w:rsid w:val="00C80EB4"/>
    <w:rsid w:val="00C86682"/>
    <w:rsid w:val="00C90846"/>
    <w:rsid w:val="00C94681"/>
    <w:rsid w:val="00C94F4B"/>
    <w:rsid w:val="00CA129E"/>
    <w:rsid w:val="00CA20B5"/>
    <w:rsid w:val="00CA3562"/>
    <w:rsid w:val="00CA371D"/>
    <w:rsid w:val="00CB0A27"/>
    <w:rsid w:val="00CB2119"/>
    <w:rsid w:val="00CB35D9"/>
    <w:rsid w:val="00CB4A8A"/>
    <w:rsid w:val="00CC04DE"/>
    <w:rsid w:val="00CC12E7"/>
    <w:rsid w:val="00CC3237"/>
    <w:rsid w:val="00CC3F84"/>
    <w:rsid w:val="00CC6E2D"/>
    <w:rsid w:val="00CD24A8"/>
    <w:rsid w:val="00CD315A"/>
    <w:rsid w:val="00CD5DE9"/>
    <w:rsid w:val="00CE0526"/>
    <w:rsid w:val="00CE1ED9"/>
    <w:rsid w:val="00CF0BB4"/>
    <w:rsid w:val="00CF2FF8"/>
    <w:rsid w:val="00CF4851"/>
    <w:rsid w:val="00CF58B7"/>
    <w:rsid w:val="00D0069F"/>
    <w:rsid w:val="00D01133"/>
    <w:rsid w:val="00D05493"/>
    <w:rsid w:val="00D148D5"/>
    <w:rsid w:val="00D16E6A"/>
    <w:rsid w:val="00D224A1"/>
    <w:rsid w:val="00D2279D"/>
    <w:rsid w:val="00D351C1"/>
    <w:rsid w:val="00D35E64"/>
    <w:rsid w:val="00D36CA3"/>
    <w:rsid w:val="00D4249C"/>
    <w:rsid w:val="00D428BC"/>
    <w:rsid w:val="00D44776"/>
    <w:rsid w:val="00D44CE7"/>
    <w:rsid w:val="00D45804"/>
    <w:rsid w:val="00D46BC7"/>
    <w:rsid w:val="00D47082"/>
    <w:rsid w:val="00D51245"/>
    <w:rsid w:val="00D54B6F"/>
    <w:rsid w:val="00D54E73"/>
    <w:rsid w:val="00D613A6"/>
    <w:rsid w:val="00D61927"/>
    <w:rsid w:val="00D650EA"/>
    <w:rsid w:val="00D656E3"/>
    <w:rsid w:val="00D737C5"/>
    <w:rsid w:val="00D7722A"/>
    <w:rsid w:val="00D80B1B"/>
    <w:rsid w:val="00D82293"/>
    <w:rsid w:val="00D8405B"/>
    <w:rsid w:val="00D86BF0"/>
    <w:rsid w:val="00D950D8"/>
    <w:rsid w:val="00D95477"/>
    <w:rsid w:val="00DA6903"/>
    <w:rsid w:val="00DB0188"/>
    <w:rsid w:val="00DB26A8"/>
    <w:rsid w:val="00DB2921"/>
    <w:rsid w:val="00DB2A48"/>
    <w:rsid w:val="00DB4F9F"/>
    <w:rsid w:val="00DB5728"/>
    <w:rsid w:val="00DB5AE0"/>
    <w:rsid w:val="00DB6161"/>
    <w:rsid w:val="00DB70FB"/>
    <w:rsid w:val="00DC334D"/>
    <w:rsid w:val="00DC6AAD"/>
    <w:rsid w:val="00DE165D"/>
    <w:rsid w:val="00DE1965"/>
    <w:rsid w:val="00DE45A3"/>
    <w:rsid w:val="00DE5EE7"/>
    <w:rsid w:val="00DF67C3"/>
    <w:rsid w:val="00DF6CEB"/>
    <w:rsid w:val="00E009D9"/>
    <w:rsid w:val="00E06C6B"/>
    <w:rsid w:val="00E06ED0"/>
    <w:rsid w:val="00E1082D"/>
    <w:rsid w:val="00E130CB"/>
    <w:rsid w:val="00E14934"/>
    <w:rsid w:val="00E2160E"/>
    <w:rsid w:val="00E249E4"/>
    <w:rsid w:val="00E24E02"/>
    <w:rsid w:val="00E25895"/>
    <w:rsid w:val="00E30CA9"/>
    <w:rsid w:val="00E344DA"/>
    <w:rsid w:val="00E408AB"/>
    <w:rsid w:val="00E41E68"/>
    <w:rsid w:val="00E43B2D"/>
    <w:rsid w:val="00E460A6"/>
    <w:rsid w:val="00E46E83"/>
    <w:rsid w:val="00E51920"/>
    <w:rsid w:val="00E53A58"/>
    <w:rsid w:val="00E54D26"/>
    <w:rsid w:val="00E5659D"/>
    <w:rsid w:val="00E57A1F"/>
    <w:rsid w:val="00E63ADD"/>
    <w:rsid w:val="00E64120"/>
    <w:rsid w:val="00E678CB"/>
    <w:rsid w:val="00E67D1E"/>
    <w:rsid w:val="00E707FD"/>
    <w:rsid w:val="00E71657"/>
    <w:rsid w:val="00E745BB"/>
    <w:rsid w:val="00E8010A"/>
    <w:rsid w:val="00E84601"/>
    <w:rsid w:val="00E85E09"/>
    <w:rsid w:val="00E8605D"/>
    <w:rsid w:val="00E92CE2"/>
    <w:rsid w:val="00E93CDD"/>
    <w:rsid w:val="00E96479"/>
    <w:rsid w:val="00E97180"/>
    <w:rsid w:val="00EA1325"/>
    <w:rsid w:val="00EA22D5"/>
    <w:rsid w:val="00EA2704"/>
    <w:rsid w:val="00EA4221"/>
    <w:rsid w:val="00EB3CD8"/>
    <w:rsid w:val="00EB6F5F"/>
    <w:rsid w:val="00EC0481"/>
    <w:rsid w:val="00ED246E"/>
    <w:rsid w:val="00ED379C"/>
    <w:rsid w:val="00ED5834"/>
    <w:rsid w:val="00ED6AAF"/>
    <w:rsid w:val="00EE065C"/>
    <w:rsid w:val="00EE3926"/>
    <w:rsid w:val="00EE4DCB"/>
    <w:rsid w:val="00EE5D34"/>
    <w:rsid w:val="00EF1AB4"/>
    <w:rsid w:val="00EF319C"/>
    <w:rsid w:val="00EF3741"/>
    <w:rsid w:val="00F00846"/>
    <w:rsid w:val="00F02496"/>
    <w:rsid w:val="00F055F1"/>
    <w:rsid w:val="00F05A46"/>
    <w:rsid w:val="00F15458"/>
    <w:rsid w:val="00F31A8E"/>
    <w:rsid w:val="00F32C2D"/>
    <w:rsid w:val="00F33676"/>
    <w:rsid w:val="00F33A4C"/>
    <w:rsid w:val="00F34B87"/>
    <w:rsid w:val="00F358BF"/>
    <w:rsid w:val="00F374CD"/>
    <w:rsid w:val="00F37E7F"/>
    <w:rsid w:val="00F41E92"/>
    <w:rsid w:val="00F434FF"/>
    <w:rsid w:val="00F4425B"/>
    <w:rsid w:val="00F44D2E"/>
    <w:rsid w:val="00F46768"/>
    <w:rsid w:val="00F476F3"/>
    <w:rsid w:val="00F51024"/>
    <w:rsid w:val="00F5122A"/>
    <w:rsid w:val="00F51940"/>
    <w:rsid w:val="00F523CD"/>
    <w:rsid w:val="00F53495"/>
    <w:rsid w:val="00F561EE"/>
    <w:rsid w:val="00F63D66"/>
    <w:rsid w:val="00F64504"/>
    <w:rsid w:val="00F6458C"/>
    <w:rsid w:val="00F6478A"/>
    <w:rsid w:val="00F6545B"/>
    <w:rsid w:val="00F6661C"/>
    <w:rsid w:val="00F701C7"/>
    <w:rsid w:val="00F77823"/>
    <w:rsid w:val="00F77FD4"/>
    <w:rsid w:val="00F82391"/>
    <w:rsid w:val="00F84619"/>
    <w:rsid w:val="00F858CA"/>
    <w:rsid w:val="00F87E9D"/>
    <w:rsid w:val="00F916DC"/>
    <w:rsid w:val="00F94BD6"/>
    <w:rsid w:val="00F958CC"/>
    <w:rsid w:val="00FA464E"/>
    <w:rsid w:val="00FA60EE"/>
    <w:rsid w:val="00FB2379"/>
    <w:rsid w:val="00FB3848"/>
    <w:rsid w:val="00FB5293"/>
    <w:rsid w:val="00FB5446"/>
    <w:rsid w:val="00FC0D46"/>
    <w:rsid w:val="00FC10ED"/>
    <w:rsid w:val="00FC2D11"/>
    <w:rsid w:val="00FC373B"/>
    <w:rsid w:val="00FC6230"/>
    <w:rsid w:val="00FD0638"/>
    <w:rsid w:val="00FD2A0A"/>
    <w:rsid w:val="00FD3934"/>
    <w:rsid w:val="00FD40F7"/>
    <w:rsid w:val="00FD5913"/>
    <w:rsid w:val="00FE0558"/>
    <w:rsid w:val="00FE0BF6"/>
    <w:rsid w:val="00FE11E8"/>
    <w:rsid w:val="00FE12CE"/>
    <w:rsid w:val="00FE29B5"/>
    <w:rsid w:val="00FE32EB"/>
    <w:rsid w:val="00FE3AFF"/>
    <w:rsid w:val="00FE40F0"/>
    <w:rsid w:val="00FE7F98"/>
    <w:rsid w:val="00FF065B"/>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FB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uiPriority w:val="39"/>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semiHidden/>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5"/>
      </w:numPr>
    </w:pPr>
  </w:style>
  <w:style w:type="numbering" w:customStyle="1" w:styleId="Tablebulletindented">
    <w:name w:val="Table bullet indented"/>
    <w:basedOn w:val="NoList"/>
    <w:rsid w:val="00ED6AAF"/>
    <w:pPr>
      <w:numPr>
        <w:numId w:val="30"/>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4"/>
      </w:numPr>
      <w:contextualSpacing/>
    </w:pPr>
    <w:rPr>
      <w:rFonts w:ascii="Arial" w:hAnsi="Arial" w:cs="Arial"/>
      <w:spacing w:val="-3"/>
    </w:rPr>
  </w:style>
  <w:style w:type="numbering" w:customStyle="1" w:styleId="Tablebullet">
    <w:name w:val="Table bullet"/>
    <w:basedOn w:val="NoList"/>
    <w:rsid w:val="00ED6AAF"/>
    <w:pPr>
      <w:numPr>
        <w:numId w:val="36"/>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9B64AD"/>
    <w:rPr>
      <w:color w:val="605E5C"/>
      <w:shd w:val="clear" w:color="auto" w:fill="E1DFDD"/>
    </w:rPr>
  </w:style>
  <w:style w:type="paragraph" w:styleId="EndnoteText">
    <w:name w:val="endnote text"/>
    <w:basedOn w:val="Normal"/>
    <w:link w:val="EndnoteTextChar"/>
    <w:unhideWhenUsed/>
    <w:rsid w:val="00E46E83"/>
    <w:rPr>
      <w:rFonts w:ascii="Arial" w:hAnsi="Arial"/>
      <w:sz w:val="20"/>
      <w:szCs w:val="20"/>
    </w:rPr>
  </w:style>
  <w:style w:type="character" w:customStyle="1" w:styleId="EndnoteTextChar">
    <w:name w:val="Endnote Text Char"/>
    <w:basedOn w:val="DefaultParagraphFont"/>
    <w:link w:val="EndnoteText"/>
    <w:rsid w:val="00E46E8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2910324">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896012727">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34061621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2673657">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03" TargetMode="External"/><Relationship Id="rId13" Type="http://schemas.openxmlformats.org/officeDocument/2006/relationships/hyperlink" Target="https://www.cvdprevent.nhs.uk/home" TargetMode="External"/><Relationship Id="rId18" Type="http://schemas.openxmlformats.org/officeDocument/2006/relationships/footer" Target="footer2.xml"/><Relationship Id="rId26" Type="http://schemas.openxmlformats.org/officeDocument/2006/relationships/hyperlink" Target="https://www.nice.org.uk/guidance/ng203/resources/chronic-kidney-disease-assessment-and-management-pdf-66143713055173" TargetMode="External"/><Relationship Id="rId3" Type="http://schemas.openxmlformats.org/officeDocument/2006/relationships/styles" Target="styles.xml"/><Relationship Id="rId21" Type="http://schemas.openxmlformats.org/officeDocument/2006/relationships/hyperlink" Target="https://www.nice.org.uk/guidance/ng203/resources/chronic-kidney-disease-assessment-and-management-pdf-66143713055173" TargetMode="External"/><Relationship Id="rId7" Type="http://schemas.openxmlformats.org/officeDocument/2006/relationships/endnotes" Target="endnotes.xml"/><Relationship Id="rId12" Type="http://schemas.openxmlformats.org/officeDocument/2006/relationships/hyperlink" Target="https://www.nice.org.uk/guidance/ng136" TargetMode="External"/><Relationship Id="rId17" Type="http://schemas.openxmlformats.org/officeDocument/2006/relationships/footer" Target="footer1.xml"/><Relationship Id="rId25" Type="http://schemas.openxmlformats.org/officeDocument/2006/relationships/hyperlink" Target="https://www.nice.org.uk/standards-and-indicators/qofindicators/the-percentage-of-patients-on-the-ckd-register-whose-notes-have-a-record-of-a-urine-albumin-creatinine-ratio-or-protein-creatinine-ratio-test-in-the-preceding-12-months-nm109"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203" TargetMode="External"/><Relationship Id="rId24" Type="http://schemas.openxmlformats.org/officeDocument/2006/relationships/hyperlink" Target="https://www.lshtm.ac.uk/files/ckd_audit_report.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kidneyresearchuk.org/wp-content/uploads/2019/02/Health_Inequalities_Report_Complete_FINAL_Web_20181017.pdf" TargetMode="External"/><Relationship Id="rId28" Type="http://schemas.openxmlformats.org/officeDocument/2006/relationships/fontTable" Target="fontTable.xml"/><Relationship Id="rId10" Type="http://schemas.openxmlformats.org/officeDocument/2006/relationships/hyperlink" Target="https://www.nice.org.uk/guidance/ng20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ice.org.uk/guidance/ng203" TargetMode="External"/><Relationship Id="rId14" Type="http://schemas.openxmlformats.org/officeDocument/2006/relationships/hyperlink" Target="https://www.cvdprevent.nhs.uk/home" TargetMode="External"/><Relationship Id="rId22" Type="http://schemas.openxmlformats.org/officeDocument/2006/relationships/hyperlink" Target="https://www.nice.org.uk/guidance/ng28/resources/type-2-diabetes-in-adults-management-pdf-1837338615493" TargetMode="External"/><Relationship Id="rId27" Type="http://schemas.openxmlformats.org/officeDocument/2006/relationships/hyperlink" Target="http://www.cores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9D27D-5A35-4CE6-A572-66DCA8E7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9827</Words>
  <Characters>55164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2022-07-07T16:04:00Z</dcterms:created>
  <dcterms:modified xsi:type="dcterms:W3CDTF">2022-08-16T10:17:00Z</dcterms:modified>
</cp:coreProperties>
</file>