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Pr="001D7672" w:rsidRDefault="00482C01" w:rsidP="004338EC">
      <w:pPr>
        <w:pStyle w:val="Paragraph"/>
        <w:jc w:val="center"/>
      </w:pPr>
      <w:bookmarkStart w:id="0" w:name="_Toc383595130"/>
      <w:r w:rsidRPr="004338EC">
        <w:rPr>
          <w:b/>
          <w:bCs/>
          <w:sz w:val="32"/>
          <w:szCs w:val="32"/>
        </w:rPr>
        <w:t>NATIONAL INSTITUTE FOR HEALTH AND CARE EXCELLENCE</w:t>
      </w:r>
      <w:bookmarkEnd w:id="0"/>
    </w:p>
    <w:p w14:paraId="513A8F55" w14:textId="77777777" w:rsidR="008C183F" w:rsidRPr="001D7672" w:rsidRDefault="008C183F" w:rsidP="004338EC">
      <w:pPr>
        <w:pStyle w:val="Paragraph"/>
        <w:jc w:val="center"/>
      </w:pPr>
    </w:p>
    <w:p w14:paraId="4E99922F" w14:textId="77777777" w:rsidR="00482C01" w:rsidRPr="001D7672" w:rsidRDefault="00482C01" w:rsidP="004338EC">
      <w:pPr>
        <w:pStyle w:val="Paragraph"/>
        <w:jc w:val="center"/>
      </w:pPr>
      <w:bookmarkStart w:id="1" w:name="_Toc383595131"/>
      <w:r w:rsidRPr="004338EC">
        <w:rPr>
          <w:b/>
          <w:bCs/>
          <w:sz w:val="32"/>
          <w:szCs w:val="32"/>
        </w:rPr>
        <w:t>INDICATOR DEVELOPMENT PROGRAMME</w:t>
      </w:r>
      <w:bookmarkEnd w:id="1"/>
    </w:p>
    <w:p w14:paraId="7489FAE6" w14:textId="2CB07613" w:rsidR="00482C01" w:rsidRPr="001D7672" w:rsidRDefault="00482C01" w:rsidP="004338EC">
      <w:pPr>
        <w:pStyle w:val="Paragraph"/>
        <w:jc w:val="center"/>
        <w:rPr>
          <w:rFonts w:cs="Arial"/>
        </w:rPr>
      </w:pPr>
      <w:bookmarkStart w:id="2" w:name="_Toc383595132"/>
    </w:p>
    <w:p w14:paraId="6C6B43FC" w14:textId="08AE770B" w:rsidR="00482C01" w:rsidRPr="001D7672" w:rsidRDefault="00482C01" w:rsidP="004338EC">
      <w:pPr>
        <w:pStyle w:val="Paragraph"/>
        <w:jc w:val="center"/>
        <w:rPr>
          <w:rFonts w:cs="Arial"/>
        </w:rPr>
      </w:pPr>
      <w:r w:rsidRPr="004338EC">
        <w:rPr>
          <w:rFonts w:cs="Arial"/>
          <w:b/>
          <w:bCs/>
          <w:sz w:val="32"/>
          <w:szCs w:val="32"/>
        </w:rPr>
        <w:t>C</w:t>
      </w:r>
      <w:r w:rsidR="00DB5AE0" w:rsidRPr="004338EC">
        <w:rPr>
          <w:rFonts w:cs="Arial"/>
          <w:b/>
          <w:bCs/>
          <w:sz w:val="32"/>
          <w:szCs w:val="32"/>
        </w:rPr>
        <w:t>onsultation report</w:t>
      </w:r>
      <w:bookmarkEnd w:id="2"/>
    </w:p>
    <w:p w14:paraId="496B6A1B" w14:textId="04509644" w:rsidR="00FE12CE" w:rsidRPr="00FE12CE" w:rsidRDefault="00FE12CE" w:rsidP="00FE12CE">
      <w:pPr>
        <w:pStyle w:val="Paragraph"/>
      </w:pPr>
      <w:r w:rsidRPr="00FE12CE">
        <w:t xml:space="preserve">Indicator area: </w:t>
      </w:r>
      <w:r w:rsidR="00E50B60">
        <w:t>Diabetes</w:t>
      </w:r>
      <w:r w:rsidR="00F928F4">
        <w:t xml:space="preserve"> blood pressure targets</w:t>
      </w:r>
    </w:p>
    <w:p w14:paraId="38D25E82" w14:textId="58B6C055" w:rsidR="00FE12CE" w:rsidRPr="00FE12CE" w:rsidRDefault="00FE12CE" w:rsidP="00FE12CE">
      <w:pPr>
        <w:pStyle w:val="Paragraph"/>
      </w:pPr>
      <w:r w:rsidRPr="00FE12CE">
        <w:t xml:space="preserve">Consultation period: </w:t>
      </w:r>
      <w:r w:rsidR="00E50B60">
        <w:t xml:space="preserve">22 </w:t>
      </w:r>
      <w:r w:rsidR="007502F1">
        <w:t>March</w:t>
      </w:r>
      <w:r w:rsidRPr="00FE12CE">
        <w:t xml:space="preserve"> – </w:t>
      </w:r>
      <w:r w:rsidR="00E50B60">
        <w:t>21</w:t>
      </w:r>
      <w:r w:rsidRPr="00FE12CE">
        <w:t xml:space="preserve"> </w:t>
      </w:r>
      <w:r w:rsidR="007502F1">
        <w:t xml:space="preserve">April </w:t>
      </w:r>
      <w:r w:rsidR="00E50B60">
        <w:t>20</w:t>
      </w:r>
      <w:r w:rsidR="007502F1">
        <w:t>22</w:t>
      </w:r>
    </w:p>
    <w:p w14:paraId="6A346D7A" w14:textId="374B9B8E" w:rsidR="007F14A6" w:rsidRPr="007F14A6" w:rsidRDefault="00FE12CE" w:rsidP="007502F1">
      <w:pPr>
        <w:pStyle w:val="Paragraph"/>
      </w:pPr>
      <w:r w:rsidRPr="00FE12CE">
        <w:t xml:space="preserve">Date of Indicator Advisory Committee meeting: </w:t>
      </w:r>
      <w:r w:rsidR="007502F1">
        <w:t>14 June 2022</w:t>
      </w:r>
    </w:p>
    <w:p w14:paraId="7858D874" w14:textId="77777777" w:rsidR="00482C01" w:rsidRPr="001D7672" w:rsidRDefault="00482C01" w:rsidP="004338EC">
      <w:pPr>
        <w:pStyle w:val="Paragraph"/>
        <w:rPr>
          <w:szCs w:val="28"/>
        </w:rPr>
      </w:pPr>
      <w:r w:rsidRPr="004338EC">
        <w:rPr>
          <w:b/>
          <w:bCs/>
          <w:sz w:val="28"/>
          <w:szCs w:val="28"/>
        </w:rPr>
        <w:t>Contents</w:t>
      </w:r>
    </w:p>
    <w:p w14:paraId="78337C21" w14:textId="3A6CB3E5" w:rsidR="00B34AE9" w:rsidRDefault="00B34AE9">
      <w:pPr>
        <w:pStyle w:val="TOC1"/>
        <w:rPr>
          <w:rFonts w:asciiTheme="minorHAnsi" w:eastAsiaTheme="minorEastAsia" w:hAnsiTheme="minorHAnsi" w:cstheme="minorBidi"/>
          <w:noProof/>
          <w:sz w:val="22"/>
          <w:szCs w:val="22"/>
          <w:lang w:eastAsia="en-GB"/>
        </w:rPr>
      </w:pPr>
      <w:r>
        <w:rPr>
          <w:rStyle w:val="Hyperlink"/>
          <w:b/>
          <w:bCs/>
          <w:noProof/>
        </w:rPr>
        <w:fldChar w:fldCharType="begin"/>
      </w:r>
      <w:r>
        <w:rPr>
          <w:rStyle w:val="Hyperlink"/>
          <w:b/>
          <w:bCs/>
          <w:noProof/>
        </w:rPr>
        <w:instrText xml:space="preserve"> TOC \h \z \t "Heading 1,1" </w:instrText>
      </w:r>
      <w:r>
        <w:rPr>
          <w:rStyle w:val="Hyperlink"/>
          <w:b/>
          <w:bCs/>
          <w:noProof/>
        </w:rPr>
        <w:fldChar w:fldCharType="separate"/>
      </w:r>
      <w:hyperlink w:anchor="_Toc105399589" w:history="1">
        <w:r w:rsidRPr="00D00AD9">
          <w:rPr>
            <w:rStyle w:val="Hyperlink"/>
            <w:noProof/>
          </w:rPr>
          <w:t>Executive summary</w:t>
        </w:r>
        <w:r>
          <w:rPr>
            <w:noProof/>
            <w:webHidden/>
          </w:rPr>
          <w:tab/>
        </w:r>
        <w:r>
          <w:rPr>
            <w:noProof/>
            <w:webHidden/>
          </w:rPr>
          <w:fldChar w:fldCharType="begin"/>
        </w:r>
        <w:r>
          <w:rPr>
            <w:noProof/>
            <w:webHidden/>
          </w:rPr>
          <w:instrText xml:space="preserve"> PAGEREF _Toc105399589 \h </w:instrText>
        </w:r>
        <w:r>
          <w:rPr>
            <w:noProof/>
            <w:webHidden/>
          </w:rPr>
        </w:r>
        <w:r>
          <w:rPr>
            <w:noProof/>
            <w:webHidden/>
          </w:rPr>
          <w:fldChar w:fldCharType="separate"/>
        </w:r>
        <w:r>
          <w:rPr>
            <w:noProof/>
            <w:webHidden/>
          </w:rPr>
          <w:t>2</w:t>
        </w:r>
        <w:r>
          <w:rPr>
            <w:noProof/>
            <w:webHidden/>
          </w:rPr>
          <w:fldChar w:fldCharType="end"/>
        </w:r>
      </w:hyperlink>
    </w:p>
    <w:p w14:paraId="6A2DFFE9" w14:textId="1C425826" w:rsidR="00B34AE9" w:rsidRDefault="00ED532D">
      <w:pPr>
        <w:pStyle w:val="TOC1"/>
        <w:rPr>
          <w:rFonts w:asciiTheme="minorHAnsi" w:eastAsiaTheme="minorEastAsia" w:hAnsiTheme="minorHAnsi" w:cstheme="minorBidi"/>
          <w:noProof/>
          <w:sz w:val="22"/>
          <w:szCs w:val="22"/>
          <w:lang w:eastAsia="en-GB"/>
        </w:rPr>
      </w:pPr>
      <w:hyperlink w:anchor="_Toc105399590" w:history="1">
        <w:r w:rsidR="00B34AE9" w:rsidRPr="00D00AD9">
          <w:rPr>
            <w:rStyle w:val="Hyperlink"/>
            <w:noProof/>
          </w:rPr>
          <w:t>General comments</w:t>
        </w:r>
        <w:r w:rsidR="00B34AE9">
          <w:rPr>
            <w:noProof/>
            <w:webHidden/>
          </w:rPr>
          <w:tab/>
        </w:r>
        <w:r w:rsidR="00B34AE9">
          <w:rPr>
            <w:noProof/>
            <w:webHidden/>
          </w:rPr>
          <w:fldChar w:fldCharType="begin"/>
        </w:r>
        <w:r w:rsidR="00B34AE9">
          <w:rPr>
            <w:noProof/>
            <w:webHidden/>
          </w:rPr>
          <w:instrText xml:space="preserve"> PAGEREF _Toc105399590 \h </w:instrText>
        </w:r>
        <w:r w:rsidR="00B34AE9">
          <w:rPr>
            <w:noProof/>
            <w:webHidden/>
          </w:rPr>
        </w:r>
        <w:r w:rsidR="00B34AE9">
          <w:rPr>
            <w:noProof/>
            <w:webHidden/>
          </w:rPr>
          <w:fldChar w:fldCharType="separate"/>
        </w:r>
        <w:r w:rsidR="00B34AE9">
          <w:rPr>
            <w:noProof/>
            <w:webHidden/>
          </w:rPr>
          <w:t>3</w:t>
        </w:r>
        <w:r w:rsidR="00B34AE9">
          <w:rPr>
            <w:noProof/>
            <w:webHidden/>
          </w:rPr>
          <w:fldChar w:fldCharType="end"/>
        </w:r>
      </w:hyperlink>
    </w:p>
    <w:p w14:paraId="01BF8CA7" w14:textId="0B4BEC5B" w:rsidR="00B34AE9" w:rsidRDefault="00ED532D">
      <w:pPr>
        <w:pStyle w:val="TOC1"/>
        <w:rPr>
          <w:rFonts w:asciiTheme="minorHAnsi" w:eastAsiaTheme="minorEastAsia" w:hAnsiTheme="minorHAnsi" w:cstheme="minorBidi"/>
          <w:noProof/>
          <w:sz w:val="22"/>
          <w:szCs w:val="22"/>
          <w:lang w:eastAsia="en-GB"/>
        </w:rPr>
      </w:pPr>
      <w:hyperlink w:anchor="_Toc105399591" w:history="1">
        <w:r w:rsidR="00B34AE9" w:rsidRPr="00D00AD9">
          <w:rPr>
            <w:rStyle w:val="Hyperlink"/>
            <w:noProof/>
          </w:rPr>
          <w:t>IND 2022-122: Blood pressure target for all types of diabetes</w:t>
        </w:r>
        <w:r w:rsidR="00B34AE9">
          <w:rPr>
            <w:noProof/>
            <w:webHidden/>
          </w:rPr>
          <w:tab/>
        </w:r>
        <w:r w:rsidR="00B34AE9">
          <w:rPr>
            <w:noProof/>
            <w:webHidden/>
          </w:rPr>
          <w:fldChar w:fldCharType="begin"/>
        </w:r>
        <w:r w:rsidR="00B34AE9">
          <w:rPr>
            <w:noProof/>
            <w:webHidden/>
          </w:rPr>
          <w:instrText xml:space="preserve"> PAGEREF _Toc105399591 \h </w:instrText>
        </w:r>
        <w:r w:rsidR="00B34AE9">
          <w:rPr>
            <w:noProof/>
            <w:webHidden/>
          </w:rPr>
        </w:r>
        <w:r w:rsidR="00B34AE9">
          <w:rPr>
            <w:noProof/>
            <w:webHidden/>
          </w:rPr>
          <w:fldChar w:fldCharType="separate"/>
        </w:r>
        <w:r w:rsidR="00B34AE9">
          <w:rPr>
            <w:noProof/>
            <w:webHidden/>
          </w:rPr>
          <w:t>4</w:t>
        </w:r>
        <w:r w:rsidR="00B34AE9">
          <w:rPr>
            <w:noProof/>
            <w:webHidden/>
          </w:rPr>
          <w:fldChar w:fldCharType="end"/>
        </w:r>
      </w:hyperlink>
    </w:p>
    <w:p w14:paraId="2C839193" w14:textId="540D0D6D" w:rsidR="00B34AE9" w:rsidRDefault="00ED532D">
      <w:pPr>
        <w:pStyle w:val="TOC1"/>
        <w:rPr>
          <w:rFonts w:asciiTheme="minorHAnsi" w:eastAsiaTheme="minorEastAsia" w:hAnsiTheme="minorHAnsi" w:cstheme="minorBidi"/>
          <w:noProof/>
          <w:sz w:val="22"/>
          <w:szCs w:val="22"/>
          <w:lang w:eastAsia="en-GB"/>
        </w:rPr>
      </w:pPr>
      <w:hyperlink w:anchor="_Toc105399592" w:history="1">
        <w:r w:rsidR="00B34AE9" w:rsidRPr="00D00AD9">
          <w:rPr>
            <w:rStyle w:val="Hyperlink"/>
            <w:noProof/>
          </w:rPr>
          <w:t>IND 2022-123: Blood pressure target for people with type 1 diabetes</w:t>
        </w:r>
        <w:r w:rsidR="00B34AE9">
          <w:rPr>
            <w:noProof/>
            <w:webHidden/>
          </w:rPr>
          <w:tab/>
        </w:r>
        <w:r w:rsidR="00B34AE9">
          <w:rPr>
            <w:noProof/>
            <w:webHidden/>
          </w:rPr>
          <w:fldChar w:fldCharType="begin"/>
        </w:r>
        <w:r w:rsidR="00B34AE9">
          <w:rPr>
            <w:noProof/>
            <w:webHidden/>
          </w:rPr>
          <w:instrText xml:space="preserve"> PAGEREF _Toc105399592 \h </w:instrText>
        </w:r>
        <w:r w:rsidR="00B34AE9">
          <w:rPr>
            <w:noProof/>
            <w:webHidden/>
          </w:rPr>
        </w:r>
        <w:r w:rsidR="00B34AE9">
          <w:rPr>
            <w:noProof/>
            <w:webHidden/>
          </w:rPr>
          <w:fldChar w:fldCharType="separate"/>
        </w:r>
        <w:r w:rsidR="00B34AE9">
          <w:rPr>
            <w:noProof/>
            <w:webHidden/>
          </w:rPr>
          <w:t>5</w:t>
        </w:r>
        <w:r w:rsidR="00B34AE9">
          <w:rPr>
            <w:noProof/>
            <w:webHidden/>
          </w:rPr>
          <w:fldChar w:fldCharType="end"/>
        </w:r>
      </w:hyperlink>
    </w:p>
    <w:p w14:paraId="4E748301" w14:textId="6B43271C" w:rsidR="00B34AE9" w:rsidRDefault="00ED532D">
      <w:pPr>
        <w:pStyle w:val="TOC1"/>
        <w:rPr>
          <w:rFonts w:asciiTheme="minorHAnsi" w:eastAsiaTheme="minorEastAsia" w:hAnsiTheme="minorHAnsi" w:cstheme="minorBidi"/>
          <w:noProof/>
          <w:sz w:val="22"/>
          <w:szCs w:val="22"/>
          <w:lang w:eastAsia="en-GB"/>
        </w:rPr>
      </w:pPr>
      <w:hyperlink w:anchor="_Toc105399593" w:history="1">
        <w:r w:rsidR="00B34AE9" w:rsidRPr="00D00AD9">
          <w:rPr>
            <w:rStyle w:val="Hyperlink"/>
            <w:noProof/>
          </w:rPr>
          <w:t>IND 2022-124: Blood pressure target for people with type 2 or other diabetes</w:t>
        </w:r>
        <w:r w:rsidR="00B34AE9">
          <w:rPr>
            <w:noProof/>
            <w:webHidden/>
          </w:rPr>
          <w:tab/>
        </w:r>
        <w:r w:rsidR="00B34AE9">
          <w:rPr>
            <w:noProof/>
            <w:webHidden/>
          </w:rPr>
          <w:fldChar w:fldCharType="begin"/>
        </w:r>
        <w:r w:rsidR="00B34AE9">
          <w:rPr>
            <w:noProof/>
            <w:webHidden/>
          </w:rPr>
          <w:instrText xml:space="preserve"> PAGEREF _Toc105399593 \h </w:instrText>
        </w:r>
        <w:r w:rsidR="00B34AE9">
          <w:rPr>
            <w:noProof/>
            <w:webHidden/>
          </w:rPr>
        </w:r>
        <w:r w:rsidR="00B34AE9">
          <w:rPr>
            <w:noProof/>
            <w:webHidden/>
          </w:rPr>
          <w:fldChar w:fldCharType="separate"/>
        </w:r>
        <w:r w:rsidR="00B34AE9">
          <w:rPr>
            <w:noProof/>
            <w:webHidden/>
          </w:rPr>
          <w:t>6</w:t>
        </w:r>
        <w:r w:rsidR="00B34AE9">
          <w:rPr>
            <w:noProof/>
            <w:webHidden/>
          </w:rPr>
          <w:fldChar w:fldCharType="end"/>
        </w:r>
      </w:hyperlink>
    </w:p>
    <w:p w14:paraId="66D29C98" w14:textId="0863BE6A" w:rsidR="00B34AE9" w:rsidRDefault="00ED532D">
      <w:pPr>
        <w:pStyle w:val="TOC1"/>
        <w:rPr>
          <w:rFonts w:asciiTheme="minorHAnsi" w:eastAsiaTheme="minorEastAsia" w:hAnsiTheme="minorHAnsi" w:cstheme="minorBidi"/>
          <w:noProof/>
          <w:sz w:val="22"/>
          <w:szCs w:val="22"/>
          <w:lang w:eastAsia="en-GB"/>
        </w:rPr>
      </w:pPr>
      <w:hyperlink w:anchor="_Toc105399594" w:history="1">
        <w:r w:rsidR="00B34AE9" w:rsidRPr="00D00AD9">
          <w:rPr>
            <w:rStyle w:val="Hyperlink"/>
            <w:noProof/>
          </w:rPr>
          <w:t>Appendix A: Consultation comments</w:t>
        </w:r>
        <w:r w:rsidR="00B34AE9">
          <w:rPr>
            <w:noProof/>
            <w:webHidden/>
          </w:rPr>
          <w:tab/>
        </w:r>
        <w:r w:rsidR="00B34AE9">
          <w:rPr>
            <w:noProof/>
            <w:webHidden/>
          </w:rPr>
          <w:fldChar w:fldCharType="begin"/>
        </w:r>
        <w:r w:rsidR="00B34AE9">
          <w:rPr>
            <w:noProof/>
            <w:webHidden/>
          </w:rPr>
          <w:instrText xml:space="preserve"> PAGEREF _Toc105399594 \h </w:instrText>
        </w:r>
        <w:r w:rsidR="00B34AE9">
          <w:rPr>
            <w:noProof/>
            <w:webHidden/>
          </w:rPr>
        </w:r>
        <w:r w:rsidR="00B34AE9">
          <w:rPr>
            <w:noProof/>
            <w:webHidden/>
          </w:rPr>
          <w:fldChar w:fldCharType="separate"/>
        </w:r>
        <w:r w:rsidR="00B34AE9">
          <w:rPr>
            <w:noProof/>
            <w:webHidden/>
          </w:rPr>
          <w:t>7</w:t>
        </w:r>
        <w:r w:rsidR="00B34AE9">
          <w:rPr>
            <w:noProof/>
            <w:webHidden/>
          </w:rPr>
          <w:fldChar w:fldCharType="end"/>
        </w:r>
      </w:hyperlink>
    </w:p>
    <w:p w14:paraId="43A0535F" w14:textId="38CE6E40" w:rsidR="009C3C0C" w:rsidRDefault="00B34AE9" w:rsidP="00482C01">
      <w:pPr>
        <w:pStyle w:val="Heading1"/>
        <w:rPr>
          <w:rStyle w:val="Hyperlink"/>
          <w:noProof/>
        </w:rPr>
      </w:pPr>
      <w:r>
        <w:rPr>
          <w:rStyle w:val="Hyperlink"/>
          <w:b w:val="0"/>
          <w:bCs w:val="0"/>
          <w:noProof/>
          <w:kern w:val="0"/>
          <w:sz w:val="24"/>
          <w:szCs w:val="24"/>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673BC1E8" w14:textId="77777777" w:rsidR="008E66EC" w:rsidRDefault="008E66EC" w:rsidP="008E66EC">
      <w:pPr>
        <w:pStyle w:val="Heading1"/>
      </w:pPr>
      <w:bookmarkStart w:id="3" w:name="_Toc105399589"/>
      <w:r>
        <w:lastRenderedPageBreak/>
        <w:t>Executive summary</w:t>
      </w:r>
      <w:bookmarkEnd w:id="3"/>
    </w:p>
    <w:p w14:paraId="7A8AD6B1" w14:textId="77777777" w:rsidR="008E66EC" w:rsidRDefault="008E66EC" w:rsidP="008E66EC">
      <w:pPr>
        <w:pStyle w:val="Heading2"/>
      </w:pPr>
      <w:r>
        <w:t>Overview</w:t>
      </w:r>
    </w:p>
    <w:p w14:paraId="3B5B3658" w14:textId="77777777" w:rsidR="008E66EC" w:rsidRDefault="008E66EC" w:rsidP="008E66EC">
      <w:pPr>
        <w:pStyle w:val="Paragraph"/>
        <w:numPr>
          <w:ilvl w:val="0"/>
          <w:numId w:val="33"/>
        </w:numPr>
        <w:tabs>
          <w:tab w:val="left" w:pos="567"/>
        </w:tabs>
        <w:spacing w:before="0"/>
        <w:ind w:left="567" w:hanging="501"/>
      </w:pPr>
      <w:bookmarkStart w:id="4" w:name="_Hlk93401197"/>
      <w:bookmarkStart w:id="5" w:name="_Hlk93397355"/>
      <w:r>
        <w:t xml:space="preserve">This paper presents </w:t>
      </w:r>
      <w:r w:rsidRPr="00F72228">
        <w:t xml:space="preserve">consultation responses to </w:t>
      </w:r>
      <w:r>
        <w:t>3</w:t>
      </w:r>
      <w:r w:rsidRPr="00F72228">
        <w:t xml:space="preserve"> indicators focussed on blood pressure management</w:t>
      </w:r>
      <w:r>
        <w:t xml:space="preserve"> in people with diabetes:</w:t>
      </w:r>
    </w:p>
    <w:p w14:paraId="35409321" w14:textId="77777777" w:rsidR="008E66EC" w:rsidRDefault="008E66EC" w:rsidP="008E66EC">
      <w:pPr>
        <w:pStyle w:val="Paragraph"/>
        <w:numPr>
          <w:ilvl w:val="0"/>
          <w:numId w:val="34"/>
        </w:numPr>
        <w:tabs>
          <w:tab w:val="left" w:pos="567"/>
        </w:tabs>
        <w:spacing w:before="0"/>
        <w:ind w:left="567" w:hanging="207"/>
      </w:pPr>
      <w:r>
        <w:t xml:space="preserve">IND2022-122: </w:t>
      </w:r>
      <w:r w:rsidRPr="0096114F">
        <w:t>The percentage of patients with diabetes without moderate or severe frailty, on the register, in whom the last blood pressure reading (measured in the preceding 12 months) is less than 140/90 mmHg.</w:t>
      </w:r>
    </w:p>
    <w:p w14:paraId="09592592" w14:textId="77777777" w:rsidR="008E66EC" w:rsidRDefault="008E66EC" w:rsidP="008E66EC">
      <w:pPr>
        <w:pStyle w:val="Paragraph"/>
        <w:numPr>
          <w:ilvl w:val="0"/>
          <w:numId w:val="34"/>
        </w:numPr>
        <w:tabs>
          <w:tab w:val="left" w:pos="567"/>
        </w:tabs>
        <w:spacing w:before="0"/>
        <w:ind w:left="567" w:hanging="207"/>
      </w:pPr>
      <w:r>
        <w:t xml:space="preserve">IND2022-123: </w:t>
      </w:r>
      <w:r w:rsidRPr="0096114F">
        <w:t xml:space="preserve">The percentage of patients with type 1 diabetes without moderate or severe frailty, on the register, in whom the last blood pressure reading (measured in the preceding 12 months) is less than 135/85 </w:t>
      </w:r>
      <w:proofErr w:type="gramStart"/>
      <w:r w:rsidRPr="0096114F">
        <w:t>mmHg</w:t>
      </w:r>
      <w:proofErr w:type="gramEnd"/>
      <w:r>
        <w:t xml:space="preserve"> </w:t>
      </w:r>
    </w:p>
    <w:p w14:paraId="3C02F794" w14:textId="77777777" w:rsidR="008E66EC" w:rsidRPr="0096114F" w:rsidRDefault="008E66EC" w:rsidP="008E66EC">
      <w:pPr>
        <w:pStyle w:val="Paragraph"/>
        <w:numPr>
          <w:ilvl w:val="0"/>
          <w:numId w:val="35"/>
        </w:numPr>
        <w:tabs>
          <w:tab w:val="left" w:pos="567"/>
        </w:tabs>
        <w:spacing w:before="0"/>
        <w:ind w:left="567" w:hanging="207"/>
      </w:pPr>
      <w:r>
        <w:t>IND2022-124:</w:t>
      </w:r>
      <w:r w:rsidRPr="0096114F">
        <w:rPr>
          <w:i/>
          <w:iCs/>
        </w:rPr>
        <w:t xml:space="preserve"> </w:t>
      </w:r>
      <w:r w:rsidRPr="0096114F">
        <w:t>The percentage of patients with type 2 or other diabetes without moderate or severe frailty, on the register, in whom the last blood pressure reading (measured in the preceding 12 months) is less than 140/90 mmHg</w:t>
      </w:r>
      <w:r w:rsidRPr="00457A3D">
        <w:rPr>
          <w:i/>
          <w:iCs/>
        </w:rPr>
        <w:t>.</w:t>
      </w:r>
    </w:p>
    <w:bookmarkEnd w:id="4"/>
    <w:bookmarkEnd w:id="5"/>
    <w:p w14:paraId="58E0C2AE" w14:textId="77777777" w:rsidR="008E66EC" w:rsidRDefault="008E66EC" w:rsidP="008E66EC">
      <w:pPr>
        <w:pStyle w:val="Heading2"/>
      </w:pPr>
      <w:r>
        <w:t>Development</w:t>
      </w:r>
    </w:p>
    <w:p w14:paraId="419965DA" w14:textId="18E964EC" w:rsidR="008E66EC" w:rsidRDefault="008E66EC" w:rsidP="008E66EC">
      <w:pPr>
        <w:pStyle w:val="Paragraph"/>
        <w:numPr>
          <w:ilvl w:val="0"/>
          <w:numId w:val="33"/>
        </w:numPr>
        <w:tabs>
          <w:tab w:val="left" w:pos="567"/>
        </w:tabs>
        <w:spacing w:before="0"/>
        <w:ind w:left="567" w:hanging="501"/>
      </w:pPr>
      <w:bookmarkStart w:id="6" w:name="_Hlk93401310"/>
      <w:bookmarkStart w:id="7" w:name="_Hlk93401280"/>
      <w:r>
        <w:t>The indicators were proposed at the March 2022 IAC meeting to address a misalignment between a current QOF indicator and NICE guidance.</w:t>
      </w:r>
      <w:r w:rsidR="00BD6597">
        <w:t xml:space="preserve"> Consultation started in March 2022.</w:t>
      </w:r>
      <w:r>
        <w:t xml:space="preserve"> </w:t>
      </w:r>
    </w:p>
    <w:bookmarkEnd w:id="6"/>
    <w:bookmarkEnd w:id="7"/>
    <w:p w14:paraId="34E53177" w14:textId="77777777" w:rsidR="008E66EC" w:rsidRDefault="008E66EC" w:rsidP="008E66EC">
      <w:pPr>
        <w:pStyle w:val="Heading2"/>
      </w:pPr>
      <w:r>
        <w:t xml:space="preserve">Potential benefits </w:t>
      </w:r>
    </w:p>
    <w:p w14:paraId="57A770D4" w14:textId="77777777" w:rsidR="008E66EC" w:rsidRDefault="008E66EC" w:rsidP="008E66EC">
      <w:pPr>
        <w:pStyle w:val="Paragraph"/>
        <w:numPr>
          <w:ilvl w:val="0"/>
          <w:numId w:val="33"/>
        </w:numPr>
        <w:tabs>
          <w:tab w:val="left" w:pos="567"/>
        </w:tabs>
        <w:spacing w:before="0"/>
        <w:ind w:left="567" w:hanging="567"/>
      </w:pPr>
      <w:bookmarkStart w:id="8" w:name="_Hlk93401806"/>
      <w:r>
        <w:t>The current QOF indicator target of 140/80 mmHg does not match NICE guidance for type 1 or type 2 diabetes</w:t>
      </w:r>
      <w:r w:rsidRPr="007A3938">
        <w:t xml:space="preserve">. </w:t>
      </w:r>
    </w:p>
    <w:bookmarkEnd w:id="8"/>
    <w:p w14:paraId="4DA0639C" w14:textId="77777777" w:rsidR="008E66EC" w:rsidRDefault="008E66EC" w:rsidP="008E66EC">
      <w:pPr>
        <w:pStyle w:val="Heading2"/>
      </w:pPr>
      <w:r w:rsidRPr="00574871">
        <w:t>Validity concerns</w:t>
      </w:r>
    </w:p>
    <w:p w14:paraId="176CEFEA" w14:textId="77777777" w:rsidR="002855E2" w:rsidRDefault="008E66EC" w:rsidP="008E66EC">
      <w:pPr>
        <w:pStyle w:val="Paragraph"/>
        <w:numPr>
          <w:ilvl w:val="0"/>
          <w:numId w:val="33"/>
        </w:numPr>
        <w:tabs>
          <w:tab w:val="left" w:pos="567"/>
        </w:tabs>
        <w:spacing w:before="0"/>
        <w:ind w:left="567" w:hanging="567"/>
      </w:pPr>
      <w:r>
        <w:t xml:space="preserve">Stakeholders have raised concerns that the indicators exclude people with a learning disability and do not reflect tighter targets when people have signs of kidney disease. </w:t>
      </w:r>
      <w:bookmarkStart w:id="9" w:name="_Hlk104544324"/>
    </w:p>
    <w:p w14:paraId="1D1A3569" w14:textId="437C6CF6" w:rsidR="008E66EC" w:rsidRPr="001E1694" w:rsidRDefault="002855E2" w:rsidP="008E66EC">
      <w:pPr>
        <w:pStyle w:val="Paragraph"/>
        <w:numPr>
          <w:ilvl w:val="0"/>
          <w:numId w:val="33"/>
        </w:numPr>
        <w:tabs>
          <w:tab w:val="left" w:pos="567"/>
        </w:tabs>
        <w:spacing w:before="0"/>
        <w:ind w:left="567" w:hanging="567"/>
      </w:pPr>
      <w:r>
        <w:t xml:space="preserve">In May 2022, an exceptional update decision was made in relation to </w:t>
      </w:r>
      <w:hyperlink r:id="rId7" w:history="1">
        <w:r w:rsidRPr="00A77493">
          <w:rPr>
            <w:rStyle w:val="Hyperlink"/>
          </w:rPr>
          <w:t>NICE’s guideline on type 1 diabetes</w:t>
        </w:r>
      </w:hyperlink>
      <w:r>
        <w:t xml:space="preserve"> to ensure consistency with recommendations in </w:t>
      </w:r>
      <w:hyperlink r:id="rId8" w:history="1">
        <w:r>
          <w:rPr>
            <w:rStyle w:val="Hyperlink"/>
          </w:rPr>
          <w:t>NICE’s guideline on chronic kidney disease</w:t>
        </w:r>
      </w:hyperlink>
      <w:r>
        <w:t xml:space="preserve">. </w:t>
      </w:r>
      <w:r w:rsidRPr="00574871">
        <w:t xml:space="preserve">If progressed, </w:t>
      </w:r>
      <w:r>
        <w:t>indicator</w:t>
      </w:r>
      <w:r w:rsidRPr="00574871">
        <w:t xml:space="preserve"> </w:t>
      </w:r>
      <w:r>
        <w:t>2022</w:t>
      </w:r>
      <w:r w:rsidRPr="00574871">
        <w:t xml:space="preserve">-123 may need to </w:t>
      </w:r>
      <w:r>
        <w:t xml:space="preserve">be amended to </w:t>
      </w:r>
      <w:r w:rsidRPr="00574871">
        <w:t xml:space="preserve">use </w:t>
      </w:r>
      <w:r>
        <w:t>a</w:t>
      </w:r>
      <w:r w:rsidRPr="00574871">
        <w:t xml:space="preserve"> higher target of </w:t>
      </w:r>
      <w:r>
        <w:t xml:space="preserve">below </w:t>
      </w:r>
      <w:r w:rsidRPr="00574871">
        <w:t>140/90 mmHg</w:t>
      </w:r>
      <w:r>
        <w:t xml:space="preserve"> potentially making separate indicators unnecessary</w:t>
      </w:r>
      <w:bookmarkEnd w:id="9"/>
      <w:r w:rsidRPr="00574871">
        <w:t xml:space="preserve">.  </w:t>
      </w:r>
    </w:p>
    <w:p w14:paraId="117FB98A" w14:textId="77777777" w:rsidR="008E66EC" w:rsidRPr="00574871" w:rsidRDefault="008E66EC" w:rsidP="008E66EC">
      <w:pPr>
        <w:pStyle w:val="Heading2"/>
      </w:pPr>
      <w:r w:rsidRPr="00574871">
        <w:t xml:space="preserve">Committee decision </w:t>
      </w:r>
    </w:p>
    <w:p w14:paraId="42469743" w14:textId="76BB1EA0" w:rsidR="0020357B" w:rsidRPr="00073515" w:rsidRDefault="008E66EC" w:rsidP="00BC3FF4">
      <w:pPr>
        <w:pStyle w:val="Paragraph"/>
        <w:numPr>
          <w:ilvl w:val="0"/>
          <w:numId w:val="33"/>
        </w:numPr>
        <w:tabs>
          <w:tab w:val="left" w:pos="567"/>
        </w:tabs>
        <w:spacing w:before="0"/>
        <w:ind w:left="567" w:hanging="567"/>
        <w:rPr>
          <w:b/>
          <w:bCs/>
          <w:kern w:val="32"/>
          <w:sz w:val="28"/>
          <w:szCs w:val="32"/>
        </w:rPr>
      </w:pPr>
      <w:r w:rsidRPr="009E4AF8">
        <w:t xml:space="preserve">The committee is </w:t>
      </w:r>
      <w:r>
        <w:t xml:space="preserve">asked to </w:t>
      </w:r>
      <w:r w:rsidR="0020357B">
        <w:t>approve publication of the indicators on the NICE menu as suitable for use in the QOF. The blood pressure target for type 1 diabetes</w:t>
      </w:r>
      <w:r>
        <w:t xml:space="preserve"> </w:t>
      </w:r>
      <w:r w:rsidR="0020357B">
        <w:t>will be amended if the NICE guidance does change.</w:t>
      </w:r>
      <w:bookmarkStart w:id="10" w:name="_Toc105399590"/>
      <w:bookmarkStart w:id="11" w:name="_Toc418246137"/>
      <w:r w:rsidR="0020357B">
        <w:br w:type="page"/>
      </w:r>
    </w:p>
    <w:p w14:paraId="3C480E79" w14:textId="0CEB847E" w:rsidR="00D50CCB" w:rsidRDefault="00FE12CE" w:rsidP="00D50CCB">
      <w:pPr>
        <w:pStyle w:val="Heading1"/>
      </w:pPr>
      <w:r>
        <w:lastRenderedPageBreak/>
        <w:t>General comments</w:t>
      </w:r>
      <w:bookmarkEnd w:id="10"/>
      <w:r>
        <w:t xml:space="preserve"> </w:t>
      </w:r>
    </w:p>
    <w:p w14:paraId="7FE0402F" w14:textId="375B6E73" w:rsidR="00F033AA" w:rsidRDefault="00F033AA" w:rsidP="005D2DDF">
      <w:pPr>
        <w:pStyle w:val="Bulletleft1"/>
        <w:numPr>
          <w:ilvl w:val="0"/>
          <w:numId w:val="28"/>
        </w:numPr>
        <w:spacing w:line="276" w:lineRule="auto"/>
      </w:pPr>
      <w:r>
        <w:t>G</w:t>
      </w:r>
      <w:r w:rsidR="00F16056">
        <w:t>eneral support for</w:t>
      </w:r>
      <w:r w:rsidR="00D75AA9">
        <w:t xml:space="preserve"> these</w:t>
      </w:r>
      <w:r w:rsidR="00F16056">
        <w:t xml:space="preserve"> indicators</w:t>
      </w:r>
      <w:r w:rsidR="00B703FF">
        <w:t>.</w:t>
      </w:r>
    </w:p>
    <w:p w14:paraId="51C73E7A" w14:textId="77777777" w:rsidR="001D7672" w:rsidRDefault="001D7672" w:rsidP="001D7672">
      <w:pPr>
        <w:pStyle w:val="Bulletleft1"/>
        <w:numPr>
          <w:ilvl w:val="0"/>
          <w:numId w:val="28"/>
        </w:numPr>
        <w:spacing w:line="276" w:lineRule="auto"/>
      </w:pPr>
      <w:r>
        <w:t xml:space="preserve">Stakeholders </w:t>
      </w:r>
      <w:proofErr w:type="spellStart"/>
      <w:r>
        <w:t>emphasised</w:t>
      </w:r>
      <w:proofErr w:type="spellEnd"/>
      <w:r>
        <w:t xml:space="preserve"> the importance of combining health checks into the same appointment is an important resource consideration. </w:t>
      </w:r>
    </w:p>
    <w:p w14:paraId="4A76A27F" w14:textId="62887F22" w:rsidR="005D2DDF" w:rsidRDefault="0027575C" w:rsidP="00441431">
      <w:pPr>
        <w:pStyle w:val="Bulletleft1"/>
        <w:numPr>
          <w:ilvl w:val="0"/>
          <w:numId w:val="28"/>
        </w:numPr>
        <w:spacing w:line="276" w:lineRule="auto"/>
      </w:pPr>
      <w:r>
        <w:t>Stakeholders noted the need to specify how frailty will be determined</w:t>
      </w:r>
      <w:r w:rsidR="008E66EC">
        <w:t>.</w:t>
      </w:r>
      <w:r>
        <w:t xml:space="preserve"> </w:t>
      </w:r>
      <w:r w:rsidR="00CF2742">
        <w:t xml:space="preserve">this term </w:t>
      </w:r>
      <w:r w:rsidR="006232C8">
        <w:t>is sometimes mistakenly applied to</w:t>
      </w:r>
      <w:r w:rsidR="00F033AA">
        <w:t xml:space="preserve"> people with a learning disability</w:t>
      </w:r>
      <w:r w:rsidR="00CA06C7">
        <w:t>. E</w:t>
      </w:r>
      <w:r w:rsidR="006232C8">
        <w:t>xclu</w:t>
      </w:r>
      <w:r w:rsidR="00B703FF">
        <w:t>ding</w:t>
      </w:r>
      <w:r w:rsidR="006232C8">
        <w:t xml:space="preserve"> </w:t>
      </w:r>
      <w:r w:rsidR="00CA06C7">
        <w:t xml:space="preserve">people with </w:t>
      </w:r>
      <w:r w:rsidR="006232C8">
        <w:t xml:space="preserve">‘moderate’ </w:t>
      </w:r>
      <w:r w:rsidR="00B703FF">
        <w:t>or</w:t>
      </w:r>
      <w:r w:rsidR="006232C8">
        <w:t xml:space="preserve"> ‘severe’ frailty may lead to </w:t>
      </w:r>
      <w:r w:rsidR="00B703FF">
        <w:t xml:space="preserve">the </w:t>
      </w:r>
      <w:r w:rsidR="006232C8">
        <w:t xml:space="preserve">misassumption </w:t>
      </w:r>
      <w:r w:rsidR="00CA06C7">
        <w:t>that people with a learning disability</w:t>
      </w:r>
      <w:r w:rsidR="006232C8">
        <w:t xml:space="preserve"> should be </w:t>
      </w:r>
      <w:r w:rsidR="00B703FF">
        <w:t>excluded.</w:t>
      </w:r>
      <w:r w:rsidR="00CF2742">
        <w:t xml:space="preserve">  </w:t>
      </w:r>
    </w:p>
    <w:p w14:paraId="0E174789" w14:textId="424C41DE" w:rsidR="00EF3D49" w:rsidRDefault="004D669D" w:rsidP="005D2DDF">
      <w:pPr>
        <w:pStyle w:val="Bulletleft1"/>
        <w:numPr>
          <w:ilvl w:val="0"/>
          <w:numId w:val="28"/>
        </w:numPr>
        <w:spacing w:line="276" w:lineRule="auto"/>
      </w:pPr>
      <w:r>
        <w:t>M</w:t>
      </w:r>
      <w:r w:rsidR="00D463AD">
        <w:t>ay be more difficult</w:t>
      </w:r>
      <w:r w:rsidR="00CF2742">
        <w:t xml:space="preserve"> </w:t>
      </w:r>
      <w:r w:rsidR="00D463AD">
        <w:t xml:space="preserve">to ensure that </w:t>
      </w:r>
      <w:r w:rsidR="004F55D1">
        <w:t xml:space="preserve">people with a learning disability </w:t>
      </w:r>
      <w:r w:rsidR="00D463AD">
        <w:t>and autistic people are included</w:t>
      </w:r>
      <w:r w:rsidR="005D2DDF">
        <w:t xml:space="preserve"> on a practical level</w:t>
      </w:r>
      <w:r w:rsidR="002F386D">
        <w:t xml:space="preserve">; this could </w:t>
      </w:r>
      <w:r w:rsidR="004F55D1">
        <w:t xml:space="preserve">mean that </w:t>
      </w:r>
      <w:r w:rsidR="002F386D">
        <w:t>the entire</w:t>
      </w:r>
      <w:r w:rsidR="004F55D1">
        <w:t xml:space="preserve"> patient group </w:t>
      </w:r>
      <w:r w:rsidR="002F386D">
        <w:t xml:space="preserve">does not actually </w:t>
      </w:r>
      <w:r w:rsidR="004F55D1">
        <w:t>receive the care.</w:t>
      </w:r>
      <w:r w:rsidR="00D75AA9">
        <w:t xml:space="preserve">    </w:t>
      </w:r>
      <w:bookmarkStart w:id="12" w:name="_Toc102579343"/>
      <w:r w:rsidR="00CF2742">
        <w:br/>
      </w:r>
    </w:p>
    <w:bookmarkEnd w:id="12"/>
    <w:p w14:paraId="0907A07A" w14:textId="4E4EB9CF" w:rsidR="00636BB0" w:rsidRDefault="00636BB0">
      <w:pPr>
        <w:rPr>
          <w:rFonts w:ascii="Arial" w:hAnsi="Arial"/>
        </w:rPr>
      </w:pPr>
      <w:r>
        <w:br w:type="page"/>
      </w:r>
    </w:p>
    <w:p w14:paraId="02E5DF0D" w14:textId="51B8BF4A" w:rsidR="00F87E9D" w:rsidRPr="00E8632C" w:rsidRDefault="00552851" w:rsidP="00FE12CE">
      <w:pPr>
        <w:pStyle w:val="Heading1"/>
      </w:pPr>
      <w:bookmarkStart w:id="13" w:name="_Toc105399591"/>
      <w:r>
        <w:lastRenderedPageBreak/>
        <w:t>IND 2022-122</w:t>
      </w:r>
      <w:r w:rsidR="005143BA">
        <w:t>:</w:t>
      </w:r>
      <w:r w:rsidRPr="00552851">
        <w:t xml:space="preserve"> </w:t>
      </w:r>
      <w:r w:rsidR="002D7A7A">
        <w:t>B</w:t>
      </w:r>
      <w:r w:rsidRPr="00552851">
        <w:t>lood pressure target for all types of diabetes</w:t>
      </w:r>
      <w:bookmarkEnd w:id="13"/>
      <w:r w:rsidRPr="00552851">
        <w:t xml:space="preserve"> </w:t>
      </w:r>
      <w:bookmarkEnd w:id="11"/>
    </w:p>
    <w:p w14:paraId="55429D1A" w14:textId="25621612" w:rsidR="00154516" w:rsidRDefault="00552851" w:rsidP="00C74D07">
      <w:pPr>
        <w:pStyle w:val="Paragraph"/>
        <w:rPr>
          <w:i/>
        </w:rPr>
      </w:pPr>
      <w:r w:rsidRPr="00552851">
        <w:rPr>
          <w:i/>
        </w:rPr>
        <w:t>The percentage of patients with diabetes without moderate or severe frailty, on the register, in whom the last blood pressure reading (measured in the preceding 12 months) is less than 140/90 mmHg.</w:t>
      </w:r>
    </w:p>
    <w:p w14:paraId="7B4C02A0" w14:textId="3EAC1615" w:rsidR="00907DF5" w:rsidRPr="003D5D5A" w:rsidRDefault="00C0570D" w:rsidP="00FE12CE">
      <w:pPr>
        <w:pStyle w:val="Heading2"/>
      </w:pPr>
      <w:bookmarkStart w:id="14" w:name="_Toc102579345"/>
      <w:bookmarkStart w:id="15" w:name="_Toc103559254"/>
      <w:bookmarkStart w:id="16" w:name="_Toc104267863"/>
      <w:r w:rsidRPr="00FE12CE">
        <w:t>Rationale</w:t>
      </w:r>
      <w:bookmarkEnd w:id="14"/>
      <w:bookmarkEnd w:id="15"/>
      <w:bookmarkEnd w:id="16"/>
    </w:p>
    <w:p w14:paraId="4B30A67E" w14:textId="77777777" w:rsidR="00552851" w:rsidRPr="00552851" w:rsidRDefault="00552851" w:rsidP="00552851">
      <w:pPr>
        <w:pStyle w:val="Paragraph"/>
        <w:rPr>
          <w:rFonts w:cs="Arial"/>
        </w:rPr>
      </w:pPr>
      <w:r w:rsidRPr="00552851">
        <w:rPr>
          <w:rFonts w:cs="Arial"/>
        </w:rPr>
        <w:t xml:space="preserve">Lowering blood pressure in people with diabetes reduces the risk of cardiovascular problems such as heart disease and stroke. A focus on people without moderate or severe frailty aims to reduce under-treatment and support better control of blood pressure in people with the greatest capacity to benefit. </w:t>
      </w:r>
    </w:p>
    <w:p w14:paraId="234CC928" w14:textId="22870839" w:rsidR="00552851" w:rsidRDefault="00552851" w:rsidP="00552851">
      <w:pPr>
        <w:pStyle w:val="Paragraph"/>
        <w:rPr>
          <w:rFonts w:cs="Arial"/>
        </w:rPr>
      </w:pPr>
      <w:r w:rsidRPr="00552851">
        <w:rPr>
          <w:rFonts w:cs="Arial"/>
        </w:rPr>
        <w:t>This indicator is a</w:t>
      </w:r>
      <w:r w:rsidR="00A8181C">
        <w:rPr>
          <w:rFonts w:cs="Arial"/>
        </w:rPr>
        <w:t xml:space="preserve"> minor </w:t>
      </w:r>
      <w:r w:rsidRPr="00552851">
        <w:rPr>
          <w:rFonts w:cs="Arial"/>
        </w:rPr>
        <w:t xml:space="preserve">update to existing NICE indicator </w:t>
      </w:r>
      <w:hyperlink r:id="rId9" w:history="1">
        <w:r w:rsidRPr="00552851">
          <w:rPr>
            <w:rStyle w:val="Hyperlink"/>
            <w:rFonts w:cs="Arial"/>
          </w:rPr>
          <w:t>NM159</w:t>
        </w:r>
      </w:hyperlink>
      <w:r w:rsidRPr="00552851">
        <w:rPr>
          <w:rFonts w:cs="Arial"/>
        </w:rPr>
        <w:t xml:space="preserve"> (included in QOF as DM019) that uses a target of 140/80 mmHg. </w:t>
      </w:r>
      <w:bookmarkStart w:id="17" w:name="OLE_LINK2"/>
      <w:r w:rsidRPr="00552851">
        <w:rPr>
          <w:rFonts w:cs="Arial"/>
        </w:rPr>
        <w:t xml:space="preserve">Amending the target to ‘less than 140/90 mmHg’ matches NICE </w:t>
      </w:r>
      <w:r w:rsidR="0071285C">
        <w:rPr>
          <w:rFonts w:cs="Arial"/>
        </w:rPr>
        <w:t xml:space="preserve">guidance </w:t>
      </w:r>
      <w:r w:rsidR="0076410C">
        <w:rPr>
          <w:rFonts w:cs="Arial"/>
        </w:rPr>
        <w:t>on diabetes</w:t>
      </w:r>
      <w:r w:rsidRPr="00552851">
        <w:rPr>
          <w:rFonts w:cs="Arial"/>
        </w:rPr>
        <w:t xml:space="preserve"> for people aged under 80 with type 2 diabetes and has been chosen for the purposes of a performance measure that does not differentiate between type 1 or type 2 diabetes, or age</w:t>
      </w:r>
      <w:r>
        <w:rPr>
          <w:rFonts w:cs="Arial"/>
        </w:rPr>
        <w:t>.</w:t>
      </w:r>
      <w:bookmarkEnd w:id="17"/>
    </w:p>
    <w:p w14:paraId="33578256" w14:textId="4EDB58CB" w:rsidR="003D5D5A" w:rsidRPr="00AF5D31" w:rsidRDefault="00C0570D" w:rsidP="00FE12CE">
      <w:pPr>
        <w:pStyle w:val="Heading2"/>
      </w:pPr>
      <w:bookmarkStart w:id="18" w:name="_Toc102579346"/>
      <w:bookmarkStart w:id="19" w:name="_Toc103559255"/>
      <w:bookmarkStart w:id="20" w:name="_Toc104267864"/>
      <w:r>
        <w:t>Summary of consultation comments</w:t>
      </w:r>
      <w:bookmarkEnd w:id="18"/>
      <w:bookmarkEnd w:id="19"/>
      <w:bookmarkEnd w:id="20"/>
    </w:p>
    <w:p w14:paraId="6B55C838" w14:textId="00AD15CA" w:rsidR="006E3A2F" w:rsidRDefault="009D1471" w:rsidP="006E3A2F">
      <w:pPr>
        <w:pStyle w:val="Bulletleft1"/>
        <w:spacing w:line="276" w:lineRule="auto"/>
      </w:pPr>
      <w:r>
        <w:t>S</w:t>
      </w:r>
      <w:r w:rsidR="001226C0">
        <w:t>upport for th</w:t>
      </w:r>
      <w:r w:rsidR="00BE185D">
        <w:t>e</w:t>
      </w:r>
      <w:r w:rsidR="00F615DD">
        <w:t xml:space="preserve"> </w:t>
      </w:r>
      <w:r w:rsidR="00214576">
        <w:t>change</w:t>
      </w:r>
      <w:r w:rsidR="00F615DD">
        <w:t xml:space="preserve">, </w:t>
      </w:r>
      <w:r w:rsidR="00D67084">
        <w:t xml:space="preserve">with alignment to NICE </w:t>
      </w:r>
      <w:r w:rsidR="0076410C">
        <w:t>guidelines</w:t>
      </w:r>
      <w:r w:rsidR="00984A3F">
        <w:t xml:space="preserve"> </w:t>
      </w:r>
      <w:r w:rsidR="00D67084">
        <w:t>welcomed</w:t>
      </w:r>
      <w:r w:rsidR="00967462">
        <w:t xml:space="preserve"> to help resolve </w:t>
      </w:r>
      <w:r w:rsidR="00A8181C">
        <w:t xml:space="preserve">possible </w:t>
      </w:r>
      <w:r w:rsidR="00967462">
        <w:t xml:space="preserve">confusion </w:t>
      </w:r>
      <w:r w:rsidR="00AE1B22">
        <w:t>in practice</w:t>
      </w:r>
      <w:r w:rsidR="006E3A2F">
        <w:t>.</w:t>
      </w:r>
    </w:p>
    <w:p w14:paraId="6563C9BD" w14:textId="31532AFB" w:rsidR="0005042B" w:rsidRDefault="00A35B24" w:rsidP="0005042B">
      <w:pPr>
        <w:pStyle w:val="Bulletleft1"/>
        <w:tabs>
          <w:tab w:val="num" w:pos="567"/>
        </w:tabs>
        <w:spacing w:line="276" w:lineRule="auto"/>
      </w:pPr>
      <w:r>
        <w:t>A</w:t>
      </w:r>
      <w:r w:rsidR="00A64CD5">
        <w:t xml:space="preserve"> lower targe</w:t>
      </w:r>
      <w:r w:rsidR="002A4311">
        <w:t>t</w:t>
      </w:r>
      <w:r w:rsidR="007D6920">
        <w:t xml:space="preserve"> </w:t>
      </w:r>
      <w:r>
        <w:t xml:space="preserve">of less than </w:t>
      </w:r>
      <w:r w:rsidR="00A64CD5" w:rsidRPr="00A64CD5">
        <w:t>130/80 mmHg</w:t>
      </w:r>
      <w:r>
        <w:t xml:space="preserve"> should be used for people with</w:t>
      </w:r>
      <w:r w:rsidR="009D1471">
        <w:t xml:space="preserve"> </w:t>
      </w:r>
      <w:r w:rsidR="00C84213">
        <w:t xml:space="preserve">chronic </w:t>
      </w:r>
      <w:r w:rsidR="009D1471">
        <w:t>kidney disease</w:t>
      </w:r>
      <w:r w:rsidR="00C84213">
        <w:t xml:space="preserve"> and ACR of </w:t>
      </w:r>
      <w:r w:rsidR="00C84213">
        <w:rPr>
          <w:rFonts w:cs="Arial"/>
        </w:rPr>
        <w:t>≥</w:t>
      </w:r>
      <w:r w:rsidR="00C84213">
        <w:t>70</w:t>
      </w:r>
      <w:r w:rsidR="00C81617">
        <w:t>.</w:t>
      </w:r>
    </w:p>
    <w:p w14:paraId="636E7502" w14:textId="06AE2654" w:rsidR="0005042B" w:rsidRDefault="004D669D" w:rsidP="00564FDC">
      <w:pPr>
        <w:pStyle w:val="Bulletleft1"/>
        <w:tabs>
          <w:tab w:val="num" w:pos="567"/>
        </w:tabs>
        <w:spacing w:line="276" w:lineRule="auto"/>
      </w:pPr>
      <w:r>
        <w:t>R</w:t>
      </w:r>
      <w:r w:rsidR="00564FDC">
        <w:t>easonable adjustment</w:t>
      </w:r>
      <w:r w:rsidR="00306E04">
        <w:t>s</w:t>
      </w:r>
      <w:r w:rsidR="00564FDC">
        <w:t xml:space="preserve"> </w:t>
      </w:r>
      <w:r w:rsidR="002B1C06">
        <w:t xml:space="preserve">are </w:t>
      </w:r>
      <w:r>
        <w:t xml:space="preserve">needed </w:t>
      </w:r>
      <w:r w:rsidR="002F4986">
        <w:t>when taking readings</w:t>
      </w:r>
      <w:r w:rsidR="00F33FD7">
        <w:t>,</w:t>
      </w:r>
      <w:r w:rsidR="002F4986">
        <w:t xml:space="preserve"> </w:t>
      </w:r>
      <w:r w:rsidR="00564FDC">
        <w:t xml:space="preserve">to ensure that people </w:t>
      </w:r>
      <w:r w:rsidR="00F33FD7">
        <w:t>with</w:t>
      </w:r>
      <w:r w:rsidR="00564FDC">
        <w:t xml:space="preserve"> </w:t>
      </w:r>
      <w:r w:rsidR="00F33FD7">
        <w:t xml:space="preserve">diabetes and </w:t>
      </w:r>
      <w:r w:rsidR="00564FDC">
        <w:t xml:space="preserve">a learning disability </w:t>
      </w:r>
      <w:r w:rsidR="00F33FD7">
        <w:t xml:space="preserve">who </w:t>
      </w:r>
      <w:r w:rsidR="0005042B">
        <w:t xml:space="preserve">find </w:t>
      </w:r>
      <w:r w:rsidR="00B31979">
        <w:t xml:space="preserve">having their blood pressure taken </w:t>
      </w:r>
      <w:r w:rsidR="0005042B">
        <w:t>difficult or stressful are not excluded</w:t>
      </w:r>
      <w:r w:rsidR="00564FDC">
        <w:t>.</w:t>
      </w:r>
      <w:r w:rsidR="0005042B">
        <w:t xml:space="preserve">  </w:t>
      </w:r>
    </w:p>
    <w:p w14:paraId="24BF1951" w14:textId="27209C3F" w:rsidR="002C7316" w:rsidRDefault="002D2FD2" w:rsidP="00FE12CE">
      <w:pPr>
        <w:pStyle w:val="Heading2"/>
      </w:pPr>
      <w:bookmarkStart w:id="21" w:name="_Toc102579347"/>
      <w:bookmarkStart w:id="22" w:name="_Toc103559256"/>
      <w:bookmarkStart w:id="23" w:name="_Toc104267865"/>
      <w:bookmarkStart w:id="24" w:name="_Hlk101959156"/>
      <w:r w:rsidRPr="002D2FD2">
        <w:t xml:space="preserve">Considerations for the </w:t>
      </w:r>
      <w:r w:rsidR="0002231A">
        <w:t>a</w:t>
      </w:r>
      <w:r w:rsidRPr="002D2FD2">
        <w:t xml:space="preserve">dvisory </w:t>
      </w:r>
      <w:r w:rsidR="0002231A">
        <w:t>c</w:t>
      </w:r>
      <w:r w:rsidRPr="002D2FD2">
        <w:t>ommittee</w:t>
      </w:r>
      <w:bookmarkEnd w:id="21"/>
      <w:bookmarkEnd w:id="22"/>
      <w:bookmarkEnd w:id="23"/>
    </w:p>
    <w:bookmarkEnd w:id="24"/>
    <w:p w14:paraId="230404D1" w14:textId="08F9B508" w:rsidR="00CA16C3" w:rsidRDefault="00885D87" w:rsidP="00441431">
      <w:pPr>
        <w:pStyle w:val="Paragraphnonumbers"/>
      </w:pPr>
      <w:r>
        <w:t>T</w:t>
      </w:r>
      <w:r w:rsidR="007067D1">
        <w:t>he c</w:t>
      </w:r>
      <w:r w:rsidR="007067D1" w:rsidRPr="00241410">
        <w:t>ommittee is asked to consider</w:t>
      </w:r>
      <w:r w:rsidR="00060F69">
        <w:t xml:space="preserve"> w</w:t>
      </w:r>
      <w:r w:rsidR="001113EE">
        <w:t>hether</w:t>
      </w:r>
      <w:r w:rsidR="00BD6597">
        <w:t xml:space="preserve"> a</w:t>
      </w:r>
      <w:r w:rsidR="00615B42">
        <w:t xml:space="preserve"> </w:t>
      </w:r>
      <w:r w:rsidR="009D1471">
        <w:t>single target of 140/90 mmHg risk</w:t>
      </w:r>
      <w:r w:rsidR="001113EE">
        <w:t>s</w:t>
      </w:r>
      <w:r w:rsidR="009D1471">
        <w:t xml:space="preserve"> undertreatment in people with</w:t>
      </w:r>
      <w:r w:rsidR="00FB2902">
        <w:t xml:space="preserve"> diabetes and</w:t>
      </w:r>
      <w:r w:rsidR="009D1471">
        <w:t xml:space="preserve"> kidney disease</w:t>
      </w:r>
      <w:r w:rsidR="001113EE">
        <w:t>.</w:t>
      </w:r>
      <w:r w:rsidR="00CA16C3">
        <w:t xml:space="preserve"> </w:t>
      </w:r>
      <w:r w:rsidR="000829C5">
        <w:t xml:space="preserve">NICE guidance recommends a target of 130/80 mmHg when ACR is 70 </w:t>
      </w:r>
      <w:r w:rsidR="000829C5" w:rsidRPr="000829C5">
        <w:t>mg/mmol</w:t>
      </w:r>
      <w:r w:rsidR="000829C5">
        <w:t xml:space="preserve"> or more.</w:t>
      </w:r>
    </w:p>
    <w:p w14:paraId="108301E1" w14:textId="77777777" w:rsidR="00F63D66" w:rsidRPr="00220661" w:rsidRDefault="00F63D66" w:rsidP="00FC373B">
      <w:pPr>
        <w:spacing w:line="276" w:lineRule="auto"/>
        <w:rPr>
          <w:rFonts w:ascii="Arial" w:hAnsi="Arial"/>
          <w:highlight w:val="cyan"/>
        </w:rPr>
      </w:pPr>
    </w:p>
    <w:p w14:paraId="09EB9493" w14:textId="77777777" w:rsidR="008F2FAE" w:rsidRDefault="008F2FAE">
      <w:pPr>
        <w:rPr>
          <w:rFonts w:ascii="Arial" w:hAnsi="Arial"/>
          <w:b/>
          <w:bCs/>
          <w:sz w:val="28"/>
          <w:szCs w:val="28"/>
        </w:rPr>
      </w:pPr>
      <w:bookmarkStart w:id="25" w:name="_Toc418246138"/>
      <w:r>
        <w:rPr>
          <w:sz w:val="28"/>
          <w:szCs w:val="28"/>
        </w:rPr>
        <w:br w:type="page"/>
      </w:r>
    </w:p>
    <w:p w14:paraId="2DAF8D44" w14:textId="75F1516D" w:rsidR="00F87E9D" w:rsidRPr="00E8632C" w:rsidRDefault="00552851" w:rsidP="00FE12CE">
      <w:pPr>
        <w:pStyle w:val="Heading1"/>
      </w:pPr>
      <w:bookmarkStart w:id="26" w:name="_Toc105399592"/>
      <w:r>
        <w:lastRenderedPageBreak/>
        <w:t>IND 2022-123</w:t>
      </w:r>
      <w:r w:rsidR="002D7A7A">
        <w:t>:</w:t>
      </w:r>
      <w:r w:rsidRPr="00552851">
        <w:t xml:space="preserve"> </w:t>
      </w:r>
      <w:r w:rsidR="002D7A7A">
        <w:t>B</w:t>
      </w:r>
      <w:r w:rsidRPr="00552851">
        <w:t>lood pressure target for people with type 1 diabetes</w:t>
      </w:r>
      <w:bookmarkEnd w:id="26"/>
      <w:r w:rsidR="001B06E1">
        <w:t xml:space="preserve"> </w:t>
      </w:r>
      <w:bookmarkEnd w:id="25"/>
    </w:p>
    <w:p w14:paraId="715A9491" w14:textId="00DC65D4" w:rsidR="001B06E1" w:rsidRDefault="00552851" w:rsidP="00552851">
      <w:pPr>
        <w:pStyle w:val="Paragraph"/>
        <w:rPr>
          <w:i/>
        </w:rPr>
      </w:pPr>
      <w:r w:rsidRPr="00552851">
        <w:rPr>
          <w:i/>
        </w:rPr>
        <w:t xml:space="preserve">The percentage of patients with type 1 diabetes without moderate or severe frailty, on the register, in whom the last blood pressure reading (measured in the preceding 12 months) is less than 135/85 </w:t>
      </w:r>
      <w:proofErr w:type="gramStart"/>
      <w:r w:rsidRPr="00552851">
        <w:rPr>
          <w:i/>
        </w:rPr>
        <w:t>mmHg</w:t>
      </w:r>
      <w:proofErr w:type="gramEnd"/>
    </w:p>
    <w:p w14:paraId="08F9B38C" w14:textId="6362A428" w:rsidR="004E0E78" w:rsidRPr="003D5D5A" w:rsidRDefault="002C292E" w:rsidP="00FE12CE">
      <w:pPr>
        <w:pStyle w:val="Heading2"/>
      </w:pPr>
      <w:bookmarkStart w:id="27" w:name="_Toc102579349"/>
      <w:bookmarkStart w:id="28" w:name="_Toc103559258"/>
      <w:bookmarkStart w:id="29" w:name="_Toc104267867"/>
      <w:r>
        <w:t>Rationale</w:t>
      </w:r>
      <w:bookmarkEnd w:id="27"/>
      <w:bookmarkEnd w:id="28"/>
      <w:bookmarkEnd w:id="29"/>
    </w:p>
    <w:p w14:paraId="7F83E053" w14:textId="2187132B" w:rsidR="001B06E1" w:rsidRDefault="00552851" w:rsidP="002C7316">
      <w:pPr>
        <w:pStyle w:val="Paragraph"/>
        <w:rPr>
          <w:rFonts w:cs="Arial"/>
        </w:rPr>
      </w:pPr>
      <w:r w:rsidRPr="00552851">
        <w:rPr>
          <w:rFonts w:cs="Arial"/>
        </w:rPr>
        <w:t xml:space="preserve">Lowering blood pressure in people with diabetes reduces the risk of cardiovascular problems such as heart disease and stroke. A focus on people without moderate or severe frailty has been included in line with existing NICE indicator </w:t>
      </w:r>
      <w:hyperlink r:id="rId10" w:history="1">
        <w:r w:rsidRPr="00552851">
          <w:rPr>
            <w:rStyle w:val="Hyperlink"/>
            <w:rFonts w:cs="Arial"/>
          </w:rPr>
          <w:t>NM159</w:t>
        </w:r>
      </w:hyperlink>
      <w:r w:rsidRPr="00552851">
        <w:rPr>
          <w:rFonts w:cs="Arial"/>
        </w:rPr>
        <w:t xml:space="preserve"> (included in QOF as DM019). The aim is to reduce under-treatment and support better control of blood pressure in people with the greatest capacity to benefit.  </w:t>
      </w:r>
    </w:p>
    <w:p w14:paraId="75051FFD" w14:textId="08805DDB" w:rsidR="004E0E78" w:rsidRPr="00780214" w:rsidRDefault="002C292E" w:rsidP="00FE12CE">
      <w:pPr>
        <w:pStyle w:val="Heading2"/>
      </w:pPr>
      <w:bookmarkStart w:id="30" w:name="_Toc102579350"/>
      <w:bookmarkStart w:id="31" w:name="_Toc103559259"/>
      <w:bookmarkStart w:id="32" w:name="_Toc104267868"/>
      <w:r>
        <w:t>Summary of consultation c</w:t>
      </w:r>
      <w:r w:rsidR="004E0E78" w:rsidRPr="00780214">
        <w:t>omments</w:t>
      </w:r>
      <w:bookmarkEnd w:id="30"/>
      <w:bookmarkEnd w:id="31"/>
      <w:bookmarkEnd w:id="32"/>
    </w:p>
    <w:p w14:paraId="5B8D2470" w14:textId="31E674E6" w:rsidR="009D1471" w:rsidRPr="009D1471" w:rsidRDefault="00096E31" w:rsidP="00963600">
      <w:pPr>
        <w:pStyle w:val="Bulletleft1"/>
        <w:spacing w:line="276" w:lineRule="auto"/>
      </w:pPr>
      <w:r>
        <w:t>Some</w:t>
      </w:r>
      <w:r w:rsidR="00992D10">
        <w:t xml:space="preserve"> support for </w:t>
      </w:r>
      <w:r w:rsidR="005A371F">
        <w:t>the</w:t>
      </w:r>
      <w:r w:rsidR="00992D10">
        <w:t xml:space="preserve"> indicator, with stakeholders highlighting alignment </w:t>
      </w:r>
      <w:r w:rsidR="00621E06">
        <w:t xml:space="preserve">with </w:t>
      </w:r>
      <w:hyperlink r:id="rId11" w:history="1">
        <w:r w:rsidR="0076410C">
          <w:rPr>
            <w:rStyle w:val="Hyperlink"/>
          </w:rPr>
          <w:t>NICE’s guideline on type 1 diabetes</w:t>
        </w:r>
      </w:hyperlink>
      <w:r w:rsidR="00636303">
        <w:t>, however it was suggested that a</w:t>
      </w:r>
      <w:r w:rsidR="009D1471" w:rsidRPr="009D1471">
        <w:t xml:space="preserve"> lower target of less than 130/80 mmHg should be used for some people with kidney disease. </w:t>
      </w:r>
    </w:p>
    <w:p w14:paraId="47C9A96A" w14:textId="51A8567A" w:rsidR="009803D3" w:rsidRDefault="009D1471" w:rsidP="009D1471">
      <w:pPr>
        <w:pStyle w:val="Bulletleft1"/>
        <w:spacing w:line="276" w:lineRule="auto"/>
      </w:pPr>
      <w:r>
        <w:t xml:space="preserve">One stakeholder suggested that a </w:t>
      </w:r>
      <w:r w:rsidR="00621E06">
        <w:t>targe</w:t>
      </w:r>
      <w:r w:rsidR="009C44FC">
        <w:t>t</w:t>
      </w:r>
      <w:r w:rsidR="00621E06">
        <w:t xml:space="preserve"> </w:t>
      </w:r>
      <w:r w:rsidR="002A218B">
        <w:t xml:space="preserve">of 140/90 mmHg </w:t>
      </w:r>
      <w:r>
        <w:t>should be used for people with type 1 diabetes to</w:t>
      </w:r>
      <w:r w:rsidR="009C44FC">
        <w:t xml:space="preserve"> help avoid confusion in primary care. </w:t>
      </w:r>
    </w:p>
    <w:p w14:paraId="1AB9282E" w14:textId="44697C3A" w:rsidR="00621E06" w:rsidRDefault="00636303" w:rsidP="005238DC">
      <w:pPr>
        <w:pStyle w:val="Bulletleft1"/>
        <w:spacing w:line="276" w:lineRule="auto"/>
      </w:pPr>
      <w:r>
        <w:t>An additional indicator using a target of 1</w:t>
      </w:r>
      <w:r w:rsidR="009C44FC">
        <w:t>50/90 mmHg</w:t>
      </w:r>
      <w:r>
        <w:t xml:space="preserve"> may be useful</w:t>
      </w:r>
      <w:r w:rsidR="009C44FC">
        <w:t xml:space="preserve"> for people with </w:t>
      </w:r>
      <w:r w:rsidR="00FE1382">
        <w:t xml:space="preserve">type 1 diabetes </w:t>
      </w:r>
      <w:r w:rsidR="005A371F">
        <w:t xml:space="preserve">and </w:t>
      </w:r>
      <w:r w:rsidR="009C44FC">
        <w:t xml:space="preserve">moderate </w:t>
      </w:r>
      <w:r w:rsidR="00CE2628">
        <w:t xml:space="preserve">or </w:t>
      </w:r>
      <w:r w:rsidR="009C44FC">
        <w:t>severe frailty.</w:t>
      </w:r>
      <w:r w:rsidR="00621E06">
        <w:t xml:space="preserve"> </w:t>
      </w:r>
    </w:p>
    <w:p w14:paraId="510A1330" w14:textId="67FD65C8" w:rsidR="00ED6AAF" w:rsidRPr="00E8632C" w:rsidRDefault="00ED6AAF" w:rsidP="00FE12CE">
      <w:pPr>
        <w:pStyle w:val="Heading2"/>
      </w:pPr>
      <w:bookmarkStart w:id="33" w:name="_Toc102579351"/>
      <w:bookmarkStart w:id="34" w:name="_Toc103559260"/>
      <w:bookmarkStart w:id="35" w:name="_Toc104267869"/>
      <w:r w:rsidRPr="00E8632C">
        <w:t xml:space="preserve">Specific </w:t>
      </w:r>
      <w:r w:rsidR="002C292E">
        <w:t>question</w:t>
      </w:r>
      <w:r w:rsidRPr="00E8632C">
        <w:t xml:space="preserve"> </w:t>
      </w:r>
      <w:r w:rsidR="00AB09A9">
        <w:t>included at</w:t>
      </w:r>
      <w:r w:rsidRPr="00E8632C">
        <w:t xml:space="preserve"> </w:t>
      </w:r>
      <w:proofErr w:type="gramStart"/>
      <w:r w:rsidRPr="00E8632C">
        <w:t>consultation</w:t>
      </w:r>
      <w:bookmarkEnd w:id="33"/>
      <w:bookmarkEnd w:id="34"/>
      <w:bookmarkEnd w:id="35"/>
      <w:proofErr w:type="gramEnd"/>
    </w:p>
    <w:p w14:paraId="0AA08C37" w14:textId="7A1F0791" w:rsidR="00137177" w:rsidRDefault="00552851" w:rsidP="00D471DB">
      <w:pPr>
        <w:pStyle w:val="Paragraph"/>
        <w:rPr>
          <w:rFonts w:cs="Arial"/>
        </w:rPr>
      </w:pPr>
      <w:r w:rsidRPr="00552851">
        <w:rPr>
          <w:rFonts w:cs="Arial"/>
        </w:rPr>
        <w:t>NICE’s guideline on hypertension recommends using clinical judgement when setting treatment targets for people with frailty; NICE’s guideline for type 1 diabetes does not reflect this recommendation. Should this indicator include all people with type 1 diabetes irrespective of frailty?</w:t>
      </w:r>
    </w:p>
    <w:p w14:paraId="5AC821B8" w14:textId="75A859A5" w:rsidR="00DE1D63" w:rsidRDefault="00DE1D63" w:rsidP="00963600">
      <w:pPr>
        <w:pStyle w:val="Paragraph"/>
      </w:pPr>
      <w:r>
        <w:rPr>
          <w:rFonts w:cs="Arial"/>
        </w:rPr>
        <w:t xml:space="preserve">One stakeholder </w:t>
      </w:r>
      <w:proofErr w:type="gramStart"/>
      <w:r>
        <w:rPr>
          <w:rFonts w:cs="Arial"/>
        </w:rPr>
        <w:t>responded,</w:t>
      </w:r>
      <w:r w:rsidR="00636303">
        <w:rPr>
          <w:rFonts w:cs="Arial"/>
        </w:rPr>
        <w:t xml:space="preserve"> and</w:t>
      </w:r>
      <w:proofErr w:type="gramEnd"/>
      <w:r w:rsidR="00636303">
        <w:rPr>
          <w:rFonts w:cs="Arial"/>
        </w:rPr>
        <w:t xml:space="preserve"> </w:t>
      </w:r>
      <w:r w:rsidR="009D1471">
        <w:rPr>
          <w:rFonts w:cs="Arial"/>
        </w:rPr>
        <w:t xml:space="preserve">agreed </w:t>
      </w:r>
      <w:r>
        <w:rPr>
          <w:rFonts w:cs="Arial"/>
        </w:rPr>
        <w:t>that</w:t>
      </w:r>
      <w:r w:rsidR="00636303">
        <w:t xml:space="preserve"> </w:t>
      </w:r>
      <w:r w:rsidR="00FE1382">
        <w:t>p</w:t>
      </w:r>
      <w:r w:rsidR="00B359A7" w:rsidRPr="00B359A7">
        <w:t>eople with type 1 diabetes</w:t>
      </w:r>
      <w:r w:rsidR="00B359A7">
        <w:t xml:space="preserve"> </w:t>
      </w:r>
      <w:r w:rsidR="00636303">
        <w:t xml:space="preserve">and </w:t>
      </w:r>
      <w:r w:rsidR="00636303" w:rsidRPr="00636303">
        <w:t>moderate or severe frailty</w:t>
      </w:r>
      <w:r w:rsidR="00636303" w:rsidRPr="00636303" w:rsidDel="00636303">
        <w:t xml:space="preserve"> </w:t>
      </w:r>
      <w:r w:rsidR="00B359A7">
        <w:t>should not be included</w:t>
      </w:r>
      <w:r w:rsidR="00A91B5D">
        <w:t>,</w:t>
      </w:r>
      <w:r w:rsidR="00B359A7">
        <w:t xml:space="preserve"> </w:t>
      </w:r>
      <w:r w:rsidR="00B359A7" w:rsidRPr="00B359A7">
        <w:t xml:space="preserve">due to the complications </w:t>
      </w:r>
      <w:r w:rsidR="00B359A7">
        <w:t xml:space="preserve">they </w:t>
      </w:r>
      <w:r w:rsidR="00B359A7" w:rsidRPr="00B359A7">
        <w:t>may experience if their blood pressure is lowered beyond the maximum tolerated.</w:t>
      </w:r>
      <w:r w:rsidR="00B359A7">
        <w:t xml:space="preserve">  </w:t>
      </w:r>
    </w:p>
    <w:p w14:paraId="6AA0B079" w14:textId="635CD188" w:rsidR="0006231E" w:rsidRPr="00AB09A9" w:rsidRDefault="0006231E" w:rsidP="00FE12CE">
      <w:pPr>
        <w:pStyle w:val="Heading2"/>
      </w:pPr>
      <w:bookmarkStart w:id="36" w:name="_Toc102579352"/>
      <w:bookmarkStart w:id="37" w:name="_Toc103559261"/>
      <w:bookmarkStart w:id="38" w:name="_Toc104267870"/>
      <w:r w:rsidRPr="00565745">
        <w:t xml:space="preserve">Considerations for the </w:t>
      </w:r>
      <w:r w:rsidR="003C3023">
        <w:t>a</w:t>
      </w:r>
      <w:r w:rsidRPr="00565745">
        <w:t xml:space="preserve">dvisory </w:t>
      </w:r>
      <w:r w:rsidR="003C3023">
        <w:t>c</w:t>
      </w:r>
      <w:r w:rsidRPr="00565745">
        <w:t>ommittee</w:t>
      </w:r>
      <w:bookmarkEnd w:id="36"/>
      <w:bookmarkEnd w:id="37"/>
      <w:bookmarkEnd w:id="38"/>
    </w:p>
    <w:p w14:paraId="765B66A2" w14:textId="124DC821" w:rsidR="005243EC" w:rsidRDefault="002C292E" w:rsidP="005243EC">
      <w:pPr>
        <w:pStyle w:val="Paragraphnonumbers"/>
      </w:pPr>
      <w:r>
        <w:t>The c</w:t>
      </w:r>
      <w:r w:rsidRPr="00241410">
        <w:t>ommittee is asked to consider:</w:t>
      </w:r>
    </w:p>
    <w:p w14:paraId="5D96AF29" w14:textId="12D9F744" w:rsidR="00636303" w:rsidRPr="008B6972" w:rsidRDefault="00CE2628" w:rsidP="001045D4">
      <w:pPr>
        <w:pStyle w:val="Bullets"/>
        <w:ind w:left="454"/>
      </w:pPr>
      <w:bookmarkStart w:id="39" w:name="OLE_LINK1"/>
      <w:r>
        <w:t xml:space="preserve">The </w:t>
      </w:r>
      <w:r w:rsidRPr="00636303">
        <w:t xml:space="preserve">risk </w:t>
      </w:r>
      <w:r>
        <w:t xml:space="preserve">of </w:t>
      </w:r>
      <w:r w:rsidRPr="00636303">
        <w:t>undertreatment in people with kidney disease</w:t>
      </w:r>
      <w:r>
        <w:t xml:space="preserve">. </w:t>
      </w:r>
      <w:bookmarkEnd w:id="39"/>
    </w:p>
    <w:p w14:paraId="431CDE0B" w14:textId="1D956420" w:rsidR="00CE2628" w:rsidRDefault="00ED532D" w:rsidP="00CE2628">
      <w:pPr>
        <w:pStyle w:val="Bullets"/>
        <w:ind w:left="454"/>
      </w:pPr>
      <w:hyperlink r:id="rId12" w:history="1">
        <w:r w:rsidR="00CE2628">
          <w:rPr>
            <w:rStyle w:val="Hyperlink"/>
          </w:rPr>
          <w:t>NICE’s guideline on type 1 diabetes</w:t>
        </w:r>
      </w:hyperlink>
      <w:r w:rsidR="00CE2628" w:rsidRPr="00441431">
        <w:t xml:space="preserve"> does not explicitly recommend </w:t>
      </w:r>
      <w:r w:rsidR="00CE2628">
        <w:t>adjusting blood pressure targets because of the presence of moderate or severe frailty.</w:t>
      </w:r>
    </w:p>
    <w:p w14:paraId="51345DE6" w14:textId="70882A1A" w:rsidR="005243EC" w:rsidRPr="00E8632C" w:rsidRDefault="00552851" w:rsidP="001113EE">
      <w:pPr>
        <w:pStyle w:val="Heading1"/>
      </w:pPr>
      <w:bookmarkStart w:id="40" w:name="_Toc105399593"/>
      <w:r>
        <w:lastRenderedPageBreak/>
        <w:t>IND 2022-124</w:t>
      </w:r>
      <w:r w:rsidR="002D7A7A">
        <w:t>:</w:t>
      </w:r>
      <w:r w:rsidR="005143BA">
        <w:t xml:space="preserve"> </w:t>
      </w:r>
      <w:r w:rsidR="002D7A7A">
        <w:t>B</w:t>
      </w:r>
      <w:r w:rsidRPr="00552851">
        <w:t>lood pressure target for people with type 2 or other diabetes</w:t>
      </w:r>
      <w:bookmarkEnd w:id="40"/>
      <w:r w:rsidR="005243EC">
        <w:t xml:space="preserve"> </w:t>
      </w:r>
    </w:p>
    <w:p w14:paraId="6103100D" w14:textId="73001F6D" w:rsidR="005243EC" w:rsidRPr="00457A3D" w:rsidRDefault="00552851" w:rsidP="00457A3D">
      <w:pPr>
        <w:pStyle w:val="Paragraph"/>
        <w:rPr>
          <w:i/>
          <w:iCs/>
        </w:rPr>
      </w:pPr>
      <w:r w:rsidRPr="00457A3D">
        <w:rPr>
          <w:i/>
          <w:iCs/>
        </w:rPr>
        <w:t>The percentage of patients with type 2 or other diabetes without moderate or severe frailty, on the register, in whom the last blood pressure reading (measured in the preceding 12 months) is less than 140/90 mmHg.</w:t>
      </w:r>
    </w:p>
    <w:p w14:paraId="28C90240" w14:textId="77777777" w:rsidR="00C50FF0" w:rsidRPr="003D5D5A" w:rsidRDefault="00C50FF0" w:rsidP="00FE12CE">
      <w:pPr>
        <w:pStyle w:val="Heading2"/>
      </w:pPr>
      <w:bookmarkStart w:id="41" w:name="_Toc102579354"/>
      <w:bookmarkStart w:id="42" w:name="_Toc103559263"/>
      <w:bookmarkStart w:id="43" w:name="_Toc104267872"/>
      <w:r>
        <w:t>Rationale</w:t>
      </w:r>
      <w:bookmarkEnd w:id="41"/>
      <w:bookmarkEnd w:id="42"/>
      <w:bookmarkEnd w:id="43"/>
    </w:p>
    <w:p w14:paraId="11708836" w14:textId="557D568A" w:rsidR="00552851" w:rsidRDefault="00552851" w:rsidP="000B5519">
      <w:pPr>
        <w:pStyle w:val="Paragraph"/>
        <w:rPr>
          <w:b/>
          <w:bCs/>
          <w:i/>
          <w:iCs/>
        </w:rPr>
      </w:pPr>
      <w:bookmarkStart w:id="44" w:name="_Toc102579355"/>
      <w:r w:rsidRPr="000B5519">
        <w:t>Lowering blood pressure in people with diabetes reduces the risk of cardiovascular problems such as</w:t>
      </w:r>
      <w:r w:rsidRPr="00552851">
        <w:t xml:space="preserve"> heart disease and stroke. A focus on people without moderate or severe frailty has been included in line with existing NICE indicator </w:t>
      </w:r>
      <w:hyperlink r:id="rId13" w:history="1">
        <w:r w:rsidRPr="00552851">
          <w:rPr>
            <w:rStyle w:val="Hyperlink"/>
            <w:rFonts w:cs="Arial"/>
          </w:rPr>
          <w:t>NM159</w:t>
        </w:r>
      </w:hyperlink>
      <w:r w:rsidRPr="00552851">
        <w:t xml:space="preserve"> (included in QOF as DM019). The aim is to reduce under-treatment and support better control of blood pressure in people with the greatest capacity to benefit.</w:t>
      </w:r>
      <w:bookmarkEnd w:id="44"/>
      <w:r w:rsidRPr="00552851">
        <w:t xml:space="preserve">  </w:t>
      </w:r>
    </w:p>
    <w:p w14:paraId="2E6CE402" w14:textId="7910B805" w:rsidR="00C50FF0" w:rsidRPr="00780214" w:rsidRDefault="00C50FF0" w:rsidP="00FE12CE">
      <w:pPr>
        <w:pStyle w:val="Heading2"/>
      </w:pPr>
      <w:bookmarkStart w:id="45" w:name="_Toc102579356"/>
      <w:bookmarkStart w:id="46" w:name="_Toc103559264"/>
      <w:bookmarkStart w:id="47" w:name="_Toc104267873"/>
      <w:r>
        <w:t>Summary of consultation c</w:t>
      </w:r>
      <w:r w:rsidRPr="00780214">
        <w:t>omments</w:t>
      </w:r>
      <w:bookmarkEnd w:id="45"/>
      <w:bookmarkEnd w:id="46"/>
      <w:bookmarkEnd w:id="47"/>
    </w:p>
    <w:p w14:paraId="33B311F5" w14:textId="152174ED" w:rsidR="00B359A7" w:rsidRDefault="006B14CA" w:rsidP="00B359A7">
      <w:pPr>
        <w:pStyle w:val="Bulletleft1"/>
        <w:spacing w:line="276" w:lineRule="auto"/>
      </w:pPr>
      <w:r>
        <w:t>G</w:t>
      </w:r>
      <w:r w:rsidR="00B359A7">
        <w:t>eneral support for this indicator.</w:t>
      </w:r>
    </w:p>
    <w:p w14:paraId="3F8F65FD" w14:textId="3516F22C" w:rsidR="00FB2902" w:rsidRDefault="00FB2902" w:rsidP="00B359A7">
      <w:pPr>
        <w:pStyle w:val="Bulletleft1"/>
        <w:spacing w:line="276" w:lineRule="auto"/>
      </w:pPr>
      <w:r>
        <w:t>A</w:t>
      </w:r>
      <w:r w:rsidRPr="00FB2902">
        <w:t xml:space="preserve"> lower target of less than 130/80 mmHg should be used for some people with kidney disease</w:t>
      </w:r>
      <w:r>
        <w:t>.</w:t>
      </w:r>
    </w:p>
    <w:p w14:paraId="6F414C49" w14:textId="2C40EE4D" w:rsidR="006B14CA" w:rsidRDefault="009C5B51" w:rsidP="00B359A7">
      <w:pPr>
        <w:pStyle w:val="Bulletleft1"/>
        <w:spacing w:line="276" w:lineRule="auto"/>
      </w:pPr>
      <w:r>
        <w:t>Support for excluding p</w:t>
      </w:r>
      <w:r w:rsidR="00B359A7" w:rsidRPr="00B359A7">
        <w:t xml:space="preserve">eople with type </w:t>
      </w:r>
      <w:r w:rsidR="00B81857">
        <w:t>2</w:t>
      </w:r>
      <w:r w:rsidR="00B359A7" w:rsidRPr="00B359A7">
        <w:t xml:space="preserve"> diabetes </w:t>
      </w:r>
      <w:r w:rsidR="001113EE">
        <w:t>and</w:t>
      </w:r>
      <w:r w:rsidR="00FD3BC1">
        <w:t xml:space="preserve"> moderate or severe frailty</w:t>
      </w:r>
      <w:r w:rsidR="00B359A7" w:rsidRPr="00B359A7">
        <w:t xml:space="preserve"> due to the complications they may experience if their blood pressure is lowered beyond the maximum tolerated.  </w:t>
      </w:r>
    </w:p>
    <w:p w14:paraId="630EAEA5" w14:textId="243B7225" w:rsidR="002E4E66" w:rsidRPr="00B359A7" w:rsidRDefault="002E4E66" w:rsidP="002E4E66">
      <w:pPr>
        <w:pStyle w:val="Bulletleft1"/>
        <w:spacing w:line="276" w:lineRule="auto"/>
      </w:pPr>
      <w:bookmarkStart w:id="48" w:name="_Toc102579357"/>
      <w:r>
        <w:t>People with frailty need a</w:t>
      </w:r>
      <w:r w:rsidRPr="003C2A2E">
        <w:t xml:space="preserve"> more </w:t>
      </w:r>
      <w:proofErr w:type="spellStart"/>
      <w:r w:rsidRPr="003C2A2E">
        <w:t>individualised</w:t>
      </w:r>
      <w:proofErr w:type="spellEnd"/>
      <w:r w:rsidRPr="003C2A2E">
        <w:t xml:space="preserve"> plan</w:t>
      </w:r>
      <w:r>
        <w:t xml:space="preserve">, which supports </w:t>
      </w:r>
      <w:r w:rsidRPr="003C2A2E">
        <w:t>ensur</w:t>
      </w:r>
      <w:r>
        <w:t>ing</w:t>
      </w:r>
      <w:r w:rsidRPr="003C2A2E">
        <w:t xml:space="preserve"> that all the </w:t>
      </w:r>
      <w:r>
        <w:t xml:space="preserve">benefits outweigh all the risks. </w:t>
      </w:r>
      <w:r w:rsidRPr="003C2A2E">
        <w:t xml:space="preserve"> </w:t>
      </w:r>
    </w:p>
    <w:p w14:paraId="67AA8FE6" w14:textId="5AE60558" w:rsidR="00C50FF0" w:rsidRPr="00565745" w:rsidRDefault="00C50FF0" w:rsidP="00FE12CE">
      <w:pPr>
        <w:pStyle w:val="Heading2"/>
      </w:pPr>
      <w:bookmarkStart w:id="49" w:name="_Toc103559265"/>
      <w:bookmarkStart w:id="50" w:name="_Toc104267874"/>
      <w:r w:rsidRPr="00565745">
        <w:t xml:space="preserve">Considerations for the </w:t>
      </w:r>
      <w:r w:rsidR="003C3023">
        <w:t>a</w:t>
      </w:r>
      <w:r w:rsidRPr="00565745">
        <w:t xml:space="preserve">dvisory </w:t>
      </w:r>
      <w:r w:rsidR="003C3023">
        <w:t>c</w:t>
      </w:r>
      <w:r w:rsidRPr="00565745">
        <w:t>ommittee</w:t>
      </w:r>
      <w:bookmarkEnd w:id="48"/>
      <w:bookmarkEnd w:id="49"/>
      <w:bookmarkEnd w:id="50"/>
    </w:p>
    <w:p w14:paraId="155F5F72" w14:textId="57F425CF" w:rsidR="00C50FF0" w:rsidRDefault="000829C5" w:rsidP="00C50FF0">
      <w:pPr>
        <w:pStyle w:val="Paragraphnonumbers"/>
      </w:pPr>
      <w:r w:rsidRPr="000829C5">
        <w:t xml:space="preserve">Before progressing this indicator to the NICE menu, the committee is asked to consider </w:t>
      </w:r>
      <w:r w:rsidR="00FB2902">
        <w:t xml:space="preserve">the </w:t>
      </w:r>
      <w:r w:rsidR="00FB2902" w:rsidRPr="00FB2902">
        <w:t>risk of undertreatment in people with</w:t>
      </w:r>
      <w:r w:rsidR="00FB2902">
        <w:t xml:space="preserve"> diabetes and</w:t>
      </w:r>
      <w:r w:rsidR="00FB2902" w:rsidRPr="00FB2902">
        <w:t xml:space="preserve"> kidney disease</w:t>
      </w:r>
      <w:r w:rsidRPr="000829C5">
        <w:t>.</w:t>
      </w:r>
    </w:p>
    <w:p w14:paraId="166E5755" w14:textId="77777777" w:rsidR="008E56A4" w:rsidRDefault="008E56A4" w:rsidP="00C130C8">
      <w:pPr>
        <w:pStyle w:val="Heading1"/>
        <w:sectPr w:rsidR="008E56A4" w:rsidSect="009F1902">
          <w:headerReference w:type="default" r:id="rId14"/>
          <w:footerReference w:type="default" r:id="rId15"/>
          <w:pgSz w:w="11907" w:h="16840" w:code="9"/>
          <w:pgMar w:top="1440" w:right="1440" w:bottom="1440" w:left="1440" w:header="709" w:footer="709" w:gutter="0"/>
          <w:pgNumType w:chapStyle="1"/>
          <w:cols w:space="708"/>
          <w:docGrid w:linePitch="360"/>
        </w:sectPr>
      </w:pPr>
    </w:p>
    <w:p w14:paraId="70E31508" w14:textId="2FC38510" w:rsidR="00527A29" w:rsidRDefault="00C130C8" w:rsidP="00226158">
      <w:pPr>
        <w:pStyle w:val="Heading1"/>
      </w:pPr>
      <w:bookmarkStart w:id="51" w:name="_Toc105399594"/>
      <w:r>
        <w:lastRenderedPageBreak/>
        <w:t xml:space="preserve">Appendix </w:t>
      </w:r>
      <w:r w:rsidR="00F928F4">
        <w:t>A</w:t>
      </w:r>
      <w:r w:rsidR="00BB716A">
        <w:t>: C</w:t>
      </w:r>
      <w:r>
        <w:t>onsultation comments</w:t>
      </w:r>
      <w:bookmarkEnd w:id="51"/>
      <w:r>
        <w:t xml:space="preserve"> </w:t>
      </w:r>
    </w:p>
    <w:p w14:paraId="7AD4790C" w14:textId="4E2A4FA5" w:rsidR="009E66FB" w:rsidRPr="009E66FB" w:rsidRDefault="009E66FB" w:rsidP="009E66FB">
      <w:pPr>
        <w:pStyle w:val="Paragraph"/>
      </w:pPr>
      <w:r>
        <w:t xml:space="preserve">General comments </w:t>
      </w:r>
    </w:p>
    <w:tbl>
      <w:tblPr>
        <w:tblStyle w:val="TableGrid"/>
        <w:tblW w:w="5000" w:type="pct"/>
        <w:tblLook w:val="04A0" w:firstRow="1" w:lastRow="0" w:firstColumn="1" w:lastColumn="0" w:noHBand="0" w:noVBand="1"/>
      </w:tblPr>
      <w:tblGrid>
        <w:gridCol w:w="781"/>
        <w:gridCol w:w="1194"/>
        <w:gridCol w:w="3264"/>
        <w:gridCol w:w="4961"/>
        <w:gridCol w:w="3750"/>
      </w:tblGrid>
      <w:tr w:rsidR="003277FC" w:rsidRPr="00215444" w14:paraId="2B3E895E" w14:textId="5B408097" w:rsidTr="003277FC">
        <w:trPr>
          <w:tblHeader/>
        </w:trPr>
        <w:tc>
          <w:tcPr>
            <w:tcW w:w="280" w:type="pct"/>
            <w:noWrap/>
            <w:hideMark/>
          </w:tcPr>
          <w:p w14:paraId="2A95CE04" w14:textId="77777777" w:rsidR="003277FC" w:rsidRPr="00215444" w:rsidRDefault="003277FC" w:rsidP="00F53495">
            <w:pPr>
              <w:pStyle w:val="NICEnormal"/>
              <w:spacing w:line="240" w:lineRule="auto"/>
              <w:rPr>
                <w:rFonts w:cs="Arial"/>
                <w:b/>
                <w:sz w:val="22"/>
                <w:szCs w:val="22"/>
              </w:rPr>
            </w:pPr>
            <w:r>
              <w:rPr>
                <w:rFonts w:cs="Arial"/>
                <w:b/>
                <w:sz w:val="22"/>
                <w:szCs w:val="22"/>
              </w:rPr>
              <w:t>ID</w:t>
            </w:r>
          </w:p>
        </w:tc>
        <w:tc>
          <w:tcPr>
            <w:tcW w:w="428" w:type="pct"/>
          </w:tcPr>
          <w:p w14:paraId="500D4BFD" w14:textId="77777777" w:rsidR="003277FC" w:rsidRPr="00215444" w:rsidRDefault="003277FC" w:rsidP="009B0897">
            <w:pPr>
              <w:pStyle w:val="NICEnormal"/>
              <w:spacing w:line="240" w:lineRule="auto"/>
              <w:rPr>
                <w:rFonts w:cs="Arial"/>
                <w:b/>
                <w:sz w:val="22"/>
                <w:szCs w:val="22"/>
              </w:rPr>
            </w:pPr>
            <w:r w:rsidRPr="00215444">
              <w:rPr>
                <w:rFonts w:cs="Arial"/>
                <w:b/>
                <w:sz w:val="22"/>
                <w:szCs w:val="22"/>
              </w:rPr>
              <w:t>Proforma question no.</w:t>
            </w:r>
          </w:p>
        </w:tc>
        <w:tc>
          <w:tcPr>
            <w:tcW w:w="1170" w:type="pct"/>
            <w:noWrap/>
            <w:hideMark/>
          </w:tcPr>
          <w:p w14:paraId="29290F44" w14:textId="77777777" w:rsidR="003277FC" w:rsidRPr="00215444" w:rsidRDefault="003277FC" w:rsidP="00F53495">
            <w:pPr>
              <w:pStyle w:val="NICEnormal"/>
              <w:spacing w:line="240" w:lineRule="auto"/>
              <w:rPr>
                <w:rFonts w:cs="Arial"/>
                <w:b/>
                <w:sz w:val="22"/>
                <w:szCs w:val="22"/>
              </w:rPr>
            </w:pPr>
            <w:r w:rsidRPr="00215444">
              <w:rPr>
                <w:rFonts w:cs="Arial"/>
                <w:b/>
                <w:sz w:val="22"/>
                <w:szCs w:val="22"/>
              </w:rPr>
              <w:t xml:space="preserve">Stakeholder </w:t>
            </w:r>
            <w:proofErr w:type="spellStart"/>
            <w:r w:rsidRPr="00215444">
              <w:rPr>
                <w:rFonts w:cs="Arial"/>
                <w:b/>
                <w:sz w:val="22"/>
                <w:szCs w:val="22"/>
              </w:rPr>
              <w:t>organisation</w:t>
            </w:r>
            <w:proofErr w:type="spellEnd"/>
          </w:p>
        </w:tc>
        <w:tc>
          <w:tcPr>
            <w:tcW w:w="1778" w:type="pct"/>
            <w:hideMark/>
          </w:tcPr>
          <w:p w14:paraId="273B5BD4" w14:textId="77777777" w:rsidR="003277FC" w:rsidRPr="00215444" w:rsidRDefault="003277FC" w:rsidP="00352FD0">
            <w:pPr>
              <w:pStyle w:val="NICEnormal"/>
              <w:spacing w:line="240" w:lineRule="auto"/>
              <w:rPr>
                <w:rFonts w:cs="Arial"/>
                <w:b/>
                <w:sz w:val="22"/>
                <w:szCs w:val="22"/>
              </w:rPr>
            </w:pPr>
            <w:r w:rsidRPr="00215444">
              <w:rPr>
                <w:rFonts w:cs="Arial"/>
                <w:b/>
                <w:sz w:val="22"/>
                <w:szCs w:val="22"/>
              </w:rPr>
              <w:t>Comment</w:t>
            </w:r>
          </w:p>
        </w:tc>
        <w:tc>
          <w:tcPr>
            <w:tcW w:w="1344" w:type="pct"/>
          </w:tcPr>
          <w:p w14:paraId="549205A2" w14:textId="23A6DE22" w:rsidR="003277FC" w:rsidRPr="003277FC" w:rsidRDefault="003277FC" w:rsidP="00352FD0">
            <w:pPr>
              <w:pStyle w:val="NICEnormal"/>
              <w:spacing w:line="240" w:lineRule="auto"/>
              <w:rPr>
                <w:rFonts w:cs="Arial"/>
                <w:b/>
                <w:sz w:val="22"/>
                <w:szCs w:val="22"/>
              </w:rPr>
            </w:pPr>
            <w:r>
              <w:rPr>
                <w:rFonts w:cs="Arial"/>
                <w:b/>
                <w:sz w:val="22"/>
                <w:szCs w:val="22"/>
              </w:rPr>
              <w:t>NICE response</w:t>
            </w:r>
          </w:p>
        </w:tc>
      </w:tr>
      <w:tr w:rsidR="003277FC" w:rsidRPr="00215444" w14:paraId="20967B5B" w14:textId="00EEFD75" w:rsidTr="003277FC">
        <w:tc>
          <w:tcPr>
            <w:tcW w:w="280" w:type="pct"/>
            <w:hideMark/>
          </w:tcPr>
          <w:p w14:paraId="3B59A6CA" w14:textId="5F9DBFDC" w:rsidR="003277FC" w:rsidRPr="005B73E7" w:rsidRDefault="003277FC" w:rsidP="003277FC">
            <w:pPr>
              <w:rPr>
                <w:rFonts w:ascii="Arial" w:hAnsi="Arial" w:cs="Arial"/>
                <w:color w:val="000000"/>
                <w:sz w:val="22"/>
                <w:szCs w:val="22"/>
                <w:lang w:eastAsia="en-GB"/>
              </w:rPr>
            </w:pPr>
            <w:r>
              <w:rPr>
                <w:rFonts w:ascii="Arial" w:hAnsi="Arial" w:cs="Arial"/>
                <w:sz w:val="22"/>
                <w:szCs w:val="22"/>
              </w:rPr>
              <w:t>001</w:t>
            </w:r>
          </w:p>
        </w:tc>
        <w:tc>
          <w:tcPr>
            <w:tcW w:w="428" w:type="pct"/>
            <w:hideMark/>
          </w:tcPr>
          <w:p w14:paraId="79607550" w14:textId="41966464" w:rsidR="003277FC" w:rsidRPr="005B73E7" w:rsidRDefault="003277FC" w:rsidP="003277FC">
            <w:pPr>
              <w:rPr>
                <w:rFonts w:ascii="Arial" w:hAnsi="Arial" w:cs="Arial"/>
                <w:color w:val="000000"/>
                <w:sz w:val="22"/>
                <w:szCs w:val="22"/>
                <w:lang w:eastAsia="en-GB"/>
              </w:rPr>
            </w:pPr>
            <w:r>
              <w:rPr>
                <w:rFonts w:ascii="Arial" w:hAnsi="Arial" w:cs="Arial"/>
                <w:sz w:val="22"/>
                <w:szCs w:val="22"/>
              </w:rPr>
              <w:t xml:space="preserve">General </w:t>
            </w:r>
          </w:p>
        </w:tc>
        <w:tc>
          <w:tcPr>
            <w:tcW w:w="1170" w:type="pct"/>
            <w:hideMark/>
          </w:tcPr>
          <w:p w14:paraId="0481676A" w14:textId="6718F564" w:rsidR="003277FC" w:rsidRPr="005B73E7" w:rsidRDefault="003277FC" w:rsidP="003277FC">
            <w:pPr>
              <w:rPr>
                <w:rFonts w:ascii="Arial" w:hAnsi="Arial" w:cs="Arial"/>
                <w:sz w:val="22"/>
                <w:szCs w:val="22"/>
              </w:rPr>
            </w:pPr>
            <w:r>
              <w:rPr>
                <w:rFonts w:ascii="Arial" w:hAnsi="Arial" w:cs="Arial"/>
                <w:sz w:val="22"/>
                <w:szCs w:val="22"/>
              </w:rPr>
              <w:t>Kidney Research UK</w:t>
            </w:r>
          </w:p>
        </w:tc>
        <w:tc>
          <w:tcPr>
            <w:tcW w:w="1778" w:type="pct"/>
            <w:hideMark/>
          </w:tcPr>
          <w:p w14:paraId="461FE082" w14:textId="77777777" w:rsidR="003277FC" w:rsidRPr="00B462AE" w:rsidRDefault="003277FC" w:rsidP="003277FC">
            <w:pPr>
              <w:rPr>
                <w:rFonts w:ascii="Arial" w:hAnsi="Arial" w:cs="Arial"/>
                <w:sz w:val="22"/>
                <w:szCs w:val="22"/>
              </w:rPr>
            </w:pPr>
            <w:r w:rsidRPr="00B462AE">
              <w:rPr>
                <w:rFonts w:ascii="Arial" w:hAnsi="Arial" w:cs="Arial"/>
                <w:sz w:val="22"/>
                <w:szCs w:val="22"/>
              </w:rPr>
              <w:t>We strongly advocate inclusion of an indicator for annual monitoring for moderately raised albuminuria in all people with diabetes (see NG18 1.2.119 and 1.3.42 for children and young adults; NG 203 1.1.21 for adults). Diabetes is the commonest cause of end-stage kidney failure in the UK: detection of albuminuria should trigger additional preventive treatment; and repeated audits have shown failure to test for albuminuria in large numbers of people with diabetes in the UK.</w:t>
            </w:r>
          </w:p>
          <w:p w14:paraId="4FF4B19E" w14:textId="77777777" w:rsidR="003277FC" w:rsidRPr="00B462AE" w:rsidRDefault="003277FC" w:rsidP="003277FC">
            <w:pPr>
              <w:rPr>
                <w:rFonts w:ascii="Arial" w:hAnsi="Arial" w:cs="Arial"/>
                <w:sz w:val="22"/>
                <w:szCs w:val="22"/>
              </w:rPr>
            </w:pPr>
          </w:p>
          <w:p w14:paraId="73690FF7" w14:textId="5F6F37D1" w:rsidR="003277FC" w:rsidRPr="00EE065C" w:rsidRDefault="003277FC" w:rsidP="003277FC">
            <w:pPr>
              <w:rPr>
                <w:rFonts w:ascii="Arial" w:hAnsi="Arial" w:cs="Arial"/>
                <w:sz w:val="22"/>
                <w:szCs w:val="22"/>
              </w:rPr>
            </w:pPr>
            <w:r w:rsidRPr="00B462AE">
              <w:rPr>
                <w:rFonts w:ascii="Arial" w:hAnsi="Arial" w:cs="Arial"/>
                <w:sz w:val="22"/>
                <w:szCs w:val="22"/>
              </w:rPr>
              <w:t xml:space="preserve">In 2017 we published a </w:t>
            </w:r>
            <w:hyperlink r:id="rId16" w:history="1">
              <w:r w:rsidRPr="00B462AE">
                <w:rPr>
                  <w:rStyle w:val="Hyperlink"/>
                  <w:rFonts w:ascii="Arial" w:hAnsi="Arial" w:cs="Arial"/>
                  <w:sz w:val="22"/>
                  <w:szCs w:val="22"/>
                </w:rPr>
                <w:t>joint statement with Diabetes UK</w:t>
              </w:r>
            </w:hyperlink>
            <w:r w:rsidRPr="00B462AE">
              <w:rPr>
                <w:rFonts w:ascii="Arial" w:hAnsi="Arial" w:cs="Arial"/>
                <w:sz w:val="22"/>
                <w:szCs w:val="22"/>
              </w:rPr>
              <w:t>. The statement sets out the close link between diabetes and kidney disease and the life-threatening impact of kidney disease on diabetes patients. We believe much more needs to be done to monitor diabetes patients and prevent them developing renal failure.</w:t>
            </w:r>
          </w:p>
        </w:tc>
        <w:tc>
          <w:tcPr>
            <w:tcW w:w="1344" w:type="pct"/>
          </w:tcPr>
          <w:p w14:paraId="3DA8C5F2" w14:textId="77777777" w:rsidR="003277FC" w:rsidRDefault="003277FC" w:rsidP="003277FC">
            <w:pPr>
              <w:rPr>
                <w:rFonts w:ascii="Arial" w:hAnsi="Arial" w:cs="Arial"/>
                <w:sz w:val="22"/>
                <w:szCs w:val="22"/>
              </w:rPr>
            </w:pPr>
            <w:r>
              <w:rPr>
                <w:rFonts w:ascii="Arial" w:hAnsi="Arial" w:cs="Arial"/>
                <w:sz w:val="22"/>
                <w:szCs w:val="22"/>
              </w:rPr>
              <w:t>Thank you for your comments.</w:t>
            </w:r>
          </w:p>
          <w:p w14:paraId="0EBE980E" w14:textId="77777777" w:rsidR="003277FC" w:rsidRDefault="003277FC" w:rsidP="003277FC">
            <w:pPr>
              <w:rPr>
                <w:rFonts w:ascii="Arial" w:hAnsi="Arial" w:cs="Arial"/>
                <w:sz w:val="22"/>
                <w:szCs w:val="22"/>
              </w:rPr>
            </w:pPr>
          </w:p>
          <w:p w14:paraId="40DBFAF9" w14:textId="2B5090C6" w:rsidR="003277FC" w:rsidRDefault="003277FC" w:rsidP="003277FC">
            <w:pPr>
              <w:rPr>
                <w:rFonts w:ascii="Arial" w:hAnsi="Arial" w:cs="Arial"/>
                <w:sz w:val="22"/>
                <w:szCs w:val="22"/>
              </w:rPr>
            </w:pPr>
            <w:r w:rsidRPr="00B31087">
              <w:rPr>
                <w:rFonts w:ascii="Arial" w:hAnsi="Arial" w:cs="Arial"/>
                <w:sz w:val="22"/>
                <w:szCs w:val="22"/>
              </w:rPr>
              <w:t xml:space="preserve">Thank you for your comment. NICE menu indicators NM59 and CCG70 measure the percentage of patients with diabetes who have a record of urine ACR in the preceding 12 or 15 </w:t>
            </w:r>
            <w:proofErr w:type="gramStart"/>
            <w:r w:rsidRPr="00B31087">
              <w:rPr>
                <w:rFonts w:ascii="Arial" w:hAnsi="Arial" w:cs="Arial"/>
                <w:sz w:val="22"/>
                <w:szCs w:val="22"/>
              </w:rPr>
              <w:t>months</w:t>
            </w:r>
            <w:proofErr w:type="gramEnd"/>
          </w:p>
          <w:p w14:paraId="6B7E30AB" w14:textId="77777777" w:rsidR="003277FC" w:rsidRPr="00B462AE" w:rsidRDefault="003277FC" w:rsidP="003277FC">
            <w:pPr>
              <w:rPr>
                <w:rFonts w:ascii="Arial" w:hAnsi="Arial" w:cs="Arial"/>
                <w:sz w:val="22"/>
                <w:szCs w:val="22"/>
              </w:rPr>
            </w:pPr>
          </w:p>
        </w:tc>
      </w:tr>
      <w:tr w:rsidR="003277FC" w:rsidRPr="00215444" w14:paraId="6F80C64D" w14:textId="631DEEAE" w:rsidTr="003277FC">
        <w:tc>
          <w:tcPr>
            <w:tcW w:w="280" w:type="pct"/>
          </w:tcPr>
          <w:p w14:paraId="0E038E9B" w14:textId="626D7CE3" w:rsidR="003277FC" w:rsidRDefault="003277FC" w:rsidP="003277FC">
            <w:pPr>
              <w:rPr>
                <w:rFonts w:ascii="Arial" w:hAnsi="Arial" w:cs="Arial"/>
                <w:sz w:val="22"/>
                <w:szCs w:val="22"/>
              </w:rPr>
            </w:pPr>
            <w:r>
              <w:rPr>
                <w:rFonts w:ascii="Arial" w:hAnsi="Arial" w:cs="Arial"/>
                <w:sz w:val="22"/>
                <w:szCs w:val="22"/>
              </w:rPr>
              <w:t>002</w:t>
            </w:r>
          </w:p>
        </w:tc>
        <w:tc>
          <w:tcPr>
            <w:tcW w:w="428" w:type="pct"/>
          </w:tcPr>
          <w:p w14:paraId="39827DCA" w14:textId="6BE86A53" w:rsidR="003277FC" w:rsidRDefault="003277FC" w:rsidP="003277FC">
            <w:pPr>
              <w:rPr>
                <w:rFonts w:ascii="Arial" w:hAnsi="Arial" w:cs="Arial"/>
                <w:sz w:val="22"/>
                <w:szCs w:val="22"/>
              </w:rPr>
            </w:pPr>
            <w:r>
              <w:rPr>
                <w:rFonts w:ascii="Arial" w:hAnsi="Arial" w:cs="Arial"/>
                <w:sz w:val="22"/>
                <w:szCs w:val="22"/>
              </w:rPr>
              <w:t>General</w:t>
            </w:r>
          </w:p>
        </w:tc>
        <w:tc>
          <w:tcPr>
            <w:tcW w:w="1170" w:type="pct"/>
          </w:tcPr>
          <w:p w14:paraId="5E209209" w14:textId="224A0E72" w:rsidR="003277FC" w:rsidRDefault="003277FC" w:rsidP="003277FC">
            <w:pPr>
              <w:rPr>
                <w:rFonts w:ascii="Arial" w:hAnsi="Arial" w:cs="Arial"/>
                <w:sz w:val="22"/>
                <w:szCs w:val="22"/>
              </w:rPr>
            </w:pPr>
            <w:r>
              <w:rPr>
                <w:rFonts w:ascii="Arial" w:hAnsi="Arial" w:cs="Arial"/>
                <w:sz w:val="22"/>
                <w:szCs w:val="22"/>
              </w:rPr>
              <w:t xml:space="preserve">NHS England &amp; Improvement (NHSE&amp;I): </w:t>
            </w:r>
            <w:r w:rsidRPr="00440BB7">
              <w:rPr>
                <w:rFonts w:ascii="Arial" w:hAnsi="Arial" w:cs="Arial"/>
                <w:sz w:val="22"/>
                <w:szCs w:val="22"/>
              </w:rPr>
              <w:t>Learning Disability and Autism Programme</w:t>
            </w:r>
          </w:p>
        </w:tc>
        <w:tc>
          <w:tcPr>
            <w:tcW w:w="1778" w:type="pct"/>
          </w:tcPr>
          <w:p w14:paraId="1CAA4A68" w14:textId="77777777" w:rsidR="003277FC" w:rsidRPr="00B63C19" w:rsidRDefault="003277FC" w:rsidP="003277FC">
            <w:pPr>
              <w:rPr>
                <w:rFonts w:ascii="Arial" w:hAnsi="Arial" w:cs="Arial"/>
                <w:sz w:val="22"/>
                <w:szCs w:val="22"/>
              </w:rPr>
            </w:pPr>
            <w:r w:rsidRPr="00B63C19">
              <w:rPr>
                <w:rFonts w:ascii="Arial" w:hAnsi="Arial" w:cs="Arial"/>
                <w:sz w:val="22"/>
                <w:szCs w:val="22"/>
              </w:rPr>
              <w:t xml:space="preserve">For people with a learning disability, the importance of understanding the context of their general health, how it is progressing, the importance of a holistic annual health check. In relation to all the indicators (and not just for </w:t>
            </w:r>
            <w:r w:rsidRPr="00B63C19">
              <w:rPr>
                <w:rFonts w:ascii="Arial" w:hAnsi="Arial" w:cs="Arial"/>
                <w:sz w:val="22"/>
                <w:szCs w:val="22"/>
              </w:rPr>
              <w:lastRenderedPageBreak/>
              <w:t xml:space="preserve">people with a learning disability): important that the checks are done together rather than in multiple health appointments. </w:t>
            </w:r>
          </w:p>
          <w:p w14:paraId="228F5370" w14:textId="4BF526C3" w:rsidR="003277FC" w:rsidRPr="00110F8E" w:rsidRDefault="003277FC" w:rsidP="003277FC">
            <w:pPr>
              <w:rPr>
                <w:rFonts w:ascii="Arial" w:hAnsi="Arial" w:cs="Arial"/>
                <w:sz w:val="22"/>
                <w:szCs w:val="22"/>
              </w:rPr>
            </w:pPr>
            <w:r w:rsidRPr="00B63C19">
              <w:rPr>
                <w:rFonts w:ascii="Arial" w:hAnsi="Arial" w:cs="Arial"/>
                <w:sz w:val="22"/>
                <w:szCs w:val="22"/>
              </w:rPr>
              <w:t xml:space="preserve">   </w:t>
            </w:r>
          </w:p>
        </w:tc>
        <w:tc>
          <w:tcPr>
            <w:tcW w:w="1344" w:type="pct"/>
          </w:tcPr>
          <w:p w14:paraId="5A91B875" w14:textId="77777777" w:rsidR="003277FC" w:rsidRDefault="003277FC" w:rsidP="003277FC">
            <w:pPr>
              <w:rPr>
                <w:rFonts w:ascii="Arial" w:hAnsi="Arial" w:cs="Arial"/>
                <w:sz w:val="22"/>
                <w:szCs w:val="22"/>
              </w:rPr>
            </w:pPr>
            <w:r>
              <w:rPr>
                <w:rFonts w:ascii="Arial" w:hAnsi="Arial" w:cs="Arial"/>
                <w:sz w:val="22"/>
                <w:szCs w:val="22"/>
              </w:rPr>
              <w:lastRenderedPageBreak/>
              <w:t>Thank you for your comment.</w:t>
            </w:r>
          </w:p>
          <w:p w14:paraId="235E4908" w14:textId="77777777" w:rsidR="003277FC" w:rsidRDefault="003277FC" w:rsidP="003277FC">
            <w:pPr>
              <w:rPr>
                <w:rFonts w:ascii="Arial" w:hAnsi="Arial" w:cs="Arial"/>
                <w:sz w:val="22"/>
                <w:szCs w:val="22"/>
              </w:rPr>
            </w:pPr>
          </w:p>
          <w:p w14:paraId="0E5A776F" w14:textId="3805B64D" w:rsidR="003277FC" w:rsidRPr="00B63C19" w:rsidRDefault="00E07398" w:rsidP="003277FC">
            <w:pPr>
              <w:rPr>
                <w:rFonts w:ascii="Arial" w:hAnsi="Arial" w:cs="Arial"/>
                <w:sz w:val="22"/>
                <w:szCs w:val="22"/>
              </w:rPr>
            </w:pPr>
            <w:r>
              <w:rPr>
                <w:rFonts w:ascii="Arial" w:hAnsi="Arial" w:cs="Arial"/>
                <w:sz w:val="22"/>
                <w:szCs w:val="22"/>
              </w:rPr>
              <w:t xml:space="preserve"> </w:t>
            </w:r>
          </w:p>
        </w:tc>
      </w:tr>
      <w:tr w:rsidR="003277FC" w:rsidRPr="00215444" w14:paraId="59FF1B5C" w14:textId="3FA49838" w:rsidTr="003277FC">
        <w:tc>
          <w:tcPr>
            <w:tcW w:w="280" w:type="pct"/>
          </w:tcPr>
          <w:p w14:paraId="7F910EDB" w14:textId="11F29B11" w:rsidR="003277FC" w:rsidRDefault="003277FC" w:rsidP="003277FC">
            <w:pPr>
              <w:rPr>
                <w:rFonts w:ascii="Arial" w:hAnsi="Arial" w:cs="Arial"/>
                <w:sz w:val="22"/>
                <w:szCs w:val="22"/>
              </w:rPr>
            </w:pPr>
            <w:r>
              <w:rPr>
                <w:rFonts w:ascii="Arial" w:hAnsi="Arial" w:cs="Arial"/>
                <w:sz w:val="22"/>
                <w:szCs w:val="22"/>
              </w:rPr>
              <w:t>003</w:t>
            </w:r>
          </w:p>
        </w:tc>
        <w:tc>
          <w:tcPr>
            <w:tcW w:w="428" w:type="pct"/>
          </w:tcPr>
          <w:p w14:paraId="7AF3F04D" w14:textId="76AE5494" w:rsidR="003277FC" w:rsidRDefault="003277FC" w:rsidP="003277FC">
            <w:pPr>
              <w:rPr>
                <w:rFonts w:ascii="Arial" w:hAnsi="Arial" w:cs="Arial"/>
                <w:sz w:val="22"/>
                <w:szCs w:val="22"/>
              </w:rPr>
            </w:pPr>
            <w:r>
              <w:rPr>
                <w:rFonts w:ascii="Arial" w:hAnsi="Arial" w:cs="Arial"/>
                <w:sz w:val="22"/>
                <w:szCs w:val="22"/>
              </w:rPr>
              <w:t>General</w:t>
            </w:r>
          </w:p>
        </w:tc>
        <w:tc>
          <w:tcPr>
            <w:tcW w:w="1170" w:type="pct"/>
          </w:tcPr>
          <w:p w14:paraId="7B56A6D7" w14:textId="0FFB1A45" w:rsidR="003277FC" w:rsidRDefault="003277FC" w:rsidP="003277FC">
            <w:pPr>
              <w:rPr>
                <w:rFonts w:ascii="Arial" w:hAnsi="Arial" w:cs="Arial"/>
                <w:sz w:val="22"/>
                <w:szCs w:val="22"/>
              </w:rPr>
            </w:pPr>
            <w:r>
              <w:rPr>
                <w:rFonts w:ascii="Arial" w:hAnsi="Arial" w:cs="Arial"/>
                <w:sz w:val="22"/>
                <w:szCs w:val="22"/>
              </w:rPr>
              <w:t xml:space="preserve">NHSE&amp;I: </w:t>
            </w:r>
            <w:r w:rsidRPr="00440BB7">
              <w:rPr>
                <w:rFonts w:ascii="Arial" w:hAnsi="Arial" w:cs="Arial"/>
                <w:sz w:val="22"/>
                <w:szCs w:val="22"/>
              </w:rPr>
              <w:t>Learning Disability and Autism Programme</w:t>
            </w:r>
          </w:p>
        </w:tc>
        <w:tc>
          <w:tcPr>
            <w:tcW w:w="1778" w:type="pct"/>
          </w:tcPr>
          <w:p w14:paraId="464B8376" w14:textId="5B376FE8" w:rsidR="003277FC" w:rsidRPr="00B63C19" w:rsidRDefault="003277FC" w:rsidP="003277FC">
            <w:pPr>
              <w:rPr>
                <w:rFonts w:ascii="Arial" w:hAnsi="Arial" w:cs="Arial"/>
                <w:sz w:val="22"/>
                <w:szCs w:val="22"/>
              </w:rPr>
            </w:pPr>
            <w:r w:rsidRPr="00B63C19">
              <w:rPr>
                <w:rFonts w:ascii="Arial" w:hAnsi="Arial" w:cs="Arial"/>
                <w:sz w:val="22"/>
                <w:szCs w:val="22"/>
              </w:rPr>
              <w:t xml:space="preserve">It might be practically more difficult to ensure that people with a learning disability and autistic people are included and so a risk that they are left out of the denominator: which would in turn create an appearance that care of whole patient group is being given.  Very important that all the denominators do not inadvertently exclude people.   </w:t>
            </w:r>
          </w:p>
        </w:tc>
        <w:tc>
          <w:tcPr>
            <w:tcW w:w="1344" w:type="pct"/>
          </w:tcPr>
          <w:p w14:paraId="33E31CBD" w14:textId="4FF26281" w:rsidR="003277FC" w:rsidRDefault="003277FC" w:rsidP="003277FC">
            <w:pPr>
              <w:rPr>
                <w:rFonts w:ascii="Arial" w:hAnsi="Arial" w:cs="Arial"/>
                <w:sz w:val="22"/>
                <w:szCs w:val="22"/>
              </w:rPr>
            </w:pPr>
            <w:r>
              <w:rPr>
                <w:rFonts w:ascii="Arial" w:hAnsi="Arial" w:cs="Arial"/>
                <w:sz w:val="22"/>
                <w:szCs w:val="22"/>
              </w:rPr>
              <w:t>Thank you for your comment.</w:t>
            </w:r>
          </w:p>
          <w:p w14:paraId="20B9E1BB" w14:textId="77777777" w:rsidR="003B4771" w:rsidRDefault="003B4771" w:rsidP="003277FC">
            <w:pPr>
              <w:rPr>
                <w:rFonts w:ascii="Arial" w:hAnsi="Arial" w:cs="Arial"/>
                <w:sz w:val="22"/>
                <w:szCs w:val="22"/>
              </w:rPr>
            </w:pPr>
          </w:p>
          <w:p w14:paraId="28706D58" w14:textId="6B6AC99E" w:rsidR="00FD14D9" w:rsidRPr="00B63C19" w:rsidRDefault="006B640D" w:rsidP="003277FC">
            <w:pPr>
              <w:rPr>
                <w:rFonts w:ascii="Arial" w:hAnsi="Arial" w:cs="Arial"/>
                <w:sz w:val="22"/>
                <w:szCs w:val="22"/>
              </w:rPr>
            </w:pPr>
            <w:r w:rsidRPr="006B640D">
              <w:rPr>
                <w:rFonts w:ascii="Arial" w:hAnsi="Arial" w:cs="Arial"/>
                <w:sz w:val="22"/>
                <w:szCs w:val="22"/>
              </w:rPr>
              <w:t xml:space="preserve">No population groups are excluded from the denominator </w:t>
            </w:r>
          </w:p>
        </w:tc>
      </w:tr>
      <w:tr w:rsidR="003277FC" w:rsidRPr="00215444" w14:paraId="6C3EF47B" w14:textId="7C1F8A01" w:rsidTr="003277FC">
        <w:tc>
          <w:tcPr>
            <w:tcW w:w="280" w:type="pct"/>
          </w:tcPr>
          <w:p w14:paraId="24B01300" w14:textId="647CA449" w:rsidR="003277FC" w:rsidRDefault="003277FC" w:rsidP="003277FC">
            <w:pPr>
              <w:rPr>
                <w:rFonts w:ascii="Arial" w:hAnsi="Arial" w:cs="Arial"/>
                <w:sz w:val="22"/>
                <w:szCs w:val="22"/>
              </w:rPr>
            </w:pPr>
            <w:r>
              <w:rPr>
                <w:rFonts w:ascii="Arial" w:hAnsi="Arial" w:cs="Arial"/>
                <w:sz w:val="22"/>
                <w:szCs w:val="22"/>
              </w:rPr>
              <w:t>004</w:t>
            </w:r>
          </w:p>
        </w:tc>
        <w:tc>
          <w:tcPr>
            <w:tcW w:w="428" w:type="pct"/>
          </w:tcPr>
          <w:p w14:paraId="11D5A7F7" w14:textId="6B8B4342" w:rsidR="003277FC" w:rsidRDefault="003277FC" w:rsidP="003277FC">
            <w:pPr>
              <w:rPr>
                <w:rFonts w:ascii="Arial" w:hAnsi="Arial" w:cs="Arial"/>
                <w:sz w:val="22"/>
                <w:szCs w:val="22"/>
              </w:rPr>
            </w:pPr>
            <w:r>
              <w:rPr>
                <w:rFonts w:ascii="Arial" w:hAnsi="Arial" w:cs="Arial"/>
                <w:sz w:val="22"/>
                <w:szCs w:val="22"/>
              </w:rPr>
              <w:t xml:space="preserve">General </w:t>
            </w:r>
          </w:p>
        </w:tc>
        <w:tc>
          <w:tcPr>
            <w:tcW w:w="1170" w:type="pct"/>
          </w:tcPr>
          <w:p w14:paraId="4C9974B7" w14:textId="1B250532" w:rsidR="003277FC" w:rsidRDefault="003277FC" w:rsidP="003277FC">
            <w:pPr>
              <w:rPr>
                <w:rFonts w:ascii="Arial" w:hAnsi="Arial" w:cs="Arial"/>
                <w:sz w:val="22"/>
                <w:szCs w:val="22"/>
              </w:rPr>
            </w:pPr>
            <w:r>
              <w:rPr>
                <w:rFonts w:ascii="Arial" w:hAnsi="Arial" w:cs="Arial"/>
                <w:sz w:val="22"/>
                <w:szCs w:val="22"/>
              </w:rPr>
              <w:t xml:space="preserve">NHSE&amp;I: </w:t>
            </w:r>
            <w:r w:rsidRPr="00440BB7">
              <w:rPr>
                <w:rFonts w:ascii="Arial" w:hAnsi="Arial" w:cs="Arial"/>
                <w:sz w:val="22"/>
                <w:szCs w:val="22"/>
              </w:rPr>
              <w:t>Learning Disability and Autism Programme</w:t>
            </w:r>
          </w:p>
        </w:tc>
        <w:tc>
          <w:tcPr>
            <w:tcW w:w="1778" w:type="pct"/>
          </w:tcPr>
          <w:p w14:paraId="361F5CFC" w14:textId="03A291E9" w:rsidR="003277FC" w:rsidRPr="00B63C19" w:rsidRDefault="003277FC" w:rsidP="003277FC">
            <w:pPr>
              <w:rPr>
                <w:rFonts w:ascii="Arial" w:hAnsi="Arial" w:cs="Arial"/>
                <w:sz w:val="22"/>
                <w:szCs w:val="22"/>
              </w:rPr>
            </w:pPr>
            <w:r w:rsidRPr="00B63C19">
              <w:rPr>
                <w:rFonts w:ascii="Arial" w:hAnsi="Arial" w:cs="Arial"/>
                <w:sz w:val="22"/>
                <w:szCs w:val="22"/>
              </w:rPr>
              <w:t xml:space="preserve">Cross reference to NICE guidance on learning disability and autism to make sure the indicator is inclusive. This applies to </w:t>
            </w:r>
            <w:proofErr w:type="gramStart"/>
            <w:r w:rsidRPr="00B63C19">
              <w:rPr>
                <w:rFonts w:ascii="Arial" w:hAnsi="Arial" w:cs="Arial"/>
                <w:sz w:val="22"/>
                <w:szCs w:val="22"/>
              </w:rPr>
              <w:t>all of</w:t>
            </w:r>
            <w:proofErr w:type="gramEnd"/>
            <w:r w:rsidRPr="00B63C19">
              <w:rPr>
                <w:rFonts w:ascii="Arial" w:hAnsi="Arial" w:cs="Arial"/>
                <w:sz w:val="22"/>
                <w:szCs w:val="22"/>
              </w:rPr>
              <w:t xml:space="preserve"> the proposed indicators.  There needs to be accessible appointment letters.</w:t>
            </w:r>
          </w:p>
        </w:tc>
        <w:tc>
          <w:tcPr>
            <w:tcW w:w="1344" w:type="pct"/>
          </w:tcPr>
          <w:p w14:paraId="174D5AED" w14:textId="77777777" w:rsidR="003277FC" w:rsidRDefault="003277FC" w:rsidP="003277FC">
            <w:pPr>
              <w:rPr>
                <w:rFonts w:ascii="Arial" w:hAnsi="Arial" w:cs="Arial"/>
                <w:sz w:val="22"/>
                <w:szCs w:val="22"/>
              </w:rPr>
            </w:pPr>
            <w:r>
              <w:rPr>
                <w:rFonts w:ascii="Arial" w:hAnsi="Arial" w:cs="Arial"/>
                <w:sz w:val="22"/>
                <w:szCs w:val="22"/>
              </w:rPr>
              <w:t>Thank you for your comment.</w:t>
            </w:r>
          </w:p>
          <w:p w14:paraId="0DA5E90D" w14:textId="50A69B62" w:rsidR="003277FC" w:rsidRDefault="003277FC" w:rsidP="003277FC">
            <w:pPr>
              <w:rPr>
                <w:rFonts w:ascii="Arial" w:hAnsi="Arial" w:cs="Arial"/>
                <w:sz w:val="22"/>
                <w:szCs w:val="22"/>
              </w:rPr>
            </w:pPr>
          </w:p>
          <w:p w14:paraId="22A3DDD6" w14:textId="5E2CA881" w:rsidR="003B4771" w:rsidRDefault="003B4771" w:rsidP="003277FC">
            <w:pPr>
              <w:rPr>
                <w:rFonts w:ascii="Arial" w:hAnsi="Arial" w:cs="Arial"/>
                <w:sz w:val="22"/>
                <w:szCs w:val="22"/>
              </w:rPr>
            </w:pPr>
            <w:r w:rsidRPr="003B4771">
              <w:rPr>
                <w:rFonts w:ascii="Arial" w:hAnsi="Arial" w:cs="Arial"/>
                <w:sz w:val="22"/>
                <w:szCs w:val="22"/>
              </w:rPr>
              <w:t>The importance of accessibility is highlighted in the equality impact assessment.</w:t>
            </w:r>
          </w:p>
          <w:p w14:paraId="72494323" w14:textId="77777777" w:rsidR="003B4771" w:rsidRDefault="003B4771" w:rsidP="003277FC">
            <w:pPr>
              <w:rPr>
                <w:rFonts w:ascii="Arial" w:hAnsi="Arial" w:cs="Arial"/>
                <w:sz w:val="22"/>
                <w:szCs w:val="22"/>
              </w:rPr>
            </w:pPr>
          </w:p>
          <w:p w14:paraId="60FE3BAD" w14:textId="6A0FCA0C" w:rsidR="00FD14D9" w:rsidRPr="00B63C19" w:rsidRDefault="00FD14D9" w:rsidP="003B4771">
            <w:pPr>
              <w:rPr>
                <w:rFonts w:ascii="Arial" w:hAnsi="Arial" w:cs="Arial"/>
                <w:sz w:val="22"/>
                <w:szCs w:val="22"/>
              </w:rPr>
            </w:pPr>
          </w:p>
        </w:tc>
      </w:tr>
      <w:tr w:rsidR="003277FC" w:rsidRPr="00215444" w14:paraId="7F607060" w14:textId="14444AAB" w:rsidTr="003277FC">
        <w:tc>
          <w:tcPr>
            <w:tcW w:w="280" w:type="pct"/>
          </w:tcPr>
          <w:p w14:paraId="4D0686F0" w14:textId="43ED8719" w:rsidR="003277FC" w:rsidRDefault="003277FC" w:rsidP="003277FC">
            <w:pPr>
              <w:rPr>
                <w:rFonts w:ascii="Arial" w:hAnsi="Arial" w:cs="Arial"/>
                <w:sz w:val="22"/>
                <w:szCs w:val="22"/>
              </w:rPr>
            </w:pPr>
            <w:r>
              <w:rPr>
                <w:rFonts w:ascii="Arial" w:hAnsi="Arial" w:cs="Arial"/>
                <w:sz w:val="22"/>
                <w:szCs w:val="22"/>
              </w:rPr>
              <w:t>005</w:t>
            </w:r>
          </w:p>
        </w:tc>
        <w:tc>
          <w:tcPr>
            <w:tcW w:w="428" w:type="pct"/>
          </w:tcPr>
          <w:p w14:paraId="0E73858C" w14:textId="2F6B5189" w:rsidR="003277FC" w:rsidRDefault="003277FC" w:rsidP="003277FC">
            <w:pPr>
              <w:rPr>
                <w:rFonts w:ascii="Arial" w:hAnsi="Arial" w:cs="Arial"/>
                <w:sz w:val="22"/>
                <w:szCs w:val="22"/>
              </w:rPr>
            </w:pPr>
            <w:r>
              <w:rPr>
                <w:rFonts w:ascii="Arial" w:hAnsi="Arial" w:cs="Arial"/>
                <w:sz w:val="22"/>
                <w:szCs w:val="22"/>
              </w:rPr>
              <w:t>General</w:t>
            </w:r>
          </w:p>
        </w:tc>
        <w:tc>
          <w:tcPr>
            <w:tcW w:w="1170" w:type="pct"/>
          </w:tcPr>
          <w:p w14:paraId="00D715F8" w14:textId="086873BE" w:rsidR="003277FC" w:rsidRDefault="003277FC" w:rsidP="003277FC">
            <w:pPr>
              <w:rPr>
                <w:rFonts w:ascii="Arial" w:hAnsi="Arial" w:cs="Arial"/>
                <w:sz w:val="22"/>
                <w:szCs w:val="22"/>
              </w:rPr>
            </w:pPr>
            <w:r>
              <w:rPr>
                <w:rFonts w:ascii="Arial" w:hAnsi="Arial" w:cs="Arial"/>
                <w:sz w:val="22"/>
                <w:szCs w:val="22"/>
              </w:rPr>
              <w:t>Royal College of General Practitioners (RCGP)</w:t>
            </w:r>
          </w:p>
        </w:tc>
        <w:tc>
          <w:tcPr>
            <w:tcW w:w="1778" w:type="pct"/>
          </w:tcPr>
          <w:p w14:paraId="3851C6DF" w14:textId="77777777" w:rsidR="003277FC" w:rsidRPr="00110F8E" w:rsidRDefault="003277FC" w:rsidP="003277FC">
            <w:pPr>
              <w:rPr>
                <w:rFonts w:ascii="Arial" w:hAnsi="Arial" w:cs="Arial"/>
                <w:sz w:val="22"/>
                <w:szCs w:val="22"/>
              </w:rPr>
            </w:pPr>
            <w:r w:rsidRPr="00110F8E">
              <w:rPr>
                <w:rFonts w:ascii="Arial" w:hAnsi="Arial" w:cs="Arial"/>
                <w:sz w:val="22"/>
                <w:szCs w:val="22"/>
              </w:rPr>
              <w:t>Background information</w:t>
            </w:r>
          </w:p>
          <w:p w14:paraId="34473241" w14:textId="4546CC03" w:rsidR="003277FC" w:rsidRPr="00110F8E" w:rsidRDefault="003277FC" w:rsidP="003277FC">
            <w:pPr>
              <w:pStyle w:val="ListParagraph"/>
              <w:numPr>
                <w:ilvl w:val="0"/>
                <w:numId w:val="27"/>
              </w:numPr>
              <w:rPr>
                <w:rFonts w:ascii="Arial" w:hAnsi="Arial" w:cs="Arial"/>
                <w:sz w:val="22"/>
                <w:szCs w:val="22"/>
              </w:rPr>
            </w:pPr>
            <w:r w:rsidRPr="00110F8E">
              <w:rPr>
                <w:rFonts w:ascii="Arial" w:hAnsi="Arial" w:cs="Arial"/>
                <w:sz w:val="22"/>
                <w:szCs w:val="22"/>
              </w:rPr>
              <w:t xml:space="preserve">The RCGP is calling for an independent review of contractual requirements, such as the Quality Outcomes Framework (QOF). Reforming contractual requirements such as QOF will not only enable high-trust environments that encourage quality improvement processes and professional judgement, rather than top-down edicts which </w:t>
            </w:r>
            <w:r w:rsidRPr="00110F8E">
              <w:rPr>
                <w:rFonts w:ascii="Arial" w:hAnsi="Arial" w:cs="Arial"/>
                <w:sz w:val="22"/>
                <w:szCs w:val="22"/>
              </w:rPr>
              <w:lastRenderedPageBreak/>
              <w:t>perversely incentivise tick-box approaches to medicine.</w:t>
            </w:r>
          </w:p>
          <w:p w14:paraId="2A5FA7E7" w14:textId="226DB70C" w:rsidR="003277FC" w:rsidRPr="00110F8E" w:rsidRDefault="003277FC" w:rsidP="003277FC">
            <w:pPr>
              <w:pStyle w:val="ListParagraph"/>
              <w:numPr>
                <w:ilvl w:val="0"/>
                <w:numId w:val="27"/>
              </w:numPr>
              <w:rPr>
                <w:rFonts w:ascii="Arial" w:hAnsi="Arial" w:cs="Arial"/>
                <w:sz w:val="22"/>
                <w:szCs w:val="22"/>
              </w:rPr>
            </w:pPr>
            <w:r w:rsidRPr="00110F8E">
              <w:rPr>
                <w:rFonts w:ascii="Arial" w:hAnsi="Arial" w:cs="Arial"/>
                <w:sz w:val="22"/>
                <w:szCs w:val="22"/>
              </w:rPr>
              <w:t xml:space="preserve">A focus on patients, especially those who are more disadvantage, not targets is essential. We need an independent review of how to better ensure vulnerable patients get the care they need without resorting to some of the box ticking exercises in the current Quality Outcomes Framework (QOF). The problems that were identified linked to health inequalities during the COVID19 pandemic suggest to us that a careful review of the model and its impact and value is </w:t>
            </w:r>
            <w:proofErr w:type="spellStart"/>
            <w:r w:rsidRPr="00110F8E">
              <w:rPr>
                <w:rFonts w:ascii="Arial" w:hAnsi="Arial" w:cs="Arial"/>
                <w:sz w:val="22"/>
                <w:szCs w:val="22"/>
              </w:rPr>
              <w:t>ovedue</w:t>
            </w:r>
            <w:proofErr w:type="spellEnd"/>
            <w:r w:rsidRPr="00110F8E">
              <w:rPr>
                <w:rFonts w:ascii="Arial" w:hAnsi="Arial" w:cs="Arial"/>
                <w:sz w:val="22"/>
                <w:szCs w:val="22"/>
              </w:rPr>
              <w:t xml:space="preserve"> – as is the fundamental need to prioritise workload over the next couple of years with significant, varied waiting times for care and delays in review. </w:t>
            </w:r>
          </w:p>
          <w:p w14:paraId="08E014BC" w14:textId="77777777" w:rsidR="003277FC" w:rsidRDefault="003277FC" w:rsidP="003277FC">
            <w:pPr>
              <w:rPr>
                <w:rFonts w:ascii="Arial" w:hAnsi="Arial" w:cs="Arial"/>
                <w:sz w:val="22"/>
                <w:szCs w:val="22"/>
              </w:rPr>
            </w:pPr>
          </w:p>
          <w:p w14:paraId="32B91CEA" w14:textId="51C18A36" w:rsidR="003277FC" w:rsidRPr="00110F8E" w:rsidRDefault="003277FC" w:rsidP="003277FC">
            <w:pPr>
              <w:rPr>
                <w:rFonts w:ascii="Arial" w:hAnsi="Arial" w:cs="Arial"/>
                <w:sz w:val="22"/>
                <w:szCs w:val="22"/>
              </w:rPr>
            </w:pPr>
            <w:r w:rsidRPr="00110F8E">
              <w:rPr>
                <w:rFonts w:ascii="Arial" w:hAnsi="Arial" w:cs="Arial"/>
                <w:sz w:val="22"/>
                <w:szCs w:val="22"/>
              </w:rPr>
              <w:t xml:space="preserve">It is important that patients get appointments when they need them or when their GP feels it is clinically appropriate to reach out to them. Unfortunately, the current QOF system incentivises check-ups based on a strict artificial calendar determined nationally, rather than on the needs of individual patients. In Scotland they have managed to maintain high standards of care and put greater faith in patients and </w:t>
            </w:r>
            <w:r w:rsidRPr="00110F8E">
              <w:rPr>
                <w:rFonts w:ascii="Arial" w:hAnsi="Arial" w:cs="Arial"/>
                <w:sz w:val="22"/>
                <w:szCs w:val="22"/>
              </w:rPr>
              <w:lastRenderedPageBreak/>
              <w:t xml:space="preserve">clinicians to make judgements. Learning from models across the UK should form part of a review into the ideal model for </w:t>
            </w:r>
            <w:proofErr w:type="gramStart"/>
            <w:r w:rsidRPr="00110F8E">
              <w:rPr>
                <w:rFonts w:ascii="Arial" w:hAnsi="Arial" w:cs="Arial"/>
                <w:sz w:val="22"/>
                <w:szCs w:val="22"/>
              </w:rPr>
              <w:t>England</w:t>
            </w:r>
            <w:proofErr w:type="gramEnd"/>
          </w:p>
          <w:p w14:paraId="7723CDB8" w14:textId="77777777" w:rsidR="003277FC" w:rsidRPr="00110F8E" w:rsidRDefault="003277FC" w:rsidP="003277FC">
            <w:pPr>
              <w:rPr>
                <w:rFonts w:ascii="Arial" w:hAnsi="Arial" w:cs="Arial"/>
                <w:sz w:val="22"/>
                <w:szCs w:val="22"/>
              </w:rPr>
            </w:pPr>
            <w:r w:rsidRPr="00110F8E">
              <w:rPr>
                <w:rFonts w:ascii="Arial" w:hAnsi="Arial" w:cs="Arial"/>
                <w:sz w:val="22"/>
                <w:szCs w:val="22"/>
              </w:rPr>
              <w:t xml:space="preserve">In view of the safety issues surrounding Valproate, we are surprised that there is not a quality indicator being considered for review of females of </w:t>
            </w:r>
            <w:proofErr w:type="gramStart"/>
            <w:r w:rsidRPr="00110F8E">
              <w:rPr>
                <w:rFonts w:ascii="Arial" w:hAnsi="Arial" w:cs="Arial"/>
                <w:sz w:val="22"/>
                <w:szCs w:val="22"/>
              </w:rPr>
              <w:t>child bearing</w:t>
            </w:r>
            <w:proofErr w:type="gramEnd"/>
            <w:r w:rsidRPr="00110F8E">
              <w:rPr>
                <w:rFonts w:ascii="Arial" w:hAnsi="Arial" w:cs="Arial"/>
                <w:sz w:val="22"/>
                <w:szCs w:val="22"/>
              </w:rPr>
              <w:t xml:space="preserve"> age who are prescribed valproate and wonder whether this should be considered (both for people with epilepsy and those given valproate for another reason).</w:t>
            </w:r>
          </w:p>
          <w:p w14:paraId="33980994" w14:textId="77777777" w:rsidR="003277FC" w:rsidRPr="00110F8E" w:rsidRDefault="003277FC" w:rsidP="003277FC">
            <w:pPr>
              <w:rPr>
                <w:rFonts w:ascii="Arial" w:hAnsi="Arial" w:cs="Arial"/>
                <w:sz w:val="22"/>
                <w:szCs w:val="22"/>
              </w:rPr>
            </w:pPr>
          </w:p>
          <w:p w14:paraId="567270DB" w14:textId="6AB43560" w:rsidR="003277FC" w:rsidRPr="00D14503" w:rsidRDefault="003277FC" w:rsidP="003277FC">
            <w:pPr>
              <w:rPr>
                <w:rFonts w:ascii="Arial" w:hAnsi="Arial" w:cs="Arial"/>
                <w:sz w:val="22"/>
                <w:szCs w:val="22"/>
              </w:rPr>
            </w:pPr>
            <w:r w:rsidRPr="00110F8E">
              <w:rPr>
                <w:rFonts w:ascii="Arial" w:hAnsi="Arial" w:cs="Arial"/>
                <w:sz w:val="22"/>
                <w:szCs w:val="22"/>
              </w:rPr>
              <w:t>In view of the recent ME CFS guidance and the need for increased capacity of appointments in primary care, we are surprised that this is not considered as one of the indicators for QOF</w:t>
            </w:r>
          </w:p>
        </w:tc>
        <w:tc>
          <w:tcPr>
            <w:tcW w:w="1344" w:type="pct"/>
          </w:tcPr>
          <w:p w14:paraId="09F8720E" w14:textId="1C2D1AE3" w:rsidR="003277FC" w:rsidRDefault="003277FC" w:rsidP="003277FC">
            <w:pPr>
              <w:rPr>
                <w:rFonts w:ascii="Arial" w:hAnsi="Arial" w:cs="Arial"/>
                <w:sz w:val="22"/>
                <w:szCs w:val="22"/>
              </w:rPr>
            </w:pPr>
            <w:r>
              <w:rPr>
                <w:rFonts w:ascii="Arial" w:hAnsi="Arial" w:cs="Arial"/>
                <w:sz w:val="22"/>
                <w:szCs w:val="22"/>
              </w:rPr>
              <w:lastRenderedPageBreak/>
              <w:t xml:space="preserve">Thank you for your comment. </w:t>
            </w:r>
            <w:r w:rsidR="00195108">
              <w:rPr>
                <w:rFonts w:ascii="Arial" w:hAnsi="Arial" w:cs="Arial"/>
                <w:sz w:val="22"/>
                <w:szCs w:val="22"/>
              </w:rPr>
              <w:t xml:space="preserve"> </w:t>
            </w:r>
          </w:p>
          <w:p w14:paraId="096D376E" w14:textId="4BCB2796" w:rsidR="003B4771" w:rsidRDefault="003B4771" w:rsidP="003277FC">
            <w:pPr>
              <w:rPr>
                <w:rFonts w:ascii="Arial" w:hAnsi="Arial" w:cs="Arial"/>
                <w:sz w:val="22"/>
                <w:szCs w:val="22"/>
              </w:rPr>
            </w:pPr>
          </w:p>
          <w:p w14:paraId="4BBA919D" w14:textId="3144C217" w:rsidR="003B4771" w:rsidRDefault="003B4771" w:rsidP="003277FC">
            <w:pPr>
              <w:rPr>
                <w:rFonts w:ascii="Arial" w:hAnsi="Arial" w:cs="Arial"/>
                <w:sz w:val="22"/>
                <w:szCs w:val="22"/>
              </w:rPr>
            </w:pPr>
            <w:r w:rsidRPr="003B4771">
              <w:rPr>
                <w:rFonts w:ascii="Arial" w:hAnsi="Arial" w:cs="Arial"/>
                <w:sz w:val="22"/>
                <w:szCs w:val="22"/>
              </w:rPr>
              <w:t>NICE has no role in the negotiations for QOF.</w:t>
            </w:r>
          </w:p>
          <w:p w14:paraId="1B3C4121" w14:textId="77777777" w:rsidR="003277FC" w:rsidRDefault="003277FC" w:rsidP="003277FC">
            <w:pPr>
              <w:rPr>
                <w:rFonts w:ascii="Arial" w:hAnsi="Arial" w:cs="Arial"/>
                <w:sz w:val="22"/>
                <w:szCs w:val="22"/>
              </w:rPr>
            </w:pPr>
          </w:p>
          <w:p w14:paraId="72B2F926" w14:textId="7CF9D6E8" w:rsidR="003277FC" w:rsidRDefault="00195108" w:rsidP="003277FC">
            <w:pPr>
              <w:rPr>
                <w:rFonts w:ascii="Arial" w:hAnsi="Arial" w:cs="Arial"/>
                <w:sz w:val="22"/>
                <w:szCs w:val="22"/>
              </w:rPr>
            </w:pPr>
            <w:r>
              <w:rPr>
                <w:rFonts w:ascii="Arial" w:hAnsi="Arial" w:cs="Arial"/>
                <w:sz w:val="22"/>
                <w:szCs w:val="22"/>
              </w:rPr>
              <w:t xml:space="preserve">The committee has previously discussed the feasibility of indicators </w:t>
            </w:r>
            <w:r w:rsidR="00CE7B44">
              <w:rPr>
                <w:rFonts w:ascii="Arial" w:hAnsi="Arial" w:cs="Arial"/>
                <w:sz w:val="22"/>
                <w:szCs w:val="22"/>
              </w:rPr>
              <w:t xml:space="preserve">specifically </w:t>
            </w:r>
            <w:r>
              <w:rPr>
                <w:rFonts w:ascii="Arial" w:hAnsi="Arial" w:cs="Arial"/>
                <w:sz w:val="22"/>
                <w:szCs w:val="22"/>
              </w:rPr>
              <w:t xml:space="preserve">focussed on review of </w:t>
            </w:r>
            <w:r w:rsidR="003277FC">
              <w:rPr>
                <w:rFonts w:ascii="Arial" w:hAnsi="Arial" w:cs="Arial"/>
                <w:sz w:val="22"/>
                <w:szCs w:val="22"/>
              </w:rPr>
              <w:t>women of child-bearing age who are prescribed valproate</w:t>
            </w:r>
            <w:r>
              <w:rPr>
                <w:rFonts w:ascii="Arial" w:hAnsi="Arial" w:cs="Arial"/>
                <w:sz w:val="22"/>
                <w:szCs w:val="22"/>
              </w:rPr>
              <w:t xml:space="preserve">. </w:t>
            </w:r>
            <w:r>
              <w:rPr>
                <w:rFonts w:ascii="Arial" w:hAnsi="Arial" w:cs="Arial"/>
                <w:sz w:val="22"/>
                <w:szCs w:val="22"/>
              </w:rPr>
              <w:lastRenderedPageBreak/>
              <w:t>Denominator</w:t>
            </w:r>
            <w:r w:rsidRPr="00195108">
              <w:rPr>
                <w:rFonts w:ascii="Arial" w:hAnsi="Arial" w:cs="Arial"/>
                <w:sz w:val="22"/>
                <w:szCs w:val="22"/>
              </w:rPr>
              <w:t xml:space="preserve"> numbers </w:t>
            </w:r>
            <w:r>
              <w:rPr>
                <w:rFonts w:ascii="Arial" w:hAnsi="Arial" w:cs="Arial"/>
                <w:sz w:val="22"/>
                <w:szCs w:val="22"/>
              </w:rPr>
              <w:t>on average are</w:t>
            </w:r>
            <w:r w:rsidRPr="00195108">
              <w:rPr>
                <w:rFonts w:ascii="Arial" w:hAnsi="Arial" w:cs="Arial"/>
                <w:sz w:val="22"/>
                <w:szCs w:val="22"/>
              </w:rPr>
              <w:t xml:space="preserve"> too small to </w:t>
            </w:r>
            <w:r>
              <w:rPr>
                <w:rFonts w:ascii="Arial" w:hAnsi="Arial" w:cs="Arial"/>
                <w:sz w:val="22"/>
                <w:szCs w:val="22"/>
              </w:rPr>
              <w:t>be suitable for use in the</w:t>
            </w:r>
            <w:r w:rsidRPr="00195108">
              <w:rPr>
                <w:rFonts w:ascii="Arial" w:hAnsi="Arial" w:cs="Arial"/>
                <w:sz w:val="22"/>
                <w:szCs w:val="22"/>
              </w:rPr>
              <w:t xml:space="preserve"> QOF</w:t>
            </w:r>
            <w:r>
              <w:rPr>
                <w:rFonts w:ascii="Arial" w:hAnsi="Arial" w:cs="Arial"/>
                <w:sz w:val="22"/>
                <w:szCs w:val="22"/>
              </w:rPr>
              <w:t>. However</w:t>
            </w:r>
            <w:r w:rsidR="003277FC">
              <w:rPr>
                <w:rFonts w:ascii="Arial" w:hAnsi="Arial" w:cs="Arial"/>
                <w:sz w:val="22"/>
                <w:szCs w:val="22"/>
              </w:rPr>
              <w:t xml:space="preserve">, the committee agreed that the </w:t>
            </w:r>
            <w:r w:rsidR="003277FC" w:rsidRPr="002C0392">
              <w:rPr>
                <w:rFonts w:ascii="Arial" w:hAnsi="Arial" w:cs="Arial"/>
                <w:sz w:val="22"/>
                <w:szCs w:val="22"/>
              </w:rPr>
              <w:t xml:space="preserve">NICE team </w:t>
            </w:r>
            <w:r w:rsidR="003277FC">
              <w:rPr>
                <w:rFonts w:ascii="Arial" w:hAnsi="Arial" w:cs="Arial"/>
                <w:sz w:val="22"/>
                <w:szCs w:val="22"/>
              </w:rPr>
              <w:t xml:space="preserve">are to </w:t>
            </w:r>
            <w:r w:rsidR="003277FC" w:rsidRPr="002C0392">
              <w:rPr>
                <w:rFonts w:ascii="Arial" w:hAnsi="Arial" w:cs="Arial"/>
                <w:sz w:val="22"/>
                <w:szCs w:val="22"/>
              </w:rPr>
              <w:t xml:space="preserve">explore the </w:t>
            </w:r>
            <w:r w:rsidR="003277FC">
              <w:rPr>
                <w:rFonts w:ascii="Arial" w:hAnsi="Arial" w:cs="Arial"/>
                <w:sz w:val="22"/>
                <w:szCs w:val="22"/>
              </w:rPr>
              <w:t>value</w:t>
            </w:r>
            <w:r w:rsidR="003277FC" w:rsidRPr="002C0392">
              <w:rPr>
                <w:rFonts w:ascii="Arial" w:hAnsi="Arial" w:cs="Arial"/>
                <w:sz w:val="22"/>
                <w:szCs w:val="22"/>
              </w:rPr>
              <w:t xml:space="preserve"> of </w:t>
            </w:r>
            <w:r>
              <w:rPr>
                <w:rFonts w:ascii="Arial" w:hAnsi="Arial" w:cs="Arial"/>
                <w:sz w:val="22"/>
                <w:szCs w:val="22"/>
              </w:rPr>
              <w:t xml:space="preserve">an </w:t>
            </w:r>
            <w:r w:rsidR="003277FC" w:rsidRPr="002C0392">
              <w:rPr>
                <w:rFonts w:ascii="Arial" w:hAnsi="Arial" w:cs="Arial"/>
                <w:sz w:val="22"/>
                <w:szCs w:val="22"/>
              </w:rPr>
              <w:t xml:space="preserve">indicators </w:t>
            </w:r>
            <w:r>
              <w:rPr>
                <w:rFonts w:ascii="Arial" w:hAnsi="Arial" w:cs="Arial"/>
                <w:sz w:val="22"/>
                <w:szCs w:val="22"/>
              </w:rPr>
              <w:t>for use outside the QOF</w:t>
            </w:r>
            <w:r w:rsidR="003277FC">
              <w:rPr>
                <w:rFonts w:ascii="Arial" w:hAnsi="Arial" w:cs="Arial"/>
                <w:sz w:val="22"/>
                <w:szCs w:val="22"/>
              </w:rPr>
              <w:t xml:space="preserve">. </w:t>
            </w:r>
          </w:p>
          <w:p w14:paraId="570D291B" w14:textId="17B68FAC" w:rsidR="003277FC" w:rsidRDefault="003277FC" w:rsidP="003277FC">
            <w:pPr>
              <w:rPr>
                <w:rFonts w:ascii="Arial" w:hAnsi="Arial" w:cs="Arial"/>
                <w:sz w:val="22"/>
                <w:szCs w:val="22"/>
              </w:rPr>
            </w:pPr>
          </w:p>
          <w:p w14:paraId="2EEEC5DB" w14:textId="525CA8B4" w:rsidR="003277FC" w:rsidRDefault="00195108" w:rsidP="003277FC">
            <w:pPr>
              <w:rPr>
                <w:rFonts w:ascii="Arial" w:hAnsi="Arial" w:cs="Arial"/>
                <w:sz w:val="22"/>
                <w:szCs w:val="22"/>
              </w:rPr>
            </w:pPr>
            <w:r>
              <w:rPr>
                <w:rFonts w:ascii="Arial" w:hAnsi="Arial" w:cs="Arial"/>
                <w:sz w:val="22"/>
                <w:szCs w:val="22"/>
              </w:rPr>
              <w:t xml:space="preserve">The suggestion to develop indicators focused on </w:t>
            </w:r>
            <w:r w:rsidR="003277FC" w:rsidRPr="00563C50">
              <w:rPr>
                <w:rFonts w:ascii="Arial" w:hAnsi="Arial" w:cs="Arial"/>
                <w:sz w:val="22"/>
                <w:szCs w:val="22"/>
              </w:rPr>
              <w:t xml:space="preserve">chronic fatigue syndrome </w:t>
            </w:r>
            <w:r>
              <w:rPr>
                <w:rFonts w:ascii="Arial" w:hAnsi="Arial" w:cs="Arial"/>
                <w:sz w:val="22"/>
                <w:szCs w:val="22"/>
              </w:rPr>
              <w:t>has been shared with</w:t>
            </w:r>
            <w:r w:rsidR="003277FC" w:rsidRPr="00563C50">
              <w:rPr>
                <w:rFonts w:ascii="Arial" w:hAnsi="Arial" w:cs="Arial"/>
                <w:sz w:val="22"/>
                <w:szCs w:val="22"/>
              </w:rPr>
              <w:t xml:space="preserve"> NHS England.</w:t>
            </w:r>
          </w:p>
          <w:p w14:paraId="19291C42" w14:textId="77777777" w:rsidR="003277FC" w:rsidRDefault="003277FC" w:rsidP="003277FC">
            <w:pPr>
              <w:rPr>
                <w:rFonts w:ascii="Arial" w:hAnsi="Arial" w:cs="Arial"/>
                <w:sz w:val="22"/>
                <w:szCs w:val="22"/>
              </w:rPr>
            </w:pPr>
          </w:p>
          <w:p w14:paraId="4AE6D3DD" w14:textId="77777777" w:rsidR="003277FC" w:rsidRDefault="003277FC" w:rsidP="003277FC">
            <w:pPr>
              <w:rPr>
                <w:rFonts w:ascii="Arial" w:hAnsi="Arial" w:cs="Arial"/>
                <w:sz w:val="22"/>
                <w:szCs w:val="22"/>
              </w:rPr>
            </w:pPr>
          </w:p>
          <w:p w14:paraId="1AF14E67" w14:textId="77777777" w:rsidR="003277FC" w:rsidRPr="00110F8E" w:rsidRDefault="003277FC" w:rsidP="003277FC">
            <w:pPr>
              <w:rPr>
                <w:rFonts w:ascii="Arial" w:hAnsi="Arial" w:cs="Arial"/>
                <w:sz w:val="22"/>
                <w:szCs w:val="22"/>
              </w:rPr>
            </w:pPr>
          </w:p>
        </w:tc>
      </w:tr>
      <w:tr w:rsidR="003277FC" w:rsidRPr="00215444" w14:paraId="085CC0BB" w14:textId="36597573" w:rsidTr="003277FC">
        <w:tc>
          <w:tcPr>
            <w:tcW w:w="280" w:type="pct"/>
          </w:tcPr>
          <w:p w14:paraId="5D762496" w14:textId="5A89575F" w:rsidR="003277FC" w:rsidRDefault="003277FC" w:rsidP="003277FC">
            <w:pPr>
              <w:rPr>
                <w:rFonts w:ascii="Arial" w:hAnsi="Arial" w:cs="Arial"/>
                <w:sz w:val="22"/>
                <w:szCs w:val="22"/>
              </w:rPr>
            </w:pPr>
            <w:r>
              <w:rPr>
                <w:rFonts w:ascii="Arial" w:hAnsi="Arial" w:cs="Arial"/>
                <w:sz w:val="22"/>
                <w:szCs w:val="22"/>
              </w:rPr>
              <w:lastRenderedPageBreak/>
              <w:t>006</w:t>
            </w:r>
          </w:p>
        </w:tc>
        <w:tc>
          <w:tcPr>
            <w:tcW w:w="428" w:type="pct"/>
          </w:tcPr>
          <w:p w14:paraId="18666F87" w14:textId="4D8B64FE" w:rsidR="003277FC" w:rsidRDefault="003277FC" w:rsidP="003277FC">
            <w:pPr>
              <w:rPr>
                <w:rFonts w:ascii="Arial" w:hAnsi="Arial" w:cs="Arial"/>
                <w:sz w:val="22"/>
                <w:szCs w:val="22"/>
              </w:rPr>
            </w:pPr>
            <w:r>
              <w:rPr>
                <w:rFonts w:ascii="Arial" w:hAnsi="Arial" w:cs="Arial"/>
                <w:sz w:val="22"/>
                <w:szCs w:val="22"/>
              </w:rPr>
              <w:t>General</w:t>
            </w:r>
          </w:p>
        </w:tc>
        <w:tc>
          <w:tcPr>
            <w:tcW w:w="1170" w:type="pct"/>
          </w:tcPr>
          <w:p w14:paraId="2CD14A23" w14:textId="24FC5C2E" w:rsidR="003277FC" w:rsidRDefault="003277FC" w:rsidP="003277FC">
            <w:pPr>
              <w:rPr>
                <w:rFonts w:ascii="Arial" w:hAnsi="Arial" w:cs="Arial"/>
                <w:sz w:val="22"/>
                <w:szCs w:val="22"/>
              </w:rPr>
            </w:pPr>
            <w:r>
              <w:rPr>
                <w:rFonts w:ascii="Arial" w:hAnsi="Arial" w:cs="Arial"/>
                <w:sz w:val="22"/>
                <w:szCs w:val="22"/>
              </w:rPr>
              <w:t xml:space="preserve">Royal College of Physicians </w:t>
            </w:r>
          </w:p>
        </w:tc>
        <w:tc>
          <w:tcPr>
            <w:tcW w:w="1778" w:type="pct"/>
          </w:tcPr>
          <w:p w14:paraId="7415EE1D" w14:textId="24B83189" w:rsidR="003277FC" w:rsidRPr="00110F8E" w:rsidRDefault="003277FC" w:rsidP="003277FC">
            <w:pPr>
              <w:rPr>
                <w:rFonts w:ascii="Arial" w:hAnsi="Arial" w:cs="Arial"/>
                <w:sz w:val="22"/>
                <w:szCs w:val="22"/>
              </w:rPr>
            </w:pPr>
            <w:r w:rsidRPr="00E94FEA">
              <w:rPr>
                <w:rFonts w:ascii="Arial" w:hAnsi="Arial" w:cs="Arial"/>
                <w:sz w:val="22"/>
                <w:szCs w:val="22"/>
              </w:rPr>
              <w:t>The RCP is supportive of the proposed indicators for blood pressure targets in people living with diabetes.</w:t>
            </w:r>
            <w:r>
              <w:rPr>
                <w:rFonts w:ascii="Arial" w:hAnsi="Arial" w:cs="Arial"/>
                <w:sz w:val="22"/>
                <w:szCs w:val="22"/>
              </w:rPr>
              <w:t xml:space="preserve"> </w:t>
            </w:r>
          </w:p>
        </w:tc>
        <w:tc>
          <w:tcPr>
            <w:tcW w:w="1344" w:type="pct"/>
          </w:tcPr>
          <w:p w14:paraId="145AB29C" w14:textId="77777777" w:rsidR="003277FC" w:rsidRDefault="003277FC" w:rsidP="003277FC">
            <w:pPr>
              <w:rPr>
                <w:rFonts w:ascii="Arial" w:hAnsi="Arial" w:cs="Arial"/>
                <w:sz w:val="22"/>
                <w:szCs w:val="22"/>
              </w:rPr>
            </w:pPr>
            <w:r>
              <w:rPr>
                <w:rFonts w:ascii="Arial" w:hAnsi="Arial" w:cs="Arial"/>
                <w:sz w:val="22"/>
                <w:szCs w:val="22"/>
              </w:rPr>
              <w:t>Thank you for your comment.</w:t>
            </w:r>
          </w:p>
          <w:p w14:paraId="7682BEAB" w14:textId="77777777" w:rsidR="003277FC" w:rsidRDefault="003277FC" w:rsidP="003277FC">
            <w:pPr>
              <w:rPr>
                <w:rFonts w:ascii="Arial" w:hAnsi="Arial" w:cs="Arial"/>
                <w:sz w:val="22"/>
                <w:szCs w:val="22"/>
              </w:rPr>
            </w:pPr>
          </w:p>
          <w:p w14:paraId="20FB80D1" w14:textId="2BDDFB5F" w:rsidR="003277FC" w:rsidRPr="00E94FEA" w:rsidRDefault="003277FC" w:rsidP="003277FC">
            <w:pPr>
              <w:rPr>
                <w:rFonts w:ascii="Arial" w:hAnsi="Arial" w:cs="Arial"/>
                <w:sz w:val="22"/>
                <w:szCs w:val="22"/>
              </w:rPr>
            </w:pPr>
            <w:r>
              <w:rPr>
                <w:rFonts w:ascii="Arial" w:hAnsi="Arial" w:cs="Arial"/>
                <w:sz w:val="22"/>
                <w:szCs w:val="22"/>
              </w:rPr>
              <w:t xml:space="preserve"> </w:t>
            </w:r>
          </w:p>
        </w:tc>
      </w:tr>
    </w:tbl>
    <w:p w14:paraId="483E5BC3" w14:textId="174D75DA" w:rsidR="009E66FB" w:rsidRPr="009E66FB" w:rsidRDefault="009E66FB" w:rsidP="009E66FB">
      <w:pPr>
        <w:pStyle w:val="Paragraph"/>
        <w:keepNext/>
      </w:pPr>
      <w:r w:rsidRPr="009E66FB">
        <w:t>IND 2022-122: The percentage of patients with diabetes without moderate or severe frailty, on the register, in whom the last blood pressure reading (measured in the preceding 12 months) is less than 140/90 mmHg.</w:t>
      </w:r>
    </w:p>
    <w:tbl>
      <w:tblPr>
        <w:tblStyle w:val="TableGrid"/>
        <w:tblW w:w="5000" w:type="pct"/>
        <w:tblLook w:val="04A0" w:firstRow="1" w:lastRow="0" w:firstColumn="1" w:lastColumn="0" w:noHBand="0" w:noVBand="1"/>
      </w:tblPr>
      <w:tblGrid>
        <w:gridCol w:w="781"/>
        <w:gridCol w:w="1194"/>
        <w:gridCol w:w="3264"/>
        <w:gridCol w:w="4961"/>
        <w:gridCol w:w="3750"/>
      </w:tblGrid>
      <w:tr w:rsidR="009E66FB" w:rsidRPr="003277FC" w14:paraId="18049D07" w14:textId="77777777" w:rsidTr="00084CF4">
        <w:trPr>
          <w:tblHeader/>
        </w:trPr>
        <w:tc>
          <w:tcPr>
            <w:tcW w:w="280" w:type="pct"/>
            <w:noWrap/>
            <w:hideMark/>
          </w:tcPr>
          <w:p w14:paraId="1B53141F" w14:textId="77777777" w:rsidR="009E66FB" w:rsidRPr="00215444" w:rsidRDefault="009E66FB" w:rsidP="00084CF4">
            <w:pPr>
              <w:pStyle w:val="NICEnormal"/>
              <w:spacing w:line="240" w:lineRule="auto"/>
              <w:rPr>
                <w:rFonts w:cs="Arial"/>
                <w:b/>
                <w:sz w:val="22"/>
                <w:szCs w:val="22"/>
              </w:rPr>
            </w:pPr>
            <w:r>
              <w:rPr>
                <w:rFonts w:cs="Arial"/>
                <w:b/>
                <w:sz w:val="22"/>
                <w:szCs w:val="22"/>
              </w:rPr>
              <w:t>ID</w:t>
            </w:r>
          </w:p>
        </w:tc>
        <w:tc>
          <w:tcPr>
            <w:tcW w:w="428" w:type="pct"/>
          </w:tcPr>
          <w:p w14:paraId="5D37994A"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Proforma question no.</w:t>
            </w:r>
          </w:p>
        </w:tc>
        <w:tc>
          <w:tcPr>
            <w:tcW w:w="1170" w:type="pct"/>
            <w:noWrap/>
            <w:hideMark/>
          </w:tcPr>
          <w:p w14:paraId="39009648"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 xml:space="preserve">Stakeholder </w:t>
            </w:r>
            <w:proofErr w:type="spellStart"/>
            <w:r w:rsidRPr="00215444">
              <w:rPr>
                <w:rFonts w:cs="Arial"/>
                <w:b/>
                <w:sz w:val="22"/>
                <w:szCs w:val="22"/>
              </w:rPr>
              <w:t>organisation</w:t>
            </w:r>
            <w:proofErr w:type="spellEnd"/>
          </w:p>
        </w:tc>
        <w:tc>
          <w:tcPr>
            <w:tcW w:w="1778" w:type="pct"/>
            <w:hideMark/>
          </w:tcPr>
          <w:p w14:paraId="66921F4C"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Comment</w:t>
            </w:r>
          </w:p>
        </w:tc>
        <w:tc>
          <w:tcPr>
            <w:tcW w:w="1344" w:type="pct"/>
          </w:tcPr>
          <w:p w14:paraId="0EC789F8" w14:textId="77777777" w:rsidR="009E66FB" w:rsidRPr="003277FC" w:rsidRDefault="009E66FB" w:rsidP="00084CF4">
            <w:pPr>
              <w:pStyle w:val="NICEnormal"/>
              <w:spacing w:line="240" w:lineRule="auto"/>
              <w:rPr>
                <w:rFonts w:cs="Arial"/>
                <w:b/>
                <w:sz w:val="22"/>
                <w:szCs w:val="22"/>
              </w:rPr>
            </w:pPr>
            <w:r>
              <w:rPr>
                <w:rFonts w:cs="Arial"/>
                <w:b/>
                <w:sz w:val="22"/>
                <w:szCs w:val="22"/>
              </w:rPr>
              <w:t>NICE response</w:t>
            </w:r>
          </w:p>
        </w:tc>
      </w:tr>
      <w:tr w:rsidR="003277FC" w:rsidRPr="00215444" w14:paraId="688AA5EE" w14:textId="553D71D4" w:rsidTr="003277FC">
        <w:tc>
          <w:tcPr>
            <w:tcW w:w="280" w:type="pct"/>
          </w:tcPr>
          <w:p w14:paraId="3734AFEE" w14:textId="73D96176" w:rsidR="003277FC" w:rsidRDefault="003277FC" w:rsidP="003277FC">
            <w:pPr>
              <w:rPr>
                <w:rFonts w:ascii="Arial" w:hAnsi="Arial" w:cs="Arial"/>
                <w:sz w:val="22"/>
                <w:szCs w:val="22"/>
              </w:rPr>
            </w:pPr>
            <w:r>
              <w:rPr>
                <w:rFonts w:ascii="Arial" w:hAnsi="Arial" w:cs="Arial"/>
                <w:sz w:val="22"/>
                <w:szCs w:val="22"/>
              </w:rPr>
              <w:t>007</w:t>
            </w:r>
          </w:p>
        </w:tc>
        <w:tc>
          <w:tcPr>
            <w:tcW w:w="428" w:type="pct"/>
          </w:tcPr>
          <w:p w14:paraId="7B4E108E" w14:textId="6E9812F1" w:rsidR="003277FC" w:rsidRDefault="003277FC" w:rsidP="003277FC">
            <w:pPr>
              <w:rPr>
                <w:rFonts w:ascii="Arial" w:hAnsi="Arial" w:cs="Arial"/>
                <w:sz w:val="22"/>
                <w:szCs w:val="22"/>
              </w:rPr>
            </w:pPr>
            <w:r>
              <w:rPr>
                <w:rFonts w:ascii="Arial" w:hAnsi="Arial" w:cs="Arial"/>
                <w:sz w:val="22"/>
                <w:szCs w:val="22"/>
              </w:rPr>
              <w:t>IND 2022-122</w:t>
            </w:r>
          </w:p>
        </w:tc>
        <w:tc>
          <w:tcPr>
            <w:tcW w:w="1170" w:type="pct"/>
          </w:tcPr>
          <w:p w14:paraId="7CDE0248" w14:textId="5B1B94A5" w:rsidR="003277FC" w:rsidRDefault="003277FC" w:rsidP="003277FC">
            <w:pPr>
              <w:rPr>
                <w:rFonts w:ascii="Arial" w:hAnsi="Arial" w:cs="Arial"/>
                <w:sz w:val="22"/>
                <w:szCs w:val="22"/>
              </w:rPr>
            </w:pPr>
            <w:r>
              <w:rPr>
                <w:rFonts w:ascii="Arial" w:hAnsi="Arial" w:cs="Arial"/>
                <w:sz w:val="22"/>
                <w:szCs w:val="22"/>
              </w:rPr>
              <w:t xml:space="preserve">NHSE&amp;I: </w:t>
            </w:r>
            <w:r w:rsidRPr="00A21A3D">
              <w:rPr>
                <w:rFonts w:ascii="Arial" w:hAnsi="Arial" w:cs="Arial"/>
                <w:sz w:val="22"/>
                <w:szCs w:val="22"/>
              </w:rPr>
              <w:t>CVD Prevention Team</w:t>
            </w:r>
          </w:p>
        </w:tc>
        <w:tc>
          <w:tcPr>
            <w:tcW w:w="1778" w:type="pct"/>
          </w:tcPr>
          <w:p w14:paraId="6C0A772B" w14:textId="076754BE" w:rsidR="003277FC" w:rsidRPr="00D14503" w:rsidRDefault="003277FC" w:rsidP="003277FC">
            <w:pPr>
              <w:rPr>
                <w:rFonts w:ascii="Arial" w:hAnsi="Arial" w:cs="Arial"/>
                <w:sz w:val="22"/>
                <w:szCs w:val="22"/>
              </w:rPr>
            </w:pPr>
            <w:r w:rsidRPr="00A21A3D">
              <w:rPr>
                <w:rFonts w:ascii="Arial" w:hAnsi="Arial" w:cs="Arial"/>
                <w:sz w:val="22"/>
                <w:szCs w:val="22"/>
              </w:rPr>
              <w:t xml:space="preserve">This needs to be aligned with existing NICE guidance as suggested – currently GPs are </w:t>
            </w:r>
            <w:r w:rsidRPr="00A21A3D">
              <w:rPr>
                <w:rFonts w:ascii="Arial" w:hAnsi="Arial" w:cs="Arial"/>
                <w:sz w:val="22"/>
                <w:szCs w:val="22"/>
              </w:rPr>
              <w:lastRenderedPageBreak/>
              <w:t>expected to treat to a BP target lower than in NICE guidance</w:t>
            </w:r>
          </w:p>
        </w:tc>
        <w:tc>
          <w:tcPr>
            <w:tcW w:w="1344" w:type="pct"/>
          </w:tcPr>
          <w:p w14:paraId="096EF760" w14:textId="77777777" w:rsidR="003277FC" w:rsidRDefault="003277FC" w:rsidP="003277FC">
            <w:pPr>
              <w:rPr>
                <w:rFonts w:ascii="Arial" w:hAnsi="Arial" w:cs="Arial"/>
                <w:sz w:val="22"/>
                <w:szCs w:val="22"/>
              </w:rPr>
            </w:pPr>
            <w:r>
              <w:rPr>
                <w:rFonts w:ascii="Arial" w:hAnsi="Arial" w:cs="Arial"/>
                <w:sz w:val="22"/>
                <w:szCs w:val="22"/>
              </w:rPr>
              <w:lastRenderedPageBreak/>
              <w:t>Thank you for your comment.</w:t>
            </w:r>
          </w:p>
          <w:p w14:paraId="0114E67C" w14:textId="77777777" w:rsidR="003277FC" w:rsidRDefault="003277FC" w:rsidP="003277FC">
            <w:pPr>
              <w:rPr>
                <w:rFonts w:ascii="Arial" w:hAnsi="Arial" w:cs="Arial"/>
                <w:sz w:val="22"/>
                <w:szCs w:val="22"/>
              </w:rPr>
            </w:pPr>
          </w:p>
          <w:p w14:paraId="19DAD6E6" w14:textId="77777777" w:rsidR="003277FC" w:rsidRDefault="003277FC" w:rsidP="003277FC">
            <w:pPr>
              <w:rPr>
                <w:rFonts w:ascii="Arial" w:hAnsi="Arial" w:cs="Arial"/>
                <w:sz w:val="22"/>
                <w:szCs w:val="22"/>
              </w:rPr>
            </w:pPr>
            <w:r>
              <w:rPr>
                <w:rFonts w:ascii="Arial" w:hAnsi="Arial" w:cs="Arial"/>
                <w:sz w:val="22"/>
                <w:szCs w:val="22"/>
              </w:rPr>
              <w:lastRenderedPageBreak/>
              <w:t xml:space="preserve">This indicator, with its revised target, has been progressed. </w:t>
            </w:r>
          </w:p>
          <w:p w14:paraId="3144C70E" w14:textId="257490C8" w:rsidR="003277FC" w:rsidRPr="00A21A3D" w:rsidRDefault="003277FC" w:rsidP="003277FC">
            <w:pPr>
              <w:rPr>
                <w:rFonts w:ascii="Arial" w:hAnsi="Arial" w:cs="Arial"/>
                <w:sz w:val="22"/>
                <w:szCs w:val="22"/>
              </w:rPr>
            </w:pPr>
            <w:r w:rsidRPr="005B6E51">
              <w:rPr>
                <w:rFonts w:ascii="Arial" w:hAnsi="Arial" w:cs="Arial"/>
                <w:sz w:val="22"/>
                <w:szCs w:val="22"/>
              </w:rPr>
              <w:t xml:space="preserve"> </w:t>
            </w:r>
          </w:p>
        </w:tc>
      </w:tr>
      <w:tr w:rsidR="003277FC" w:rsidRPr="00215444" w14:paraId="4A44AE7C" w14:textId="36953349" w:rsidTr="003277FC">
        <w:tc>
          <w:tcPr>
            <w:tcW w:w="280" w:type="pct"/>
          </w:tcPr>
          <w:p w14:paraId="48071904" w14:textId="52FDD15B" w:rsidR="003277FC" w:rsidRDefault="003277FC" w:rsidP="003277FC">
            <w:r>
              <w:rPr>
                <w:rFonts w:ascii="Arial" w:hAnsi="Arial" w:cs="Arial"/>
                <w:sz w:val="22"/>
                <w:szCs w:val="22"/>
              </w:rPr>
              <w:lastRenderedPageBreak/>
              <w:t>008</w:t>
            </w:r>
          </w:p>
        </w:tc>
        <w:tc>
          <w:tcPr>
            <w:tcW w:w="428" w:type="pct"/>
          </w:tcPr>
          <w:p w14:paraId="535788D1" w14:textId="179B022A" w:rsidR="003277FC" w:rsidRDefault="003277FC" w:rsidP="003277FC">
            <w:r>
              <w:rPr>
                <w:rFonts w:ascii="Arial" w:hAnsi="Arial" w:cs="Arial"/>
                <w:sz w:val="22"/>
                <w:szCs w:val="22"/>
              </w:rPr>
              <w:t xml:space="preserve">IND 2022-122 </w:t>
            </w:r>
          </w:p>
        </w:tc>
        <w:tc>
          <w:tcPr>
            <w:tcW w:w="1170" w:type="pct"/>
          </w:tcPr>
          <w:p w14:paraId="60289603" w14:textId="15327DA0" w:rsidR="003277FC" w:rsidRPr="005B73E7" w:rsidRDefault="003277FC" w:rsidP="003277FC">
            <w:pPr>
              <w:rPr>
                <w:rFonts w:ascii="Arial" w:hAnsi="Arial" w:cs="Arial"/>
                <w:sz w:val="22"/>
                <w:szCs w:val="22"/>
              </w:rPr>
            </w:pPr>
            <w:r>
              <w:rPr>
                <w:rFonts w:ascii="Arial" w:hAnsi="Arial" w:cs="Arial"/>
                <w:sz w:val="22"/>
                <w:szCs w:val="22"/>
              </w:rPr>
              <w:t xml:space="preserve">NHSE&amp;I: </w:t>
            </w:r>
            <w:r w:rsidRPr="00440BB7">
              <w:rPr>
                <w:rFonts w:ascii="Arial" w:hAnsi="Arial" w:cs="Arial"/>
                <w:sz w:val="22"/>
                <w:szCs w:val="22"/>
              </w:rPr>
              <w:t>Learning Disability and Autism Programme</w:t>
            </w:r>
          </w:p>
        </w:tc>
        <w:tc>
          <w:tcPr>
            <w:tcW w:w="1778" w:type="pct"/>
          </w:tcPr>
          <w:p w14:paraId="100FD400" w14:textId="2CD121C6" w:rsidR="003277FC" w:rsidRPr="00EE065C" w:rsidRDefault="003277FC" w:rsidP="003277FC">
            <w:pPr>
              <w:rPr>
                <w:rFonts w:ascii="Arial" w:hAnsi="Arial" w:cs="Arial"/>
                <w:sz w:val="22"/>
                <w:szCs w:val="22"/>
              </w:rPr>
            </w:pPr>
            <w:r w:rsidRPr="00D14503">
              <w:rPr>
                <w:rFonts w:ascii="Arial" w:hAnsi="Arial" w:cs="Arial"/>
                <w:sz w:val="22"/>
                <w:szCs w:val="22"/>
              </w:rPr>
              <w:t xml:space="preserve">‘Frailty’ needs a definition in the indicator as it has potential impact upon equality. ‘Frailty’ is sometimes wrongly ascribed to all people with a learning disability so the exclusions of ‘moderate’ and ‘severe’ frailty could lead to a mis-assumption that </w:t>
            </w:r>
            <w:proofErr w:type="gramStart"/>
            <w:r w:rsidRPr="00D14503">
              <w:rPr>
                <w:rFonts w:ascii="Arial" w:hAnsi="Arial" w:cs="Arial"/>
                <w:sz w:val="22"/>
                <w:szCs w:val="22"/>
              </w:rPr>
              <w:t>some  or</w:t>
            </w:r>
            <w:proofErr w:type="gramEnd"/>
            <w:r w:rsidRPr="00D14503">
              <w:rPr>
                <w:rFonts w:ascii="Arial" w:hAnsi="Arial" w:cs="Arial"/>
                <w:sz w:val="22"/>
                <w:szCs w:val="22"/>
              </w:rPr>
              <w:t xml:space="preserve"> all people with a learning disability should be excluded from the indicator. Would it be more useful to talk about multi- morbidity rather than ‘frailty’ or give detail about what you mean by ‘frailty’. This comment will apply to other indicators where ‘frailty’ is used.</w:t>
            </w:r>
          </w:p>
        </w:tc>
        <w:tc>
          <w:tcPr>
            <w:tcW w:w="1344" w:type="pct"/>
          </w:tcPr>
          <w:p w14:paraId="2C6B7F18" w14:textId="62374F2C" w:rsidR="003277FC" w:rsidRDefault="003277FC" w:rsidP="003277FC">
            <w:pPr>
              <w:rPr>
                <w:rFonts w:ascii="Arial" w:hAnsi="Arial" w:cs="Arial"/>
                <w:sz w:val="22"/>
                <w:szCs w:val="22"/>
              </w:rPr>
            </w:pPr>
            <w:r>
              <w:rPr>
                <w:rFonts w:ascii="Arial" w:hAnsi="Arial" w:cs="Arial"/>
                <w:sz w:val="22"/>
                <w:szCs w:val="22"/>
              </w:rPr>
              <w:t xml:space="preserve">Thank you for your comment. </w:t>
            </w:r>
          </w:p>
          <w:p w14:paraId="66C753C2" w14:textId="3276985E" w:rsidR="00036B1A" w:rsidRDefault="00036B1A" w:rsidP="003277FC">
            <w:pPr>
              <w:rPr>
                <w:rFonts w:ascii="Arial" w:hAnsi="Arial" w:cs="Arial"/>
                <w:sz w:val="22"/>
                <w:szCs w:val="22"/>
              </w:rPr>
            </w:pPr>
          </w:p>
          <w:p w14:paraId="0AC00EF7" w14:textId="1D69AF2C" w:rsidR="00036B1A" w:rsidRDefault="00036B1A" w:rsidP="003277FC">
            <w:pPr>
              <w:rPr>
                <w:rFonts w:ascii="Arial" w:hAnsi="Arial" w:cs="Arial"/>
                <w:sz w:val="22"/>
                <w:szCs w:val="22"/>
              </w:rPr>
            </w:pPr>
            <w:r>
              <w:rPr>
                <w:rFonts w:ascii="Arial" w:hAnsi="Arial" w:cs="Arial"/>
                <w:sz w:val="22"/>
                <w:szCs w:val="22"/>
              </w:rPr>
              <w:t xml:space="preserve">The identification of frailty is aligned to the requirements on general practice as part of the GP contract. </w:t>
            </w:r>
          </w:p>
          <w:p w14:paraId="50F69D80" w14:textId="1606BDBE" w:rsidR="003277FC" w:rsidRDefault="003277FC" w:rsidP="00036B1A">
            <w:pPr>
              <w:rPr>
                <w:rFonts w:ascii="Arial" w:hAnsi="Arial" w:cs="Arial"/>
                <w:sz w:val="22"/>
                <w:szCs w:val="22"/>
              </w:rPr>
            </w:pPr>
          </w:p>
          <w:p w14:paraId="7BD63B07" w14:textId="77777777" w:rsidR="0013140A" w:rsidRDefault="0013140A" w:rsidP="003277FC">
            <w:pPr>
              <w:rPr>
                <w:rFonts w:ascii="Arial" w:hAnsi="Arial" w:cs="Arial"/>
                <w:sz w:val="22"/>
                <w:szCs w:val="22"/>
              </w:rPr>
            </w:pPr>
          </w:p>
          <w:p w14:paraId="14DD5123" w14:textId="2005067A" w:rsidR="0013140A" w:rsidRPr="00D14503" w:rsidRDefault="0013140A" w:rsidP="003277FC">
            <w:pPr>
              <w:rPr>
                <w:rFonts w:ascii="Arial" w:hAnsi="Arial" w:cs="Arial"/>
                <w:sz w:val="22"/>
                <w:szCs w:val="22"/>
              </w:rPr>
            </w:pPr>
          </w:p>
        </w:tc>
      </w:tr>
      <w:tr w:rsidR="003277FC" w:rsidRPr="00215444" w14:paraId="627B019E" w14:textId="097E687C" w:rsidTr="003277FC">
        <w:tc>
          <w:tcPr>
            <w:tcW w:w="280" w:type="pct"/>
          </w:tcPr>
          <w:p w14:paraId="08F86376" w14:textId="5FD1D6F2" w:rsidR="003277FC" w:rsidRDefault="003277FC" w:rsidP="003277FC">
            <w:pPr>
              <w:rPr>
                <w:rFonts w:ascii="Arial" w:hAnsi="Arial" w:cs="Arial"/>
                <w:sz w:val="22"/>
                <w:szCs w:val="22"/>
              </w:rPr>
            </w:pPr>
            <w:r>
              <w:rPr>
                <w:rFonts w:ascii="Arial" w:hAnsi="Arial" w:cs="Arial"/>
                <w:sz w:val="22"/>
                <w:szCs w:val="22"/>
              </w:rPr>
              <w:t>009</w:t>
            </w:r>
          </w:p>
        </w:tc>
        <w:tc>
          <w:tcPr>
            <w:tcW w:w="428" w:type="pct"/>
          </w:tcPr>
          <w:p w14:paraId="3C0C5C0A" w14:textId="6670404E" w:rsidR="003277FC" w:rsidRPr="00110F8E" w:rsidRDefault="003277FC" w:rsidP="003277FC">
            <w:pPr>
              <w:rPr>
                <w:rFonts w:ascii="Arial" w:hAnsi="Arial" w:cs="Arial"/>
                <w:sz w:val="22"/>
                <w:szCs w:val="22"/>
              </w:rPr>
            </w:pPr>
            <w:r>
              <w:rPr>
                <w:rFonts w:ascii="Arial" w:hAnsi="Arial" w:cs="Arial"/>
                <w:sz w:val="22"/>
                <w:szCs w:val="22"/>
              </w:rPr>
              <w:t>IND 2022-122</w:t>
            </w:r>
          </w:p>
        </w:tc>
        <w:tc>
          <w:tcPr>
            <w:tcW w:w="1170" w:type="pct"/>
          </w:tcPr>
          <w:p w14:paraId="4133D1FC" w14:textId="6B8940E0" w:rsidR="003277FC" w:rsidRDefault="003277FC" w:rsidP="003277FC">
            <w:pPr>
              <w:rPr>
                <w:rFonts w:ascii="Arial" w:hAnsi="Arial" w:cs="Arial"/>
                <w:sz w:val="22"/>
                <w:szCs w:val="22"/>
              </w:rPr>
            </w:pPr>
            <w:r>
              <w:rPr>
                <w:rFonts w:ascii="Arial" w:hAnsi="Arial" w:cs="Arial"/>
                <w:sz w:val="22"/>
                <w:szCs w:val="22"/>
              </w:rPr>
              <w:t xml:space="preserve">NHSE&amp;I: </w:t>
            </w:r>
            <w:r w:rsidRPr="00440BB7">
              <w:rPr>
                <w:rFonts w:ascii="Arial" w:hAnsi="Arial" w:cs="Arial"/>
                <w:sz w:val="22"/>
                <w:szCs w:val="22"/>
              </w:rPr>
              <w:t>Learning Disability and Autism Programme</w:t>
            </w:r>
          </w:p>
        </w:tc>
        <w:tc>
          <w:tcPr>
            <w:tcW w:w="1778" w:type="pct"/>
          </w:tcPr>
          <w:p w14:paraId="7C0B8F07" w14:textId="2E12F0C2" w:rsidR="003277FC" w:rsidRPr="00110F8E" w:rsidRDefault="003277FC" w:rsidP="003277FC">
            <w:pPr>
              <w:rPr>
                <w:rFonts w:ascii="Arial" w:hAnsi="Arial" w:cs="Arial"/>
                <w:sz w:val="22"/>
                <w:szCs w:val="22"/>
              </w:rPr>
            </w:pPr>
            <w:r w:rsidRPr="00BC058B">
              <w:rPr>
                <w:rFonts w:ascii="Arial" w:hAnsi="Arial" w:cs="Arial"/>
                <w:sz w:val="22"/>
                <w:szCs w:val="22"/>
              </w:rPr>
              <w:t xml:space="preserve">Type 2 diabetes is very prevalent in the learning disability population.  Some people with a learning disability may find it difficult// stressful to have their BP taken. Need for reasonable adjustments for doing the readings to ensure that nobody is excluded </w:t>
            </w:r>
            <w:proofErr w:type="gramStart"/>
            <w:r w:rsidRPr="00BC058B">
              <w:rPr>
                <w:rFonts w:ascii="Arial" w:hAnsi="Arial" w:cs="Arial"/>
                <w:sz w:val="22"/>
                <w:szCs w:val="22"/>
              </w:rPr>
              <w:t>on the basis of</w:t>
            </w:r>
            <w:proofErr w:type="gramEnd"/>
            <w:r w:rsidRPr="00BC058B">
              <w:rPr>
                <w:rFonts w:ascii="Arial" w:hAnsi="Arial" w:cs="Arial"/>
                <w:sz w:val="22"/>
                <w:szCs w:val="22"/>
              </w:rPr>
              <w:t xml:space="preserve"> any difficulty.</w:t>
            </w:r>
          </w:p>
        </w:tc>
        <w:tc>
          <w:tcPr>
            <w:tcW w:w="1344" w:type="pct"/>
          </w:tcPr>
          <w:p w14:paraId="1FD2D742" w14:textId="77777777" w:rsidR="003277FC" w:rsidRDefault="003277FC" w:rsidP="003277FC">
            <w:pPr>
              <w:rPr>
                <w:rFonts w:ascii="Arial" w:hAnsi="Arial" w:cs="Arial"/>
                <w:sz w:val="22"/>
                <w:szCs w:val="22"/>
              </w:rPr>
            </w:pPr>
            <w:r>
              <w:rPr>
                <w:rFonts w:ascii="Arial" w:hAnsi="Arial" w:cs="Arial"/>
                <w:sz w:val="22"/>
                <w:szCs w:val="22"/>
              </w:rPr>
              <w:t>Thank you for your comment.</w:t>
            </w:r>
          </w:p>
          <w:p w14:paraId="7698CB2D" w14:textId="77777777" w:rsidR="003277FC" w:rsidRDefault="003277FC" w:rsidP="003277FC">
            <w:pPr>
              <w:rPr>
                <w:rFonts w:ascii="Arial" w:hAnsi="Arial" w:cs="Arial"/>
                <w:sz w:val="22"/>
                <w:szCs w:val="22"/>
              </w:rPr>
            </w:pPr>
          </w:p>
          <w:p w14:paraId="517B1C6F" w14:textId="796347CF" w:rsidR="003277FC" w:rsidRPr="00BC058B" w:rsidRDefault="003174F0" w:rsidP="003277FC">
            <w:pPr>
              <w:rPr>
                <w:rFonts w:ascii="Arial" w:hAnsi="Arial" w:cs="Arial"/>
                <w:sz w:val="22"/>
                <w:szCs w:val="22"/>
              </w:rPr>
            </w:pPr>
            <w:r>
              <w:rPr>
                <w:rFonts w:ascii="Arial" w:hAnsi="Arial" w:cs="Arial"/>
                <w:sz w:val="22"/>
                <w:szCs w:val="22"/>
              </w:rPr>
              <w:t>Increased p</w:t>
            </w:r>
            <w:r w:rsidR="00CD0B6D">
              <w:rPr>
                <w:rFonts w:ascii="Arial" w:hAnsi="Arial" w:cs="Arial"/>
                <w:sz w:val="22"/>
                <w:szCs w:val="22"/>
              </w:rPr>
              <w:t xml:space="preserve">revalence of type 2 diabetes among people with learning disabilities and the need for reasonable adjustment </w:t>
            </w:r>
            <w:r>
              <w:rPr>
                <w:rFonts w:ascii="Arial" w:hAnsi="Arial" w:cs="Arial"/>
                <w:sz w:val="22"/>
                <w:szCs w:val="22"/>
              </w:rPr>
              <w:t>when taking</w:t>
            </w:r>
            <w:r w:rsidR="00BE5E75">
              <w:rPr>
                <w:rFonts w:ascii="Arial" w:hAnsi="Arial" w:cs="Arial"/>
                <w:sz w:val="22"/>
                <w:szCs w:val="22"/>
              </w:rPr>
              <w:t xml:space="preserve"> readings is highlighted in the indicator’s equality impact assessment. </w:t>
            </w:r>
          </w:p>
        </w:tc>
      </w:tr>
      <w:tr w:rsidR="003277FC" w:rsidRPr="00215444" w14:paraId="3E4E1585" w14:textId="7AFEC1C9" w:rsidTr="003277FC">
        <w:tc>
          <w:tcPr>
            <w:tcW w:w="280" w:type="pct"/>
          </w:tcPr>
          <w:p w14:paraId="56101FFF" w14:textId="0B079281" w:rsidR="003277FC" w:rsidRDefault="003277FC" w:rsidP="003277FC">
            <w:pPr>
              <w:rPr>
                <w:rFonts w:ascii="Arial" w:hAnsi="Arial" w:cs="Arial"/>
                <w:sz w:val="22"/>
                <w:szCs w:val="22"/>
              </w:rPr>
            </w:pPr>
            <w:r>
              <w:rPr>
                <w:rFonts w:ascii="Arial" w:hAnsi="Arial" w:cs="Arial"/>
                <w:sz w:val="22"/>
                <w:szCs w:val="22"/>
              </w:rPr>
              <w:t>010</w:t>
            </w:r>
          </w:p>
        </w:tc>
        <w:tc>
          <w:tcPr>
            <w:tcW w:w="428" w:type="pct"/>
          </w:tcPr>
          <w:p w14:paraId="43A85C8B" w14:textId="775F7A1B" w:rsidR="003277FC" w:rsidRPr="00110F8E" w:rsidRDefault="003277FC" w:rsidP="003277FC">
            <w:pPr>
              <w:rPr>
                <w:rFonts w:ascii="Arial" w:hAnsi="Arial" w:cs="Arial"/>
                <w:sz w:val="22"/>
                <w:szCs w:val="22"/>
              </w:rPr>
            </w:pPr>
            <w:r>
              <w:rPr>
                <w:rFonts w:ascii="Arial" w:hAnsi="Arial" w:cs="Arial"/>
                <w:sz w:val="22"/>
                <w:szCs w:val="22"/>
              </w:rPr>
              <w:t>IND 2022-122</w:t>
            </w:r>
          </w:p>
        </w:tc>
        <w:tc>
          <w:tcPr>
            <w:tcW w:w="1170" w:type="pct"/>
          </w:tcPr>
          <w:p w14:paraId="2CF31158" w14:textId="533C2659" w:rsidR="003277FC" w:rsidRDefault="003277FC" w:rsidP="003277FC">
            <w:pPr>
              <w:rPr>
                <w:rFonts w:ascii="Arial" w:hAnsi="Arial" w:cs="Arial"/>
                <w:sz w:val="22"/>
                <w:szCs w:val="22"/>
              </w:rPr>
            </w:pPr>
            <w:r>
              <w:rPr>
                <w:rFonts w:ascii="Arial" w:hAnsi="Arial" w:cs="Arial"/>
                <w:sz w:val="22"/>
                <w:szCs w:val="22"/>
              </w:rPr>
              <w:t xml:space="preserve">NHSE&amp;I: </w:t>
            </w:r>
            <w:r w:rsidRPr="00440BB7">
              <w:rPr>
                <w:rFonts w:ascii="Arial" w:hAnsi="Arial" w:cs="Arial"/>
                <w:sz w:val="22"/>
                <w:szCs w:val="22"/>
              </w:rPr>
              <w:t>Learning Disability and Autism Programme</w:t>
            </w:r>
          </w:p>
        </w:tc>
        <w:tc>
          <w:tcPr>
            <w:tcW w:w="1778" w:type="pct"/>
          </w:tcPr>
          <w:p w14:paraId="03ED3670" w14:textId="4B570186" w:rsidR="003277FC" w:rsidRPr="00110F8E" w:rsidRDefault="003277FC" w:rsidP="003277FC">
            <w:pPr>
              <w:rPr>
                <w:rFonts w:ascii="Arial" w:hAnsi="Arial" w:cs="Arial"/>
                <w:sz w:val="22"/>
                <w:szCs w:val="22"/>
              </w:rPr>
            </w:pPr>
            <w:r w:rsidRPr="00BC058B">
              <w:rPr>
                <w:rFonts w:ascii="Arial" w:hAnsi="Arial" w:cs="Arial"/>
                <w:sz w:val="22"/>
                <w:szCs w:val="22"/>
              </w:rPr>
              <w:t xml:space="preserve">In deciding appropriate measurements for individuals, need to understand that people with a learning disability are more likely to have multiple co-occurring conditions which may have a bearing on baseline BP measures.   </w:t>
            </w:r>
          </w:p>
        </w:tc>
        <w:tc>
          <w:tcPr>
            <w:tcW w:w="1344" w:type="pct"/>
          </w:tcPr>
          <w:p w14:paraId="388EBAC8" w14:textId="77777777" w:rsidR="003277FC" w:rsidRDefault="003277FC" w:rsidP="003277FC">
            <w:pPr>
              <w:rPr>
                <w:rFonts w:ascii="Arial" w:hAnsi="Arial" w:cs="Arial"/>
                <w:sz w:val="22"/>
                <w:szCs w:val="22"/>
              </w:rPr>
            </w:pPr>
            <w:r>
              <w:rPr>
                <w:rFonts w:ascii="Arial" w:hAnsi="Arial" w:cs="Arial"/>
                <w:sz w:val="22"/>
                <w:szCs w:val="22"/>
              </w:rPr>
              <w:t xml:space="preserve">Thank you for your comment. </w:t>
            </w:r>
          </w:p>
          <w:p w14:paraId="56A04B2B" w14:textId="77777777" w:rsidR="003277FC" w:rsidRDefault="003277FC" w:rsidP="003277FC">
            <w:pPr>
              <w:rPr>
                <w:rFonts w:ascii="Arial" w:hAnsi="Arial" w:cs="Arial"/>
                <w:sz w:val="22"/>
                <w:szCs w:val="22"/>
              </w:rPr>
            </w:pPr>
          </w:p>
          <w:p w14:paraId="5597B5BF" w14:textId="1B691012" w:rsidR="003277FC" w:rsidRDefault="00113789" w:rsidP="003277FC">
            <w:pPr>
              <w:rPr>
                <w:rFonts w:ascii="Arial" w:hAnsi="Arial" w:cs="Arial"/>
                <w:sz w:val="22"/>
                <w:szCs w:val="22"/>
              </w:rPr>
            </w:pPr>
            <w:r>
              <w:rPr>
                <w:rFonts w:ascii="Arial" w:hAnsi="Arial" w:cs="Arial"/>
                <w:sz w:val="22"/>
                <w:szCs w:val="22"/>
              </w:rPr>
              <w:t>The indicator specification</w:t>
            </w:r>
            <w:r w:rsidR="00BF0D02">
              <w:rPr>
                <w:rFonts w:ascii="Arial" w:hAnsi="Arial" w:cs="Arial"/>
                <w:sz w:val="22"/>
                <w:szCs w:val="22"/>
              </w:rPr>
              <w:t xml:space="preserve"> highlights that consideration should </w:t>
            </w:r>
            <w:r w:rsidR="00BF0D02">
              <w:rPr>
                <w:rFonts w:ascii="Arial" w:hAnsi="Arial" w:cs="Arial"/>
                <w:sz w:val="22"/>
                <w:szCs w:val="22"/>
              </w:rPr>
              <w:lastRenderedPageBreak/>
              <w:t xml:space="preserve">be given to the use of </w:t>
            </w:r>
            <w:r>
              <w:rPr>
                <w:rFonts w:ascii="Arial" w:hAnsi="Arial" w:cs="Arial"/>
                <w:sz w:val="22"/>
                <w:szCs w:val="22"/>
              </w:rPr>
              <w:t>personalised care adjustment</w:t>
            </w:r>
            <w:r w:rsidR="00BF0D02">
              <w:rPr>
                <w:rFonts w:ascii="Arial" w:hAnsi="Arial" w:cs="Arial"/>
                <w:sz w:val="22"/>
                <w:szCs w:val="22"/>
              </w:rPr>
              <w:t>s</w:t>
            </w:r>
            <w:r w:rsidR="00E51B50">
              <w:rPr>
                <w:rFonts w:ascii="Arial" w:hAnsi="Arial" w:cs="Arial"/>
                <w:sz w:val="22"/>
                <w:szCs w:val="22"/>
              </w:rPr>
              <w:t xml:space="preserve">. </w:t>
            </w:r>
          </w:p>
          <w:p w14:paraId="1A5D38B4" w14:textId="289A5077" w:rsidR="003174F0" w:rsidRPr="00BC058B" w:rsidRDefault="003174F0" w:rsidP="003277FC">
            <w:pPr>
              <w:rPr>
                <w:rFonts w:ascii="Arial" w:hAnsi="Arial" w:cs="Arial"/>
                <w:sz w:val="22"/>
                <w:szCs w:val="22"/>
              </w:rPr>
            </w:pPr>
          </w:p>
        </w:tc>
      </w:tr>
      <w:tr w:rsidR="003277FC" w:rsidRPr="00215444" w14:paraId="45072AF9" w14:textId="05550E76" w:rsidTr="003277FC">
        <w:tc>
          <w:tcPr>
            <w:tcW w:w="280" w:type="pct"/>
          </w:tcPr>
          <w:p w14:paraId="7E8FDE8F" w14:textId="00BDF9E5" w:rsidR="003277FC" w:rsidRDefault="003277FC" w:rsidP="003277FC">
            <w:pPr>
              <w:rPr>
                <w:rFonts w:ascii="Arial" w:hAnsi="Arial" w:cs="Arial"/>
                <w:sz w:val="22"/>
                <w:szCs w:val="22"/>
              </w:rPr>
            </w:pPr>
            <w:r>
              <w:rPr>
                <w:rFonts w:ascii="Arial" w:hAnsi="Arial" w:cs="Arial"/>
                <w:sz w:val="22"/>
                <w:szCs w:val="22"/>
              </w:rPr>
              <w:lastRenderedPageBreak/>
              <w:t>011</w:t>
            </w:r>
          </w:p>
        </w:tc>
        <w:tc>
          <w:tcPr>
            <w:tcW w:w="428" w:type="pct"/>
          </w:tcPr>
          <w:p w14:paraId="7059FFC5" w14:textId="79E1A520" w:rsidR="003277FC" w:rsidRDefault="003277FC" w:rsidP="003277FC">
            <w:pPr>
              <w:rPr>
                <w:rFonts w:ascii="Arial" w:hAnsi="Arial" w:cs="Arial"/>
                <w:sz w:val="22"/>
                <w:szCs w:val="22"/>
              </w:rPr>
            </w:pPr>
            <w:r>
              <w:rPr>
                <w:rFonts w:ascii="Arial" w:hAnsi="Arial" w:cs="Arial"/>
                <w:sz w:val="22"/>
                <w:szCs w:val="22"/>
              </w:rPr>
              <w:t>IND 2022-122</w:t>
            </w:r>
          </w:p>
        </w:tc>
        <w:tc>
          <w:tcPr>
            <w:tcW w:w="1170" w:type="pct"/>
          </w:tcPr>
          <w:p w14:paraId="47B61117" w14:textId="6088B46F" w:rsidR="003277FC" w:rsidRDefault="003277FC" w:rsidP="003277FC">
            <w:pPr>
              <w:rPr>
                <w:rFonts w:ascii="Arial" w:hAnsi="Arial" w:cs="Arial"/>
                <w:sz w:val="22"/>
                <w:szCs w:val="22"/>
              </w:rPr>
            </w:pPr>
            <w:r>
              <w:rPr>
                <w:rFonts w:ascii="Arial" w:hAnsi="Arial" w:cs="Arial"/>
                <w:sz w:val="22"/>
                <w:szCs w:val="22"/>
              </w:rPr>
              <w:t>Primary Care Cardiovascular Society</w:t>
            </w:r>
          </w:p>
        </w:tc>
        <w:tc>
          <w:tcPr>
            <w:tcW w:w="1778" w:type="pct"/>
          </w:tcPr>
          <w:p w14:paraId="777EF13E" w14:textId="77777777" w:rsidR="003277FC" w:rsidRPr="00B63126" w:rsidRDefault="003277FC" w:rsidP="003277FC">
            <w:pPr>
              <w:rPr>
                <w:rFonts w:ascii="Arial" w:hAnsi="Arial" w:cs="Arial"/>
                <w:sz w:val="22"/>
                <w:szCs w:val="22"/>
              </w:rPr>
            </w:pPr>
            <w:r w:rsidRPr="00B63126">
              <w:rPr>
                <w:rFonts w:ascii="Arial" w:hAnsi="Arial" w:cs="Arial"/>
                <w:sz w:val="22"/>
                <w:szCs w:val="22"/>
              </w:rPr>
              <w:t xml:space="preserve">This needs to be aligned with existing NICE guidance as suggested – currently GPs are expected to treat to a BP target lower than in NICE guidance.  </w:t>
            </w:r>
          </w:p>
          <w:p w14:paraId="5BF9DF71" w14:textId="77777777" w:rsidR="003277FC" w:rsidRDefault="003277FC" w:rsidP="003277FC">
            <w:pPr>
              <w:rPr>
                <w:rFonts w:ascii="Arial" w:hAnsi="Arial" w:cs="Arial"/>
                <w:sz w:val="22"/>
                <w:szCs w:val="22"/>
              </w:rPr>
            </w:pPr>
            <w:r w:rsidRPr="00B63126">
              <w:rPr>
                <w:rFonts w:ascii="Arial" w:hAnsi="Arial" w:cs="Arial"/>
                <w:sz w:val="22"/>
                <w:szCs w:val="22"/>
              </w:rPr>
              <w:t>Alignment of targets will aid practice as the differences often cause confusion</w:t>
            </w:r>
            <w:r>
              <w:rPr>
                <w:rFonts w:ascii="Arial" w:hAnsi="Arial" w:cs="Arial"/>
                <w:sz w:val="22"/>
                <w:szCs w:val="22"/>
              </w:rPr>
              <w:t>.</w:t>
            </w:r>
          </w:p>
          <w:p w14:paraId="1BFDDF13" w14:textId="77777777" w:rsidR="003277FC" w:rsidRPr="00B63126" w:rsidRDefault="003277FC" w:rsidP="003277FC">
            <w:pPr>
              <w:rPr>
                <w:rFonts w:ascii="Arial" w:hAnsi="Arial" w:cs="Arial"/>
                <w:sz w:val="22"/>
                <w:szCs w:val="22"/>
              </w:rPr>
            </w:pPr>
          </w:p>
          <w:p w14:paraId="4728BDEE" w14:textId="77777777" w:rsidR="00BE5E75" w:rsidRDefault="003277FC" w:rsidP="003277FC">
            <w:pPr>
              <w:rPr>
                <w:rFonts w:ascii="Arial" w:hAnsi="Arial" w:cs="Arial"/>
                <w:sz w:val="22"/>
                <w:szCs w:val="22"/>
              </w:rPr>
            </w:pPr>
            <w:r w:rsidRPr="00B63126">
              <w:rPr>
                <w:rFonts w:ascii="Arial" w:hAnsi="Arial" w:cs="Arial"/>
                <w:sz w:val="22"/>
                <w:szCs w:val="22"/>
              </w:rPr>
              <w:t>Should type 1 diabetes be excluded (IND 2022 – 123 see below)</w:t>
            </w:r>
            <w:r>
              <w:rPr>
                <w:rFonts w:ascii="Arial" w:hAnsi="Arial" w:cs="Arial"/>
                <w:sz w:val="22"/>
                <w:szCs w:val="22"/>
              </w:rPr>
              <w:t>.</w:t>
            </w:r>
          </w:p>
          <w:p w14:paraId="2EBA882E" w14:textId="7460F876" w:rsidR="003277FC" w:rsidRPr="00BC058B" w:rsidRDefault="003277FC" w:rsidP="003277FC">
            <w:pPr>
              <w:rPr>
                <w:rFonts w:ascii="Arial" w:hAnsi="Arial" w:cs="Arial"/>
                <w:sz w:val="22"/>
                <w:szCs w:val="22"/>
              </w:rPr>
            </w:pPr>
            <w:r w:rsidRPr="00B63126">
              <w:rPr>
                <w:rFonts w:ascii="Arial" w:hAnsi="Arial" w:cs="Arial"/>
                <w:sz w:val="22"/>
                <w:szCs w:val="22"/>
              </w:rPr>
              <w:t>Personalised care adjustments should be used to set individualised BP targets for people with frailty</w:t>
            </w:r>
            <w:r>
              <w:rPr>
                <w:rFonts w:ascii="Arial" w:hAnsi="Arial" w:cs="Arial"/>
                <w:sz w:val="22"/>
                <w:szCs w:val="22"/>
              </w:rPr>
              <w:t>.</w:t>
            </w:r>
          </w:p>
        </w:tc>
        <w:tc>
          <w:tcPr>
            <w:tcW w:w="1344" w:type="pct"/>
          </w:tcPr>
          <w:p w14:paraId="43BD858C" w14:textId="77777777" w:rsidR="003277FC" w:rsidRDefault="003277FC" w:rsidP="003277FC">
            <w:pPr>
              <w:rPr>
                <w:rFonts w:ascii="Arial" w:hAnsi="Arial" w:cs="Arial"/>
                <w:sz w:val="22"/>
                <w:szCs w:val="22"/>
              </w:rPr>
            </w:pPr>
            <w:r>
              <w:rPr>
                <w:rFonts w:ascii="Arial" w:hAnsi="Arial" w:cs="Arial"/>
                <w:sz w:val="22"/>
                <w:szCs w:val="22"/>
              </w:rPr>
              <w:t>Thank you for your comment.</w:t>
            </w:r>
          </w:p>
          <w:p w14:paraId="58B918A9" w14:textId="77777777" w:rsidR="003277FC" w:rsidRDefault="003277FC" w:rsidP="003277FC">
            <w:pPr>
              <w:rPr>
                <w:rFonts w:ascii="Arial" w:hAnsi="Arial" w:cs="Arial"/>
                <w:sz w:val="22"/>
                <w:szCs w:val="22"/>
              </w:rPr>
            </w:pPr>
          </w:p>
          <w:p w14:paraId="22B38D38" w14:textId="77777777" w:rsidR="00BE5E75" w:rsidRDefault="003277FC" w:rsidP="003277FC">
            <w:pPr>
              <w:rPr>
                <w:rFonts w:ascii="Arial" w:hAnsi="Arial" w:cs="Arial"/>
                <w:sz w:val="22"/>
                <w:szCs w:val="22"/>
              </w:rPr>
            </w:pPr>
            <w:r>
              <w:rPr>
                <w:rFonts w:ascii="Arial" w:hAnsi="Arial" w:cs="Arial"/>
                <w:sz w:val="22"/>
                <w:szCs w:val="22"/>
              </w:rPr>
              <w:t>This indicator has been progressed.</w:t>
            </w:r>
          </w:p>
          <w:p w14:paraId="169CCB15" w14:textId="77777777" w:rsidR="00BE5E75" w:rsidRDefault="00BE5E75" w:rsidP="003277FC">
            <w:pPr>
              <w:rPr>
                <w:rFonts w:ascii="Arial" w:hAnsi="Arial" w:cs="Arial"/>
                <w:sz w:val="22"/>
                <w:szCs w:val="22"/>
              </w:rPr>
            </w:pPr>
          </w:p>
          <w:p w14:paraId="5BB95471" w14:textId="77777777" w:rsidR="003277FC" w:rsidRDefault="003277FC" w:rsidP="003277FC">
            <w:pPr>
              <w:rPr>
                <w:rFonts w:ascii="Arial" w:hAnsi="Arial" w:cs="Arial"/>
                <w:sz w:val="22"/>
                <w:szCs w:val="22"/>
              </w:rPr>
            </w:pPr>
          </w:p>
          <w:p w14:paraId="2B1879C5" w14:textId="20BE688C" w:rsidR="003277FC" w:rsidRPr="00B63126" w:rsidRDefault="003277FC" w:rsidP="00BE5E75">
            <w:pPr>
              <w:rPr>
                <w:rFonts w:ascii="Arial" w:hAnsi="Arial" w:cs="Arial"/>
                <w:sz w:val="22"/>
                <w:szCs w:val="22"/>
              </w:rPr>
            </w:pPr>
          </w:p>
        </w:tc>
      </w:tr>
      <w:tr w:rsidR="003277FC" w:rsidRPr="00215444" w14:paraId="54B40C2D" w14:textId="6504372E" w:rsidTr="003277FC">
        <w:tc>
          <w:tcPr>
            <w:tcW w:w="280" w:type="pct"/>
            <w:hideMark/>
          </w:tcPr>
          <w:p w14:paraId="47E6A483" w14:textId="14BED08E" w:rsidR="003277FC" w:rsidRDefault="003277FC" w:rsidP="003277FC">
            <w:r>
              <w:rPr>
                <w:rFonts w:ascii="Arial" w:hAnsi="Arial" w:cs="Arial"/>
                <w:sz w:val="22"/>
                <w:szCs w:val="22"/>
              </w:rPr>
              <w:t>012</w:t>
            </w:r>
          </w:p>
        </w:tc>
        <w:tc>
          <w:tcPr>
            <w:tcW w:w="428" w:type="pct"/>
            <w:hideMark/>
          </w:tcPr>
          <w:p w14:paraId="76420AC8" w14:textId="48684DB9" w:rsidR="003277FC" w:rsidRDefault="003277FC" w:rsidP="003277FC">
            <w:r w:rsidRPr="00110F8E">
              <w:rPr>
                <w:rFonts w:ascii="Arial" w:hAnsi="Arial" w:cs="Arial"/>
                <w:sz w:val="22"/>
                <w:szCs w:val="22"/>
              </w:rPr>
              <w:t>IND 2022-</w:t>
            </w:r>
            <w:r>
              <w:rPr>
                <w:rFonts w:ascii="Arial" w:hAnsi="Arial" w:cs="Arial"/>
                <w:sz w:val="22"/>
                <w:szCs w:val="22"/>
              </w:rPr>
              <w:t>1</w:t>
            </w:r>
            <w:r w:rsidRPr="00110F8E">
              <w:rPr>
                <w:rFonts w:ascii="Arial" w:hAnsi="Arial" w:cs="Arial"/>
                <w:sz w:val="22"/>
                <w:szCs w:val="22"/>
              </w:rPr>
              <w:t>2</w:t>
            </w:r>
            <w:r>
              <w:rPr>
                <w:rFonts w:ascii="Arial" w:hAnsi="Arial" w:cs="Arial"/>
                <w:sz w:val="22"/>
                <w:szCs w:val="22"/>
              </w:rPr>
              <w:t>2</w:t>
            </w:r>
          </w:p>
        </w:tc>
        <w:tc>
          <w:tcPr>
            <w:tcW w:w="1170" w:type="pct"/>
            <w:hideMark/>
          </w:tcPr>
          <w:p w14:paraId="5EA488A6" w14:textId="7430E68A" w:rsidR="003277FC" w:rsidRPr="005B73E7" w:rsidRDefault="003277FC" w:rsidP="003277FC">
            <w:pPr>
              <w:rPr>
                <w:rFonts w:ascii="Arial" w:hAnsi="Arial" w:cs="Arial"/>
                <w:sz w:val="22"/>
                <w:szCs w:val="22"/>
              </w:rPr>
            </w:pPr>
            <w:r>
              <w:rPr>
                <w:rFonts w:ascii="Arial" w:hAnsi="Arial" w:cs="Arial"/>
                <w:sz w:val="22"/>
                <w:szCs w:val="22"/>
              </w:rPr>
              <w:t xml:space="preserve">RCGP </w:t>
            </w:r>
          </w:p>
        </w:tc>
        <w:tc>
          <w:tcPr>
            <w:tcW w:w="1778" w:type="pct"/>
            <w:hideMark/>
          </w:tcPr>
          <w:p w14:paraId="2119DBAA" w14:textId="77777777" w:rsidR="003277FC" w:rsidRPr="00110F8E" w:rsidRDefault="003277FC" w:rsidP="003277FC">
            <w:pPr>
              <w:rPr>
                <w:rFonts w:ascii="Arial" w:hAnsi="Arial" w:cs="Arial"/>
                <w:sz w:val="22"/>
                <w:szCs w:val="22"/>
              </w:rPr>
            </w:pPr>
            <w:r w:rsidRPr="00110F8E">
              <w:rPr>
                <w:rFonts w:ascii="Arial" w:hAnsi="Arial" w:cs="Arial"/>
                <w:sz w:val="22"/>
                <w:szCs w:val="22"/>
              </w:rPr>
              <w:t xml:space="preserve">We support this indicator to bring it in line with current </w:t>
            </w:r>
            <w:proofErr w:type="gramStart"/>
            <w:r w:rsidRPr="00110F8E">
              <w:rPr>
                <w:rFonts w:ascii="Arial" w:hAnsi="Arial" w:cs="Arial"/>
                <w:sz w:val="22"/>
                <w:szCs w:val="22"/>
              </w:rPr>
              <w:t>guidance</w:t>
            </w:r>
            <w:proofErr w:type="gramEnd"/>
          </w:p>
          <w:p w14:paraId="780CCB71" w14:textId="77777777" w:rsidR="003277FC" w:rsidRPr="00110F8E" w:rsidRDefault="003277FC" w:rsidP="003277FC">
            <w:pPr>
              <w:rPr>
                <w:rFonts w:ascii="Arial" w:hAnsi="Arial" w:cs="Arial"/>
                <w:i/>
                <w:iCs/>
                <w:sz w:val="22"/>
                <w:szCs w:val="22"/>
              </w:rPr>
            </w:pPr>
            <w:r w:rsidRPr="00110F8E">
              <w:rPr>
                <w:rFonts w:ascii="Arial" w:hAnsi="Arial" w:cs="Arial"/>
                <w:i/>
                <w:iCs/>
                <w:sz w:val="22"/>
                <w:szCs w:val="22"/>
              </w:rPr>
              <w:t xml:space="preserve">Q1 None </w:t>
            </w:r>
            <w:proofErr w:type="gramStart"/>
            <w:r w:rsidRPr="00110F8E">
              <w:rPr>
                <w:rFonts w:ascii="Arial" w:hAnsi="Arial" w:cs="Arial"/>
                <w:i/>
                <w:iCs/>
                <w:sz w:val="22"/>
                <w:szCs w:val="22"/>
              </w:rPr>
              <w:t>identified</w:t>
            </w:r>
            <w:proofErr w:type="gramEnd"/>
          </w:p>
          <w:p w14:paraId="1DE5A138" w14:textId="77777777" w:rsidR="003277FC" w:rsidRPr="00110F8E" w:rsidRDefault="003277FC" w:rsidP="003277FC">
            <w:pPr>
              <w:rPr>
                <w:rFonts w:ascii="Arial" w:hAnsi="Arial" w:cs="Arial"/>
                <w:i/>
                <w:iCs/>
                <w:sz w:val="22"/>
                <w:szCs w:val="22"/>
              </w:rPr>
            </w:pPr>
            <w:r w:rsidRPr="00110F8E">
              <w:rPr>
                <w:rFonts w:ascii="Arial" w:hAnsi="Arial" w:cs="Arial"/>
                <w:i/>
                <w:iCs/>
                <w:sz w:val="22"/>
                <w:szCs w:val="22"/>
              </w:rPr>
              <w:t xml:space="preserve">Q2 None </w:t>
            </w:r>
            <w:proofErr w:type="gramStart"/>
            <w:r w:rsidRPr="00110F8E">
              <w:rPr>
                <w:rFonts w:ascii="Arial" w:hAnsi="Arial" w:cs="Arial"/>
                <w:i/>
                <w:iCs/>
                <w:sz w:val="22"/>
                <w:szCs w:val="22"/>
              </w:rPr>
              <w:t>identified</w:t>
            </w:r>
            <w:proofErr w:type="gramEnd"/>
          </w:p>
          <w:p w14:paraId="0D669BDE" w14:textId="77777777" w:rsidR="003277FC" w:rsidRPr="00110F8E" w:rsidRDefault="003277FC" w:rsidP="003277FC">
            <w:pPr>
              <w:rPr>
                <w:rFonts w:ascii="Arial" w:hAnsi="Arial" w:cs="Arial"/>
                <w:i/>
                <w:iCs/>
                <w:sz w:val="22"/>
                <w:szCs w:val="22"/>
              </w:rPr>
            </w:pPr>
            <w:r w:rsidRPr="00110F8E">
              <w:rPr>
                <w:rFonts w:ascii="Arial" w:hAnsi="Arial" w:cs="Arial"/>
                <w:i/>
                <w:iCs/>
                <w:sz w:val="22"/>
                <w:szCs w:val="22"/>
              </w:rPr>
              <w:t xml:space="preserve">Q3 None </w:t>
            </w:r>
            <w:proofErr w:type="gramStart"/>
            <w:r w:rsidRPr="00110F8E">
              <w:rPr>
                <w:rFonts w:ascii="Arial" w:hAnsi="Arial" w:cs="Arial"/>
                <w:i/>
                <w:iCs/>
                <w:sz w:val="22"/>
                <w:szCs w:val="22"/>
              </w:rPr>
              <w:t>identified</w:t>
            </w:r>
            <w:proofErr w:type="gramEnd"/>
          </w:p>
          <w:p w14:paraId="347641CE" w14:textId="77777777" w:rsidR="003277FC" w:rsidRPr="00110F8E" w:rsidRDefault="003277FC" w:rsidP="003277FC">
            <w:pPr>
              <w:rPr>
                <w:rFonts w:ascii="Arial" w:hAnsi="Arial" w:cs="Arial"/>
                <w:i/>
                <w:iCs/>
                <w:sz w:val="22"/>
                <w:szCs w:val="22"/>
              </w:rPr>
            </w:pPr>
            <w:r w:rsidRPr="00110F8E">
              <w:rPr>
                <w:rFonts w:ascii="Arial" w:hAnsi="Arial" w:cs="Arial"/>
                <w:i/>
                <w:iCs/>
                <w:sz w:val="22"/>
                <w:szCs w:val="22"/>
              </w:rPr>
              <w:t xml:space="preserve">Q4 None </w:t>
            </w:r>
            <w:proofErr w:type="gramStart"/>
            <w:r w:rsidRPr="00110F8E">
              <w:rPr>
                <w:rFonts w:ascii="Arial" w:hAnsi="Arial" w:cs="Arial"/>
                <w:i/>
                <w:iCs/>
                <w:sz w:val="22"/>
                <w:szCs w:val="22"/>
              </w:rPr>
              <w:t>identified</w:t>
            </w:r>
            <w:proofErr w:type="gramEnd"/>
          </w:p>
          <w:p w14:paraId="37C7517B" w14:textId="77777777" w:rsidR="003277FC" w:rsidRPr="00110F8E" w:rsidRDefault="003277FC" w:rsidP="003277FC">
            <w:pPr>
              <w:rPr>
                <w:rFonts w:ascii="Arial" w:hAnsi="Arial" w:cs="Arial"/>
                <w:sz w:val="22"/>
                <w:szCs w:val="22"/>
              </w:rPr>
            </w:pPr>
          </w:p>
          <w:p w14:paraId="691B3B05" w14:textId="748DA6C2" w:rsidR="003277FC" w:rsidRPr="00EE065C" w:rsidRDefault="003277FC" w:rsidP="003277FC">
            <w:pPr>
              <w:rPr>
                <w:rFonts w:ascii="Arial" w:hAnsi="Arial" w:cs="Arial"/>
                <w:sz w:val="22"/>
                <w:szCs w:val="22"/>
              </w:rPr>
            </w:pPr>
            <w:r w:rsidRPr="00110F8E">
              <w:rPr>
                <w:rFonts w:ascii="Arial" w:hAnsi="Arial" w:cs="Arial"/>
                <w:sz w:val="22"/>
                <w:szCs w:val="22"/>
              </w:rPr>
              <w:t>Exclusions should include those on maximum tolerated antihypertensive treatment.</w:t>
            </w:r>
          </w:p>
        </w:tc>
        <w:tc>
          <w:tcPr>
            <w:tcW w:w="1344" w:type="pct"/>
          </w:tcPr>
          <w:p w14:paraId="5614E1BA" w14:textId="77777777" w:rsidR="003277FC" w:rsidRDefault="003277FC" w:rsidP="003277FC">
            <w:pPr>
              <w:rPr>
                <w:rFonts w:ascii="Arial" w:hAnsi="Arial" w:cs="Arial"/>
                <w:sz w:val="22"/>
                <w:szCs w:val="22"/>
              </w:rPr>
            </w:pPr>
            <w:r>
              <w:rPr>
                <w:rFonts w:ascii="Arial" w:hAnsi="Arial" w:cs="Arial"/>
                <w:sz w:val="22"/>
                <w:szCs w:val="22"/>
              </w:rPr>
              <w:t>Thank you for your comment.</w:t>
            </w:r>
          </w:p>
          <w:p w14:paraId="3CB02087" w14:textId="77777777" w:rsidR="003277FC" w:rsidRDefault="003277FC" w:rsidP="003277FC">
            <w:pPr>
              <w:rPr>
                <w:rFonts w:ascii="Arial" w:hAnsi="Arial" w:cs="Arial"/>
                <w:sz w:val="22"/>
                <w:szCs w:val="22"/>
              </w:rPr>
            </w:pPr>
          </w:p>
          <w:p w14:paraId="6DC5DDE3" w14:textId="32DEBFE8" w:rsidR="003277FC" w:rsidRPr="00110F8E" w:rsidRDefault="00BF0D02" w:rsidP="003277FC">
            <w:pPr>
              <w:rPr>
                <w:rFonts w:ascii="Arial" w:hAnsi="Arial" w:cs="Arial"/>
                <w:sz w:val="22"/>
                <w:szCs w:val="22"/>
              </w:rPr>
            </w:pPr>
            <w:r w:rsidRPr="00BF0D02">
              <w:rPr>
                <w:rFonts w:ascii="Arial" w:hAnsi="Arial" w:cs="Arial"/>
                <w:sz w:val="22"/>
                <w:szCs w:val="22"/>
              </w:rPr>
              <w:t>The indicator specification highlights that consideration should be given to the use of personalised care adjustments.</w:t>
            </w:r>
          </w:p>
        </w:tc>
      </w:tr>
      <w:tr w:rsidR="003277FC" w:rsidRPr="00215444" w14:paraId="6F6F0F21" w14:textId="5ADE492C" w:rsidTr="003277FC">
        <w:tc>
          <w:tcPr>
            <w:tcW w:w="280" w:type="pct"/>
          </w:tcPr>
          <w:p w14:paraId="6867203C" w14:textId="59F552F7" w:rsidR="003277FC" w:rsidRDefault="003277FC" w:rsidP="003277FC">
            <w:pPr>
              <w:rPr>
                <w:rFonts w:ascii="Arial" w:hAnsi="Arial" w:cs="Arial"/>
                <w:sz w:val="22"/>
                <w:szCs w:val="22"/>
              </w:rPr>
            </w:pPr>
            <w:r>
              <w:rPr>
                <w:rFonts w:ascii="Arial" w:hAnsi="Arial" w:cs="Arial"/>
                <w:sz w:val="22"/>
                <w:szCs w:val="22"/>
              </w:rPr>
              <w:t>013</w:t>
            </w:r>
          </w:p>
        </w:tc>
        <w:tc>
          <w:tcPr>
            <w:tcW w:w="428" w:type="pct"/>
          </w:tcPr>
          <w:p w14:paraId="574C9143" w14:textId="2B3744AA" w:rsidR="003277FC" w:rsidRPr="00110F8E" w:rsidRDefault="003277FC" w:rsidP="003277FC">
            <w:pPr>
              <w:rPr>
                <w:rFonts w:ascii="Arial" w:hAnsi="Arial" w:cs="Arial"/>
                <w:sz w:val="22"/>
                <w:szCs w:val="22"/>
              </w:rPr>
            </w:pPr>
            <w:r>
              <w:rPr>
                <w:rFonts w:ascii="Arial" w:hAnsi="Arial" w:cs="Arial"/>
                <w:sz w:val="22"/>
                <w:szCs w:val="22"/>
              </w:rPr>
              <w:t>IND 2022-122</w:t>
            </w:r>
          </w:p>
        </w:tc>
        <w:tc>
          <w:tcPr>
            <w:tcW w:w="1170" w:type="pct"/>
          </w:tcPr>
          <w:p w14:paraId="2F6D8DA9" w14:textId="19492545" w:rsidR="003277FC" w:rsidRDefault="003277FC" w:rsidP="003277FC">
            <w:pPr>
              <w:rPr>
                <w:rFonts w:ascii="Arial" w:hAnsi="Arial" w:cs="Arial"/>
                <w:sz w:val="22"/>
                <w:szCs w:val="22"/>
              </w:rPr>
            </w:pPr>
            <w:r>
              <w:rPr>
                <w:rFonts w:ascii="Arial" w:hAnsi="Arial" w:cs="Arial"/>
                <w:sz w:val="22"/>
                <w:szCs w:val="22"/>
              </w:rPr>
              <w:t>UK Kidney Association</w:t>
            </w:r>
          </w:p>
        </w:tc>
        <w:tc>
          <w:tcPr>
            <w:tcW w:w="1778" w:type="pct"/>
          </w:tcPr>
          <w:p w14:paraId="74C9D4E8" w14:textId="77777777" w:rsidR="003277FC" w:rsidRPr="00FB2F69" w:rsidRDefault="003277FC" w:rsidP="003277FC">
            <w:pPr>
              <w:rPr>
                <w:rFonts w:ascii="Arial" w:hAnsi="Arial" w:cs="Arial"/>
                <w:sz w:val="22"/>
                <w:szCs w:val="22"/>
              </w:rPr>
            </w:pPr>
            <w:r w:rsidRPr="00FB2F69">
              <w:rPr>
                <w:rFonts w:ascii="Arial" w:hAnsi="Arial" w:cs="Arial"/>
                <w:sz w:val="22"/>
                <w:szCs w:val="22"/>
              </w:rPr>
              <w:t xml:space="preserve">Reasonable assuming the blood pressure reading is random and not standardised. </w:t>
            </w:r>
            <w:proofErr w:type="gramStart"/>
            <w:r w:rsidRPr="00FB2F69">
              <w:rPr>
                <w:rFonts w:ascii="Arial" w:hAnsi="Arial" w:cs="Arial"/>
                <w:sz w:val="22"/>
                <w:szCs w:val="22"/>
              </w:rPr>
              <w:t>However</w:t>
            </w:r>
            <w:proofErr w:type="gramEnd"/>
            <w:r w:rsidRPr="00FB2F69">
              <w:rPr>
                <w:rFonts w:ascii="Arial" w:hAnsi="Arial" w:cs="Arial"/>
                <w:sz w:val="22"/>
                <w:szCs w:val="22"/>
              </w:rPr>
              <w:t xml:space="preserve"> many Nephrology guidelines recommend a non-standardised blood pressure </w:t>
            </w:r>
            <w:r w:rsidRPr="00FB2F69">
              <w:rPr>
                <w:rFonts w:ascii="Arial" w:hAnsi="Arial" w:cs="Arial"/>
                <w:sz w:val="22"/>
                <w:szCs w:val="22"/>
              </w:rPr>
              <w:lastRenderedPageBreak/>
              <w:t xml:space="preserve">target of ≤130/80 mmHg if UACR &gt;3 mg/mmol (which I believe is consistent with the evidence).  </w:t>
            </w:r>
          </w:p>
          <w:p w14:paraId="18E04977" w14:textId="3D852CEB" w:rsidR="003277FC" w:rsidRPr="00110F8E" w:rsidRDefault="003277FC" w:rsidP="003277FC">
            <w:pPr>
              <w:rPr>
                <w:rFonts w:ascii="Arial" w:hAnsi="Arial" w:cs="Arial"/>
                <w:sz w:val="22"/>
                <w:szCs w:val="22"/>
              </w:rPr>
            </w:pPr>
            <w:r w:rsidRPr="00FB2F69">
              <w:rPr>
                <w:rFonts w:ascii="Arial" w:hAnsi="Arial" w:cs="Arial"/>
                <w:sz w:val="22"/>
                <w:szCs w:val="22"/>
              </w:rPr>
              <w:t>This needs to map on to albuminuria – a substantial proportion of individuals with diabetes have a very high ACR and lower blood pressure targets should be in place for this group.</w:t>
            </w:r>
          </w:p>
        </w:tc>
        <w:tc>
          <w:tcPr>
            <w:tcW w:w="1344" w:type="pct"/>
          </w:tcPr>
          <w:p w14:paraId="12C66EBA" w14:textId="77777777" w:rsidR="003277FC" w:rsidRDefault="003277FC" w:rsidP="003277FC">
            <w:pPr>
              <w:rPr>
                <w:rFonts w:ascii="Arial" w:hAnsi="Arial" w:cs="Arial"/>
                <w:sz w:val="22"/>
                <w:szCs w:val="22"/>
              </w:rPr>
            </w:pPr>
            <w:r>
              <w:rPr>
                <w:rFonts w:ascii="Arial" w:hAnsi="Arial" w:cs="Arial"/>
                <w:sz w:val="22"/>
                <w:szCs w:val="22"/>
              </w:rPr>
              <w:lastRenderedPageBreak/>
              <w:t xml:space="preserve">Thank you for your comment. </w:t>
            </w:r>
          </w:p>
          <w:p w14:paraId="61929389" w14:textId="69FE30BB" w:rsidR="003277FC" w:rsidRDefault="003277FC" w:rsidP="003277FC">
            <w:pPr>
              <w:rPr>
                <w:rFonts w:ascii="Arial" w:hAnsi="Arial" w:cs="Arial"/>
                <w:sz w:val="22"/>
                <w:szCs w:val="22"/>
              </w:rPr>
            </w:pPr>
          </w:p>
          <w:p w14:paraId="5AD05E8F" w14:textId="644DA42B" w:rsidR="00BF0D02" w:rsidRDefault="00BF0D02" w:rsidP="003174F0">
            <w:pPr>
              <w:rPr>
                <w:rFonts w:ascii="Arial" w:hAnsi="Arial" w:cs="Arial"/>
                <w:sz w:val="22"/>
                <w:szCs w:val="22"/>
              </w:rPr>
            </w:pPr>
            <w:r>
              <w:rPr>
                <w:rFonts w:ascii="Arial" w:hAnsi="Arial" w:cs="Arial"/>
                <w:sz w:val="22"/>
                <w:szCs w:val="22"/>
              </w:rPr>
              <w:t xml:space="preserve">Separate indicators are being developed that focus on blood </w:t>
            </w:r>
            <w:r>
              <w:rPr>
                <w:rFonts w:ascii="Arial" w:hAnsi="Arial" w:cs="Arial"/>
                <w:sz w:val="22"/>
                <w:szCs w:val="22"/>
              </w:rPr>
              <w:lastRenderedPageBreak/>
              <w:t xml:space="preserve">pressure in people with kidney disease. </w:t>
            </w:r>
          </w:p>
          <w:p w14:paraId="1CA9F2A1" w14:textId="78CB5DA6" w:rsidR="003174F0" w:rsidRPr="00FB2F69" w:rsidRDefault="003174F0" w:rsidP="003174F0">
            <w:pPr>
              <w:rPr>
                <w:rFonts w:ascii="Arial" w:hAnsi="Arial" w:cs="Arial"/>
                <w:sz w:val="22"/>
                <w:szCs w:val="22"/>
              </w:rPr>
            </w:pPr>
          </w:p>
        </w:tc>
      </w:tr>
      <w:tr w:rsidR="00321F25" w:rsidRPr="00215444" w14:paraId="7B085ED5" w14:textId="77777777" w:rsidTr="003277FC">
        <w:tc>
          <w:tcPr>
            <w:tcW w:w="280" w:type="pct"/>
          </w:tcPr>
          <w:p w14:paraId="68C23ADF" w14:textId="07EE5802" w:rsidR="00321F25" w:rsidRDefault="00321F25" w:rsidP="00321F25">
            <w:pPr>
              <w:rPr>
                <w:rFonts w:ascii="Arial" w:hAnsi="Arial" w:cs="Arial"/>
                <w:sz w:val="22"/>
                <w:szCs w:val="22"/>
              </w:rPr>
            </w:pPr>
            <w:r>
              <w:rPr>
                <w:rFonts w:ascii="Arial" w:hAnsi="Arial" w:cs="Arial"/>
                <w:sz w:val="22"/>
                <w:szCs w:val="22"/>
              </w:rPr>
              <w:lastRenderedPageBreak/>
              <w:t>014</w:t>
            </w:r>
          </w:p>
        </w:tc>
        <w:tc>
          <w:tcPr>
            <w:tcW w:w="428" w:type="pct"/>
          </w:tcPr>
          <w:p w14:paraId="7E595E31" w14:textId="324B3B59" w:rsidR="00321F25" w:rsidRDefault="00321F25" w:rsidP="00321F25">
            <w:pPr>
              <w:rPr>
                <w:rFonts w:ascii="Arial" w:hAnsi="Arial" w:cs="Arial"/>
                <w:sz w:val="22"/>
                <w:szCs w:val="22"/>
              </w:rPr>
            </w:pPr>
            <w:r>
              <w:rPr>
                <w:rFonts w:ascii="Arial" w:hAnsi="Arial" w:cs="Arial"/>
                <w:sz w:val="22"/>
                <w:szCs w:val="22"/>
              </w:rPr>
              <w:t>IND 2022-122</w:t>
            </w:r>
          </w:p>
        </w:tc>
        <w:tc>
          <w:tcPr>
            <w:tcW w:w="1170" w:type="pct"/>
          </w:tcPr>
          <w:p w14:paraId="457F6E31" w14:textId="40F3C482" w:rsidR="00321F25" w:rsidRDefault="00321F25" w:rsidP="00321F25">
            <w:pPr>
              <w:rPr>
                <w:rFonts w:ascii="Arial" w:hAnsi="Arial" w:cs="Arial"/>
                <w:sz w:val="22"/>
                <w:szCs w:val="22"/>
              </w:rPr>
            </w:pPr>
            <w:r w:rsidRPr="008F030B">
              <w:rPr>
                <w:rFonts w:ascii="Arial" w:hAnsi="Arial" w:cs="Arial"/>
                <w:color w:val="000000"/>
                <w:sz w:val="22"/>
                <w:szCs w:val="22"/>
                <w:lang w:eastAsia="en-GB"/>
              </w:rPr>
              <w:t>Individual comment - GP</w:t>
            </w:r>
          </w:p>
        </w:tc>
        <w:tc>
          <w:tcPr>
            <w:tcW w:w="1778" w:type="pct"/>
          </w:tcPr>
          <w:p w14:paraId="44B33953" w14:textId="62C69461" w:rsidR="00321F25" w:rsidRPr="00FB2F69" w:rsidRDefault="00321F25" w:rsidP="00321F25">
            <w:pPr>
              <w:rPr>
                <w:rFonts w:ascii="Arial" w:hAnsi="Arial" w:cs="Arial"/>
                <w:sz w:val="22"/>
                <w:szCs w:val="22"/>
              </w:rPr>
            </w:pPr>
            <w:r w:rsidRPr="008F030B">
              <w:rPr>
                <w:rFonts w:ascii="Arial" w:hAnsi="Arial" w:cs="Arial"/>
                <w:color w:val="000000"/>
                <w:sz w:val="22"/>
                <w:szCs w:val="22"/>
                <w:lang w:eastAsia="en-GB"/>
              </w:rPr>
              <w:t xml:space="preserve">BP target for all patient with diabetes without moderate and severe frailty should be less than 140/90 </w:t>
            </w:r>
            <w:proofErr w:type="gramStart"/>
            <w:r w:rsidRPr="008F030B">
              <w:rPr>
                <w:rFonts w:ascii="Arial" w:hAnsi="Arial" w:cs="Arial"/>
                <w:color w:val="000000"/>
                <w:sz w:val="22"/>
                <w:szCs w:val="22"/>
                <w:lang w:eastAsia="en-GB"/>
              </w:rPr>
              <w:t>( instead</w:t>
            </w:r>
            <w:proofErr w:type="gramEnd"/>
            <w:r w:rsidRPr="008F030B">
              <w:rPr>
                <w:rFonts w:ascii="Arial" w:hAnsi="Arial" w:cs="Arial"/>
                <w:color w:val="000000"/>
                <w:sz w:val="22"/>
                <w:szCs w:val="22"/>
                <w:lang w:eastAsia="en-GB"/>
              </w:rPr>
              <w:t xml:space="preserve"> of 140/80). This target of less than 140/90 aligns with NICE guidelines for DM and HTN.  </w:t>
            </w:r>
          </w:p>
        </w:tc>
        <w:tc>
          <w:tcPr>
            <w:tcW w:w="1344" w:type="pct"/>
          </w:tcPr>
          <w:p w14:paraId="77372F51" w14:textId="77777777" w:rsidR="00321F25" w:rsidRPr="00EB56DD" w:rsidRDefault="00321F25" w:rsidP="00321F25">
            <w:pPr>
              <w:rPr>
                <w:rFonts w:ascii="Arial" w:hAnsi="Arial" w:cs="Arial"/>
                <w:color w:val="000000"/>
                <w:sz w:val="22"/>
                <w:szCs w:val="22"/>
                <w:lang w:eastAsia="en-GB"/>
              </w:rPr>
            </w:pPr>
            <w:r w:rsidRPr="00EB56DD">
              <w:rPr>
                <w:rFonts w:ascii="Arial" w:hAnsi="Arial" w:cs="Arial"/>
                <w:color w:val="000000"/>
                <w:sz w:val="22"/>
                <w:szCs w:val="22"/>
                <w:lang w:eastAsia="en-GB"/>
              </w:rPr>
              <w:t>Thank you for your comment.</w:t>
            </w:r>
          </w:p>
          <w:p w14:paraId="1B1F2DB7" w14:textId="77777777" w:rsidR="00321F25" w:rsidRPr="00EB56DD" w:rsidRDefault="00321F25" w:rsidP="00321F25">
            <w:pPr>
              <w:rPr>
                <w:rFonts w:ascii="Arial" w:hAnsi="Arial" w:cs="Arial"/>
                <w:color w:val="000000"/>
                <w:sz w:val="22"/>
                <w:szCs w:val="22"/>
                <w:lang w:eastAsia="en-GB"/>
              </w:rPr>
            </w:pPr>
          </w:p>
          <w:p w14:paraId="2AAAF1BB" w14:textId="16297F8E" w:rsidR="00321F25" w:rsidRDefault="00321F25" w:rsidP="00321F25">
            <w:pPr>
              <w:rPr>
                <w:rFonts w:ascii="Arial" w:hAnsi="Arial" w:cs="Arial"/>
                <w:sz w:val="22"/>
                <w:szCs w:val="22"/>
              </w:rPr>
            </w:pPr>
            <w:r w:rsidRPr="00EB56DD">
              <w:rPr>
                <w:rFonts w:ascii="Arial" w:hAnsi="Arial" w:cs="Arial"/>
                <w:color w:val="000000"/>
                <w:sz w:val="22"/>
                <w:szCs w:val="22"/>
                <w:lang w:eastAsia="en-GB"/>
              </w:rPr>
              <w:t>This indicator, with its revised target, has been progressed.</w:t>
            </w:r>
          </w:p>
        </w:tc>
      </w:tr>
    </w:tbl>
    <w:p w14:paraId="582D9699" w14:textId="19CBF8BE" w:rsidR="009E66FB" w:rsidRPr="009E66FB" w:rsidRDefault="009E66FB" w:rsidP="009E66FB">
      <w:pPr>
        <w:pStyle w:val="Paragraph"/>
      </w:pPr>
      <w:r w:rsidRPr="009E66FB">
        <w:t>IND 2022-123: The percentage of patients with type 1 diabetes without moderate or severe frailty, on the register, in whom the last blood pressure reading (measured in the preceding 12 months) is less than 135/85 mmHg.</w:t>
      </w:r>
    </w:p>
    <w:tbl>
      <w:tblPr>
        <w:tblStyle w:val="TableGrid"/>
        <w:tblW w:w="5000" w:type="pct"/>
        <w:tblLook w:val="04A0" w:firstRow="1" w:lastRow="0" w:firstColumn="1" w:lastColumn="0" w:noHBand="0" w:noVBand="1"/>
      </w:tblPr>
      <w:tblGrid>
        <w:gridCol w:w="781"/>
        <w:gridCol w:w="1194"/>
        <w:gridCol w:w="3264"/>
        <w:gridCol w:w="4961"/>
        <w:gridCol w:w="3750"/>
      </w:tblGrid>
      <w:tr w:rsidR="009E66FB" w:rsidRPr="003277FC" w14:paraId="76DD9509" w14:textId="77777777" w:rsidTr="00084CF4">
        <w:trPr>
          <w:tblHeader/>
        </w:trPr>
        <w:tc>
          <w:tcPr>
            <w:tcW w:w="280" w:type="pct"/>
            <w:noWrap/>
            <w:hideMark/>
          </w:tcPr>
          <w:p w14:paraId="0867EECE" w14:textId="77777777" w:rsidR="009E66FB" w:rsidRPr="00215444" w:rsidRDefault="009E66FB" w:rsidP="00084CF4">
            <w:pPr>
              <w:pStyle w:val="NICEnormal"/>
              <w:spacing w:line="240" w:lineRule="auto"/>
              <w:rPr>
                <w:rFonts w:cs="Arial"/>
                <w:b/>
                <w:sz w:val="22"/>
                <w:szCs w:val="22"/>
              </w:rPr>
            </w:pPr>
            <w:r>
              <w:rPr>
                <w:rFonts w:cs="Arial"/>
                <w:b/>
                <w:sz w:val="22"/>
                <w:szCs w:val="22"/>
              </w:rPr>
              <w:t>ID</w:t>
            </w:r>
          </w:p>
        </w:tc>
        <w:tc>
          <w:tcPr>
            <w:tcW w:w="428" w:type="pct"/>
          </w:tcPr>
          <w:p w14:paraId="164104DE"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Proforma question no.</w:t>
            </w:r>
          </w:p>
        </w:tc>
        <w:tc>
          <w:tcPr>
            <w:tcW w:w="1170" w:type="pct"/>
            <w:noWrap/>
            <w:hideMark/>
          </w:tcPr>
          <w:p w14:paraId="57647CAF"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 xml:space="preserve">Stakeholder </w:t>
            </w:r>
            <w:proofErr w:type="spellStart"/>
            <w:r w:rsidRPr="00215444">
              <w:rPr>
                <w:rFonts w:cs="Arial"/>
                <w:b/>
                <w:sz w:val="22"/>
                <w:szCs w:val="22"/>
              </w:rPr>
              <w:t>organisation</w:t>
            </w:r>
            <w:proofErr w:type="spellEnd"/>
          </w:p>
        </w:tc>
        <w:tc>
          <w:tcPr>
            <w:tcW w:w="1778" w:type="pct"/>
            <w:hideMark/>
          </w:tcPr>
          <w:p w14:paraId="45101CB7"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Comment</w:t>
            </w:r>
          </w:p>
        </w:tc>
        <w:tc>
          <w:tcPr>
            <w:tcW w:w="1344" w:type="pct"/>
          </w:tcPr>
          <w:p w14:paraId="162A7BD7" w14:textId="77777777" w:rsidR="009E66FB" w:rsidRPr="003277FC" w:rsidRDefault="009E66FB" w:rsidP="00084CF4">
            <w:pPr>
              <w:pStyle w:val="NICEnormal"/>
              <w:spacing w:line="240" w:lineRule="auto"/>
              <w:rPr>
                <w:rFonts w:cs="Arial"/>
                <w:b/>
                <w:sz w:val="22"/>
                <w:szCs w:val="22"/>
              </w:rPr>
            </w:pPr>
            <w:r>
              <w:rPr>
                <w:rFonts w:cs="Arial"/>
                <w:b/>
                <w:sz w:val="22"/>
                <w:szCs w:val="22"/>
              </w:rPr>
              <w:t>NICE response</w:t>
            </w:r>
          </w:p>
        </w:tc>
      </w:tr>
      <w:tr w:rsidR="00321F25" w:rsidRPr="00215444" w14:paraId="7B3FB5FF" w14:textId="498B5A5E" w:rsidTr="003277FC">
        <w:tc>
          <w:tcPr>
            <w:tcW w:w="280" w:type="pct"/>
          </w:tcPr>
          <w:p w14:paraId="387CC1AC" w14:textId="457376FF" w:rsidR="00321F25" w:rsidRDefault="00321F25" w:rsidP="00321F25">
            <w:pPr>
              <w:rPr>
                <w:rFonts w:ascii="Arial" w:hAnsi="Arial" w:cs="Arial"/>
                <w:sz w:val="22"/>
                <w:szCs w:val="22"/>
              </w:rPr>
            </w:pPr>
            <w:r>
              <w:rPr>
                <w:rFonts w:ascii="Arial" w:hAnsi="Arial" w:cs="Arial"/>
                <w:sz w:val="22"/>
                <w:szCs w:val="22"/>
              </w:rPr>
              <w:t>015</w:t>
            </w:r>
          </w:p>
        </w:tc>
        <w:tc>
          <w:tcPr>
            <w:tcW w:w="428" w:type="pct"/>
          </w:tcPr>
          <w:p w14:paraId="251EB755" w14:textId="647A8D51" w:rsidR="00321F25" w:rsidRDefault="00321F25" w:rsidP="00321F25">
            <w:pPr>
              <w:rPr>
                <w:rFonts w:ascii="Arial" w:hAnsi="Arial" w:cs="Arial"/>
                <w:sz w:val="22"/>
                <w:szCs w:val="22"/>
              </w:rPr>
            </w:pPr>
            <w:r>
              <w:rPr>
                <w:rFonts w:ascii="Arial" w:hAnsi="Arial" w:cs="Arial"/>
                <w:sz w:val="22"/>
                <w:szCs w:val="22"/>
              </w:rPr>
              <w:t>IND 2022-123</w:t>
            </w:r>
          </w:p>
        </w:tc>
        <w:tc>
          <w:tcPr>
            <w:tcW w:w="1170" w:type="pct"/>
          </w:tcPr>
          <w:p w14:paraId="266BF52C" w14:textId="35E5B882" w:rsidR="00321F25" w:rsidRDefault="00321F25" w:rsidP="00321F25">
            <w:pPr>
              <w:rPr>
                <w:rFonts w:ascii="Arial" w:hAnsi="Arial" w:cs="Arial"/>
                <w:sz w:val="22"/>
                <w:szCs w:val="22"/>
              </w:rPr>
            </w:pPr>
            <w:r w:rsidRPr="00370EAA">
              <w:rPr>
                <w:rFonts w:ascii="Arial" w:hAnsi="Arial" w:cs="Arial"/>
                <w:sz w:val="22"/>
                <w:szCs w:val="22"/>
              </w:rPr>
              <w:t>Primary Care Cardiovascular Society</w:t>
            </w:r>
          </w:p>
        </w:tc>
        <w:tc>
          <w:tcPr>
            <w:tcW w:w="1778" w:type="pct"/>
          </w:tcPr>
          <w:p w14:paraId="1FE41904" w14:textId="77777777" w:rsidR="00321F25" w:rsidRPr="00370EAA" w:rsidRDefault="00321F25" w:rsidP="00321F25">
            <w:pPr>
              <w:rPr>
                <w:rFonts w:ascii="Arial" w:hAnsi="Arial" w:cs="Arial"/>
                <w:sz w:val="22"/>
                <w:szCs w:val="22"/>
              </w:rPr>
            </w:pPr>
            <w:r w:rsidRPr="00370EAA">
              <w:rPr>
                <w:rFonts w:ascii="Arial" w:hAnsi="Arial" w:cs="Arial"/>
                <w:sz w:val="22"/>
                <w:szCs w:val="22"/>
              </w:rPr>
              <w:t xml:space="preserve">It is not helpful to have indicators that do not align with NICE guidance.  </w:t>
            </w:r>
          </w:p>
          <w:p w14:paraId="0CA07544" w14:textId="77777777" w:rsidR="00321F25" w:rsidRPr="00370EAA" w:rsidRDefault="00321F25" w:rsidP="00321F25">
            <w:pPr>
              <w:rPr>
                <w:rFonts w:ascii="Arial" w:hAnsi="Arial" w:cs="Arial"/>
                <w:sz w:val="22"/>
                <w:szCs w:val="22"/>
              </w:rPr>
            </w:pPr>
            <w:r w:rsidRPr="00370EAA">
              <w:rPr>
                <w:rFonts w:ascii="Arial" w:hAnsi="Arial" w:cs="Arial"/>
                <w:sz w:val="22"/>
                <w:szCs w:val="22"/>
              </w:rPr>
              <w:t xml:space="preserve">If there is a reason for the lower targets to be included in NICE, then this should be reflected in the </w:t>
            </w:r>
            <w:proofErr w:type="gramStart"/>
            <w:r w:rsidRPr="00370EAA">
              <w:rPr>
                <w:rFonts w:ascii="Arial" w:hAnsi="Arial" w:cs="Arial"/>
                <w:sz w:val="22"/>
                <w:szCs w:val="22"/>
              </w:rPr>
              <w:t>indicators</w:t>
            </w:r>
            <w:proofErr w:type="gramEnd"/>
          </w:p>
          <w:p w14:paraId="02BF57C5" w14:textId="77777777" w:rsidR="00321F25" w:rsidRPr="00370EAA" w:rsidRDefault="00321F25" w:rsidP="00321F25">
            <w:pPr>
              <w:rPr>
                <w:rFonts w:ascii="Arial" w:hAnsi="Arial" w:cs="Arial"/>
                <w:sz w:val="22"/>
                <w:szCs w:val="22"/>
              </w:rPr>
            </w:pPr>
            <w:r w:rsidRPr="00370EAA">
              <w:rPr>
                <w:rFonts w:ascii="Arial" w:hAnsi="Arial" w:cs="Arial"/>
                <w:sz w:val="22"/>
                <w:szCs w:val="22"/>
              </w:rPr>
              <w:t xml:space="preserve">NICE recommend blood pressure target of at 135/85 mmHg for adults with type 1 diabetes. </w:t>
            </w:r>
          </w:p>
          <w:p w14:paraId="0196DE89" w14:textId="77777777" w:rsidR="00321F25" w:rsidRPr="00370EAA" w:rsidRDefault="00321F25" w:rsidP="00321F25">
            <w:pPr>
              <w:rPr>
                <w:rFonts w:ascii="Arial" w:hAnsi="Arial" w:cs="Arial"/>
                <w:sz w:val="22"/>
                <w:szCs w:val="22"/>
              </w:rPr>
            </w:pPr>
            <w:r w:rsidRPr="00370EAA">
              <w:rPr>
                <w:rFonts w:ascii="Arial" w:hAnsi="Arial" w:cs="Arial"/>
                <w:sz w:val="22"/>
                <w:szCs w:val="22"/>
              </w:rPr>
              <w:lastRenderedPageBreak/>
              <w:t xml:space="preserve">If they have albuminuria or 2 or more features of metabolic syndrome, recommend blood pressure management at 130/80 mmHg. </w:t>
            </w:r>
          </w:p>
          <w:p w14:paraId="13E3E991" w14:textId="77777777" w:rsidR="00321F25" w:rsidRPr="00370EAA" w:rsidRDefault="00321F25" w:rsidP="00321F25">
            <w:pPr>
              <w:rPr>
                <w:rFonts w:ascii="Arial" w:hAnsi="Arial" w:cs="Arial"/>
                <w:sz w:val="22"/>
                <w:szCs w:val="22"/>
              </w:rPr>
            </w:pPr>
          </w:p>
          <w:p w14:paraId="16A962CB" w14:textId="29842834" w:rsidR="00321F25" w:rsidRPr="00370EAA" w:rsidRDefault="00321F25" w:rsidP="00321F25">
            <w:pPr>
              <w:rPr>
                <w:rFonts w:ascii="Arial" w:hAnsi="Arial" w:cs="Arial"/>
                <w:sz w:val="22"/>
                <w:szCs w:val="22"/>
              </w:rPr>
            </w:pPr>
            <w:r w:rsidRPr="00370EAA">
              <w:rPr>
                <w:rFonts w:ascii="Arial" w:hAnsi="Arial" w:cs="Arial"/>
                <w:sz w:val="22"/>
                <w:szCs w:val="22"/>
              </w:rPr>
              <w:t>Personalised care adjustments should be used to set individualised BP targets for people with frailty</w:t>
            </w:r>
          </w:p>
        </w:tc>
        <w:tc>
          <w:tcPr>
            <w:tcW w:w="1344" w:type="pct"/>
          </w:tcPr>
          <w:p w14:paraId="5DA91683" w14:textId="74DC78F4" w:rsidR="00321F25" w:rsidRDefault="00321F25" w:rsidP="00321F25">
            <w:pPr>
              <w:rPr>
                <w:rFonts w:ascii="Arial" w:hAnsi="Arial" w:cs="Arial"/>
                <w:sz w:val="22"/>
                <w:szCs w:val="22"/>
              </w:rPr>
            </w:pPr>
            <w:r>
              <w:rPr>
                <w:rFonts w:ascii="Arial" w:hAnsi="Arial" w:cs="Arial"/>
                <w:sz w:val="22"/>
                <w:szCs w:val="22"/>
              </w:rPr>
              <w:lastRenderedPageBreak/>
              <w:t xml:space="preserve">Thank you for your comment. </w:t>
            </w:r>
          </w:p>
          <w:p w14:paraId="3BBF649F" w14:textId="77777777" w:rsidR="00321F25" w:rsidRDefault="00321F25" w:rsidP="00321F25">
            <w:pPr>
              <w:rPr>
                <w:rFonts w:ascii="Arial" w:hAnsi="Arial" w:cs="Arial"/>
                <w:sz w:val="22"/>
                <w:szCs w:val="22"/>
              </w:rPr>
            </w:pPr>
          </w:p>
          <w:p w14:paraId="0216994D" w14:textId="1D3B1D79" w:rsidR="00321F25" w:rsidRPr="00370EAA" w:rsidRDefault="00321F25" w:rsidP="00321F25">
            <w:pPr>
              <w:rPr>
                <w:rFonts w:ascii="Arial" w:hAnsi="Arial" w:cs="Arial"/>
                <w:sz w:val="22"/>
                <w:szCs w:val="22"/>
              </w:rPr>
            </w:pPr>
            <w:r>
              <w:rPr>
                <w:rFonts w:ascii="Arial" w:hAnsi="Arial" w:cs="Arial"/>
                <w:sz w:val="22"/>
                <w:szCs w:val="22"/>
              </w:rPr>
              <w:t xml:space="preserve">This indicator has not been progressed to publication because of poor quality in coding of type of diabetes. </w:t>
            </w:r>
          </w:p>
        </w:tc>
      </w:tr>
      <w:tr w:rsidR="00321F25" w:rsidRPr="00215444" w14:paraId="5359A123" w14:textId="3803C796" w:rsidTr="003277FC">
        <w:tc>
          <w:tcPr>
            <w:tcW w:w="280" w:type="pct"/>
            <w:hideMark/>
          </w:tcPr>
          <w:p w14:paraId="1A4400A1" w14:textId="70213288" w:rsidR="00321F25" w:rsidRDefault="00321F25" w:rsidP="00321F25">
            <w:r>
              <w:rPr>
                <w:rFonts w:ascii="Arial" w:hAnsi="Arial" w:cs="Arial"/>
                <w:sz w:val="22"/>
                <w:szCs w:val="22"/>
              </w:rPr>
              <w:t>016</w:t>
            </w:r>
          </w:p>
        </w:tc>
        <w:tc>
          <w:tcPr>
            <w:tcW w:w="428" w:type="pct"/>
            <w:hideMark/>
          </w:tcPr>
          <w:p w14:paraId="3DD8D1A4" w14:textId="049C706F" w:rsidR="00321F25" w:rsidRDefault="00321F25" w:rsidP="00321F25">
            <w:r>
              <w:rPr>
                <w:rFonts w:ascii="Arial" w:hAnsi="Arial" w:cs="Arial"/>
                <w:sz w:val="22"/>
                <w:szCs w:val="22"/>
              </w:rPr>
              <w:t>IND 2022-123</w:t>
            </w:r>
          </w:p>
        </w:tc>
        <w:tc>
          <w:tcPr>
            <w:tcW w:w="1170" w:type="pct"/>
            <w:hideMark/>
          </w:tcPr>
          <w:p w14:paraId="41EF6069" w14:textId="431D53A6" w:rsidR="00321F25" w:rsidRPr="005B73E7" w:rsidRDefault="00321F25" w:rsidP="00321F25">
            <w:pPr>
              <w:rPr>
                <w:rFonts w:ascii="Arial" w:hAnsi="Arial" w:cs="Arial"/>
                <w:sz w:val="22"/>
                <w:szCs w:val="22"/>
              </w:rPr>
            </w:pPr>
            <w:r>
              <w:rPr>
                <w:rFonts w:ascii="Arial" w:hAnsi="Arial" w:cs="Arial"/>
                <w:sz w:val="22"/>
                <w:szCs w:val="22"/>
              </w:rPr>
              <w:t>RCGP</w:t>
            </w:r>
          </w:p>
        </w:tc>
        <w:tc>
          <w:tcPr>
            <w:tcW w:w="1778" w:type="pct"/>
            <w:hideMark/>
          </w:tcPr>
          <w:p w14:paraId="063D0FD4" w14:textId="77777777" w:rsidR="00321F25" w:rsidRPr="00BA2D2E" w:rsidRDefault="00321F25" w:rsidP="00321F25">
            <w:pPr>
              <w:rPr>
                <w:rFonts w:ascii="Arial" w:hAnsi="Arial" w:cs="Arial"/>
                <w:i/>
                <w:iCs/>
                <w:sz w:val="22"/>
                <w:szCs w:val="22"/>
              </w:rPr>
            </w:pPr>
            <w:r w:rsidRPr="00BA2D2E">
              <w:rPr>
                <w:rFonts w:ascii="Arial" w:hAnsi="Arial" w:cs="Arial"/>
                <w:i/>
                <w:iCs/>
                <w:sz w:val="22"/>
                <w:szCs w:val="22"/>
              </w:rPr>
              <w:t xml:space="preserve">Q1 None </w:t>
            </w:r>
            <w:proofErr w:type="gramStart"/>
            <w:r w:rsidRPr="00BA2D2E">
              <w:rPr>
                <w:rFonts w:ascii="Arial" w:hAnsi="Arial" w:cs="Arial"/>
                <w:i/>
                <w:iCs/>
                <w:sz w:val="22"/>
                <w:szCs w:val="22"/>
              </w:rPr>
              <w:t>identified</w:t>
            </w:r>
            <w:proofErr w:type="gramEnd"/>
          </w:p>
          <w:p w14:paraId="6F94E006" w14:textId="77777777" w:rsidR="00321F25" w:rsidRPr="00BA2D2E" w:rsidRDefault="00321F25" w:rsidP="00321F25">
            <w:pPr>
              <w:rPr>
                <w:rFonts w:ascii="Arial" w:hAnsi="Arial" w:cs="Arial"/>
                <w:i/>
                <w:iCs/>
                <w:sz w:val="22"/>
                <w:szCs w:val="22"/>
              </w:rPr>
            </w:pPr>
            <w:r w:rsidRPr="00BA2D2E">
              <w:rPr>
                <w:rFonts w:ascii="Arial" w:hAnsi="Arial" w:cs="Arial"/>
                <w:i/>
                <w:iCs/>
                <w:sz w:val="22"/>
                <w:szCs w:val="22"/>
              </w:rPr>
              <w:t xml:space="preserve">Q2 None </w:t>
            </w:r>
            <w:proofErr w:type="gramStart"/>
            <w:r w:rsidRPr="00BA2D2E">
              <w:rPr>
                <w:rFonts w:ascii="Arial" w:hAnsi="Arial" w:cs="Arial"/>
                <w:i/>
                <w:iCs/>
                <w:sz w:val="22"/>
                <w:szCs w:val="22"/>
              </w:rPr>
              <w:t>identified</w:t>
            </w:r>
            <w:proofErr w:type="gramEnd"/>
          </w:p>
          <w:p w14:paraId="3D63463C" w14:textId="77777777" w:rsidR="00321F25" w:rsidRPr="00BA2D2E" w:rsidRDefault="00321F25" w:rsidP="00321F25">
            <w:pPr>
              <w:rPr>
                <w:rFonts w:ascii="Arial" w:hAnsi="Arial" w:cs="Arial"/>
                <w:i/>
                <w:iCs/>
                <w:sz w:val="22"/>
                <w:szCs w:val="22"/>
              </w:rPr>
            </w:pPr>
            <w:r w:rsidRPr="00BA2D2E">
              <w:rPr>
                <w:rFonts w:ascii="Arial" w:hAnsi="Arial" w:cs="Arial"/>
                <w:i/>
                <w:iCs/>
                <w:sz w:val="22"/>
                <w:szCs w:val="22"/>
              </w:rPr>
              <w:t xml:space="preserve">Q3 None </w:t>
            </w:r>
            <w:proofErr w:type="gramStart"/>
            <w:r w:rsidRPr="00BA2D2E">
              <w:rPr>
                <w:rFonts w:ascii="Arial" w:hAnsi="Arial" w:cs="Arial"/>
                <w:i/>
                <w:iCs/>
                <w:sz w:val="22"/>
                <w:szCs w:val="22"/>
              </w:rPr>
              <w:t>identified</w:t>
            </w:r>
            <w:proofErr w:type="gramEnd"/>
          </w:p>
          <w:p w14:paraId="79D42A76" w14:textId="77777777" w:rsidR="00321F25" w:rsidRDefault="00321F25" w:rsidP="00321F25">
            <w:pPr>
              <w:rPr>
                <w:rFonts w:ascii="Arial" w:hAnsi="Arial" w:cs="Arial"/>
                <w:i/>
                <w:iCs/>
                <w:sz w:val="22"/>
                <w:szCs w:val="22"/>
              </w:rPr>
            </w:pPr>
            <w:r w:rsidRPr="00BA2D2E">
              <w:rPr>
                <w:rFonts w:ascii="Arial" w:hAnsi="Arial" w:cs="Arial"/>
                <w:i/>
                <w:iCs/>
                <w:sz w:val="22"/>
                <w:szCs w:val="22"/>
              </w:rPr>
              <w:t xml:space="preserve">Q4 None </w:t>
            </w:r>
            <w:proofErr w:type="gramStart"/>
            <w:r w:rsidRPr="00BA2D2E">
              <w:rPr>
                <w:rFonts w:ascii="Arial" w:hAnsi="Arial" w:cs="Arial"/>
                <w:i/>
                <w:iCs/>
                <w:sz w:val="22"/>
                <w:szCs w:val="22"/>
              </w:rPr>
              <w:t>identified</w:t>
            </w:r>
            <w:proofErr w:type="gramEnd"/>
          </w:p>
          <w:p w14:paraId="242D8CA2" w14:textId="77777777" w:rsidR="00321F25" w:rsidRDefault="00321F25" w:rsidP="00321F25">
            <w:pPr>
              <w:rPr>
                <w:rFonts w:ascii="Arial" w:hAnsi="Arial" w:cs="Arial"/>
                <w:i/>
                <w:iCs/>
                <w:sz w:val="22"/>
                <w:szCs w:val="22"/>
              </w:rPr>
            </w:pPr>
          </w:p>
          <w:p w14:paraId="17528233" w14:textId="5B6DF3C4" w:rsidR="00321F25" w:rsidRPr="00EE065C" w:rsidRDefault="00321F25" w:rsidP="00321F25">
            <w:pPr>
              <w:rPr>
                <w:rFonts w:ascii="Arial" w:hAnsi="Arial" w:cs="Arial"/>
                <w:sz w:val="22"/>
                <w:szCs w:val="22"/>
              </w:rPr>
            </w:pPr>
          </w:p>
        </w:tc>
        <w:tc>
          <w:tcPr>
            <w:tcW w:w="1344" w:type="pct"/>
          </w:tcPr>
          <w:p w14:paraId="49846332" w14:textId="77777777" w:rsidR="00321F25" w:rsidRPr="00BF0D02" w:rsidRDefault="00321F25" w:rsidP="00321F25">
            <w:pPr>
              <w:rPr>
                <w:rFonts w:ascii="Arial" w:hAnsi="Arial" w:cs="Arial"/>
                <w:sz w:val="22"/>
                <w:szCs w:val="22"/>
              </w:rPr>
            </w:pPr>
            <w:r w:rsidRPr="00BF0D02">
              <w:rPr>
                <w:rFonts w:ascii="Arial" w:hAnsi="Arial" w:cs="Arial"/>
                <w:sz w:val="22"/>
                <w:szCs w:val="22"/>
              </w:rPr>
              <w:t xml:space="preserve">Thank you for your comment. </w:t>
            </w:r>
          </w:p>
          <w:p w14:paraId="76DE49E8" w14:textId="77777777" w:rsidR="00321F25" w:rsidRPr="00BF0D02" w:rsidRDefault="00321F25" w:rsidP="00321F25">
            <w:pPr>
              <w:rPr>
                <w:rFonts w:ascii="Arial" w:hAnsi="Arial" w:cs="Arial"/>
                <w:sz w:val="22"/>
                <w:szCs w:val="22"/>
              </w:rPr>
            </w:pPr>
          </w:p>
          <w:p w14:paraId="040C8A35" w14:textId="491927B8" w:rsidR="00321F25" w:rsidRPr="003277FC" w:rsidRDefault="00321F25" w:rsidP="00321F25">
            <w:pPr>
              <w:rPr>
                <w:rFonts w:ascii="Arial" w:hAnsi="Arial" w:cs="Arial"/>
                <w:sz w:val="22"/>
                <w:szCs w:val="22"/>
              </w:rPr>
            </w:pPr>
            <w:r w:rsidRPr="00BF0D02">
              <w:rPr>
                <w:rFonts w:ascii="Arial" w:hAnsi="Arial" w:cs="Arial"/>
                <w:sz w:val="22"/>
                <w:szCs w:val="22"/>
              </w:rPr>
              <w:t>This indicator has not been progressed to publication because of poor quality in coding of type of diabetes.</w:t>
            </w:r>
          </w:p>
        </w:tc>
      </w:tr>
      <w:tr w:rsidR="00321F25" w:rsidRPr="00215444" w14:paraId="348887B8" w14:textId="77777777" w:rsidTr="003277FC">
        <w:tc>
          <w:tcPr>
            <w:tcW w:w="280" w:type="pct"/>
          </w:tcPr>
          <w:p w14:paraId="740C2F2C" w14:textId="6DEA4828" w:rsidR="00321F25" w:rsidRDefault="00321F25" w:rsidP="00321F25">
            <w:pPr>
              <w:rPr>
                <w:rFonts w:ascii="Arial" w:hAnsi="Arial" w:cs="Arial"/>
                <w:sz w:val="22"/>
                <w:szCs w:val="22"/>
              </w:rPr>
            </w:pPr>
            <w:r>
              <w:rPr>
                <w:rFonts w:ascii="Arial" w:hAnsi="Arial" w:cs="Arial"/>
                <w:sz w:val="22"/>
                <w:szCs w:val="22"/>
              </w:rPr>
              <w:t>017</w:t>
            </w:r>
          </w:p>
        </w:tc>
        <w:tc>
          <w:tcPr>
            <w:tcW w:w="428" w:type="pct"/>
          </w:tcPr>
          <w:p w14:paraId="127A9D1A" w14:textId="3EFB799D" w:rsidR="00321F25" w:rsidRDefault="00321F25" w:rsidP="00321F25">
            <w:pPr>
              <w:rPr>
                <w:rFonts w:ascii="Arial" w:hAnsi="Arial" w:cs="Arial"/>
                <w:sz w:val="22"/>
                <w:szCs w:val="22"/>
              </w:rPr>
            </w:pPr>
            <w:r>
              <w:rPr>
                <w:rFonts w:ascii="Arial" w:hAnsi="Arial" w:cs="Arial"/>
                <w:sz w:val="22"/>
                <w:szCs w:val="22"/>
              </w:rPr>
              <w:t>IND-2022-123</w:t>
            </w:r>
          </w:p>
        </w:tc>
        <w:tc>
          <w:tcPr>
            <w:tcW w:w="1170" w:type="pct"/>
          </w:tcPr>
          <w:p w14:paraId="04E9BA80" w14:textId="48802CA9" w:rsidR="00321F25" w:rsidRDefault="00321F25" w:rsidP="00321F25">
            <w:pPr>
              <w:rPr>
                <w:rFonts w:ascii="Arial" w:hAnsi="Arial" w:cs="Arial"/>
                <w:sz w:val="22"/>
                <w:szCs w:val="22"/>
              </w:rPr>
            </w:pPr>
            <w:r w:rsidRPr="008F030B">
              <w:rPr>
                <w:rFonts w:ascii="Arial" w:hAnsi="Arial" w:cs="Arial"/>
                <w:color w:val="000000"/>
                <w:sz w:val="22"/>
                <w:szCs w:val="22"/>
                <w:lang w:eastAsia="en-GB"/>
              </w:rPr>
              <w:t>Individual comment - GP</w:t>
            </w:r>
          </w:p>
        </w:tc>
        <w:tc>
          <w:tcPr>
            <w:tcW w:w="1778" w:type="pct"/>
          </w:tcPr>
          <w:p w14:paraId="15A481FE" w14:textId="783E2D80" w:rsidR="00321F25" w:rsidRPr="00BA2D2E" w:rsidRDefault="00321F25" w:rsidP="00321F25">
            <w:pPr>
              <w:rPr>
                <w:rFonts w:ascii="Arial" w:hAnsi="Arial" w:cs="Arial"/>
                <w:i/>
                <w:iCs/>
                <w:sz w:val="22"/>
                <w:szCs w:val="22"/>
              </w:rPr>
            </w:pPr>
            <w:r w:rsidRPr="008F030B">
              <w:rPr>
                <w:rFonts w:ascii="Arial" w:hAnsi="Arial" w:cs="Arial"/>
                <w:color w:val="000000"/>
                <w:sz w:val="22"/>
                <w:szCs w:val="22"/>
                <w:lang w:eastAsia="en-GB"/>
              </w:rPr>
              <w:t xml:space="preserve">BP target in T1DM. I would suggest </w:t>
            </w:r>
            <w:proofErr w:type="gramStart"/>
            <w:r w:rsidRPr="008F030B">
              <w:rPr>
                <w:rFonts w:ascii="Arial" w:hAnsi="Arial" w:cs="Arial"/>
                <w:color w:val="000000"/>
                <w:sz w:val="22"/>
                <w:szCs w:val="22"/>
                <w:lang w:eastAsia="en-GB"/>
              </w:rPr>
              <w:t>to keep</w:t>
            </w:r>
            <w:proofErr w:type="gramEnd"/>
            <w:r w:rsidRPr="008F030B">
              <w:rPr>
                <w:rFonts w:ascii="Arial" w:hAnsi="Arial" w:cs="Arial"/>
                <w:color w:val="000000"/>
                <w:sz w:val="22"/>
                <w:szCs w:val="22"/>
                <w:lang w:eastAsia="en-GB"/>
              </w:rPr>
              <w:t xml:space="preserve"> it as 140/90 instead of 135/85. Reasons it will be aligned with T2DM and HTN guidelines and would create less confusion in primary care regarding HTN management targets. I would suggest target for T1DM with moderate to severe frailty to be 150/90 like T2DM too.</w:t>
            </w:r>
          </w:p>
        </w:tc>
        <w:tc>
          <w:tcPr>
            <w:tcW w:w="1344" w:type="pct"/>
          </w:tcPr>
          <w:p w14:paraId="04648D1A" w14:textId="77777777" w:rsidR="00321F25" w:rsidRPr="00EB56DD" w:rsidRDefault="00321F25" w:rsidP="00321F25">
            <w:pPr>
              <w:rPr>
                <w:rFonts w:ascii="Arial" w:hAnsi="Arial" w:cs="Arial"/>
                <w:color w:val="000000"/>
                <w:sz w:val="22"/>
                <w:szCs w:val="22"/>
                <w:lang w:eastAsia="en-GB"/>
              </w:rPr>
            </w:pPr>
            <w:r w:rsidRPr="00EB56DD">
              <w:rPr>
                <w:rFonts w:ascii="Arial" w:hAnsi="Arial" w:cs="Arial"/>
                <w:color w:val="000000"/>
                <w:sz w:val="22"/>
                <w:szCs w:val="22"/>
                <w:lang w:eastAsia="en-GB"/>
              </w:rPr>
              <w:t xml:space="preserve">Thank you for your comment. </w:t>
            </w:r>
          </w:p>
          <w:p w14:paraId="2085CCD4" w14:textId="77777777" w:rsidR="00321F25" w:rsidRPr="00EB56DD" w:rsidRDefault="00321F25" w:rsidP="00321F25">
            <w:pPr>
              <w:rPr>
                <w:rFonts w:ascii="Arial" w:hAnsi="Arial" w:cs="Arial"/>
                <w:color w:val="000000"/>
                <w:sz w:val="22"/>
                <w:szCs w:val="22"/>
                <w:lang w:eastAsia="en-GB"/>
              </w:rPr>
            </w:pPr>
          </w:p>
          <w:p w14:paraId="631B974E" w14:textId="480FA533" w:rsidR="00321F25" w:rsidRPr="00BF0D02" w:rsidRDefault="00321F25" w:rsidP="00321F25">
            <w:pPr>
              <w:rPr>
                <w:rFonts w:ascii="Arial" w:hAnsi="Arial" w:cs="Arial"/>
                <w:sz w:val="22"/>
                <w:szCs w:val="22"/>
              </w:rPr>
            </w:pPr>
            <w:r w:rsidRPr="00EB56DD">
              <w:rPr>
                <w:rFonts w:ascii="Arial" w:hAnsi="Arial" w:cs="Arial"/>
                <w:color w:val="000000"/>
                <w:sz w:val="22"/>
                <w:szCs w:val="22"/>
                <w:lang w:eastAsia="en-GB"/>
              </w:rPr>
              <w:t>This indicator has not been progressed to publication because of poor quality in coding of type of diabetes.</w:t>
            </w:r>
          </w:p>
        </w:tc>
      </w:tr>
    </w:tbl>
    <w:p w14:paraId="2DAB615F" w14:textId="7B39CD87" w:rsidR="009E66FB" w:rsidRPr="009E66FB" w:rsidRDefault="009E66FB" w:rsidP="009E66FB">
      <w:pPr>
        <w:pStyle w:val="Paragraph"/>
      </w:pPr>
      <w:r w:rsidRPr="009E66FB">
        <w:t>Question 15: NICE’s guideline on hypertension recommends using clinical judgement when setting treatment targets for people with frailty; NICE’s guideline for type 1 diabetes does not reflect this recommendation. Should this indicator include all people with type 1 diabetes irrespective of frailty?</w:t>
      </w:r>
    </w:p>
    <w:tbl>
      <w:tblPr>
        <w:tblStyle w:val="TableGrid"/>
        <w:tblW w:w="5000" w:type="pct"/>
        <w:tblLook w:val="04A0" w:firstRow="1" w:lastRow="0" w:firstColumn="1" w:lastColumn="0" w:noHBand="0" w:noVBand="1"/>
      </w:tblPr>
      <w:tblGrid>
        <w:gridCol w:w="781"/>
        <w:gridCol w:w="1194"/>
        <w:gridCol w:w="3264"/>
        <w:gridCol w:w="4961"/>
        <w:gridCol w:w="3750"/>
      </w:tblGrid>
      <w:tr w:rsidR="009E66FB" w:rsidRPr="003277FC" w14:paraId="0836255F" w14:textId="77777777" w:rsidTr="00084CF4">
        <w:trPr>
          <w:tblHeader/>
        </w:trPr>
        <w:tc>
          <w:tcPr>
            <w:tcW w:w="280" w:type="pct"/>
            <w:noWrap/>
            <w:hideMark/>
          </w:tcPr>
          <w:p w14:paraId="5700DE67" w14:textId="77777777" w:rsidR="009E66FB" w:rsidRPr="00215444" w:rsidRDefault="009E66FB" w:rsidP="00084CF4">
            <w:pPr>
              <w:pStyle w:val="NICEnormal"/>
              <w:spacing w:line="240" w:lineRule="auto"/>
              <w:rPr>
                <w:rFonts w:cs="Arial"/>
                <w:b/>
                <w:sz w:val="22"/>
                <w:szCs w:val="22"/>
              </w:rPr>
            </w:pPr>
            <w:r>
              <w:rPr>
                <w:rFonts w:cs="Arial"/>
                <w:b/>
                <w:sz w:val="22"/>
                <w:szCs w:val="22"/>
              </w:rPr>
              <w:lastRenderedPageBreak/>
              <w:t>ID</w:t>
            </w:r>
          </w:p>
        </w:tc>
        <w:tc>
          <w:tcPr>
            <w:tcW w:w="428" w:type="pct"/>
          </w:tcPr>
          <w:p w14:paraId="5760EECE"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Proforma question no.</w:t>
            </w:r>
          </w:p>
        </w:tc>
        <w:tc>
          <w:tcPr>
            <w:tcW w:w="1170" w:type="pct"/>
            <w:noWrap/>
            <w:hideMark/>
          </w:tcPr>
          <w:p w14:paraId="3CB6496D"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 xml:space="preserve">Stakeholder </w:t>
            </w:r>
            <w:proofErr w:type="spellStart"/>
            <w:r w:rsidRPr="00215444">
              <w:rPr>
                <w:rFonts w:cs="Arial"/>
                <w:b/>
                <w:sz w:val="22"/>
                <w:szCs w:val="22"/>
              </w:rPr>
              <w:t>organisation</w:t>
            </w:r>
            <w:proofErr w:type="spellEnd"/>
          </w:p>
        </w:tc>
        <w:tc>
          <w:tcPr>
            <w:tcW w:w="1778" w:type="pct"/>
            <w:hideMark/>
          </w:tcPr>
          <w:p w14:paraId="382BA65A"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Comment</w:t>
            </w:r>
          </w:p>
        </w:tc>
        <w:tc>
          <w:tcPr>
            <w:tcW w:w="1344" w:type="pct"/>
          </w:tcPr>
          <w:p w14:paraId="7D9996AB" w14:textId="77777777" w:rsidR="009E66FB" w:rsidRPr="003277FC" w:rsidRDefault="009E66FB" w:rsidP="00084CF4">
            <w:pPr>
              <w:pStyle w:val="NICEnormal"/>
              <w:spacing w:line="240" w:lineRule="auto"/>
              <w:rPr>
                <w:rFonts w:cs="Arial"/>
                <w:b/>
                <w:sz w:val="22"/>
                <w:szCs w:val="22"/>
              </w:rPr>
            </w:pPr>
            <w:r>
              <w:rPr>
                <w:rFonts w:cs="Arial"/>
                <w:b/>
                <w:sz w:val="22"/>
                <w:szCs w:val="22"/>
              </w:rPr>
              <w:t>NICE response</w:t>
            </w:r>
          </w:p>
        </w:tc>
      </w:tr>
      <w:tr w:rsidR="009E66FB" w:rsidRPr="003277FC" w14:paraId="2954421E" w14:textId="77777777" w:rsidTr="00084CF4">
        <w:trPr>
          <w:tblHeader/>
        </w:trPr>
        <w:tc>
          <w:tcPr>
            <w:tcW w:w="280" w:type="pct"/>
            <w:noWrap/>
          </w:tcPr>
          <w:p w14:paraId="18A93054" w14:textId="05FD7EE9" w:rsidR="009E66FB" w:rsidRDefault="009E66FB" w:rsidP="009E66FB">
            <w:pPr>
              <w:pStyle w:val="NICEnormal"/>
              <w:spacing w:line="240" w:lineRule="auto"/>
              <w:rPr>
                <w:rFonts w:cs="Arial"/>
                <w:b/>
                <w:sz w:val="22"/>
                <w:szCs w:val="22"/>
              </w:rPr>
            </w:pPr>
            <w:r w:rsidRPr="00415203">
              <w:t>018</w:t>
            </w:r>
          </w:p>
        </w:tc>
        <w:tc>
          <w:tcPr>
            <w:tcW w:w="428" w:type="pct"/>
          </w:tcPr>
          <w:p w14:paraId="2DAFD56B" w14:textId="68FA6431" w:rsidR="009E66FB" w:rsidRPr="00215444" w:rsidRDefault="009E66FB" w:rsidP="009E66FB">
            <w:pPr>
              <w:pStyle w:val="NICEnormal"/>
              <w:spacing w:line="240" w:lineRule="auto"/>
              <w:rPr>
                <w:rFonts w:cs="Arial"/>
                <w:b/>
                <w:sz w:val="22"/>
                <w:szCs w:val="22"/>
              </w:rPr>
            </w:pPr>
            <w:r w:rsidRPr="00415203">
              <w:t>IND 2022-123</w:t>
            </w:r>
          </w:p>
        </w:tc>
        <w:tc>
          <w:tcPr>
            <w:tcW w:w="1170" w:type="pct"/>
            <w:noWrap/>
          </w:tcPr>
          <w:p w14:paraId="4D9B279D" w14:textId="68E2AACD" w:rsidR="009E66FB" w:rsidRPr="00215444" w:rsidRDefault="009E66FB" w:rsidP="009E66FB">
            <w:pPr>
              <w:pStyle w:val="NICEnormal"/>
              <w:spacing w:line="240" w:lineRule="auto"/>
              <w:rPr>
                <w:rFonts w:cs="Arial"/>
                <w:b/>
                <w:sz w:val="22"/>
                <w:szCs w:val="22"/>
              </w:rPr>
            </w:pPr>
            <w:r w:rsidRPr="00415203">
              <w:t>RCGP</w:t>
            </w:r>
          </w:p>
        </w:tc>
        <w:tc>
          <w:tcPr>
            <w:tcW w:w="1778" w:type="pct"/>
          </w:tcPr>
          <w:p w14:paraId="544B7F49" w14:textId="5ABF761A" w:rsidR="009E66FB" w:rsidRPr="00215444" w:rsidRDefault="009E66FB" w:rsidP="009E66FB">
            <w:pPr>
              <w:pStyle w:val="NICEnormal"/>
              <w:spacing w:line="240" w:lineRule="auto"/>
              <w:rPr>
                <w:rFonts w:cs="Arial"/>
                <w:b/>
                <w:sz w:val="22"/>
                <w:szCs w:val="22"/>
              </w:rPr>
            </w:pPr>
            <w:r w:rsidRPr="00415203">
              <w:t>We support the indicator in its current form. This indicator should not include all people with type 1 diabetes irrespective of frailty as it is important to exclude this population of patients due to the complications that occur with lowering blood pressure below the maximum tolerated. Patients with frailty need a more individual care plan looking at making sure all the benefits outweigh the risks.</w:t>
            </w:r>
          </w:p>
        </w:tc>
        <w:tc>
          <w:tcPr>
            <w:tcW w:w="1344" w:type="pct"/>
          </w:tcPr>
          <w:p w14:paraId="6F5EF7C5" w14:textId="7E22B868" w:rsidR="009E66FB" w:rsidRDefault="009E66FB" w:rsidP="009E66FB">
            <w:pPr>
              <w:pStyle w:val="NICEnormal"/>
              <w:spacing w:line="240" w:lineRule="auto"/>
              <w:rPr>
                <w:rFonts w:cs="Arial"/>
                <w:b/>
                <w:sz w:val="22"/>
                <w:szCs w:val="22"/>
              </w:rPr>
            </w:pPr>
            <w:r w:rsidRPr="00415203">
              <w:t xml:space="preserve">Thank you for your comment. </w:t>
            </w:r>
          </w:p>
        </w:tc>
      </w:tr>
    </w:tbl>
    <w:p w14:paraId="20445BBF" w14:textId="7F9DEB05" w:rsidR="009E66FB" w:rsidRPr="009E66FB" w:rsidRDefault="009E66FB" w:rsidP="009E66FB">
      <w:pPr>
        <w:pStyle w:val="Paragraph"/>
      </w:pPr>
      <w:r w:rsidRPr="009E66FB">
        <w:t>IND 2022-124: The percentage of patients with type 2 or other diabetes without moderate or severe frailty, on the register, in whom the last blood pressure reading (measured in the preceding 12 months) is less than 140/90 mmHg.</w:t>
      </w:r>
    </w:p>
    <w:tbl>
      <w:tblPr>
        <w:tblStyle w:val="TableGrid"/>
        <w:tblW w:w="5000" w:type="pct"/>
        <w:tblLook w:val="04A0" w:firstRow="1" w:lastRow="0" w:firstColumn="1" w:lastColumn="0" w:noHBand="0" w:noVBand="1"/>
      </w:tblPr>
      <w:tblGrid>
        <w:gridCol w:w="781"/>
        <w:gridCol w:w="1194"/>
        <w:gridCol w:w="3264"/>
        <w:gridCol w:w="4961"/>
        <w:gridCol w:w="3750"/>
      </w:tblGrid>
      <w:tr w:rsidR="009E66FB" w:rsidRPr="003277FC" w14:paraId="68DE6D09" w14:textId="77777777" w:rsidTr="00084CF4">
        <w:trPr>
          <w:tblHeader/>
        </w:trPr>
        <w:tc>
          <w:tcPr>
            <w:tcW w:w="280" w:type="pct"/>
            <w:noWrap/>
            <w:hideMark/>
          </w:tcPr>
          <w:p w14:paraId="684E1DE5" w14:textId="77777777" w:rsidR="009E66FB" w:rsidRPr="00215444" w:rsidRDefault="009E66FB" w:rsidP="00084CF4">
            <w:pPr>
              <w:pStyle w:val="NICEnormal"/>
              <w:spacing w:line="240" w:lineRule="auto"/>
              <w:rPr>
                <w:rFonts w:cs="Arial"/>
                <w:b/>
                <w:sz w:val="22"/>
                <w:szCs w:val="22"/>
              </w:rPr>
            </w:pPr>
            <w:r>
              <w:rPr>
                <w:rFonts w:cs="Arial"/>
                <w:b/>
                <w:sz w:val="22"/>
                <w:szCs w:val="22"/>
              </w:rPr>
              <w:t>ID</w:t>
            </w:r>
          </w:p>
        </w:tc>
        <w:tc>
          <w:tcPr>
            <w:tcW w:w="428" w:type="pct"/>
          </w:tcPr>
          <w:p w14:paraId="17DDB66E"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Proforma question no.</w:t>
            </w:r>
          </w:p>
        </w:tc>
        <w:tc>
          <w:tcPr>
            <w:tcW w:w="1170" w:type="pct"/>
            <w:noWrap/>
            <w:hideMark/>
          </w:tcPr>
          <w:p w14:paraId="2FAC6471"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 xml:space="preserve">Stakeholder </w:t>
            </w:r>
            <w:proofErr w:type="spellStart"/>
            <w:r w:rsidRPr="00215444">
              <w:rPr>
                <w:rFonts w:cs="Arial"/>
                <w:b/>
                <w:sz w:val="22"/>
                <w:szCs w:val="22"/>
              </w:rPr>
              <w:t>organisation</w:t>
            </w:r>
            <w:proofErr w:type="spellEnd"/>
          </w:p>
        </w:tc>
        <w:tc>
          <w:tcPr>
            <w:tcW w:w="1778" w:type="pct"/>
            <w:hideMark/>
          </w:tcPr>
          <w:p w14:paraId="03960BA9" w14:textId="77777777" w:rsidR="009E66FB" w:rsidRPr="00215444" w:rsidRDefault="009E66FB" w:rsidP="00084CF4">
            <w:pPr>
              <w:pStyle w:val="NICEnormal"/>
              <w:spacing w:line="240" w:lineRule="auto"/>
              <w:rPr>
                <w:rFonts w:cs="Arial"/>
                <w:b/>
                <w:sz w:val="22"/>
                <w:szCs w:val="22"/>
              </w:rPr>
            </w:pPr>
            <w:r w:rsidRPr="00215444">
              <w:rPr>
                <w:rFonts w:cs="Arial"/>
                <w:b/>
                <w:sz w:val="22"/>
                <w:szCs w:val="22"/>
              </w:rPr>
              <w:t>Comment</w:t>
            </w:r>
          </w:p>
        </w:tc>
        <w:tc>
          <w:tcPr>
            <w:tcW w:w="1344" w:type="pct"/>
          </w:tcPr>
          <w:p w14:paraId="2E4A063F" w14:textId="77777777" w:rsidR="009E66FB" w:rsidRPr="003277FC" w:rsidRDefault="009E66FB" w:rsidP="00084CF4">
            <w:pPr>
              <w:pStyle w:val="NICEnormal"/>
              <w:spacing w:line="240" w:lineRule="auto"/>
              <w:rPr>
                <w:rFonts w:cs="Arial"/>
                <w:b/>
                <w:sz w:val="22"/>
                <w:szCs w:val="22"/>
              </w:rPr>
            </w:pPr>
            <w:r>
              <w:rPr>
                <w:rFonts w:cs="Arial"/>
                <w:b/>
                <w:sz w:val="22"/>
                <w:szCs w:val="22"/>
              </w:rPr>
              <w:t>NICE response</w:t>
            </w:r>
          </w:p>
        </w:tc>
      </w:tr>
      <w:tr w:rsidR="00321F25" w:rsidRPr="00215444" w14:paraId="4903BC55" w14:textId="53841C38" w:rsidTr="003277FC">
        <w:tc>
          <w:tcPr>
            <w:tcW w:w="280" w:type="pct"/>
          </w:tcPr>
          <w:p w14:paraId="50FF8DED" w14:textId="0A9124A4" w:rsidR="00321F25" w:rsidRPr="00B21341" w:rsidRDefault="00321F25" w:rsidP="00321F25">
            <w:pPr>
              <w:rPr>
                <w:rFonts w:ascii="Arial" w:hAnsi="Arial" w:cs="Arial"/>
                <w:sz w:val="22"/>
                <w:szCs w:val="22"/>
              </w:rPr>
            </w:pPr>
            <w:r>
              <w:rPr>
                <w:rFonts w:ascii="Arial" w:hAnsi="Arial" w:cs="Arial"/>
                <w:sz w:val="22"/>
                <w:szCs w:val="22"/>
              </w:rPr>
              <w:t>019</w:t>
            </w:r>
          </w:p>
        </w:tc>
        <w:tc>
          <w:tcPr>
            <w:tcW w:w="428" w:type="pct"/>
          </w:tcPr>
          <w:p w14:paraId="76F49642" w14:textId="3001B96B" w:rsidR="00321F25" w:rsidRDefault="00321F25" w:rsidP="00321F25">
            <w:pPr>
              <w:rPr>
                <w:rFonts w:ascii="Arial" w:hAnsi="Arial" w:cs="Arial"/>
                <w:sz w:val="22"/>
                <w:szCs w:val="22"/>
              </w:rPr>
            </w:pPr>
            <w:r>
              <w:rPr>
                <w:rFonts w:ascii="Arial" w:hAnsi="Arial" w:cs="Arial"/>
                <w:sz w:val="22"/>
                <w:szCs w:val="22"/>
              </w:rPr>
              <w:t>IND 2022-124</w:t>
            </w:r>
          </w:p>
        </w:tc>
        <w:tc>
          <w:tcPr>
            <w:tcW w:w="1170" w:type="pct"/>
          </w:tcPr>
          <w:p w14:paraId="20356807" w14:textId="74C7EA5A" w:rsidR="00321F25" w:rsidRDefault="00321F25" w:rsidP="00321F25">
            <w:pPr>
              <w:rPr>
                <w:rFonts w:ascii="Arial" w:hAnsi="Arial" w:cs="Arial"/>
                <w:sz w:val="22"/>
                <w:szCs w:val="22"/>
              </w:rPr>
            </w:pPr>
            <w:r>
              <w:rPr>
                <w:rFonts w:ascii="Arial" w:hAnsi="Arial" w:cs="Arial"/>
                <w:sz w:val="22"/>
                <w:szCs w:val="22"/>
              </w:rPr>
              <w:t xml:space="preserve">Primary Care Cardiovascular Society </w:t>
            </w:r>
          </w:p>
        </w:tc>
        <w:tc>
          <w:tcPr>
            <w:tcW w:w="1778" w:type="pct"/>
          </w:tcPr>
          <w:p w14:paraId="3BE4865F" w14:textId="1E084113" w:rsidR="00321F25" w:rsidRPr="00370EAA" w:rsidRDefault="00321F25" w:rsidP="00321F25">
            <w:pPr>
              <w:rPr>
                <w:rFonts w:ascii="Arial" w:hAnsi="Arial" w:cs="Arial"/>
                <w:sz w:val="22"/>
                <w:szCs w:val="22"/>
              </w:rPr>
            </w:pPr>
            <w:r w:rsidRPr="00370EAA">
              <w:rPr>
                <w:rFonts w:ascii="Arial" w:hAnsi="Arial" w:cs="Arial"/>
                <w:sz w:val="22"/>
                <w:szCs w:val="22"/>
              </w:rPr>
              <w:t>Personalised care adjustments should be used to set individualised BP targets for people with frailty</w:t>
            </w:r>
          </w:p>
        </w:tc>
        <w:tc>
          <w:tcPr>
            <w:tcW w:w="1344" w:type="pct"/>
          </w:tcPr>
          <w:p w14:paraId="4430A991" w14:textId="77777777" w:rsidR="00321F25" w:rsidRPr="00BF0D02" w:rsidRDefault="00321F25" w:rsidP="00321F25">
            <w:pPr>
              <w:rPr>
                <w:rFonts w:ascii="Arial" w:hAnsi="Arial" w:cs="Arial"/>
                <w:sz w:val="22"/>
                <w:szCs w:val="22"/>
              </w:rPr>
            </w:pPr>
            <w:r w:rsidRPr="00BF0D02">
              <w:rPr>
                <w:rFonts w:ascii="Arial" w:hAnsi="Arial" w:cs="Arial"/>
                <w:sz w:val="22"/>
                <w:szCs w:val="22"/>
              </w:rPr>
              <w:t xml:space="preserve">Thank you for your comment. </w:t>
            </w:r>
          </w:p>
          <w:p w14:paraId="19E604E8" w14:textId="77777777" w:rsidR="00321F25" w:rsidRPr="00BF0D02" w:rsidRDefault="00321F25" w:rsidP="00321F25">
            <w:pPr>
              <w:rPr>
                <w:rFonts w:ascii="Arial" w:hAnsi="Arial" w:cs="Arial"/>
                <w:sz w:val="22"/>
                <w:szCs w:val="22"/>
              </w:rPr>
            </w:pPr>
          </w:p>
          <w:p w14:paraId="0E3B731A" w14:textId="08C4E21C" w:rsidR="00321F25" w:rsidRPr="00370EAA" w:rsidRDefault="00321F25" w:rsidP="00321F25">
            <w:pPr>
              <w:rPr>
                <w:rFonts w:ascii="Arial" w:hAnsi="Arial" w:cs="Arial"/>
                <w:sz w:val="22"/>
                <w:szCs w:val="22"/>
              </w:rPr>
            </w:pPr>
            <w:r w:rsidRPr="00BF0D02">
              <w:rPr>
                <w:rFonts w:ascii="Arial" w:hAnsi="Arial" w:cs="Arial"/>
                <w:sz w:val="22"/>
                <w:szCs w:val="22"/>
              </w:rPr>
              <w:t>This indicator has not been progressed to publication because of poor quality in coding of type of diabetes.</w:t>
            </w:r>
          </w:p>
        </w:tc>
      </w:tr>
      <w:tr w:rsidR="00321F25" w:rsidRPr="00215444" w14:paraId="2461286A" w14:textId="19BB6F5C" w:rsidTr="003277FC">
        <w:tc>
          <w:tcPr>
            <w:tcW w:w="280" w:type="pct"/>
          </w:tcPr>
          <w:p w14:paraId="2C767BCF" w14:textId="45DC2DD4" w:rsidR="00321F25" w:rsidRDefault="00321F25" w:rsidP="00321F25">
            <w:pPr>
              <w:rPr>
                <w:rFonts w:ascii="Arial" w:hAnsi="Arial" w:cs="Arial"/>
                <w:sz w:val="22"/>
                <w:szCs w:val="22"/>
              </w:rPr>
            </w:pPr>
            <w:r>
              <w:rPr>
                <w:rFonts w:ascii="Arial" w:hAnsi="Arial" w:cs="Arial"/>
                <w:sz w:val="22"/>
                <w:szCs w:val="22"/>
              </w:rPr>
              <w:t>020</w:t>
            </w:r>
          </w:p>
        </w:tc>
        <w:tc>
          <w:tcPr>
            <w:tcW w:w="428" w:type="pct"/>
          </w:tcPr>
          <w:p w14:paraId="587878D5" w14:textId="55EC88C7" w:rsidR="00321F25" w:rsidRDefault="00321F25" w:rsidP="00321F25">
            <w:pPr>
              <w:rPr>
                <w:rFonts w:ascii="Arial" w:hAnsi="Arial" w:cs="Arial"/>
                <w:sz w:val="22"/>
                <w:szCs w:val="22"/>
              </w:rPr>
            </w:pPr>
            <w:r>
              <w:rPr>
                <w:rFonts w:ascii="Arial" w:hAnsi="Arial" w:cs="Arial"/>
                <w:sz w:val="22"/>
                <w:szCs w:val="22"/>
              </w:rPr>
              <w:t>IND 2022-124</w:t>
            </w:r>
          </w:p>
        </w:tc>
        <w:tc>
          <w:tcPr>
            <w:tcW w:w="1170" w:type="pct"/>
          </w:tcPr>
          <w:p w14:paraId="20C06BE8" w14:textId="6E480EBC" w:rsidR="00321F25" w:rsidRDefault="00321F25" w:rsidP="00321F25">
            <w:pPr>
              <w:rPr>
                <w:rFonts w:ascii="Arial" w:hAnsi="Arial" w:cs="Arial"/>
                <w:sz w:val="22"/>
                <w:szCs w:val="22"/>
              </w:rPr>
            </w:pPr>
            <w:r>
              <w:rPr>
                <w:rFonts w:ascii="Arial" w:hAnsi="Arial" w:cs="Arial"/>
                <w:sz w:val="22"/>
                <w:szCs w:val="22"/>
              </w:rPr>
              <w:t>RCGP</w:t>
            </w:r>
          </w:p>
        </w:tc>
        <w:tc>
          <w:tcPr>
            <w:tcW w:w="1778" w:type="pct"/>
          </w:tcPr>
          <w:p w14:paraId="41269A23" w14:textId="77777777" w:rsidR="00321F25" w:rsidRPr="00BA2D2E" w:rsidRDefault="00321F25" w:rsidP="00321F25">
            <w:pPr>
              <w:rPr>
                <w:rFonts w:ascii="Arial" w:hAnsi="Arial" w:cs="Arial"/>
                <w:i/>
                <w:iCs/>
                <w:sz w:val="22"/>
                <w:szCs w:val="22"/>
              </w:rPr>
            </w:pPr>
            <w:r w:rsidRPr="00BA2D2E">
              <w:rPr>
                <w:rFonts w:ascii="Arial" w:hAnsi="Arial" w:cs="Arial"/>
                <w:i/>
                <w:iCs/>
                <w:sz w:val="22"/>
                <w:szCs w:val="22"/>
              </w:rPr>
              <w:t xml:space="preserve">Q1 None </w:t>
            </w:r>
            <w:proofErr w:type="gramStart"/>
            <w:r w:rsidRPr="00BA2D2E">
              <w:rPr>
                <w:rFonts w:ascii="Arial" w:hAnsi="Arial" w:cs="Arial"/>
                <w:i/>
                <w:iCs/>
                <w:sz w:val="22"/>
                <w:szCs w:val="22"/>
              </w:rPr>
              <w:t>identified</w:t>
            </w:r>
            <w:proofErr w:type="gramEnd"/>
          </w:p>
          <w:p w14:paraId="00F3F7FA" w14:textId="77777777" w:rsidR="00321F25" w:rsidRPr="00BA2D2E" w:rsidRDefault="00321F25" w:rsidP="00321F25">
            <w:pPr>
              <w:rPr>
                <w:rFonts w:ascii="Arial" w:hAnsi="Arial" w:cs="Arial"/>
                <w:i/>
                <w:iCs/>
                <w:sz w:val="22"/>
                <w:szCs w:val="22"/>
              </w:rPr>
            </w:pPr>
            <w:r w:rsidRPr="00BA2D2E">
              <w:rPr>
                <w:rFonts w:ascii="Arial" w:hAnsi="Arial" w:cs="Arial"/>
                <w:i/>
                <w:iCs/>
                <w:sz w:val="22"/>
                <w:szCs w:val="22"/>
              </w:rPr>
              <w:t xml:space="preserve">Q2 None </w:t>
            </w:r>
            <w:proofErr w:type="gramStart"/>
            <w:r w:rsidRPr="00BA2D2E">
              <w:rPr>
                <w:rFonts w:ascii="Arial" w:hAnsi="Arial" w:cs="Arial"/>
                <w:i/>
                <w:iCs/>
                <w:sz w:val="22"/>
                <w:szCs w:val="22"/>
              </w:rPr>
              <w:t>identified</w:t>
            </w:r>
            <w:proofErr w:type="gramEnd"/>
          </w:p>
          <w:p w14:paraId="2A7CDB55" w14:textId="77777777" w:rsidR="00321F25" w:rsidRPr="00BA2D2E" w:rsidRDefault="00321F25" w:rsidP="00321F25">
            <w:pPr>
              <w:rPr>
                <w:rFonts w:ascii="Arial" w:hAnsi="Arial" w:cs="Arial"/>
                <w:i/>
                <w:iCs/>
                <w:sz w:val="22"/>
                <w:szCs w:val="22"/>
              </w:rPr>
            </w:pPr>
            <w:r w:rsidRPr="00BA2D2E">
              <w:rPr>
                <w:rFonts w:ascii="Arial" w:hAnsi="Arial" w:cs="Arial"/>
                <w:i/>
                <w:iCs/>
                <w:sz w:val="22"/>
                <w:szCs w:val="22"/>
              </w:rPr>
              <w:t xml:space="preserve">Q3 None </w:t>
            </w:r>
            <w:proofErr w:type="gramStart"/>
            <w:r w:rsidRPr="00BA2D2E">
              <w:rPr>
                <w:rFonts w:ascii="Arial" w:hAnsi="Arial" w:cs="Arial"/>
                <w:i/>
                <w:iCs/>
                <w:sz w:val="22"/>
                <w:szCs w:val="22"/>
              </w:rPr>
              <w:t>identified</w:t>
            </w:r>
            <w:proofErr w:type="gramEnd"/>
          </w:p>
          <w:p w14:paraId="5FEA90FC" w14:textId="12F7177C" w:rsidR="00321F25" w:rsidRPr="00BA2D2E" w:rsidRDefault="00321F25" w:rsidP="00321F25">
            <w:pPr>
              <w:rPr>
                <w:rFonts w:ascii="Arial" w:hAnsi="Arial" w:cs="Arial"/>
                <w:i/>
                <w:iCs/>
                <w:sz w:val="22"/>
                <w:szCs w:val="22"/>
              </w:rPr>
            </w:pPr>
            <w:r w:rsidRPr="00BA2D2E">
              <w:rPr>
                <w:rFonts w:ascii="Arial" w:hAnsi="Arial" w:cs="Arial"/>
                <w:i/>
                <w:iCs/>
                <w:sz w:val="22"/>
                <w:szCs w:val="22"/>
              </w:rPr>
              <w:lastRenderedPageBreak/>
              <w:t xml:space="preserve">Q4 None </w:t>
            </w:r>
            <w:proofErr w:type="gramStart"/>
            <w:r w:rsidRPr="00BA2D2E">
              <w:rPr>
                <w:rFonts w:ascii="Arial" w:hAnsi="Arial" w:cs="Arial"/>
                <w:i/>
                <w:iCs/>
                <w:sz w:val="22"/>
                <w:szCs w:val="22"/>
              </w:rPr>
              <w:t>identified</w:t>
            </w:r>
            <w:proofErr w:type="gramEnd"/>
          </w:p>
          <w:p w14:paraId="6D10CC12" w14:textId="77777777" w:rsidR="00321F25" w:rsidRDefault="00321F25" w:rsidP="00321F25">
            <w:pPr>
              <w:rPr>
                <w:rFonts w:ascii="Arial" w:hAnsi="Arial" w:cs="Arial"/>
                <w:sz w:val="22"/>
                <w:szCs w:val="22"/>
              </w:rPr>
            </w:pPr>
          </w:p>
          <w:p w14:paraId="10F865AC" w14:textId="205F85B7" w:rsidR="00321F25" w:rsidRPr="00BA2D2E" w:rsidRDefault="00321F25" w:rsidP="00321F25">
            <w:pPr>
              <w:rPr>
                <w:rFonts w:ascii="Arial" w:hAnsi="Arial" w:cs="Arial"/>
                <w:i/>
                <w:iCs/>
                <w:sz w:val="22"/>
                <w:szCs w:val="22"/>
              </w:rPr>
            </w:pPr>
            <w:r w:rsidRPr="00BA2D2E">
              <w:rPr>
                <w:rFonts w:ascii="Arial" w:hAnsi="Arial" w:cs="Arial"/>
                <w:sz w:val="22"/>
                <w:szCs w:val="22"/>
              </w:rPr>
              <w:t xml:space="preserve">We support the indicator in its current form. This indicator should not include all people with type </w:t>
            </w:r>
            <w:r>
              <w:rPr>
                <w:rFonts w:ascii="Arial" w:hAnsi="Arial" w:cs="Arial"/>
                <w:sz w:val="22"/>
                <w:szCs w:val="22"/>
              </w:rPr>
              <w:t xml:space="preserve">2 </w:t>
            </w:r>
            <w:r w:rsidRPr="00BA2D2E">
              <w:rPr>
                <w:rFonts w:ascii="Arial" w:hAnsi="Arial" w:cs="Arial"/>
                <w:sz w:val="22"/>
                <w:szCs w:val="22"/>
              </w:rPr>
              <w:t>diabetes irrespective of frailty as it is important to exclude this population of patients due to the complications that occur with lowering blood pressure below the maximum tolerated. Patients with frailty need a more individual care plan looking at making sure all the benefits outweigh the risks.</w:t>
            </w:r>
          </w:p>
        </w:tc>
        <w:tc>
          <w:tcPr>
            <w:tcW w:w="1344" w:type="pct"/>
          </w:tcPr>
          <w:p w14:paraId="1637B460" w14:textId="77777777" w:rsidR="00321F25" w:rsidRPr="00BF0D02" w:rsidRDefault="00321F25" w:rsidP="00321F25">
            <w:pPr>
              <w:rPr>
                <w:rFonts w:ascii="Arial" w:hAnsi="Arial" w:cs="Arial"/>
                <w:sz w:val="22"/>
                <w:szCs w:val="22"/>
              </w:rPr>
            </w:pPr>
            <w:r w:rsidRPr="00BF0D02">
              <w:rPr>
                <w:rFonts w:ascii="Arial" w:hAnsi="Arial" w:cs="Arial"/>
                <w:sz w:val="22"/>
                <w:szCs w:val="22"/>
              </w:rPr>
              <w:lastRenderedPageBreak/>
              <w:t xml:space="preserve">Thank you for your comment. </w:t>
            </w:r>
          </w:p>
          <w:p w14:paraId="720F8E94" w14:textId="77777777" w:rsidR="00321F25" w:rsidRPr="00BF0D02" w:rsidRDefault="00321F25" w:rsidP="00321F25">
            <w:pPr>
              <w:rPr>
                <w:rFonts w:ascii="Arial" w:hAnsi="Arial" w:cs="Arial"/>
                <w:sz w:val="22"/>
                <w:szCs w:val="22"/>
              </w:rPr>
            </w:pPr>
          </w:p>
          <w:p w14:paraId="46ABD7C4" w14:textId="042314C8" w:rsidR="00321F25" w:rsidRPr="003277FC" w:rsidRDefault="00321F25" w:rsidP="00321F25">
            <w:pPr>
              <w:rPr>
                <w:rFonts w:ascii="Arial" w:hAnsi="Arial" w:cs="Arial"/>
                <w:sz w:val="22"/>
                <w:szCs w:val="22"/>
              </w:rPr>
            </w:pPr>
            <w:r w:rsidRPr="00BF0D02">
              <w:rPr>
                <w:rFonts w:ascii="Arial" w:hAnsi="Arial" w:cs="Arial"/>
                <w:sz w:val="22"/>
                <w:szCs w:val="22"/>
              </w:rPr>
              <w:lastRenderedPageBreak/>
              <w:t>This indicator has not been progressed to publication because of poor quality in coding of type of diabetes.</w:t>
            </w:r>
          </w:p>
        </w:tc>
      </w:tr>
    </w:tbl>
    <w:p w14:paraId="418C8A7A" w14:textId="77777777" w:rsidR="00E24E02" w:rsidRPr="006966FC" w:rsidRDefault="00E24E02" w:rsidP="00073515">
      <w:pPr>
        <w:pStyle w:val="Heading1"/>
        <w:rPr>
          <w:rFonts w:cs="Arial"/>
          <w:sz w:val="22"/>
          <w:szCs w:val="22"/>
        </w:rPr>
      </w:pPr>
    </w:p>
    <w:sectPr w:rsidR="00E24E02" w:rsidRPr="006966FC" w:rsidSect="00073515">
      <w:headerReference w:type="default" r:id="rId17"/>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D45804" w:rsidRDefault="00D45804" w:rsidP="00446BEE">
      <w:r>
        <w:separator/>
      </w:r>
    </w:p>
  </w:endnote>
  <w:endnote w:type="continuationSeparator" w:id="0">
    <w:p w14:paraId="22EB9B1D" w14:textId="77777777" w:rsidR="00D45804" w:rsidRDefault="00D4580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B143C03" w:rsidR="00C90846" w:rsidRPr="008C1C95" w:rsidRDefault="008C1C95" w:rsidP="008C1C95">
    <w:pPr>
      <w:pStyle w:val="Footer"/>
      <w:jc w:val="right"/>
    </w:pPr>
    <w:r>
      <w:fldChar w:fldCharType="begin"/>
    </w:r>
    <w:r>
      <w:instrText xml:space="preserve"> PAGE </w:instrText>
    </w:r>
    <w:r>
      <w:fldChar w:fldCharType="separate"/>
    </w:r>
    <w:r w:rsidR="005806EB">
      <w:rPr>
        <w:noProof/>
      </w:rPr>
      <w:t>3</w:t>
    </w:r>
    <w:r>
      <w:fldChar w:fldCharType="end"/>
    </w:r>
    <w:r>
      <w:t xml:space="preserve"> of </w:t>
    </w:r>
    <w:r w:rsidR="005806EB">
      <w:rPr>
        <w:noProof/>
      </w:rPr>
      <w:fldChar w:fldCharType="begin"/>
    </w:r>
    <w:r w:rsidR="005806EB">
      <w:rPr>
        <w:noProof/>
      </w:rPr>
      <w:instrText xml:space="preserve"> NUMPAGES  </w:instrText>
    </w:r>
    <w:r w:rsidR="005806EB">
      <w:rPr>
        <w:noProof/>
      </w:rPr>
      <w:fldChar w:fldCharType="separate"/>
    </w:r>
    <w:r w:rsidR="005806EB">
      <w:rPr>
        <w:noProof/>
      </w:rPr>
      <w:t>10</w:t>
    </w:r>
    <w:r w:rsidR="005806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D45804" w:rsidRDefault="00D45804" w:rsidP="00446BEE">
      <w:r>
        <w:separator/>
      </w:r>
    </w:p>
  </w:footnote>
  <w:footnote w:type="continuationSeparator" w:id="0">
    <w:p w14:paraId="1B316AC4" w14:textId="77777777" w:rsidR="00D45804" w:rsidRDefault="00D4580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BF55" w14:textId="77777777" w:rsidR="00073515" w:rsidRDefault="00073515" w:rsidP="00073515">
    <w:pPr>
      <w:pStyle w:val="Paragraph"/>
      <w:jc w:val="both"/>
    </w:pPr>
    <w:r>
      <w:rPr>
        <w:noProof/>
      </w:rPr>
      <w:drawing>
        <wp:inline distT="0" distB="0" distL="0" distR="0" wp14:anchorId="2DA706B2" wp14:editId="7BB8946F">
          <wp:extent cx="2444115" cy="25146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44115" cy="251460"/>
                  </a:xfrm>
                  <a:prstGeom prst="rect">
                    <a:avLst/>
                  </a:prstGeom>
                </pic:spPr>
              </pic:pic>
            </a:graphicData>
          </a:graphic>
        </wp:inline>
      </w:drawing>
    </w:r>
  </w:p>
  <w:p w14:paraId="1170F22A" w14:textId="5DDC81F0" w:rsidR="00C90846" w:rsidRPr="000449D3" w:rsidRDefault="00C65390" w:rsidP="00073515">
    <w:pPr>
      <w:pStyle w:val="Paragraph"/>
      <w:jc w:val="right"/>
    </w:pPr>
    <w:r>
      <w:t>Paper 7a: Diabetes blood pressure</w:t>
    </w:r>
    <w:r w:rsidR="00C90846">
      <w:t xml:space="preserve"> consultation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022D" w14:textId="7649C840" w:rsidR="00073515" w:rsidRPr="000449D3" w:rsidRDefault="00073515" w:rsidP="00073515">
    <w:pPr>
      <w:pStyle w:val="Paragraph"/>
    </w:pPr>
    <w:r>
      <w:rPr>
        <w:noProof/>
      </w:rPr>
      <w:drawing>
        <wp:inline distT="0" distB="0" distL="0" distR="0" wp14:anchorId="4D591273" wp14:editId="6D259A12">
          <wp:extent cx="2444115" cy="251460"/>
          <wp:effectExtent l="0" t="0" r="0" b="0"/>
          <wp:docPr id="2" name="Picture 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44115" cy="251460"/>
                  </a:xfrm>
                  <a:prstGeom prst="rect">
                    <a:avLst/>
                  </a:prstGeom>
                </pic:spPr>
              </pic:pic>
            </a:graphicData>
          </a:graphic>
        </wp:inline>
      </w:drawing>
    </w:r>
    <w:r>
      <w:t xml:space="preserve">                                                                 Paper 7a: Diabetes blood pressure consultation report</w:t>
    </w:r>
  </w:p>
  <w:p w14:paraId="5FAE9820" w14:textId="7F3A3CD0" w:rsidR="00BE185D" w:rsidRPr="00073515" w:rsidRDefault="00BE185D" w:rsidP="00073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0EE6631"/>
    <w:multiLevelType w:val="hybridMultilevel"/>
    <w:tmpl w:val="CFEC1A16"/>
    <w:lvl w:ilvl="0" w:tplc="8DE88AF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7E4A5896"/>
    <w:lvl w:ilvl="0" w:tplc="FC6081DC">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07141A"/>
    <w:multiLevelType w:val="hybridMultilevel"/>
    <w:tmpl w:val="B92AEF6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1B7135"/>
    <w:multiLevelType w:val="multilevel"/>
    <w:tmpl w:val="A710AC7A"/>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567"/>
        </w:tabs>
        <w:ind w:left="567"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20" w15:restartNumberingAfterBreak="0">
    <w:nsid w:val="459C2642"/>
    <w:multiLevelType w:val="hybridMultilevel"/>
    <w:tmpl w:val="300EE0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234B40"/>
    <w:multiLevelType w:val="hybridMultilevel"/>
    <w:tmpl w:val="13D4F5E2"/>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224BD"/>
    <w:multiLevelType w:val="hybridMultilevel"/>
    <w:tmpl w:val="586EE3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8416265">
    <w:abstractNumId w:val="29"/>
  </w:num>
  <w:num w:numId="2" w16cid:durableId="939138749">
    <w:abstractNumId w:val="11"/>
  </w:num>
  <w:num w:numId="3" w16cid:durableId="1125852113">
    <w:abstractNumId w:val="25"/>
  </w:num>
  <w:num w:numId="4" w16cid:durableId="1464275149">
    <w:abstractNumId w:val="12"/>
  </w:num>
  <w:num w:numId="5" w16cid:durableId="1382443154">
    <w:abstractNumId w:val="22"/>
  </w:num>
  <w:num w:numId="6" w16cid:durableId="721172062">
    <w:abstractNumId w:val="2"/>
  </w:num>
  <w:num w:numId="7" w16cid:durableId="959455688">
    <w:abstractNumId w:val="10"/>
  </w:num>
  <w:num w:numId="8" w16cid:durableId="1129513166">
    <w:abstractNumId w:val="19"/>
  </w:num>
  <w:num w:numId="9" w16cid:durableId="388117631">
    <w:abstractNumId w:val="21"/>
  </w:num>
  <w:num w:numId="10" w16cid:durableId="1534809943">
    <w:abstractNumId w:val="6"/>
  </w:num>
  <w:num w:numId="11" w16cid:durableId="556014791">
    <w:abstractNumId w:val="8"/>
  </w:num>
  <w:num w:numId="12" w16cid:durableId="1293168928">
    <w:abstractNumId w:val="3"/>
  </w:num>
  <w:num w:numId="13" w16cid:durableId="1327249038">
    <w:abstractNumId w:val="28"/>
  </w:num>
  <w:num w:numId="14" w16cid:durableId="1945452359">
    <w:abstractNumId w:val="13"/>
  </w:num>
  <w:num w:numId="15" w16cid:durableId="1182280775">
    <w:abstractNumId w:val="9"/>
  </w:num>
  <w:num w:numId="16" w16cid:durableId="500127196">
    <w:abstractNumId w:val="16"/>
  </w:num>
  <w:num w:numId="17" w16cid:durableId="1254165416">
    <w:abstractNumId w:val="14"/>
  </w:num>
  <w:num w:numId="18" w16cid:durableId="1730423401">
    <w:abstractNumId w:val="17"/>
  </w:num>
  <w:num w:numId="19" w16cid:durableId="2081439422">
    <w:abstractNumId w:val="23"/>
  </w:num>
  <w:num w:numId="20" w16cid:durableId="1293098161">
    <w:abstractNumId w:val="7"/>
  </w:num>
  <w:num w:numId="21" w16cid:durableId="1898398717">
    <w:abstractNumId w:val="26"/>
  </w:num>
  <w:num w:numId="22" w16cid:durableId="601232118">
    <w:abstractNumId w:val="27"/>
  </w:num>
  <w:num w:numId="23" w16cid:durableId="1010717827">
    <w:abstractNumId w:val="0"/>
  </w:num>
  <w:num w:numId="24" w16cid:durableId="834995326">
    <w:abstractNumId w:val="5"/>
  </w:num>
  <w:num w:numId="25" w16cid:durableId="1758281352">
    <w:abstractNumId w:val="24"/>
  </w:num>
  <w:num w:numId="26" w16cid:durableId="287250047">
    <w:abstractNumId w:val="15"/>
  </w:num>
  <w:num w:numId="27" w16cid:durableId="1126393253">
    <w:abstractNumId w:val="1"/>
  </w:num>
  <w:num w:numId="28" w16cid:durableId="1162309507">
    <w:abstractNumId w:val="20"/>
  </w:num>
  <w:num w:numId="29" w16cid:durableId="1133253028">
    <w:abstractNumId w:val="6"/>
  </w:num>
  <w:num w:numId="30" w16cid:durableId="1213081545">
    <w:abstractNumId w:val="3"/>
  </w:num>
  <w:num w:numId="31" w16cid:durableId="830564252">
    <w:abstractNumId w:val="6"/>
  </w:num>
  <w:num w:numId="32" w16cid:durableId="232202699">
    <w:abstractNumId w:val="3"/>
  </w:num>
  <w:num w:numId="33" w16cid:durableId="29960757">
    <w:abstractNumId w:val="4"/>
  </w:num>
  <w:num w:numId="34" w16cid:durableId="2111898023">
    <w:abstractNumId w:val="18"/>
  </w:num>
  <w:num w:numId="35" w16cid:durableId="16352263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6AEA"/>
    <w:rsid w:val="00011FC6"/>
    <w:rsid w:val="0001222B"/>
    <w:rsid w:val="00015441"/>
    <w:rsid w:val="00016234"/>
    <w:rsid w:val="00017F45"/>
    <w:rsid w:val="0002231A"/>
    <w:rsid w:val="00024D0A"/>
    <w:rsid w:val="00025A5C"/>
    <w:rsid w:val="000300AE"/>
    <w:rsid w:val="00030385"/>
    <w:rsid w:val="0003213D"/>
    <w:rsid w:val="00034B36"/>
    <w:rsid w:val="00036B1A"/>
    <w:rsid w:val="00037552"/>
    <w:rsid w:val="00044469"/>
    <w:rsid w:val="000449D3"/>
    <w:rsid w:val="00045596"/>
    <w:rsid w:val="0005042B"/>
    <w:rsid w:val="000524FA"/>
    <w:rsid w:val="00052A67"/>
    <w:rsid w:val="00052B85"/>
    <w:rsid w:val="00053145"/>
    <w:rsid w:val="00060DA1"/>
    <w:rsid w:val="00060F69"/>
    <w:rsid w:val="0006231E"/>
    <w:rsid w:val="00062405"/>
    <w:rsid w:val="00063213"/>
    <w:rsid w:val="000632DF"/>
    <w:rsid w:val="00063B7C"/>
    <w:rsid w:val="000660D6"/>
    <w:rsid w:val="00070065"/>
    <w:rsid w:val="0007042D"/>
    <w:rsid w:val="00073515"/>
    <w:rsid w:val="000759E7"/>
    <w:rsid w:val="00077062"/>
    <w:rsid w:val="00077089"/>
    <w:rsid w:val="00077EEC"/>
    <w:rsid w:val="0008047F"/>
    <w:rsid w:val="00081BFA"/>
    <w:rsid w:val="00081C69"/>
    <w:rsid w:val="000829C5"/>
    <w:rsid w:val="000853CB"/>
    <w:rsid w:val="00094BC2"/>
    <w:rsid w:val="00096202"/>
    <w:rsid w:val="000963D1"/>
    <w:rsid w:val="00096E31"/>
    <w:rsid w:val="000A638C"/>
    <w:rsid w:val="000A7163"/>
    <w:rsid w:val="000B1301"/>
    <w:rsid w:val="000B34B8"/>
    <w:rsid w:val="000B5519"/>
    <w:rsid w:val="000B5939"/>
    <w:rsid w:val="000B5EBE"/>
    <w:rsid w:val="000C0171"/>
    <w:rsid w:val="000C22B9"/>
    <w:rsid w:val="000C4EE8"/>
    <w:rsid w:val="000C6481"/>
    <w:rsid w:val="000D1394"/>
    <w:rsid w:val="000D1487"/>
    <w:rsid w:val="000D3776"/>
    <w:rsid w:val="000D5215"/>
    <w:rsid w:val="000E0E0D"/>
    <w:rsid w:val="000E4899"/>
    <w:rsid w:val="000E7A8E"/>
    <w:rsid w:val="000E7E3C"/>
    <w:rsid w:val="000F3B49"/>
    <w:rsid w:val="001043B0"/>
    <w:rsid w:val="0010652E"/>
    <w:rsid w:val="00110AD8"/>
    <w:rsid w:val="00110F8E"/>
    <w:rsid w:val="001113EE"/>
    <w:rsid w:val="00111DCE"/>
    <w:rsid w:val="00111EB0"/>
    <w:rsid w:val="00112FAE"/>
    <w:rsid w:val="001131E2"/>
    <w:rsid w:val="001134E7"/>
    <w:rsid w:val="00113789"/>
    <w:rsid w:val="00114510"/>
    <w:rsid w:val="00116B9D"/>
    <w:rsid w:val="001226C0"/>
    <w:rsid w:val="00124CBD"/>
    <w:rsid w:val="0013140A"/>
    <w:rsid w:val="00132BE1"/>
    <w:rsid w:val="00134FDA"/>
    <w:rsid w:val="00135081"/>
    <w:rsid w:val="001352C4"/>
    <w:rsid w:val="0013677A"/>
    <w:rsid w:val="001368F7"/>
    <w:rsid w:val="00137177"/>
    <w:rsid w:val="001413FC"/>
    <w:rsid w:val="001503E8"/>
    <w:rsid w:val="001508B5"/>
    <w:rsid w:val="00154516"/>
    <w:rsid w:val="00156529"/>
    <w:rsid w:val="001579DA"/>
    <w:rsid w:val="00161EBC"/>
    <w:rsid w:val="00165770"/>
    <w:rsid w:val="00165B01"/>
    <w:rsid w:val="00166C1A"/>
    <w:rsid w:val="0017169E"/>
    <w:rsid w:val="0017396B"/>
    <w:rsid w:val="00173A66"/>
    <w:rsid w:val="00175ABD"/>
    <w:rsid w:val="00175BE8"/>
    <w:rsid w:val="00177200"/>
    <w:rsid w:val="00182263"/>
    <w:rsid w:val="0018281C"/>
    <w:rsid w:val="00185F6B"/>
    <w:rsid w:val="00192188"/>
    <w:rsid w:val="001936A7"/>
    <w:rsid w:val="00193D4B"/>
    <w:rsid w:val="00194E6C"/>
    <w:rsid w:val="00195108"/>
    <w:rsid w:val="00196653"/>
    <w:rsid w:val="001976DA"/>
    <w:rsid w:val="001A056C"/>
    <w:rsid w:val="001A23E4"/>
    <w:rsid w:val="001A281B"/>
    <w:rsid w:val="001A48E7"/>
    <w:rsid w:val="001A4FDD"/>
    <w:rsid w:val="001A5379"/>
    <w:rsid w:val="001A55B8"/>
    <w:rsid w:val="001A73CD"/>
    <w:rsid w:val="001B06E1"/>
    <w:rsid w:val="001B0BBA"/>
    <w:rsid w:val="001B132A"/>
    <w:rsid w:val="001B1619"/>
    <w:rsid w:val="001B187B"/>
    <w:rsid w:val="001B3C11"/>
    <w:rsid w:val="001B3FEC"/>
    <w:rsid w:val="001B5300"/>
    <w:rsid w:val="001B65B3"/>
    <w:rsid w:val="001B6DC2"/>
    <w:rsid w:val="001C74F4"/>
    <w:rsid w:val="001D0D90"/>
    <w:rsid w:val="001D1331"/>
    <w:rsid w:val="001D24D0"/>
    <w:rsid w:val="001D3D36"/>
    <w:rsid w:val="001D5AAC"/>
    <w:rsid w:val="001D6E16"/>
    <w:rsid w:val="001D7672"/>
    <w:rsid w:val="001E04F1"/>
    <w:rsid w:val="001E08E9"/>
    <w:rsid w:val="001E0B63"/>
    <w:rsid w:val="001E3048"/>
    <w:rsid w:val="001F1315"/>
    <w:rsid w:val="001F1D2D"/>
    <w:rsid w:val="001F2631"/>
    <w:rsid w:val="001F6AB0"/>
    <w:rsid w:val="001F7828"/>
    <w:rsid w:val="002007BF"/>
    <w:rsid w:val="002013E7"/>
    <w:rsid w:val="00201D65"/>
    <w:rsid w:val="0020357B"/>
    <w:rsid w:val="00204572"/>
    <w:rsid w:val="00205FBE"/>
    <w:rsid w:val="0020720C"/>
    <w:rsid w:val="00207A22"/>
    <w:rsid w:val="00210375"/>
    <w:rsid w:val="002127AE"/>
    <w:rsid w:val="002128D3"/>
    <w:rsid w:val="002132AF"/>
    <w:rsid w:val="00214576"/>
    <w:rsid w:val="00214A72"/>
    <w:rsid w:val="00215444"/>
    <w:rsid w:val="00220661"/>
    <w:rsid w:val="0022189B"/>
    <w:rsid w:val="002229AD"/>
    <w:rsid w:val="00224AEE"/>
    <w:rsid w:val="00225313"/>
    <w:rsid w:val="00225B90"/>
    <w:rsid w:val="00225FF4"/>
    <w:rsid w:val="00226158"/>
    <w:rsid w:val="002269B1"/>
    <w:rsid w:val="00230A13"/>
    <w:rsid w:val="002331C6"/>
    <w:rsid w:val="00236B76"/>
    <w:rsid w:val="00237B4C"/>
    <w:rsid w:val="002400BE"/>
    <w:rsid w:val="002408EA"/>
    <w:rsid w:val="00241410"/>
    <w:rsid w:val="0024210A"/>
    <w:rsid w:val="002563DF"/>
    <w:rsid w:val="00256EC4"/>
    <w:rsid w:val="002577FE"/>
    <w:rsid w:val="0026108E"/>
    <w:rsid w:val="002614ED"/>
    <w:rsid w:val="00265142"/>
    <w:rsid w:val="00266AA6"/>
    <w:rsid w:val="00266B50"/>
    <w:rsid w:val="00270605"/>
    <w:rsid w:val="00271466"/>
    <w:rsid w:val="00271804"/>
    <w:rsid w:val="00271857"/>
    <w:rsid w:val="00274D0A"/>
    <w:rsid w:val="0027575C"/>
    <w:rsid w:val="0027625A"/>
    <w:rsid w:val="00276C62"/>
    <w:rsid w:val="00277ED2"/>
    <w:rsid w:val="00280F8A"/>
    <w:rsid w:val="002855E2"/>
    <w:rsid w:val="00286537"/>
    <w:rsid w:val="00286C3A"/>
    <w:rsid w:val="00287A89"/>
    <w:rsid w:val="00291A5B"/>
    <w:rsid w:val="0029330E"/>
    <w:rsid w:val="002938B1"/>
    <w:rsid w:val="0029501F"/>
    <w:rsid w:val="00295428"/>
    <w:rsid w:val="002A218B"/>
    <w:rsid w:val="002A4311"/>
    <w:rsid w:val="002A5503"/>
    <w:rsid w:val="002A7339"/>
    <w:rsid w:val="002B1C06"/>
    <w:rsid w:val="002B2B21"/>
    <w:rsid w:val="002B48C5"/>
    <w:rsid w:val="002B6740"/>
    <w:rsid w:val="002B71D2"/>
    <w:rsid w:val="002C1A7E"/>
    <w:rsid w:val="002C2893"/>
    <w:rsid w:val="002C292A"/>
    <w:rsid w:val="002C292E"/>
    <w:rsid w:val="002C5955"/>
    <w:rsid w:val="002C5BFD"/>
    <w:rsid w:val="002C7316"/>
    <w:rsid w:val="002C73DF"/>
    <w:rsid w:val="002D12BB"/>
    <w:rsid w:val="002D20E7"/>
    <w:rsid w:val="002D2C7E"/>
    <w:rsid w:val="002D2CC4"/>
    <w:rsid w:val="002D2D5C"/>
    <w:rsid w:val="002D2FD2"/>
    <w:rsid w:val="002D58EA"/>
    <w:rsid w:val="002D7242"/>
    <w:rsid w:val="002D7A7A"/>
    <w:rsid w:val="002D7AA2"/>
    <w:rsid w:val="002E13A4"/>
    <w:rsid w:val="002E4E66"/>
    <w:rsid w:val="002F2EEF"/>
    <w:rsid w:val="002F386D"/>
    <w:rsid w:val="002F3E31"/>
    <w:rsid w:val="002F4986"/>
    <w:rsid w:val="002F58D0"/>
    <w:rsid w:val="002F67D9"/>
    <w:rsid w:val="002F69F1"/>
    <w:rsid w:val="003015B5"/>
    <w:rsid w:val="0030244C"/>
    <w:rsid w:val="003030A7"/>
    <w:rsid w:val="00303FEE"/>
    <w:rsid w:val="003052E9"/>
    <w:rsid w:val="00305567"/>
    <w:rsid w:val="00306E04"/>
    <w:rsid w:val="00311ED0"/>
    <w:rsid w:val="00311FE4"/>
    <w:rsid w:val="003131FF"/>
    <w:rsid w:val="0031497D"/>
    <w:rsid w:val="00316D48"/>
    <w:rsid w:val="003174F0"/>
    <w:rsid w:val="00321F25"/>
    <w:rsid w:val="00324C60"/>
    <w:rsid w:val="00326131"/>
    <w:rsid w:val="00326304"/>
    <w:rsid w:val="00326482"/>
    <w:rsid w:val="003277FC"/>
    <w:rsid w:val="00330EED"/>
    <w:rsid w:val="003351B7"/>
    <w:rsid w:val="0033631A"/>
    <w:rsid w:val="00336946"/>
    <w:rsid w:val="00336D30"/>
    <w:rsid w:val="00340D15"/>
    <w:rsid w:val="0035027A"/>
    <w:rsid w:val="00350601"/>
    <w:rsid w:val="00351FA4"/>
    <w:rsid w:val="00351FDE"/>
    <w:rsid w:val="003524BA"/>
    <w:rsid w:val="00352FD0"/>
    <w:rsid w:val="00355BED"/>
    <w:rsid w:val="0035645A"/>
    <w:rsid w:val="0035728F"/>
    <w:rsid w:val="00357C1E"/>
    <w:rsid w:val="003604C3"/>
    <w:rsid w:val="00362EE3"/>
    <w:rsid w:val="00363F8C"/>
    <w:rsid w:val="00365698"/>
    <w:rsid w:val="00370ACD"/>
    <w:rsid w:val="00370EAA"/>
    <w:rsid w:val="00371E29"/>
    <w:rsid w:val="003722FA"/>
    <w:rsid w:val="00372EB9"/>
    <w:rsid w:val="00373EA4"/>
    <w:rsid w:val="00374EB6"/>
    <w:rsid w:val="00375AE7"/>
    <w:rsid w:val="00375F67"/>
    <w:rsid w:val="00376C2A"/>
    <w:rsid w:val="003770B8"/>
    <w:rsid w:val="00377277"/>
    <w:rsid w:val="00377304"/>
    <w:rsid w:val="0037760D"/>
    <w:rsid w:val="00381BEA"/>
    <w:rsid w:val="00381FB7"/>
    <w:rsid w:val="00384141"/>
    <w:rsid w:val="00385426"/>
    <w:rsid w:val="003861AC"/>
    <w:rsid w:val="003862A5"/>
    <w:rsid w:val="003929A1"/>
    <w:rsid w:val="003953C7"/>
    <w:rsid w:val="003A25DA"/>
    <w:rsid w:val="003A3E2A"/>
    <w:rsid w:val="003A6D56"/>
    <w:rsid w:val="003B0286"/>
    <w:rsid w:val="003B091A"/>
    <w:rsid w:val="003B1C33"/>
    <w:rsid w:val="003B4771"/>
    <w:rsid w:val="003B69AA"/>
    <w:rsid w:val="003C2A2E"/>
    <w:rsid w:val="003C3023"/>
    <w:rsid w:val="003C39D1"/>
    <w:rsid w:val="003C60FE"/>
    <w:rsid w:val="003C7AAF"/>
    <w:rsid w:val="003D52EA"/>
    <w:rsid w:val="003D58F7"/>
    <w:rsid w:val="003D5D5A"/>
    <w:rsid w:val="003D6018"/>
    <w:rsid w:val="003E12B1"/>
    <w:rsid w:val="003E1787"/>
    <w:rsid w:val="003E22FC"/>
    <w:rsid w:val="003E5B3B"/>
    <w:rsid w:val="003E5CE2"/>
    <w:rsid w:val="003F0956"/>
    <w:rsid w:val="003F2B45"/>
    <w:rsid w:val="003F2EC0"/>
    <w:rsid w:val="003F40D1"/>
    <w:rsid w:val="003F42F7"/>
    <w:rsid w:val="003F540E"/>
    <w:rsid w:val="003F7CE6"/>
    <w:rsid w:val="003F7D78"/>
    <w:rsid w:val="004010ED"/>
    <w:rsid w:val="00403CB4"/>
    <w:rsid w:val="00405B03"/>
    <w:rsid w:val="004068EA"/>
    <w:rsid w:val="004075B6"/>
    <w:rsid w:val="00411C38"/>
    <w:rsid w:val="0041238E"/>
    <w:rsid w:val="004150FB"/>
    <w:rsid w:val="00420952"/>
    <w:rsid w:val="00421152"/>
    <w:rsid w:val="004216D3"/>
    <w:rsid w:val="00423C0E"/>
    <w:rsid w:val="00423DB4"/>
    <w:rsid w:val="0042425C"/>
    <w:rsid w:val="00425699"/>
    <w:rsid w:val="004271A0"/>
    <w:rsid w:val="004306C0"/>
    <w:rsid w:val="0043188D"/>
    <w:rsid w:val="004338EC"/>
    <w:rsid w:val="00440BB7"/>
    <w:rsid w:val="00441431"/>
    <w:rsid w:val="00446BEE"/>
    <w:rsid w:val="00447EAB"/>
    <w:rsid w:val="00450E6D"/>
    <w:rsid w:val="004518F7"/>
    <w:rsid w:val="004523AF"/>
    <w:rsid w:val="0045334C"/>
    <w:rsid w:val="00453DDE"/>
    <w:rsid w:val="0045777B"/>
    <w:rsid w:val="00457A3D"/>
    <w:rsid w:val="00461C01"/>
    <w:rsid w:val="00463119"/>
    <w:rsid w:val="0046325E"/>
    <w:rsid w:val="0046709A"/>
    <w:rsid w:val="00472CEC"/>
    <w:rsid w:val="00474FE4"/>
    <w:rsid w:val="00475C7C"/>
    <w:rsid w:val="00475D8E"/>
    <w:rsid w:val="0047731B"/>
    <w:rsid w:val="0048030D"/>
    <w:rsid w:val="004824B6"/>
    <w:rsid w:val="00482C01"/>
    <w:rsid w:val="00483498"/>
    <w:rsid w:val="0048353B"/>
    <w:rsid w:val="00486953"/>
    <w:rsid w:val="004907E0"/>
    <w:rsid w:val="0049285D"/>
    <w:rsid w:val="00492AC8"/>
    <w:rsid w:val="00492CB6"/>
    <w:rsid w:val="00496B1E"/>
    <w:rsid w:val="00497AD3"/>
    <w:rsid w:val="00497FA3"/>
    <w:rsid w:val="004A13E2"/>
    <w:rsid w:val="004A237B"/>
    <w:rsid w:val="004A664D"/>
    <w:rsid w:val="004B4360"/>
    <w:rsid w:val="004B5F89"/>
    <w:rsid w:val="004B686A"/>
    <w:rsid w:val="004B688D"/>
    <w:rsid w:val="004B7B6B"/>
    <w:rsid w:val="004C1786"/>
    <w:rsid w:val="004C3670"/>
    <w:rsid w:val="004C3BFD"/>
    <w:rsid w:val="004D1267"/>
    <w:rsid w:val="004D26AD"/>
    <w:rsid w:val="004D2897"/>
    <w:rsid w:val="004D39E2"/>
    <w:rsid w:val="004D669D"/>
    <w:rsid w:val="004D756F"/>
    <w:rsid w:val="004E0E78"/>
    <w:rsid w:val="004E41EA"/>
    <w:rsid w:val="004E4C4B"/>
    <w:rsid w:val="004E54B6"/>
    <w:rsid w:val="004E561E"/>
    <w:rsid w:val="004F0C4E"/>
    <w:rsid w:val="004F242D"/>
    <w:rsid w:val="004F3269"/>
    <w:rsid w:val="004F38F7"/>
    <w:rsid w:val="004F55D1"/>
    <w:rsid w:val="004F5AFD"/>
    <w:rsid w:val="004F5B25"/>
    <w:rsid w:val="004F6F2A"/>
    <w:rsid w:val="0050061B"/>
    <w:rsid w:val="00501BF5"/>
    <w:rsid w:val="005025A1"/>
    <w:rsid w:val="00502AEB"/>
    <w:rsid w:val="00502C4B"/>
    <w:rsid w:val="0050409D"/>
    <w:rsid w:val="00505407"/>
    <w:rsid w:val="00505BA2"/>
    <w:rsid w:val="00505DA4"/>
    <w:rsid w:val="005066A9"/>
    <w:rsid w:val="00510FAD"/>
    <w:rsid w:val="005127C1"/>
    <w:rsid w:val="0051313A"/>
    <w:rsid w:val="00513445"/>
    <w:rsid w:val="005138B7"/>
    <w:rsid w:val="005143BA"/>
    <w:rsid w:val="00515980"/>
    <w:rsid w:val="00517D7B"/>
    <w:rsid w:val="00520C2E"/>
    <w:rsid w:val="005226E0"/>
    <w:rsid w:val="005238DC"/>
    <w:rsid w:val="005243EC"/>
    <w:rsid w:val="005249CF"/>
    <w:rsid w:val="005252B3"/>
    <w:rsid w:val="00525DD1"/>
    <w:rsid w:val="00527A29"/>
    <w:rsid w:val="00535EAA"/>
    <w:rsid w:val="00545970"/>
    <w:rsid w:val="005514BC"/>
    <w:rsid w:val="00552851"/>
    <w:rsid w:val="0055530B"/>
    <w:rsid w:val="00555CC8"/>
    <w:rsid w:val="00556B58"/>
    <w:rsid w:val="005577FA"/>
    <w:rsid w:val="00560291"/>
    <w:rsid w:val="00561B0C"/>
    <w:rsid w:val="0056425E"/>
    <w:rsid w:val="00564F13"/>
    <w:rsid w:val="00564FDC"/>
    <w:rsid w:val="00565745"/>
    <w:rsid w:val="0056705D"/>
    <w:rsid w:val="00571370"/>
    <w:rsid w:val="00575207"/>
    <w:rsid w:val="00575819"/>
    <w:rsid w:val="0057691C"/>
    <w:rsid w:val="005806EB"/>
    <w:rsid w:val="00580FF4"/>
    <w:rsid w:val="00583913"/>
    <w:rsid w:val="005842A7"/>
    <w:rsid w:val="00584C95"/>
    <w:rsid w:val="00586210"/>
    <w:rsid w:val="00590C57"/>
    <w:rsid w:val="005930CF"/>
    <w:rsid w:val="005935C0"/>
    <w:rsid w:val="00596607"/>
    <w:rsid w:val="005A014D"/>
    <w:rsid w:val="005A188D"/>
    <w:rsid w:val="005A371F"/>
    <w:rsid w:val="005A4AD8"/>
    <w:rsid w:val="005A50D3"/>
    <w:rsid w:val="005A54DC"/>
    <w:rsid w:val="005A576F"/>
    <w:rsid w:val="005A64BD"/>
    <w:rsid w:val="005A64F3"/>
    <w:rsid w:val="005A6AB3"/>
    <w:rsid w:val="005B0095"/>
    <w:rsid w:val="005B4FF2"/>
    <w:rsid w:val="005B5C8B"/>
    <w:rsid w:val="005B73E7"/>
    <w:rsid w:val="005D15B9"/>
    <w:rsid w:val="005D1E0A"/>
    <w:rsid w:val="005D2DDF"/>
    <w:rsid w:val="005D4171"/>
    <w:rsid w:val="005D4F3F"/>
    <w:rsid w:val="005E0AC1"/>
    <w:rsid w:val="005E437F"/>
    <w:rsid w:val="005F25FD"/>
    <w:rsid w:val="005F3C5C"/>
    <w:rsid w:val="005F5AFD"/>
    <w:rsid w:val="005F6BB8"/>
    <w:rsid w:val="005F6F0A"/>
    <w:rsid w:val="00605F35"/>
    <w:rsid w:val="00607B0E"/>
    <w:rsid w:val="006121E9"/>
    <w:rsid w:val="0061221F"/>
    <w:rsid w:val="00612C6D"/>
    <w:rsid w:val="00614078"/>
    <w:rsid w:val="006150A0"/>
    <w:rsid w:val="00615B42"/>
    <w:rsid w:val="00621E06"/>
    <w:rsid w:val="0062228B"/>
    <w:rsid w:val="006232C8"/>
    <w:rsid w:val="00624430"/>
    <w:rsid w:val="00625AEE"/>
    <w:rsid w:val="0062755B"/>
    <w:rsid w:val="00627687"/>
    <w:rsid w:val="00633A08"/>
    <w:rsid w:val="00636303"/>
    <w:rsid w:val="00636BB0"/>
    <w:rsid w:val="00637F2A"/>
    <w:rsid w:val="00642C45"/>
    <w:rsid w:val="0064313B"/>
    <w:rsid w:val="0064353D"/>
    <w:rsid w:val="0064604F"/>
    <w:rsid w:val="00646287"/>
    <w:rsid w:val="00651D20"/>
    <w:rsid w:val="006523CB"/>
    <w:rsid w:val="0065348A"/>
    <w:rsid w:val="006557A6"/>
    <w:rsid w:val="00657C65"/>
    <w:rsid w:val="006635D1"/>
    <w:rsid w:val="006639FD"/>
    <w:rsid w:val="00664F8F"/>
    <w:rsid w:val="00666A4E"/>
    <w:rsid w:val="00667C21"/>
    <w:rsid w:val="00671104"/>
    <w:rsid w:val="0067224F"/>
    <w:rsid w:val="006814B9"/>
    <w:rsid w:val="006835BF"/>
    <w:rsid w:val="0068400F"/>
    <w:rsid w:val="0068417E"/>
    <w:rsid w:val="00684913"/>
    <w:rsid w:val="00686D56"/>
    <w:rsid w:val="0068762B"/>
    <w:rsid w:val="00690764"/>
    <w:rsid w:val="006921E1"/>
    <w:rsid w:val="00692F13"/>
    <w:rsid w:val="006937D0"/>
    <w:rsid w:val="00693996"/>
    <w:rsid w:val="00696325"/>
    <w:rsid w:val="006966FC"/>
    <w:rsid w:val="0069751C"/>
    <w:rsid w:val="006A396C"/>
    <w:rsid w:val="006A5E06"/>
    <w:rsid w:val="006B14CA"/>
    <w:rsid w:val="006B235A"/>
    <w:rsid w:val="006B640D"/>
    <w:rsid w:val="006B7AD0"/>
    <w:rsid w:val="006C1753"/>
    <w:rsid w:val="006C2420"/>
    <w:rsid w:val="006C77F5"/>
    <w:rsid w:val="006D4325"/>
    <w:rsid w:val="006D5430"/>
    <w:rsid w:val="006D55A6"/>
    <w:rsid w:val="006D6BD0"/>
    <w:rsid w:val="006E09CB"/>
    <w:rsid w:val="006E2124"/>
    <w:rsid w:val="006E23A2"/>
    <w:rsid w:val="006E303F"/>
    <w:rsid w:val="006E3A2F"/>
    <w:rsid w:val="006E4E37"/>
    <w:rsid w:val="006E5D76"/>
    <w:rsid w:val="006F0289"/>
    <w:rsid w:val="006F17D4"/>
    <w:rsid w:val="006F6463"/>
    <w:rsid w:val="00703C70"/>
    <w:rsid w:val="0070542C"/>
    <w:rsid w:val="007067D1"/>
    <w:rsid w:val="0071285C"/>
    <w:rsid w:val="007139DD"/>
    <w:rsid w:val="00713BDD"/>
    <w:rsid w:val="007143AC"/>
    <w:rsid w:val="00716007"/>
    <w:rsid w:val="0071704A"/>
    <w:rsid w:val="00723A03"/>
    <w:rsid w:val="00730AA4"/>
    <w:rsid w:val="0073223F"/>
    <w:rsid w:val="00732C44"/>
    <w:rsid w:val="00734CC7"/>
    <w:rsid w:val="00736348"/>
    <w:rsid w:val="00736448"/>
    <w:rsid w:val="00736D41"/>
    <w:rsid w:val="00737F84"/>
    <w:rsid w:val="00740203"/>
    <w:rsid w:val="00742364"/>
    <w:rsid w:val="00745355"/>
    <w:rsid w:val="007469C6"/>
    <w:rsid w:val="00746C13"/>
    <w:rsid w:val="00750260"/>
    <w:rsid w:val="007502F1"/>
    <w:rsid w:val="00752F55"/>
    <w:rsid w:val="007573F4"/>
    <w:rsid w:val="007574DD"/>
    <w:rsid w:val="00757FF9"/>
    <w:rsid w:val="00760E09"/>
    <w:rsid w:val="0076145F"/>
    <w:rsid w:val="00762D25"/>
    <w:rsid w:val="0076410C"/>
    <w:rsid w:val="007646C3"/>
    <w:rsid w:val="0076580A"/>
    <w:rsid w:val="0076595B"/>
    <w:rsid w:val="00765C58"/>
    <w:rsid w:val="0076743A"/>
    <w:rsid w:val="00770B9A"/>
    <w:rsid w:val="007718E7"/>
    <w:rsid w:val="007744D1"/>
    <w:rsid w:val="007825BE"/>
    <w:rsid w:val="00782FB2"/>
    <w:rsid w:val="007831FB"/>
    <w:rsid w:val="007839C3"/>
    <w:rsid w:val="00785616"/>
    <w:rsid w:val="007859B8"/>
    <w:rsid w:val="007910D0"/>
    <w:rsid w:val="00792D69"/>
    <w:rsid w:val="0079772A"/>
    <w:rsid w:val="007A3A21"/>
    <w:rsid w:val="007A5739"/>
    <w:rsid w:val="007A6A51"/>
    <w:rsid w:val="007B36FA"/>
    <w:rsid w:val="007B5378"/>
    <w:rsid w:val="007B78F6"/>
    <w:rsid w:val="007C4561"/>
    <w:rsid w:val="007C4814"/>
    <w:rsid w:val="007C516A"/>
    <w:rsid w:val="007C6CFD"/>
    <w:rsid w:val="007D032A"/>
    <w:rsid w:val="007D28D7"/>
    <w:rsid w:val="007D31FD"/>
    <w:rsid w:val="007D59A2"/>
    <w:rsid w:val="007D6920"/>
    <w:rsid w:val="007E2014"/>
    <w:rsid w:val="007E21F8"/>
    <w:rsid w:val="007E2696"/>
    <w:rsid w:val="007E6A87"/>
    <w:rsid w:val="007E78BD"/>
    <w:rsid w:val="007F14A6"/>
    <w:rsid w:val="007F476F"/>
    <w:rsid w:val="007F71A5"/>
    <w:rsid w:val="007F744E"/>
    <w:rsid w:val="007F7F72"/>
    <w:rsid w:val="008010D2"/>
    <w:rsid w:val="008010D5"/>
    <w:rsid w:val="00802828"/>
    <w:rsid w:val="0080288C"/>
    <w:rsid w:val="0080417F"/>
    <w:rsid w:val="00804466"/>
    <w:rsid w:val="00805636"/>
    <w:rsid w:val="00806A83"/>
    <w:rsid w:val="00807FF1"/>
    <w:rsid w:val="00810C89"/>
    <w:rsid w:val="008137AD"/>
    <w:rsid w:val="00813C4A"/>
    <w:rsid w:val="00817C3D"/>
    <w:rsid w:val="00820118"/>
    <w:rsid w:val="00822301"/>
    <w:rsid w:val="00822F81"/>
    <w:rsid w:val="00824553"/>
    <w:rsid w:val="00826011"/>
    <w:rsid w:val="008274B0"/>
    <w:rsid w:val="008318F6"/>
    <w:rsid w:val="0083313E"/>
    <w:rsid w:val="008331BB"/>
    <w:rsid w:val="00833D43"/>
    <w:rsid w:val="00840FF7"/>
    <w:rsid w:val="00841169"/>
    <w:rsid w:val="00844032"/>
    <w:rsid w:val="008443D8"/>
    <w:rsid w:val="008445E7"/>
    <w:rsid w:val="00844911"/>
    <w:rsid w:val="00845FC8"/>
    <w:rsid w:val="00847D3A"/>
    <w:rsid w:val="0085219D"/>
    <w:rsid w:val="00855549"/>
    <w:rsid w:val="008573E8"/>
    <w:rsid w:val="00861B3D"/>
    <w:rsid w:val="00862B36"/>
    <w:rsid w:val="00863738"/>
    <w:rsid w:val="0086407F"/>
    <w:rsid w:val="00865CE7"/>
    <w:rsid w:val="00867262"/>
    <w:rsid w:val="00870BDD"/>
    <w:rsid w:val="008717F1"/>
    <w:rsid w:val="00875096"/>
    <w:rsid w:val="008760E0"/>
    <w:rsid w:val="00876F5C"/>
    <w:rsid w:val="00880ED3"/>
    <w:rsid w:val="00883721"/>
    <w:rsid w:val="00885D87"/>
    <w:rsid w:val="008904D0"/>
    <w:rsid w:val="008924E3"/>
    <w:rsid w:val="00892901"/>
    <w:rsid w:val="008A1DAE"/>
    <w:rsid w:val="008A247E"/>
    <w:rsid w:val="008A2C2A"/>
    <w:rsid w:val="008A3D62"/>
    <w:rsid w:val="008A6605"/>
    <w:rsid w:val="008B0B88"/>
    <w:rsid w:val="008B4B98"/>
    <w:rsid w:val="008B6972"/>
    <w:rsid w:val="008C1239"/>
    <w:rsid w:val="008C183F"/>
    <w:rsid w:val="008C1C95"/>
    <w:rsid w:val="008C3347"/>
    <w:rsid w:val="008C4122"/>
    <w:rsid w:val="008C5E39"/>
    <w:rsid w:val="008C669E"/>
    <w:rsid w:val="008D10F0"/>
    <w:rsid w:val="008D2FC2"/>
    <w:rsid w:val="008D6A3E"/>
    <w:rsid w:val="008E56A4"/>
    <w:rsid w:val="008E5BA8"/>
    <w:rsid w:val="008E664D"/>
    <w:rsid w:val="008E66EC"/>
    <w:rsid w:val="008E6FCA"/>
    <w:rsid w:val="008F030B"/>
    <w:rsid w:val="008F172C"/>
    <w:rsid w:val="008F2FAE"/>
    <w:rsid w:val="008F4E22"/>
    <w:rsid w:val="008F5A05"/>
    <w:rsid w:val="008F61C4"/>
    <w:rsid w:val="009019A9"/>
    <w:rsid w:val="00907BFE"/>
    <w:rsid w:val="00907C13"/>
    <w:rsid w:val="00907DF5"/>
    <w:rsid w:val="0091391C"/>
    <w:rsid w:val="00916CED"/>
    <w:rsid w:val="00917909"/>
    <w:rsid w:val="00917D07"/>
    <w:rsid w:val="0092122F"/>
    <w:rsid w:val="00921EDF"/>
    <w:rsid w:val="009225D9"/>
    <w:rsid w:val="00925F15"/>
    <w:rsid w:val="009268A8"/>
    <w:rsid w:val="0092757A"/>
    <w:rsid w:val="0093101C"/>
    <w:rsid w:val="009314E8"/>
    <w:rsid w:val="0093543E"/>
    <w:rsid w:val="00935B86"/>
    <w:rsid w:val="00937C6F"/>
    <w:rsid w:val="00937E8B"/>
    <w:rsid w:val="009460E7"/>
    <w:rsid w:val="00947FDB"/>
    <w:rsid w:val="00952219"/>
    <w:rsid w:val="009543A4"/>
    <w:rsid w:val="009562D0"/>
    <w:rsid w:val="00960CC3"/>
    <w:rsid w:val="0096180D"/>
    <w:rsid w:val="00961E3B"/>
    <w:rsid w:val="00962360"/>
    <w:rsid w:val="009623CB"/>
    <w:rsid w:val="00963600"/>
    <w:rsid w:val="009669AD"/>
    <w:rsid w:val="00967462"/>
    <w:rsid w:val="00970115"/>
    <w:rsid w:val="00972945"/>
    <w:rsid w:val="00973C64"/>
    <w:rsid w:val="00974384"/>
    <w:rsid w:val="00974D81"/>
    <w:rsid w:val="0097650B"/>
    <w:rsid w:val="00976903"/>
    <w:rsid w:val="00977F9C"/>
    <w:rsid w:val="009803D3"/>
    <w:rsid w:val="00983AF5"/>
    <w:rsid w:val="00984A3F"/>
    <w:rsid w:val="009865BD"/>
    <w:rsid w:val="00986AA9"/>
    <w:rsid w:val="00987E66"/>
    <w:rsid w:val="00987FEF"/>
    <w:rsid w:val="00990173"/>
    <w:rsid w:val="0099066E"/>
    <w:rsid w:val="00992244"/>
    <w:rsid w:val="00992D10"/>
    <w:rsid w:val="0099343D"/>
    <w:rsid w:val="00993567"/>
    <w:rsid w:val="00995A38"/>
    <w:rsid w:val="00995CA8"/>
    <w:rsid w:val="009965E1"/>
    <w:rsid w:val="009974E5"/>
    <w:rsid w:val="009A23F7"/>
    <w:rsid w:val="009A2B2A"/>
    <w:rsid w:val="009A38DA"/>
    <w:rsid w:val="009A75C4"/>
    <w:rsid w:val="009B0897"/>
    <w:rsid w:val="009B1E66"/>
    <w:rsid w:val="009B276A"/>
    <w:rsid w:val="009B3223"/>
    <w:rsid w:val="009B4045"/>
    <w:rsid w:val="009B4063"/>
    <w:rsid w:val="009B52E5"/>
    <w:rsid w:val="009C3C0C"/>
    <w:rsid w:val="009C3CDC"/>
    <w:rsid w:val="009C44FC"/>
    <w:rsid w:val="009C5ADA"/>
    <w:rsid w:val="009C5B51"/>
    <w:rsid w:val="009C6214"/>
    <w:rsid w:val="009C77BF"/>
    <w:rsid w:val="009C7C86"/>
    <w:rsid w:val="009D02B3"/>
    <w:rsid w:val="009D1471"/>
    <w:rsid w:val="009D1835"/>
    <w:rsid w:val="009D1D56"/>
    <w:rsid w:val="009D49AA"/>
    <w:rsid w:val="009D4FBB"/>
    <w:rsid w:val="009D7602"/>
    <w:rsid w:val="009E173D"/>
    <w:rsid w:val="009E4854"/>
    <w:rsid w:val="009E66FB"/>
    <w:rsid w:val="009E680B"/>
    <w:rsid w:val="009F17AA"/>
    <w:rsid w:val="009F1902"/>
    <w:rsid w:val="009F4086"/>
    <w:rsid w:val="009F4F44"/>
    <w:rsid w:val="009F646D"/>
    <w:rsid w:val="009F6DEE"/>
    <w:rsid w:val="009F7239"/>
    <w:rsid w:val="00A0249B"/>
    <w:rsid w:val="00A05C88"/>
    <w:rsid w:val="00A07644"/>
    <w:rsid w:val="00A11761"/>
    <w:rsid w:val="00A11860"/>
    <w:rsid w:val="00A11A52"/>
    <w:rsid w:val="00A11ECD"/>
    <w:rsid w:val="00A12BE0"/>
    <w:rsid w:val="00A144F8"/>
    <w:rsid w:val="00A1592C"/>
    <w:rsid w:val="00A15A1F"/>
    <w:rsid w:val="00A16F4B"/>
    <w:rsid w:val="00A17B57"/>
    <w:rsid w:val="00A21A3D"/>
    <w:rsid w:val="00A234D7"/>
    <w:rsid w:val="00A240EE"/>
    <w:rsid w:val="00A26705"/>
    <w:rsid w:val="00A30858"/>
    <w:rsid w:val="00A325A4"/>
    <w:rsid w:val="00A3325A"/>
    <w:rsid w:val="00A35B24"/>
    <w:rsid w:val="00A418BA"/>
    <w:rsid w:val="00A45272"/>
    <w:rsid w:val="00A52315"/>
    <w:rsid w:val="00A526EF"/>
    <w:rsid w:val="00A53CDD"/>
    <w:rsid w:val="00A53E97"/>
    <w:rsid w:val="00A60794"/>
    <w:rsid w:val="00A611CE"/>
    <w:rsid w:val="00A64CD5"/>
    <w:rsid w:val="00A70A7A"/>
    <w:rsid w:val="00A74AE2"/>
    <w:rsid w:val="00A756BB"/>
    <w:rsid w:val="00A77B63"/>
    <w:rsid w:val="00A80F87"/>
    <w:rsid w:val="00A8181C"/>
    <w:rsid w:val="00A8249A"/>
    <w:rsid w:val="00A85968"/>
    <w:rsid w:val="00A866E2"/>
    <w:rsid w:val="00A879B5"/>
    <w:rsid w:val="00A91B5D"/>
    <w:rsid w:val="00A922F5"/>
    <w:rsid w:val="00A973C0"/>
    <w:rsid w:val="00A9779D"/>
    <w:rsid w:val="00AA09C6"/>
    <w:rsid w:val="00AA276F"/>
    <w:rsid w:val="00AA32D3"/>
    <w:rsid w:val="00AA4327"/>
    <w:rsid w:val="00AA7A0F"/>
    <w:rsid w:val="00AB037D"/>
    <w:rsid w:val="00AB09A9"/>
    <w:rsid w:val="00AB1BBA"/>
    <w:rsid w:val="00AB2B17"/>
    <w:rsid w:val="00AB3D08"/>
    <w:rsid w:val="00AB5614"/>
    <w:rsid w:val="00AB744E"/>
    <w:rsid w:val="00AB75F4"/>
    <w:rsid w:val="00AC4455"/>
    <w:rsid w:val="00AC7C93"/>
    <w:rsid w:val="00AD23FF"/>
    <w:rsid w:val="00AD328C"/>
    <w:rsid w:val="00AD3BCE"/>
    <w:rsid w:val="00AD56B1"/>
    <w:rsid w:val="00AD7CB3"/>
    <w:rsid w:val="00AE0661"/>
    <w:rsid w:val="00AE1B22"/>
    <w:rsid w:val="00AE1F40"/>
    <w:rsid w:val="00AE3136"/>
    <w:rsid w:val="00AE495F"/>
    <w:rsid w:val="00AE537D"/>
    <w:rsid w:val="00AE5854"/>
    <w:rsid w:val="00AE5D64"/>
    <w:rsid w:val="00AE76CB"/>
    <w:rsid w:val="00AE76F0"/>
    <w:rsid w:val="00AF108A"/>
    <w:rsid w:val="00AF10F5"/>
    <w:rsid w:val="00AF1393"/>
    <w:rsid w:val="00AF493F"/>
    <w:rsid w:val="00AF5D31"/>
    <w:rsid w:val="00AF6DD8"/>
    <w:rsid w:val="00B01831"/>
    <w:rsid w:val="00B0269C"/>
    <w:rsid w:val="00B02E55"/>
    <w:rsid w:val="00B0389A"/>
    <w:rsid w:val="00B0538C"/>
    <w:rsid w:val="00B05984"/>
    <w:rsid w:val="00B06D4E"/>
    <w:rsid w:val="00B11A62"/>
    <w:rsid w:val="00B14C5C"/>
    <w:rsid w:val="00B14DDE"/>
    <w:rsid w:val="00B154CB"/>
    <w:rsid w:val="00B157D0"/>
    <w:rsid w:val="00B17DE0"/>
    <w:rsid w:val="00B203F4"/>
    <w:rsid w:val="00B2688B"/>
    <w:rsid w:val="00B27031"/>
    <w:rsid w:val="00B307EC"/>
    <w:rsid w:val="00B31979"/>
    <w:rsid w:val="00B341DA"/>
    <w:rsid w:val="00B34AE9"/>
    <w:rsid w:val="00B359A7"/>
    <w:rsid w:val="00B4047D"/>
    <w:rsid w:val="00B42374"/>
    <w:rsid w:val="00B43374"/>
    <w:rsid w:val="00B44CE2"/>
    <w:rsid w:val="00B44FA0"/>
    <w:rsid w:val="00B4521D"/>
    <w:rsid w:val="00B462AE"/>
    <w:rsid w:val="00B50E46"/>
    <w:rsid w:val="00B53A23"/>
    <w:rsid w:val="00B54BE5"/>
    <w:rsid w:val="00B570F4"/>
    <w:rsid w:val="00B57BE4"/>
    <w:rsid w:val="00B6141B"/>
    <w:rsid w:val="00B624E4"/>
    <w:rsid w:val="00B63126"/>
    <w:rsid w:val="00B63C19"/>
    <w:rsid w:val="00B67460"/>
    <w:rsid w:val="00B703FF"/>
    <w:rsid w:val="00B70FFB"/>
    <w:rsid w:val="00B72513"/>
    <w:rsid w:val="00B73B73"/>
    <w:rsid w:val="00B74F55"/>
    <w:rsid w:val="00B77084"/>
    <w:rsid w:val="00B807DC"/>
    <w:rsid w:val="00B80DC7"/>
    <w:rsid w:val="00B81857"/>
    <w:rsid w:val="00B8205D"/>
    <w:rsid w:val="00B8239B"/>
    <w:rsid w:val="00B8344E"/>
    <w:rsid w:val="00B83B22"/>
    <w:rsid w:val="00B847E6"/>
    <w:rsid w:val="00B87486"/>
    <w:rsid w:val="00B8766F"/>
    <w:rsid w:val="00B909E1"/>
    <w:rsid w:val="00B91264"/>
    <w:rsid w:val="00B94316"/>
    <w:rsid w:val="00B956ED"/>
    <w:rsid w:val="00B95F18"/>
    <w:rsid w:val="00B96E71"/>
    <w:rsid w:val="00B97C95"/>
    <w:rsid w:val="00BA02F9"/>
    <w:rsid w:val="00BA2D2E"/>
    <w:rsid w:val="00BA31F9"/>
    <w:rsid w:val="00BA3FDA"/>
    <w:rsid w:val="00BA4313"/>
    <w:rsid w:val="00BA4784"/>
    <w:rsid w:val="00BA49EA"/>
    <w:rsid w:val="00BA4F42"/>
    <w:rsid w:val="00BA513C"/>
    <w:rsid w:val="00BA714E"/>
    <w:rsid w:val="00BA735D"/>
    <w:rsid w:val="00BA7AA3"/>
    <w:rsid w:val="00BB4FE5"/>
    <w:rsid w:val="00BB6334"/>
    <w:rsid w:val="00BB6352"/>
    <w:rsid w:val="00BB716A"/>
    <w:rsid w:val="00BC0422"/>
    <w:rsid w:val="00BC058B"/>
    <w:rsid w:val="00BC0D03"/>
    <w:rsid w:val="00BC2765"/>
    <w:rsid w:val="00BC3D2A"/>
    <w:rsid w:val="00BC4575"/>
    <w:rsid w:val="00BC4CA0"/>
    <w:rsid w:val="00BC6FC8"/>
    <w:rsid w:val="00BC7ABB"/>
    <w:rsid w:val="00BD3051"/>
    <w:rsid w:val="00BD38BB"/>
    <w:rsid w:val="00BD4879"/>
    <w:rsid w:val="00BD6597"/>
    <w:rsid w:val="00BE10A8"/>
    <w:rsid w:val="00BE185D"/>
    <w:rsid w:val="00BE3D7F"/>
    <w:rsid w:val="00BE5835"/>
    <w:rsid w:val="00BE5D71"/>
    <w:rsid w:val="00BE5E75"/>
    <w:rsid w:val="00BF0D02"/>
    <w:rsid w:val="00BF0E8B"/>
    <w:rsid w:val="00BF1474"/>
    <w:rsid w:val="00BF24FE"/>
    <w:rsid w:val="00BF28F7"/>
    <w:rsid w:val="00BF3B0A"/>
    <w:rsid w:val="00BF47C1"/>
    <w:rsid w:val="00BF4B06"/>
    <w:rsid w:val="00BF54C1"/>
    <w:rsid w:val="00BF6ADB"/>
    <w:rsid w:val="00BF7FE0"/>
    <w:rsid w:val="00C0050E"/>
    <w:rsid w:val="00C04332"/>
    <w:rsid w:val="00C0570D"/>
    <w:rsid w:val="00C06923"/>
    <w:rsid w:val="00C07653"/>
    <w:rsid w:val="00C10F24"/>
    <w:rsid w:val="00C130C8"/>
    <w:rsid w:val="00C13168"/>
    <w:rsid w:val="00C13F60"/>
    <w:rsid w:val="00C203C9"/>
    <w:rsid w:val="00C22E43"/>
    <w:rsid w:val="00C23238"/>
    <w:rsid w:val="00C235DF"/>
    <w:rsid w:val="00C2539E"/>
    <w:rsid w:val="00C278DE"/>
    <w:rsid w:val="00C3004B"/>
    <w:rsid w:val="00C3169B"/>
    <w:rsid w:val="00C31F4C"/>
    <w:rsid w:val="00C32ADC"/>
    <w:rsid w:val="00C35684"/>
    <w:rsid w:val="00C35755"/>
    <w:rsid w:val="00C42E13"/>
    <w:rsid w:val="00C4427F"/>
    <w:rsid w:val="00C45E8D"/>
    <w:rsid w:val="00C47DDE"/>
    <w:rsid w:val="00C50912"/>
    <w:rsid w:val="00C50FF0"/>
    <w:rsid w:val="00C5686A"/>
    <w:rsid w:val="00C63347"/>
    <w:rsid w:val="00C64D23"/>
    <w:rsid w:val="00C65390"/>
    <w:rsid w:val="00C67B74"/>
    <w:rsid w:val="00C7123A"/>
    <w:rsid w:val="00C7128F"/>
    <w:rsid w:val="00C71666"/>
    <w:rsid w:val="00C7331B"/>
    <w:rsid w:val="00C740B8"/>
    <w:rsid w:val="00C74D07"/>
    <w:rsid w:val="00C75114"/>
    <w:rsid w:val="00C80EB4"/>
    <w:rsid w:val="00C81617"/>
    <w:rsid w:val="00C82D83"/>
    <w:rsid w:val="00C84213"/>
    <w:rsid w:val="00C859B7"/>
    <w:rsid w:val="00C860A3"/>
    <w:rsid w:val="00C86682"/>
    <w:rsid w:val="00C907A5"/>
    <w:rsid w:val="00C90846"/>
    <w:rsid w:val="00C94681"/>
    <w:rsid w:val="00CA00C6"/>
    <w:rsid w:val="00CA06C7"/>
    <w:rsid w:val="00CA129E"/>
    <w:rsid w:val="00CA16C3"/>
    <w:rsid w:val="00CA20B5"/>
    <w:rsid w:val="00CA32C8"/>
    <w:rsid w:val="00CA3562"/>
    <w:rsid w:val="00CA371D"/>
    <w:rsid w:val="00CB0A27"/>
    <w:rsid w:val="00CB35D9"/>
    <w:rsid w:val="00CB4486"/>
    <w:rsid w:val="00CB4A8A"/>
    <w:rsid w:val="00CC04DE"/>
    <w:rsid w:val="00CC12E7"/>
    <w:rsid w:val="00CC132B"/>
    <w:rsid w:val="00CC3F84"/>
    <w:rsid w:val="00CC6E2D"/>
    <w:rsid w:val="00CD0B6D"/>
    <w:rsid w:val="00CD24A8"/>
    <w:rsid w:val="00CD315A"/>
    <w:rsid w:val="00CE0526"/>
    <w:rsid w:val="00CE1C4C"/>
    <w:rsid w:val="00CE1ED9"/>
    <w:rsid w:val="00CE2628"/>
    <w:rsid w:val="00CE7B44"/>
    <w:rsid w:val="00CF0BB4"/>
    <w:rsid w:val="00CF1838"/>
    <w:rsid w:val="00CF2742"/>
    <w:rsid w:val="00CF2FF8"/>
    <w:rsid w:val="00CF4851"/>
    <w:rsid w:val="00CF58B7"/>
    <w:rsid w:val="00CF777B"/>
    <w:rsid w:val="00D0069F"/>
    <w:rsid w:val="00D05493"/>
    <w:rsid w:val="00D06FBC"/>
    <w:rsid w:val="00D13037"/>
    <w:rsid w:val="00D14503"/>
    <w:rsid w:val="00D148D5"/>
    <w:rsid w:val="00D16E6A"/>
    <w:rsid w:val="00D22402"/>
    <w:rsid w:val="00D224A1"/>
    <w:rsid w:val="00D2279D"/>
    <w:rsid w:val="00D324FE"/>
    <w:rsid w:val="00D337CA"/>
    <w:rsid w:val="00D351C1"/>
    <w:rsid w:val="00D35B9F"/>
    <w:rsid w:val="00D35E64"/>
    <w:rsid w:val="00D36CA3"/>
    <w:rsid w:val="00D37CB6"/>
    <w:rsid w:val="00D4249C"/>
    <w:rsid w:val="00D428BC"/>
    <w:rsid w:val="00D44776"/>
    <w:rsid w:val="00D44CE7"/>
    <w:rsid w:val="00D45804"/>
    <w:rsid w:val="00D463AD"/>
    <w:rsid w:val="00D46BC7"/>
    <w:rsid w:val="00D47082"/>
    <w:rsid w:val="00D471DB"/>
    <w:rsid w:val="00D50CCB"/>
    <w:rsid w:val="00D51245"/>
    <w:rsid w:val="00D53162"/>
    <w:rsid w:val="00D54B6F"/>
    <w:rsid w:val="00D54E73"/>
    <w:rsid w:val="00D57605"/>
    <w:rsid w:val="00D602A0"/>
    <w:rsid w:val="00D613A6"/>
    <w:rsid w:val="00D64707"/>
    <w:rsid w:val="00D650EA"/>
    <w:rsid w:val="00D67084"/>
    <w:rsid w:val="00D7065E"/>
    <w:rsid w:val="00D7318F"/>
    <w:rsid w:val="00D737C5"/>
    <w:rsid w:val="00D73BC2"/>
    <w:rsid w:val="00D75AA9"/>
    <w:rsid w:val="00D7722A"/>
    <w:rsid w:val="00D80B1B"/>
    <w:rsid w:val="00D82293"/>
    <w:rsid w:val="00D8405B"/>
    <w:rsid w:val="00D86BF0"/>
    <w:rsid w:val="00D91775"/>
    <w:rsid w:val="00D9393F"/>
    <w:rsid w:val="00D945CE"/>
    <w:rsid w:val="00D950D8"/>
    <w:rsid w:val="00D95477"/>
    <w:rsid w:val="00DA4FFC"/>
    <w:rsid w:val="00DB0188"/>
    <w:rsid w:val="00DB1FBA"/>
    <w:rsid w:val="00DB26A8"/>
    <w:rsid w:val="00DB4F9F"/>
    <w:rsid w:val="00DB5728"/>
    <w:rsid w:val="00DB5AE0"/>
    <w:rsid w:val="00DB6161"/>
    <w:rsid w:val="00DB70FB"/>
    <w:rsid w:val="00DC01F6"/>
    <w:rsid w:val="00DC334D"/>
    <w:rsid w:val="00DC56E8"/>
    <w:rsid w:val="00DC6AAD"/>
    <w:rsid w:val="00DC6DDF"/>
    <w:rsid w:val="00DC7082"/>
    <w:rsid w:val="00DE165D"/>
    <w:rsid w:val="00DE1D63"/>
    <w:rsid w:val="00DE2CA4"/>
    <w:rsid w:val="00DE3242"/>
    <w:rsid w:val="00DE45A3"/>
    <w:rsid w:val="00DE5EE7"/>
    <w:rsid w:val="00DF5014"/>
    <w:rsid w:val="00DF67C3"/>
    <w:rsid w:val="00DF6CEB"/>
    <w:rsid w:val="00E009D9"/>
    <w:rsid w:val="00E02758"/>
    <w:rsid w:val="00E06ED0"/>
    <w:rsid w:val="00E0721C"/>
    <w:rsid w:val="00E07398"/>
    <w:rsid w:val="00E106B3"/>
    <w:rsid w:val="00E1082D"/>
    <w:rsid w:val="00E130CB"/>
    <w:rsid w:val="00E13612"/>
    <w:rsid w:val="00E14934"/>
    <w:rsid w:val="00E14C48"/>
    <w:rsid w:val="00E2160E"/>
    <w:rsid w:val="00E24E02"/>
    <w:rsid w:val="00E25895"/>
    <w:rsid w:val="00E30CA9"/>
    <w:rsid w:val="00E361AD"/>
    <w:rsid w:val="00E408AB"/>
    <w:rsid w:val="00E41E68"/>
    <w:rsid w:val="00E43B2D"/>
    <w:rsid w:val="00E460A6"/>
    <w:rsid w:val="00E50B60"/>
    <w:rsid w:val="00E51920"/>
    <w:rsid w:val="00E51B50"/>
    <w:rsid w:val="00E529D7"/>
    <w:rsid w:val="00E53A58"/>
    <w:rsid w:val="00E54D26"/>
    <w:rsid w:val="00E56F0E"/>
    <w:rsid w:val="00E63ADD"/>
    <w:rsid w:val="00E64120"/>
    <w:rsid w:val="00E678CB"/>
    <w:rsid w:val="00E67D1E"/>
    <w:rsid w:val="00E707FD"/>
    <w:rsid w:val="00E71657"/>
    <w:rsid w:val="00E73854"/>
    <w:rsid w:val="00E745BB"/>
    <w:rsid w:val="00E8010A"/>
    <w:rsid w:val="00E84601"/>
    <w:rsid w:val="00E85E09"/>
    <w:rsid w:val="00E8605D"/>
    <w:rsid w:val="00E87771"/>
    <w:rsid w:val="00E900D7"/>
    <w:rsid w:val="00E92CE2"/>
    <w:rsid w:val="00E93CDD"/>
    <w:rsid w:val="00E94FEA"/>
    <w:rsid w:val="00E9652D"/>
    <w:rsid w:val="00EA1325"/>
    <w:rsid w:val="00EA22D5"/>
    <w:rsid w:val="00EA2704"/>
    <w:rsid w:val="00EA4221"/>
    <w:rsid w:val="00EA4241"/>
    <w:rsid w:val="00EA5008"/>
    <w:rsid w:val="00EB1493"/>
    <w:rsid w:val="00EB33D5"/>
    <w:rsid w:val="00EB33FD"/>
    <w:rsid w:val="00EB3CD8"/>
    <w:rsid w:val="00EB56DD"/>
    <w:rsid w:val="00EB6F5F"/>
    <w:rsid w:val="00ED246E"/>
    <w:rsid w:val="00ED379C"/>
    <w:rsid w:val="00ED4758"/>
    <w:rsid w:val="00ED532D"/>
    <w:rsid w:val="00ED5834"/>
    <w:rsid w:val="00ED5C49"/>
    <w:rsid w:val="00ED6AAF"/>
    <w:rsid w:val="00EE065C"/>
    <w:rsid w:val="00EE3926"/>
    <w:rsid w:val="00EE5D34"/>
    <w:rsid w:val="00EF319C"/>
    <w:rsid w:val="00EF3D49"/>
    <w:rsid w:val="00F00846"/>
    <w:rsid w:val="00F0220A"/>
    <w:rsid w:val="00F02496"/>
    <w:rsid w:val="00F033AA"/>
    <w:rsid w:val="00F055F1"/>
    <w:rsid w:val="00F05A46"/>
    <w:rsid w:val="00F15458"/>
    <w:rsid w:val="00F16056"/>
    <w:rsid w:val="00F21A9E"/>
    <w:rsid w:val="00F301F1"/>
    <w:rsid w:val="00F31A8E"/>
    <w:rsid w:val="00F32C2D"/>
    <w:rsid w:val="00F33A4C"/>
    <w:rsid w:val="00F33FD7"/>
    <w:rsid w:val="00F34B87"/>
    <w:rsid w:val="00F358BF"/>
    <w:rsid w:val="00F36C8A"/>
    <w:rsid w:val="00F374CD"/>
    <w:rsid w:val="00F41E92"/>
    <w:rsid w:val="00F434FF"/>
    <w:rsid w:val="00F4425B"/>
    <w:rsid w:val="00F45B5A"/>
    <w:rsid w:val="00F476F3"/>
    <w:rsid w:val="00F51024"/>
    <w:rsid w:val="00F5122A"/>
    <w:rsid w:val="00F51940"/>
    <w:rsid w:val="00F523CD"/>
    <w:rsid w:val="00F53495"/>
    <w:rsid w:val="00F561EE"/>
    <w:rsid w:val="00F615DD"/>
    <w:rsid w:val="00F62441"/>
    <w:rsid w:val="00F63D66"/>
    <w:rsid w:val="00F64504"/>
    <w:rsid w:val="00F6458C"/>
    <w:rsid w:val="00F6478A"/>
    <w:rsid w:val="00F6661C"/>
    <w:rsid w:val="00F66A4F"/>
    <w:rsid w:val="00F701C7"/>
    <w:rsid w:val="00F766B6"/>
    <w:rsid w:val="00F77823"/>
    <w:rsid w:val="00F778D6"/>
    <w:rsid w:val="00F77FD4"/>
    <w:rsid w:val="00F819FF"/>
    <w:rsid w:val="00F82391"/>
    <w:rsid w:val="00F82797"/>
    <w:rsid w:val="00F858CA"/>
    <w:rsid w:val="00F87389"/>
    <w:rsid w:val="00F87479"/>
    <w:rsid w:val="00F87E9D"/>
    <w:rsid w:val="00F916DC"/>
    <w:rsid w:val="00F928F4"/>
    <w:rsid w:val="00F94BD6"/>
    <w:rsid w:val="00F958CC"/>
    <w:rsid w:val="00F96EA9"/>
    <w:rsid w:val="00FA1534"/>
    <w:rsid w:val="00FA464E"/>
    <w:rsid w:val="00FA60EE"/>
    <w:rsid w:val="00FB2379"/>
    <w:rsid w:val="00FB2902"/>
    <w:rsid w:val="00FB2F69"/>
    <w:rsid w:val="00FB3848"/>
    <w:rsid w:val="00FB5293"/>
    <w:rsid w:val="00FB5446"/>
    <w:rsid w:val="00FC0D46"/>
    <w:rsid w:val="00FC10ED"/>
    <w:rsid w:val="00FC2D11"/>
    <w:rsid w:val="00FC373B"/>
    <w:rsid w:val="00FC6230"/>
    <w:rsid w:val="00FD03F5"/>
    <w:rsid w:val="00FD0638"/>
    <w:rsid w:val="00FD14D9"/>
    <w:rsid w:val="00FD2A0A"/>
    <w:rsid w:val="00FD3934"/>
    <w:rsid w:val="00FD3BC1"/>
    <w:rsid w:val="00FD40F7"/>
    <w:rsid w:val="00FD5913"/>
    <w:rsid w:val="00FD64B2"/>
    <w:rsid w:val="00FE0558"/>
    <w:rsid w:val="00FE0BF6"/>
    <w:rsid w:val="00FE11E8"/>
    <w:rsid w:val="00FE12CE"/>
    <w:rsid w:val="00FE1382"/>
    <w:rsid w:val="00FE29B5"/>
    <w:rsid w:val="00FE32EB"/>
    <w:rsid w:val="00FE3AFF"/>
    <w:rsid w:val="00FE6649"/>
    <w:rsid w:val="00FE7F98"/>
    <w:rsid w:val="00FF065B"/>
    <w:rsid w:val="00FF48EE"/>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B9D"/>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B34AE9"/>
    <w:pPr>
      <w:tabs>
        <w:tab w:val="right" w:leader="dot" w:pos="9017"/>
      </w:tabs>
    </w:pPr>
    <w:rPr>
      <w:rFonts w:ascii="Arial" w:hAnsi="Arial"/>
    </w:rPr>
  </w:style>
  <w:style w:type="paragraph" w:styleId="TOC2">
    <w:name w:val="toc 2"/>
    <w:basedOn w:val="Normal"/>
    <w:next w:val="Normal"/>
    <w:autoRedefine/>
    <w:uiPriority w:val="39"/>
    <w:rsid w:val="00F36C8A"/>
    <w:pPr>
      <w:tabs>
        <w:tab w:val="right" w:leader="dot" w:pos="9017"/>
      </w:tabs>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13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50817661">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19723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03/" TargetMode="External"/><Relationship Id="rId13" Type="http://schemas.openxmlformats.org/officeDocument/2006/relationships/hyperlink" Target="file://\\nice.nhs.uk\data\H&amp;SC\INDICATORS\12.%20Projects\Diabetes%20bp%20indicators%20June%202022%20IAC\Lowering%20blood%20pressure%20in%20people%20with%20diabetes%20reduces%20the%20risk%20of%20cardiovascular%20problems%20such%20as%20heart%20disease%20and%20stroke.%20A%20focus%20on%20people%20without%20moderate%20or%20severe%20frailty%20has%20been%20included%20in%20line%20with%20existing%20NICE%20indicator%20NM159%20(included%20in%20QOF%20as%20DM019).%20The%20aim%20is%20to%20reduce%20under-treatment%20and%20support%20better%20control%20of%20blood%20pressure%20in%20people%20with%20the%20greatest%20capacity%20to%20benef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hyperlink" Target="https://www.nice.org.uk/guidance/ng1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kidneyresearchuk.org/research/partnerships-collaboration/kidney-research-uk-and-diabetes-uk-joint-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standards-and-indicators/qofindicators/the-percentage-of-patients-with-diabetes-without-moderate-or-severe-frailty-on-the-register-in-whom-the-last-blood-pressure-reading-measured-in-the-preceding-12-months-is-140-80-mmhg-or-l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standards-and-indicators/qofindicators/the-percentage-of-patients-with-diabetes-without-moderate-or-severe-frailty-on-the-register-in-whom-the-last-blood-pressure-reading-measured-in-the-preceding-12-months-is-140-80-mmhg-or-les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3395</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2022-08-12T09:16:00Z</dcterms:created>
  <dcterms:modified xsi:type="dcterms:W3CDTF">2023-08-18T14:20:00Z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2023-08-18T14:20:55Z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20d0b251-bde2-4c44-acd8-ce284a809d80</vt:lpwstr>
  </property>
  <property fmtid="{D5CDD505-2E9C-101B-9397-08002B2CF9AE}" pid="8" name="MSIP_Label_c69d85d5-6d9e-4305-a294-1f636ec0f2d6_ContentBits">
    <vt:lpwstr>0</vt:lpwstr>
  </property>
</Properties>
</file>