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7DB639F6" w:rsidR="00E00E24" w:rsidRDefault="00677839" w:rsidP="00072116">
      <w:pPr>
        <w:pStyle w:val="Heading1"/>
      </w:pPr>
      <w:r>
        <w:t>NM2</w:t>
      </w:r>
      <w:r w:rsidR="00B72A51">
        <w:t>4</w:t>
      </w:r>
      <w:r w:rsidR="005B5F16">
        <w:t>3</w:t>
      </w:r>
      <w:r w:rsidR="00E00E24">
        <w:t xml:space="preserve"> </w:t>
      </w:r>
      <w:r w:rsidR="005B5F16" w:rsidRPr="00806A67">
        <w:t xml:space="preserve">Stroke and ischaemic attack: </w:t>
      </w:r>
      <w:r w:rsidR="00BC604C" w:rsidRPr="00BC604C">
        <w:t>register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5580FDFD" w:rsidR="00E00E24" w:rsidRDefault="00227BFD" w:rsidP="0073572E">
      <w:pPr>
        <w:pStyle w:val="Paragraph"/>
        <w:ind w:left="425"/>
      </w:pPr>
      <w:r>
        <w:t>No</w:t>
      </w:r>
      <w:r w:rsidR="00BC604C">
        <w:t>.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482A403C" w14:textId="6C113081" w:rsidR="00E00E24" w:rsidRDefault="00BC604C" w:rsidP="00507FC5">
      <w:pPr>
        <w:pStyle w:val="Paragraph"/>
        <w:ind w:left="425"/>
      </w:pPr>
      <w:r>
        <w:t>No exclusions.</w:t>
      </w:r>
      <w:r w:rsidR="00B72A51">
        <w:t xml:space="preserve"> </w:t>
      </w:r>
    </w:p>
    <w:p w14:paraId="17EF2A39" w14:textId="77777777" w:rsidR="00E00E24" w:rsidRDefault="00E00E24" w:rsidP="0073572E">
      <w:pPr>
        <w:pStyle w:val="ParagraphNumbered"/>
      </w:pPr>
      <w:r>
        <w:t>Does the indicator make it more difficult in practice for a specific group to access services compared with other groups? If so, what are the barriers to, or difficulties with, access for the specific group?</w:t>
      </w:r>
    </w:p>
    <w:p w14:paraId="4D3379D0" w14:textId="4A745F4A" w:rsidR="00E00E24" w:rsidRDefault="003C6D71" w:rsidP="0073572E">
      <w:pPr>
        <w:pStyle w:val="Paragraph"/>
        <w:ind w:left="425"/>
      </w:pPr>
      <w:r>
        <w:t>No.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019708B1" w:rsidR="00E00E24" w:rsidRDefault="003C6D71" w:rsidP="0073572E">
      <w:pPr>
        <w:pStyle w:val="Paragraph"/>
        <w:ind w:left="425"/>
      </w:pPr>
      <w:r>
        <w:t>No.</w:t>
      </w:r>
    </w:p>
    <w:p w14:paraId="799D3C0B" w14:textId="1FC6F12A" w:rsidR="00E00E24" w:rsidRDefault="00E00E24" w:rsidP="00E00E24">
      <w:pPr>
        <w:pStyle w:val="Paragraph"/>
      </w:pPr>
      <w:r>
        <w:t xml:space="preserve">Completed by lead technical analyst: </w:t>
      </w:r>
      <w:r w:rsidR="00677839">
        <w:t>Eileen Taylor</w:t>
      </w:r>
    </w:p>
    <w:p w14:paraId="201561A4" w14:textId="0F004596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677839">
        <w:t>03/02/2023</w:t>
      </w:r>
    </w:p>
    <w:p w14:paraId="6F4F9CED" w14:textId="104C14EA" w:rsidR="00E00E24" w:rsidRDefault="00E00E24" w:rsidP="00E00E24">
      <w:pPr>
        <w:pStyle w:val="Paragraph"/>
      </w:pPr>
      <w:r>
        <w:t xml:space="preserve">Approved by NICE quality assurance lead: </w:t>
      </w:r>
      <w:r w:rsidR="00677839">
        <w:t>Craig Grime</w:t>
      </w:r>
      <w:r>
        <w:t xml:space="preserve"> </w:t>
      </w:r>
    </w:p>
    <w:p w14:paraId="5C4433D2" w14:textId="5F70F592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227BFD" w:rsidRPr="00227BFD">
        <w:t>15/02/2023</w:t>
      </w:r>
    </w:p>
    <w:p w14:paraId="06DF43B7" w14:textId="5BCCF285" w:rsidR="00E00E24" w:rsidRPr="00E00E24" w:rsidRDefault="00E00E24" w:rsidP="00E00E24">
      <w:pPr>
        <w:pStyle w:val="Paragraph"/>
      </w:pPr>
      <w:r>
        <w:t>© NICE 202</w:t>
      </w:r>
      <w:r w:rsidR="00677839">
        <w:t>3</w:t>
      </w:r>
      <w:r>
        <w:t xml:space="preserve">. All rights reserved. Subject to </w:t>
      </w:r>
      <w:hyperlink r:id="rId7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639" w14:textId="77777777" w:rsidR="00E00E24" w:rsidRDefault="00E00E24" w:rsidP="00446BEE">
      <w:r>
        <w:separator/>
      </w:r>
    </w:p>
  </w:endnote>
  <w:endnote w:type="continuationSeparator" w:id="0">
    <w:p w14:paraId="4F880C9C" w14:textId="77777777" w:rsidR="00E00E24" w:rsidRDefault="00E00E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8ECE" w14:textId="7DD5C8B5" w:rsidR="00446BEE" w:rsidRDefault="00400E95" w:rsidP="00446BEE">
    <w:pPr>
      <w:pStyle w:val="Footer"/>
    </w:pPr>
    <w:r>
      <w:t>NM2</w:t>
    </w:r>
    <w:r w:rsidR="00B72A51">
      <w:t>40</w:t>
    </w:r>
    <w:r>
      <w:t>: Equality impact assessment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540836">
      <w:fldChar w:fldCharType="begin"/>
    </w:r>
    <w:r w:rsidR="00540836">
      <w:instrText xml:space="preserve"> NUMPAGES  </w:instrText>
    </w:r>
    <w:r w:rsidR="00540836">
      <w:fldChar w:fldCharType="separate"/>
    </w:r>
    <w:r w:rsidR="00FA2C5A">
      <w:rPr>
        <w:noProof/>
      </w:rPr>
      <w:t>1</w:t>
    </w:r>
    <w:r w:rsidR="00540836">
      <w:rPr>
        <w:noProof/>
      </w:rPr>
      <w:fldChar w:fldCharType="end"/>
    </w:r>
  </w:p>
  <w:p w14:paraId="05784CA8" w14:textId="77777777" w:rsidR="00446BEE" w:rsidRDefault="00446BEE">
    <w:pPr>
      <w:pStyle w:val="Footer"/>
    </w:pPr>
  </w:p>
  <w:p w14:paraId="7321780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bookmarkStart w:id="0" w:name="_Hlk126313151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7F4D4E4F" w:rsidR="008E7826" w:rsidRDefault="00677839" w:rsidP="008E7826">
            <w:pPr>
              <w:pStyle w:val="Footer"/>
            </w:pPr>
            <w:r>
              <w:t>NM2</w:t>
            </w:r>
            <w:r w:rsidR="00B72A51">
              <w:t>4</w:t>
            </w:r>
            <w:r w:rsidR="005B5F16">
              <w:t>3</w:t>
            </w:r>
            <w:r w:rsidR="00E00E24">
              <w:t>: Equality impact assessment</w:t>
            </w:r>
            <w:bookmarkEnd w:id="0"/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540836">
              <w:fldChar w:fldCharType="begin"/>
            </w:r>
            <w:r w:rsidR="00540836">
              <w:instrText xml:space="preserve"> NUMPAGES  </w:instrText>
            </w:r>
            <w:r w:rsidR="00540836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540836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0D9" w14:textId="77777777" w:rsidR="00E00E24" w:rsidRDefault="00E00E24" w:rsidP="00446BEE">
      <w:r>
        <w:separator/>
      </w:r>
    </w:p>
  </w:footnote>
  <w:footnote w:type="continuationSeparator" w:id="0">
    <w:p w14:paraId="7E81C0C7" w14:textId="77777777" w:rsidR="00E00E24" w:rsidRDefault="00E00E2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2D3B8080" wp14:editId="29BD35F3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53F8"/>
    <w:rsid w:val="00024D0A"/>
    <w:rsid w:val="00070065"/>
    <w:rsid w:val="00072116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3455"/>
    <w:rsid w:val="001E60D6"/>
    <w:rsid w:val="001E715C"/>
    <w:rsid w:val="002124D5"/>
    <w:rsid w:val="00227BFD"/>
    <w:rsid w:val="00235B5C"/>
    <w:rsid w:val="002408EA"/>
    <w:rsid w:val="0025603E"/>
    <w:rsid w:val="002819D7"/>
    <w:rsid w:val="002C1A7E"/>
    <w:rsid w:val="002D3376"/>
    <w:rsid w:val="002E0367"/>
    <w:rsid w:val="00311ED0"/>
    <w:rsid w:val="003417FB"/>
    <w:rsid w:val="0035123A"/>
    <w:rsid w:val="003648C5"/>
    <w:rsid w:val="003722FA"/>
    <w:rsid w:val="003C6D71"/>
    <w:rsid w:val="003C7AAF"/>
    <w:rsid w:val="003F0A04"/>
    <w:rsid w:val="003F1C1C"/>
    <w:rsid w:val="00400E95"/>
    <w:rsid w:val="004075B6"/>
    <w:rsid w:val="00420952"/>
    <w:rsid w:val="00446BEE"/>
    <w:rsid w:val="005025A1"/>
    <w:rsid w:val="00507FC5"/>
    <w:rsid w:val="00540836"/>
    <w:rsid w:val="00586080"/>
    <w:rsid w:val="00594C3A"/>
    <w:rsid w:val="005A02D5"/>
    <w:rsid w:val="005B0E69"/>
    <w:rsid w:val="005B5F16"/>
    <w:rsid w:val="005D52D0"/>
    <w:rsid w:val="005E4476"/>
    <w:rsid w:val="00613D45"/>
    <w:rsid w:val="00624140"/>
    <w:rsid w:val="006709A9"/>
    <w:rsid w:val="00677839"/>
    <w:rsid w:val="006802A7"/>
    <w:rsid w:val="006921E1"/>
    <w:rsid w:val="00696C0A"/>
    <w:rsid w:val="006A28FB"/>
    <w:rsid w:val="0073572E"/>
    <w:rsid w:val="00736348"/>
    <w:rsid w:val="0077376B"/>
    <w:rsid w:val="00781C41"/>
    <w:rsid w:val="00783455"/>
    <w:rsid w:val="007D56D1"/>
    <w:rsid w:val="00833D8A"/>
    <w:rsid w:val="00861B92"/>
    <w:rsid w:val="008814FB"/>
    <w:rsid w:val="0089072B"/>
    <w:rsid w:val="008A41BF"/>
    <w:rsid w:val="008E7826"/>
    <w:rsid w:val="008F5E30"/>
    <w:rsid w:val="008F6FB7"/>
    <w:rsid w:val="00914D7F"/>
    <w:rsid w:val="00944E5A"/>
    <w:rsid w:val="0097305A"/>
    <w:rsid w:val="009E680B"/>
    <w:rsid w:val="00A15A1F"/>
    <w:rsid w:val="00A3325A"/>
    <w:rsid w:val="00A43013"/>
    <w:rsid w:val="00A75A98"/>
    <w:rsid w:val="00AF108A"/>
    <w:rsid w:val="00B02E55"/>
    <w:rsid w:val="00B036C1"/>
    <w:rsid w:val="00B502FC"/>
    <w:rsid w:val="00B5431F"/>
    <w:rsid w:val="00B61528"/>
    <w:rsid w:val="00B65A11"/>
    <w:rsid w:val="00B72A51"/>
    <w:rsid w:val="00BC184B"/>
    <w:rsid w:val="00BC604C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75B64"/>
    <w:rsid w:val="00D86BF0"/>
    <w:rsid w:val="00DF2F1F"/>
    <w:rsid w:val="00E00E24"/>
    <w:rsid w:val="00E51079"/>
    <w:rsid w:val="00E51920"/>
    <w:rsid w:val="00E64120"/>
    <w:rsid w:val="00E660A1"/>
    <w:rsid w:val="00E72AE9"/>
    <w:rsid w:val="00E851C4"/>
    <w:rsid w:val="00EB096F"/>
    <w:rsid w:val="00F055F1"/>
    <w:rsid w:val="00F610AF"/>
    <w:rsid w:val="00F853C3"/>
    <w:rsid w:val="00FA2C5A"/>
    <w:rsid w:val="00FB0FA4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911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2023-08-19T11:09:00Z</dcterms:created>
  <dcterms:modified xsi:type="dcterms:W3CDTF">2023-08-19T11:09:00Z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2023-08-19T11:09:26Z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befbd57d-1253-4c44-a9c7-ec7c72c2af28</vt:lpwstr>
  </property>
  <property fmtid="{D5CDD505-2E9C-101B-9397-08002B2CF9AE}" pid="8" name="MSIP_Label_c69d85d5-6d9e-4305-a294-1f636ec0f2d6_ContentBits">
    <vt:lpwstr>0</vt:lpwstr>
  </property>
</Properties>
</file>