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A48B" w14:textId="43A2D133" w:rsidR="00594C3A" w:rsidRDefault="0087125A" w:rsidP="00136206">
      <w:pPr>
        <w:pStyle w:val="Title"/>
      </w:pPr>
      <w:r>
        <w:t xml:space="preserve">Focus group report: </w:t>
      </w:r>
      <w:r w:rsidR="00BF0FB9">
        <w:t>Familial hypercholesterolaemia</w:t>
      </w:r>
      <w:r>
        <w:t xml:space="preserve"> </w:t>
      </w:r>
    </w:p>
    <w:p w14:paraId="7CE7DB54" w14:textId="77777777" w:rsidR="00B56D23" w:rsidRDefault="00B56D23">
      <w:pPr>
        <w:pStyle w:val="TOC1"/>
        <w:tabs>
          <w:tab w:val="right" w:leader="dot" w:pos="8296"/>
        </w:tabs>
      </w:pPr>
    </w:p>
    <w:p w14:paraId="5FFC7D6C" w14:textId="77777777" w:rsidR="00B56D23" w:rsidRDefault="00B56D23">
      <w:pPr>
        <w:pStyle w:val="TOC1"/>
        <w:tabs>
          <w:tab w:val="right" w:leader="dot" w:pos="8296"/>
        </w:tabs>
      </w:pPr>
    </w:p>
    <w:p w14:paraId="4DF1A3A2" w14:textId="02183F91" w:rsidR="00B56D23" w:rsidRDefault="00B56D23" w:rsidP="00B56D23">
      <w:pPr>
        <w:pStyle w:val="Heading1"/>
      </w:pPr>
      <w:r>
        <w:t>Contents</w:t>
      </w:r>
    </w:p>
    <w:p w14:paraId="71FE4445" w14:textId="2CB82FA6" w:rsidR="00B56D23" w:rsidRDefault="00B56D23">
      <w:pPr>
        <w:pStyle w:val="TOC1"/>
        <w:tabs>
          <w:tab w:val="right" w:leader="dot" w:pos="8296"/>
        </w:tabs>
        <w:rPr>
          <w:rFonts w:asciiTheme="minorHAnsi" w:eastAsiaTheme="minorEastAsia" w:hAnsiTheme="minorHAnsi" w:cstheme="minorBidi"/>
          <w:noProof/>
          <w:sz w:val="22"/>
          <w:szCs w:val="22"/>
        </w:rPr>
      </w:pPr>
      <w:r>
        <w:fldChar w:fldCharType="begin"/>
      </w:r>
      <w:r>
        <w:instrText xml:space="preserve"> TOC \o "2-2" \h \z \t "Heading 1,1" </w:instrText>
      </w:r>
      <w:r>
        <w:fldChar w:fldCharType="separate"/>
      </w:r>
      <w:hyperlink w:anchor="_Toc133483986" w:history="1">
        <w:r w:rsidRPr="00703F43">
          <w:rPr>
            <w:rStyle w:val="Hyperlink"/>
            <w:noProof/>
          </w:rPr>
          <w:t>Background</w:t>
        </w:r>
        <w:r>
          <w:rPr>
            <w:noProof/>
            <w:webHidden/>
          </w:rPr>
          <w:tab/>
        </w:r>
        <w:r>
          <w:rPr>
            <w:noProof/>
            <w:webHidden/>
          </w:rPr>
          <w:fldChar w:fldCharType="begin"/>
        </w:r>
        <w:r>
          <w:rPr>
            <w:noProof/>
            <w:webHidden/>
          </w:rPr>
          <w:instrText xml:space="preserve"> PAGEREF _Toc133483986 \h </w:instrText>
        </w:r>
        <w:r>
          <w:rPr>
            <w:noProof/>
            <w:webHidden/>
          </w:rPr>
        </w:r>
        <w:r>
          <w:rPr>
            <w:noProof/>
            <w:webHidden/>
          </w:rPr>
          <w:fldChar w:fldCharType="separate"/>
        </w:r>
        <w:r w:rsidR="00FF4F51">
          <w:rPr>
            <w:noProof/>
            <w:webHidden/>
          </w:rPr>
          <w:t>2</w:t>
        </w:r>
        <w:r>
          <w:rPr>
            <w:noProof/>
            <w:webHidden/>
          </w:rPr>
          <w:fldChar w:fldCharType="end"/>
        </w:r>
      </w:hyperlink>
    </w:p>
    <w:p w14:paraId="428DF684" w14:textId="370994C4" w:rsidR="00B56D23" w:rsidRDefault="002C453C">
      <w:pPr>
        <w:pStyle w:val="TOC1"/>
        <w:tabs>
          <w:tab w:val="right" w:leader="dot" w:pos="8296"/>
        </w:tabs>
        <w:rPr>
          <w:rFonts w:asciiTheme="minorHAnsi" w:eastAsiaTheme="minorEastAsia" w:hAnsiTheme="minorHAnsi" w:cstheme="minorBidi"/>
          <w:noProof/>
          <w:sz w:val="22"/>
          <w:szCs w:val="22"/>
        </w:rPr>
      </w:pPr>
      <w:hyperlink w:anchor="_Toc133483987" w:history="1">
        <w:r w:rsidR="00B56D23" w:rsidRPr="00703F43">
          <w:rPr>
            <w:rStyle w:val="Hyperlink"/>
            <w:noProof/>
          </w:rPr>
          <w:t>Focus group purpose</w:t>
        </w:r>
        <w:r w:rsidR="00B56D23">
          <w:rPr>
            <w:noProof/>
            <w:webHidden/>
          </w:rPr>
          <w:tab/>
        </w:r>
        <w:r w:rsidR="00B56D23">
          <w:rPr>
            <w:noProof/>
            <w:webHidden/>
          </w:rPr>
          <w:fldChar w:fldCharType="begin"/>
        </w:r>
        <w:r w:rsidR="00B56D23">
          <w:rPr>
            <w:noProof/>
            <w:webHidden/>
          </w:rPr>
          <w:instrText xml:space="preserve"> PAGEREF _Toc133483987 \h </w:instrText>
        </w:r>
        <w:r w:rsidR="00B56D23">
          <w:rPr>
            <w:noProof/>
            <w:webHidden/>
          </w:rPr>
        </w:r>
        <w:r w:rsidR="00B56D23">
          <w:rPr>
            <w:noProof/>
            <w:webHidden/>
          </w:rPr>
          <w:fldChar w:fldCharType="separate"/>
        </w:r>
        <w:r w:rsidR="00FF4F51">
          <w:rPr>
            <w:noProof/>
            <w:webHidden/>
          </w:rPr>
          <w:t>2</w:t>
        </w:r>
        <w:r w:rsidR="00B56D23">
          <w:rPr>
            <w:noProof/>
            <w:webHidden/>
          </w:rPr>
          <w:fldChar w:fldCharType="end"/>
        </w:r>
      </w:hyperlink>
    </w:p>
    <w:p w14:paraId="5B36EBB6" w14:textId="6F76E544" w:rsidR="00B56D23" w:rsidRDefault="002C453C">
      <w:pPr>
        <w:pStyle w:val="TOC1"/>
        <w:tabs>
          <w:tab w:val="right" w:leader="dot" w:pos="8296"/>
        </w:tabs>
        <w:rPr>
          <w:rFonts w:asciiTheme="minorHAnsi" w:eastAsiaTheme="minorEastAsia" w:hAnsiTheme="minorHAnsi" w:cstheme="minorBidi"/>
          <w:noProof/>
          <w:sz w:val="22"/>
          <w:szCs w:val="22"/>
        </w:rPr>
      </w:pPr>
      <w:hyperlink w:anchor="_Toc133483988" w:history="1">
        <w:r w:rsidR="00B56D23" w:rsidRPr="00703F43">
          <w:rPr>
            <w:rStyle w:val="Hyperlink"/>
            <w:noProof/>
          </w:rPr>
          <w:t>Feedback</w:t>
        </w:r>
        <w:r w:rsidR="00B56D23">
          <w:rPr>
            <w:noProof/>
            <w:webHidden/>
          </w:rPr>
          <w:tab/>
        </w:r>
        <w:r w:rsidR="00B56D23">
          <w:rPr>
            <w:noProof/>
            <w:webHidden/>
          </w:rPr>
          <w:fldChar w:fldCharType="begin"/>
        </w:r>
        <w:r w:rsidR="00B56D23">
          <w:rPr>
            <w:noProof/>
            <w:webHidden/>
          </w:rPr>
          <w:instrText xml:space="preserve"> PAGEREF _Toc133483988 \h </w:instrText>
        </w:r>
        <w:r w:rsidR="00B56D23">
          <w:rPr>
            <w:noProof/>
            <w:webHidden/>
          </w:rPr>
        </w:r>
        <w:r w:rsidR="00B56D23">
          <w:rPr>
            <w:noProof/>
            <w:webHidden/>
          </w:rPr>
          <w:fldChar w:fldCharType="separate"/>
        </w:r>
        <w:r w:rsidR="00FF4F51">
          <w:rPr>
            <w:noProof/>
            <w:webHidden/>
          </w:rPr>
          <w:t>3</w:t>
        </w:r>
        <w:r w:rsidR="00B56D23">
          <w:rPr>
            <w:noProof/>
            <w:webHidden/>
          </w:rPr>
          <w:fldChar w:fldCharType="end"/>
        </w:r>
      </w:hyperlink>
    </w:p>
    <w:p w14:paraId="64FD8313" w14:textId="06A31B96" w:rsidR="00B56D23" w:rsidRDefault="002C453C">
      <w:pPr>
        <w:pStyle w:val="TOC2"/>
        <w:tabs>
          <w:tab w:val="right" w:leader="dot" w:pos="8296"/>
        </w:tabs>
        <w:rPr>
          <w:rFonts w:asciiTheme="minorHAnsi" w:eastAsiaTheme="minorEastAsia" w:hAnsiTheme="minorHAnsi" w:cstheme="minorBidi"/>
          <w:noProof/>
          <w:sz w:val="22"/>
          <w:szCs w:val="22"/>
        </w:rPr>
      </w:pPr>
      <w:hyperlink w:anchor="_Toc133483989" w:history="1">
        <w:r w:rsidR="00B56D23" w:rsidRPr="00703F43">
          <w:rPr>
            <w:rStyle w:val="Hyperlink"/>
            <w:noProof/>
          </w:rPr>
          <w:t>Potential to improve outcomes</w:t>
        </w:r>
        <w:r w:rsidR="00B56D23">
          <w:rPr>
            <w:noProof/>
            <w:webHidden/>
          </w:rPr>
          <w:tab/>
        </w:r>
        <w:r w:rsidR="00B56D23">
          <w:rPr>
            <w:noProof/>
            <w:webHidden/>
          </w:rPr>
          <w:fldChar w:fldCharType="begin"/>
        </w:r>
        <w:r w:rsidR="00B56D23">
          <w:rPr>
            <w:noProof/>
            <w:webHidden/>
          </w:rPr>
          <w:instrText xml:space="preserve"> PAGEREF _Toc133483989 \h </w:instrText>
        </w:r>
        <w:r w:rsidR="00B56D23">
          <w:rPr>
            <w:noProof/>
            <w:webHidden/>
          </w:rPr>
        </w:r>
        <w:r w:rsidR="00B56D23">
          <w:rPr>
            <w:noProof/>
            <w:webHidden/>
          </w:rPr>
          <w:fldChar w:fldCharType="separate"/>
        </w:r>
        <w:r w:rsidR="00FF4F51">
          <w:rPr>
            <w:noProof/>
            <w:webHidden/>
          </w:rPr>
          <w:t>3</w:t>
        </w:r>
        <w:r w:rsidR="00B56D23">
          <w:rPr>
            <w:noProof/>
            <w:webHidden/>
          </w:rPr>
          <w:fldChar w:fldCharType="end"/>
        </w:r>
      </w:hyperlink>
    </w:p>
    <w:p w14:paraId="6C9A678F" w14:textId="75812972" w:rsidR="00B56D23" w:rsidRDefault="002C453C">
      <w:pPr>
        <w:pStyle w:val="TOC2"/>
        <w:tabs>
          <w:tab w:val="right" w:leader="dot" w:pos="8296"/>
        </w:tabs>
        <w:rPr>
          <w:rFonts w:asciiTheme="minorHAnsi" w:eastAsiaTheme="minorEastAsia" w:hAnsiTheme="minorHAnsi" w:cstheme="minorBidi"/>
          <w:noProof/>
          <w:sz w:val="22"/>
          <w:szCs w:val="22"/>
        </w:rPr>
      </w:pPr>
      <w:hyperlink w:anchor="_Toc133483990" w:history="1">
        <w:r w:rsidR="00B56D23" w:rsidRPr="00703F43">
          <w:rPr>
            <w:rStyle w:val="Hyperlink"/>
            <w:noProof/>
          </w:rPr>
          <w:t>Workload implications</w:t>
        </w:r>
        <w:r w:rsidR="00B56D23">
          <w:rPr>
            <w:noProof/>
            <w:webHidden/>
          </w:rPr>
          <w:tab/>
        </w:r>
        <w:r w:rsidR="00B56D23">
          <w:rPr>
            <w:noProof/>
            <w:webHidden/>
          </w:rPr>
          <w:fldChar w:fldCharType="begin"/>
        </w:r>
        <w:r w:rsidR="00B56D23">
          <w:rPr>
            <w:noProof/>
            <w:webHidden/>
          </w:rPr>
          <w:instrText xml:space="preserve"> PAGEREF _Toc133483990 \h </w:instrText>
        </w:r>
        <w:r w:rsidR="00B56D23">
          <w:rPr>
            <w:noProof/>
            <w:webHidden/>
          </w:rPr>
        </w:r>
        <w:r w:rsidR="00B56D23">
          <w:rPr>
            <w:noProof/>
            <w:webHidden/>
          </w:rPr>
          <w:fldChar w:fldCharType="separate"/>
        </w:r>
        <w:r w:rsidR="00FF4F51">
          <w:rPr>
            <w:noProof/>
            <w:webHidden/>
          </w:rPr>
          <w:t>3</w:t>
        </w:r>
        <w:r w:rsidR="00B56D23">
          <w:rPr>
            <w:noProof/>
            <w:webHidden/>
          </w:rPr>
          <w:fldChar w:fldCharType="end"/>
        </w:r>
      </w:hyperlink>
    </w:p>
    <w:p w14:paraId="7A83DC38" w14:textId="1D54D9CF" w:rsidR="00B56D23" w:rsidRDefault="002C453C">
      <w:pPr>
        <w:pStyle w:val="TOC2"/>
        <w:tabs>
          <w:tab w:val="right" w:leader="dot" w:pos="8296"/>
        </w:tabs>
        <w:rPr>
          <w:rFonts w:asciiTheme="minorHAnsi" w:eastAsiaTheme="minorEastAsia" w:hAnsiTheme="minorHAnsi" w:cstheme="minorBidi"/>
          <w:noProof/>
          <w:sz w:val="22"/>
          <w:szCs w:val="22"/>
        </w:rPr>
      </w:pPr>
      <w:hyperlink w:anchor="_Toc133483991" w:history="1">
        <w:r w:rsidR="00B56D23" w:rsidRPr="00703F43">
          <w:rPr>
            <w:rStyle w:val="Hyperlink"/>
            <w:noProof/>
          </w:rPr>
          <w:t>Attribution</w:t>
        </w:r>
        <w:r w:rsidR="00B56D23">
          <w:rPr>
            <w:noProof/>
            <w:webHidden/>
          </w:rPr>
          <w:tab/>
        </w:r>
        <w:r w:rsidR="00B56D23">
          <w:rPr>
            <w:noProof/>
            <w:webHidden/>
          </w:rPr>
          <w:fldChar w:fldCharType="begin"/>
        </w:r>
        <w:r w:rsidR="00B56D23">
          <w:rPr>
            <w:noProof/>
            <w:webHidden/>
          </w:rPr>
          <w:instrText xml:space="preserve"> PAGEREF _Toc133483991 \h </w:instrText>
        </w:r>
        <w:r w:rsidR="00B56D23">
          <w:rPr>
            <w:noProof/>
            <w:webHidden/>
          </w:rPr>
        </w:r>
        <w:r w:rsidR="00B56D23">
          <w:rPr>
            <w:noProof/>
            <w:webHidden/>
          </w:rPr>
          <w:fldChar w:fldCharType="separate"/>
        </w:r>
        <w:r w:rsidR="00FF4F51">
          <w:rPr>
            <w:noProof/>
            <w:webHidden/>
          </w:rPr>
          <w:t>3</w:t>
        </w:r>
        <w:r w:rsidR="00B56D23">
          <w:rPr>
            <w:noProof/>
            <w:webHidden/>
          </w:rPr>
          <w:fldChar w:fldCharType="end"/>
        </w:r>
      </w:hyperlink>
    </w:p>
    <w:p w14:paraId="2FA4598A" w14:textId="0EEEC0B0" w:rsidR="00B56D23" w:rsidRDefault="002C453C">
      <w:pPr>
        <w:pStyle w:val="TOC2"/>
        <w:tabs>
          <w:tab w:val="right" w:leader="dot" w:pos="8296"/>
        </w:tabs>
        <w:rPr>
          <w:rFonts w:asciiTheme="minorHAnsi" w:eastAsiaTheme="minorEastAsia" w:hAnsiTheme="minorHAnsi" w:cstheme="minorBidi"/>
          <w:noProof/>
          <w:sz w:val="22"/>
          <w:szCs w:val="22"/>
        </w:rPr>
      </w:pPr>
      <w:hyperlink w:anchor="_Toc133483992" w:history="1">
        <w:r w:rsidR="00B56D23" w:rsidRPr="00703F43">
          <w:rPr>
            <w:rStyle w:val="Hyperlink"/>
            <w:noProof/>
          </w:rPr>
          <w:t>Risks of unintended consequence</w:t>
        </w:r>
        <w:r w:rsidR="00B56D23">
          <w:rPr>
            <w:noProof/>
            <w:webHidden/>
          </w:rPr>
          <w:tab/>
        </w:r>
        <w:r w:rsidR="00B56D23">
          <w:rPr>
            <w:noProof/>
            <w:webHidden/>
          </w:rPr>
          <w:fldChar w:fldCharType="begin"/>
        </w:r>
        <w:r w:rsidR="00B56D23">
          <w:rPr>
            <w:noProof/>
            <w:webHidden/>
          </w:rPr>
          <w:instrText xml:space="preserve"> PAGEREF _Toc133483992 \h </w:instrText>
        </w:r>
        <w:r w:rsidR="00B56D23">
          <w:rPr>
            <w:noProof/>
            <w:webHidden/>
          </w:rPr>
        </w:r>
        <w:r w:rsidR="00B56D23">
          <w:rPr>
            <w:noProof/>
            <w:webHidden/>
          </w:rPr>
          <w:fldChar w:fldCharType="separate"/>
        </w:r>
        <w:r w:rsidR="00FF4F51">
          <w:rPr>
            <w:noProof/>
            <w:webHidden/>
          </w:rPr>
          <w:t>4</w:t>
        </w:r>
        <w:r w:rsidR="00B56D23">
          <w:rPr>
            <w:noProof/>
            <w:webHidden/>
          </w:rPr>
          <w:fldChar w:fldCharType="end"/>
        </w:r>
      </w:hyperlink>
    </w:p>
    <w:p w14:paraId="4F0BCD16" w14:textId="04DEFDF5" w:rsidR="00B56D23" w:rsidRDefault="002C453C">
      <w:pPr>
        <w:pStyle w:val="TOC1"/>
        <w:tabs>
          <w:tab w:val="right" w:leader="dot" w:pos="8296"/>
        </w:tabs>
        <w:rPr>
          <w:rFonts w:asciiTheme="minorHAnsi" w:eastAsiaTheme="minorEastAsia" w:hAnsiTheme="minorHAnsi" w:cstheme="minorBidi"/>
          <w:noProof/>
          <w:sz w:val="22"/>
          <w:szCs w:val="22"/>
        </w:rPr>
      </w:pPr>
      <w:hyperlink w:anchor="_Toc133483993" w:history="1">
        <w:r w:rsidR="00B56D23" w:rsidRPr="00703F43">
          <w:rPr>
            <w:rStyle w:val="Hyperlink"/>
            <w:noProof/>
          </w:rPr>
          <w:t>Summary</w:t>
        </w:r>
        <w:r w:rsidR="00B56D23">
          <w:rPr>
            <w:noProof/>
            <w:webHidden/>
          </w:rPr>
          <w:tab/>
        </w:r>
        <w:r w:rsidR="00B56D23">
          <w:rPr>
            <w:noProof/>
            <w:webHidden/>
          </w:rPr>
          <w:fldChar w:fldCharType="begin"/>
        </w:r>
        <w:r w:rsidR="00B56D23">
          <w:rPr>
            <w:noProof/>
            <w:webHidden/>
          </w:rPr>
          <w:instrText xml:space="preserve"> PAGEREF _Toc133483993 \h </w:instrText>
        </w:r>
        <w:r w:rsidR="00B56D23">
          <w:rPr>
            <w:noProof/>
            <w:webHidden/>
          </w:rPr>
        </w:r>
        <w:r w:rsidR="00B56D23">
          <w:rPr>
            <w:noProof/>
            <w:webHidden/>
          </w:rPr>
          <w:fldChar w:fldCharType="separate"/>
        </w:r>
        <w:r w:rsidR="00FF4F51">
          <w:rPr>
            <w:noProof/>
            <w:webHidden/>
          </w:rPr>
          <w:t>4</w:t>
        </w:r>
        <w:r w:rsidR="00B56D23">
          <w:rPr>
            <w:noProof/>
            <w:webHidden/>
          </w:rPr>
          <w:fldChar w:fldCharType="end"/>
        </w:r>
      </w:hyperlink>
    </w:p>
    <w:p w14:paraId="12C7A98D" w14:textId="0702FA80" w:rsidR="00B56D23" w:rsidRDefault="002C453C">
      <w:pPr>
        <w:pStyle w:val="TOC1"/>
        <w:tabs>
          <w:tab w:val="right" w:leader="dot" w:pos="8296"/>
        </w:tabs>
        <w:rPr>
          <w:rFonts w:asciiTheme="minorHAnsi" w:eastAsiaTheme="minorEastAsia" w:hAnsiTheme="minorHAnsi" w:cstheme="minorBidi"/>
          <w:noProof/>
          <w:sz w:val="22"/>
          <w:szCs w:val="22"/>
        </w:rPr>
      </w:pPr>
      <w:hyperlink w:anchor="_Toc133483994" w:history="1">
        <w:r w:rsidR="00B56D23" w:rsidRPr="00703F43">
          <w:rPr>
            <w:rStyle w:val="Hyperlink"/>
            <w:noProof/>
          </w:rPr>
          <w:t>Appendix 1: Focus group composition</w:t>
        </w:r>
        <w:r w:rsidR="00B56D23">
          <w:rPr>
            <w:noProof/>
            <w:webHidden/>
          </w:rPr>
          <w:tab/>
        </w:r>
        <w:r w:rsidR="00B56D23">
          <w:rPr>
            <w:noProof/>
            <w:webHidden/>
          </w:rPr>
          <w:fldChar w:fldCharType="begin"/>
        </w:r>
        <w:r w:rsidR="00B56D23">
          <w:rPr>
            <w:noProof/>
            <w:webHidden/>
          </w:rPr>
          <w:instrText xml:space="preserve"> PAGEREF _Toc133483994 \h </w:instrText>
        </w:r>
        <w:r w:rsidR="00B56D23">
          <w:rPr>
            <w:noProof/>
            <w:webHidden/>
          </w:rPr>
        </w:r>
        <w:r w:rsidR="00B56D23">
          <w:rPr>
            <w:noProof/>
            <w:webHidden/>
          </w:rPr>
          <w:fldChar w:fldCharType="separate"/>
        </w:r>
        <w:r w:rsidR="00FF4F51">
          <w:rPr>
            <w:noProof/>
            <w:webHidden/>
          </w:rPr>
          <w:t>5</w:t>
        </w:r>
        <w:r w:rsidR="00B56D23">
          <w:rPr>
            <w:noProof/>
            <w:webHidden/>
          </w:rPr>
          <w:fldChar w:fldCharType="end"/>
        </w:r>
      </w:hyperlink>
    </w:p>
    <w:p w14:paraId="7AAC9B7A" w14:textId="10C0308F" w:rsidR="00B56D23" w:rsidRDefault="00B56D23" w:rsidP="003426D9">
      <w:pPr>
        <w:pStyle w:val="Paragraph"/>
      </w:pPr>
      <w:r>
        <w:fldChar w:fldCharType="end"/>
      </w:r>
    </w:p>
    <w:p w14:paraId="1BD665A3" w14:textId="77777777" w:rsidR="00B56D23" w:rsidRDefault="00B56D23">
      <w:pPr>
        <w:rPr>
          <w:rFonts w:ascii="Arial" w:hAnsi="Arial" w:cs="Arial"/>
          <w:b/>
          <w:bCs/>
          <w:kern w:val="32"/>
          <w:sz w:val="32"/>
          <w:szCs w:val="32"/>
        </w:rPr>
      </w:pPr>
      <w:bookmarkStart w:id="0" w:name="_Toc133483986"/>
      <w:r>
        <w:br w:type="page"/>
      </w:r>
    </w:p>
    <w:p w14:paraId="29E63148" w14:textId="2098AA9F" w:rsidR="0087125A" w:rsidRDefault="0087125A" w:rsidP="0087125A">
      <w:pPr>
        <w:pStyle w:val="Heading1"/>
        <w:rPr>
          <w:lang w:eastAsia="en-GB"/>
        </w:rPr>
      </w:pPr>
      <w:r>
        <w:rPr>
          <w:lang w:eastAsia="en-GB"/>
        </w:rPr>
        <w:lastRenderedPageBreak/>
        <w:t>Background</w:t>
      </w:r>
      <w:bookmarkEnd w:id="0"/>
      <w:r>
        <w:rPr>
          <w:lang w:eastAsia="en-GB"/>
        </w:rPr>
        <w:t xml:space="preserve"> </w:t>
      </w:r>
    </w:p>
    <w:p w14:paraId="58CF0003" w14:textId="30409CE6" w:rsidR="00B9453C" w:rsidRDefault="00B9453C" w:rsidP="008945AA">
      <w:pPr>
        <w:pStyle w:val="Paragraph"/>
      </w:pPr>
      <w:r>
        <w:t xml:space="preserve">In April 2023, NICE held </w:t>
      </w:r>
      <w:r w:rsidR="001B0AD9">
        <w:t>online</w:t>
      </w:r>
      <w:r>
        <w:t xml:space="preserve"> focus groups with </w:t>
      </w:r>
      <w:r w:rsidR="003C76C6">
        <w:t xml:space="preserve">9 </w:t>
      </w:r>
      <w:r w:rsidR="001B0AD9">
        <w:t xml:space="preserve">members of the </w:t>
      </w:r>
      <w:hyperlink r:id="rId7" w:history="1">
        <w:r w:rsidR="001B0AD9" w:rsidRPr="001B0AD9">
          <w:rPr>
            <w:rStyle w:val="Hyperlink"/>
            <w:lang w:eastAsia="en-GB"/>
          </w:rPr>
          <w:t>NICE GP reference Panel</w:t>
        </w:r>
      </w:hyperlink>
      <w:r w:rsidR="001B0AD9">
        <w:t xml:space="preserve"> to</w:t>
      </w:r>
      <w:r>
        <w:t xml:space="preserve"> provide feedback on draft indicators in development.</w:t>
      </w:r>
      <w:r w:rsidR="004F161C">
        <w:t xml:space="preserve"> Composition of the focus groups is included in </w:t>
      </w:r>
      <w:hyperlink w:anchor="_Appendix_1:_Focus" w:history="1">
        <w:r w:rsidR="004F161C" w:rsidRPr="004F161C">
          <w:rPr>
            <w:rStyle w:val="Hyperlink"/>
            <w:lang w:eastAsia="en-GB"/>
          </w:rPr>
          <w:t>Appendix 1</w:t>
        </w:r>
      </w:hyperlink>
      <w:r w:rsidR="004F161C">
        <w:t>.</w:t>
      </w:r>
      <w:r>
        <w:t xml:space="preserve"> This report focuses on: </w:t>
      </w:r>
    </w:p>
    <w:p w14:paraId="03F285AF" w14:textId="77777777" w:rsidR="00BF0FB9" w:rsidRPr="00BF0FB9" w:rsidRDefault="00BF0FB9" w:rsidP="00BF0FB9">
      <w:pPr>
        <w:pStyle w:val="Heading1"/>
        <w:rPr>
          <w:rFonts w:cs="Times New Roman"/>
          <w:b w:val="0"/>
          <w:bCs w:val="0"/>
          <w:kern w:val="0"/>
          <w:sz w:val="24"/>
          <w:szCs w:val="24"/>
          <w:lang w:eastAsia="en-GB"/>
        </w:rPr>
      </w:pPr>
      <w:bookmarkStart w:id="1" w:name="_Toc133483987"/>
      <w:r w:rsidRPr="00BF0FB9">
        <w:rPr>
          <w:rFonts w:cs="Times New Roman"/>
          <w:b w:val="0"/>
          <w:bCs w:val="0"/>
          <w:kern w:val="0"/>
          <w:sz w:val="24"/>
          <w:szCs w:val="24"/>
          <w:lang w:eastAsia="en-GB"/>
        </w:rPr>
        <w:t>2022-130: The percentage of patients with a total cholesterol reading greater than 7.5 when aged 29 years or under, or greater than 9.0 when aged 30 years or over, who have been:</w:t>
      </w:r>
    </w:p>
    <w:p w14:paraId="09FF3F54" w14:textId="77777777" w:rsidR="00BF0FB9" w:rsidRPr="00BF0FB9" w:rsidRDefault="00BF0FB9" w:rsidP="00BF0FB9">
      <w:pPr>
        <w:pStyle w:val="Bullets"/>
      </w:pPr>
      <w:r w:rsidRPr="00BF0FB9">
        <w:t>diagnosed with secondary hyperlipidaemia or</w:t>
      </w:r>
    </w:p>
    <w:p w14:paraId="202D2833" w14:textId="77777777" w:rsidR="00BF0FB9" w:rsidRPr="00BF0FB9" w:rsidRDefault="00BF0FB9" w:rsidP="00BF0FB9">
      <w:pPr>
        <w:pStyle w:val="Bullets"/>
      </w:pPr>
      <w:r w:rsidRPr="00BF0FB9">
        <w:t>clinically assessed for familial hypercholesterolaemia or</w:t>
      </w:r>
    </w:p>
    <w:p w14:paraId="7F6BE638" w14:textId="77777777" w:rsidR="00BF0FB9" w:rsidRPr="00BF0FB9" w:rsidRDefault="00BF0FB9" w:rsidP="00BF0FB9">
      <w:pPr>
        <w:pStyle w:val="Bullets"/>
      </w:pPr>
      <w:r w:rsidRPr="00BF0FB9">
        <w:t>referred for assessment for familial hypercholesterolaemia or</w:t>
      </w:r>
    </w:p>
    <w:p w14:paraId="2D88F4D2" w14:textId="77777777" w:rsidR="00BF0FB9" w:rsidRDefault="00BF0FB9" w:rsidP="00BF0FB9">
      <w:pPr>
        <w:pStyle w:val="Bullets"/>
        <w:rPr>
          <w:b/>
          <w:bCs/>
        </w:rPr>
      </w:pPr>
      <w:r w:rsidRPr="00BF0FB9">
        <w:t>genetically diagnosed with familial hypercholesterolaemia.</w:t>
      </w:r>
    </w:p>
    <w:p w14:paraId="3CB01638" w14:textId="7A0BB0C2" w:rsidR="00C2787D" w:rsidRDefault="00CD6194" w:rsidP="00BF0FB9">
      <w:pPr>
        <w:pStyle w:val="Heading1"/>
      </w:pPr>
      <w:r>
        <w:t>Focus group p</w:t>
      </w:r>
      <w:r w:rsidR="00C2787D">
        <w:t>urpose</w:t>
      </w:r>
      <w:bookmarkEnd w:id="1"/>
    </w:p>
    <w:p w14:paraId="6BC43EA2" w14:textId="6F2DDC13" w:rsidR="00C2787D" w:rsidRDefault="006E6763" w:rsidP="008945AA">
      <w:pPr>
        <w:pStyle w:val="Paragraph"/>
      </w:pPr>
      <w:r>
        <w:t>T</w:t>
      </w:r>
      <w:r w:rsidR="00C2787D">
        <w:t xml:space="preserve">o provide feedback on whether the indicators: </w:t>
      </w:r>
    </w:p>
    <w:p w14:paraId="62A3B706" w14:textId="77777777" w:rsidR="00C2787D" w:rsidRDefault="00C2787D" w:rsidP="00C2787D">
      <w:pPr>
        <w:pStyle w:val="Bullets"/>
      </w:pPr>
      <w:r>
        <w:t xml:space="preserve">have the potential to improve outcomes and address under- or over-treatment?   </w:t>
      </w:r>
    </w:p>
    <w:p w14:paraId="3DB149DB" w14:textId="77777777" w:rsidR="00C2787D" w:rsidRDefault="00C2787D" w:rsidP="00C2787D">
      <w:pPr>
        <w:pStyle w:val="Bullets"/>
      </w:pPr>
      <w:r>
        <w:t>would have unreasonable workload implications or burden of data collection?</w:t>
      </w:r>
    </w:p>
    <w:p w14:paraId="556B26E1" w14:textId="77777777" w:rsidR="00C2787D" w:rsidRDefault="00C2787D" w:rsidP="00C2787D">
      <w:pPr>
        <w:pStyle w:val="Bullets"/>
      </w:pPr>
      <w:r>
        <w:t>focus on actions within control of general practice?</w:t>
      </w:r>
    </w:p>
    <w:p w14:paraId="0ABF7B28" w14:textId="77777777" w:rsidR="00C2787D" w:rsidRDefault="00C2787D" w:rsidP="001B0AD9">
      <w:pPr>
        <w:pStyle w:val="Bullets"/>
        <w:spacing w:after="120"/>
        <w:ind w:left="992" w:hanging="425"/>
      </w:pPr>
      <w:r>
        <w:t>have any potential unintended consequences?</w:t>
      </w:r>
    </w:p>
    <w:p w14:paraId="0781AD1E" w14:textId="77777777" w:rsidR="00922E36" w:rsidRDefault="00922E36">
      <w:pPr>
        <w:rPr>
          <w:rFonts w:ascii="Arial" w:hAnsi="Arial" w:cs="Arial"/>
          <w:b/>
          <w:bCs/>
          <w:kern w:val="32"/>
          <w:sz w:val="32"/>
          <w:szCs w:val="32"/>
          <w:lang w:eastAsia="en-US"/>
        </w:rPr>
      </w:pPr>
      <w:bookmarkStart w:id="2" w:name="_Toc133483988"/>
      <w:r>
        <w:br w:type="page"/>
      </w:r>
    </w:p>
    <w:p w14:paraId="467CAAB8" w14:textId="329133EC" w:rsidR="0087125A" w:rsidRDefault="00B9453C" w:rsidP="0087125A">
      <w:pPr>
        <w:pStyle w:val="Heading1"/>
      </w:pPr>
      <w:r>
        <w:lastRenderedPageBreak/>
        <w:t>Feedback</w:t>
      </w:r>
      <w:bookmarkEnd w:id="2"/>
    </w:p>
    <w:p w14:paraId="156FC6D5" w14:textId="07D8D8DA" w:rsidR="00B9453C" w:rsidRDefault="00B9453C" w:rsidP="00D41B33">
      <w:pPr>
        <w:pStyle w:val="Heading2"/>
      </w:pPr>
      <w:bookmarkStart w:id="3" w:name="_Toc133483989"/>
      <w:r>
        <w:t xml:space="preserve">Potential to improve </w:t>
      </w:r>
      <w:proofErr w:type="gramStart"/>
      <w:r>
        <w:t>outcomes</w:t>
      </w:r>
      <w:bookmarkEnd w:id="3"/>
      <w:proofErr w:type="gramEnd"/>
    </w:p>
    <w:p w14:paraId="0A905D6C" w14:textId="73150DB2" w:rsidR="00205BDB" w:rsidRDefault="00863C8C" w:rsidP="008945AA">
      <w:pPr>
        <w:pStyle w:val="Paragraph"/>
      </w:pPr>
      <w:r>
        <w:t>Attendees note</w:t>
      </w:r>
      <w:r w:rsidR="00205BDB">
        <w:t>d</w:t>
      </w:r>
      <w:r>
        <w:t xml:space="preserve"> the potential benefits of identifying people who may need further assessment and increas</w:t>
      </w:r>
      <w:r w:rsidR="001035BA">
        <w:t>ing</w:t>
      </w:r>
      <w:r>
        <w:t xml:space="preserve"> diagnosis rates of familial hypercholesterolaemia (FH). </w:t>
      </w:r>
      <w:r w:rsidR="00E42D7F">
        <w:t xml:space="preserve">It was felt that this indicator may be acting as a safety net to ensure that high readings are acted upon appropriately. </w:t>
      </w:r>
    </w:p>
    <w:p w14:paraId="20C6E097" w14:textId="6971C9EC" w:rsidR="00863C8C" w:rsidRDefault="00863C8C" w:rsidP="008945AA">
      <w:pPr>
        <w:pStyle w:val="Paragraph"/>
      </w:pPr>
      <w:r>
        <w:t>There was support for reviewing more recent high readings, with less support for reviewing historical readings. Attendees noted the potential for the spurious results to be included for which the GP had already ruled out FH</w:t>
      </w:r>
      <w:r w:rsidR="00D60DBF">
        <w:t xml:space="preserve"> but not coded</w:t>
      </w:r>
      <w:r w:rsidR="00F43190">
        <w:t xml:space="preserve"> as such</w:t>
      </w:r>
      <w:r>
        <w:t xml:space="preserve">. It was also felt that historical results with no repeat high readings may not require further </w:t>
      </w:r>
      <w:r w:rsidR="004D6CA7">
        <w:t>assessment</w:t>
      </w:r>
      <w:r>
        <w:t xml:space="preserve">. </w:t>
      </w:r>
    </w:p>
    <w:p w14:paraId="6F58B4D9" w14:textId="2AE320C7" w:rsidR="00863C8C" w:rsidRPr="00863C8C" w:rsidRDefault="00863C8C" w:rsidP="008945AA">
      <w:pPr>
        <w:pStyle w:val="Paragraph"/>
      </w:pPr>
      <w:r>
        <w:t>It was questioned why the cholesterol threshold changed for people over 30 years old</w:t>
      </w:r>
      <w:r w:rsidR="00205BDB">
        <w:t xml:space="preserve">, and whether the indicator would check that the </w:t>
      </w:r>
      <w:r w:rsidR="00E42D7F">
        <w:t>cholesterol reading was from a fasting sample</w:t>
      </w:r>
      <w:r>
        <w:t>.</w:t>
      </w:r>
    </w:p>
    <w:p w14:paraId="394EA18C" w14:textId="6E2FF14A" w:rsidR="00B9453C" w:rsidRDefault="00B9453C" w:rsidP="00D41B33">
      <w:pPr>
        <w:pStyle w:val="Heading2"/>
      </w:pPr>
      <w:bookmarkStart w:id="4" w:name="_Toc133483990"/>
      <w:r>
        <w:t>Workload implications</w:t>
      </w:r>
      <w:bookmarkEnd w:id="4"/>
      <w:r>
        <w:t xml:space="preserve"> </w:t>
      </w:r>
    </w:p>
    <w:p w14:paraId="4C29825E" w14:textId="555ADF46" w:rsidR="00863C8C" w:rsidRDefault="00863C8C" w:rsidP="008945AA">
      <w:pPr>
        <w:pStyle w:val="Paragraph"/>
      </w:pPr>
      <w:r>
        <w:t>For those readings that do indicate further assessment, attendees noted the workload implications for general practice would likely be highest in the first year of implementation. There was concern around the potential large number of patients that would be identified</w:t>
      </w:r>
      <w:r w:rsidR="004D6CA7">
        <w:t xml:space="preserve"> and uncertainty as to the accurateness of PCN Network DES data that showed approximately 60 patients per 10,000 would have a reading that match the indicator thresholds. Given the nature of FH, there may be pockets of high prevalence with some practices having more high readings </w:t>
      </w:r>
      <w:r w:rsidR="001035BA">
        <w:t xml:space="preserve">recorded </w:t>
      </w:r>
      <w:r w:rsidR="004D6CA7">
        <w:t xml:space="preserve">than others. </w:t>
      </w:r>
    </w:p>
    <w:p w14:paraId="5C182814" w14:textId="381CC956" w:rsidR="00863C8C" w:rsidRPr="00D41B33" w:rsidRDefault="00863C8C" w:rsidP="008945AA">
      <w:pPr>
        <w:pStyle w:val="Paragraph"/>
      </w:pPr>
      <w:r>
        <w:t xml:space="preserve">They also noted the resulting impact on secondary care </w:t>
      </w:r>
      <w:r w:rsidR="00FF4F51">
        <w:t xml:space="preserve">and that </w:t>
      </w:r>
      <w:r>
        <w:t>family members would</w:t>
      </w:r>
      <w:r w:rsidR="00FF4F51">
        <w:t xml:space="preserve"> also </w:t>
      </w:r>
      <w:r>
        <w:t xml:space="preserve">need to be contacted and tested if FH was confirmed. </w:t>
      </w:r>
    </w:p>
    <w:p w14:paraId="1C5311AC" w14:textId="77777777" w:rsidR="00D41B33" w:rsidRDefault="00D41B33" w:rsidP="00D41B33">
      <w:pPr>
        <w:pStyle w:val="Heading2"/>
      </w:pPr>
      <w:bookmarkStart w:id="5" w:name="_Toc133483991"/>
      <w:r>
        <w:t>Attribution</w:t>
      </w:r>
      <w:bookmarkEnd w:id="5"/>
    </w:p>
    <w:p w14:paraId="3E341CE5" w14:textId="437B1DAF" w:rsidR="00BF0FB9" w:rsidRPr="00BF0FB9" w:rsidRDefault="004D6CA7" w:rsidP="008945AA">
      <w:pPr>
        <w:pStyle w:val="Paragraph"/>
      </w:pPr>
      <w:r>
        <w:t xml:space="preserve">No concerns were raised around attribution of responsibility. </w:t>
      </w:r>
    </w:p>
    <w:p w14:paraId="7FAB5C64" w14:textId="0074C62F" w:rsidR="00D41B33" w:rsidRDefault="00D41B33" w:rsidP="00D41B33">
      <w:pPr>
        <w:pStyle w:val="Heading2"/>
      </w:pPr>
      <w:bookmarkStart w:id="6" w:name="_Toc133483992"/>
      <w:r>
        <w:lastRenderedPageBreak/>
        <w:t>Risk</w:t>
      </w:r>
      <w:r w:rsidR="001B0AD9">
        <w:t>s</w:t>
      </w:r>
      <w:r>
        <w:t xml:space="preserve"> of unintended consequence</w:t>
      </w:r>
      <w:bookmarkEnd w:id="6"/>
      <w:r w:rsidR="00FF4F51">
        <w:t>s</w:t>
      </w:r>
    </w:p>
    <w:p w14:paraId="310B89DA" w14:textId="6B6CE361" w:rsidR="00BF0FB9" w:rsidRDefault="00205BDB" w:rsidP="008945AA">
      <w:pPr>
        <w:pStyle w:val="Paragraph"/>
      </w:pPr>
      <w:r>
        <w:t>Some concerns were raised around the potential for the indicator to substantially increase waiting times for assessment in specialist services, especially in the first year of implementation. Patients and their families could be left with uncertainties and face substantial waiting times.</w:t>
      </w:r>
      <w:r w:rsidR="00F43190">
        <w:t xml:space="preserve"> It was also queried whether this could affect people’s insurance quotes.</w:t>
      </w:r>
    </w:p>
    <w:p w14:paraId="0787C320" w14:textId="30AD7BD5" w:rsidR="00E42D7F" w:rsidRPr="00BF0FB9" w:rsidRDefault="00E42D7F" w:rsidP="008945AA">
      <w:pPr>
        <w:pStyle w:val="Paragraph"/>
      </w:pPr>
      <w:r>
        <w:t xml:space="preserve">Stakeholder questioned whether the indicator aligned to the Accelerated Access Collaborative </w:t>
      </w:r>
      <w:hyperlink r:id="rId8" w:history="1">
        <w:r w:rsidRPr="00E42D7F">
          <w:rPr>
            <w:rStyle w:val="Hyperlink"/>
          </w:rPr>
          <w:t>lipid management pathway</w:t>
        </w:r>
      </w:hyperlink>
      <w:r>
        <w:t xml:space="preserve">, and the potential to cause additional confusion if it did not. </w:t>
      </w:r>
    </w:p>
    <w:p w14:paraId="3CFC98EF" w14:textId="77777777" w:rsidR="00B56D23" w:rsidRDefault="00B56D23" w:rsidP="00B56D23">
      <w:pPr>
        <w:pStyle w:val="Heading1"/>
      </w:pPr>
      <w:bookmarkStart w:id="7" w:name="_Appendix_1:_Focus"/>
      <w:bookmarkStart w:id="8" w:name="_Toc133483993"/>
      <w:bookmarkEnd w:id="7"/>
      <w:r>
        <w:t>Summary</w:t>
      </w:r>
      <w:bookmarkEnd w:id="8"/>
      <w:r>
        <w:t xml:space="preserve"> </w:t>
      </w:r>
    </w:p>
    <w:p w14:paraId="3A4F9936" w14:textId="6B49E74D" w:rsidR="005D2A11" w:rsidRDefault="00E42D7F" w:rsidP="008945AA">
      <w:pPr>
        <w:pStyle w:val="Paragraph"/>
      </w:pPr>
      <w:r>
        <w:t>Whilst there was some support for the potential to improve outcomes, the main concerns related to the potential for spurious or historical results to create additional workload with minimal clinical benefit</w:t>
      </w:r>
      <w:r w:rsidR="004867FA">
        <w:t xml:space="preserve">. </w:t>
      </w:r>
    </w:p>
    <w:p w14:paraId="3223A7CC" w14:textId="1BD142C4" w:rsidR="00B56D23" w:rsidRPr="00B56D23" w:rsidRDefault="00B56D23" w:rsidP="00B56D23">
      <w:pPr>
        <w:pStyle w:val="Paragraph"/>
      </w:pPr>
      <w:r>
        <w:br w:type="page"/>
      </w:r>
    </w:p>
    <w:p w14:paraId="77D51B77" w14:textId="676F4129" w:rsidR="00B9453C" w:rsidRPr="00B9453C" w:rsidRDefault="004F161C" w:rsidP="00B9453C">
      <w:pPr>
        <w:pStyle w:val="Heading1"/>
      </w:pPr>
      <w:bookmarkStart w:id="9" w:name="_Toc133483994"/>
      <w:r>
        <w:lastRenderedPageBreak/>
        <w:t xml:space="preserve">Appendix 1: </w:t>
      </w:r>
      <w:r w:rsidR="00B9453C">
        <w:t xml:space="preserve">Focus group </w:t>
      </w:r>
      <w:r w:rsidR="00DB5C9B">
        <w:t>composition</w:t>
      </w:r>
      <w:bookmarkEnd w:id="9"/>
    </w:p>
    <w:p w14:paraId="784854A4" w14:textId="0CB3C913" w:rsidR="001B0AD9" w:rsidRDefault="00DB5C9B" w:rsidP="00CD6194">
      <w:pPr>
        <w:pStyle w:val="Heading3"/>
      </w:pPr>
      <w:r>
        <w:t xml:space="preserve">Table 1: Attendee </w:t>
      </w:r>
      <w:r w:rsidR="00621780">
        <w:t xml:space="preserve">practice deprivation </w:t>
      </w:r>
    </w:p>
    <w:tbl>
      <w:tblPr>
        <w:tblStyle w:val="TableGridLight"/>
        <w:tblW w:w="0" w:type="auto"/>
        <w:tblLook w:val="04A0" w:firstRow="1" w:lastRow="0" w:firstColumn="1" w:lastColumn="0" w:noHBand="0" w:noVBand="1"/>
      </w:tblPr>
      <w:tblGrid>
        <w:gridCol w:w="3681"/>
        <w:gridCol w:w="3681"/>
      </w:tblGrid>
      <w:tr w:rsidR="00D8530A" w14:paraId="16F4EDF1" w14:textId="5057CBA5" w:rsidTr="00C53FD0">
        <w:tc>
          <w:tcPr>
            <w:tcW w:w="3681" w:type="dxa"/>
          </w:tcPr>
          <w:p w14:paraId="3AC0766D" w14:textId="2167E1E7" w:rsidR="00D8530A" w:rsidRDefault="00D8530A" w:rsidP="00D8530A">
            <w:pPr>
              <w:pStyle w:val="Tableheading"/>
            </w:pPr>
            <w:r>
              <w:t xml:space="preserve">Practice deprivation decile </w:t>
            </w:r>
          </w:p>
        </w:tc>
        <w:tc>
          <w:tcPr>
            <w:tcW w:w="3681" w:type="dxa"/>
          </w:tcPr>
          <w:p w14:paraId="532C58EC" w14:textId="6FD07DC9" w:rsidR="00D8530A" w:rsidRDefault="00D8530A" w:rsidP="00D8530A">
            <w:pPr>
              <w:pStyle w:val="Tableheading"/>
            </w:pPr>
            <w:r>
              <w:t>Count of attendees</w:t>
            </w:r>
          </w:p>
        </w:tc>
      </w:tr>
      <w:tr w:rsidR="00D8530A" w14:paraId="789A727C" w14:textId="675C49B9" w:rsidTr="00C53FD0">
        <w:tc>
          <w:tcPr>
            <w:tcW w:w="3681" w:type="dxa"/>
          </w:tcPr>
          <w:p w14:paraId="4D58F6D7" w14:textId="35B3251B" w:rsidR="00D8530A" w:rsidRDefault="00D8530A" w:rsidP="00D8530A">
            <w:pPr>
              <w:pStyle w:val="Tabletext"/>
            </w:pPr>
            <w:r>
              <w:t>1-3</w:t>
            </w:r>
          </w:p>
        </w:tc>
        <w:tc>
          <w:tcPr>
            <w:tcW w:w="3681" w:type="dxa"/>
          </w:tcPr>
          <w:p w14:paraId="5A851EF0" w14:textId="0CEA2C7A" w:rsidR="00D8530A" w:rsidRDefault="00D8530A" w:rsidP="00D8530A">
            <w:pPr>
              <w:pStyle w:val="Tabletext"/>
            </w:pPr>
            <w:r>
              <w:t>0</w:t>
            </w:r>
          </w:p>
        </w:tc>
      </w:tr>
      <w:tr w:rsidR="00D8530A" w14:paraId="42F0CC9E" w14:textId="4000CA22" w:rsidTr="00C53FD0">
        <w:tc>
          <w:tcPr>
            <w:tcW w:w="3681" w:type="dxa"/>
          </w:tcPr>
          <w:p w14:paraId="5826ED57" w14:textId="6E6E0E5A" w:rsidR="00D8530A" w:rsidRDefault="00D8530A" w:rsidP="00D8530A">
            <w:pPr>
              <w:pStyle w:val="Tabletext"/>
            </w:pPr>
            <w:r>
              <w:t>4-7</w:t>
            </w:r>
          </w:p>
        </w:tc>
        <w:tc>
          <w:tcPr>
            <w:tcW w:w="3681" w:type="dxa"/>
          </w:tcPr>
          <w:p w14:paraId="7957583C" w14:textId="24843E3D" w:rsidR="00D8530A" w:rsidRDefault="0062149B" w:rsidP="00D8530A">
            <w:pPr>
              <w:pStyle w:val="Tabletext"/>
            </w:pPr>
            <w:r>
              <w:t>6</w:t>
            </w:r>
          </w:p>
        </w:tc>
      </w:tr>
      <w:tr w:rsidR="00D8530A" w14:paraId="79C0CCC5" w14:textId="26E0E67E" w:rsidTr="00C53FD0">
        <w:tc>
          <w:tcPr>
            <w:tcW w:w="3681" w:type="dxa"/>
          </w:tcPr>
          <w:p w14:paraId="2AE69095" w14:textId="24F96142" w:rsidR="00D8530A" w:rsidRDefault="00D8530A" w:rsidP="00D8530A">
            <w:pPr>
              <w:pStyle w:val="Tabletext"/>
            </w:pPr>
            <w:r>
              <w:t>8-10</w:t>
            </w:r>
          </w:p>
        </w:tc>
        <w:tc>
          <w:tcPr>
            <w:tcW w:w="3681" w:type="dxa"/>
          </w:tcPr>
          <w:p w14:paraId="1CF72A72" w14:textId="6B5A2402" w:rsidR="00D8530A" w:rsidRDefault="00D8530A" w:rsidP="00D8530A">
            <w:pPr>
              <w:pStyle w:val="Tabletext"/>
            </w:pPr>
            <w:r>
              <w:t>3</w:t>
            </w:r>
          </w:p>
        </w:tc>
      </w:tr>
    </w:tbl>
    <w:p w14:paraId="3CC00C55" w14:textId="174D5608" w:rsidR="00934531" w:rsidRDefault="00D8530A" w:rsidP="0087125A">
      <w:pPr>
        <w:pStyle w:val="Paragraph"/>
        <w:rPr>
          <w:lang w:eastAsia="en-GB"/>
        </w:rPr>
      </w:pPr>
      <w:r>
        <w:rPr>
          <w:lang w:eastAsia="en-GB"/>
        </w:rPr>
        <w:t xml:space="preserve">1 is the most deprived decile, 10 the least deprived decile. </w:t>
      </w:r>
    </w:p>
    <w:p w14:paraId="2A76F6F0" w14:textId="5339F71D" w:rsidR="009617ED" w:rsidRDefault="009617ED" w:rsidP="00CD6194">
      <w:pPr>
        <w:pStyle w:val="Heading3"/>
      </w:pPr>
      <w:r>
        <w:t xml:space="preserve">Table 2: Attendee practice list size </w:t>
      </w:r>
    </w:p>
    <w:tbl>
      <w:tblPr>
        <w:tblStyle w:val="TableGridLight"/>
        <w:tblW w:w="0" w:type="auto"/>
        <w:tblLook w:val="04A0" w:firstRow="1" w:lastRow="0" w:firstColumn="1" w:lastColumn="0" w:noHBand="0" w:noVBand="1"/>
      </w:tblPr>
      <w:tblGrid>
        <w:gridCol w:w="3681"/>
        <w:gridCol w:w="3681"/>
      </w:tblGrid>
      <w:tr w:rsidR="009617ED" w14:paraId="06AEBA83" w14:textId="77777777" w:rsidTr="007C5F0A">
        <w:tc>
          <w:tcPr>
            <w:tcW w:w="3681" w:type="dxa"/>
          </w:tcPr>
          <w:p w14:paraId="30EC26B6" w14:textId="4F2A9AD8" w:rsidR="009617ED" w:rsidRDefault="009617ED" w:rsidP="007C5F0A">
            <w:pPr>
              <w:pStyle w:val="Tableheading"/>
            </w:pPr>
            <w:r>
              <w:t xml:space="preserve">Practice list size </w:t>
            </w:r>
          </w:p>
        </w:tc>
        <w:tc>
          <w:tcPr>
            <w:tcW w:w="3681" w:type="dxa"/>
          </w:tcPr>
          <w:p w14:paraId="6E95DF91" w14:textId="77777777" w:rsidR="009617ED" w:rsidRDefault="009617ED" w:rsidP="007C5F0A">
            <w:pPr>
              <w:pStyle w:val="Tableheading"/>
            </w:pPr>
            <w:r>
              <w:t>Count of attendees</w:t>
            </w:r>
          </w:p>
        </w:tc>
      </w:tr>
      <w:tr w:rsidR="009617ED" w14:paraId="508473CD" w14:textId="77777777" w:rsidTr="007C5F0A">
        <w:tc>
          <w:tcPr>
            <w:tcW w:w="3681" w:type="dxa"/>
          </w:tcPr>
          <w:p w14:paraId="7835D860" w14:textId="48C56F1B" w:rsidR="009617ED" w:rsidRDefault="009617ED" w:rsidP="007C5F0A">
            <w:pPr>
              <w:pStyle w:val="Tabletext"/>
            </w:pPr>
            <w:r>
              <w:t>Less than 8000</w:t>
            </w:r>
          </w:p>
        </w:tc>
        <w:tc>
          <w:tcPr>
            <w:tcW w:w="3681" w:type="dxa"/>
          </w:tcPr>
          <w:p w14:paraId="44BAE232" w14:textId="64DCBD57" w:rsidR="009617ED" w:rsidRDefault="009617ED" w:rsidP="007C5F0A">
            <w:pPr>
              <w:pStyle w:val="Tabletext"/>
            </w:pPr>
            <w:r>
              <w:t>2</w:t>
            </w:r>
          </w:p>
        </w:tc>
      </w:tr>
      <w:tr w:rsidR="009617ED" w14:paraId="33CEC27D" w14:textId="77777777" w:rsidTr="007C5F0A">
        <w:tc>
          <w:tcPr>
            <w:tcW w:w="3681" w:type="dxa"/>
          </w:tcPr>
          <w:p w14:paraId="045B5EEF" w14:textId="1B0A31B2" w:rsidR="009617ED" w:rsidRDefault="009617ED" w:rsidP="007C5F0A">
            <w:pPr>
              <w:pStyle w:val="Tabletext"/>
            </w:pPr>
            <w:r>
              <w:t>8000 to 10999</w:t>
            </w:r>
          </w:p>
        </w:tc>
        <w:tc>
          <w:tcPr>
            <w:tcW w:w="3681" w:type="dxa"/>
          </w:tcPr>
          <w:p w14:paraId="4055BA09" w14:textId="204255E7" w:rsidR="009617ED" w:rsidRDefault="009617ED" w:rsidP="007C5F0A">
            <w:pPr>
              <w:pStyle w:val="Tabletext"/>
            </w:pPr>
            <w:r>
              <w:t>2</w:t>
            </w:r>
          </w:p>
        </w:tc>
      </w:tr>
      <w:tr w:rsidR="009617ED" w14:paraId="35D9FE0D" w14:textId="77777777" w:rsidTr="007C5F0A">
        <w:tc>
          <w:tcPr>
            <w:tcW w:w="3681" w:type="dxa"/>
          </w:tcPr>
          <w:p w14:paraId="1E07F95F" w14:textId="2293BB52" w:rsidR="009617ED" w:rsidRDefault="009617ED" w:rsidP="007C5F0A">
            <w:pPr>
              <w:pStyle w:val="Tabletext"/>
            </w:pPr>
            <w:r>
              <w:t>More than 11000</w:t>
            </w:r>
          </w:p>
        </w:tc>
        <w:tc>
          <w:tcPr>
            <w:tcW w:w="3681" w:type="dxa"/>
          </w:tcPr>
          <w:p w14:paraId="32F681B0" w14:textId="4261E7D0" w:rsidR="009617ED" w:rsidRDefault="0062149B" w:rsidP="009617ED">
            <w:pPr>
              <w:pStyle w:val="Tabletext"/>
            </w:pPr>
            <w:r>
              <w:t>5</w:t>
            </w:r>
          </w:p>
        </w:tc>
      </w:tr>
    </w:tbl>
    <w:p w14:paraId="3B9AFEDC" w14:textId="3EFA79D1" w:rsidR="00CD6194" w:rsidRPr="005D3D62" w:rsidRDefault="005D3D62">
      <w:pPr>
        <w:rPr>
          <w:rFonts w:ascii="Arial" w:hAnsi="Arial" w:cs="Arial"/>
        </w:rPr>
      </w:pPr>
      <w:r w:rsidRPr="005D3D62">
        <w:rPr>
          <w:rFonts w:ascii="Arial" w:hAnsi="Arial" w:cs="Arial"/>
        </w:rPr>
        <w:t>National average list size 2021/22 = 9294</w:t>
      </w:r>
    </w:p>
    <w:p w14:paraId="66982F8B" w14:textId="77777777" w:rsidR="00CD6194" w:rsidRDefault="00CD6194" w:rsidP="00CD6194">
      <w:pPr>
        <w:pStyle w:val="Heading3"/>
      </w:pPr>
      <w:r>
        <w:t>Table 3: Attendee practice QOF achievement 2021/22</w:t>
      </w:r>
    </w:p>
    <w:tbl>
      <w:tblPr>
        <w:tblStyle w:val="TableGridLight"/>
        <w:tblW w:w="0" w:type="auto"/>
        <w:tblLook w:val="04A0" w:firstRow="1" w:lastRow="0" w:firstColumn="1" w:lastColumn="0" w:noHBand="0" w:noVBand="1"/>
      </w:tblPr>
      <w:tblGrid>
        <w:gridCol w:w="3681"/>
        <w:gridCol w:w="3681"/>
      </w:tblGrid>
      <w:tr w:rsidR="00CD6194" w14:paraId="43075316" w14:textId="77777777" w:rsidTr="00DF439B">
        <w:tc>
          <w:tcPr>
            <w:tcW w:w="3681" w:type="dxa"/>
          </w:tcPr>
          <w:p w14:paraId="5DA6D42E" w14:textId="0A4DDEF1" w:rsidR="00CD6194" w:rsidRDefault="00CD6194" w:rsidP="00DF439B">
            <w:pPr>
              <w:pStyle w:val="Tableheading"/>
            </w:pPr>
            <w:r>
              <w:t xml:space="preserve">Practice achievement </w:t>
            </w:r>
          </w:p>
        </w:tc>
        <w:tc>
          <w:tcPr>
            <w:tcW w:w="3681" w:type="dxa"/>
          </w:tcPr>
          <w:p w14:paraId="6426E40B" w14:textId="77777777" w:rsidR="00CD6194" w:rsidRDefault="00CD6194" w:rsidP="00DF439B">
            <w:pPr>
              <w:pStyle w:val="Tableheading"/>
            </w:pPr>
            <w:r>
              <w:t>Count of attendees</w:t>
            </w:r>
          </w:p>
        </w:tc>
      </w:tr>
      <w:tr w:rsidR="00CD6194" w14:paraId="5F37ECC0" w14:textId="77777777" w:rsidTr="00DF439B">
        <w:tc>
          <w:tcPr>
            <w:tcW w:w="3681" w:type="dxa"/>
          </w:tcPr>
          <w:p w14:paraId="0B0B4BB6" w14:textId="217FFC3D" w:rsidR="00CD6194" w:rsidRDefault="00CD6194" w:rsidP="00DF439B">
            <w:pPr>
              <w:pStyle w:val="Tabletext"/>
            </w:pPr>
            <w:r>
              <w:t xml:space="preserve">Less than </w:t>
            </w:r>
            <w:r w:rsidR="003C76C6">
              <w:t>580</w:t>
            </w:r>
          </w:p>
        </w:tc>
        <w:tc>
          <w:tcPr>
            <w:tcW w:w="3681" w:type="dxa"/>
          </w:tcPr>
          <w:p w14:paraId="4B643AFE" w14:textId="6E0AD9EB" w:rsidR="00CD6194" w:rsidRDefault="003C76C6" w:rsidP="00DF439B">
            <w:pPr>
              <w:pStyle w:val="Tabletext"/>
            </w:pPr>
            <w:r>
              <w:t>3</w:t>
            </w:r>
          </w:p>
        </w:tc>
      </w:tr>
      <w:tr w:rsidR="00CD6194" w14:paraId="73069699" w14:textId="77777777" w:rsidTr="00DF439B">
        <w:tc>
          <w:tcPr>
            <w:tcW w:w="3681" w:type="dxa"/>
          </w:tcPr>
          <w:p w14:paraId="7F8270B7" w14:textId="178F3D0B" w:rsidR="00CD6194" w:rsidRDefault="003C76C6" w:rsidP="00DF439B">
            <w:pPr>
              <w:pStyle w:val="Tabletext"/>
            </w:pPr>
            <w:r>
              <w:t>580 to 620</w:t>
            </w:r>
          </w:p>
        </w:tc>
        <w:tc>
          <w:tcPr>
            <w:tcW w:w="3681" w:type="dxa"/>
          </w:tcPr>
          <w:p w14:paraId="4A2B1D0F" w14:textId="7364D6E7" w:rsidR="00CD6194" w:rsidRDefault="003C76C6" w:rsidP="00DF439B">
            <w:pPr>
              <w:pStyle w:val="Tabletext"/>
            </w:pPr>
            <w:r>
              <w:t>2</w:t>
            </w:r>
          </w:p>
        </w:tc>
      </w:tr>
      <w:tr w:rsidR="00CD6194" w14:paraId="7C9B1727" w14:textId="77777777" w:rsidTr="00DF439B">
        <w:tc>
          <w:tcPr>
            <w:tcW w:w="3681" w:type="dxa"/>
          </w:tcPr>
          <w:p w14:paraId="5ECC56BA" w14:textId="2F21F242" w:rsidR="00CD6194" w:rsidRDefault="003C76C6" w:rsidP="00DF439B">
            <w:pPr>
              <w:pStyle w:val="Tabletext"/>
            </w:pPr>
            <w:r>
              <w:t>More than 620</w:t>
            </w:r>
          </w:p>
        </w:tc>
        <w:tc>
          <w:tcPr>
            <w:tcW w:w="3681" w:type="dxa"/>
          </w:tcPr>
          <w:p w14:paraId="6028142E" w14:textId="418913C4" w:rsidR="00CD6194" w:rsidRDefault="003C76C6" w:rsidP="00DF439B">
            <w:pPr>
              <w:pStyle w:val="Tabletext"/>
            </w:pPr>
            <w:r>
              <w:t>4</w:t>
            </w:r>
          </w:p>
        </w:tc>
      </w:tr>
    </w:tbl>
    <w:p w14:paraId="0BB1B475" w14:textId="68267843" w:rsidR="00CD6194" w:rsidRDefault="00CD6194" w:rsidP="00CD6194">
      <w:pPr>
        <w:pStyle w:val="Paragraph"/>
        <w:rPr>
          <w:lang w:eastAsia="en-GB"/>
        </w:rPr>
      </w:pPr>
      <w:r>
        <w:rPr>
          <w:lang w:eastAsia="en-GB"/>
        </w:rPr>
        <w:t>Total points</w:t>
      </w:r>
      <w:r w:rsidR="003C76C6">
        <w:rPr>
          <w:lang w:eastAsia="en-GB"/>
        </w:rPr>
        <w:t xml:space="preserve"> available</w:t>
      </w:r>
      <w:r w:rsidR="005D3D62">
        <w:rPr>
          <w:lang w:eastAsia="en-GB"/>
        </w:rPr>
        <w:t>:</w:t>
      </w:r>
      <w:r w:rsidR="003C76C6">
        <w:rPr>
          <w:lang w:eastAsia="en-GB"/>
        </w:rPr>
        <w:t xml:space="preserve"> </w:t>
      </w:r>
      <w:r>
        <w:rPr>
          <w:lang w:eastAsia="en-GB"/>
        </w:rPr>
        <w:t>635</w:t>
      </w:r>
      <w:r w:rsidR="003C76C6">
        <w:rPr>
          <w:lang w:eastAsia="en-GB"/>
        </w:rPr>
        <w:t xml:space="preserve"> (national average practice achievement</w:t>
      </w:r>
      <w:r w:rsidR="005D3D62">
        <w:rPr>
          <w:lang w:eastAsia="en-GB"/>
        </w:rPr>
        <w:t>:</w:t>
      </w:r>
      <w:r w:rsidR="003C76C6">
        <w:rPr>
          <w:lang w:eastAsia="en-GB"/>
        </w:rPr>
        <w:t xml:space="preserve"> 582)</w:t>
      </w:r>
    </w:p>
    <w:p w14:paraId="0EFBC8A2" w14:textId="77777777" w:rsidR="00CD6194" w:rsidRDefault="00CD6194" w:rsidP="00CD6194">
      <w:pPr>
        <w:pStyle w:val="Heading3"/>
      </w:pPr>
      <w:r>
        <w:t xml:space="preserve">Table 4: Attendee region </w:t>
      </w:r>
    </w:p>
    <w:tbl>
      <w:tblPr>
        <w:tblStyle w:val="TableGridLight"/>
        <w:tblW w:w="0" w:type="auto"/>
        <w:tblLook w:val="04A0" w:firstRow="1" w:lastRow="0" w:firstColumn="1" w:lastColumn="0" w:noHBand="0" w:noVBand="1"/>
      </w:tblPr>
      <w:tblGrid>
        <w:gridCol w:w="3681"/>
        <w:gridCol w:w="3681"/>
      </w:tblGrid>
      <w:tr w:rsidR="00CD6194" w14:paraId="04600E36" w14:textId="77777777" w:rsidTr="00DF439B">
        <w:tc>
          <w:tcPr>
            <w:tcW w:w="3681" w:type="dxa"/>
          </w:tcPr>
          <w:p w14:paraId="3F76CC99" w14:textId="6559953D" w:rsidR="00CD6194" w:rsidRDefault="00CD6194" w:rsidP="00DF439B">
            <w:pPr>
              <w:pStyle w:val="Tableheading"/>
            </w:pPr>
            <w:r>
              <w:t xml:space="preserve">Region </w:t>
            </w:r>
          </w:p>
        </w:tc>
        <w:tc>
          <w:tcPr>
            <w:tcW w:w="3681" w:type="dxa"/>
          </w:tcPr>
          <w:p w14:paraId="4B93E90A" w14:textId="77777777" w:rsidR="00CD6194" w:rsidRDefault="00CD6194" w:rsidP="00DF439B">
            <w:pPr>
              <w:pStyle w:val="Tableheading"/>
            </w:pPr>
            <w:r>
              <w:t>Count of attendees</w:t>
            </w:r>
          </w:p>
        </w:tc>
      </w:tr>
      <w:tr w:rsidR="00CD6194" w14:paraId="0930869F" w14:textId="77777777" w:rsidTr="00DF439B">
        <w:tc>
          <w:tcPr>
            <w:tcW w:w="3681" w:type="dxa"/>
          </w:tcPr>
          <w:p w14:paraId="740DDE78" w14:textId="280B0068" w:rsidR="00CD6194" w:rsidRDefault="00CD6194" w:rsidP="00CD6194">
            <w:pPr>
              <w:pStyle w:val="Tabletext"/>
            </w:pPr>
            <w:r w:rsidRPr="005A100C">
              <w:t>East of England</w:t>
            </w:r>
          </w:p>
        </w:tc>
        <w:tc>
          <w:tcPr>
            <w:tcW w:w="3681" w:type="dxa"/>
          </w:tcPr>
          <w:p w14:paraId="531C8BEB" w14:textId="12B9E075" w:rsidR="00CD6194" w:rsidRDefault="0062149B" w:rsidP="00CD6194">
            <w:pPr>
              <w:pStyle w:val="Tabletext"/>
            </w:pPr>
            <w:r>
              <w:t>0</w:t>
            </w:r>
          </w:p>
        </w:tc>
      </w:tr>
      <w:tr w:rsidR="00CD6194" w14:paraId="332422B4" w14:textId="77777777" w:rsidTr="00DF439B">
        <w:tc>
          <w:tcPr>
            <w:tcW w:w="3681" w:type="dxa"/>
          </w:tcPr>
          <w:p w14:paraId="25A949D8" w14:textId="491B5E9C" w:rsidR="00CD6194" w:rsidRDefault="00CD6194" w:rsidP="00CD6194">
            <w:pPr>
              <w:pStyle w:val="Tabletext"/>
            </w:pPr>
            <w:r w:rsidRPr="005A100C">
              <w:t>London</w:t>
            </w:r>
          </w:p>
        </w:tc>
        <w:tc>
          <w:tcPr>
            <w:tcW w:w="3681" w:type="dxa"/>
          </w:tcPr>
          <w:p w14:paraId="6A82B344" w14:textId="7FE494B5" w:rsidR="00CD6194" w:rsidRDefault="0062149B" w:rsidP="00CD6194">
            <w:pPr>
              <w:pStyle w:val="Tabletext"/>
            </w:pPr>
            <w:r>
              <w:t>1</w:t>
            </w:r>
          </w:p>
        </w:tc>
      </w:tr>
      <w:tr w:rsidR="00CD6194" w14:paraId="706AE9BF" w14:textId="77777777" w:rsidTr="00DF439B">
        <w:tc>
          <w:tcPr>
            <w:tcW w:w="3681" w:type="dxa"/>
          </w:tcPr>
          <w:p w14:paraId="0C54158E" w14:textId="3A0975CB" w:rsidR="00CD6194" w:rsidRDefault="00CD6194" w:rsidP="00CD6194">
            <w:pPr>
              <w:pStyle w:val="Tabletext"/>
            </w:pPr>
            <w:r w:rsidRPr="005A100C">
              <w:t>Midlands</w:t>
            </w:r>
          </w:p>
        </w:tc>
        <w:tc>
          <w:tcPr>
            <w:tcW w:w="3681" w:type="dxa"/>
          </w:tcPr>
          <w:p w14:paraId="10CBAAFA" w14:textId="7F29EA66" w:rsidR="00CD6194" w:rsidRDefault="0062149B" w:rsidP="00CD6194">
            <w:pPr>
              <w:pStyle w:val="Tabletext"/>
            </w:pPr>
            <w:r>
              <w:t>1</w:t>
            </w:r>
          </w:p>
        </w:tc>
      </w:tr>
      <w:tr w:rsidR="00CD6194" w14:paraId="00DD4217" w14:textId="77777777" w:rsidTr="00DF439B">
        <w:tc>
          <w:tcPr>
            <w:tcW w:w="3681" w:type="dxa"/>
          </w:tcPr>
          <w:p w14:paraId="7C35CD6D" w14:textId="17F8AE89" w:rsidR="00CD6194" w:rsidRDefault="00CD6194" w:rsidP="00CD6194">
            <w:pPr>
              <w:pStyle w:val="Tabletext"/>
            </w:pPr>
            <w:proofErr w:type="gramStart"/>
            <w:r w:rsidRPr="005A100C">
              <w:t>North East</w:t>
            </w:r>
            <w:proofErr w:type="gramEnd"/>
            <w:r w:rsidRPr="005A100C">
              <w:t xml:space="preserve"> and Yorkshire</w:t>
            </w:r>
          </w:p>
        </w:tc>
        <w:tc>
          <w:tcPr>
            <w:tcW w:w="3681" w:type="dxa"/>
          </w:tcPr>
          <w:p w14:paraId="3716CDAD" w14:textId="061234A2" w:rsidR="00CD6194" w:rsidRDefault="0062149B" w:rsidP="00CD6194">
            <w:pPr>
              <w:pStyle w:val="Tabletext"/>
            </w:pPr>
            <w:r>
              <w:t>4</w:t>
            </w:r>
          </w:p>
        </w:tc>
      </w:tr>
      <w:tr w:rsidR="00CD6194" w14:paraId="1372D139" w14:textId="77777777" w:rsidTr="00DF439B">
        <w:tc>
          <w:tcPr>
            <w:tcW w:w="3681" w:type="dxa"/>
          </w:tcPr>
          <w:p w14:paraId="5BDB0BFD" w14:textId="3A4C83AE" w:rsidR="00CD6194" w:rsidRDefault="00CD6194" w:rsidP="00CD6194">
            <w:pPr>
              <w:pStyle w:val="Tabletext"/>
            </w:pPr>
            <w:proofErr w:type="gramStart"/>
            <w:r w:rsidRPr="005A100C">
              <w:t>North West</w:t>
            </w:r>
            <w:proofErr w:type="gramEnd"/>
          </w:p>
        </w:tc>
        <w:tc>
          <w:tcPr>
            <w:tcW w:w="3681" w:type="dxa"/>
          </w:tcPr>
          <w:p w14:paraId="7D67D567" w14:textId="0379DBC9" w:rsidR="00CD6194" w:rsidRDefault="0062149B" w:rsidP="00CD6194">
            <w:pPr>
              <w:pStyle w:val="Tabletext"/>
            </w:pPr>
            <w:r>
              <w:t>1</w:t>
            </w:r>
          </w:p>
        </w:tc>
      </w:tr>
      <w:tr w:rsidR="00CD6194" w14:paraId="24C0CAD4" w14:textId="77777777" w:rsidTr="00DF439B">
        <w:tc>
          <w:tcPr>
            <w:tcW w:w="3681" w:type="dxa"/>
          </w:tcPr>
          <w:p w14:paraId="5A1D7238" w14:textId="24646FBF" w:rsidR="00CD6194" w:rsidRDefault="00CD6194" w:rsidP="00CD6194">
            <w:pPr>
              <w:pStyle w:val="Tabletext"/>
            </w:pPr>
            <w:proofErr w:type="gramStart"/>
            <w:r w:rsidRPr="005A100C">
              <w:t>South East</w:t>
            </w:r>
            <w:proofErr w:type="gramEnd"/>
          </w:p>
        </w:tc>
        <w:tc>
          <w:tcPr>
            <w:tcW w:w="3681" w:type="dxa"/>
          </w:tcPr>
          <w:p w14:paraId="36B3A4A9" w14:textId="74F15295" w:rsidR="00CD6194" w:rsidRDefault="0062149B" w:rsidP="00CD6194">
            <w:pPr>
              <w:pStyle w:val="Tabletext"/>
            </w:pPr>
            <w:r>
              <w:t>1</w:t>
            </w:r>
          </w:p>
        </w:tc>
      </w:tr>
      <w:tr w:rsidR="00CD6194" w14:paraId="48F8ED65" w14:textId="77777777" w:rsidTr="00DF439B">
        <w:tc>
          <w:tcPr>
            <w:tcW w:w="3681" w:type="dxa"/>
          </w:tcPr>
          <w:p w14:paraId="083C10E8" w14:textId="5723EC45" w:rsidR="00CD6194" w:rsidRPr="005A100C" w:rsidRDefault="00CD6194" w:rsidP="00CD6194">
            <w:pPr>
              <w:pStyle w:val="Tabletext"/>
            </w:pPr>
            <w:proofErr w:type="gramStart"/>
            <w:r>
              <w:t>South West</w:t>
            </w:r>
            <w:proofErr w:type="gramEnd"/>
          </w:p>
        </w:tc>
        <w:tc>
          <w:tcPr>
            <w:tcW w:w="3681" w:type="dxa"/>
          </w:tcPr>
          <w:p w14:paraId="03615B51" w14:textId="68FA108B" w:rsidR="00CD6194" w:rsidRDefault="0062149B" w:rsidP="00CD6194">
            <w:pPr>
              <w:pStyle w:val="Tabletext"/>
            </w:pPr>
            <w:r>
              <w:t>1</w:t>
            </w:r>
          </w:p>
        </w:tc>
      </w:tr>
    </w:tbl>
    <w:p w14:paraId="3E454040" w14:textId="77777777" w:rsidR="00407FDD" w:rsidRDefault="00407FDD" w:rsidP="00CD6194">
      <w:pPr>
        <w:pStyle w:val="Paragraph"/>
      </w:pPr>
    </w:p>
    <w:sectPr w:rsidR="00407FDD" w:rsidSect="008F6FB7">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9AAF7" w14:textId="77777777" w:rsidR="0087125A" w:rsidRDefault="0087125A" w:rsidP="00446BEE">
      <w:r>
        <w:separator/>
      </w:r>
    </w:p>
  </w:endnote>
  <w:endnote w:type="continuationSeparator" w:id="0">
    <w:p w14:paraId="16F45470" w14:textId="77777777" w:rsidR="0087125A" w:rsidRDefault="0087125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258B" w14:textId="7FEC38AB" w:rsidR="00446BEE" w:rsidRDefault="00EC4139">
    <w:pPr>
      <w:pStyle w:val="Footer"/>
    </w:pPr>
    <w:r w:rsidRPr="00EC4139">
      <w:t>FH focus group report</w:t>
    </w:r>
    <w:r>
      <w:tab/>
    </w:r>
    <w:r w:rsidR="00446BEE">
      <w:tab/>
    </w:r>
    <w:r w:rsidR="00446BEE">
      <w:fldChar w:fldCharType="begin"/>
    </w:r>
    <w:r w:rsidR="00446BEE">
      <w:instrText xml:space="preserve"> PAGE </w:instrText>
    </w:r>
    <w:r w:rsidR="00446BEE">
      <w:fldChar w:fldCharType="separate"/>
    </w:r>
    <w:r w:rsidR="001457F3">
      <w:rPr>
        <w:noProof/>
      </w:rPr>
      <w:t>5</w:t>
    </w:r>
    <w:r w:rsidR="00446BEE">
      <w:fldChar w:fldCharType="end"/>
    </w:r>
    <w:r w:rsidR="00446BEE">
      <w:t xml:space="preserve"> of </w:t>
    </w:r>
    <w:fldSimple w:instr=" NUMPAGES  ">
      <w:r w:rsidR="001457F3">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77F68C63" w14:textId="46B26D12" w:rsidR="008E7826" w:rsidRDefault="00EC4139" w:rsidP="008E7826">
            <w:pPr>
              <w:pStyle w:val="Footer"/>
            </w:pPr>
            <w:r>
              <w:t>FH fo</w:t>
            </w:r>
            <w:r w:rsidR="00CD6194">
              <w:t>cus group report</w:t>
            </w:r>
            <w:r>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1457F3">
              <w:rPr>
                <w:noProof/>
              </w:rPr>
              <w:t>1</w:t>
            </w:r>
            <w:r w:rsidR="008E7826" w:rsidRPr="008E7826">
              <w:rPr>
                <w:sz w:val="24"/>
              </w:rPr>
              <w:fldChar w:fldCharType="end"/>
            </w:r>
            <w:r w:rsidR="008E7826" w:rsidRPr="008E7826">
              <w:t xml:space="preserve"> of </w:t>
            </w:r>
            <w:fldSimple w:instr=" NUMPAGES  ">
              <w:r w:rsidR="001457F3">
                <w:rPr>
                  <w:noProof/>
                </w:rPr>
                <w:t>5</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3B72" w14:textId="77777777" w:rsidR="0087125A" w:rsidRDefault="0087125A" w:rsidP="00446BEE">
      <w:r>
        <w:separator/>
      </w:r>
    </w:p>
  </w:footnote>
  <w:footnote w:type="continuationSeparator" w:id="0">
    <w:p w14:paraId="1F1A1275" w14:textId="77777777" w:rsidR="0087125A" w:rsidRDefault="0087125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B6AD" w14:textId="77777777" w:rsidR="008F6FB7" w:rsidRDefault="008F6FB7">
    <w:pPr>
      <w:pStyle w:val="Header"/>
    </w:pPr>
    <w:r>
      <w:rPr>
        <w:noProof/>
      </w:rPr>
      <w:drawing>
        <wp:inline distT="0" distB="0" distL="0" distR="0" wp14:anchorId="31D9DF57" wp14:editId="08FA868D">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70C1F"/>
    <w:multiLevelType w:val="hybridMultilevel"/>
    <w:tmpl w:val="6D9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955404038">
    <w:abstractNumId w:val="12"/>
  </w:num>
  <w:num w:numId="2" w16cid:durableId="1096826918">
    <w:abstractNumId w:val="14"/>
  </w:num>
  <w:num w:numId="3" w16cid:durableId="900628462">
    <w:abstractNumId w:val="14"/>
    <w:lvlOverride w:ilvl="0">
      <w:startOverride w:val="1"/>
    </w:lvlOverride>
  </w:num>
  <w:num w:numId="4" w16cid:durableId="1595043222">
    <w:abstractNumId w:val="14"/>
    <w:lvlOverride w:ilvl="0">
      <w:startOverride w:val="1"/>
    </w:lvlOverride>
  </w:num>
  <w:num w:numId="5" w16cid:durableId="1718317109">
    <w:abstractNumId w:val="14"/>
    <w:lvlOverride w:ilvl="0">
      <w:startOverride w:val="1"/>
    </w:lvlOverride>
  </w:num>
  <w:num w:numId="6" w16cid:durableId="1539970481">
    <w:abstractNumId w:val="14"/>
    <w:lvlOverride w:ilvl="0">
      <w:startOverride w:val="1"/>
    </w:lvlOverride>
  </w:num>
  <w:num w:numId="7" w16cid:durableId="1303272598">
    <w:abstractNumId w:val="14"/>
    <w:lvlOverride w:ilvl="0">
      <w:startOverride w:val="1"/>
    </w:lvlOverride>
  </w:num>
  <w:num w:numId="8" w16cid:durableId="1838034932">
    <w:abstractNumId w:val="9"/>
  </w:num>
  <w:num w:numId="9" w16cid:durableId="1768426826">
    <w:abstractNumId w:val="7"/>
  </w:num>
  <w:num w:numId="10" w16cid:durableId="1109272626">
    <w:abstractNumId w:val="6"/>
  </w:num>
  <w:num w:numId="11" w16cid:durableId="507452152">
    <w:abstractNumId w:val="5"/>
  </w:num>
  <w:num w:numId="12" w16cid:durableId="1052928391">
    <w:abstractNumId w:val="4"/>
  </w:num>
  <w:num w:numId="13" w16cid:durableId="1937666834">
    <w:abstractNumId w:val="8"/>
  </w:num>
  <w:num w:numId="14" w16cid:durableId="1680740116">
    <w:abstractNumId w:val="3"/>
  </w:num>
  <w:num w:numId="15" w16cid:durableId="1975602079">
    <w:abstractNumId w:val="2"/>
  </w:num>
  <w:num w:numId="16" w16cid:durableId="1692221095">
    <w:abstractNumId w:val="1"/>
  </w:num>
  <w:num w:numId="17" w16cid:durableId="716470626">
    <w:abstractNumId w:val="0"/>
  </w:num>
  <w:num w:numId="18" w16cid:durableId="386730713">
    <w:abstractNumId w:val="10"/>
  </w:num>
  <w:num w:numId="19" w16cid:durableId="976883907">
    <w:abstractNumId w:val="10"/>
    <w:lvlOverride w:ilvl="0">
      <w:startOverride w:val="1"/>
    </w:lvlOverride>
  </w:num>
  <w:num w:numId="20" w16cid:durableId="2026785843">
    <w:abstractNumId w:val="12"/>
  </w:num>
  <w:num w:numId="21" w16cid:durableId="2056149962">
    <w:abstractNumId w:val="14"/>
  </w:num>
  <w:num w:numId="22" w16cid:durableId="1862431752">
    <w:abstractNumId w:val="10"/>
  </w:num>
  <w:num w:numId="23" w16cid:durableId="754669893">
    <w:abstractNumId w:val="13"/>
  </w:num>
  <w:num w:numId="24" w16cid:durableId="1793478826">
    <w:abstractNumId w:val="15"/>
  </w:num>
  <w:num w:numId="25" w16cid:durableId="444497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5A"/>
    <w:rsid w:val="000053F8"/>
    <w:rsid w:val="00005B0C"/>
    <w:rsid w:val="00024D0A"/>
    <w:rsid w:val="00070065"/>
    <w:rsid w:val="000A4FEE"/>
    <w:rsid w:val="000B5939"/>
    <w:rsid w:val="000D7A96"/>
    <w:rsid w:val="001035BA"/>
    <w:rsid w:val="001134E7"/>
    <w:rsid w:val="00124744"/>
    <w:rsid w:val="00126EC0"/>
    <w:rsid w:val="001336FF"/>
    <w:rsid w:val="00136206"/>
    <w:rsid w:val="001457F3"/>
    <w:rsid w:val="00157BBE"/>
    <w:rsid w:val="0017169E"/>
    <w:rsid w:val="001A6635"/>
    <w:rsid w:val="001B0AD9"/>
    <w:rsid w:val="001B0EE9"/>
    <w:rsid w:val="001B65B3"/>
    <w:rsid w:val="001E60D6"/>
    <w:rsid w:val="00205BDB"/>
    <w:rsid w:val="002124D5"/>
    <w:rsid w:val="002408EA"/>
    <w:rsid w:val="0025603E"/>
    <w:rsid w:val="00273372"/>
    <w:rsid w:val="002819D7"/>
    <w:rsid w:val="002C1A7E"/>
    <w:rsid w:val="002C453C"/>
    <w:rsid w:val="002D3376"/>
    <w:rsid w:val="00311ED0"/>
    <w:rsid w:val="003426D9"/>
    <w:rsid w:val="003648C5"/>
    <w:rsid w:val="003722FA"/>
    <w:rsid w:val="003C3BC0"/>
    <w:rsid w:val="003C76C6"/>
    <w:rsid w:val="003C7AAF"/>
    <w:rsid w:val="003F0A04"/>
    <w:rsid w:val="003F1C1C"/>
    <w:rsid w:val="00401094"/>
    <w:rsid w:val="004075B6"/>
    <w:rsid w:val="00407FDD"/>
    <w:rsid w:val="00420952"/>
    <w:rsid w:val="00426012"/>
    <w:rsid w:val="00446BEE"/>
    <w:rsid w:val="004867FA"/>
    <w:rsid w:val="004D6CA7"/>
    <w:rsid w:val="004F161C"/>
    <w:rsid w:val="005025A1"/>
    <w:rsid w:val="00594C3A"/>
    <w:rsid w:val="005A02D5"/>
    <w:rsid w:val="005D2A11"/>
    <w:rsid w:val="005D3D62"/>
    <w:rsid w:val="005D52D0"/>
    <w:rsid w:val="0062149B"/>
    <w:rsid w:val="00621780"/>
    <w:rsid w:val="00624140"/>
    <w:rsid w:val="006709A9"/>
    <w:rsid w:val="006802A7"/>
    <w:rsid w:val="006921E1"/>
    <w:rsid w:val="00696C0A"/>
    <w:rsid w:val="006A28FB"/>
    <w:rsid w:val="006E6763"/>
    <w:rsid w:val="00736348"/>
    <w:rsid w:val="00740E5A"/>
    <w:rsid w:val="0077376B"/>
    <w:rsid w:val="00781C41"/>
    <w:rsid w:val="007D3DAB"/>
    <w:rsid w:val="00833D8A"/>
    <w:rsid w:val="00861B92"/>
    <w:rsid w:val="00863C8C"/>
    <w:rsid w:val="0087125A"/>
    <w:rsid w:val="008814FB"/>
    <w:rsid w:val="008945AA"/>
    <w:rsid w:val="008A41BF"/>
    <w:rsid w:val="008E7826"/>
    <w:rsid w:val="008F5E30"/>
    <w:rsid w:val="008F6FB7"/>
    <w:rsid w:val="00914D7F"/>
    <w:rsid w:val="00922E36"/>
    <w:rsid w:val="00934531"/>
    <w:rsid w:val="009617ED"/>
    <w:rsid w:val="0097305A"/>
    <w:rsid w:val="009E680B"/>
    <w:rsid w:val="009F66EF"/>
    <w:rsid w:val="00A15A1F"/>
    <w:rsid w:val="00A3325A"/>
    <w:rsid w:val="00A43013"/>
    <w:rsid w:val="00AF108A"/>
    <w:rsid w:val="00B02E55"/>
    <w:rsid w:val="00B036C1"/>
    <w:rsid w:val="00B5431F"/>
    <w:rsid w:val="00B56D23"/>
    <w:rsid w:val="00B65A11"/>
    <w:rsid w:val="00B9453C"/>
    <w:rsid w:val="00BC184B"/>
    <w:rsid w:val="00BF0FB9"/>
    <w:rsid w:val="00BF49DE"/>
    <w:rsid w:val="00BF7FE0"/>
    <w:rsid w:val="00C2787D"/>
    <w:rsid w:val="00C36044"/>
    <w:rsid w:val="00C7431D"/>
    <w:rsid w:val="00C77C66"/>
    <w:rsid w:val="00C85682"/>
    <w:rsid w:val="00C96411"/>
    <w:rsid w:val="00CB2369"/>
    <w:rsid w:val="00CD6194"/>
    <w:rsid w:val="00CF2E5C"/>
    <w:rsid w:val="00CF58B7"/>
    <w:rsid w:val="00D02A8F"/>
    <w:rsid w:val="00D1699D"/>
    <w:rsid w:val="00D351C1"/>
    <w:rsid w:val="00D35EFB"/>
    <w:rsid w:val="00D41B33"/>
    <w:rsid w:val="00D47D55"/>
    <w:rsid w:val="00D504B3"/>
    <w:rsid w:val="00D60DBF"/>
    <w:rsid w:val="00D8530A"/>
    <w:rsid w:val="00D86BF0"/>
    <w:rsid w:val="00DB57CF"/>
    <w:rsid w:val="00DB5C9B"/>
    <w:rsid w:val="00DF1919"/>
    <w:rsid w:val="00E42D7F"/>
    <w:rsid w:val="00E51079"/>
    <w:rsid w:val="00E51920"/>
    <w:rsid w:val="00E64120"/>
    <w:rsid w:val="00E660A1"/>
    <w:rsid w:val="00E72AE9"/>
    <w:rsid w:val="00E851C4"/>
    <w:rsid w:val="00EB096F"/>
    <w:rsid w:val="00EC4139"/>
    <w:rsid w:val="00F055F1"/>
    <w:rsid w:val="00F43190"/>
    <w:rsid w:val="00F610AF"/>
    <w:rsid w:val="00F61581"/>
    <w:rsid w:val="00FA2C5A"/>
    <w:rsid w:val="00FC2D11"/>
    <w:rsid w:val="00FC6230"/>
    <w:rsid w:val="00FE50EB"/>
    <w:rsid w:val="00FF4F5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F7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194"/>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UnresolvedMention1">
    <w:name w:val="Unresolved Mention1"/>
    <w:basedOn w:val="DefaultParagraphFont"/>
    <w:uiPriority w:val="99"/>
    <w:semiHidden/>
    <w:unhideWhenUsed/>
    <w:rsid w:val="001B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ac/publication/summary-of-national-guidance-for-lipid-manag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about/nice-communities/generalpractice/reference-pane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676</Words>
  <Characters>4628</Characters>
  <Application>Microsoft Office Word</Application>
  <DocSecurity>0</DocSecurity>
  <Lines>38</Lines>
  <Paragraphs>10</Paragraphs>
  <ScaleCrop>false</ScaleCrop>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2023-08-19T11:12:00Z</dcterms:created>
  <dcterms:modified xsi:type="dcterms:W3CDTF">2023-08-19T11:12:00Z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2023-08-19T11:12:16Z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8003bd1c-1ae4-4327-80cb-35d97f0d74a5</vt:lpwstr>
  </property>
  <property fmtid="{D5CDD505-2E9C-101B-9397-08002B2CF9AE}" pid="8" name="MSIP_Label_c69d85d5-6d9e-4305-a294-1f636ec0f2d6_ContentBits">
    <vt:lpwstr>0</vt:lpwstr>
  </property>
</Properties>
</file>