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6D8" w14:textId="4B9520EC" w:rsidR="00594C3A" w:rsidRDefault="00F42A59" w:rsidP="00136206">
      <w:pPr>
        <w:pStyle w:val="Title"/>
      </w:pPr>
      <w:r>
        <w:t xml:space="preserve">Indicator development programme </w:t>
      </w:r>
    </w:p>
    <w:p w14:paraId="32A7F8F9" w14:textId="77777777" w:rsidR="00F42A59" w:rsidRDefault="00F42A59" w:rsidP="00F42A59">
      <w:pPr>
        <w:pStyle w:val="Title"/>
      </w:pPr>
      <w:r>
        <w:t>NICE indicator guidance</w:t>
      </w:r>
    </w:p>
    <w:p w14:paraId="2B3F03A7" w14:textId="23B646A8" w:rsidR="00262F98" w:rsidRDefault="00766346" w:rsidP="00262F98">
      <w:pPr>
        <w:pStyle w:val="Heading1"/>
      </w:pPr>
      <w:r>
        <w:t>Lipid disorders: FH assessment and diagnosis (historical readings)</w:t>
      </w:r>
    </w:p>
    <w:p w14:paraId="7BF309D9" w14:textId="7FBD2847" w:rsidR="00F42A59" w:rsidRDefault="00F42A59" w:rsidP="00F42A59">
      <w:pPr>
        <w:pStyle w:val="Paragraph"/>
      </w:pPr>
      <w:r>
        <w:t xml:space="preserve">Date first published on NICE menu: </w:t>
      </w:r>
      <w:r w:rsidR="00766346">
        <w:t>August 2023</w:t>
      </w:r>
    </w:p>
    <w:p w14:paraId="35CDD067" w14:textId="3527360A" w:rsidR="00F42A59" w:rsidRDefault="00F42A59" w:rsidP="00F42A59">
      <w:pPr>
        <w:pStyle w:val="Paragraph"/>
      </w:pPr>
      <w:r>
        <w:t xml:space="preserve">Last </w:t>
      </w:r>
      <w:r w:rsidRPr="00766346">
        <w:t xml:space="preserve">update: N/A </w:t>
      </w:r>
    </w:p>
    <w:p w14:paraId="33C0E1F3" w14:textId="13C68B0C" w:rsidR="00F42A59" w:rsidRDefault="00F42A59" w:rsidP="00F42A59">
      <w:pPr>
        <w:pStyle w:val="Paragraph"/>
      </w:pPr>
      <w:r>
        <w:t xml:space="preserve">Next review date: </w:t>
      </w:r>
      <w:r w:rsidR="00766346">
        <w:t>August 2026</w:t>
      </w:r>
    </w:p>
    <w:p w14:paraId="09A8FBA6" w14:textId="6867A3E7" w:rsidR="00F42A59" w:rsidRDefault="00766346" w:rsidP="00F42A59">
      <w:pPr>
        <w:pStyle w:val="Heading1"/>
      </w:pPr>
      <w:r>
        <w:t>Indicator NM244</w:t>
      </w:r>
    </w:p>
    <w:p w14:paraId="76832130" w14:textId="42ABDF71" w:rsidR="00766346" w:rsidRPr="00766346" w:rsidRDefault="00766346" w:rsidP="00766346">
      <w:pPr>
        <w:pStyle w:val="NICEnormal"/>
      </w:pPr>
      <w:r w:rsidRPr="00766346">
        <w:t xml:space="preserve">The percentage of patients with a total cholesterol reading greater than 7.5 </w:t>
      </w:r>
      <w:r w:rsidR="00046E10" w:rsidRPr="00046E10">
        <w:t xml:space="preserve">mmol/litre </w:t>
      </w:r>
      <w:r w:rsidRPr="00766346">
        <w:t xml:space="preserve">when aged 29 years or under, or greater than 9.0 </w:t>
      </w:r>
      <w:r w:rsidR="00046E10" w:rsidRPr="00046E10">
        <w:t xml:space="preserve">mmol/litre </w:t>
      </w:r>
      <w:r w:rsidRPr="00766346">
        <w:t>when aged 30 years or over, who have been:</w:t>
      </w:r>
    </w:p>
    <w:p w14:paraId="1F9D1624" w14:textId="77777777" w:rsidR="00766346" w:rsidRPr="00766346" w:rsidRDefault="00766346" w:rsidP="00766346">
      <w:pPr>
        <w:pStyle w:val="Bullets"/>
      </w:pPr>
      <w:r w:rsidRPr="00766346">
        <w:t>diagnosed with secondary hyperlipidaemia or</w:t>
      </w:r>
    </w:p>
    <w:p w14:paraId="6867258A" w14:textId="77777777" w:rsidR="00766346" w:rsidRPr="00766346" w:rsidRDefault="00766346" w:rsidP="00766346">
      <w:pPr>
        <w:pStyle w:val="Bullets"/>
      </w:pPr>
      <w:r w:rsidRPr="00766346">
        <w:t>clinically assessed for familial hypercholesterolaemia or</w:t>
      </w:r>
    </w:p>
    <w:p w14:paraId="5817FD64" w14:textId="77777777" w:rsidR="00766346" w:rsidRPr="00766346" w:rsidRDefault="00766346" w:rsidP="00766346">
      <w:pPr>
        <w:pStyle w:val="Bullets"/>
      </w:pPr>
      <w:r w:rsidRPr="00766346">
        <w:t>referred for assessment for familial hypercholesterolaemia or</w:t>
      </w:r>
    </w:p>
    <w:p w14:paraId="2B60D280" w14:textId="77777777" w:rsidR="00766346" w:rsidRPr="00766346" w:rsidRDefault="00766346" w:rsidP="00766346">
      <w:pPr>
        <w:pStyle w:val="Bullets"/>
      </w:pPr>
      <w:r w:rsidRPr="00766346">
        <w:t xml:space="preserve">genetically diagnosed with familial hypercholesterolaemia. </w:t>
      </w:r>
    </w:p>
    <w:p w14:paraId="2AA76169" w14:textId="77777777" w:rsidR="00F42A59" w:rsidRDefault="00F42A59" w:rsidP="00F42A59">
      <w:pPr>
        <w:pStyle w:val="Heading2"/>
      </w:pPr>
      <w:r>
        <w:t xml:space="preserve">Indicator type </w:t>
      </w:r>
    </w:p>
    <w:p w14:paraId="21A3E041" w14:textId="77777777" w:rsidR="00F42A59" w:rsidRDefault="00F42A59" w:rsidP="00F42A59">
      <w:pPr>
        <w:pStyle w:val="Paragraph"/>
      </w:pPr>
      <w:r w:rsidRPr="00766346">
        <w:t>General practice indicator suitable for use in the Quality and Outcomes Framework.</w:t>
      </w:r>
    </w:p>
    <w:p w14:paraId="7FF3CC94" w14:textId="26B898EE" w:rsidR="00696B55" w:rsidRDefault="00696B55" w:rsidP="00F42A59">
      <w:pPr>
        <w:pStyle w:val="Paragraph"/>
      </w:pPr>
      <w:r w:rsidRPr="00696B55">
        <w:t>If used in practice, consideration should be given during the early periods of implementation to the potential increased workload for practices to recall patients with historical high cholesterol readings and increased referrals to specialist services.</w:t>
      </w:r>
    </w:p>
    <w:p w14:paraId="430DCEF6" w14:textId="61F3513F" w:rsidR="00696B55" w:rsidRPr="00766346" w:rsidRDefault="00696B55" w:rsidP="00F42A59">
      <w:pPr>
        <w:pStyle w:val="Paragraph"/>
      </w:pPr>
      <w:r>
        <w:t xml:space="preserve">As currently constructed, the indicator denominator will include some of the same patients for the same high reading each time data is extracted, with </w:t>
      </w:r>
      <w:r>
        <w:lastRenderedPageBreak/>
        <w:t xml:space="preserve">potentially no need for action in the current reporting period. The indicator should therefore be reviewed once diagnosis rates have improved. </w:t>
      </w:r>
    </w:p>
    <w:p w14:paraId="1E3A0B44" w14:textId="77777777" w:rsidR="00F42A59" w:rsidRDefault="00F42A59" w:rsidP="00F42A59">
      <w:pPr>
        <w:pStyle w:val="Heading2"/>
      </w:pPr>
      <w:r>
        <w:t>Rationale</w:t>
      </w:r>
    </w:p>
    <w:p w14:paraId="179DF4C0" w14:textId="372CD7DA" w:rsidR="00F42A59" w:rsidRDefault="00766346" w:rsidP="00F42A59">
      <w:pPr>
        <w:pStyle w:val="Paragraph"/>
      </w:pPr>
      <w:r w:rsidRPr="00766346">
        <w:t>Familial hypercholesterolaemia (FH) is a genetic disorder that causes a high cholesterol level</w:t>
      </w:r>
      <w:r w:rsidR="00212B7D">
        <w:t xml:space="preserve"> and </w:t>
      </w:r>
      <w:r w:rsidRPr="00766346">
        <w:t xml:space="preserve">increases the likelihood of coronary artery disease, heart attacks and sudden cardiac death. </w:t>
      </w:r>
      <w:bookmarkStart w:id="0" w:name="_Hlk138333843"/>
      <w:r w:rsidR="00212B7D">
        <w:t xml:space="preserve">Current diagnosis rates are below expected prevalence and NICE guidance recommends </w:t>
      </w:r>
      <w:bookmarkEnd w:id="0"/>
      <w:r w:rsidR="00212B7D">
        <w:t xml:space="preserve">systematic searching of primary care records for people with a </w:t>
      </w:r>
      <w:r w:rsidR="00212B7D" w:rsidRPr="00212B7D">
        <w:t>total cholesterol reading greater than 7.5 mmol/litre when aged 29 years or under, or greater than 9.0 mmol/litre when aged 30 years or over</w:t>
      </w:r>
      <w:r w:rsidR="00212B7D">
        <w:t>, a</w:t>
      </w:r>
      <w:r w:rsidR="00212B7D" w:rsidRPr="00212B7D">
        <w:t>s these are the people who are at highest risk of FH</w:t>
      </w:r>
      <w:r w:rsidR="00212B7D">
        <w:t>. D</w:t>
      </w:r>
      <w:r w:rsidRPr="00766346">
        <w:t xml:space="preserve">etection and genetic diagnosis </w:t>
      </w:r>
      <w:r w:rsidR="00212B7D">
        <w:t>can</w:t>
      </w:r>
      <w:r w:rsidRPr="00766346">
        <w:t xml:space="preserve"> lead to provision of appropriate lipid-lowering treatment to lower risks </w:t>
      </w:r>
      <w:r w:rsidR="00212B7D">
        <w:t xml:space="preserve">of cardiovascular disease </w:t>
      </w:r>
      <w:r w:rsidRPr="00766346">
        <w:t xml:space="preserve">and improve outcomes. </w:t>
      </w:r>
      <w:bookmarkStart w:id="1" w:name="_Hlk138333852"/>
      <w:r w:rsidR="00212B7D">
        <w:t xml:space="preserve">Fasting cholesterol tests should ideally be used but the indicator will search for </w:t>
      </w:r>
      <w:r w:rsidR="0014535F">
        <w:t xml:space="preserve">the earliest high </w:t>
      </w:r>
      <w:r w:rsidR="00212B7D">
        <w:t xml:space="preserve">total cholesterol reading. </w:t>
      </w:r>
      <w:bookmarkEnd w:id="1"/>
    </w:p>
    <w:p w14:paraId="21C32A7D" w14:textId="77777777" w:rsidR="00F42A59" w:rsidRDefault="00F42A59" w:rsidP="00F42A59">
      <w:pPr>
        <w:pStyle w:val="Heading2"/>
      </w:pPr>
      <w:r>
        <w:t xml:space="preserve">Source guidance </w:t>
      </w:r>
    </w:p>
    <w:p w14:paraId="5741D4DA" w14:textId="5C301035" w:rsidR="00F42A59" w:rsidRDefault="000440F1" w:rsidP="00F42A59">
      <w:pPr>
        <w:pStyle w:val="Paragraph"/>
      </w:pPr>
      <w:hyperlink r:id="rId7" w:history="1">
        <w:r w:rsidR="0024564B">
          <w:rPr>
            <w:rStyle w:val="Hyperlink"/>
          </w:rPr>
          <w:t>Familial hypercholesterolemia. NICE guideline CG71</w:t>
        </w:r>
      </w:hyperlink>
      <w:r w:rsidR="00F42A59">
        <w:t xml:space="preserve"> (</w:t>
      </w:r>
      <w:r w:rsidR="00157F17">
        <w:t>2008, last updated 2019</w:t>
      </w:r>
      <w:r w:rsidR="00F42A59">
        <w:t>)</w:t>
      </w:r>
      <w:r w:rsidR="0024564B">
        <w:t>,</w:t>
      </w:r>
      <w:r w:rsidR="00F42A59">
        <w:t xml:space="preserve"> recommendation</w:t>
      </w:r>
      <w:r w:rsidR="00157F17">
        <w:t>s</w:t>
      </w:r>
      <w:r w:rsidR="00F42A59">
        <w:t xml:space="preserve"> </w:t>
      </w:r>
      <w:r w:rsidR="00766346">
        <w:t>1.1.2, 1.1.5, 1.1.6 and 1.1.8.</w:t>
      </w:r>
      <w:r w:rsidR="00F42A59">
        <w:t xml:space="preserve"> </w:t>
      </w:r>
    </w:p>
    <w:p w14:paraId="046391A0" w14:textId="77777777" w:rsidR="00F42A59" w:rsidRDefault="00F42A59" w:rsidP="00F42A59">
      <w:pPr>
        <w:pStyle w:val="Heading2"/>
      </w:pPr>
      <w:r>
        <w:t xml:space="preserve">Specification </w:t>
      </w:r>
    </w:p>
    <w:p w14:paraId="1F9DBBDC" w14:textId="77777777" w:rsidR="00157F17" w:rsidRDefault="00F42A59" w:rsidP="00157F17">
      <w:pPr>
        <w:pStyle w:val="Paragraph"/>
      </w:pPr>
      <w:r>
        <w:t xml:space="preserve">Numerator: </w:t>
      </w:r>
      <w:r w:rsidR="00157F17">
        <w:t>The number in the denominator who have been:</w:t>
      </w:r>
    </w:p>
    <w:p w14:paraId="013CA56B" w14:textId="231BFF31" w:rsidR="00157F17" w:rsidRDefault="00157F17" w:rsidP="00157F17">
      <w:pPr>
        <w:pStyle w:val="Bullets"/>
      </w:pPr>
      <w:r>
        <w:t>diagnosed with secondary hyperlipidaemia</w:t>
      </w:r>
      <w:r w:rsidR="00E03D9A" w:rsidRPr="00E03D9A">
        <w:t xml:space="preserve"> after the earliest high cholesterol reading</w:t>
      </w:r>
      <w:r>
        <w:t>; or</w:t>
      </w:r>
    </w:p>
    <w:p w14:paraId="0EA299B8" w14:textId="5FFA5128" w:rsidR="00157F17" w:rsidRDefault="00157F17" w:rsidP="00157F17">
      <w:pPr>
        <w:pStyle w:val="Bullets"/>
      </w:pPr>
      <w:r>
        <w:t>clinically assessed for familial hypercholesterolaemia</w:t>
      </w:r>
      <w:r w:rsidR="00E03D9A" w:rsidRPr="00E03D9A">
        <w:t xml:space="preserve"> at any time</w:t>
      </w:r>
      <w:r>
        <w:t>; or</w:t>
      </w:r>
    </w:p>
    <w:p w14:paraId="0EEFE2E4" w14:textId="7895240D" w:rsidR="00157F17" w:rsidRDefault="00157F17" w:rsidP="00157F17">
      <w:pPr>
        <w:pStyle w:val="Bullets"/>
      </w:pPr>
      <w:r>
        <w:t>referred for assessment for familial hypercholesterolaemia</w:t>
      </w:r>
      <w:r w:rsidR="00E03D9A" w:rsidRPr="00E03D9A">
        <w:t xml:space="preserve"> at any time</w:t>
      </w:r>
      <w:r>
        <w:t>; or</w:t>
      </w:r>
    </w:p>
    <w:p w14:paraId="23E008E7" w14:textId="38C92522" w:rsidR="00157F17" w:rsidRDefault="00157F17" w:rsidP="00157F17">
      <w:pPr>
        <w:pStyle w:val="Bullets"/>
        <w:spacing w:after="120"/>
        <w:ind w:left="992" w:hanging="425"/>
      </w:pPr>
      <w:r>
        <w:t>genetically diagnosed with familial hypercholesterolaemia</w:t>
      </w:r>
      <w:r w:rsidR="00E03D9A" w:rsidRPr="00E03D9A">
        <w:t xml:space="preserve"> at any time</w:t>
      </w:r>
      <w:r>
        <w:t>.</w:t>
      </w:r>
    </w:p>
    <w:p w14:paraId="6900C8BB" w14:textId="7FF482C7" w:rsidR="00F42A59" w:rsidRDefault="00F42A59" w:rsidP="00F42A59">
      <w:pPr>
        <w:pStyle w:val="Paragraph"/>
      </w:pPr>
      <w:r>
        <w:t xml:space="preserve">Denominator: </w:t>
      </w:r>
      <w:r w:rsidR="00157F17" w:rsidRPr="00157F17">
        <w:t xml:space="preserve">The number of patients with a total cholesterol reading greater than 7.5 </w:t>
      </w:r>
      <w:r w:rsidR="00046E10" w:rsidRPr="00046E10">
        <w:t xml:space="preserve">mmol/litre </w:t>
      </w:r>
      <w:r w:rsidR="00157F17" w:rsidRPr="00157F17">
        <w:t xml:space="preserve">when aged 29 years or under, or a total cholesterol reading greater than 9.0 </w:t>
      </w:r>
      <w:r w:rsidR="00046E10" w:rsidRPr="00046E10">
        <w:t xml:space="preserve">mmol/litre </w:t>
      </w:r>
      <w:r w:rsidR="00157F17" w:rsidRPr="00157F17">
        <w:t>when aged 30 years or over.</w:t>
      </w:r>
    </w:p>
    <w:p w14:paraId="43FB4AA2" w14:textId="2268AE2E" w:rsidR="00B809C4" w:rsidRDefault="00B809C4" w:rsidP="00F42A59">
      <w:pPr>
        <w:pStyle w:val="Paragraph"/>
      </w:pPr>
      <w:r w:rsidRPr="00B809C4">
        <w:lastRenderedPageBreak/>
        <w:t xml:space="preserve">The construction searches for the earliest total cholesterol reading that would indicate a risk of FH as per NICE guidance. It does not include a specific </w:t>
      </w:r>
      <w:proofErr w:type="gramStart"/>
      <w:r w:rsidRPr="00B809C4">
        <w:t>time period</w:t>
      </w:r>
      <w:proofErr w:type="gramEnd"/>
      <w:r>
        <w:t xml:space="preserve"> for the reading</w:t>
      </w:r>
      <w:r w:rsidRPr="00B809C4">
        <w:t xml:space="preserve">. </w:t>
      </w:r>
    </w:p>
    <w:p w14:paraId="5E219E40" w14:textId="14A2C8BA" w:rsidR="00F42A59" w:rsidRDefault="00F42A59" w:rsidP="00F42A59">
      <w:pPr>
        <w:pStyle w:val="Paragraph"/>
      </w:pPr>
      <w:r>
        <w:t xml:space="preserve">Calculation: </w:t>
      </w:r>
      <w:r w:rsidRPr="00157F17">
        <w:t>Numerator</w:t>
      </w:r>
      <w:r w:rsidR="000770C1" w:rsidRPr="00157F17">
        <w:t xml:space="preserve"> divided by the </w:t>
      </w:r>
      <w:r w:rsidRPr="00157F17">
        <w:t>denominator</w:t>
      </w:r>
      <w:r w:rsidR="000770C1" w:rsidRPr="00157F17">
        <w:t>, multiplied by 1</w:t>
      </w:r>
      <w:r w:rsidRPr="00157F17">
        <w:t>00</w:t>
      </w:r>
      <w:r w:rsidR="000770C1" w:rsidRPr="00157F17">
        <w:t>.</w:t>
      </w:r>
    </w:p>
    <w:p w14:paraId="64A36C88" w14:textId="2B75ED0B" w:rsidR="00F42A59" w:rsidRDefault="00F42A59" w:rsidP="00F42A59">
      <w:pPr>
        <w:pStyle w:val="Paragraph"/>
      </w:pPr>
      <w:r>
        <w:t xml:space="preserve">Exclusions: </w:t>
      </w:r>
      <w:r w:rsidRPr="00157F17">
        <w:t>None</w:t>
      </w:r>
      <w:r>
        <w:t xml:space="preserve"> </w:t>
      </w:r>
    </w:p>
    <w:p w14:paraId="0F38B792" w14:textId="4C474BD6" w:rsidR="00F42A59" w:rsidRDefault="00F42A59" w:rsidP="00F42A59">
      <w:pPr>
        <w:pStyle w:val="Paragraph"/>
      </w:pPr>
      <w:r>
        <w:t xml:space="preserve">Personalised care adjustments or exception reporting should be considered to account for situations where the patient </w:t>
      </w:r>
      <w:bookmarkStart w:id="2" w:name="_Hlk138334093"/>
      <w:r w:rsidR="00072060">
        <w:t xml:space="preserve">is receiving palliative care, </w:t>
      </w:r>
      <w:bookmarkEnd w:id="2"/>
      <w:r>
        <w:t>declines</w:t>
      </w:r>
      <w:r w:rsidR="00157F17">
        <w:t xml:space="preserve"> assessment</w:t>
      </w:r>
      <w:r>
        <w:t xml:space="preserve">, or if </w:t>
      </w:r>
      <w:r w:rsidR="00157F17">
        <w:t>further assessment</w:t>
      </w:r>
      <w:r>
        <w:t xml:space="preserve"> is not appropriate.</w:t>
      </w:r>
    </w:p>
    <w:p w14:paraId="78A3F131" w14:textId="344CEF0A" w:rsidR="00B04218" w:rsidRPr="00157F17" w:rsidRDefault="009E4F14" w:rsidP="00F42A59">
      <w:pPr>
        <w:pStyle w:val="Paragraph"/>
      </w:pPr>
      <w:r w:rsidRPr="00157F17">
        <w:t xml:space="preserve">Expected </w:t>
      </w:r>
      <w:r w:rsidR="00F42A59" w:rsidRPr="00157F17">
        <w:t>population</w:t>
      </w:r>
      <w:r w:rsidRPr="00157F17">
        <w:t xml:space="preserve"> size</w:t>
      </w:r>
      <w:r w:rsidR="00F42A59" w:rsidRPr="00157F17">
        <w:t>:</w:t>
      </w:r>
      <w:r w:rsidR="00157F17" w:rsidRPr="00157F17">
        <w:t xml:space="preserve"> </w:t>
      </w:r>
      <w:hyperlink r:id="rId8" w:history="1">
        <w:r w:rsidR="00157F17" w:rsidRPr="0024621B">
          <w:rPr>
            <w:rStyle w:val="Hyperlink"/>
          </w:rPr>
          <w:t>IIF CVD-04 data</w:t>
        </w:r>
      </w:hyperlink>
      <w:r w:rsidR="00157F17" w:rsidRPr="00157F17">
        <w:t xml:space="preserve"> for 2022/23</w:t>
      </w:r>
      <w:r w:rsidR="00F42A59" w:rsidRPr="00157F17">
        <w:t xml:space="preserve"> show that </w:t>
      </w:r>
      <w:r w:rsidR="00157F17" w:rsidRPr="00157F17">
        <w:t>0.6</w:t>
      </w:r>
      <w:r w:rsidR="00F42A59" w:rsidRPr="00157F17">
        <w:t>% of people in England</w:t>
      </w:r>
      <w:r w:rsidR="00157F17" w:rsidRPr="00157F17">
        <w:t xml:space="preserve"> would have high cholesterol levels in the at-risk range for familial hypercholesterolemia</w:t>
      </w:r>
      <w:r w:rsidR="00F42A59" w:rsidRPr="00157F17">
        <w:t xml:space="preserve">: </w:t>
      </w:r>
      <w:r w:rsidR="00157F17" w:rsidRPr="00157F17">
        <w:t>62</w:t>
      </w:r>
      <w:r w:rsidR="00F42A59" w:rsidRPr="00157F17">
        <w:t xml:space="preserve"> patients for an average practice with 10,000 patients.</w:t>
      </w:r>
      <w:r w:rsidR="00546EFB" w:rsidRPr="00157F17">
        <w:t xml:space="preserve"> To be suitable for use in QOF, there should be more than 20 patients eligible for inclusion in the denominator, per average practice with 10,000 patients,</w:t>
      </w:r>
      <w:r w:rsidR="00546EFB" w:rsidRPr="00157F17" w:rsidDel="00CF3046">
        <w:t xml:space="preserve"> </w:t>
      </w:r>
      <w:r w:rsidR="00546EFB" w:rsidRPr="00157F17">
        <w:t>prior to application of personalised care adjustments.</w:t>
      </w:r>
    </w:p>
    <w:p w14:paraId="7C17F105" w14:textId="77777777" w:rsidR="00F42A59" w:rsidRDefault="00F42A59" w:rsidP="00F42A59">
      <w:pPr>
        <w:pStyle w:val="Heading2"/>
      </w:pPr>
      <w:r>
        <w:t>Further information</w:t>
      </w:r>
    </w:p>
    <w:p w14:paraId="24692B35" w14:textId="61BCDA0A" w:rsidR="00212B7D" w:rsidRDefault="00212B7D" w:rsidP="00F42A59">
      <w:pPr>
        <w:pStyle w:val="Paragraph"/>
      </w:pPr>
      <w:r>
        <w:t xml:space="preserve">If used in practice, consideration should be given </w:t>
      </w:r>
      <w:r w:rsidRPr="00212B7D">
        <w:t>during the early periods of implementation</w:t>
      </w:r>
      <w:r>
        <w:t xml:space="preserve"> to the potential </w:t>
      </w:r>
      <w:r w:rsidRPr="00212B7D">
        <w:t>increased workload for practices to recall patients with historical high cholesterol readings and increased referral</w:t>
      </w:r>
      <w:r>
        <w:t>s</w:t>
      </w:r>
      <w:r w:rsidRPr="00212B7D">
        <w:t xml:space="preserve"> to specialist services. </w:t>
      </w:r>
    </w:p>
    <w:p w14:paraId="18A081BE" w14:textId="0D58D828" w:rsidR="00F42A59" w:rsidRDefault="00F42A59" w:rsidP="00F42A59">
      <w:pPr>
        <w:pStyle w:val="Paragraph"/>
      </w:pPr>
      <w:r>
        <w:t xml:space="preserve">This is NICE indicator guidance, which is part of the </w:t>
      </w:r>
      <w:hyperlink r:id="rId9" w:history="1">
        <w:r w:rsidRPr="00F42A59">
          <w:rPr>
            <w:rStyle w:val="Hyperlink"/>
          </w:rPr>
          <w:t>NICE menu of indicators</w:t>
        </w:r>
      </w:hyperlink>
      <w:r>
        <w:t>. This document does not represent formal NICE guidance.</w:t>
      </w:r>
    </w:p>
    <w:p w14:paraId="1E17208B" w14:textId="4BC8B9A2" w:rsidR="00DE6DA8" w:rsidRPr="00F42A59" w:rsidRDefault="00DE6DA8" w:rsidP="00F42A59">
      <w:pPr>
        <w:pStyle w:val="Paragraph"/>
      </w:pPr>
      <w:r w:rsidRPr="00DE6DA8">
        <w:t xml:space="preserve">© NICE </w:t>
      </w:r>
      <w:r w:rsidR="00157F17">
        <w:rPr>
          <w:rStyle w:val="NICEnormalChar"/>
        </w:rPr>
        <w:t>2023</w:t>
      </w:r>
      <w:r w:rsidRPr="00DE6DA8">
        <w:t xml:space="preserve">. All rights reserved. Subject to </w:t>
      </w:r>
      <w:hyperlink r:id="rId10" w:anchor="notice-of-rights" w:history="1">
        <w:r w:rsidRPr="00DE6DA8">
          <w:rPr>
            <w:rStyle w:val="Hyperlink"/>
          </w:rPr>
          <w:t>Notice of rights</w:t>
        </w:r>
      </w:hyperlink>
      <w:r w:rsidRPr="00DE6DA8">
        <w:t>.</w:t>
      </w:r>
    </w:p>
    <w:sectPr w:rsidR="00DE6DA8" w:rsidRPr="00F42A59" w:rsidSect="008F6FB7">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98A3" w14:textId="77777777" w:rsidR="00F42A59" w:rsidRDefault="00F42A59" w:rsidP="00446BEE">
      <w:r>
        <w:separator/>
      </w:r>
    </w:p>
  </w:endnote>
  <w:endnote w:type="continuationSeparator" w:id="0">
    <w:p w14:paraId="0EF48709" w14:textId="77777777" w:rsidR="00F42A59" w:rsidRDefault="00F42A5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16C" w14:textId="78FF6E59" w:rsidR="00446BEE" w:rsidRDefault="00157F17" w:rsidP="00446BEE">
    <w:pPr>
      <w:pStyle w:val="Footer"/>
    </w:pPr>
    <w:r w:rsidRPr="00157F17">
      <w:t>NM244 indicator guidance</w:t>
    </w:r>
    <w:r w:rsidR="00AD2F66">
      <w:tab/>
    </w:r>
    <w:r w:rsidR="00446BEE">
      <w:tab/>
    </w:r>
    <w:r w:rsidR="0024621B">
      <w:t xml:space="preserve">Page </w:t>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0440F1">
      <w:fldChar w:fldCharType="begin"/>
    </w:r>
    <w:r w:rsidR="000440F1">
      <w:instrText xml:space="preserve"> NUMPAGES  </w:instrText>
    </w:r>
    <w:r w:rsidR="000440F1">
      <w:fldChar w:fldCharType="separate"/>
    </w:r>
    <w:r w:rsidR="00FA2C5A">
      <w:rPr>
        <w:noProof/>
      </w:rPr>
      <w:t>1</w:t>
    </w:r>
    <w:r w:rsidR="000440F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1AA11F" w14:textId="4255D5D1" w:rsidR="008E7826" w:rsidRDefault="00157F17" w:rsidP="008E7826">
            <w:pPr>
              <w:pStyle w:val="Footer"/>
            </w:pPr>
            <w:r>
              <w:t xml:space="preserve">NM244 indicator guidance </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0440F1">
              <w:fldChar w:fldCharType="begin"/>
            </w:r>
            <w:r w:rsidR="000440F1">
              <w:instrText xml:space="preserve"> NUMPAGES  </w:instrText>
            </w:r>
            <w:r w:rsidR="000440F1">
              <w:fldChar w:fldCharType="separate"/>
            </w:r>
            <w:r w:rsidR="008E7826" w:rsidRPr="008E7826">
              <w:rPr>
                <w:noProof/>
              </w:rPr>
              <w:t>2</w:t>
            </w:r>
            <w:r w:rsidR="000440F1">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2005" w14:textId="77777777" w:rsidR="00F42A59" w:rsidRDefault="00F42A59" w:rsidP="00446BEE">
      <w:r>
        <w:separator/>
      </w:r>
    </w:p>
  </w:footnote>
  <w:footnote w:type="continuationSeparator" w:id="0">
    <w:p w14:paraId="14C2B5C6" w14:textId="77777777" w:rsidR="00F42A59" w:rsidRDefault="00F42A5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BA1" w14:textId="77777777" w:rsidR="008F6FB7" w:rsidRDefault="008F6FB7">
    <w:pPr>
      <w:pStyle w:val="Header"/>
    </w:pPr>
    <w:r>
      <w:rPr>
        <w:noProof/>
      </w:rPr>
      <w:drawing>
        <wp:inline distT="0" distB="0" distL="0" distR="0" wp14:anchorId="1E8C375A" wp14:editId="58CFBD57">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9"/>
    <w:rsid w:val="000053F8"/>
    <w:rsid w:val="00023F36"/>
    <w:rsid w:val="00024D0A"/>
    <w:rsid w:val="000440F1"/>
    <w:rsid w:val="00046E10"/>
    <w:rsid w:val="00065197"/>
    <w:rsid w:val="00070065"/>
    <w:rsid w:val="00072060"/>
    <w:rsid w:val="000770C1"/>
    <w:rsid w:val="000A4FEE"/>
    <w:rsid w:val="000B5939"/>
    <w:rsid w:val="00113116"/>
    <w:rsid w:val="001134E7"/>
    <w:rsid w:val="001336FF"/>
    <w:rsid w:val="00136206"/>
    <w:rsid w:val="0014535F"/>
    <w:rsid w:val="00157BBE"/>
    <w:rsid w:val="00157F17"/>
    <w:rsid w:val="0017169E"/>
    <w:rsid w:val="001A6635"/>
    <w:rsid w:val="001B0EE9"/>
    <w:rsid w:val="001B65B3"/>
    <w:rsid w:val="001E60D6"/>
    <w:rsid w:val="002124D5"/>
    <w:rsid w:val="00212B7D"/>
    <w:rsid w:val="002408EA"/>
    <w:rsid w:val="0024564B"/>
    <w:rsid w:val="0024621B"/>
    <w:rsid w:val="0025603E"/>
    <w:rsid w:val="00262F98"/>
    <w:rsid w:val="00267A3F"/>
    <w:rsid w:val="002819D7"/>
    <w:rsid w:val="002C1A7E"/>
    <w:rsid w:val="002D3376"/>
    <w:rsid w:val="00311AFD"/>
    <w:rsid w:val="00311ED0"/>
    <w:rsid w:val="00316CC1"/>
    <w:rsid w:val="00344DDB"/>
    <w:rsid w:val="0036360F"/>
    <w:rsid w:val="003648C5"/>
    <w:rsid w:val="003722FA"/>
    <w:rsid w:val="003C7AAF"/>
    <w:rsid w:val="003D39FF"/>
    <w:rsid w:val="003F0A04"/>
    <w:rsid w:val="003F1C1C"/>
    <w:rsid w:val="004075B6"/>
    <w:rsid w:val="00420952"/>
    <w:rsid w:val="00446BEE"/>
    <w:rsid w:val="004477B9"/>
    <w:rsid w:val="004C2B1E"/>
    <w:rsid w:val="004C517C"/>
    <w:rsid w:val="004F1728"/>
    <w:rsid w:val="005025A1"/>
    <w:rsid w:val="0050314F"/>
    <w:rsid w:val="00524C51"/>
    <w:rsid w:val="00546EFB"/>
    <w:rsid w:val="00580D59"/>
    <w:rsid w:val="00594C3A"/>
    <w:rsid w:val="005A02D5"/>
    <w:rsid w:val="005D52D0"/>
    <w:rsid w:val="005F2FE6"/>
    <w:rsid w:val="005F3118"/>
    <w:rsid w:val="00624140"/>
    <w:rsid w:val="0062482B"/>
    <w:rsid w:val="006709A9"/>
    <w:rsid w:val="006802A7"/>
    <w:rsid w:val="006921E1"/>
    <w:rsid w:val="00696B55"/>
    <w:rsid w:val="00696C0A"/>
    <w:rsid w:val="006A28FB"/>
    <w:rsid w:val="006A6A07"/>
    <w:rsid w:val="006D09CC"/>
    <w:rsid w:val="00732144"/>
    <w:rsid w:val="00736348"/>
    <w:rsid w:val="00742BC5"/>
    <w:rsid w:val="007545FB"/>
    <w:rsid w:val="00766346"/>
    <w:rsid w:val="0077376B"/>
    <w:rsid w:val="00781C41"/>
    <w:rsid w:val="00833D8A"/>
    <w:rsid w:val="00837DE2"/>
    <w:rsid w:val="0084747C"/>
    <w:rsid w:val="00861B92"/>
    <w:rsid w:val="008746C4"/>
    <w:rsid w:val="008814FB"/>
    <w:rsid w:val="008A41BF"/>
    <w:rsid w:val="008D16F1"/>
    <w:rsid w:val="008E7826"/>
    <w:rsid w:val="008F5E30"/>
    <w:rsid w:val="008F6FB7"/>
    <w:rsid w:val="00914D7F"/>
    <w:rsid w:val="0097305A"/>
    <w:rsid w:val="00974C49"/>
    <w:rsid w:val="00976037"/>
    <w:rsid w:val="009C727F"/>
    <w:rsid w:val="009D72BD"/>
    <w:rsid w:val="009E4F14"/>
    <w:rsid w:val="009E680B"/>
    <w:rsid w:val="00A15A1F"/>
    <w:rsid w:val="00A3325A"/>
    <w:rsid w:val="00A43013"/>
    <w:rsid w:val="00A93810"/>
    <w:rsid w:val="00A94981"/>
    <w:rsid w:val="00AD2F66"/>
    <w:rsid w:val="00AF108A"/>
    <w:rsid w:val="00AF10CC"/>
    <w:rsid w:val="00B02E55"/>
    <w:rsid w:val="00B036C1"/>
    <w:rsid w:val="00B04218"/>
    <w:rsid w:val="00B5431F"/>
    <w:rsid w:val="00B55D0E"/>
    <w:rsid w:val="00B65A11"/>
    <w:rsid w:val="00B77AD1"/>
    <w:rsid w:val="00B809C4"/>
    <w:rsid w:val="00BC184B"/>
    <w:rsid w:val="00BF7FE0"/>
    <w:rsid w:val="00C36044"/>
    <w:rsid w:val="00C569D6"/>
    <w:rsid w:val="00C57670"/>
    <w:rsid w:val="00C77C66"/>
    <w:rsid w:val="00C85682"/>
    <w:rsid w:val="00C87496"/>
    <w:rsid w:val="00C96411"/>
    <w:rsid w:val="00CB2369"/>
    <w:rsid w:val="00CF2E5C"/>
    <w:rsid w:val="00CF3046"/>
    <w:rsid w:val="00CF58B7"/>
    <w:rsid w:val="00D02A8F"/>
    <w:rsid w:val="00D1699D"/>
    <w:rsid w:val="00D351C1"/>
    <w:rsid w:val="00D35EFB"/>
    <w:rsid w:val="00D47D55"/>
    <w:rsid w:val="00D504B3"/>
    <w:rsid w:val="00D86BF0"/>
    <w:rsid w:val="00DB7EAE"/>
    <w:rsid w:val="00DE6DA8"/>
    <w:rsid w:val="00E012B3"/>
    <w:rsid w:val="00E03D9A"/>
    <w:rsid w:val="00E04241"/>
    <w:rsid w:val="00E51079"/>
    <w:rsid w:val="00E51920"/>
    <w:rsid w:val="00E64120"/>
    <w:rsid w:val="00E660A1"/>
    <w:rsid w:val="00E72AE9"/>
    <w:rsid w:val="00E851C4"/>
    <w:rsid w:val="00EB096F"/>
    <w:rsid w:val="00EE14CB"/>
    <w:rsid w:val="00EE6600"/>
    <w:rsid w:val="00EE6F42"/>
    <w:rsid w:val="00F055F1"/>
    <w:rsid w:val="00F325D9"/>
    <w:rsid w:val="00F42A59"/>
    <w:rsid w:val="00F610AF"/>
    <w:rsid w:val="00FA1D7C"/>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2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F42A59"/>
    <w:rPr>
      <w:color w:val="605E5C"/>
      <w:shd w:val="clear" w:color="auto" w:fill="E1DFDD"/>
    </w:rPr>
  </w:style>
  <w:style w:type="character" w:styleId="FollowedHyperlink">
    <w:name w:val="FollowedHyperlink"/>
    <w:basedOn w:val="DefaultParagraphFont"/>
    <w:semiHidden/>
    <w:rsid w:val="00DE6DA8"/>
    <w:rPr>
      <w:color w:val="00436C" w:themeColor="followedHyperlink"/>
      <w:u w:val="single"/>
    </w:rPr>
  </w:style>
  <w:style w:type="paragraph" w:styleId="Revision">
    <w:name w:val="Revision"/>
    <w:hidden/>
    <w:uiPriority w:val="99"/>
    <w:semiHidden/>
    <w:rsid w:val="00EE6F42"/>
    <w:rPr>
      <w:sz w:val="24"/>
      <w:szCs w:val="24"/>
    </w:rPr>
  </w:style>
  <w:style w:type="paragraph" w:customStyle="1" w:styleId="NICEnormal">
    <w:name w:val="NICE normal"/>
    <w:link w:val="NICEnormalChar"/>
    <w:qFormat/>
    <w:rsid w:val="00065197"/>
    <w:pPr>
      <w:spacing w:after="240" w:line="360" w:lineRule="auto"/>
    </w:pPr>
    <w:rPr>
      <w:rFonts w:ascii="Arial" w:hAnsi="Arial"/>
      <w:sz w:val="24"/>
      <w:szCs w:val="24"/>
      <w:lang w:eastAsia="en-US"/>
    </w:rPr>
  </w:style>
  <w:style w:type="character" w:customStyle="1" w:styleId="NICEnormalChar">
    <w:name w:val="NICE normal Char"/>
    <w:link w:val="NICEnormal"/>
    <w:rsid w:val="0006519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mi-network-contract-des/2022-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ice.org.uk/guidance/cg7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3973</Characters>
  <Application>Microsoft Office Word</Application>
  <DocSecurity>0</DocSecurity>
  <Lines>33</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2023-08-19T11:14:00Z</dcterms:created>
  <dcterms:modified xsi:type="dcterms:W3CDTF">2023-08-19T11:14:00Z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2023-08-19T11:14:33Z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01d7bd7c-58fd-4370-9475-8e2df5a25064</vt:lpwstr>
  </property>
  <property fmtid="{D5CDD505-2E9C-101B-9397-08002B2CF9AE}" pid="8" name="MSIP_Label_c69d85d5-6d9e-4305-a294-1f636ec0f2d6_ContentBits">
    <vt:lpwstr>0</vt:lpwstr>
  </property>
</Properties>
</file>