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085D4B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</w:t>
      </w:r>
      <w:r w:rsidR="009B0EFA">
        <w:rPr>
          <w:rFonts w:ascii="Arial" w:hAnsi="Arial" w:cs="Arial"/>
          <w:b/>
          <w:bCs/>
          <w:kern w:val="28"/>
          <w:sz w:val="32"/>
          <w:szCs w:val="32"/>
        </w:rPr>
        <w:t>GUIDANCE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332058B6" w14:textId="0B3F346B" w:rsidR="0092621A" w:rsidRPr="0092621A" w:rsidRDefault="009250C3" w:rsidP="0092621A">
      <w:pPr>
        <w:spacing w:before="240" w:after="240"/>
        <w:jc w:val="center"/>
        <w:outlineLvl w:val="0"/>
        <w:rPr>
          <w:rFonts w:ascii="Arial" w:hAnsi="Arial"/>
          <w:b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</w:t>
      </w:r>
      <w:r w:rsidR="0092621A">
        <w:rPr>
          <w:rFonts w:ascii="Arial" w:hAnsi="Arial"/>
          <w:b/>
          <w:kern w:val="28"/>
          <w:sz w:val="32"/>
          <w:szCs w:val="32"/>
          <w:lang w:eastAsia="x-none"/>
        </w:rPr>
        <w:t>44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30DD6610" w:rsidR="000A17BD" w:rsidRDefault="000A17BD" w:rsidP="000A17BD">
      <w:pPr>
        <w:pStyle w:val="NICEnormalsinglespacing"/>
      </w:pPr>
      <w:r w:rsidRPr="009B0EFA">
        <w:rPr>
          <w:b/>
          <w:bCs/>
        </w:rPr>
        <w:t>Date</w:t>
      </w:r>
      <w:r w:rsidR="009B0EFA" w:rsidRPr="009B0EFA">
        <w:rPr>
          <w:b/>
          <w:bCs/>
        </w:rPr>
        <w:t xml:space="preserve"> first published on NICE menu</w:t>
      </w:r>
      <w:r w:rsidRPr="009B0EFA">
        <w:rPr>
          <w:b/>
        </w:rPr>
        <w:t>:</w:t>
      </w:r>
      <w:r w:rsidR="009250C3" w:rsidRPr="009B0EFA">
        <w:rPr>
          <w:b/>
        </w:rPr>
        <w:t xml:space="preserve"> </w:t>
      </w:r>
      <w:r w:rsidR="007F68CD">
        <w:t>August 202</w:t>
      </w:r>
      <w:r w:rsidR="00744AC1">
        <w:t>3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23F442AD" w14:textId="24A16AAE" w:rsidR="00744AC1" w:rsidRPr="00744AC1" w:rsidRDefault="00BF55E5" w:rsidP="00744AC1">
      <w:pPr>
        <w:pStyle w:val="Paragraphnonumbers"/>
        <w:spacing w:after="120" w:line="360" w:lineRule="auto"/>
        <w:rPr>
          <w:lang w:val="en-US"/>
        </w:rPr>
      </w:pPr>
      <w:r w:rsidRPr="005F3099">
        <w:rPr>
          <w:b/>
          <w:bCs/>
          <w:lang w:val="en-US"/>
        </w:rPr>
        <w:t>NM2</w:t>
      </w:r>
      <w:r w:rsidR="00744AC1">
        <w:rPr>
          <w:b/>
          <w:bCs/>
          <w:lang w:val="en-US"/>
        </w:rPr>
        <w:t>44</w:t>
      </w:r>
      <w:r w:rsidRPr="005F3099">
        <w:rPr>
          <w:b/>
          <w:bCs/>
          <w:lang w:val="en-US"/>
        </w:rPr>
        <w:t>.</w:t>
      </w:r>
      <w:r w:rsidR="007F68CD">
        <w:rPr>
          <w:lang w:val="en-US"/>
        </w:rPr>
        <w:t xml:space="preserve"> </w:t>
      </w:r>
      <w:r w:rsidR="00744AC1" w:rsidRPr="00744AC1">
        <w:rPr>
          <w:lang w:val="en-US"/>
        </w:rPr>
        <w:t>The percentage of patients with a total cholesterol reading greater than 7.5 when aged 29 years or under, or greater than 9.0 when aged 30 years or over, who have been:</w:t>
      </w:r>
    </w:p>
    <w:p w14:paraId="6CAEB838" w14:textId="77777777" w:rsidR="00744AC1" w:rsidRPr="00744AC1" w:rsidRDefault="00744AC1" w:rsidP="00744AC1">
      <w:pPr>
        <w:pStyle w:val="Paragraphnonumbers"/>
        <w:spacing w:before="0" w:line="240" w:lineRule="auto"/>
        <w:rPr>
          <w:lang w:val="en-US"/>
        </w:rPr>
      </w:pPr>
      <w:r w:rsidRPr="00744AC1">
        <w:rPr>
          <w:lang w:val="en-US"/>
        </w:rPr>
        <w:t>•</w:t>
      </w:r>
      <w:r w:rsidRPr="00744AC1">
        <w:rPr>
          <w:lang w:val="en-US"/>
        </w:rPr>
        <w:tab/>
        <w:t>diagnosed with secondary hyperlipidaemia or</w:t>
      </w:r>
    </w:p>
    <w:p w14:paraId="05DE203A" w14:textId="77777777" w:rsidR="00744AC1" w:rsidRPr="00744AC1" w:rsidRDefault="00744AC1" w:rsidP="00744AC1">
      <w:pPr>
        <w:pStyle w:val="Paragraphnonumbers"/>
        <w:spacing w:before="0" w:line="240" w:lineRule="auto"/>
        <w:rPr>
          <w:lang w:val="en-US"/>
        </w:rPr>
      </w:pPr>
      <w:r w:rsidRPr="00744AC1">
        <w:rPr>
          <w:lang w:val="en-US"/>
        </w:rPr>
        <w:t>•</w:t>
      </w:r>
      <w:r w:rsidRPr="00744AC1">
        <w:rPr>
          <w:lang w:val="en-US"/>
        </w:rPr>
        <w:tab/>
        <w:t>clinically assessed for familial hypercholesterolaemia or</w:t>
      </w:r>
    </w:p>
    <w:p w14:paraId="3587097E" w14:textId="77777777" w:rsidR="00744AC1" w:rsidRPr="00744AC1" w:rsidRDefault="00744AC1" w:rsidP="00744AC1">
      <w:pPr>
        <w:pStyle w:val="Paragraphnonumbers"/>
        <w:spacing w:before="0" w:line="240" w:lineRule="auto"/>
        <w:rPr>
          <w:lang w:val="en-US"/>
        </w:rPr>
      </w:pPr>
      <w:r w:rsidRPr="00744AC1">
        <w:rPr>
          <w:lang w:val="en-US"/>
        </w:rPr>
        <w:t>•</w:t>
      </w:r>
      <w:r w:rsidRPr="00744AC1">
        <w:rPr>
          <w:lang w:val="en-US"/>
        </w:rPr>
        <w:tab/>
        <w:t>referred for assessment for familial hypercholesterolaemia or</w:t>
      </w:r>
    </w:p>
    <w:p w14:paraId="1061DC8B" w14:textId="1883F800" w:rsidR="00BF55E5" w:rsidRDefault="00744AC1" w:rsidP="0092621A">
      <w:pPr>
        <w:pStyle w:val="Paragraphnonumbers"/>
        <w:spacing w:before="0" w:line="360" w:lineRule="auto"/>
        <w:rPr>
          <w:lang w:val="en-US"/>
        </w:rPr>
      </w:pPr>
      <w:r w:rsidRPr="00744AC1">
        <w:rPr>
          <w:lang w:val="en-US"/>
        </w:rPr>
        <w:t>•</w:t>
      </w:r>
      <w:r w:rsidRPr="00744AC1">
        <w:rPr>
          <w:lang w:val="en-US"/>
        </w:rPr>
        <w:tab/>
        <w:t>genetically diagnosed with familial hypercholesterolaemia.</w:t>
      </w:r>
    </w:p>
    <w:p w14:paraId="0B0B1079" w14:textId="0CDF1EED" w:rsidR="000F739F" w:rsidRPr="00A82AF0" w:rsidRDefault="00EE4FD8" w:rsidP="00C9179E">
      <w:pPr>
        <w:pStyle w:val="Heading1"/>
        <w:spacing w:after="240"/>
      </w:pPr>
      <w:r>
        <w:rPr>
          <w:lang w:val="en-US"/>
        </w:rPr>
        <w:t>R</w:t>
      </w:r>
      <w:r w:rsidR="000F739F" w:rsidRPr="00A82AF0">
        <w:t>esource impact</w:t>
      </w:r>
    </w:p>
    <w:p w14:paraId="4AF96E77" w14:textId="4233C7B9" w:rsidR="007F68CD" w:rsidRPr="00D92D18" w:rsidRDefault="00D92D18" w:rsidP="00C9179E">
      <w:pPr>
        <w:pStyle w:val="NICEnormal"/>
        <w:rPr>
          <w:highlight w:val="yellow"/>
          <w:lang w:eastAsia="x-none"/>
        </w:rPr>
      </w:pPr>
      <w:r w:rsidRPr="00D92D18">
        <w:rPr>
          <w:rStyle w:val="Hyperlink"/>
          <w:color w:val="auto"/>
          <w:u w:val="none"/>
          <w:lang w:val="en-GB"/>
        </w:rPr>
        <w:t>D</w:t>
      </w:r>
      <w:r w:rsidR="00744AC1" w:rsidRPr="00D92D18">
        <w:rPr>
          <w:rStyle w:val="Hyperlink"/>
          <w:color w:val="auto"/>
          <w:u w:val="none"/>
          <w:lang w:val="en-GB"/>
        </w:rPr>
        <w:t xml:space="preserve">ata </w:t>
      </w:r>
      <w:r w:rsidRPr="00D92D18">
        <w:rPr>
          <w:rFonts w:cs="Arial"/>
          <w:color w:val="000000"/>
          <w:kern w:val="24"/>
        </w:rPr>
        <w:t>for March 2023 (</w:t>
      </w:r>
      <w:hyperlink r:id="rId7" w:history="1">
        <w:r w:rsidRPr="00D92D18">
          <w:rPr>
            <w:rStyle w:val="Hyperlink"/>
            <w:rFonts w:cs="Arial"/>
            <w:kern w:val="24"/>
          </w:rPr>
          <w:t>IIF CVD-04 data</w:t>
        </w:r>
      </w:hyperlink>
      <w:r w:rsidRPr="00D92D18">
        <w:rPr>
          <w:rStyle w:val="Hyperlink"/>
          <w:rFonts w:cs="Arial"/>
          <w:kern w:val="24"/>
        </w:rPr>
        <w:t>)</w:t>
      </w:r>
      <w:r w:rsidRPr="00D92D18">
        <w:rPr>
          <w:rFonts w:cs="Arial"/>
          <w:color w:val="000000"/>
          <w:kern w:val="24"/>
        </w:rPr>
        <w:t xml:space="preserve"> show that 0.6% of people in England had cholesterol levels in the at-risk range for familial hypercholesterolemia</w:t>
      </w:r>
      <w:r w:rsidR="007F3DB3">
        <w:rPr>
          <w:rFonts w:cs="Arial"/>
          <w:color w:val="000000"/>
          <w:kern w:val="24"/>
        </w:rPr>
        <w:t xml:space="preserve"> (FH)</w:t>
      </w:r>
      <w:r>
        <w:rPr>
          <w:rFonts w:cs="Arial"/>
          <w:color w:val="000000"/>
          <w:kern w:val="24"/>
        </w:rPr>
        <w:t>. This sug</w:t>
      </w:r>
      <w:r w:rsidR="00744AC1" w:rsidRPr="00D92D18">
        <w:rPr>
          <w:rStyle w:val="Hyperlink"/>
          <w:color w:val="auto"/>
          <w:u w:val="none"/>
          <w:lang w:val="en-GB"/>
        </w:rPr>
        <w:t>gests approximately 62 patients in an average practice with 10,000 patients would have a cholesterol reading in the at-risk range.</w:t>
      </w:r>
    </w:p>
    <w:p w14:paraId="55F7EFD5" w14:textId="60D51601" w:rsidR="00911F9D" w:rsidRPr="00911F9D" w:rsidRDefault="008A4598" w:rsidP="00F75A20">
      <w:pPr>
        <w:pStyle w:val="NICEnormal"/>
        <w:rPr>
          <w:lang w:val="en-GB"/>
        </w:rPr>
      </w:pPr>
      <w:hyperlink r:id="rId8" w:history="1">
        <w:r w:rsidR="00911F9D" w:rsidRPr="00911F9D">
          <w:rPr>
            <w:rStyle w:val="Hyperlink"/>
            <w:lang w:val="en-GB"/>
          </w:rPr>
          <w:t>March 2023 Network contract directed enhanced service data</w:t>
        </w:r>
      </w:hyperlink>
      <w:r w:rsidR="00911F9D" w:rsidRPr="00911F9D">
        <w:rPr>
          <w:lang w:val="en-GB"/>
        </w:rPr>
        <w:t xml:space="preserve"> show that</w:t>
      </w:r>
      <w:r w:rsidR="00911F9D">
        <w:rPr>
          <w:lang w:val="en-GB"/>
        </w:rPr>
        <w:t xml:space="preserve"> </w:t>
      </w:r>
      <w:r w:rsidR="00911F9D" w:rsidRPr="00911F9D">
        <w:rPr>
          <w:lang w:val="en-GB"/>
        </w:rPr>
        <w:t xml:space="preserve">31% of people with cholesterol levels in the at-risk range for FH </w:t>
      </w:r>
      <w:bookmarkStart w:id="0" w:name="_Hlk141104441"/>
      <w:r w:rsidR="00911F9D" w:rsidRPr="00911F9D">
        <w:rPr>
          <w:lang w:val="en-GB"/>
        </w:rPr>
        <w:t>have a subsequent record of assessment, referral or diagnosis</w:t>
      </w:r>
      <w:bookmarkEnd w:id="0"/>
      <w:r w:rsidR="00911F9D" w:rsidRPr="00911F9D">
        <w:rPr>
          <w:lang w:val="en-GB"/>
        </w:rPr>
        <w:t>.</w:t>
      </w:r>
      <w:r w:rsidR="00911F9D">
        <w:rPr>
          <w:lang w:val="en-GB"/>
        </w:rPr>
        <w:t xml:space="preserve"> This is equivalent to 19 people in</w:t>
      </w:r>
      <w:r w:rsidR="00911F9D" w:rsidRPr="00911F9D">
        <w:t xml:space="preserve"> </w:t>
      </w:r>
      <w:r w:rsidR="00911F9D" w:rsidRPr="00911F9D">
        <w:rPr>
          <w:lang w:val="en-GB"/>
        </w:rPr>
        <w:t>an average practice with 10,000 patients</w:t>
      </w:r>
      <w:r w:rsidR="00911F9D">
        <w:rPr>
          <w:lang w:val="en-GB"/>
        </w:rPr>
        <w:t>.</w:t>
      </w:r>
    </w:p>
    <w:p w14:paraId="68269A24" w14:textId="0F9F4E6A" w:rsidR="000412A3" w:rsidRDefault="00692902" w:rsidP="00F75A20">
      <w:pPr>
        <w:pStyle w:val="NICEnormal"/>
        <w:rPr>
          <w:lang w:val="en-GB"/>
        </w:rPr>
      </w:pPr>
      <w:r w:rsidRPr="00744AC1">
        <w:rPr>
          <w:lang w:val="en-GB"/>
        </w:rPr>
        <w:t>It is estimated</w:t>
      </w:r>
      <w:r w:rsidR="002A6807" w:rsidRPr="00744AC1">
        <w:rPr>
          <w:lang w:val="en-GB"/>
        </w:rPr>
        <w:t xml:space="preserve"> that</w:t>
      </w:r>
      <w:r w:rsidRPr="00744AC1">
        <w:rPr>
          <w:lang w:val="en-GB"/>
        </w:rPr>
        <w:t xml:space="preserve"> for every 10% increase in the </w:t>
      </w:r>
      <w:r w:rsidR="00911F9D">
        <w:rPr>
          <w:lang w:val="en-GB"/>
        </w:rPr>
        <w:t>proportion</w:t>
      </w:r>
      <w:r w:rsidRPr="00744AC1">
        <w:rPr>
          <w:lang w:val="en-GB"/>
        </w:rPr>
        <w:t xml:space="preserve"> of people in this population who </w:t>
      </w:r>
      <w:r w:rsidR="00744AC1" w:rsidRPr="00744AC1">
        <w:rPr>
          <w:lang w:val="en-GB"/>
        </w:rPr>
        <w:t xml:space="preserve">are </w:t>
      </w:r>
      <w:r w:rsidR="00911F9D">
        <w:rPr>
          <w:lang w:val="en-GB"/>
        </w:rPr>
        <w:t xml:space="preserve">diagnosed, </w:t>
      </w:r>
      <w:r w:rsidR="00744AC1" w:rsidRPr="00744AC1">
        <w:rPr>
          <w:lang w:val="en-GB"/>
        </w:rPr>
        <w:t xml:space="preserve">clinically assessed for familial </w:t>
      </w:r>
      <w:r w:rsidR="00180BA5">
        <w:rPr>
          <w:lang w:val="en-GB"/>
        </w:rPr>
        <w:t>h</w:t>
      </w:r>
      <w:r w:rsidR="00744AC1" w:rsidRPr="00744AC1">
        <w:rPr>
          <w:lang w:val="en-GB"/>
        </w:rPr>
        <w:t xml:space="preserve">ypercholesterolaemia or referred for assessment for familial </w:t>
      </w:r>
      <w:r w:rsidR="00744AC1" w:rsidRPr="00744AC1">
        <w:rPr>
          <w:lang w:val="en-GB"/>
        </w:rPr>
        <w:lastRenderedPageBreak/>
        <w:t xml:space="preserve">hypercholesterolaemia, </w:t>
      </w:r>
      <w:r w:rsidRPr="00744AC1">
        <w:rPr>
          <w:lang w:val="en-GB"/>
        </w:rPr>
        <w:t xml:space="preserve">an additional 6 people per GP practice will have </w:t>
      </w:r>
      <w:r w:rsidR="00911F9D" w:rsidRPr="00911F9D">
        <w:rPr>
          <w:lang w:val="en-GB"/>
        </w:rPr>
        <w:t xml:space="preserve">a subsequent record of assessment, referral or diagnosis </w:t>
      </w:r>
      <w:r w:rsidRPr="00744AC1">
        <w:rPr>
          <w:lang w:val="en-GB"/>
        </w:rPr>
        <w:t>(see table 1).</w:t>
      </w:r>
    </w:p>
    <w:p w14:paraId="7403CEA5" w14:textId="4D7D676E" w:rsidR="00F75A20" w:rsidRDefault="00F75A20" w:rsidP="00F75A20">
      <w:pPr>
        <w:pStyle w:val="NICEnormal"/>
        <w:rPr>
          <w:rFonts w:cs="Arial"/>
          <w:b/>
          <w:sz w:val="22"/>
          <w:szCs w:val="22"/>
        </w:rPr>
      </w:pPr>
      <w:r w:rsidRPr="00744AC1">
        <w:rPr>
          <w:rFonts w:cs="Arial"/>
          <w:b/>
          <w:sz w:val="22"/>
          <w:szCs w:val="22"/>
        </w:rPr>
        <w:t xml:space="preserve">Table 1 Estimated impact on activity for a theoretical 1%, </w:t>
      </w:r>
      <w:r w:rsidR="00692902" w:rsidRPr="00744AC1">
        <w:rPr>
          <w:rFonts w:cs="Arial"/>
          <w:b/>
          <w:sz w:val="22"/>
          <w:szCs w:val="22"/>
        </w:rPr>
        <w:t>5</w:t>
      </w:r>
      <w:r w:rsidRPr="00744AC1">
        <w:rPr>
          <w:rFonts w:cs="Arial"/>
          <w:b/>
          <w:sz w:val="22"/>
          <w:szCs w:val="22"/>
        </w:rPr>
        <w:t xml:space="preserve">% and </w:t>
      </w:r>
      <w:r w:rsidR="00692902" w:rsidRPr="00744AC1">
        <w:rPr>
          <w:rFonts w:cs="Arial"/>
          <w:b/>
          <w:sz w:val="22"/>
          <w:szCs w:val="22"/>
        </w:rPr>
        <w:t>10</w:t>
      </w:r>
      <w:r w:rsidRPr="00744AC1">
        <w:rPr>
          <w:rFonts w:cs="Arial"/>
          <w:b/>
          <w:sz w:val="22"/>
          <w:szCs w:val="22"/>
        </w:rPr>
        <w:t xml:space="preserve">% increase in the </w:t>
      </w:r>
      <w:r w:rsidR="00692902" w:rsidRPr="00744AC1">
        <w:rPr>
          <w:rFonts w:cs="Arial"/>
          <w:b/>
          <w:sz w:val="22"/>
          <w:szCs w:val="22"/>
        </w:rPr>
        <w:t xml:space="preserve">proportion of </w:t>
      </w:r>
      <w:r w:rsidR="00911F9D">
        <w:rPr>
          <w:rFonts w:cs="Arial"/>
          <w:b/>
          <w:sz w:val="22"/>
          <w:szCs w:val="22"/>
        </w:rPr>
        <w:t xml:space="preserve">people </w:t>
      </w:r>
      <w:r w:rsidR="00911F9D" w:rsidRPr="00911F9D">
        <w:rPr>
          <w:rFonts w:cs="Arial"/>
          <w:b/>
          <w:sz w:val="22"/>
          <w:szCs w:val="22"/>
        </w:rPr>
        <w:t>with cholesterol levels in the at-risk range for FH with a subsequent record of assessment, referral or diagnosis</w:t>
      </w:r>
      <w:r w:rsidRPr="00744AC1">
        <w:rPr>
          <w:rFonts w:cs="Arial"/>
          <w:b/>
          <w:sz w:val="22"/>
          <w:szCs w:val="22"/>
        </w:rPr>
        <w:t>.</w:t>
      </w:r>
    </w:p>
    <w:p w14:paraId="648945C9" w14:textId="032228D4" w:rsidR="004B2134" w:rsidRDefault="004B2134" w:rsidP="00F75A20">
      <w:pPr>
        <w:pStyle w:val="NICEnormal"/>
        <w:rPr>
          <w:noProof/>
        </w:rPr>
      </w:pPr>
    </w:p>
    <w:p w14:paraId="18AA5C60" w14:textId="10622EA4" w:rsidR="00911F9D" w:rsidRDefault="00911F9D" w:rsidP="00F75A20">
      <w:pPr>
        <w:pStyle w:val="NICEnormal"/>
        <w:rPr>
          <w:noProof/>
        </w:rPr>
      </w:pPr>
      <w:r w:rsidRPr="00911F9D">
        <w:rPr>
          <w:noProof/>
        </w:rPr>
        <w:drawing>
          <wp:inline distT="0" distB="0" distL="0" distR="0" wp14:anchorId="19F2B668" wp14:editId="75B0D292">
            <wp:extent cx="5985514" cy="140017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23" cy="140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44FF" w14:textId="7CF5CFCA" w:rsidR="00F75A20" w:rsidRPr="00744AC1" w:rsidRDefault="00EE7143" w:rsidP="0087693D">
      <w:pPr>
        <w:pStyle w:val="NICEnormal"/>
        <w:spacing w:before="480"/>
        <w:rPr>
          <w:lang w:eastAsia="x-none"/>
        </w:rPr>
      </w:pPr>
      <w:r w:rsidRPr="00744AC1">
        <w:rPr>
          <w:lang w:eastAsia="x-none"/>
        </w:rPr>
        <w:t>This is based on 10,000 registered patients in a GP practice</w:t>
      </w:r>
      <w:r w:rsidR="002A6807" w:rsidRPr="00744AC1">
        <w:rPr>
          <w:lang w:eastAsia="x-none"/>
        </w:rPr>
        <w:t>.</w:t>
      </w:r>
      <w:r w:rsidR="00F75A20" w:rsidRPr="00744AC1">
        <w:rPr>
          <w:lang w:eastAsia="x-none"/>
        </w:rPr>
        <w:t xml:space="preserve"> </w:t>
      </w:r>
    </w:p>
    <w:p w14:paraId="0D497FC6" w14:textId="77777777" w:rsidR="003E5D6D" w:rsidRDefault="002C191C" w:rsidP="00C9179E">
      <w:pPr>
        <w:pStyle w:val="NICEnormal"/>
        <w:rPr>
          <w:lang w:eastAsia="x-none"/>
        </w:rPr>
      </w:pPr>
      <w:r w:rsidRPr="00744AC1">
        <w:rPr>
          <w:lang w:eastAsia="x-none"/>
        </w:rPr>
        <w:t>Due to the small numbers involved, t</w:t>
      </w:r>
      <w:r w:rsidR="009F2137" w:rsidRPr="00744AC1">
        <w:rPr>
          <w:lang w:eastAsia="x-none"/>
        </w:rPr>
        <w:t>he impact on general practice is anticipated to be minimal</w:t>
      </w:r>
      <w:r w:rsidR="00712F67">
        <w:rPr>
          <w:lang w:eastAsia="x-none"/>
        </w:rPr>
        <w:t xml:space="preserve">. There may be </w:t>
      </w:r>
      <w:r w:rsidR="006C0838">
        <w:rPr>
          <w:lang w:eastAsia="x-none"/>
        </w:rPr>
        <w:t>an</w:t>
      </w:r>
      <w:r w:rsidR="00712F67">
        <w:rPr>
          <w:lang w:eastAsia="x-none"/>
        </w:rPr>
        <w:t xml:space="preserve"> impact on secondary care as a result of some people with suspected FH</w:t>
      </w:r>
      <w:r w:rsidR="006C0838">
        <w:rPr>
          <w:lang w:eastAsia="x-none"/>
        </w:rPr>
        <w:t xml:space="preserve"> being referred for DNA testing and subsequent cascade testing for family members if a diagnosis is confirmed, but this is not expected to be significant at a national level</w:t>
      </w:r>
      <w:r w:rsidR="003E5D6D">
        <w:rPr>
          <w:lang w:eastAsia="x-none"/>
        </w:rPr>
        <w:t>.</w:t>
      </w:r>
    </w:p>
    <w:p w14:paraId="1E828034" w14:textId="732B4671" w:rsidR="003E5D6D" w:rsidRDefault="003E5D6D" w:rsidP="00C9179E">
      <w:pPr>
        <w:pStyle w:val="NICEnormal"/>
        <w:rPr>
          <w:lang w:eastAsia="x-none"/>
        </w:rPr>
      </w:pPr>
      <w:r>
        <w:rPr>
          <w:lang w:eastAsia="x-none"/>
        </w:rPr>
        <w:t xml:space="preserve">For every 6 additional </w:t>
      </w:r>
      <w:r w:rsidR="00B42ED3">
        <w:rPr>
          <w:lang w:eastAsia="x-none"/>
        </w:rPr>
        <w:t xml:space="preserve">people identified </w:t>
      </w:r>
      <w:r w:rsidR="003D046E">
        <w:rPr>
          <w:lang w:eastAsia="x-none"/>
        </w:rPr>
        <w:t xml:space="preserve">with </w:t>
      </w:r>
      <w:r w:rsidR="003D046E" w:rsidRPr="003D046E">
        <w:rPr>
          <w:lang w:eastAsia="x-none"/>
        </w:rPr>
        <w:t>a cholesterol reading in the at-risk range</w:t>
      </w:r>
      <w:r>
        <w:rPr>
          <w:lang w:eastAsia="x-none"/>
        </w:rPr>
        <w:t xml:space="preserve">, only around 1 </w:t>
      </w:r>
      <w:r w:rsidR="003D046E">
        <w:rPr>
          <w:lang w:eastAsia="x-none"/>
        </w:rPr>
        <w:t xml:space="preserve">person </w:t>
      </w:r>
      <w:r>
        <w:rPr>
          <w:lang w:eastAsia="x-none"/>
        </w:rPr>
        <w:t xml:space="preserve">would be expected to be referred to secondary care for DNA testing with </w:t>
      </w:r>
      <w:r w:rsidRPr="003E5D6D">
        <w:rPr>
          <w:lang w:eastAsia="x-none"/>
        </w:rPr>
        <w:t>subsequent cascade testing for family members if a diagnosis is confirmed</w:t>
      </w:r>
      <w:r>
        <w:rPr>
          <w:lang w:eastAsia="x-none"/>
        </w:rPr>
        <w:t>.</w:t>
      </w:r>
    </w:p>
    <w:p w14:paraId="03357327" w14:textId="0977C770" w:rsidR="00C9179E" w:rsidRDefault="006C0838" w:rsidP="00C9179E">
      <w:pPr>
        <w:pStyle w:val="NICEnormal"/>
        <w:rPr>
          <w:lang w:eastAsia="x-none"/>
        </w:rPr>
      </w:pPr>
      <w:r>
        <w:rPr>
          <w:lang w:eastAsia="x-none"/>
        </w:rPr>
        <w:t>Any costs associated with additional prescribing of lipid lowering therapies are also expected to be minimal</w:t>
      </w:r>
      <w:r w:rsidR="009F2137" w:rsidRPr="00744AC1">
        <w:rPr>
          <w:lang w:eastAsia="x-none"/>
        </w:rPr>
        <w:t>.</w:t>
      </w:r>
    </w:p>
    <w:p w14:paraId="7646D9ED" w14:textId="172362D2" w:rsidR="001472F2" w:rsidRDefault="001472F2" w:rsidP="00FD7079">
      <w:pPr>
        <w:pStyle w:val="NICEnormal"/>
        <w:rPr>
          <w:lang w:eastAsia="x-none"/>
        </w:rPr>
      </w:pPr>
    </w:p>
    <w:p w14:paraId="4392C05F" w14:textId="77777777" w:rsidR="001472F2" w:rsidRPr="00456790" w:rsidRDefault="001472F2" w:rsidP="00FD7079">
      <w:pPr>
        <w:pStyle w:val="NICEnormal"/>
        <w:rPr>
          <w:lang w:eastAsia="x-none"/>
        </w:rPr>
      </w:pPr>
    </w:p>
    <w:sectPr w:rsidR="001472F2" w:rsidRPr="0045679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B2A" w14:textId="694BD3B1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</w:t>
    </w:r>
    <w:r w:rsidR="00BF55E5">
      <w:rPr>
        <w:lang w:val="en-GB"/>
      </w:rPr>
      <w:t>2</w:t>
    </w:r>
    <w:r w:rsidR="0092621A">
      <w:rPr>
        <w:lang w:val="en-GB"/>
      </w:rPr>
      <w:t>44</w:t>
    </w:r>
    <w:r w:rsidR="00C23644">
      <w:rPr>
        <w:lang w:val="en-GB"/>
      </w:rPr>
      <w:t xml:space="preserve"> </w:t>
    </w:r>
    <w:r w:rsidR="00E921B6">
      <w:rPr>
        <w:lang w:val="en-GB"/>
      </w:rPr>
      <w:t>(</w:t>
    </w:r>
    <w:r w:rsidR="0040739C">
      <w:rPr>
        <w:lang w:val="en-GB"/>
      </w:rPr>
      <w:t>August 202</w:t>
    </w:r>
    <w:r w:rsidR="00F1659D">
      <w:rPr>
        <w:lang w:val="en-GB"/>
      </w:rPr>
      <w:t>3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0855">
    <w:abstractNumId w:val="16"/>
  </w:num>
  <w:num w:numId="2" w16cid:durableId="1403865460">
    <w:abstractNumId w:val="18"/>
  </w:num>
  <w:num w:numId="3" w16cid:durableId="817958812">
    <w:abstractNumId w:val="18"/>
    <w:lvlOverride w:ilvl="0">
      <w:startOverride w:val="1"/>
    </w:lvlOverride>
  </w:num>
  <w:num w:numId="4" w16cid:durableId="1284071809">
    <w:abstractNumId w:val="18"/>
    <w:lvlOverride w:ilvl="0">
      <w:startOverride w:val="1"/>
    </w:lvlOverride>
  </w:num>
  <w:num w:numId="5" w16cid:durableId="409472742">
    <w:abstractNumId w:val="18"/>
    <w:lvlOverride w:ilvl="0">
      <w:startOverride w:val="1"/>
    </w:lvlOverride>
  </w:num>
  <w:num w:numId="6" w16cid:durableId="415175104">
    <w:abstractNumId w:val="18"/>
    <w:lvlOverride w:ilvl="0">
      <w:startOverride w:val="1"/>
    </w:lvlOverride>
  </w:num>
  <w:num w:numId="7" w16cid:durableId="1555502767">
    <w:abstractNumId w:val="18"/>
    <w:lvlOverride w:ilvl="0">
      <w:startOverride w:val="1"/>
    </w:lvlOverride>
  </w:num>
  <w:num w:numId="8" w16cid:durableId="1376809358">
    <w:abstractNumId w:val="9"/>
  </w:num>
  <w:num w:numId="9" w16cid:durableId="2018922437">
    <w:abstractNumId w:val="7"/>
  </w:num>
  <w:num w:numId="10" w16cid:durableId="1078861982">
    <w:abstractNumId w:val="6"/>
  </w:num>
  <w:num w:numId="11" w16cid:durableId="1722048789">
    <w:abstractNumId w:val="5"/>
  </w:num>
  <w:num w:numId="12" w16cid:durableId="150948358">
    <w:abstractNumId w:val="4"/>
  </w:num>
  <w:num w:numId="13" w16cid:durableId="463498684">
    <w:abstractNumId w:val="8"/>
  </w:num>
  <w:num w:numId="14" w16cid:durableId="1144932926">
    <w:abstractNumId w:val="3"/>
  </w:num>
  <w:num w:numId="15" w16cid:durableId="693461429">
    <w:abstractNumId w:val="2"/>
  </w:num>
  <w:num w:numId="16" w16cid:durableId="1790658757">
    <w:abstractNumId w:val="1"/>
  </w:num>
  <w:num w:numId="17" w16cid:durableId="448083673">
    <w:abstractNumId w:val="0"/>
  </w:num>
  <w:num w:numId="18" w16cid:durableId="1289625158">
    <w:abstractNumId w:val="12"/>
  </w:num>
  <w:num w:numId="19" w16cid:durableId="2121797122">
    <w:abstractNumId w:val="12"/>
    <w:lvlOverride w:ilvl="0">
      <w:startOverride w:val="1"/>
    </w:lvlOverride>
  </w:num>
  <w:num w:numId="20" w16cid:durableId="1415667806">
    <w:abstractNumId w:val="15"/>
  </w:num>
  <w:num w:numId="21" w16cid:durableId="197662768">
    <w:abstractNumId w:val="17"/>
  </w:num>
  <w:num w:numId="22" w16cid:durableId="2082210505">
    <w:abstractNumId w:val="14"/>
  </w:num>
  <w:num w:numId="23" w16cid:durableId="950016073">
    <w:abstractNumId w:val="11"/>
  </w:num>
  <w:num w:numId="24" w16cid:durableId="669217629">
    <w:abstractNumId w:val="10"/>
  </w:num>
  <w:num w:numId="25" w16cid:durableId="1009600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12A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54C8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1A4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0BA5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7D33"/>
    <w:rsid w:val="001E41B5"/>
    <w:rsid w:val="001E6831"/>
    <w:rsid w:val="001F0E94"/>
    <w:rsid w:val="002014F3"/>
    <w:rsid w:val="00204AAF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807"/>
    <w:rsid w:val="002A69C4"/>
    <w:rsid w:val="002A7287"/>
    <w:rsid w:val="002B5942"/>
    <w:rsid w:val="002B7C6E"/>
    <w:rsid w:val="002C191C"/>
    <w:rsid w:val="002C1A7E"/>
    <w:rsid w:val="002C4FEA"/>
    <w:rsid w:val="002D4015"/>
    <w:rsid w:val="002D41AE"/>
    <w:rsid w:val="002E2124"/>
    <w:rsid w:val="002F2EEF"/>
    <w:rsid w:val="002F3B2A"/>
    <w:rsid w:val="002F63F9"/>
    <w:rsid w:val="00301C5A"/>
    <w:rsid w:val="00311ED0"/>
    <w:rsid w:val="00320CCD"/>
    <w:rsid w:val="00337200"/>
    <w:rsid w:val="00342E19"/>
    <w:rsid w:val="00345EA6"/>
    <w:rsid w:val="00350177"/>
    <w:rsid w:val="0035287E"/>
    <w:rsid w:val="00361DD0"/>
    <w:rsid w:val="003644E2"/>
    <w:rsid w:val="00365568"/>
    <w:rsid w:val="003666A7"/>
    <w:rsid w:val="00367204"/>
    <w:rsid w:val="00370E2E"/>
    <w:rsid w:val="003722FA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046E"/>
    <w:rsid w:val="003D66DD"/>
    <w:rsid w:val="003D67D8"/>
    <w:rsid w:val="003E12B1"/>
    <w:rsid w:val="003E4C4B"/>
    <w:rsid w:val="003E5D6D"/>
    <w:rsid w:val="003E6431"/>
    <w:rsid w:val="003F139D"/>
    <w:rsid w:val="003F251B"/>
    <w:rsid w:val="003F2B20"/>
    <w:rsid w:val="003F2EC0"/>
    <w:rsid w:val="003F3045"/>
    <w:rsid w:val="003F4B14"/>
    <w:rsid w:val="003F4D69"/>
    <w:rsid w:val="003F6059"/>
    <w:rsid w:val="004023ED"/>
    <w:rsid w:val="0040739C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B2134"/>
    <w:rsid w:val="004C4B1F"/>
    <w:rsid w:val="004D074D"/>
    <w:rsid w:val="004D2A46"/>
    <w:rsid w:val="004D7C5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58AC"/>
    <w:rsid w:val="00536D74"/>
    <w:rsid w:val="00537D7F"/>
    <w:rsid w:val="00545A0E"/>
    <w:rsid w:val="00545EF3"/>
    <w:rsid w:val="00546349"/>
    <w:rsid w:val="00550807"/>
    <w:rsid w:val="0056031A"/>
    <w:rsid w:val="00563C38"/>
    <w:rsid w:val="00564A5C"/>
    <w:rsid w:val="00567014"/>
    <w:rsid w:val="005745FF"/>
    <w:rsid w:val="00575C88"/>
    <w:rsid w:val="005779D6"/>
    <w:rsid w:val="005831C5"/>
    <w:rsid w:val="0058397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396A"/>
    <w:rsid w:val="005C473F"/>
    <w:rsid w:val="005D37A0"/>
    <w:rsid w:val="005D68DB"/>
    <w:rsid w:val="005E510A"/>
    <w:rsid w:val="005E6EE7"/>
    <w:rsid w:val="005F08BF"/>
    <w:rsid w:val="005F08C3"/>
    <w:rsid w:val="005F2E3A"/>
    <w:rsid w:val="005F3099"/>
    <w:rsid w:val="00602091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2902"/>
    <w:rsid w:val="0069343A"/>
    <w:rsid w:val="00695365"/>
    <w:rsid w:val="006958E8"/>
    <w:rsid w:val="006A089E"/>
    <w:rsid w:val="006A430C"/>
    <w:rsid w:val="006C0838"/>
    <w:rsid w:val="006C085D"/>
    <w:rsid w:val="006C2131"/>
    <w:rsid w:val="006C2DF2"/>
    <w:rsid w:val="006C313C"/>
    <w:rsid w:val="006C4A21"/>
    <w:rsid w:val="006C52D7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2F67"/>
    <w:rsid w:val="007138E2"/>
    <w:rsid w:val="007166E6"/>
    <w:rsid w:val="007179FB"/>
    <w:rsid w:val="00730B45"/>
    <w:rsid w:val="007331F0"/>
    <w:rsid w:val="00736348"/>
    <w:rsid w:val="007424F6"/>
    <w:rsid w:val="00743E13"/>
    <w:rsid w:val="00744AC1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F3089"/>
    <w:rsid w:val="007F3DB3"/>
    <w:rsid w:val="007F68CD"/>
    <w:rsid w:val="007F6986"/>
    <w:rsid w:val="00810387"/>
    <w:rsid w:val="00816592"/>
    <w:rsid w:val="00820A90"/>
    <w:rsid w:val="00821382"/>
    <w:rsid w:val="008221D5"/>
    <w:rsid w:val="008235AB"/>
    <w:rsid w:val="0082440E"/>
    <w:rsid w:val="008248D0"/>
    <w:rsid w:val="0082656A"/>
    <w:rsid w:val="008267E9"/>
    <w:rsid w:val="00827467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7693D"/>
    <w:rsid w:val="008810AA"/>
    <w:rsid w:val="0088372E"/>
    <w:rsid w:val="00884B4D"/>
    <w:rsid w:val="0089264B"/>
    <w:rsid w:val="008A4598"/>
    <w:rsid w:val="008A7318"/>
    <w:rsid w:val="008A7C87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8F2CE1"/>
    <w:rsid w:val="00904B10"/>
    <w:rsid w:val="0091152C"/>
    <w:rsid w:val="00911F9D"/>
    <w:rsid w:val="00912F72"/>
    <w:rsid w:val="00914443"/>
    <w:rsid w:val="0091742C"/>
    <w:rsid w:val="00917B43"/>
    <w:rsid w:val="0092142D"/>
    <w:rsid w:val="009250C3"/>
    <w:rsid w:val="009256AF"/>
    <w:rsid w:val="00925F15"/>
    <w:rsid w:val="0092621A"/>
    <w:rsid w:val="00940ACF"/>
    <w:rsid w:val="00947169"/>
    <w:rsid w:val="00954C5D"/>
    <w:rsid w:val="00956D27"/>
    <w:rsid w:val="00977798"/>
    <w:rsid w:val="0098451C"/>
    <w:rsid w:val="009931D4"/>
    <w:rsid w:val="00996746"/>
    <w:rsid w:val="009A0066"/>
    <w:rsid w:val="009B0EFA"/>
    <w:rsid w:val="009B5502"/>
    <w:rsid w:val="009B683B"/>
    <w:rsid w:val="009C6386"/>
    <w:rsid w:val="009D27F9"/>
    <w:rsid w:val="009E680B"/>
    <w:rsid w:val="009F197C"/>
    <w:rsid w:val="009F2137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14BD"/>
    <w:rsid w:val="00AB1B41"/>
    <w:rsid w:val="00AC38D4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2ED3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1B50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899"/>
    <w:rsid w:val="00BF4AC2"/>
    <w:rsid w:val="00BF55E5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179E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48F8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55482"/>
    <w:rsid w:val="00D63D86"/>
    <w:rsid w:val="00D66225"/>
    <w:rsid w:val="00D66E9B"/>
    <w:rsid w:val="00D71320"/>
    <w:rsid w:val="00D71758"/>
    <w:rsid w:val="00D72699"/>
    <w:rsid w:val="00D82E47"/>
    <w:rsid w:val="00D8389B"/>
    <w:rsid w:val="00D86050"/>
    <w:rsid w:val="00D86BF0"/>
    <w:rsid w:val="00D91089"/>
    <w:rsid w:val="00D92D18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96592"/>
    <w:rsid w:val="00EB2C05"/>
    <w:rsid w:val="00EB6889"/>
    <w:rsid w:val="00EC0744"/>
    <w:rsid w:val="00EC30A2"/>
    <w:rsid w:val="00ED6B11"/>
    <w:rsid w:val="00EE01E5"/>
    <w:rsid w:val="00EE2CDD"/>
    <w:rsid w:val="00EE4FD8"/>
    <w:rsid w:val="00EE6A90"/>
    <w:rsid w:val="00EE7143"/>
    <w:rsid w:val="00EE7AE7"/>
    <w:rsid w:val="00EF0485"/>
    <w:rsid w:val="00F024C1"/>
    <w:rsid w:val="00F05175"/>
    <w:rsid w:val="00F055F1"/>
    <w:rsid w:val="00F06BB5"/>
    <w:rsid w:val="00F10F74"/>
    <w:rsid w:val="00F1659D"/>
    <w:rsid w:val="00F242AC"/>
    <w:rsid w:val="00F317D7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75A20"/>
    <w:rsid w:val="00F83081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3C4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uiPriority w:val="99"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mi-network-contract-des/2022-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mi-network-contract-des/2022-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2023-08-19T11:14:00Z</dcterms:created>
  <dcterms:modified xsi:type="dcterms:W3CDTF">2023-08-19T11:15:00Z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2023-08-19T11:15:07Z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b3ee7e86-c88e-415f-ac02-a2feab8e8cee</vt:lpwstr>
  </property>
  <property fmtid="{D5CDD505-2E9C-101B-9397-08002B2CF9AE}" pid="8" name="MSIP_Label_c69d85d5-6d9e-4305-a294-1f636ec0f2d6_ContentBits">
    <vt:lpwstr>0</vt:lpwstr>
  </property>
</Properties>
</file>