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363276">
      <w:pPr>
        <w:pStyle w:val="Title"/>
      </w:pPr>
      <w:bookmarkStart w:id="0" w:name="_Toc383595130"/>
      <w:r w:rsidRPr="00861C2E">
        <w:t>NATIONAL INSTITUTE FOR HEALTH AND CARE EXCELLENCE</w:t>
      </w:r>
      <w:bookmarkEnd w:id="0"/>
    </w:p>
    <w:p w14:paraId="6C6B43FC" w14:textId="2F3EF7E2" w:rsidR="00482C01" w:rsidRDefault="009B0E59" w:rsidP="00363276">
      <w:pPr>
        <w:pStyle w:val="Title"/>
      </w:pPr>
      <w:r>
        <w:t>NICE indicator v</w:t>
      </w:r>
      <w:r w:rsidR="00192B09">
        <w:t>alidity assessment</w:t>
      </w:r>
    </w:p>
    <w:p w14:paraId="047E7BC9" w14:textId="34B57B9B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6929E9">
        <w:rPr>
          <w:lang w:eastAsia="en-GB"/>
        </w:rPr>
        <w:t>NM244</w:t>
      </w:r>
    </w:p>
    <w:p w14:paraId="21DF78AF" w14:textId="52DD82B0" w:rsidR="00A85499" w:rsidRPr="00A85499" w:rsidRDefault="00A85499" w:rsidP="00A85499">
      <w:pPr>
        <w:pStyle w:val="Paragraph"/>
        <w:rPr>
          <w:lang w:eastAsia="en-GB"/>
        </w:rPr>
      </w:pPr>
      <w:bookmarkStart w:id="1" w:name="_Hlk138247729"/>
      <w:r>
        <w:rPr>
          <w:lang w:eastAsia="en-GB"/>
        </w:rPr>
        <w:t>The p</w:t>
      </w:r>
      <w:r w:rsidRPr="00A85499">
        <w:rPr>
          <w:lang w:eastAsia="en-GB"/>
        </w:rPr>
        <w:t>ercentage of patients with a total cholesterol</w:t>
      </w:r>
      <w:r>
        <w:rPr>
          <w:lang w:eastAsia="en-GB"/>
        </w:rPr>
        <w:t xml:space="preserve"> </w:t>
      </w:r>
      <w:r w:rsidR="00E10557">
        <w:rPr>
          <w:lang w:eastAsia="en-GB"/>
        </w:rPr>
        <w:t xml:space="preserve">reading </w:t>
      </w:r>
      <w:r w:rsidR="00096628" w:rsidRPr="00096628">
        <w:rPr>
          <w:lang w:eastAsia="en-GB"/>
        </w:rPr>
        <w:t xml:space="preserve">in the preceding 12 months </w:t>
      </w:r>
      <w:r w:rsidRPr="00A85499">
        <w:rPr>
          <w:lang w:eastAsia="en-GB"/>
        </w:rPr>
        <w:t>greater than 7.5</w:t>
      </w:r>
      <w:r w:rsidR="00E10557" w:rsidRPr="00E10557">
        <w:rPr>
          <w:lang w:eastAsia="en-GB"/>
        </w:rPr>
        <w:t xml:space="preserve"> </w:t>
      </w:r>
      <w:r w:rsidR="007D42BC" w:rsidRPr="007D42BC">
        <w:rPr>
          <w:lang w:eastAsia="en-GB"/>
        </w:rPr>
        <w:t>mmol/litre</w:t>
      </w:r>
      <w:r w:rsidRPr="00A85499">
        <w:rPr>
          <w:lang w:eastAsia="en-GB"/>
        </w:rPr>
        <w:t xml:space="preserve"> who have been:</w:t>
      </w:r>
    </w:p>
    <w:p w14:paraId="15258D85" w14:textId="71AA1014" w:rsidR="00A85499" w:rsidRPr="00A85499" w:rsidRDefault="00A85499" w:rsidP="00A85499">
      <w:pPr>
        <w:pStyle w:val="Bullets"/>
        <w:rPr>
          <w:lang w:eastAsia="en-GB"/>
        </w:rPr>
      </w:pPr>
      <w:r w:rsidRPr="00A85499">
        <w:rPr>
          <w:lang w:eastAsia="en-GB"/>
        </w:rPr>
        <w:t>diagnosed with secondary hyperlipidaemia or</w:t>
      </w:r>
    </w:p>
    <w:p w14:paraId="5CB2E6C7" w14:textId="2437BEC3" w:rsidR="00A85499" w:rsidRPr="00A85499" w:rsidRDefault="00A85499" w:rsidP="00A85499">
      <w:pPr>
        <w:pStyle w:val="Bullets"/>
        <w:rPr>
          <w:lang w:eastAsia="en-GB"/>
        </w:rPr>
      </w:pPr>
      <w:r w:rsidRPr="00A85499">
        <w:rPr>
          <w:lang w:eastAsia="en-GB"/>
        </w:rPr>
        <w:t>clinically assessed for familial hypercholesterolaemia or</w:t>
      </w:r>
    </w:p>
    <w:p w14:paraId="564C5ABA" w14:textId="099DFD1C" w:rsidR="00A85499" w:rsidRPr="00A85499" w:rsidRDefault="00A85499" w:rsidP="00A85499">
      <w:pPr>
        <w:pStyle w:val="Bullets"/>
        <w:rPr>
          <w:lang w:eastAsia="en-GB"/>
        </w:rPr>
      </w:pPr>
      <w:r w:rsidRPr="00A85499">
        <w:rPr>
          <w:lang w:eastAsia="en-GB"/>
        </w:rPr>
        <w:t>referred for assessment for familial hypercholesterolaemia or</w:t>
      </w:r>
    </w:p>
    <w:p w14:paraId="6B476832" w14:textId="0D03CC7A" w:rsidR="00A85499" w:rsidRDefault="00A85499" w:rsidP="00A85499">
      <w:pPr>
        <w:pStyle w:val="Bullets"/>
        <w:rPr>
          <w:b/>
          <w:bCs/>
          <w:lang w:eastAsia="en-GB"/>
        </w:rPr>
      </w:pPr>
      <w:r w:rsidRPr="00A85499">
        <w:rPr>
          <w:lang w:eastAsia="en-GB"/>
        </w:rPr>
        <w:t>genetically diagnosed with familial hypercholesterolaemia</w:t>
      </w:r>
      <w:r w:rsidR="00E10557">
        <w:rPr>
          <w:lang w:eastAsia="en-GB"/>
        </w:rPr>
        <w:t>.</w:t>
      </w:r>
      <w:r w:rsidRPr="00A85499">
        <w:rPr>
          <w:lang w:eastAsia="en-GB"/>
        </w:rPr>
        <w:cr/>
      </w:r>
    </w:p>
    <w:bookmarkEnd w:id="1"/>
    <w:p w14:paraId="13E9B37D" w14:textId="4BF403ED" w:rsidR="00DB5EEF" w:rsidRDefault="00DB5EEF" w:rsidP="00A85499">
      <w:pPr>
        <w:pStyle w:val="Heading1"/>
      </w:pPr>
      <w:r>
        <w:t xml:space="preserve">Indicator type </w:t>
      </w:r>
    </w:p>
    <w:p w14:paraId="07977358" w14:textId="58425363" w:rsidR="00DB5EEF" w:rsidRDefault="00DB5EEF" w:rsidP="00DB5EEF">
      <w:pPr>
        <w:pStyle w:val="Paragraph"/>
      </w:pPr>
      <w:r w:rsidRPr="00071DAB">
        <w:t xml:space="preserve">General practice indicator suitable for use </w:t>
      </w:r>
      <w:r w:rsidR="008E341F">
        <w:t>outside</w:t>
      </w:r>
      <w:r w:rsidRPr="00071DAB">
        <w:t xml:space="preserve"> the Quality and Outcomes Framework.</w:t>
      </w:r>
    </w:p>
    <w:p w14:paraId="7C25BFBC" w14:textId="62760B9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6C46B250" w14:textId="77777777" w:rsidTr="002338EB">
        <w:tc>
          <w:tcPr>
            <w:tcW w:w="5949" w:type="dxa"/>
          </w:tcPr>
          <w:p w14:paraId="5472972D" w14:textId="7A9FC88C" w:rsidR="002338EB" w:rsidRPr="002338EB" w:rsidRDefault="002338EB" w:rsidP="00527B6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2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1E80F9" w14:textId="70CF3A57" w:rsidR="002338EB" w:rsidRPr="002338EB" w:rsidRDefault="002338EB" w:rsidP="00527B6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62654B9" w14:textId="77777777" w:rsidTr="002338EB">
        <w:tc>
          <w:tcPr>
            <w:tcW w:w="5949" w:type="dxa"/>
          </w:tcPr>
          <w:p w14:paraId="559827A6" w14:textId="2AB1D8B7" w:rsidR="00B509E0" w:rsidRDefault="00B509E0" w:rsidP="00331235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B509E0">
              <w:rPr>
                <w:rFonts w:cs="Arial"/>
                <w:sz w:val="22"/>
                <w:szCs w:val="22"/>
              </w:rPr>
              <w:t xml:space="preserve">The </w:t>
            </w:r>
            <w:hyperlink r:id="rId7" w:history="1">
              <w:r w:rsidRPr="00B509E0">
                <w:rPr>
                  <w:rStyle w:val="Hyperlink"/>
                  <w:rFonts w:cs="Arial"/>
                  <w:sz w:val="22"/>
                  <w:szCs w:val="22"/>
                </w:rPr>
                <w:t>NHS Long Term Plan</w:t>
              </w:r>
            </w:hyperlink>
            <w:r w:rsidRPr="00B509E0">
              <w:rPr>
                <w:rFonts w:cs="Arial"/>
                <w:sz w:val="22"/>
                <w:szCs w:val="22"/>
              </w:rPr>
              <w:t xml:space="preserve"> identifies cardiovascular disease as a clinical priority, and the single biggest condition where lives can be saved by the NHS over the next 10 years by improving the treatment of high-risk conditions. The plan commits to increasing the diagnosis of familial hypercholesterolaemia (FH) from 7% to 25% by 2024/25. FH affects at least 150,000 people in England (</w:t>
            </w:r>
            <w:hyperlink r:id="rId8" w:history="1">
              <w:r w:rsidR="0027733E">
                <w:rPr>
                  <w:rStyle w:val="Hyperlink"/>
                  <w:rFonts w:cs="Arial"/>
                  <w:sz w:val="22"/>
                  <w:szCs w:val="22"/>
                </w:rPr>
                <w:t>IIF guidance 2022/23</w:t>
              </w:r>
            </w:hyperlink>
            <w:r w:rsidRPr="00B509E0">
              <w:rPr>
                <w:rFonts w:cs="Arial"/>
                <w:sz w:val="22"/>
                <w:szCs w:val="22"/>
              </w:rPr>
              <w:t>).</w:t>
            </w:r>
          </w:p>
          <w:p w14:paraId="6F338971" w14:textId="219A3690" w:rsidR="00950C7B" w:rsidRPr="00A87E62" w:rsidRDefault="00B509E0" w:rsidP="00331235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B509E0">
              <w:rPr>
                <w:sz w:val="22"/>
                <w:szCs w:val="22"/>
              </w:rPr>
              <w:t xml:space="preserve">This indicator </w:t>
            </w:r>
            <w:r w:rsidR="00671D45">
              <w:rPr>
                <w:sz w:val="22"/>
                <w:szCs w:val="22"/>
              </w:rPr>
              <w:t xml:space="preserve">is based on an indicator previously included in the </w:t>
            </w:r>
            <w:r w:rsidRPr="00B509E0">
              <w:rPr>
                <w:sz w:val="22"/>
                <w:szCs w:val="22"/>
              </w:rPr>
              <w:t xml:space="preserve">CVD prevention domain of the </w:t>
            </w:r>
            <w:hyperlink r:id="rId9" w:history="1">
              <w:r w:rsidRPr="00B509E0">
                <w:rPr>
                  <w:rStyle w:val="Hyperlink"/>
                  <w:sz w:val="22"/>
                  <w:szCs w:val="22"/>
                </w:rPr>
                <w:t>Investment and Impact Fund (IIF) 2022/23</w:t>
              </w:r>
            </w:hyperlink>
            <w:r w:rsidRPr="00B509E0">
              <w:rPr>
                <w:sz w:val="22"/>
                <w:szCs w:val="22"/>
              </w:rPr>
              <w:t xml:space="preserve">. </w:t>
            </w:r>
            <w:r w:rsidR="00671D45" w:rsidRPr="00671D45">
              <w:rPr>
                <w:sz w:val="22"/>
                <w:szCs w:val="22"/>
              </w:rPr>
              <w:t xml:space="preserve">It promotes ensuring that appropriate action </w:t>
            </w:r>
            <w:r w:rsidR="00671D45">
              <w:rPr>
                <w:sz w:val="22"/>
                <w:szCs w:val="22"/>
              </w:rPr>
              <w:t>for new high cholesterol readings</w:t>
            </w:r>
            <w:r w:rsidR="00671D45" w:rsidRPr="00671D4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062E903B" w14:textId="2CC4828A" w:rsidR="002338EB" w:rsidRDefault="002338EB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6A5DF3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7A705133" w14:textId="77777777" w:rsidR="002338EB" w:rsidRDefault="002338EB" w:rsidP="00527B6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  <w:p w14:paraId="272CA0EC" w14:textId="6C1CED32" w:rsidR="00CA55C0" w:rsidRPr="002338EB" w:rsidRDefault="00CA55C0" w:rsidP="00527B6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2E2CE1C4" w14:textId="77777777" w:rsidTr="002338EB">
        <w:tc>
          <w:tcPr>
            <w:tcW w:w="5949" w:type="dxa"/>
          </w:tcPr>
          <w:p w14:paraId="58C8D69D" w14:textId="46DDE38F" w:rsidR="00B509E0" w:rsidRDefault="007A47DE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hyperlink r:id="rId10" w:history="1">
              <w:r w:rsidR="00B509E0" w:rsidRPr="00B509E0">
                <w:rPr>
                  <w:rStyle w:val="Hyperlink"/>
                  <w:rFonts w:cs="Arial"/>
                  <w:sz w:val="22"/>
                  <w:szCs w:val="22"/>
                </w:rPr>
                <w:t>Public Health England</w:t>
              </w:r>
            </w:hyperlink>
            <w:r w:rsidR="00B509E0" w:rsidRPr="00B509E0">
              <w:rPr>
                <w:rFonts w:cs="Arial"/>
                <w:sz w:val="22"/>
                <w:szCs w:val="22"/>
              </w:rPr>
              <w:t xml:space="preserve"> (2018), </w:t>
            </w:r>
            <w:r w:rsidR="00B509E0">
              <w:rPr>
                <w:rFonts w:cs="Arial"/>
                <w:sz w:val="22"/>
                <w:szCs w:val="22"/>
              </w:rPr>
              <w:t>report</w:t>
            </w:r>
            <w:r w:rsidR="00B509E0" w:rsidRPr="00B509E0">
              <w:rPr>
                <w:rFonts w:cs="Arial"/>
                <w:sz w:val="22"/>
                <w:szCs w:val="22"/>
              </w:rPr>
              <w:t xml:space="preserve"> that most cases of FH remain undiagnosed, and only an estimated 8 to 15% of cases are known (based on prevalence estimates of 1:250 and 1:500).</w:t>
            </w:r>
          </w:p>
          <w:p w14:paraId="7746A3AB" w14:textId="1D4E568D" w:rsidR="007B1980" w:rsidRDefault="007B1980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</w:p>
          <w:p w14:paraId="4C29066D" w14:textId="35AC8A55" w:rsidR="00735337" w:rsidRDefault="007A47DE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hyperlink r:id="rId11" w:history="1">
              <w:r w:rsidR="006929E9" w:rsidRPr="006929E9">
                <w:rPr>
                  <w:rStyle w:val="Hyperlink"/>
                  <w:rFonts w:cs="Arial"/>
                  <w:sz w:val="22"/>
                  <w:szCs w:val="22"/>
                </w:rPr>
                <w:t>March 2023 Network contract directed enhanced service data</w:t>
              </w:r>
            </w:hyperlink>
            <w:r w:rsidR="006929E9">
              <w:rPr>
                <w:rFonts w:cs="Arial"/>
                <w:sz w:val="22"/>
                <w:szCs w:val="22"/>
              </w:rPr>
              <w:t xml:space="preserve"> </w:t>
            </w:r>
            <w:r w:rsidR="0078341A">
              <w:rPr>
                <w:rFonts w:cs="Arial"/>
                <w:sz w:val="22"/>
                <w:szCs w:val="22"/>
              </w:rPr>
              <w:t xml:space="preserve">show that: </w:t>
            </w:r>
          </w:p>
          <w:p w14:paraId="76C446DB" w14:textId="159435F1" w:rsidR="0078341A" w:rsidRDefault="006929E9" w:rsidP="00FD6E31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31</w:t>
            </w:r>
            <w:r w:rsidR="0078341A">
              <w:rPr>
                <w:rFonts w:cs="Arial"/>
                <w:sz w:val="22"/>
                <w:szCs w:val="22"/>
              </w:rPr>
              <w:t xml:space="preserve">% of people </w:t>
            </w:r>
            <w:r w:rsidR="00FD6E31">
              <w:rPr>
                <w:rFonts w:cs="Arial"/>
                <w:sz w:val="22"/>
                <w:szCs w:val="22"/>
              </w:rPr>
              <w:t xml:space="preserve">with </w:t>
            </w:r>
            <w:r w:rsidR="00FD6E31" w:rsidRPr="00FD6E31">
              <w:rPr>
                <w:rFonts w:cs="Arial"/>
                <w:sz w:val="22"/>
                <w:szCs w:val="22"/>
              </w:rPr>
              <w:t>cholesterol levels in the at-risk range for FH</w:t>
            </w:r>
            <w:r w:rsidR="00FD6E31">
              <w:rPr>
                <w:rFonts w:cs="Arial"/>
                <w:sz w:val="22"/>
                <w:szCs w:val="22"/>
              </w:rPr>
              <w:t xml:space="preserve"> have a subsequent record of assessment, </w:t>
            </w:r>
            <w:proofErr w:type="gramStart"/>
            <w:r w:rsidR="00FD6E31">
              <w:rPr>
                <w:rFonts w:cs="Arial"/>
                <w:sz w:val="22"/>
                <w:szCs w:val="22"/>
              </w:rPr>
              <w:t>referral</w:t>
            </w:r>
            <w:proofErr w:type="gramEnd"/>
            <w:r w:rsidR="00FD6E31">
              <w:rPr>
                <w:rFonts w:cs="Arial"/>
                <w:sz w:val="22"/>
                <w:szCs w:val="22"/>
              </w:rPr>
              <w:t xml:space="preserve"> or diagnosis</w:t>
            </w:r>
            <w:r w:rsidR="0078341A">
              <w:rPr>
                <w:rFonts w:cs="Arial"/>
                <w:sz w:val="22"/>
                <w:szCs w:val="22"/>
              </w:rPr>
              <w:t xml:space="preserve">. </w:t>
            </w:r>
          </w:p>
          <w:p w14:paraId="31A3888C" w14:textId="55D27908" w:rsidR="00FD6E31" w:rsidRPr="00FD6E31" w:rsidRDefault="006929E9" w:rsidP="00FD6E31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FD6E31">
              <w:rPr>
                <w:rFonts w:cs="Arial"/>
                <w:sz w:val="22"/>
                <w:szCs w:val="22"/>
              </w:rPr>
              <w:t>%</w:t>
            </w:r>
            <w:r w:rsidR="00FD6E31">
              <w:t xml:space="preserve"> </w:t>
            </w:r>
            <w:r w:rsidR="00FD6E31" w:rsidRPr="00FD6E31">
              <w:rPr>
                <w:rFonts w:cs="Arial"/>
                <w:sz w:val="22"/>
                <w:szCs w:val="22"/>
              </w:rPr>
              <w:t xml:space="preserve">of people with cholesterol levels in the at-risk range for FH </w:t>
            </w:r>
            <w:r w:rsidR="00EA2BDE">
              <w:rPr>
                <w:rFonts w:cs="Arial"/>
                <w:sz w:val="22"/>
                <w:szCs w:val="22"/>
              </w:rPr>
              <w:t xml:space="preserve">have </w:t>
            </w:r>
            <w:r w:rsidR="00FD6E31">
              <w:rPr>
                <w:rFonts w:cs="Arial"/>
                <w:sz w:val="22"/>
                <w:szCs w:val="22"/>
              </w:rPr>
              <w:t>a relevant personalised care adjustment code</w:t>
            </w:r>
            <w:r w:rsidR="00FD6E31" w:rsidRPr="00FD6E31">
              <w:rPr>
                <w:rFonts w:cs="Arial"/>
                <w:sz w:val="22"/>
                <w:szCs w:val="22"/>
              </w:rPr>
              <w:t>.</w:t>
            </w:r>
          </w:p>
          <w:p w14:paraId="51F9528C" w14:textId="79C78C65" w:rsidR="00B509E0" w:rsidRPr="00B509E0" w:rsidRDefault="007A47DE" w:rsidP="00B509E0">
            <w:pPr>
              <w:pStyle w:val="Paragraph"/>
              <w:spacing w:before="120" w:after="120"/>
              <w:rPr>
                <w:rFonts w:cs="Arial"/>
                <w:sz w:val="22"/>
                <w:szCs w:val="22"/>
              </w:rPr>
            </w:pPr>
            <w:hyperlink r:id="rId12" w:history="1">
              <w:r w:rsidR="00B509E0" w:rsidRPr="00B509E0">
                <w:rPr>
                  <w:rStyle w:val="Hyperlink"/>
                  <w:rFonts w:cs="Arial"/>
                  <w:sz w:val="22"/>
                  <w:szCs w:val="22"/>
                </w:rPr>
                <w:t>CVDPREVENT audit</w:t>
              </w:r>
            </w:hyperlink>
            <w:r w:rsidR="00B509E0" w:rsidRPr="00B509E0">
              <w:rPr>
                <w:rFonts w:cs="Arial"/>
                <w:sz w:val="22"/>
                <w:szCs w:val="22"/>
              </w:rPr>
              <w:t xml:space="preserve"> </w:t>
            </w:r>
            <w:r w:rsidR="00B6062D">
              <w:rPr>
                <w:rFonts w:cs="Arial"/>
                <w:sz w:val="22"/>
                <w:szCs w:val="22"/>
              </w:rPr>
              <w:t xml:space="preserve">data </w:t>
            </w:r>
            <w:r w:rsidR="00B509E0" w:rsidRPr="00B509E0">
              <w:rPr>
                <w:rFonts w:cs="Arial"/>
                <w:sz w:val="22"/>
                <w:szCs w:val="22"/>
              </w:rPr>
              <w:t>(</w:t>
            </w:r>
            <w:r w:rsidR="006929E9">
              <w:rPr>
                <w:rFonts w:cs="Arial"/>
                <w:sz w:val="22"/>
                <w:szCs w:val="22"/>
              </w:rPr>
              <w:t>December</w:t>
            </w:r>
            <w:r w:rsidR="00B509E0" w:rsidRPr="00B509E0">
              <w:rPr>
                <w:rFonts w:cs="Arial"/>
                <w:sz w:val="22"/>
                <w:szCs w:val="22"/>
              </w:rPr>
              <w:t xml:space="preserve"> 2022) highlight:</w:t>
            </w:r>
          </w:p>
          <w:p w14:paraId="64E098C7" w14:textId="3FFCB545" w:rsidR="00B509E0" w:rsidRPr="00B509E0" w:rsidRDefault="00B509E0" w:rsidP="00B509E0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FD6E31">
              <w:rPr>
                <w:rFonts w:cs="Arial"/>
                <w:sz w:val="22"/>
                <w:szCs w:val="22"/>
              </w:rPr>
              <w:t>0</w:t>
            </w:r>
            <w:r w:rsidRPr="00B509E0">
              <w:rPr>
                <w:rFonts w:cs="Arial"/>
                <w:sz w:val="22"/>
                <w:szCs w:val="22"/>
              </w:rPr>
              <w:t>.1</w:t>
            </w:r>
            <w:r w:rsidR="00B6062D">
              <w:rPr>
                <w:rFonts w:cs="Arial"/>
                <w:sz w:val="22"/>
                <w:szCs w:val="22"/>
              </w:rPr>
              <w:t>5</w:t>
            </w:r>
            <w:r w:rsidRPr="00B509E0">
              <w:rPr>
                <w:rFonts w:cs="Arial"/>
                <w:sz w:val="22"/>
                <w:szCs w:val="22"/>
              </w:rPr>
              <w:t xml:space="preserve">% of </w:t>
            </w:r>
            <w:r w:rsidR="00EA2BDE">
              <w:rPr>
                <w:rFonts w:cs="Arial"/>
                <w:sz w:val="22"/>
                <w:szCs w:val="22"/>
              </w:rPr>
              <w:t xml:space="preserve">total </w:t>
            </w:r>
            <w:r w:rsidRPr="00B509E0">
              <w:rPr>
                <w:rFonts w:cs="Arial"/>
                <w:sz w:val="22"/>
                <w:szCs w:val="22"/>
              </w:rPr>
              <w:t xml:space="preserve">registered patients </w:t>
            </w:r>
            <w:r w:rsidR="00FD6E31">
              <w:rPr>
                <w:rFonts w:cs="Arial"/>
                <w:sz w:val="22"/>
                <w:szCs w:val="22"/>
              </w:rPr>
              <w:t>have</w:t>
            </w:r>
            <w:r w:rsidRPr="00B509E0">
              <w:rPr>
                <w:rFonts w:cs="Arial"/>
                <w:sz w:val="22"/>
                <w:szCs w:val="22"/>
              </w:rPr>
              <w:t xml:space="preserve"> cholesterol levels </w:t>
            </w:r>
            <w:r w:rsidR="00113579">
              <w:rPr>
                <w:rFonts w:cs="Arial"/>
                <w:sz w:val="22"/>
                <w:szCs w:val="22"/>
              </w:rPr>
              <w:t xml:space="preserve">indicating </w:t>
            </w:r>
            <w:r w:rsidR="000760D8">
              <w:rPr>
                <w:rFonts w:cs="Arial"/>
                <w:sz w:val="22"/>
                <w:szCs w:val="22"/>
              </w:rPr>
              <w:t xml:space="preserve">possible </w:t>
            </w:r>
            <w:r w:rsidR="00113579">
              <w:rPr>
                <w:rFonts w:cs="Arial"/>
                <w:sz w:val="22"/>
                <w:szCs w:val="22"/>
              </w:rPr>
              <w:t>FH but n</w:t>
            </w:r>
            <w:r w:rsidRPr="00B509E0">
              <w:rPr>
                <w:rFonts w:cs="Arial"/>
                <w:sz w:val="22"/>
                <w:szCs w:val="22"/>
              </w:rPr>
              <w:t>o FH diagnosis</w:t>
            </w:r>
            <w:r w:rsidR="00F66B96">
              <w:rPr>
                <w:rFonts w:cs="Arial"/>
                <w:sz w:val="22"/>
                <w:szCs w:val="22"/>
              </w:rPr>
              <w:t xml:space="preserve"> or investigation</w:t>
            </w:r>
            <w:r w:rsidRPr="00B509E0">
              <w:rPr>
                <w:rFonts w:cs="Arial"/>
                <w:sz w:val="22"/>
                <w:szCs w:val="22"/>
              </w:rPr>
              <w:t>. There was little difference between males and females and between deprivation quintiles.</w:t>
            </w:r>
          </w:p>
          <w:p w14:paraId="1751F4EB" w14:textId="08EE71A1" w:rsidR="00B509E0" w:rsidRPr="00B509E0" w:rsidRDefault="00B509E0" w:rsidP="00B509E0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B509E0">
              <w:rPr>
                <w:rFonts w:cs="Arial"/>
                <w:sz w:val="22"/>
                <w:szCs w:val="22"/>
              </w:rPr>
              <w:t>The percentage with no diagnosis increased with age from 0.0</w:t>
            </w:r>
            <w:r w:rsidR="006929E9">
              <w:rPr>
                <w:rFonts w:cs="Arial"/>
                <w:sz w:val="22"/>
                <w:szCs w:val="22"/>
              </w:rPr>
              <w:t>4</w:t>
            </w:r>
            <w:r w:rsidRPr="00B509E0">
              <w:rPr>
                <w:rFonts w:cs="Arial"/>
                <w:sz w:val="22"/>
                <w:szCs w:val="22"/>
              </w:rPr>
              <w:t>% in those aged 18-39 years to 0.</w:t>
            </w:r>
            <w:r w:rsidR="006929E9">
              <w:rPr>
                <w:rFonts w:cs="Arial"/>
                <w:sz w:val="22"/>
                <w:szCs w:val="22"/>
              </w:rPr>
              <w:t>61</w:t>
            </w:r>
            <w:r w:rsidRPr="00B509E0">
              <w:rPr>
                <w:rFonts w:cs="Arial"/>
                <w:sz w:val="22"/>
                <w:szCs w:val="22"/>
              </w:rPr>
              <w:t>% in those aged 80 and over.</w:t>
            </w:r>
          </w:p>
          <w:p w14:paraId="3E2DA10E" w14:textId="3E89DE0B" w:rsidR="00B509E0" w:rsidRPr="00B509E0" w:rsidRDefault="00B509E0" w:rsidP="00B509E0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B509E0">
              <w:rPr>
                <w:rFonts w:cs="Arial"/>
                <w:sz w:val="22"/>
                <w:szCs w:val="22"/>
              </w:rPr>
              <w:t xml:space="preserve">Prevalence of GP recorded possible, </w:t>
            </w:r>
            <w:proofErr w:type="gramStart"/>
            <w:r w:rsidRPr="00B509E0">
              <w:rPr>
                <w:rFonts w:cs="Arial"/>
                <w:sz w:val="22"/>
                <w:szCs w:val="22"/>
              </w:rPr>
              <w:t>probable</w:t>
            </w:r>
            <w:proofErr w:type="gramEnd"/>
            <w:r w:rsidRPr="00B509E0">
              <w:rPr>
                <w:rFonts w:cs="Arial"/>
                <w:sz w:val="22"/>
                <w:szCs w:val="22"/>
              </w:rPr>
              <w:t xml:space="preserve"> and confirmed FH was 0.18% for all ages.</w:t>
            </w:r>
          </w:p>
          <w:p w14:paraId="378D38FD" w14:textId="77886D13" w:rsidR="00B509E0" w:rsidRPr="00FA2482" w:rsidRDefault="00B509E0" w:rsidP="00B509E0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</w:pPr>
            <w:r w:rsidRPr="00B509E0">
              <w:rPr>
                <w:rFonts w:cs="Arial"/>
                <w:sz w:val="22"/>
                <w:szCs w:val="22"/>
              </w:rPr>
              <w:t>Prevalence increased with age, increased slightly from most to least deprived quintiles and was higher in females than males.</w:t>
            </w:r>
          </w:p>
        </w:tc>
        <w:tc>
          <w:tcPr>
            <w:tcW w:w="3118" w:type="dxa"/>
          </w:tcPr>
          <w:p w14:paraId="3C8B1CA2" w14:textId="77777777" w:rsidR="00735337" w:rsidRPr="00A87E62" w:rsidRDefault="00735337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A87E62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>The indicator relates to an area where there is known variation in practice.</w:t>
            </w:r>
          </w:p>
          <w:p w14:paraId="3FD01E72" w14:textId="4993A746" w:rsidR="00735337" w:rsidRPr="00A87E62" w:rsidRDefault="00735337" w:rsidP="00527B6D">
            <w:pPr>
              <w:pStyle w:val="Paragraph"/>
              <w:spacing w:before="120" w:after="120" w:line="240" w:lineRule="auto"/>
            </w:pPr>
            <w:r w:rsidRPr="00A87E6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</w:t>
            </w:r>
            <w:r w:rsidR="0078341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should help a</w:t>
            </w:r>
            <w:r w:rsidRPr="00A87E6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ddress under-</w:t>
            </w:r>
            <w:r w:rsidR="00EC3ACF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diagnosis</w:t>
            </w:r>
            <w:r w:rsidR="002F1488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by improving </w:t>
            </w:r>
            <w:r w:rsidR="00E3132C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</w:t>
            </w:r>
            <w:r w:rsidR="002F1488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case-finding</w:t>
            </w:r>
            <w:r w:rsidR="00E3132C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process</w:t>
            </w:r>
            <w:r w:rsidRPr="00A87E6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.</w:t>
            </w:r>
          </w:p>
        </w:tc>
      </w:tr>
      <w:tr w:rsidR="00735337" w14:paraId="373D8AA4" w14:textId="77777777" w:rsidTr="002338EB">
        <w:tc>
          <w:tcPr>
            <w:tcW w:w="5949" w:type="dxa"/>
          </w:tcPr>
          <w:p w14:paraId="40A2EA38" w14:textId="5E019AB7" w:rsidR="00331235" w:rsidRPr="00F20565" w:rsidRDefault="004E7922" w:rsidP="00B509E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E792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Familial hypercholesterolaemia (FH) is a genetic disorder that causes a high cholesterol level. This increases the likelihood of coronary artery disease, heart attacks and sudden cardiac death. Early detection and genetic diagnosis will lead to provision of appropriate lipid-lowering treatment to lower these risks and improve outcomes.</w:t>
            </w:r>
          </w:p>
        </w:tc>
        <w:tc>
          <w:tcPr>
            <w:tcW w:w="3118" w:type="dxa"/>
          </w:tcPr>
          <w:p w14:paraId="380FC230" w14:textId="77777777" w:rsidR="00735337" w:rsidRPr="00A554D4" w:rsidRDefault="00735337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A554D4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outcomes.</w:t>
            </w:r>
          </w:p>
          <w:p w14:paraId="45004AAC" w14:textId="77777777" w:rsidR="00735337" w:rsidRPr="002338EB" w:rsidRDefault="00735337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</w:tbl>
    <w:bookmarkEnd w:id="2"/>
    <w:p w14:paraId="5BA69987" w14:textId="6FA6FB6E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A03EAF6" w14:textId="77777777">
        <w:tc>
          <w:tcPr>
            <w:tcW w:w="5949" w:type="dxa"/>
          </w:tcPr>
          <w:p w14:paraId="39775ECC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337C7E3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862F909" w14:textId="77777777">
        <w:tc>
          <w:tcPr>
            <w:tcW w:w="5949" w:type="dxa"/>
          </w:tcPr>
          <w:p w14:paraId="6AF519E6" w14:textId="77777777" w:rsidR="00B509E0" w:rsidRDefault="007A47DE" w:rsidP="00B509E0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hyperlink r:id="rId13" w:history="1">
              <w:r w:rsidR="00B509E0">
                <w:rPr>
                  <w:rStyle w:val="Hyperlink"/>
                  <w:sz w:val="22"/>
                  <w:szCs w:val="22"/>
                </w:rPr>
                <w:t>Familial hypercholesterolaemia: identification and management</w:t>
              </w:r>
            </w:hyperlink>
            <w:r w:rsidR="00B509E0" w:rsidRPr="0013778F">
              <w:rPr>
                <w:sz w:val="22"/>
                <w:szCs w:val="22"/>
              </w:rPr>
              <w:t xml:space="preserve"> (NICE clinical guideline 71)</w:t>
            </w:r>
            <w:r w:rsidR="00B509E0">
              <w:rPr>
                <w:sz w:val="22"/>
                <w:szCs w:val="22"/>
              </w:rPr>
              <w:t xml:space="preserve"> recommendations:</w:t>
            </w:r>
          </w:p>
          <w:p w14:paraId="3E202487" w14:textId="77777777" w:rsidR="000020B4" w:rsidRPr="000020B4" w:rsidRDefault="000020B4" w:rsidP="000020B4">
            <w:pPr>
              <w:pStyle w:val="Paragraph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 </w:t>
            </w:r>
            <w:r w:rsidRPr="000020B4">
              <w:rPr>
                <w:sz w:val="22"/>
                <w:szCs w:val="22"/>
              </w:rPr>
              <w:t>Suspect familial hypercholesterolaemia (FH) as a possible diagnosis in adults with:</w:t>
            </w:r>
          </w:p>
          <w:p w14:paraId="72261ACB" w14:textId="77777777" w:rsidR="000020B4" w:rsidRPr="00C16718" w:rsidRDefault="000020B4" w:rsidP="00C16718">
            <w:pPr>
              <w:pStyle w:val="Paragraph"/>
              <w:numPr>
                <w:ilvl w:val="0"/>
                <w:numId w:val="44"/>
              </w:numPr>
              <w:spacing w:before="120" w:after="120"/>
              <w:rPr>
                <w:sz w:val="22"/>
                <w:szCs w:val="22"/>
              </w:rPr>
            </w:pPr>
            <w:r w:rsidRPr="00C16718">
              <w:rPr>
                <w:sz w:val="22"/>
                <w:szCs w:val="22"/>
              </w:rPr>
              <w:t>a total cholesterol level greater than 7.5 mmol/l or</w:t>
            </w:r>
          </w:p>
          <w:p w14:paraId="3ADED016" w14:textId="77777777" w:rsidR="000020B4" w:rsidRPr="000020B4" w:rsidRDefault="000020B4" w:rsidP="00C16718">
            <w:pPr>
              <w:pStyle w:val="Paragraph"/>
              <w:numPr>
                <w:ilvl w:val="0"/>
                <w:numId w:val="44"/>
              </w:numPr>
              <w:spacing w:before="120" w:after="120"/>
            </w:pPr>
            <w:r w:rsidRPr="00C16718">
              <w:rPr>
                <w:sz w:val="22"/>
                <w:szCs w:val="22"/>
              </w:rPr>
              <w:t>a personal or family history of premature coronary heart disease (an event before 60 years in an index individual or first-degree relative). [2008, amended 2019]</w:t>
            </w:r>
          </w:p>
          <w:p w14:paraId="61E5C0F9" w14:textId="77777777" w:rsidR="00B509E0" w:rsidRPr="006E3652" w:rsidRDefault="00B509E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1.1.5 </w:t>
            </w:r>
            <w:r w:rsidRPr="003D000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Use the </w:t>
            </w:r>
            <w:hyperlink r:id="rId14" w:history="1">
              <w:r w:rsidRPr="003D0000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Simon Broome criteria (see appendix F of the full guideline</w:t>
              </w:r>
            </w:hyperlink>
            <w:r w:rsidRPr="003D000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) or </w:t>
            </w:r>
            <w:hyperlink r:id="rId15" w:anchor="dutch-lipid-clinic-network-dlcn-criteriascore" w:history="1">
              <w:r w:rsidRPr="003D0000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Dutch Lipid Clinic Network (DLCN) criteria</w:t>
              </w:r>
            </w:hyperlink>
            <w:r w:rsidRPr="003D000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to make a clinical diagnosis of FH in primary care settings. This should be done by a healthcare professional competent in using the criteria.</w:t>
            </w:r>
          </w:p>
          <w:p w14:paraId="4628F3E3" w14:textId="77777777" w:rsidR="00B509E0" w:rsidRDefault="00B509E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365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lastRenderedPageBreak/>
              <w:t>1.1.6 Refer the person to an FH specialist service for DNA testing if they meet the Simon Broome criteria for possible or definite FH, or they have a DLCN score greater than 5.</w:t>
            </w:r>
          </w:p>
          <w:p w14:paraId="1359C26D" w14:textId="3D82C87C" w:rsidR="00115EF8" w:rsidRPr="00B509E0" w:rsidRDefault="00B509E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1.1.8 </w:t>
            </w:r>
            <w:r w:rsidRPr="00286EA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Healthcare professionals should consider a clinical diagnosis of homozygous FH in adults with a low-density lipoprotein cholesterol (LDL</w:t>
            </w:r>
            <w:r w:rsidRPr="00286EA2">
              <w:rPr>
                <w:rFonts w:ascii="Cambria Math" w:hAnsi="Cambria Math" w:cs="Cambria Math"/>
                <w:color w:val="000000"/>
                <w:kern w:val="24"/>
                <w:sz w:val="22"/>
                <w:szCs w:val="22"/>
                <w:lang w:eastAsia="en-GB"/>
              </w:rPr>
              <w:t>‑</w:t>
            </w:r>
            <w:r w:rsidRPr="00286EA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C) concentration greater than 13 mmol/l and in children/young people with an LDL</w:t>
            </w:r>
            <w:r w:rsidRPr="00286EA2">
              <w:rPr>
                <w:rFonts w:ascii="Cambria Math" w:hAnsi="Cambria Math" w:cs="Cambria Math"/>
                <w:color w:val="000000"/>
                <w:kern w:val="24"/>
                <w:sz w:val="22"/>
                <w:szCs w:val="22"/>
                <w:lang w:eastAsia="en-GB"/>
              </w:rPr>
              <w:t>‑</w:t>
            </w:r>
            <w:r w:rsidRPr="00286EA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 concentration greater than 11 mmol/l. All people with a clinical diagnosis of homozygous FH should be offered referral to a specialist centre.</w:t>
            </w:r>
          </w:p>
        </w:tc>
        <w:tc>
          <w:tcPr>
            <w:tcW w:w="3118" w:type="dxa"/>
          </w:tcPr>
          <w:p w14:paraId="0D72329A" w14:textId="54F94FB4" w:rsidR="002338EB" w:rsidRPr="002C1868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C186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 xml:space="preserve">The indicator is derived from a high-quality evidence base. </w:t>
            </w:r>
          </w:p>
          <w:p w14:paraId="1F9D5C5B" w14:textId="7C539B54" w:rsidR="00490D2B" w:rsidRDefault="00B509E0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522E4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align</w:t>
            </w:r>
            <w:r w:rsidR="00522E41" w:rsidRPr="00522E4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s</w:t>
            </w:r>
            <w:r w:rsidRPr="00522E4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with the evidence base.</w:t>
            </w:r>
          </w:p>
          <w:p w14:paraId="75848804" w14:textId="440E1AF6" w:rsidR="00490D2B" w:rsidRPr="00490D2B" w:rsidRDefault="00490D2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</w:p>
        </w:tc>
      </w:tr>
    </w:tbl>
    <w:p w14:paraId="67B93D8F" w14:textId="6D992C33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3FA0B31" w14:textId="77777777">
        <w:tc>
          <w:tcPr>
            <w:tcW w:w="5949" w:type="dxa"/>
          </w:tcPr>
          <w:p w14:paraId="7BD8EB75" w14:textId="77777777" w:rsidR="002338EB" w:rsidRPr="002338EB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CDDF3D" w14:textId="77777777" w:rsidR="002338EB" w:rsidRPr="002338EB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3E61DC2D" w14:textId="77777777">
        <w:tc>
          <w:tcPr>
            <w:tcW w:w="5949" w:type="dxa"/>
          </w:tcPr>
          <w:p w14:paraId="17903B55" w14:textId="27276E45" w:rsidR="007954FC" w:rsidRPr="007954FC" w:rsidRDefault="00B509E0" w:rsidP="007954FC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E82CAE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Numerator: </w:t>
            </w:r>
            <w:bookmarkStart w:id="3" w:name="_Hlk127885953"/>
            <w:bookmarkStart w:id="4" w:name="_Hlk138249502"/>
            <w:r w:rsidRPr="00E82CAE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number in the denominator who </w:t>
            </w:r>
            <w:r w:rsidR="007954FC"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have been:</w:t>
            </w:r>
          </w:p>
          <w:p w14:paraId="1340E580" w14:textId="569FAB01" w:rsidR="007954FC" w:rsidRPr="007954FC" w:rsidRDefault="007954FC" w:rsidP="007954FC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diagnosed with secondary hyperlipidaemia</w:t>
            </w:r>
            <w:r w:rsidR="000020B4">
              <w:t xml:space="preserve"> </w:t>
            </w:r>
            <w:r w:rsidR="000020B4" w:rsidRPr="000020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after the </w:t>
            </w:r>
            <w:r w:rsidR="00C325DE" w:rsidRPr="00C325DE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earliest total cholesterol greater than 7.5 mmol/litre </w:t>
            </w:r>
            <w:r w:rsidR="00671D4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at any time</w:t>
            </w: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; or</w:t>
            </w:r>
          </w:p>
          <w:p w14:paraId="3BB12D20" w14:textId="77698360" w:rsidR="007954FC" w:rsidRPr="007954FC" w:rsidRDefault="007954FC" w:rsidP="007954FC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clinically assessed for familial hypercholesterolaemia</w:t>
            </w:r>
            <w:r w:rsidR="000020B4">
              <w:t xml:space="preserve"> </w:t>
            </w:r>
            <w:r w:rsidR="000020B4" w:rsidRPr="000020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at any time</w:t>
            </w: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; or</w:t>
            </w:r>
          </w:p>
          <w:p w14:paraId="171D055C" w14:textId="3B811FC9" w:rsidR="007954FC" w:rsidRPr="007954FC" w:rsidRDefault="007954FC" w:rsidP="007954FC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referred for assessment for familial hypercholesterolaemia</w:t>
            </w:r>
            <w:r w:rsidR="000020B4">
              <w:t xml:space="preserve"> </w:t>
            </w:r>
            <w:r w:rsidR="000020B4" w:rsidRPr="000020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at any time</w:t>
            </w: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; or</w:t>
            </w:r>
          </w:p>
          <w:p w14:paraId="295CA878" w14:textId="38C0190B" w:rsidR="00B509E0" w:rsidRPr="007954FC" w:rsidRDefault="007954FC" w:rsidP="007954FC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genetically diagnosed with familial hypercholesterolaemia</w:t>
            </w:r>
            <w:bookmarkEnd w:id="3"/>
            <w:r w:rsidR="000020B4">
              <w:t xml:space="preserve"> </w:t>
            </w:r>
            <w:r w:rsidR="000020B4" w:rsidRPr="000020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at any time</w:t>
            </w:r>
            <w:r w:rsidR="00B509E0"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</w:p>
          <w:bookmarkEnd w:id="4"/>
          <w:p w14:paraId="62B7C59B" w14:textId="0F3DD726" w:rsidR="00B509E0" w:rsidRDefault="00B509E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E82CAE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Denominator: </w:t>
            </w:r>
            <w:bookmarkStart w:id="5" w:name="_Hlk127885972"/>
            <w:bookmarkStart w:id="6" w:name="_Hlk138249495"/>
            <w:r w:rsidR="007954FC"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</w:t>
            </w:r>
            <w:r w:rsid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number</w:t>
            </w:r>
            <w:r w:rsidR="007954FC"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of patients </w:t>
            </w:r>
            <w:r w:rsidR="00522E41"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with a total cholesterol </w:t>
            </w:r>
            <w:r w:rsidR="00E1055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reading</w:t>
            </w:r>
            <w:r w:rsidR="00522E4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096628" w:rsidRPr="0009662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in the preceding 12 months </w:t>
            </w:r>
            <w:r w:rsidR="00522E4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g</w:t>
            </w:r>
            <w:r w:rsidR="00522E41" w:rsidRPr="007954F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reater than 7.5 </w:t>
            </w:r>
            <w:r w:rsidR="007D42BC" w:rsidRPr="007D42B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mmol/litre</w:t>
            </w:r>
            <w:bookmarkEnd w:id="5"/>
            <w:r w:rsidRPr="0017590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  <w:bookmarkEnd w:id="6"/>
          </w:p>
          <w:p w14:paraId="09A21C43" w14:textId="57AC7BA8" w:rsidR="00B509E0" w:rsidRDefault="00C650D7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C650D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Personalised care adjustments or exception reporting should be considered to account for situations where the patient is receiving palliative care or declines assessment</w:t>
            </w:r>
            <w:r w:rsidR="00B509E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693D45FA" w14:textId="1FCD3258" w:rsidR="005D0420" w:rsidRPr="005D3F18" w:rsidRDefault="005D042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5D042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construction</w:t>
            </w:r>
            <w:r w:rsidRPr="005D042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searches for the earliest total cholesterol reading </w:t>
            </w:r>
            <w:r w:rsidR="00684B4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in the preceding 12 months </w:t>
            </w:r>
            <w:r w:rsidRPr="005D042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that would indicate a risk of FH as per NICE guidance.</w:t>
            </w:r>
          </w:p>
          <w:p w14:paraId="1A8C1D16" w14:textId="2B22FAC0" w:rsidR="00735337" w:rsidRPr="002338EB" w:rsidRDefault="00B509E0" w:rsidP="00B509E0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4703">
              <w:rPr>
                <w:rFonts w:cs="Arial"/>
                <w:color w:val="000000"/>
                <w:kern w:val="24"/>
                <w:sz w:val="22"/>
                <w:szCs w:val="22"/>
              </w:rPr>
              <w:t>(</w:t>
            </w:r>
            <w:hyperlink r:id="rId16" w:history="1">
              <w:r>
                <w:rPr>
                  <w:rStyle w:val="Hyperlink"/>
                  <w:rFonts w:cs="Arial"/>
                  <w:sz w:val="22"/>
                  <w:szCs w:val="22"/>
                </w:rPr>
                <w:t>IIF Guidance 2022/23</w:t>
              </w:r>
            </w:hyperlink>
            <w:r w:rsidRPr="00AE7F4E">
              <w:rPr>
                <w:color w:val="000000"/>
                <w:kern w:val="24"/>
              </w:rPr>
              <w:t xml:space="preserve"> </w:t>
            </w:r>
            <w:r w:rsidRPr="00D9470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and </w:t>
            </w:r>
            <w:hyperlink r:id="rId17" w:history="1">
              <w:r>
                <w:rPr>
                  <w:rStyle w:val="Hyperlink"/>
                  <w:rFonts w:cs="Arial"/>
                  <w:kern w:val="24"/>
                  <w:sz w:val="22"/>
                  <w:szCs w:val="22"/>
                </w:rPr>
                <w:t>NHS Digital Business rules for network contract DES (NCD) - Cardiovascular Disease Prevention</w:t>
              </w:r>
            </w:hyperlink>
            <w:r>
              <w:rPr>
                <w:rStyle w:val="Hyperlink"/>
                <w:rFonts w:cs="Arial"/>
                <w:kern w:val="24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1439227D" w14:textId="5282325D" w:rsidR="002338EB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940A6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has defined components necessary to construct the indicator, including numerator, </w:t>
            </w:r>
            <w:proofErr w:type="gramStart"/>
            <w:r w:rsidRPr="00940A6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denominator</w:t>
            </w:r>
            <w:proofErr w:type="gramEnd"/>
            <w:r w:rsidRPr="00940A6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and exclusions.</w:t>
            </w:r>
          </w:p>
          <w:p w14:paraId="0C449702" w14:textId="77777777" w:rsidR="002338EB" w:rsidRPr="002338EB" w:rsidRDefault="002338EB" w:rsidP="007951F7">
            <w:pPr>
              <w:spacing w:before="120" w:after="120"/>
              <w:rPr>
                <w:highlight w:val="lightGray"/>
              </w:rPr>
            </w:pPr>
          </w:p>
        </w:tc>
      </w:tr>
      <w:tr w:rsidR="002338EB" w14:paraId="48133640" w14:textId="77777777">
        <w:tc>
          <w:tcPr>
            <w:tcW w:w="5949" w:type="dxa"/>
          </w:tcPr>
          <w:p w14:paraId="052C4774" w14:textId="77777777" w:rsidR="00230BEA" w:rsidRDefault="00230BEA" w:rsidP="00230BEA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T</w:t>
            </w:r>
            <w:r w:rsidRPr="00230BE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here is no minimum number of patients required for general practice indicators intended for use outside the QOF. However, consideration should be given to whether </w:t>
            </w:r>
            <w:proofErr w:type="gramStart"/>
            <w:r w:rsidRPr="00230BEA">
              <w:rPr>
                <w:rFonts w:cs="Arial"/>
                <w:color w:val="000000"/>
                <w:kern w:val="24"/>
                <w:sz w:val="22"/>
                <w:szCs w:val="22"/>
              </w:rPr>
              <w:t>the majority of</w:t>
            </w:r>
            <w:proofErr w:type="gramEnd"/>
            <w:r w:rsidRPr="00230BE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results would require suppression because of small numbers. </w:t>
            </w:r>
          </w:p>
          <w:p w14:paraId="4B4889E2" w14:textId="172E9126" w:rsidR="002C1326" w:rsidRPr="00522E41" w:rsidRDefault="000020B4" w:rsidP="00230BEA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Committee feedback indicated that there was likely to be less than 20 patients per practice with </w:t>
            </w:r>
            <w:r w:rsidR="00671D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new </w:t>
            </w:r>
            <w:r w:rsidR="00671D45" w:rsidRPr="00671D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cholesterol </w:t>
            </w:r>
            <w:r w:rsidR="00671D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readings above the </w:t>
            </w:r>
            <w:r w:rsidR="00671D45" w:rsidRPr="00671D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at-risk </w:t>
            </w:r>
            <w:r w:rsidR="00671D45">
              <w:rPr>
                <w:rFonts w:cs="Arial"/>
                <w:color w:val="000000"/>
                <w:kern w:val="24"/>
                <w:sz w:val="22"/>
                <w:szCs w:val="22"/>
              </w:rPr>
              <w:t>threshold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each year.</w:t>
            </w:r>
          </w:p>
        </w:tc>
        <w:tc>
          <w:tcPr>
            <w:tcW w:w="3118" w:type="dxa"/>
          </w:tcPr>
          <w:p w14:paraId="38DE6D48" w14:textId="17FA66CF" w:rsidR="00271410" w:rsidRPr="00230BEA" w:rsidRDefault="002338E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</w:t>
            </w:r>
            <w:r w:rsidR="002C1326" w:rsidRPr="00490D2B">
              <w:rPr>
                <w:rFonts w:cs="Arial"/>
                <w:color w:val="000000"/>
                <w:kern w:val="24"/>
                <w:sz w:val="22"/>
                <w:szCs w:val="22"/>
              </w:rPr>
              <w:t>doe</w:t>
            </w:r>
            <w:r w:rsidR="00123D25">
              <w:rPr>
                <w:rFonts w:cs="Arial"/>
                <w:color w:val="000000"/>
                <w:kern w:val="24"/>
                <w:sz w:val="22"/>
                <w:szCs w:val="22"/>
              </w:rPr>
              <w:t>s</w:t>
            </w: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230BE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not outline a </w:t>
            </w:r>
            <w:r w:rsidR="00632D86" w:rsidRPr="00490D2B">
              <w:rPr>
                <w:rFonts w:cs="Arial"/>
                <w:color w:val="000000"/>
                <w:kern w:val="24"/>
                <w:sz w:val="22"/>
                <w:szCs w:val="22"/>
              </w:rPr>
              <w:t>minimum number of patients</w:t>
            </w: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needed to be confident in the assessment of variation.</w:t>
            </w:r>
          </w:p>
        </w:tc>
      </w:tr>
    </w:tbl>
    <w:p w14:paraId="597779EE" w14:textId="5E0747D0" w:rsidR="002338EB" w:rsidRDefault="002338EB" w:rsidP="00192685">
      <w:pPr>
        <w:pStyle w:val="Heading1"/>
      </w:pPr>
      <w:r>
        <w:lastRenderedPageBreak/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0453993" w14:textId="77777777">
        <w:tc>
          <w:tcPr>
            <w:tcW w:w="5949" w:type="dxa"/>
          </w:tcPr>
          <w:p w14:paraId="1B5D3E68" w14:textId="77777777" w:rsidR="002338EB" w:rsidRPr="00735337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32FEA87" w14:textId="77777777" w:rsidR="002338EB" w:rsidRPr="00735337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CB24BE4" w14:textId="77777777">
        <w:tc>
          <w:tcPr>
            <w:tcW w:w="5949" w:type="dxa"/>
          </w:tcPr>
          <w:p w14:paraId="3ABE91E5" w14:textId="643C8966" w:rsidR="004E2BFB" w:rsidRPr="00A87E62" w:rsidRDefault="00EF049D" w:rsidP="00A87E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similar indicator was previously</w:t>
            </w:r>
            <w:r w:rsidR="00F25E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1410" w:rsidRPr="00271410">
              <w:rPr>
                <w:rFonts w:ascii="Arial" w:hAnsi="Arial" w:cs="Arial"/>
                <w:sz w:val="22"/>
                <w:szCs w:val="22"/>
              </w:rPr>
              <w:t>included in the I</w:t>
            </w:r>
            <w:r w:rsidR="00B51AB4">
              <w:rPr>
                <w:rFonts w:ascii="Arial" w:hAnsi="Arial" w:cs="Arial"/>
                <w:sz w:val="22"/>
                <w:szCs w:val="22"/>
              </w:rPr>
              <w:t>I</w:t>
            </w:r>
            <w:r w:rsidR="00271410" w:rsidRPr="00271410">
              <w:rPr>
                <w:rFonts w:ascii="Arial" w:hAnsi="Arial" w:cs="Arial"/>
                <w:sz w:val="22"/>
                <w:szCs w:val="22"/>
              </w:rPr>
              <w:t xml:space="preserve">F and the data published monthly by NHS digital as part of the </w:t>
            </w:r>
            <w:hyperlink r:id="rId18" w:history="1">
              <w:r w:rsidR="00271410" w:rsidRPr="00271410">
                <w:rPr>
                  <w:rStyle w:val="Hyperlink"/>
                  <w:rFonts w:ascii="Arial" w:hAnsi="Arial" w:cs="Arial"/>
                  <w:sz w:val="22"/>
                  <w:szCs w:val="22"/>
                </w:rPr>
                <w:t>network contract directed enhanced service</w:t>
              </w:r>
            </w:hyperlink>
            <w:r w:rsidR="00271410" w:rsidRPr="00271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BC722C2" w14:textId="78093324" w:rsidR="00A87E62" w:rsidRPr="00A87E62" w:rsidRDefault="00A87E62" w:rsidP="00A87E62">
            <w:pPr>
              <w:spacing w:before="120" w:after="120"/>
              <w:rPr>
                <w:rFonts w:ascii="Arial" w:hAnsi="Arial" w:cs="Arial"/>
              </w:rPr>
            </w:pPr>
            <w:r w:rsidRPr="00A87E62">
              <w:rPr>
                <w:rFonts w:ascii="Arial" w:hAnsi="Arial" w:cs="Arial"/>
                <w:sz w:val="22"/>
                <w:szCs w:val="22"/>
              </w:rPr>
              <w:t>The indicator is repeatable</w:t>
            </w:r>
            <w:r w:rsidR="0061425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EFE1B2" w14:textId="14CDF1EF" w:rsidR="00A87E62" w:rsidRPr="00735337" w:rsidRDefault="00A87E62" w:rsidP="00A87E62">
            <w:pPr>
              <w:spacing w:before="120" w:after="120"/>
              <w:rPr>
                <w:highlight w:val="lightGray"/>
              </w:rPr>
            </w:pPr>
          </w:p>
        </w:tc>
      </w:tr>
      <w:tr w:rsidR="00735337" w14:paraId="2FE27CD6" w14:textId="77777777">
        <w:tc>
          <w:tcPr>
            <w:tcW w:w="5949" w:type="dxa"/>
          </w:tcPr>
          <w:p w14:paraId="02574403" w14:textId="1BF0F5C2" w:rsidR="00271410" w:rsidRDefault="007A47DE" w:rsidP="0027141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hyperlink r:id="rId19" w:history="1">
              <w:r w:rsidR="00271410" w:rsidRPr="00EF049D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>Business rules</w:t>
              </w:r>
            </w:hyperlink>
            <w:r w:rsidR="00EF049D">
              <w:rPr>
                <w:rFonts w:ascii="Arial" w:hAnsi="Arial" w:cs="Arial"/>
                <w:kern w:val="24"/>
                <w:sz w:val="22"/>
                <w:szCs w:val="22"/>
              </w:rPr>
              <w:t xml:space="preserve"> could be adapted</w:t>
            </w:r>
            <w:r w:rsidR="0027141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EF049D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from the Network Contract DES 2022/23</w:t>
            </w:r>
            <w:r w:rsidR="0027141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6B3D2BF0" w14:textId="0C0EF284" w:rsidR="00A65BC8" w:rsidRPr="003B7367" w:rsidRDefault="00A65BC8" w:rsidP="007951F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9DCD48" w14:textId="77777777" w:rsidR="00B509E0" w:rsidRPr="00B509E0" w:rsidRDefault="00B509E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B509E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24CB8CBA" w14:textId="69D90BFC" w:rsidR="00DD05B4" w:rsidRPr="00271410" w:rsidRDefault="00B509E0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B509E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585AE468" w14:textId="31F94E90" w:rsidR="002338EB" w:rsidRDefault="002338EB" w:rsidP="002338EB">
      <w:pPr>
        <w:pStyle w:val="Paragraph"/>
      </w:pPr>
    </w:p>
    <w:p w14:paraId="4447A98D" w14:textId="06B983E4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0604C8F6" w14:textId="77777777">
        <w:tc>
          <w:tcPr>
            <w:tcW w:w="5949" w:type="dxa"/>
          </w:tcPr>
          <w:p w14:paraId="50FC03A9" w14:textId="77777777" w:rsidR="002338EB" w:rsidRPr="00A47852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F255397" w14:textId="77777777" w:rsidR="002338EB" w:rsidRPr="00A47852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5EC80837" w14:textId="77777777">
        <w:tc>
          <w:tcPr>
            <w:tcW w:w="5949" w:type="dxa"/>
          </w:tcPr>
          <w:p w14:paraId="3CFF1C42" w14:textId="77777777" w:rsidR="00285CA9" w:rsidRDefault="00691EDF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No concerns were raised during testing and consultation about the attribution of responsibility. It was felt that ensuring appropriate action is taken was within the control of general practice. </w:t>
            </w:r>
          </w:p>
          <w:p w14:paraId="009E37A6" w14:textId="35F7DAED" w:rsidR="004A429B" w:rsidRPr="009E04BF" w:rsidRDefault="004A429B" w:rsidP="00B509E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This indicator accompanies NM244 as a direct result of stakeholder feedback and committee discussion on the benefits and practicality of focusing only on readings in the preceding 12 months.</w:t>
            </w:r>
          </w:p>
        </w:tc>
        <w:tc>
          <w:tcPr>
            <w:tcW w:w="3118" w:type="dxa"/>
          </w:tcPr>
          <w:p w14:paraId="6AFFF2E2" w14:textId="37749683" w:rsidR="005F7C15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950C7B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5F7C15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50C98A36" w14:textId="0CE291CC" w:rsidR="005F7C15" w:rsidRPr="00493C87" w:rsidRDefault="005F7C15" w:rsidP="00B51AB4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7E164FBD" w14:textId="77777777" w:rsidTr="00CE7BAD">
        <w:tc>
          <w:tcPr>
            <w:tcW w:w="5949" w:type="dxa"/>
            <w:shd w:val="clear" w:color="auto" w:fill="auto"/>
          </w:tcPr>
          <w:p w14:paraId="3AF0200A" w14:textId="11879EE5" w:rsidR="00735337" w:rsidRPr="004A429B" w:rsidRDefault="004A429B" w:rsidP="004A429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4A429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results can be used to understand if appropriate action is taking place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for people with cholesterol readings above the </w:t>
            </w:r>
            <w:r w:rsidRPr="004A429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at-risk threshold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and performance compared to previous years. Feedback at consultation and testing for NM244 supported the opportunity to increase FH diagnosis.</w:t>
            </w:r>
          </w:p>
        </w:tc>
        <w:tc>
          <w:tcPr>
            <w:tcW w:w="3118" w:type="dxa"/>
            <w:shd w:val="clear" w:color="auto" w:fill="auto"/>
          </w:tcPr>
          <w:p w14:paraId="2909F55A" w14:textId="550EBBEB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CE7BAD">
              <w:rPr>
                <w:rFonts w:cs="Arial"/>
                <w:sz w:val="22"/>
                <w:szCs w:val="22"/>
              </w:rPr>
              <w:t>The results of the indicator can be used to improve practice</w:t>
            </w:r>
          </w:p>
        </w:tc>
      </w:tr>
    </w:tbl>
    <w:p w14:paraId="639F934E" w14:textId="090BF21C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F9CECCC" w14:textId="77777777">
        <w:tc>
          <w:tcPr>
            <w:tcW w:w="5949" w:type="dxa"/>
          </w:tcPr>
          <w:p w14:paraId="7D45A224" w14:textId="77777777" w:rsidR="00A47852" w:rsidRPr="00A47852" w:rsidRDefault="00A47852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736A49C5" w14:textId="77777777" w:rsidR="00A47852" w:rsidRPr="00A47852" w:rsidRDefault="00A47852" w:rsidP="00334845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2365E62E" w14:textId="77777777">
        <w:tc>
          <w:tcPr>
            <w:tcW w:w="5949" w:type="dxa"/>
          </w:tcPr>
          <w:p w14:paraId="5D0DDE27" w14:textId="720C8514" w:rsidR="009B207F" w:rsidRPr="0030456A" w:rsidRDefault="000020B4" w:rsidP="009B207F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None identified.</w:t>
            </w:r>
          </w:p>
        </w:tc>
        <w:tc>
          <w:tcPr>
            <w:tcW w:w="3118" w:type="dxa"/>
          </w:tcPr>
          <w:p w14:paraId="1FCD631B" w14:textId="4F8D9C5C" w:rsidR="005A5101" w:rsidRDefault="00A47852" w:rsidP="00334845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045E8A">
              <w:rPr>
                <w:rFonts w:cs="Arial"/>
                <w:color w:val="000000"/>
                <w:kern w:val="24"/>
                <w:sz w:val="22"/>
                <w:szCs w:val="22"/>
              </w:rPr>
              <w:t>The indicator has an acceptable risk of unintended consequences</w:t>
            </w:r>
            <w:r w:rsidR="005A510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. </w:t>
            </w:r>
          </w:p>
          <w:p w14:paraId="29FB2923" w14:textId="668D71AF" w:rsidR="00C45702" w:rsidRPr="00A47852" w:rsidRDefault="00C45702" w:rsidP="00334845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123085F8" w14:textId="2B007B1E" w:rsidR="00D73835" w:rsidRDefault="00D73835" w:rsidP="00345C2E">
      <w:pPr>
        <w:pStyle w:val="Bullets"/>
        <w:numPr>
          <w:ilvl w:val="0"/>
          <w:numId w:val="0"/>
        </w:numPr>
      </w:pPr>
    </w:p>
    <w:p w14:paraId="6B240B5A" w14:textId="77777777" w:rsidR="000928F9" w:rsidRDefault="000928F9" w:rsidP="00345C2E">
      <w:pPr>
        <w:pStyle w:val="Bullets"/>
        <w:numPr>
          <w:ilvl w:val="0"/>
          <w:numId w:val="0"/>
        </w:numPr>
      </w:pPr>
    </w:p>
    <w:sectPr w:rsidR="000928F9" w:rsidSect="000928F9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02C7" w14:textId="77777777" w:rsidR="00D02688" w:rsidRDefault="00D02688" w:rsidP="00446BEE">
      <w:r>
        <w:separator/>
      </w:r>
    </w:p>
  </w:endnote>
  <w:endnote w:type="continuationSeparator" w:id="0">
    <w:p w14:paraId="716604A0" w14:textId="77777777" w:rsidR="00D02688" w:rsidRDefault="00D0268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1B24643D" w:rsidR="00BB14CA" w:rsidRPr="008C1C95" w:rsidRDefault="006929E9" w:rsidP="008C1C95">
    <w:pPr>
      <w:pStyle w:val="Footer"/>
      <w:jc w:val="right"/>
    </w:pPr>
    <w:r>
      <w:t>NM24</w:t>
    </w:r>
    <w:r w:rsidR="00096628">
      <w:t>5</w:t>
    </w:r>
    <w:r w:rsidR="009B0E59">
      <w:t xml:space="preserve">: Validity assessment </w:t>
    </w:r>
    <w:r>
      <w:t>June</w:t>
    </w:r>
    <w:r w:rsidR="004B6CCA">
      <w:t xml:space="preserve"> 2023</w:t>
    </w:r>
    <w:r w:rsidR="004B6CCA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6CE" w14:textId="2EE11ACC" w:rsidR="00096628" w:rsidRDefault="00096628" w:rsidP="00096628">
    <w:pPr>
      <w:pStyle w:val="Footer"/>
      <w:jc w:val="right"/>
    </w:pPr>
    <w:r w:rsidRPr="00096628">
      <w:t>NM245: Validity assessment June 2023</w:t>
    </w:r>
    <w:r>
      <w:tab/>
    </w:r>
    <w:r>
      <w:tab/>
    </w:r>
    <w:r w:rsidRPr="00096628">
      <w:fldChar w:fldCharType="begin"/>
    </w:r>
    <w:r w:rsidRPr="00096628">
      <w:instrText xml:space="preserve"> PAGE </w:instrText>
    </w:r>
    <w:r w:rsidRPr="00096628">
      <w:fldChar w:fldCharType="separate"/>
    </w:r>
    <w:r w:rsidRPr="00096628">
      <w:t>2</w:t>
    </w:r>
    <w:r w:rsidRPr="00096628">
      <w:fldChar w:fldCharType="end"/>
    </w:r>
    <w:r w:rsidRPr="00096628">
      <w:t xml:space="preserve"> of </w:t>
    </w:r>
    <w:r w:rsidRPr="00096628">
      <w:rPr>
        <w:noProof/>
      </w:rPr>
      <w:fldChar w:fldCharType="begin"/>
    </w:r>
    <w:r w:rsidRPr="00096628">
      <w:rPr>
        <w:noProof/>
      </w:rPr>
      <w:instrText xml:space="preserve"> NUMPAGES  </w:instrText>
    </w:r>
    <w:r w:rsidRPr="00096628">
      <w:rPr>
        <w:noProof/>
      </w:rPr>
      <w:fldChar w:fldCharType="separate"/>
    </w:r>
    <w:r w:rsidRPr="00096628">
      <w:rPr>
        <w:noProof/>
      </w:rPr>
      <w:t>5</w:t>
    </w:r>
    <w:r w:rsidRPr="000966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12C7" w14:textId="77777777" w:rsidR="00D02688" w:rsidRDefault="00D02688" w:rsidP="00446BEE">
      <w:r>
        <w:separator/>
      </w:r>
    </w:p>
  </w:footnote>
  <w:footnote w:type="continuationSeparator" w:id="0">
    <w:p w14:paraId="5F964297" w14:textId="77777777" w:rsidR="00D02688" w:rsidRDefault="00D0268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3D4" w14:textId="0C98D6DF" w:rsidR="00BB14CA" w:rsidRDefault="00BB14CA" w:rsidP="000928F9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686E1FB0" w14:textId="77777777" w:rsidR="00BB14CA" w:rsidRPr="00482C01" w:rsidRDefault="00BB14CA" w:rsidP="00FE4244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739A" w14:textId="673C4D82" w:rsidR="000928F9" w:rsidRDefault="000928F9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F767302" wp14:editId="4E26D417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D3F96"/>
    <w:multiLevelType w:val="hybridMultilevel"/>
    <w:tmpl w:val="2398E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6189F"/>
    <w:multiLevelType w:val="hybridMultilevel"/>
    <w:tmpl w:val="92065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D714C"/>
    <w:multiLevelType w:val="hybridMultilevel"/>
    <w:tmpl w:val="9D347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0B18A4"/>
    <w:multiLevelType w:val="hybridMultilevel"/>
    <w:tmpl w:val="E5545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088A545A"/>
    <w:multiLevelType w:val="hybridMultilevel"/>
    <w:tmpl w:val="A0FA4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8" w15:restartNumberingAfterBreak="0">
    <w:nsid w:val="10A3770B"/>
    <w:multiLevelType w:val="hybridMultilevel"/>
    <w:tmpl w:val="5534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E4D2B"/>
    <w:multiLevelType w:val="hybridMultilevel"/>
    <w:tmpl w:val="7E760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7A31F3"/>
    <w:multiLevelType w:val="hybridMultilevel"/>
    <w:tmpl w:val="C7FA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6435E8"/>
    <w:multiLevelType w:val="hybridMultilevel"/>
    <w:tmpl w:val="9790F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7F39F6"/>
    <w:multiLevelType w:val="hybridMultilevel"/>
    <w:tmpl w:val="C742C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819B5"/>
    <w:multiLevelType w:val="hybridMultilevel"/>
    <w:tmpl w:val="57A0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A411DB"/>
    <w:multiLevelType w:val="hybridMultilevel"/>
    <w:tmpl w:val="535A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96DC9"/>
    <w:multiLevelType w:val="hybridMultilevel"/>
    <w:tmpl w:val="5C0A8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2B1CB3"/>
    <w:multiLevelType w:val="hybridMultilevel"/>
    <w:tmpl w:val="64CC5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2" w15:restartNumberingAfterBreak="0">
    <w:nsid w:val="482040CB"/>
    <w:multiLevelType w:val="hybridMultilevel"/>
    <w:tmpl w:val="EC84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492648"/>
    <w:multiLevelType w:val="hybridMultilevel"/>
    <w:tmpl w:val="8D14A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F2FAE"/>
    <w:multiLevelType w:val="hybridMultilevel"/>
    <w:tmpl w:val="BD969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B9398F"/>
    <w:multiLevelType w:val="hybridMultilevel"/>
    <w:tmpl w:val="DB469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D33843"/>
    <w:multiLevelType w:val="hybridMultilevel"/>
    <w:tmpl w:val="4F1E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 w16cid:durableId="2078238192">
    <w:abstractNumId w:val="43"/>
  </w:num>
  <w:num w:numId="2" w16cid:durableId="233853175">
    <w:abstractNumId w:val="17"/>
  </w:num>
  <w:num w:numId="3" w16cid:durableId="1529370562">
    <w:abstractNumId w:val="37"/>
  </w:num>
  <w:num w:numId="4" w16cid:durableId="657612754">
    <w:abstractNumId w:val="18"/>
  </w:num>
  <w:num w:numId="5" w16cid:durableId="1193808871">
    <w:abstractNumId w:val="33"/>
  </w:num>
  <w:num w:numId="6" w16cid:durableId="781268177">
    <w:abstractNumId w:val="5"/>
  </w:num>
  <w:num w:numId="7" w16cid:durableId="201872007">
    <w:abstractNumId w:val="16"/>
  </w:num>
  <w:num w:numId="8" w16cid:durableId="1295333019">
    <w:abstractNumId w:val="30"/>
  </w:num>
  <w:num w:numId="9" w16cid:durableId="513112173">
    <w:abstractNumId w:val="31"/>
  </w:num>
  <w:num w:numId="10" w16cid:durableId="2049523386">
    <w:abstractNumId w:val="10"/>
  </w:num>
  <w:num w:numId="11" w16cid:durableId="1370840847">
    <w:abstractNumId w:val="12"/>
  </w:num>
  <w:num w:numId="12" w16cid:durableId="1021859395">
    <w:abstractNumId w:val="7"/>
  </w:num>
  <w:num w:numId="13" w16cid:durableId="1167093030">
    <w:abstractNumId w:val="42"/>
  </w:num>
  <w:num w:numId="14" w16cid:durableId="1771392860">
    <w:abstractNumId w:val="19"/>
  </w:num>
  <w:num w:numId="15" w16cid:durableId="1260019971">
    <w:abstractNumId w:val="13"/>
  </w:num>
  <w:num w:numId="16" w16cid:durableId="546987736">
    <w:abstractNumId w:val="24"/>
  </w:num>
  <w:num w:numId="17" w16cid:durableId="2137412053">
    <w:abstractNumId w:val="20"/>
  </w:num>
  <w:num w:numId="18" w16cid:durableId="2039037637">
    <w:abstractNumId w:val="26"/>
  </w:num>
  <w:num w:numId="19" w16cid:durableId="1939945119">
    <w:abstractNumId w:val="34"/>
  </w:num>
  <w:num w:numId="20" w16cid:durableId="1057584041">
    <w:abstractNumId w:val="11"/>
  </w:num>
  <w:num w:numId="21" w16cid:durableId="1439716324">
    <w:abstractNumId w:val="39"/>
  </w:num>
  <w:num w:numId="22" w16cid:durableId="321355733">
    <w:abstractNumId w:val="0"/>
  </w:num>
  <w:num w:numId="23" w16cid:durableId="317730129">
    <w:abstractNumId w:val="9"/>
  </w:num>
  <w:num w:numId="24" w16cid:durableId="480850916">
    <w:abstractNumId w:val="36"/>
  </w:num>
  <w:num w:numId="25" w16cid:durableId="130027160">
    <w:abstractNumId w:val="23"/>
  </w:num>
  <w:num w:numId="26" w16cid:durableId="1357119577">
    <w:abstractNumId w:val="25"/>
  </w:num>
  <w:num w:numId="27" w16cid:durableId="191890131">
    <w:abstractNumId w:val="3"/>
  </w:num>
  <w:num w:numId="28" w16cid:durableId="988483141">
    <w:abstractNumId w:val="21"/>
  </w:num>
  <w:num w:numId="29" w16cid:durableId="1735277981">
    <w:abstractNumId w:val="1"/>
  </w:num>
  <w:num w:numId="30" w16cid:durableId="1615476087">
    <w:abstractNumId w:val="32"/>
  </w:num>
  <w:num w:numId="31" w16cid:durableId="515077047">
    <w:abstractNumId w:val="6"/>
  </w:num>
  <w:num w:numId="32" w16cid:durableId="1020857364">
    <w:abstractNumId w:val="4"/>
  </w:num>
  <w:num w:numId="33" w16cid:durableId="1008487940">
    <w:abstractNumId w:val="29"/>
  </w:num>
  <w:num w:numId="34" w16cid:durableId="1988507201">
    <w:abstractNumId w:val="14"/>
  </w:num>
  <w:num w:numId="35" w16cid:durableId="899050681">
    <w:abstractNumId w:val="28"/>
  </w:num>
  <w:num w:numId="36" w16cid:durableId="2101754570">
    <w:abstractNumId w:val="15"/>
  </w:num>
  <w:num w:numId="37" w16cid:durableId="1410880556">
    <w:abstractNumId w:val="35"/>
  </w:num>
  <w:num w:numId="38" w16cid:durableId="978337593">
    <w:abstractNumId w:val="22"/>
  </w:num>
  <w:num w:numId="39" w16cid:durableId="1116487239">
    <w:abstractNumId w:val="41"/>
  </w:num>
  <w:num w:numId="40" w16cid:durableId="1588534694">
    <w:abstractNumId w:val="40"/>
  </w:num>
  <w:num w:numId="41" w16cid:durableId="466168822">
    <w:abstractNumId w:val="38"/>
  </w:num>
  <w:num w:numId="42" w16cid:durableId="1955212328">
    <w:abstractNumId w:val="2"/>
  </w:num>
  <w:num w:numId="43" w16cid:durableId="717097150">
    <w:abstractNumId w:val="8"/>
  </w:num>
  <w:num w:numId="44" w16cid:durableId="212079918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BE"/>
    <w:rsid w:val="00001DF1"/>
    <w:rsid w:val="000020B4"/>
    <w:rsid w:val="00002AC5"/>
    <w:rsid w:val="00011FC6"/>
    <w:rsid w:val="0001222B"/>
    <w:rsid w:val="00015441"/>
    <w:rsid w:val="00015C79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0D38"/>
    <w:rsid w:val="0003213D"/>
    <w:rsid w:val="00035D96"/>
    <w:rsid w:val="00036EE4"/>
    <w:rsid w:val="00037552"/>
    <w:rsid w:val="000414CD"/>
    <w:rsid w:val="000453F8"/>
    <w:rsid w:val="00045E8A"/>
    <w:rsid w:val="00050710"/>
    <w:rsid w:val="000523A6"/>
    <w:rsid w:val="000524FA"/>
    <w:rsid w:val="00052A67"/>
    <w:rsid w:val="00052B85"/>
    <w:rsid w:val="00053145"/>
    <w:rsid w:val="000532B3"/>
    <w:rsid w:val="00054B6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25F4"/>
    <w:rsid w:val="000760D8"/>
    <w:rsid w:val="000769BB"/>
    <w:rsid w:val="00077062"/>
    <w:rsid w:val="00077DF9"/>
    <w:rsid w:val="00077EEC"/>
    <w:rsid w:val="0008047F"/>
    <w:rsid w:val="00081BFA"/>
    <w:rsid w:val="00081C69"/>
    <w:rsid w:val="000853CB"/>
    <w:rsid w:val="00087E0D"/>
    <w:rsid w:val="000910A7"/>
    <w:rsid w:val="000928F9"/>
    <w:rsid w:val="00094BC2"/>
    <w:rsid w:val="00094C1B"/>
    <w:rsid w:val="000963D1"/>
    <w:rsid w:val="00096628"/>
    <w:rsid w:val="000977C5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10A94"/>
    <w:rsid w:val="00110AD8"/>
    <w:rsid w:val="001110D8"/>
    <w:rsid w:val="00112FAE"/>
    <w:rsid w:val="001131E2"/>
    <w:rsid w:val="001134E7"/>
    <w:rsid w:val="00113579"/>
    <w:rsid w:val="00114E23"/>
    <w:rsid w:val="00115EF8"/>
    <w:rsid w:val="00121C0F"/>
    <w:rsid w:val="00123D25"/>
    <w:rsid w:val="00124CBD"/>
    <w:rsid w:val="001252AE"/>
    <w:rsid w:val="00125557"/>
    <w:rsid w:val="001260E7"/>
    <w:rsid w:val="001306F4"/>
    <w:rsid w:val="00130EC7"/>
    <w:rsid w:val="00134FDA"/>
    <w:rsid w:val="00135081"/>
    <w:rsid w:val="001352C4"/>
    <w:rsid w:val="00136466"/>
    <w:rsid w:val="001368F7"/>
    <w:rsid w:val="00140B46"/>
    <w:rsid w:val="001413FC"/>
    <w:rsid w:val="00145D3C"/>
    <w:rsid w:val="001503E8"/>
    <w:rsid w:val="00154516"/>
    <w:rsid w:val="001558FB"/>
    <w:rsid w:val="00155A83"/>
    <w:rsid w:val="00156264"/>
    <w:rsid w:val="00156529"/>
    <w:rsid w:val="001579DA"/>
    <w:rsid w:val="00161EBC"/>
    <w:rsid w:val="00163039"/>
    <w:rsid w:val="00165770"/>
    <w:rsid w:val="00165B01"/>
    <w:rsid w:val="00166C1A"/>
    <w:rsid w:val="0017169E"/>
    <w:rsid w:val="0017396B"/>
    <w:rsid w:val="00175BE8"/>
    <w:rsid w:val="00175F5D"/>
    <w:rsid w:val="00176C49"/>
    <w:rsid w:val="00177200"/>
    <w:rsid w:val="001779E5"/>
    <w:rsid w:val="00182263"/>
    <w:rsid w:val="0018281C"/>
    <w:rsid w:val="001852BB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CA6"/>
    <w:rsid w:val="001A48E7"/>
    <w:rsid w:val="001A73CD"/>
    <w:rsid w:val="001B06E1"/>
    <w:rsid w:val="001B1619"/>
    <w:rsid w:val="001B187B"/>
    <w:rsid w:val="001B2735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5058"/>
    <w:rsid w:val="001C6303"/>
    <w:rsid w:val="001C74F4"/>
    <w:rsid w:val="001C7A05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35A2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30A13"/>
    <w:rsid w:val="00230BEA"/>
    <w:rsid w:val="002331C6"/>
    <w:rsid w:val="002338EB"/>
    <w:rsid w:val="00236B76"/>
    <w:rsid w:val="002408EA"/>
    <w:rsid w:val="00241410"/>
    <w:rsid w:val="00253BB2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410"/>
    <w:rsid w:val="00271804"/>
    <w:rsid w:val="00271857"/>
    <w:rsid w:val="00272543"/>
    <w:rsid w:val="002744FD"/>
    <w:rsid w:val="00276AC9"/>
    <w:rsid w:val="0027733E"/>
    <w:rsid w:val="00277ED2"/>
    <w:rsid w:val="00280F8A"/>
    <w:rsid w:val="00285CA9"/>
    <w:rsid w:val="00286537"/>
    <w:rsid w:val="00286C3A"/>
    <w:rsid w:val="00287467"/>
    <w:rsid w:val="00291A5B"/>
    <w:rsid w:val="00292B2C"/>
    <w:rsid w:val="0029330E"/>
    <w:rsid w:val="00294A52"/>
    <w:rsid w:val="00296E2E"/>
    <w:rsid w:val="002A5503"/>
    <w:rsid w:val="002A58B9"/>
    <w:rsid w:val="002A6812"/>
    <w:rsid w:val="002A7339"/>
    <w:rsid w:val="002A7A24"/>
    <w:rsid w:val="002B4762"/>
    <w:rsid w:val="002B565A"/>
    <w:rsid w:val="002B71D2"/>
    <w:rsid w:val="002C1326"/>
    <w:rsid w:val="002C1868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44D4"/>
    <w:rsid w:val="002D58EA"/>
    <w:rsid w:val="002D7242"/>
    <w:rsid w:val="002E13A4"/>
    <w:rsid w:val="002F13B0"/>
    <w:rsid w:val="002F1488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6A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23C1"/>
    <w:rsid w:val="003236DA"/>
    <w:rsid w:val="003244E5"/>
    <w:rsid w:val="00324C60"/>
    <w:rsid w:val="00326131"/>
    <w:rsid w:val="00326482"/>
    <w:rsid w:val="00330EED"/>
    <w:rsid w:val="00331235"/>
    <w:rsid w:val="00331B26"/>
    <w:rsid w:val="00334845"/>
    <w:rsid w:val="003351B7"/>
    <w:rsid w:val="0033631A"/>
    <w:rsid w:val="00336946"/>
    <w:rsid w:val="00340D15"/>
    <w:rsid w:val="00341BA8"/>
    <w:rsid w:val="00343389"/>
    <w:rsid w:val="00343A77"/>
    <w:rsid w:val="00344166"/>
    <w:rsid w:val="00345C2E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C85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0F4A"/>
    <w:rsid w:val="00391F56"/>
    <w:rsid w:val="0039252D"/>
    <w:rsid w:val="003953C7"/>
    <w:rsid w:val="003A03DC"/>
    <w:rsid w:val="003A1975"/>
    <w:rsid w:val="003A1DE1"/>
    <w:rsid w:val="003A39A0"/>
    <w:rsid w:val="003A3E2A"/>
    <w:rsid w:val="003B0286"/>
    <w:rsid w:val="003B091A"/>
    <w:rsid w:val="003B1C33"/>
    <w:rsid w:val="003B254D"/>
    <w:rsid w:val="003B298F"/>
    <w:rsid w:val="003B69AA"/>
    <w:rsid w:val="003B7367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29FB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9BB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6B9D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33BB"/>
    <w:rsid w:val="00474AD7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0D2B"/>
    <w:rsid w:val="004917EA"/>
    <w:rsid w:val="0049285D"/>
    <w:rsid w:val="00492AC8"/>
    <w:rsid w:val="00492CB6"/>
    <w:rsid w:val="00493C87"/>
    <w:rsid w:val="00496B1E"/>
    <w:rsid w:val="00497AD3"/>
    <w:rsid w:val="004A13E2"/>
    <w:rsid w:val="004A1FB6"/>
    <w:rsid w:val="004A237B"/>
    <w:rsid w:val="004A429B"/>
    <w:rsid w:val="004A517E"/>
    <w:rsid w:val="004A664D"/>
    <w:rsid w:val="004B1325"/>
    <w:rsid w:val="004B4360"/>
    <w:rsid w:val="004B5F89"/>
    <w:rsid w:val="004B686A"/>
    <w:rsid w:val="004B688D"/>
    <w:rsid w:val="004B6CCA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5ED9"/>
    <w:rsid w:val="004D756F"/>
    <w:rsid w:val="004E0E78"/>
    <w:rsid w:val="004E2BFB"/>
    <w:rsid w:val="004E4C4B"/>
    <w:rsid w:val="004E54B6"/>
    <w:rsid w:val="004E719E"/>
    <w:rsid w:val="004E7922"/>
    <w:rsid w:val="004F156C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2E41"/>
    <w:rsid w:val="00523BB4"/>
    <w:rsid w:val="005243EC"/>
    <w:rsid w:val="005249CF"/>
    <w:rsid w:val="00525DD1"/>
    <w:rsid w:val="00527A29"/>
    <w:rsid w:val="00527B6D"/>
    <w:rsid w:val="005343E1"/>
    <w:rsid w:val="005353CB"/>
    <w:rsid w:val="00535CCD"/>
    <w:rsid w:val="00542124"/>
    <w:rsid w:val="00545970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114A"/>
    <w:rsid w:val="005935C0"/>
    <w:rsid w:val="00596607"/>
    <w:rsid w:val="005A014D"/>
    <w:rsid w:val="005A1574"/>
    <w:rsid w:val="005A188D"/>
    <w:rsid w:val="005A1A5C"/>
    <w:rsid w:val="005A4AD8"/>
    <w:rsid w:val="005A50D3"/>
    <w:rsid w:val="005A5101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0420"/>
    <w:rsid w:val="005D15B9"/>
    <w:rsid w:val="005D1E0A"/>
    <w:rsid w:val="005D352A"/>
    <w:rsid w:val="005D48F9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5AFD"/>
    <w:rsid w:val="005F6BB8"/>
    <w:rsid w:val="005F6F0A"/>
    <w:rsid w:val="005F7681"/>
    <w:rsid w:val="005F7C15"/>
    <w:rsid w:val="00601291"/>
    <w:rsid w:val="0060351B"/>
    <w:rsid w:val="00607959"/>
    <w:rsid w:val="0061221F"/>
    <w:rsid w:val="00614078"/>
    <w:rsid w:val="00614254"/>
    <w:rsid w:val="006150A0"/>
    <w:rsid w:val="0062228B"/>
    <w:rsid w:val="00624430"/>
    <w:rsid w:val="0062483A"/>
    <w:rsid w:val="00625AEE"/>
    <w:rsid w:val="00627687"/>
    <w:rsid w:val="006276D1"/>
    <w:rsid w:val="006279C2"/>
    <w:rsid w:val="00632D86"/>
    <w:rsid w:val="00637F2A"/>
    <w:rsid w:val="00642C45"/>
    <w:rsid w:val="0064313B"/>
    <w:rsid w:val="0064319B"/>
    <w:rsid w:val="006434DF"/>
    <w:rsid w:val="0064604F"/>
    <w:rsid w:val="00650183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1D45"/>
    <w:rsid w:val="006775AB"/>
    <w:rsid w:val="006802CA"/>
    <w:rsid w:val="006814B9"/>
    <w:rsid w:val="00683039"/>
    <w:rsid w:val="0068417E"/>
    <w:rsid w:val="00684913"/>
    <w:rsid w:val="00684B41"/>
    <w:rsid w:val="00684E13"/>
    <w:rsid w:val="00685588"/>
    <w:rsid w:val="006862FD"/>
    <w:rsid w:val="00686D56"/>
    <w:rsid w:val="00691EDF"/>
    <w:rsid w:val="006921E1"/>
    <w:rsid w:val="006929E9"/>
    <w:rsid w:val="00692F13"/>
    <w:rsid w:val="006937D0"/>
    <w:rsid w:val="00693996"/>
    <w:rsid w:val="006948AC"/>
    <w:rsid w:val="00696325"/>
    <w:rsid w:val="006966FC"/>
    <w:rsid w:val="006A2C36"/>
    <w:rsid w:val="006A5DF3"/>
    <w:rsid w:val="006A5E06"/>
    <w:rsid w:val="006B17FD"/>
    <w:rsid w:val="006B44E2"/>
    <w:rsid w:val="006C0C61"/>
    <w:rsid w:val="006C1C14"/>
    <w:rsid w:val="006C3D61"/>
    <w:rsid w:val="006D4325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1D88"/>
    <w:rsid w:val="00726FF0"/>
    <w:rsid w:val="00727230"/>
    <w:rsid w:val="00730AA4"/>
    <w:rsid w:val="0073113B"/>
    <w:rsid w:val="00732C44"/>
    <w:rsid w:val="00734CC7"/>
    <w:rsid w:val="00735337"/>
    <w:rsid w:val="00736348"/>
    <w:rsid w:val="00736448"/>
    <w:rsid w:val="00736BD6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2F4"/>
    <w:rsid w:val="007825BE"/>
    <w:rsid w:val="007831FB"/>
    <w:rsid w:val="0078341A"/>
    <w:rsid w:val="007839C3"/>
    <w:rsid w:val="00783E53"/>
    <w:rsid w:val="00785266"/>
    <w:rsid w:val="00785616"/>
    <w:rsid w:val="007910D0"/>
    <w:rsid w:val="00791BB8"/>
    <w:rsid w:val="00792D69"/>
    <w:rsid w:val="007951F7"/>
    <w:rsid w:val="007954FC"/>
    <w:rsid w:val="007969DF"/>
    <w:rsid w:val="00796B64"/>
    <w:rsid w:val="0079772A"/>
    <w:rsid w:val="007977F2"/>
    <w:rsid w:val="007A0BC6"/>
    <w:rsid w:val="007A47DE"/>
    <w:rsid w:val="007B1980"/>
    <w:rsid w:val="007B1A6C"/>
    <w:rsid w:val="007B5378"/>
    <w:rsid w:val="007C1642"/>
    <w:rsid w:val="007C33F3"/>
    <w:rsid w:val="007C4561"/>
    <w:rsid w:val="007C4814"/>
    <w:rsid w:val="007C516A"/>
    <w:rsid w:val="007C6CFD"/>
    <w:rsid w:val="007D28D7"/>
    <w:rsid w:val="007D31FD"/>
    <w:rsid w:val="007D42BC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2B03"/>
    <w:rsid w:val="007F71A5"/>
    <w:rsid w:val="007F744E"/>
    <w:rsid w:val="007F7F72"/>
    <w:rsid w:val="008010D5"/>
    <w:rsid w:val="0080217C"/>
    <w:rsid w:val="00802828"/>
    <w:rsid w:val="0080288C"/>
    <w:rsid w:val="00802D31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1E26"/>
    <w:rsid w:val="00855549"/>
    <w:rsid w:val="0086032D"/>
    <w:rsid w:val="00861B3D"/>
    <w:rsid w:val="00862879"/>
    <w:rsid w:val="00864DAB"/>
    <w:rsid w:val="00865C6A"/>
    <w:rsid w:val="00865CE7"/>
    <w:rsid w:val="00866250"/>
    <w:rsid w:val="00866FA1"/>
    <w:rsid w:val="0086701C"/>
    <w:rsid w:val="00867262"/>
    <w:rsid w:val="00870BDD"/>
    <w:rsid w:val="008717F1"/>
    <w:rsid w:val="008759C9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3EC0"/>
    <w:rsid w:val="008A4716"/>
    <w:rsid w:val="008A6605"/>
    <w:rsid w:val="008A6A0C"/>
    <w:rsid w:val="008B183A"/>
    <w:rsid w:val="008B4B98"/>
    <w:rsid w:val="008C183F"/>
    <w:rsid w:val="008C1C95"/>
    <w:rsid w:val="008C3D9F"/>
    <w:rsid w:val="008C4122"/>
    <w:rsid w:val="008C582A"/>
    <w:rsid w:val="008C669E"/>
    <w:rsid w:val="008D2A77"/>
    <w:rsid w:val="008D2EC9"/>
    <w:rsid w:val="008D62F8"/>
    <w:rsid w:val="008D652E"/>
    <w:rsid w:val="008D6A3E"/>
    <w:rsid w:val="008E1B3C"/>
    <w:rsid w:val="008E341F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0E78"/>
    <w:rsid w:val="0093101C"/>
    <w:rsid w:val="00931E06"/>
    <w:rsid w:val="0093543E"/>
    <w:rsid w:val="00937E8B"/>
    <w:rsid w:val="00940A6B"/>
    <w:rsid w:val="009460E7"/>
    <w:rsid w:val="00947483"/>
    <w:rsid w:val="00947FDB"/>
    <w:rsid w:val="00950C7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59B"/>
    <w:rsid w:val="00987B83"/>
    <w:rsid w:val="00987E66"/>
    <w:rsid w:val="00990173"/>
    <w:rsid w:val="00991E9C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036"/>
    <w:rsid w:val="009A4775"/>
    <w:rsid w:val="009A75C4"/>
    <w:rsid w:val="009B0897"/>
    <w:rsid w:val="009B0E59"/>
    <w:rsid w:val="009B207F"/>
    <w:rsid w:val="009B276A"/>
    <w:rsid w:val="009B3223"/>
    <w:rsid w:val="009B3F8C"/>
    <w:rsid w:val="009B4063"/>
    <w:rsid w:val="009B4C85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0F5"/>
    <w:rsid w:val="009D02ED"/>
    <w:rsid w:val="009D1D56"/>
    <w:rsid w:val="009D1EB8"/>
    <w:rsid w:val="009D49AA"/>
    <w:rsid w:val="009D4FBB"/>
    <w:rsid w:val="009D7602"/>
    <w:rsid w:val="009E04BF"/>
    <w:rsid w:val="009E3151"/>
    <w:rsid w:val="009E680B"/>
    <w:rsid w:val="009E6AE5"/>
    <w:rsid w:val="009F1902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138D"/>
    <w:rsid w:val="00A426BE"/>
    <w:rsid w:val="00A47852"/>
    <w:rsid w:val="00A526EF"/>
    <w:rsid w:val="00A53E97"/>
    <w:rsid w:val="00A54F81"/>
    <w:rsid w:val="00A553A6"/>
    <w:rsid w:val="00A554D4"/>
    <w:rsid w:val="00A60794"/>
    <w:rsid w:val="00A611CE"/>
    <w:rsid w:val="00A614C6"/>
    <w:rsid w:val="00A65BC8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499"/>
    <w:rsid w:val="00A85968"/>
    <w:rsid w:val="00A866E2"/>
    <w:rsid w:val="00A879B5"/>
    <w:rsid w:val="00A87E62"/>
    <w:rsid w:val="00A90FB2"/>
    <w:rsid w:val="00A922F5"/>
    <w:rsid w:val="00A9270F"/>
    <w:rsid w:val="00A94C1A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1A16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9E0"/>
    <w:rsid w:val="00B50B39"/>
    <w:rsid w:val="00B51AB4"/>
    <w:rsid w:val="00B53A23"/>
    <w:rsid w:val="00B54BE5"/>
    <w:rsid w:val="00B55D4E"/>
    <w:rsid w:val="00B570F4"/>
    <w:rsid w:val="00B57BE4"/>
    <w:rsid w:val="00B6062D"/>
    <w:rsid w:val="00B624D0"/>
    <w:rsid w:val="00B67460"/>
    <w:rsid w:val="00B67A85"/>
    <w:rsid w:val="00B70575"/>
    <w:rsid w:val="00B70FFB"/>
    <w:rsid w:val="00B712E5"/>
    <w:rsid w:val="00B71BDC"/>
    <w:rsid w:val="00B72513"/>
    <w:rsid w:val="00B73B73"/>
    <w:rsid w:val="00B77084"/>
    <w:rsid w:val="00B80DAC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B7FE2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F45"/>
    <w:rsid w:val="00BE2BC8"/>
    <w:rsid w:val="00BE387B"/>
    <w:rsid w:val="00BE5835"/>
    <w:rsid w:val="00BE5D71"/>
    <w:rsid w:val="00BE7D2D"/>
    <w:rsid w:val="00BF0116"/>
    <w:rsid w:val="00BF1474"/>
    <w:rsid w:val="00BF16F6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6718"/>
    <w:rsid w:val="00C17C17"/>
    <w:rsid w:val="00C17D6A"/>
    <w:rsid w:val="00C203C9"/>
    <w:rsid w:val="00C22E43"/>
    <w:rsid w:val="00C23238"/>
    <w:rsid w:val="00C235DF"/>
    <w:rsid w:val="00C2539E"/>
    <w:rsid w:val="00C278DE"/>
    <w:rsid w:val="00C2796B"/>
    <w:rsid w:val="00C27B54"/>
    <w:rsid w:val="00C3004B"/>
    <w:rsid w:val="00C31F4C"/>
    <w:rsid w:val="00C3209A"/>
    <w:rsid w:val="00C325DE"/>
    <w:rsid w:val="00C32ADC"/>
    <w:rsid w:val="00C35755"/>
    <w:rsid w:val="00C42E13"/>
    <w:rsid w:val="00C4427F"/>
    <w:rsid w:val="00C45702"/>
    <w:rsid w:val="00C47DDE"/>
    <w:rsid w:val="00C50912"/>
    <w:rsid w:val="00C50FF0"/>
    <w:rsid w:val="00C56073"/>
    <w:rsid w:val="00C578C1"/>
    <w:rsid w:val="00C57AA1"/>
    <w:rsid w:val="00C57E04"/>
    <w:rsid w:val="00C63347"/>
    <w:rsid w:val="00C64D23"/>
    <w:rsid w:val="00C650D7"/>
    <w:rsid w:val="00C668F9"/>
    <w:rsid w:val="00C67B74"/>
    <w:rsid w:val="00C7123A"/>
    <w:rsid w:val="00C7128F"/>
    <w:rsid w:val="00C7141A"/>
    <w:rsid w:val="00C71666"/>
    <w:rsid w:val="00C7331B"/>
    <w:rsid w:val="00C74667"/>
    <w:rsid w:val="00C74D07"/>
    <w:rsid w:val="00C803FD"/>
    <w:rsid w:val="00C80EB4"/>
    <w:rsid w:val="00C8156F"/>
    <w:rsid w:val="00C86682"/>
    <w:rsid w:val="00C9011F"/>
    <w:rsid w:val="00C90846"/>
    <w:rsid w:val="00C92700"/>
    <w:rsid w:val="00C92E3F"/>
    <w:rsid w:val="00C930FC"/>
    <w:rsid w:val="00C94681"/>
    <w:rsid w:val="00CA129E"/>
    <w:rsid w:val="00CA20B5"/>
    <w:rsid w:val="00CA3562"/>
    <w:rsid w:val="00CA371D"/>
    <w:rsid w:val="00CA55C0"/>
    <w:rsid w:val="00CA6681"/>
    <w:rsid w:val="00CA77AE"/>
    <w:rsid w:val="00CB0A27"/>
    <w:rsid w:val="00CB2154"/>
    <w:rsid w:val="00CB35D9"/>
    <w:rsid w:val="00CB4A8A"/>
    <w:rsid w:val="00CB60DD"/>
    <w:rsid w:val="00CB6E1F"/>
    <w:rsid w:val="00CB728B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E5405"/>
    <w:rsid w:val="00CE5520"/>
    <w:rsid w:val="00CE7BAD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156C"/>
    <w:rsid w:val="00D02688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2EAB"/>
    <w:rsid w:val="00D2662F"/>
    <w:rsid w:val="00D2772A"/>
    <w:rsid w:val="00D33FC2"/>
    <w:rsid w:val="00D349ED"/>
    <w:rsid w:val="00D351C1"/>
    <w:rsid w:val="00D35E64"/>
    <w:rsid w:val="00D36CA3"/>
    <w:rsid w:val="00D41537"/>
    <w:rsid w:val="00D418F3"/>
    <w:rsid w:val="00D4249C"/>
    <w:rsid w:val="00D428BC"/>
    <w:rsid w:val="00D42C6E"/>
    <w:rsid w:val="00D44776"/>
    <w:rsid w:val="00D44CE7"/>
    <w:rsid w:val="00D45804"/>
    <w:rsid w:val="00D46BC7"/>
    <w:rsid w:val="00D47082"/>
    <w:rsid w:val="00D50CD8"/>
    <w:rsid w:val="00D51245"/>
    <w:rsid w:val="00D532B8"/>
    <w:rsid w:val="00D54B6F"/>
    <w:rsid w:val="00D54E73"/>
    <w:rsid w:val="00D575A3"/>
    <w:rsid w:val="00D613A6"/>
    <w:rsid w:val="00D617A6"/>
    <w:rsid w:val="00D650EA"/>
    <w:rsid w:val="00D706A3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2857"/>
    <w:rsid w:val="00D939B7"/>
    <w:rsid w:val="00D950D8"/>
    <w:rsid w:val="00D95477"/>
    <w:rsid w:val="00D959C3"/>
    <w:rsid w:val="00D961B8"/>
    <w:rsid w:val="00DA1511"/>
    <w:rsid w:val="00DA57E1"/>
    <w:rsid w:val="00DA6FB8"/>
    <w:rsid w:val="00DA777A"/>
    <w:rsid w:val="00DA7C78"/>
    <w:rsid w:val="00DB0188"/>
    <w:rsid w:val="00DB26A8"/>
    <w:rsid w:val="00DB3C58"/>
    <w:rsid w:val="00DB4F9F"/>
    <w:rsid w:val="00DB532E"/>
    <w:rsid w:val="00DB5728"/>
    <w:rsid w:val="00DB5AE0"/>
    <w:rsid w:val="00DB5EEF"/>
    <w:rsid w:val="00DB6161"/>
    <w:rsid w:val="00DB65B9"/>
    <w:rsid w:val="00DB70FB"/>
    <w:rsid w:val="00DC0CD5"/>
    <w:rsid w:val="00DC334D"/>
    <w:rsid w:val="00DC6AAD"/>
    <w:rsid w:val="00DD05B4"/>
    <w:rsid w:val="00DD559D"/>
    <w:rsid w:val="00DE165D"/>
    <w:rsid w:val="00DE2F91"/>
    <w:rsid w:val="00DE2FD7"/>
    <w:rsid w:val="00DE3F4C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3F71"/>
    <w:rsid w:val="00E045EE"/>
    <w:rsid w:val="00E06ED0"/>
    <w:rsid w:val="00E10557"/>
    <w:rsid w:val="00E1082D"/>
    <w:rsid w:val="00E130CB"/>
    <w:rsid w:val="00E14934"/>
    <w:rsid w:val="00E172BE"/>
    <w:rsid w:val="00E2160E"/>
    <w:rsid w:val="00E24E02"/>
    <w:rsid w:val="00E25895"/>
    <w:rsid w:val="00E30CA9"/>
    <w:rsid w:val="00E3132C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2DE0"/>
    <w:rsid w:val="00E63ADD"/>
    <w:rsid w:val="00E64120"/>
    <w:rsid w:val="00E65FA3"/>
    <w:rsid w:val="00E678CB"/>
    <w:rsid w:val="00E67D1E"/>
    <w:rsid w:val="00E707FD"/>
    <w:rsid w:val="00E70B10"/>
    <w:rsid w:val="00E710D7"/>
    <w:rsid w:val="00E71348"/>
    <w:rsid w:val="00E71657"/>
    <w:rsid w:val="00E72EDE"/>
    <w:rsid w:val="00E745BB"/>
    <w:rsid w:val="00E8010A"/>
    <w:rsid w:val="00E80D46"/>
    <w:rsid w:val="00E8229C"/>
    <w:rsid w:val="00E836E5"/>
    <w:rsid w:val="00E84601"/>
    <w:rsid w:val="00E84939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2BDE"/>
    <w:rsid w:val="00EA4221"/>
    <w:rsid w:val="00EB2FE6"/>
    <w:rsid w:val="00EB3CD8"/>
    <w:rsid w:val="00EB6F5F"/>
    <w:rsid w:val="00EC3AC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049D"/>
    <w:rsid w:val="00EF1207"/>
    <w:rsid w:val="00EF319C"/>
    <w:rsid w:val="00EF3258"/>
    <w:rsid w:val="00EF629F"/>
    <w:rsid w:val="00EF7C4A"/>
    <w:rsid w:val="00F00846"/>
    <w:rsid w:val="00F02496"/>
    <w:rsid w:val="00F027E4"/>
    <w:rsid w:val="00F055F1"/>
    <w:rsid w:val="00F05A46"/>
    <w:rsid w:val="00F100EB"/>
    <w:rsid w:val="00F109F8"/>
    <w:rsid w:val="00F15458"/>
    <w:rsid w:val="00F158C7"/>
    <w:rsid w:val="00F162F4"/>
    <w:rsid w:val="00F16C11"/>
    <w:rsid w:val="00F20565"/>
    <w:rsid w:val="00F22278"/>
    <w:rsid w:val="00F25246"/>
    <w:rsid w:val="00F25E72"/>
    <w:rsid w:val="00F307D6"/>
    <w:rsid w:val="00F31A8E"/>
    <w:rsid w:val="00F32C2D"/>
    <w:rsid w:val="00F3394E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0DA5"/>
    <w:rsid w:val="00F63D66"/>
    <w:rsid w:val="00F64504"/>
    <w:rsid w:val="00F6458C"/>
    <w:rsid w:val="00F6478A"/>
    <w:rsid w:val="00F6661C"/>
    <w:rsid w:val="00F6682D"/>
    <w:rsid w:val="00F66B96"/>
    <w:rsid w:val="00F701C7"/>
    <w:rsid w:val="00F70339"/>
    <w:rsid w:val="00F7531F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217D"/>
    <w:rsid w:val="00F94BD6"/>
    <w:rsid w:val="00F958CC"/>
    <w:rsid w:val="00F967DF"/>
    <w:rsid w:val="00FA2482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C7740"/>
    <w:rsid w:val="00FD0268"/>
    <w:rsid w:val="00FD05BA"/>
    <w:rsid w:val="00FD0638"/>
    <w:rsid w:val="00FD2A0A"/>
    <w:rsid w:val="00FD3934"/>
    <w:rsid w:val="00FD40F7"/>
    <w:rsid w:val="00FD5913"/>
    <w:rsid w:val="00FD6E31"/>
    <w:rsid w:val="00FE0558"/>
    <w:rsid w:val="00FE0BF6"/>
    <w:rsid w:val="00FE11E8"/>
    <w:rsid w:val="00FE29B5"/>
    <w:rsid w:val="00FE32EB"/>
    <w:rsid w:val="00FE3AFF"/>
    <w:rsid w:val="00FE4244"/>
    <w:rsid w:val="00FE607A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32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98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707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29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96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0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3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publication/network-contract-directed-enhanced-service-investment-and-impact-fund-2022-23-updated-guidance/" TargetMode="External"/><Relationship Id="rId13" Type="http://schemas.openxmlformats.org/officeDocument/2006/relationships/hyperlink" Target="https://www.nice.org.uk/guidance/cg71/" TargetMode="External"/><Relationship Id="rId18" Type="http://schemas.openxmlformats.org/officeDocument/2006/relationships/hyperlink" Target="https://digital.nhs.uk/data-and-information/publications/statistical/mi-network-contract-des/2022-2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longtermplan.nhs.uk/areas-of-work/cancer/" TargetMode="External"/><Relationship Id="rId12" Type="http://schemas.openxmlformats.org/officeDocument/2006/relationships/hyperlink" Target="https://www.nhsbenchmarking.nhs.uk/cvdprevent-outputs" TargetMode="External"/><Relationship Id="rId17" Type="http://schemas.openxmlformats.org/officeDocument/2006/relationships/hyperlink" Target="https://digital.nhs.uk/data-and-information/data-collections-and-data-sets/data-collections/quality-and-outcomes-framework-qof/quality-and-outcome-framework-qof-business-rules/enhanced-services-es-vaccination-and-immunisation-vi-and-core-contract-components-2022-20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ngland.nhs.uk/publication/network-contract-directed-enhanced-service-investment-and-impact-fund-2022-23-updated-guidanc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data-and-information/publications/statistical/mi-network-contract-des/2022-2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ice.org.uk/guidance/cg71/chapter/recommendation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ssets.publishing.service.gov.uk/government/uploads/system/uploads/attachment_data/file/731873/familial_hypercholesterolaemia_implementation_guide.pdf" TargetMode="External"/><Relationship Id="rId19" Type="http://schemas.openxmlformats.org/officeDocument/2006/relationships/hyperlink" Target="https://digital.nhs.uk/data-and-information/data-collections-and-data-sets/data-collections/quality-and-outcomes-framework-qof/quality-and-outcome-framework-qof-business-rules/enhanced-services-es-vaccination-and-immunisation-vi-and-core-contract-components-2022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etwork-contract-directed-enhanced-service-investment-and-impact-fund-2022-23-updated-guidance/" TargetMode="External"/><Relationship Id="rId14" Type="http://schemas.openxmlformats.org/officeDocument/2006/relationships/hyperlink" Target="https://www.nice.org.uk/guidance/cg71/evidence/full-guideline-appendix-f-pdf-241917811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2023-08-19T11:19:00Z</dcterms:created>
  <dcterms:modified xsi:type="dcterms:W3CDTF">2023-08-19T11:19:00Z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2023-08-19T11:19:34Z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8966a22a-945c-4128-90ab-7e0bf2baba4b</vt:lpwstr>
  </property>
  <property fmtid="{D5CDD505-2E9C-101B-9397-08002B2CF9AE}" pid="8" name="MSIP_Label_c69d85d5-6d9e-4305-a294-1f636ec0f2d6_ContentBits">
    <vt:lpwstr>0</vt:lpwstr>
  </property>
</Properties>
</file>