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7B95" w14:textId="77777777" w:rsidR="00E00E24" w:rsidRDefault="00E00E24" w:rsidP="00E00E24">
      <w:pPr>
        <w:pStyle w:val="Title"/>
      </w:pPr>
      <w:r>
        <w:t xml:space="preserve">Indicator development programme </w:t>
      </w:r>
    </w:p>
    <w:p w14:paraId="71725D4E" w14:textId="1FA42D3A" w:rsidR="00594C3A" w:rsidRDefault="00E00E24" w:rsidP="00E00E24">
      <w:pPr>
        <w:pStyle w:val="Title"/>
      </w:pPr>
      <w:r>
        <w:t>Equality Impact Assessment</w:t>
      </w:r>
    </w:p>
    <w:p w14:paraId="7867C4F6" w14:textId="48EFE7F1" w:rsidR="00E00E24" w:rsidRDefault="00E95535" w:rsidP="00072116">
      <w:pPr>
        <w:pStyle w:val="Heading1"/>
      </w:pPr>
      <w:r>
        <w:t>NM2</w:t>
      </w:r>
      <w:r w:rsidR="006F7D7C">
        <w:t>50</w:t>
      </w:r>
      <w:r w:rsidR="007B750B">
        <w:t xml:space="preserve"> </w:t>
      </w:r>
      <w:r w:rsidR="007B750B" w:rsidRPr="007B750B">
        <w:t xml:space="preserve">Learning disabilities: </w:t>
      </w:r>
      <w:r>
        <w:t>health checks</w:t>
      </w:r>
      <w:r w:rsidR="006F7D7C">
        <w:t xml:space="preserve">, </w:t>
      </w:r>
      <w:r w:rsidR="007B750B" w:rsidRPr="007B750B">
        <w:t>action plans</w:t>
      </w:r>
      <w:r w:rsidR="006F7D7C">
        <w:t xml:space="preserve"> and </w:t>
      </w:r>
      <w:proofErr w:type="gramStart"/>
      <w:r w:rsidR="006F7D7C">
        <w:t>ethnicity</w:t>
      </w:r>
      <w:proofErr w:type="gramEnd"/>
    </w:p>
    <w:p w14:paraId="3455E263" w14:textId="77777777" w:rsidR="00E00E24" w:rsidRDefault="00E00E24" w:rsidP="0073572E">
      <w:pPr>
        <w:pStyle w:val="ParagraphNumbered"/>
      </w:pPr>
      <w:r>
        <w:t xml:space="preserve">Have any potential equality issues been identified during the development process?  </w:t>
      </w:r>
    </w:p>
    <w:p w14:paraId="4C2912E9" w14:textId="77777777" w:rsidR="00BB58DD" w:rsidRDefault="001223FD" w:rsidP="007B750B">
      <w:pPr>
        <w:pStyle w:val="ParagraphNumbered"/>
        <w:numPr>
          <w:ilvl w:val="0"/>
          <w:numId w:val="0"/>
        </w:numPr>
        <w:ind w:left="425"/>
      </w:pPr>
      <w:r w:rsidRPr="001223FD">
        <w:t xml:space="preserve">People with a learning disability often have poorer physical and mental </w:t>
      </w:r>
      <w:proofErr w:type="gramStart"/>
      <w:r w:rsidRPr="001223FD">
        <w:t>health, and</w:t>
      </w:r>
      <w:proofErr w:type="gramEnd"/>
      <w:r w:rsidRPr="001223FD">
        <w:t xml:space="preserve"> are more likely to die of preventable illness</w:t>
      </w:r>
      <w:r>
        <w:t>.</w:t>
      </w:r>
      <w:r w:rsidRPr="001223FD">
        <w:t xml:space="preserve"> </w:t>
      </w:r>
      <w:r w:rsidR="007B750B" w:rsidRPr="007B750B">
        <w:t xml:space="preserve">Data from </w:t>
      </w:r>
      <w:hyperlink r:id="rId8" w:history="1">
        <w:r w:rsidR="007B750B" w:rsidRPr="007B750B">
          <w:rPr>
            <w:rStyle w:val="Hyperlink"/>
          </w:rPr>
          <w:t>Learning from Lives and Deaths - people with a learning disability and autistic people</w:t>
        </w:r>
      </w:hyperlink>
      <w:r w:rsidR="007B750B" w:rsidRPr="007B750B">
        <w:t xml:space="preserve"> (2021) </w:t>
      </w:r>
      <w:r>
        <w:t>showed</w:t>
      </w:r>
      <w:r w:rsidR="007B750B" w:rsidRPr="007B750B">
        <w:t xml:space="preserve"> that 49% of deaths were rated as avoidable for people with a learning disability compared to 22% for the general population</w:t>
      </w:r>
      <w:r w:rsidR="007B750B">
        <w:t>.</w:t>
      </w:r>
      <w:r w:rsidR="00BB58DD">
        <w:t xml:space="preserve"> </w:t>
      </w:r>
    </w:p>
    <w:p w14:paraId="2801E753" w14:textId="77777777" w:rsidR="00BB58DD" w:rsidRDefault="00BB58DD" w:rsidP="007B750B">
      <w:pPr>
        <w:pStyle w:val="ParagraphNumbered"/>
        <w:numPr>
          <w:ilvl w:val="0"/>
          <w:numId w:val="0"/>
        </w:numPr>
        <w:ind w:left="425"/>
      </w:pPr>
      <w:r>
        <w:t>Stakeholders highlighted that:</w:t>
      </w:r>
    </w:p>
    <w:p w14:paraId="1A212629" w14:textId="5B5D5E92" w:rsidR="007B750B" w:rsidRDefault="00BB58DD" w:rsidP="00BB58DD">
      <w:pPr>
        <w:pStyle w:val="Bullets"/>
      </w:pPr>
      <w:r>
        <w:t xml:space="preserve">risk of </w:t>
      </w:r>
      <w:r w:rsidRPr="00BB58DD">
        <w:t xml:space="preserve">preventable mortality and morbidity </w:t>
      </w:r>
      <w:r>
        <w:t xml:space="preserve">is further increased for people living in deprived areas or from ethnic minority backgrounds. </w:t>
      </w:r>
    </w:p>
    <w:p w14:paraId="311E9B70" w14:textId="29DBBC06" w:rsidR="00BB58DD" w:rsidRDefault="00BB58DD" w:rsidP="00BB58DD">
      <w:pPr>
        <w:pStyle w:val="Bullets"/>
      </w:pPr>
      <w:r>
        <w:t>special consideration should be given to people experiencing homelessness and people in prison.</w:t>
      </w:r>
    </w:p>
    <w:p w14:paraId="1B98CE69" w14:textId="17B6F73D" w:rsidR="00BB58DD" w:rsidRDefault="00BB58DD" w:rsidP="00BB58DD">
      <w:pPr>
        <w:pStyle w:val="Bullets"/>
        <w:spacing w:after="120"/>
        <w:ind w:left="992" w:hanging="425"/>
      </w:pPr>
      <w:r w:rsidRPr="00BB58DD">
        <w:t>appropriate reasonable adjustments for care and communication, such as longer appointment times, appointment letters In Easy Read and calm waiting areas are implemented to help people with learning disabilities access mainstream health care services</w:t>
      </w:r>
      <w:r>
        <w:t>.</w:t>
      </w:r>
    </w:p>
    <w:p w14:paraId="2BEA479D" w14:textId="7CEFE495" w:rsidR="00E00E24" w:rsidRDefault="00E00E24" w:rsidP="0073572E">
      <w:pPr>
        <w:pStyle w:val="ParagraphNumbered"/>
      </w:pPr>
      <w:r>
        <w:t>Have any population groups, treatments or settings been excluded from coverage by the indicator? Are these exclusions justified – that is, are the reasons legitimate and the exclusion proportionate?</w:t>
      </w:r>
    </w:p>
    <w:p w14:paraId="482A403C" w14:textId="49AC8C25" w:rsidR="00E00E24" w:rsidRDefault="007B750B" w:rsidP="0073572E">
      <w:pPr>
        <w:pStyle w:val="Paragraph"/>
        <w:ind w:left="425"/>
      </w:pPr>
      <w:r>
        <w:t>No.</w:t>
      </w:r>
    </w:p>
    <w:p w14:paraId="17EF2A39" w14:textId="77777777" w:rsidR="00E00E24" w:rsidRDefault="00E00E24" w:rsidP="0073572E">
      <w:pPr>
        <w:pStyle w:val="ParagraphNumbered"/>
      </w:pPr>
      <w:r>
        <w:lastRenderedPageBreak/>
        <w:t>Does the indicator make it more difficult in practice for a specific group to access services compared with other groups? If so, what are the barriers to, or difficulties with, access for the specific group?</w:t>
      </w:r>
    </w:p>
    <w:p w14:paraId="4D3379D0" w14:textId="483F910D" w:rsidR="00E00E24" w:rsidRDefault="007B750B" w:rsidP="0073572E">
      <w:pPr>
        <w:pStyle w:val="Paragraph"/>
        <w:ind w:left="425"/>
      </w:pPr>
      <w:r>
        <w:t>No.</w:t>
      </w:r>
    </w:p>
    <w:p w14:paraId="4AD507BD" w14:textId="77777777" w:rsidR="00E00E24" w:rsidRDefault="00E00E24" w:rsidP="0073572E">
      <w:pPr>
        <w:pStyle w:val="ParagraphNumbered"/>
      </w:pPr>
      <w:r>
        <w:t>Is there potential for the indicator to have an adverse impact on people with disabilities because of something that is a consequence of the disability?</w:t>
      </w:r>
    </w:p>
    <w:p w14:paraId="7253584E" w14:textId="7C857A00" w:rsidR="00E00E24" w:rsidRDefault="007B750B" w:rsidP="0073572E">
      <w:pPr>
        <w:pStyle w:val="Paragraph"/>
        <w:ind w:left="425"/>
      </w:pPr>
      <w:r>
        <w:t>No.</w:t>
      </w:r>
    </w:p>
    <w:p w14:paraId="537F7110" w14:textId="77777777" w:rsidR="001223FD" w:rsidRDefault="001223FD" w:rsidP="00E00E24">
      <w:pPr>
        <w:pStyle w:val="Paragraph"/>
      </w:pPr>
    </w:p>
    <w:p w14:paraId="799D3C0B" w14:textId="21F873CE" w:rsidR="00E00E24" w:rsidRDefault="00E00E24" w:rsidP="00E00E24">
      <w:pPr>
        <w:pStyle w:val="Paragraph"/>
      </w:pPr>
      <w:r>
        <w:t>Completed by:</w:t>
      </w:r>
      <w:r w:rsidR="007B750B">
        <w:t xml:space="preserve"> Craig Grime</w:t>
      </w:r>
    </w:p>
    <w:p w14:paraId="201561A4" w14:textId="0474CFE6" w:rsidR="00E00E24" w:rsidRDefault="00E00E24" w:rsidP="00E00E24">
      <w:pPr>
        <w:pStyle w:val="Paragraph"/>
      </w:pPr>
      <w:r>
        <w:t>Date</w:t>
      </w:r>
      <w:r w:rsidR="00FE5CEF">
        <w:t>:</w:t>
      </w:r>
      <w:r w:rsidR="007B750B">
        <w:t xml:space="preserve"> </w:t>
      </w:r>
      <w:r w:rsidR="00DB04A9">
        <w:t>08.09</w:t>
      </w:r>
      <w:r w:rsidR="007B750B">
        <w:t>.23</w:t>
      </w:r>
    </w:p>
    <w:p w14:paraId="6F4F9CED" w14:textId="63111CA6" w:rsidR="00E00E24" w:rsidRDefault="00E00E24" w:rsidP="00E00E24">
      <w:pPr>
        <w:pStyle w:val="Paragraph"/>
      </w:pPr>
      <w:r>
        <w:t xml:space="preserve">Approved by NICE quality assurance lead: </w:t>
      </w:r>
      <w:r w:rsidR="007B750B">
        <w:t>Mark Minchin</w:t>
      </w:r>
      <w:r>
        <w:t xml:space="preserve"> </w:t>
      </w:r>
    </w:p>
    <w:p w14:paraId="5C4433D2" w14:textId="5E255449" w:rsidR="00E00E24" w:rsidRDefault="00E00E24" w:rsidP="00E00E24">
      <w:pPr>
        <w:pStyle w:val="Paragraph"/>
      </w:pPr>
      <w:r>
        <w:t>Date</w:t>
      </w:r>
      <w:r w:rsidR="00FE5CEF">
        <w:t>:</w:t>
      </w:r>
      <w:r>
        <w:t xml:space="preserve"> </w:t>
      </w:r>
      <w:r w:rsidR="00DB04A9">
        <w:t>08.09</w:t>
      </w:r>
      <w:r w:rsidR="007B750B">
        <w:t>.23</w:t>
      </w:r>
    </w:p>
    <w:p w14:paraId="06DF43B7" w14:textId="67DECD9C" w:rsidR="00E00E24" w:rsidRPr="00E00E24" w:rsidRDefault="00E00E24" w:rsidP="00E00E24">
      <w:pPr>
        <w:pStyle w:val="Paragraph"/>
      </w:pPr>
      <w:r>
        <w:t>© NICE [202</w:t>
      </w:r>
      <w:r w:rsidR="00850D73">
        <w:t>3</w:t>
      </w:r>
      <w:r>
        <w:t xml:space="preserve">]. All rights reserved. Subject to </w:t>
      </w:r>
      <w:hyperlink r:id="rId9" w:anchor="notice-of-rights" w:history="1">
        <w:r w:rsidRPr="00E00E24">
          <w:rPr>
            <w:rStyle w:val="Hyperlink"/>
          </w:rPr>
          <w:t>Notice of rights</w:t>
        </w:r>
      </w:hyperlink>
      <w:r>
        <w:t>.</w:t>
      </w:r>
    </w:p>
    <w:sectPr w:rsidR="00E00E24" w:rsidRPr="00E00E24" w:rsidSect="008F6FB7">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D639" w14:textId="77777777" w:rsidR="00E00E24" w:rsidRDefault="00E00E24" w:rsidP="00446BEE">
      <w:r>
        <w:separator/>
      </w:r>
    </w:p>
  </w:endnote>
  <w:endnote w:type="continuationSeparator" w:id="0">
    <w:p w14:paraId="4F880C9C" w14:textId="77777777" w:rsidR="00E00E24" w:rsidRDefault="00E00E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7802" w14:textId="603EF133" w:rsidR="00446BEE" w:rsidRDefault="006F7D7C">
    <w:pPr>
      <w:pStyle w:val="Footer"/>
    </w:pPr>
    <w:r>
      <w:t>NM250</w:t>
    </w:r>
    <w:r w:rsidR="007B750B" w:rsidRPr="007B750B">
      <w:t>: Equality impact assessment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40125">
      <w:fldChar w:fldCharType="begin"/>
    </w:r>
    <w:r w:rsidR="00F40125">
      <w:instrText xml:space="preserve"> NUMPAGES  </w:instrText>
    </w:r>
    <w:r w:rsidR="00F40125">
      <w:fldChar w:fldCharType="separate"/>
    </w:r>
    <w:r w:rsidR="00FA2C5A">
      <w:rPr>
        <w:noProof/>
      </w:rPr>
      <w:t>1</w:t>
    </w:r>
    <w:r w:rsidR="00F4012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7DD9C78" w14:textId="48F514A7" w:rsidR="008E7826" w:rsidRDefault="00DB04A9" w:rsidP="008E7826">
            <w:pPr>
              <w:pStyle w:val="Footer"/>
            </w:pPr>
            <w:r>
              <w:t>NM2</w:t>
            </w:r>
            <w:r w:rsidR="006F7D7C">
              <w:t>50</w:t>
            </w:r>
            <w:r w:rsidR="00E00E24">
              <w:t>: Equality impact assessment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F40125">
              <w:fldChar w:fldCharType="begin"/>
            </w:r>
            <w:r w:rsidR="00F40125">
              <w:instrText xml:space="preserve"> NUMPAGES  </w:instrText>
            </w:r>
            <w:r w:rsidR="00F40125">
              <w:fldChar w:fldCharType="separate"/>
            </w:r>
            <w:r w:rsidR="008E7826" w:rsidRPr="008E7826">
              <w:rPr>
                <w:noProof/>
              </w:rPr>
              <w:t>2</w:t>
            </w:r>
            <w:r w:rsidR="00F40125">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70D9" w14:textId="77777777" w:rsidR="00E00E24" w:rsidRDefault="00E00E24" w:rsidP="00446BEE">
      <w:r>
        <w:separator/>
      </w:r>
    </w:p>
  </w:footnote>
  <w:footnote w:type="continuationSeparator" w:id="0">
    <w:p w14:paraId="7E81C0C7" w14:textId="77777777" w:rsidR="00E00E24" w:rsidRDefault="00E00E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77A8" w14:textId="77777777" w:rsidR="008F6FB7" w:rsidRDefault="008F6FB7">
    <w:pPr>
      <w:pStyle w:val="Header"/>
    </w:pPr>
    <w:r>
      <w:rPr>
        <w:noProof/>
      </w:rPr>
      <w:drawing>
        <wp:inline distT="0" distB="0" distL="0" distR="0" wp14:anchorId="2D3B8080" wp14:editId="7084FF2E">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4"/>
    <w:rsid w:val="000053F8"/>
    <w:rsid w:val="00024D0A"/>
    <w:rsid w:val="00070065"/>
    <w:rsid w:val="00072116"/>
    <w:rsid w:val="000A4FEE"/>
    <w:rsid w:val="000B5939"/>
    <w:rsid w:val="001028FE"/>
    <w:rsid w:val="001134E7"/>
    <w:rsid w:val="001223FD"/>
    <w:rsid w:val="001336FF"/>
    <w:rsid w:val="00136206"/>
    <w:rsid w:val="00157BBE"/>
    <w:rsid w:val="0017169E"/>
    <w:rsid w:val="001A6635"/>
    <w:rsid w:val="001B0EE9"/>
    <w:rsid w:val="001B65B3"/>
    <w:rsid w:val="001E60D6"/>
    <w:rsid w:val="001E715C"/>
    <w:rsid w:val="002124D5"/>
    <w:rsid w:val="002408EA"/>
    <w:rsid w:val="0025603E"/>
    <w:rsid w:val="002819D7"/>
    <w:rsid w:val="002C1A7E"/>
    <w:rsid w:val="002D3376"/>
    <w:rsid w:val="00311ED0"/>
    <w:rsid w:val="003648C5"/>
    <w:rsid w:val="003722FA"/>
    <w:rsid w:val="003C7AAF"/>
    <w:rsid w:val="003D5A02"/>
    <w:rsid w:val="003F0A04"/>
    <w:rsid w:val="003F1C1C"/>
    <w:rsid w:val="004075B6"/>
    <w:rsid w:val="00420952"/>
    <w:rsid w:val="00446BEE"/>
    <w:rsid w:val="005025A1"/>
    <w:rsid w:val="00594C3A"/>
    <w:rsid w:val="005A02D5"/>
    <w:rsid w:val="005D52D0"/>
    <w:rsid w:val="00624140"/>
    <w:rsid w:val="006709A9"/>
    <w:rsid w:val="006802A7"/>
    <w:rsid w:val="006921E1"/>
    <w:rsid w:val="00696C0A"/>
    <w:rsid w:val="006A28FB"/>
    <w:rsid w:val="006F7D7C"/>
    <w:rsid w:val="0073572E"/>
    <w:rsid w:val="00736348"/>
    <w:rsid w:val="0077376B"/>
    <w:rsid w:val="00781C41"/>
    <w:rsid w:val="007B750B"/>
    <w:rsid w:val="00833D8A"/>
    <w:rsid w:val="00850D73"/>
    <w:rsid w:val="00861B92"/>
    <w:rsid w:val="008666AA"/>
    <w:rsid w:val="008814FB"/>
    <w:rsid w:val="008A41BF"/>
    <w:rsid w:val="008E7826"/>
    <w:rsid w:val="008F5E30"/>
    <w:rsid w:val="008F6FB7"/>
    <w:rsid w:val="00914D7F"/>
    <w:rsid w:val="00954039"/>
    <w:rsid w:val="0097305A"/>
    <w:rsid w:val="009E680B"/>
    <w:rsid w:val="00A15A1F"/>
    <w:rsid w:val="00A3325A"/>
    <w:rsid w:val="00A43013"/>
    <w:rsid w:val="00AF108A"/>
    <w:rsid w:val="00B02E55"/>
    <w:rsid w:val="00B036C1"/>
    <w:rsid w:val="00B5431F"/>
    <w:rsid w:val="00B65A11"/>
    <w:rsid w:val="00BB58DD"/>
    <w:rsid w:val="00BC184B"/>
    <w:rsid w:val="00BF7FE0"/>
    <w:rsid w:val="00C36044"/>
    <w:rsid w:val="00C77C66"/>
    <w:rsid w:val="00C85682"/>
    <w:rsid w:val="00C96411"/>
    <w:rsid w:val="00CB2369"/>
    <w:rsid w:val="00CF2E5C"/>
    <w:rsid w:val="00CF58B7"/>
    <w:rsid w:val="00D02A8F"/>
    <w:rsid w:val="00D11D73"/>
    <w:rsid w:val="00D1699D"/>
    <w:rsid w:val="00D351C1"/>
    <w:rsid w:val="00D35EFB"/>
    <w:rsid w:val="00D47D55"/>
    <w:rsid w:val="00D504B3"/>
    <w:rsid w:val="00D86BF0"/>
    <w:rsid w:val="00DB04A9"/>
    <w:rsid w:val="00E00E24"/>
    <w:rsid w:val="00E51079"/>
    <w:rsid w:val="00E51920"/>
    <w:rsid w:val="00E64120"/>
    <w:rsid w:val="00E660A1"/>
    <w:rsid w:val="00E72AE9"/>
    <w:rsid w:val="00E851C4"/>
    <w:rsid w:val="00E95535"/>
    <w:rsid w:val="00EB096F"/>
    <w:rsid w:val="00F055F1"/>
    <w:rsid w:val="00F40125"/>
    <w:rsid w:val="00F415B6"/>
    <w:rsid w:val="00F610AF"/>
    <w:rsid w:val="00FA2C5A"/>
    <w:rsid w:val="00FC2D11"/>
    <w:rsid w:val="00FC6230"/>
    <w:rsid w:val="00FE5CEF"/>
    <w:rsid w:val="00FF3B0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B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E00E24"/>
    <w:rPr>
      <w:color w:val="605E5C"/>
      <w:shd w:val="clear" w:color="auto" w:fill="E1DFDD"/>
    </w:rPr>
  </w:style>
  <w:style w:type="paragraph" w:styleId="Revision">
    <w:name w:val="Revision"/>
    <w:hidden/>
    <w:uiPriority w:val="99"/>
    <w:semiHidden/>
    <w:rsid w:val="00D11D73"/>
    <w:rPr>
      <w:sz w:val="24"/>
      <w:szCs w:val="24"/>
    </w:rPr>
  </w:style>
  <w:style w:type="character" w:styleId="FollowedHyperlink">
    <w:name w:val="FollowedHyperlink"/>
    <w:basedOn w:val="DefaultParagraphFont"/>
    <w:semiHidden/>
    <w:rsid w:val="00D11D73"/>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earning-disabilities/improving-health/learning-from-lives-and-deat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1767</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2023-10-11T13:46:00Z</dcterms:created>
  <dcterms:modified xsi:type="dcterms:W3CDTF">2023-10-11T13:46:00Z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2023-10-11T13:46:04Z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6f557c4a-c1e6-4e8c-8769-b66f4abd5a81</vt:lpwstr>
  </property>
  <property fmtid="{D5CDD505-2E9C-101B-9397-08002B2CF9AE}" pid="8" name="MSIP_Label_c69d85d5-6d9e-4305-a294-1f636ec0f2d6_ContentBits">
    <vt:lpwstr>0</vt:lpwstr>
  </property>
</Properties>
</file>