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D67" w14:textId="77777777" w:rsidR="00E66ADA" w:rsidRDefault="00E66ADA" w:rsidP="00333535">
      <w:pPr>
        <w:pStyle w:val="Title2"/>
      </w:pPr>
      <w:r>
        <w:t>NATIONAL INSTITUTE FOR HEALTH AND CARE EXCELLENCE</w:t>
      </w:r>
    </w:p>
    <w:p w14:paraId="3F3CB7C3" w14:textId="77777777" w:rsidR="00C9056B" w:rsidRDefault="00C9056B" w:rsidP="00333535">
      <w:pPr>
        <w:pStyle w:val="Title2"/>
        <w:rPr>
          <w:bCs/>
          <w:sz w:val="40"/>
        </w:rPr>
      </w:pPr>
      <w:r w:rsidRPr="00C9056B">
        <w:rPr>
          <w:bCs/>
          <w:sz w:val="40"/>
        </w:rPr>
        <w:t xml:space="preserve">Learning disabilities: health checks, action plans and ethnicity </w:t>
      </w:r>
    </w:p>
    <w:p w14:paraId="54C8AF8A" w14:textId="442E4C95" w:rsidR="00E66ADA" w:rsidRPr="000C37A0" w:rsidRDefault="00E66ADA" w:rsidP="00333535">
      <w:pPr>
        <w:pStyle w:val="Title2"/>
      </w:pPr>
      <w:r w:rsidRPr="000C37A0">
        <w:t xml:space="preserve">NICE </w:t>
      </w:r>
      <w:r>
        <w:t>indicator</w:t>
      </w:r>
    </w:p>
    <w:p w14:paraId="3C56D252" w14:textId="77AC9E63" w:rsidR="00E66ADA" w:rsidRDefault="00C9056B" w:rsidP="00E66ADA">
      <w:pPr>
        <w:pStyle w:val="Guidanceissuedate"/>
      </w:pPr>
      <w:r>
        <w:t>31 October 2023</w:t>
      </w:r>
    </w:p>
    <w:p w14:paraId="33C0E1F3" w14:textId="3769596D" w:rsidR="00F42A59" w:rsidRDefault="00F42A59" w:rsidP="00C86993">
      <w:pPr>
        <w:pStyle w:val="NICEnormal"/>
      </w:pPr>
      <w:r>
        <w:t xml:space="preserve">Next review date: </w:t>
      </w:r>
      <w:r w:rsidR="00C9056B">
        <w:t>October 2026</w:t>
      </w:r>
    </w:p>
    <w:p w14:paraId="09A8FBA6" w14:textId="26CA37C3" w:rsidR="00F42A59" w:rsidRDefault="00F42A59" w:rsidP="00F42A59">
      <w:pPr>
        <w:pStyle w:val="Heading1"/>
      </w:pPr>
      <w:r>
        <w:t>Indicator</w:t>
      </w:r>
    </w:p>
    <w:p w14:paraId="4D7D4DE7" w14:textId="77777777" w:rsidR="00DA3AB1" w:rsidRDefault="00DA3AB1" w:rsidP="00DA3AB1">
      <w:pPr>
        <w:pStyle w:val="NICEnormal"/>
      </w:pPr>
      <w:r>
        <w:t>The percentage of patients on the learning disability register, who:</w:t>
      </w:r>
    </w:p>
    <w:p w14:paraId="2E870222" w14:textId="77777777" w:rsidR="00DA3AB1" w:rsidRDefault="00DA3AB1" w:rsidP="00DA3AB1">
      <w:pPr>
        <w:pStyle w:val="Bullets"/>
      </w:pPr>
      <w:r>
        <w:t>received a learning disability health check and had a completed health action plan in the preceding 12 months and</w:t>
      </w:r>
    </w:p>
    <w:p w14:paraId="32CAD703" w14:textId="445E21D6" w:rsidR="00F42A59" w:rsidRDefault="00DA3AB1" w:rsidP="00DA3AB1">
      <w:pPr>
        <w:pStyle w:val="Bullets"/>
      </w:pPr>
      <w:r>
        <w:t>have a recording of ethnicity</w:t>
      </w:r>
      <w:r w:rsidR="00F42A59">
        <w:t>.</w:t>
      </w:r>
    </w:p>
    <w:p w14:paraId="2AA76169" w14:textId="77777777" w:rsidR="00F42A59" w:rsidRDefault="00F42A59" w:rsidP="00F42A59">
      <w:pPr>
        <w:pStyle w:val="Heading2"/>
      </w:pPr>
      <w:r>
        <w:t xml:space="preserve">Indicator type </w:t>
      </w:r>
    </w:p>
    <w:p w14:paraId="21A3E041" w14:textId="77777777" w:rsidR="00F42A59" w:rsidRPr="00C9056B" w:rsidRDefault="00F42A59" w:rsidP="00C86993">
      <w:pPr>
        <w:pStyle w:val="NICEnormal"/>
      </w:pPr>
      <w:r w:rsidRPr="00C9056B">
        <w:t>General practice indicator suitable for use in the Quality and Outcomes Framework.</w:t>
      </w:r>
    </w:p>
    <w:tbl>
      <w:tblPr>
        <w:tblStyle w:val="PanelPrimary"/>
        <w:tblW w:w="0" w:type="auto"/>
        <w:tblLook w:val="0000" w:firstRow="0" w:lastRow="0" w:firstColumn="0" w:lastColumn="0" w:noHBand="0" w:noVBand="0"/>
        <w:tblCaption w:val="Primary panel"/>
      </w:tblPr>
      <w:tblGrid>
        <w:gridCol w:w="8246"/>
      </w:tblGrid>
      <w:tr w:rsidR="00E66ADA" w14:paraId="36DB4714" w14:textId="77777777">
        <w:tc>
          <w:tcPr>
            <w:tcW w:w="8246" w:type="dxa"/>
          </w:tcPr>
          <w:p w14:paraId="23565C7A" w14:textId="766EC5A9" w:rsidR="00E66ADA" w:rsidRDefault="00E66ADA">
            <w:pPr>
              <w:pStyle w:val="NICEnormal"/>
            </w:pPr>
            <w:bookmarkStart w:id="0" w:name="_Hlk131071627"/>
            <w:r w:rsidRPr="0009195D">
              <w:t xml:space="preserve">This document does not represent formal NICE guidance. </w:t>
            </w:r>
            <w:r>
              <w:t xml:space="preserve">For a full list of NICE indicators, </w:t>
            </w:r>
            <w:r w:rsidRPr="0009195D">
              <w:t>s</w:t>
            </w:r>
            <w:r>
              <w:t xml:space="preserve">ee our </w:t>
            </w:r>
            <w:hyperlink r:id="rId8" w:history="1">
              <w:r w:rsidRPr="008541A5">
                <w:rPr>
                  <w:rStyle w:val="Hyperlink"/>
                </w:rPr>
                <w:t>menu of indicators</w:t>
              </w:r>
            </w:hyperlink>
            <w:r w:rsidR="00C9056B">
              <w:rPr>
                <w:rStyle w:val="Hyperlink"/>
              </w:rPr>
              <w:t>.</w:t>
            </w:r>
            <w:r>
              <w:t xml:space="preserve"> </w:t>
            </w:r>
          </w:p>
          <w:p w14:paraId="43267ECD" w14:textId="6AC2D961" w:rsidR="00E66ADA" w:rsidRPr="002C393A" w:rsidRDefault="00E66ADA">
            <w:pPr>
              <w:pStyle w:val="NICEnormal"/>
            </w:pPr>
            <w:r>
              <w:t>To f</w:t>
            </w:r>
            <w:r w:rsidRPr="00A6342F">
              <w:t>ind out how to use indicators and how we develop them</w:t>
            </w:r>
            <w:r>
              <w:t>,</w:t>
            </w:r>
            <w:r w:rsidRPr="00A6342F">
              <w:t xml:space="preserve"> </w:t>
            </w:r>
            <w:r>
              <w:t xml:space="preserve">see our </w:t>
            </w:r>
            <w:r w:rsidRPr="00A6342F">
              <w:t xml:space="preserve">NICE </w:t>
            </w:r>
            <w:hyperlink r:id="rId9" w:history="1">
              <w:r w:rsidRPr="00C9056B">
                <w:rPr>
                  <w:rStyle w:val="Hyperlink"/>
                </w:rPr>
                <w:t>indicator process guide</w:t>
              </w:r>
            </w:hyperlink>
            <w:r w:rsidR="00C9056B">
              <w:t>.</w:t>
            </w:r>
            <w:r w:rsidRPr="00A6342F">
              <w:t xml:space="preserve"> </w:t>
            </w:r>
          </w:p>
        </w:tc>
      </w:tr>
    </w:tbl>
    <w:bookmarkEnd w:id="0"/>
    <w:p w14:paraId="1E3A0B44" w14:textId="7190A849" w:rsidR="00F42A59" w:rsidRDefault="00F42A59" w:rsidP="00F42A59">
      <w:pPr>
        <w:pStyle w:val="Heading2"/>
      </w:pPr>
      <w:r>
        <w:t>Rationale</w:t>
      </w:r>
    </w:p>
    <w:p w14:paraId="36AD8392" w14:textId="59C719AD" w:rsidR="00C9056B" w:rsidRDefault="00C9056B" w:rsidP="00C86993">
      <w:pPr>
        <w:pStyle w:val="NICEnormal"/>
      </w:pPr>
      <w:r w:rsidRPr="00C9056B">
        <w:t xml:space="preserve">People with a learning disability often have poorer physical and mental health, and higher rates of avoidable death. An annual health check can identify health concerns at an early stage and promote actions to address identified health needs such as vaccinations, blood tests, breast and testicular screening, dental review and vision and hearing assessment. The health action plan is an integral part of the requirements around a learning disability health check. Further guidance is available </w:t>
      </w:r>
      <w:r w:rsidRPr="00C9056B">
        <w:lastRenderedPageBreak/>
        <w:t xml:space="preserve">from </w:t>
      </w:r>
      <w:hyperlink r:id="rId10" w:history="1">
        <w:r w:rsidRPr="00C9056B">
          <w:rPr>
            <w:rStyle w:val="Hyperlink"/>
          </w:rPr>
          <w:t>NHS England</w:t>
        </w:r>
      </w:hyperlink>
      <w:r w:rsidRPr="00C9056B">
        <w:t xml:space="preserve"> on the provision of health checks and use of a national template. Patients should leave their health check with a copy of the action plan to support them in managing their health and wellbeing.  </w:t>
      </w:r>
    </w:p>
    <w:p w14:paraId="446F3157" w14:textId="6D84C5E5" w:rsidR="00C9056B" w:rsidRDefault="00C9056B" w:rsidP="00C86993">
      <w:pPr>
        <w:pStyle w:val="NICEnormal"/>
        <w:rPr>
          <w:highlight w:val="lightGray"/>
        </w:rPr>
      </w:pPr>
      <w:r w:rsidRPr="00C9056B">
        <w:t>This indicator also requires a recording of ethnicity as increasing levels of premature mortality are noted in people with a learning disability from ethnic minority backgrounds.</w:t>
      </w:r>
    </w:p>
    <w:p w14:paraId="21C32A7D" w14:textId="77777777" w:rsidR="00F42A59" w:rsidRDefault="00F42A59" w:rsidP="00F42A59">
      <w:pPr>
        <w:pStyle w:val="Heading2"/>
      </w:pPr>
      <w:r>
        <w:t xml:space="preserve">Source guidance </w:t>
      </w:r>
    </w:p>
    <w:p w14:paraId="6F2A4B55" w14:textId="11D6D6E6" w:rsidR="00C9056B" w:rsidRPr="00AB1730" w:rsidRDefault="005E2F53" w:rsidP="005E2F53">
      <w:pPr>
        <w:pStyle w:val="NICEnormal"/>
        <w:rPr>
          <w:color w:val="000000"/>
        </w:rPr>
      </w:pPr>
      <w:hyperlink r:id="rId11" w:history="1">
        <w:r w:rsidR="00C9056B" w:rsidRPr="005E2F53">
          <w:rPr>
            <w:rStyle w:val="Hyperlink"/>
          </w:rPr>
          <w:t>Care and support of people growing older with learning disabilities</w:t>
        </w:r>
      </w:hyperlink>
      <w:r w:rsidR="00C9056B" w:rsidRPr="00AB1730">
        <w:rPr>
          <w:color w:val="000000"/>
        </w:rPr>
        <w:t xml:space="preserve"> (2018) NICE </w:t>
      </w:r>
      <w:r w:rsidR="00C9056B" w:rsidRPr="00AB1730">
        <w:t>guideline</w:t>
      </w:r>
      <w:r w:rsidR="00C9056B" w:rsidRPr="00AB1730">
        <w:rPr>
          <w:color w:val="000000"/>
        </w:rPr>
        <w:t xml:space="preserve"> </w:t>
      </w:r>
      <w:r w:rsidR="00C9056B">
        <w:rPr>
          <w:color w:val="000000"/>
        </w:rPr>
        <w:t>NG</w:t>
      </w:r>
      <w:r w:rsidR="00C9056B" w:rsidRPr="00AB1730">
        <w:rPr>
          <w:color w:val="000000"/>
        </w:rPr>
        <w:t>96, recommendation 1.5.12</w:t>
      </w:r>
    </w:p>
    <w:p w14:paraId="4498F33D" w14:textId="64ACB75B" w:rsidR="00C9056B" w:rsidRPr="00AB1730" w:rsidRDefault="005E2F53" w:rsidP="005E2F53">
      <w:pPr>
        <w:pStyle w:val="NICEnormal"/>
        <w:rPr>
          <w:color w:val="000000"/>
        </w:rPr>
      </w:pPr>
      <w:hyperlink r:id="rId12" w:history="1">
        <w:r w:rsidR="00C9056B" w:rsidRPr="005E2F53">
          <w:rPr>
            <w:rStyle w:val="Hyperlink"/>
          </w:rPr>
          <w:t>Challenging behaviour and learning disabilities: prevention and interventions for people with learning disabilities whose behaviour challenges</w:t>
        </w:r>
      </w:hyperlink>
      <w:r w:rsidR="00C9056B" w:rsidRPr="00AB1730">
        <w:rPr>
          <w:color w:val="000000"/>
        </w:rPr>
        <w:t xml:space="preserve"> (2015) NICE </w:t>
      </w:r>
      <w:r w:rsidR="00C9056B" w:rsidRPr="00AB1730">
        <w:t>guideline</w:t>
      </w:r>
      <w:r w:rsidR="00C9056B" w:rsidRPr="00AB1730">
        <w:rPr>
          <w:color w:val="000000"/>
        </w:rPr>
        <w:t xml:space="preserve"> NG11, recommendation 1.2.1</w:t>
      </w:r>
    </w:p>
    <w:p w14:paraId="046391A0" w14:textId="77777777" w:rsidR="00F42A59" w:rsidRDefault="00F42A59" w:rsidP="00F42A59">
      <w:pPr>
        <w:pStyle w:val="Heading2"/>
      </w:pPr>
      <w:r>
        <w:t xml:space="preserve">Specification </w:t>
      </w:r>
    </w:p>
    <w:p w14:paraId="74956EF9" w14:textId="77777777" w:rsidR="00C9056B" w:rsidRDefault="00C9056B" w:rsidP="00C9056B">
      <w:pPr>
        <w:pStyle w:val="NICEnormal"/>
      </w:pPr>
      <w:r>
        <w:t>Numerator: the number in the denominator who:</w:t>
      </w:r>
    </w:p>
    <w:p w14:paraId="23CF3A00" w14:textId="77777777" w:rsidR="00C9056B" w:rsidRDefault="00C9056B" w:rsidP="00C9056B">
      <w:pPr>
        <w:pStyle w:val="Bullets"/>
      </w:pPr>
      <w:r>
        <w:t>received a learning disability health check and had a completed health action plan in the preceding 12 months and</w:t>
      </w:r>
    </w:p>
    <w:p w14:paraId="5FF0C912" w14:textId="77777777" w:rsidR="00C9056B" w:rsidRDefault="00C9056B" w:rsidP="00C9056B">
      <w:pPr>
        <w:pStyle w:val="Bullets"/>
      </w:pPr>
      <w:r>
        <w:t xml:space="preserve">have a recording of ethnicity. </w:t>
      </w:r>
    </w:p>
    <w:p w14:paraId="335EA4C9" w14:textId="77777777" w:rsidR="00C9056B" w:rsidRDefault="00C9056B" w:rsidP="00C9056B">
      <w:pPr>
        <w:pStyle w:val="NICEnormal"/>
      </w:pPr>
      <w:r>
        <w:t>Denominator: the number of patients on the learning disability register.</w:t>
      </w:r>
    </w:p>
    <w:p w14:paraId="50E4866A" w14:textId="77777777" w:rsidR="00C9056B" w:rsidRDefault="00C9056B" w:rsidP="00C9056B">
      <w:pPr>
        <w:pStyle w:val="NICEnormal"/>
      </w:pPr>
      <w:r>
        <w:t>Calculation: Numerator divided by the denominator, multiplied by 100.</w:t>
      </w:r>
    </w:p>
    <w:p w14:paraId="6A0570B7" w14:textId="77777777" w:rsidR="00C9056B" w:rsidRDefault="00C9056B" w:rsidP="00C9056B">
      <w:pPr>
        <w:pStyle w:val="NICEnormal"/>
      </w:pPr>
      <w:r>
        <w:t xml:space="preserve">Exclusions: None </w:t>
      </w:r>
    </w:p>
    <w:p w14:paraId="6DC1FF02" w14:textId="77777777" w:rsidR="00C9056B" w:rsidRDefault="00C9056B" w:rsidP="00C9056B">
      <w:pPr>
        <w:pStyle w:val="NICEnormal"/>
      </w:pPr>
      <w:r>
        <w:t>Personalised care adjustments or exception reporting should be considered to account for situations where the patient does not attend or declines the health check or health action plan.</w:t>
      </w:r>
    </w:p>
    <w:p w14:paraId="4660EA76" w14:textId="66853AE6" w:rsidR="00C9056B" w:rsidRDefault="00C9056B" w:rsidP="00C9056B">
      <w:pPr>
        <w:pStyle w:val="NICEnormal"/>
      </w:pPr>
      <w:r>
        <w:t xml:space="preserve">Expected population size: QOF data for 2021/22 shows that an average practice with 10,000 patients would have around 55 eligible patients. To be suitable for use in QOF, there should be more than 20 patients eligible for inclusion in the denominator, per average practice with 10,000 patients, prior to application of personalised care adjustments. It should be noted that estimated prevalence of learning disability is </w:t>
      </w:r>
      <w:r>
        <w:lastRenderedPageBreak/>
        <w:t xml:space="preserve">substantially greater than currently reported in data for the QOF learning disability register. In 2019, NHS England published </w:t>
      </w:r>
      <w:hyperlink r:id="rId13" w:history="1">
        <w:r w:rsidRPr="00C9056B">
          <w:rPr>
            <w:rStyle w:val="Hyperlink"/>
          </w:rPr>
          <w:t>guidance</w:t>
        </w:r>
      </w:hyperlink>
      <w:r>
        <w:t xml:space="preserve"> to support improving the quality of the register.</w:t>
      </w:r>
    </w:p>
    <w:p w14:paraId="78395568" w14:textId="77777777" w:rsidR="00C9056B" w:rsidRDefault="00C9056B" w:rsidP="00C86993">
      <w:pPr>
        <w:pStyle w:val="NICEnormal"/>
        <w:rPr>
          <w:highlight w:val="lightGray"/>
        </w:rPr>
      </w:pPr>
    </w:p>
    <w:p w14:paraId="65D9A8AD" w14:textId="78F4279B" w:rsidR="00C86993" w:rsidRPr="00F42A59" w:rsidRDefault="00DE6DA8" w:rsidP="00C9056B">
      <w:pPr>
        <w:pStyle w:val="NICEnormal"/>
      </w:pPr>
      <w:r w:rsidRPr="00DE6DA8">
        <w:t xml:space="preserve">© NICE </w:t>
      </w:r>
      <w:r w:rsidR="00C9056B">
        <w:rPr>
          <w:rStyle w:val="NICEnormalChar"/>
        </w:rPr>
        <w:t>2023</w:t>
      </w:r>
      <w:r w:rsidRPr="00DE6DA8">
        <w:t xml:space="preserve">. All rights reserved. Subject to </w:t>
      </w:r>
      <w:hyperlink r:id="rId14" w:anchor="notice-of-rights" w:history="1">
        <w:r w:rsidRPr="00DE6DA8">
          <w:rPr>
            <w:rStyle w:val="Hyperlink"/>
          </w:rPr>
          <w:t>Notice of rights</w:t>
        </w:r>
      </w:hyperlink>
      <w:r w:rsidRPr="00DE6DA8">
        <w:t>.</w:t>
      </w:r>
      <w:r w:rsidR="00C2199A">
        <w:t xml:space="preserve"> </w:t>
      </w:r>
    </w:p>
    <w:sectPr w:rsidR="00C86993" w:rsidRPr="00F42A59" w:rsidSect="000A5C00">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080E" w14:textId="77777777" w:rsidR="00882924" w:rsidRDefault="00882924" w:rsidP="00446BEE">
      <w:r>
        <w:separator/>
      </w:r>
    </w:p>
  </w:endnote>
  <w:endnote w:type="continuationSeparator" w:id="0">
    <w:p w14:paraId="51509E96" w14:textId="77777777" w:rsidR="00882924" w:rsidRDefault="008829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2D681211" w:rsidR="00446BEE" w:rsidRDefault="00C9056B" w:rsidP="00446BEE">
    <w:pPr>
      <w:pStyle w:val="Footer"/>
    </w:pPr>
    <w:r>
      <w:t>NM250</w:t>
    </w:r>
    <w:r w:rsidR="00867EE3">
      <w:t xml:space="preserve"> indicator guidance</w:t>
    </w:r>
    <w:r w:rsidR="00AD2F66">
      <w:tab/>
    </w:r>
    <w:r w:rsidR="00446BEE">
      <w:tab/>
    </w:r>
    <w:r w:rsidR="00820D0A">
      <w:t xml:space="preserve">Page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12CD0CED" w:rsidR="008E7826" w:rsidRDefault="00C9056B" w:rsidP="008E7826">
            <w:pPr>
              <w:pStyle w:val="Footer"/>
            </w:pPr>
            <w:r>
              <w:t>NM250</w:t>
            </w:r>
            <w:r w:rsidR="0036360F">
              <w:t xml:space="preserve"> </w:t>
            </w:r>
            <w:r w:rsidR="00820D0A">
              <w:t>indicator guidance</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FD13" w14:textId="77777777" w:rsidR="00882924" w:rsidRDefault="00882924" w:rsidP="00446BEE">
      <w:r>
        <w:separator/>
      </w:r>
    </w:p>
  </w:footnote>
  <w:footnote w:type="continuationSeparator" w:id="0">
    <w:p w14:paraId="59F6831F" w14:textId="77777777" w:rsidR="00882924" w:rsidRDefault="008829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343A4548" w:rsidR="008F6FB7" w:rsidRPr="00A919FA" w:rsidRDefault="000A5C00" w:rsidP="000A5C00">
    <w:pPr>
      <w:pStyle w:val="Header"/>
      <w:tabs>
        <w:tab w:val="center" w:pos="4678"/>
        <w:tab w:val="right" w:pos="9781"/>
      </w:tabs>
      <w:rPr>
        <w:rFonts w:asciiTheme="minorHAnsi" w:hAnsiTheme="minorHAnsi"/>
      </w:rPr>
    </w:pPr>
    <w:r w:rsidRPr="00A919FA">
      <w:rPr>
        <w:rFonts w:asciiTheme="minorHAnsi" w:hAnsiTheme="minorHAnsi"/>
      </w:rPr>
      <w:t>CONFIDENTIAL UNTIL PUBLISHED</w:t>
    </w:r>
    <w:r w:rsidRPr="00A919FA">
      <w:rPr>
        <w:rFonts w:asciiTheme="minorHAnsi" w:hAnsiTheme="minorHAnsi"/>
      </w:rPr>
      <w:tab/>
    </w:r>
    <w:r w:rsidRPr="00A919FA">
      <w:rPr>
        <w:rFonts w:asciiTheme="minorHAnsi" w:hAnsiTheme="minorHAnsi"/>
      </w:rPr>
      <w:tab/>
    </w:r>
    <w:r w:rsidRPr="00A919FA">
      <w:rPr>
        <w:rFonts w:asciiTheme="minorHAnsi" w:hAnsiTheme="minorHAnsi"/>
      </w:rP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5"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9"/>
  </w:num>
  <w:num w:numId="2" w16cid:durableId="1271931310">
    <w:abstractNumId w:val="23"/>
  </w:num>
  <w:num w:numId="3" w16cid:durableId="987441700">
    <w:abstractNumId w:val="23"/>
    <w:lvlOverride w:ilvl="0">
      <w:startOverride w:val="1"/>
    </w:lvlOverride>
  </w:num>
  <w:num w:numId="4" w16cid:durableId="1499422565">
    <w:abstractNumId w:val="23"/>
    <w:lvlOverride w:ilvl="0">
      <w:startOverride w:val="1"/>
    </w:lvlOverride>
  </w:num>
  <w:num w:numId="5" w16cid:durableId="2069916214">
    <w:abstractNumId w:val="23"/>
    <w:lvlOverride w:ilvl="0">
      <w:startOverride w:val="1"/>
    </w:lvlOverride>
  </w:num>
  <w:num w:numId="6" w16cid:durableId="1714303981">
    <w:abstractNumId w:val="23"/>
    <w:lvlOverride w:ilvl="0">
      <w:startOverride w:val="1"/>
    </w:lvlOverride>
  </w:num>
  <w:num w:numId="7" w16cid:durableId="1383334273">
    <w:abstractNumId w:val="2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19"/>
  </w:num>
  <w:num w:numId="21" w16cid:durableId="1595244151">
    <w:abstractNumId w:val="23"/>
  </w:num>
  <w:num w:numId="22" w16cid:durableId="368646558">
    <w:abstractNumId w:val="15"/>
  </w:num>
  <w:num w:numId="23" w16cid:durableId="534393170">
    <w:abstractNumId w:val="21"/>
  </w:num>
  <w:num w:numId="24" w16cid:durableId="609512517">
    <w:abstractNumId w:val="24"/>
  </w:num>
  <w:num w:numId="25" w16cid:durableId="791556432">
    <w:abstractNumId w:val="10"/>
  </w:num>
  <w:num w:numId="26" w16cid:durableId="259146513">
    <w:abstractNumId w:val="14"/>
  </w:num>
  <w:num w:numId="27" w16cid:durableId="504248076">
    <w:abstractNumId w:val="17"/>
  </w:num>
  <w:num w:numId="28" w16cid:durableId="84230777">
    <w:abstractNumId w:val="18"/>
  </w:num>
  <w:num w:numId="29" w16cid:durableId="1583947509">
    <w:abstractNumId w:val="12"/>
  </w:num>
  <w:num w:numId="30" w16cid:durableId="1248732286">
    <w:abstractNumId w:val="13"/>
  </w:num>
  <w:num w:numId="31" w16cid:durableId="812913656">
    <w:abstractNumId w:val="11"/>
  </w:num>
  <w:num w:numId="32" w16cid:durableId="1052122795">
    <w:abstractNumId w:val="22"/>
  </w:num>
  <w:num w:numId="33" w16cid:durableId="401679924">
    <w:abstractNumId w:val="16"/>
  </w:num>
  <w:num w:numId="34" w16cid:durableId="1078525961">
    <w:abstractNumId w:val="16"/>
  </w:num>
  <w:num w:numId="35" w16cid:durableId="2100907229">
    <w:abstractNumId w:val="16"/>
  </w:num>
  <w:num w:numId="36" w16cid:durableId="24521229">
    <w:abstractNumId w:val="16"/>
  </w:num>
  <w:num w:numId="37" w16cid:durableId="1582134445">
    <w:abstractNumId w:val="16"/>
  </w:num>
  <w:num w:numId="38" w16cid:durableId="1577669658">
    <w:abstractNumId w:val="16"/>
  </w:num>
  <w:num w:numId="39" w16cid:durableId="1444570339">
    <w:abstractNumId w:val="20"/>
  </w:num>
  <w:num w:numId="40" w16cid:durableId="1455369551">
    <w:abstractNumId w:val="21"/>
  </w:num>
  <w:num w:numId="41" w16cid:durableId="2290485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65197"/>
    <w:rsid w:val="00070065"/>
    <w:rsid w:val="000770C1"/>
    <w:rsid w:val="000A4FEE"/>
    <w:rsid w:val="000A5C00"/>
    <w:rsid w:val="000B5939"/>
    <w:rsid w:val="00113116"/>
    <w:rsid w:val="001134E7"/>
    <w:rsid w:val="00117AEB"/>
    <w:rsid w:val="001336FF"/>
    <w:rsid w:val="00136206"/>
    <w:rsid w:val="00157BBE"/>
    <w:rsid w:val="0017169E"/>
    <w:rsid w:val="001A6635"/>
    <w:rsid w:val="001B0EE9"/>
    <w:rsid w:val="001B65B3"/>
    <w:rsid w:val="001E60D6"/>
    <w:rsid w:val="002124D5"/>
    <w:rsid w:val="002408EA"/>
    <w:rsid w:val="0025603E"/>
    <w:rsid w:val="00262F98"/>
    <w:rsid w:val="002819D7"/>
    <w:rsid w:val="002C1A7E"/>
    <w:rsid w:val="002D3376"/>
    <w:rsid w:val="00311AFD"/>
    <w:rsid w:val="00311ED0"/>
    <w:rsid w:val="00316CC1"/>
    <w:rsid w:val="00333535"/>
    <w:rsid w:val="00344DDB"/>
    <w:rsid w:val="0036360F"/>
    <w:rsid w:val="003648C5"/>
    <w:rsid w:val="003722FA"/>
    <w:rsid w:val="003C40C5"/>
    <w:rsid w:val="003C7AAF"/>
    <w:rsid w:val="003D39FF"/>
    <w:rsid w:val="003F0A04"/>
    <w:rsid w:val="003F1C1C"/>
    <w:rsid w:val="004075B6"/>
    <w:rsid w:val="00420952"/>
    <w:rsid w:val="00446BEE"/>
    <w:rsid w:val="004477B9"/>
    <w:rsid w:val="004C2B1E"/>
    <w:rsid w:val="004C517C"/>
    <w:rsid w:val="004F1728"/>
    <w:rsid w:val="005025A1"/>
    <w:rsid w:val="0050314F"/>
    <w:rsid w:val="00524C51"/>
    <w:rsid w:val="00546EFB"/>
    <w:rsid w:val="00580D59"/>
    <w:rsid w:val="00594C3A"/>
    <w:rsid w:val="005A02D5"/>
    <w:rsid w:val="005D52D0"/>
    <w:rsid w:val="005E2307"/>
    <w:rsid w:val="005E2F53"/>
    <w:rsid w:val="005F2FE6"/>
    <w:rsid w:val="005F3118"/>
    <w:rsid w:val="00624140"/>
    <w:rsid w:val="0062482B"/>
    <w:rsid w:val="006709A9"/>
    <w:rsid w:val="006802A7"/>
    <w:rsid w:val="006921E1"/>
    <w:rsid w:val="00696C0A"/>
    <w:rsid w:val="006A28FB"/>
    <w:rsid w:val="006A6A07"/>
    <w:rsid w:val="006D09CC"/>
    <w:rsid w:val="007238E0"/>
    <w:rsid w:val="00732144"/>
    <w:rsid w:val="00736348"/>
    <w:rsid w:val="00752AC5"/>
    <w:rsid w:val="007545FB"/>
    <w:rsid w:val="0077376B"/>
    <w:rsid w:val="00781C41"/>
    <w:rsid w:val="007F7032"/>
    <w:rsid w:val="00820D0A"/>
    <w:rsid w:val="00833D8A"/>
    <w:rsid w:val="00837DE2"/>
    <w:rsid w:val="0084747C"/>
    <w:rsid w:val="00857943"/>
    <w:rsid w:val="00861B92"/>
    <w:rsid w:val="00867EE3"/>
    <w:rsid w:val="008746C4"/>
    <w:rsid w:val="008814FB"/>
    <w:rsid w:val="00882924"/>
    <w:rsid w:val="008A41BF"/>
    <w:rsid w:val="008D16F1"/>
    <w:rsid w:val="008E276F"/>
    <w:rsid w:val="008E7826"/>
    <w:rsid w:val="008F5E30"/>
    <w:rsid w:val="008F6FB7"/>
    <w:rsid w:val="00914D7F"/>
    <w:rsid w:val="0097305A"/>
    <w:rsid w:val="00974C49"/>
    <w:rsid w:val="00976037"/>
    <w:rsid w:val="009C727F"/>
    <w:rsid w:val="009E0445"/>
    <w:rsid w:val="009E365B"/>
    <w:rsid w:val="009E4F14"/>
    <w:rsid w:val="009E680B"/>
    <w:rsid w:val="00A15A1F"/>
    <w:rsid w:val="00A3325A"/>
    <w:rsid w:val="00A43013"/>
    <w:rsid w:val="00A919FA"/>
    <w:rsid w:val="00A93810"/>
    <w:rsid w:val="00AD2F66"/>
    <w:rsid w:val="00AF108A"/>
    <w:rsid w:val="00AF10CC"/>
    <w:rsid w:val="00B02E55"/>
    <w:rsid w:val="00B036C1"/>
    <w:rsid w:val="00B04218"/>
    <w:rsid w:val="00B5431F"/>
    <w:rsid w:val="00B55D0E"/>
    <w:rsid w:val="00B65A11"/>
    <w:rsid w:val="00B77AD1"/>
    <w:rsid w:val="00BC184B"/>
    <w:rsid w:val="00BF7FE0"/>
    <w:rsid w:val="00C2199A"/>
    <w:rsid w:val="00C36044"/>
    <w:rsid w:val="00C569D6"/>
    <w:rsid w:val="00C57670"/>
    <w:rsid w:val="00C77C66"/>
    <w:rsid w:val="00C85682"/>
    <w:rsid w:val="00C86993"/>
    <w:rsid w:val="00C87496"/>
    <w:rsid w:val="00C9056B"/>
    <w:rsid w:val="00C94C46"/>
    <w:rsid w:val="00C96411"/>
    <w:rsid w:val="00CB2369"/>
    <w:rsid w:val="00CF2E5C"/>
    <w:rsid w:val="00CF3046"/>
    <w:rsid w:val="00CF58B7"/>
    <w:rsid w:val="00D02A8F"/>
    <w:rsid w:val="00D1699D"/>
    <w:rsid w:val="00D351C1"/>
    <w:rsid w:val="00D35EFB"/>
    <w:rsid w:val="00D47D55"/>
    <w:rsid w:val="00D504B3"/>
    <w:rsid w:val="00D86BF0"/>
    <w:rsid w:val="00DA3AB1"/>
    <w:rsid w:val="00DB7EAE"/>
    <w:rsid w:val="00DE6DA8"/>
    <w:rsid w:val="00E012B3"/>
    <w:rsid w:val="00E51079"/>
    <w:rsid w:val="00E51920"/>
    <w:rsid w:val="00E55873"/>
    <w:rsid w:val="00E64120"/>
    <w:rsid w:val="00E660A1"/>
    <w:rsid w:val="00E66ADA"/>
    <w:rsid w:val="00E72AE9"/>
    <w:rsid w:val="00E83EAC"/>
    <w:rsid w:val="00E851C4"/>
    <w:rsid w:val="00E85D1E"/>
    <w:rsid w:val="00EA3A23"/>
    <w:rsid w:val="00EB096F"/>
    <w:rsid w:val="00EE14CB"/>
    <w:rsid w:val="00EE6600"/>
    <w:rsid w:val="00EE6F42"/>
    <w:rsid w:val="00F055F1"/>
    <w:rsid w:val="00F42A5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919FA"/>
    <w:rPr>
      <w:sz w:val="24"/>
      <w:szCs w:val="24"/>
    </w:rPr>
  </w:style>
  <w:style w:type="paragraph" w:styleId="Heading1">
    <w:name w:val="heading 1"/>
    <w:basedOn w:val="Normal"/>
    <w:next w:val="NICEnormal"/>
    <w:link w:val="Heading1Char"/>
    <w:qFormat/>
    <w:rsid w:val="00E66AD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ICEnormal"/>
    <w:link w:val="Heading2Char"/>
    <w:qFormat/>
    <w:rsid w:val="00E66ADA"/>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ICEnormal"/>
    <w:link w:val="Heading3Char"/>
    <w:qFormat/>
    <w:rsid w:val="00E66ADA"/>
    <w:pPr>
      <w:keepNext/>
      <w:spacing w:before="240" w:after="60" w:line="360" w:lineRule="auto"/>
      <w:outlineLvl w:val="2"/>
    </w:pPr>
    <w:rPr>
      <w:rFonts w:ascii="Arial" w:hAnsi="Arial" w:cs="Arial"/>
      <w:b/>
      <w:bCs/>
      <w:sz w:val="26"/>
      <w:szCs w:val="26"/>
      <w:lang w:eastAsia="en-US"/>
    </w:rPr>
  </w:style>
  <w:style w:type="paragraph" w:styleId="Heading4">
    <w:name w:val="heading 4"/>
    <w:basedOn w:val="Normal"/>
    <w:next w:val="NICEnormal"/>
    <w:link w:val="Heading4Char"/>
    <w:qFormat/>
    <w:rsid w:val="00E66ADA"/>
    <w:pPr>
      <w:keepNext/>
      <w:spacing w:before="240" w:after="60" w:line="360" w:lineRule="auto"/>
      <w:outlineLvl w:val="3"/>
    </w:pPr>
    <w:rPr>
      <w:rFonts w:ascii="Arial" w:hAnsi="Arial"/>
      <w:b/>
      <w:bCs/>
      <w:iCs/>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E66AD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0A5C00"/>
    <w:pPr>
      <w:tabs>
        <w:tab w:val="center" w:pos="4513"/>
        <w:tab w:val="right" w:pos="9026"/>
      </w:tabs>
    </w:pPr>
  </w:style>
  <w:style w:type="character" w:customStyle="1" w:styleId="HeaderChar">
    <w:name w:val="Header Char"/>
    <w:basedOn w:val="DefaultParagraphFont"/>
    <w:link w:val="Header"/>
    <w:uiPriority w:val="99"/>
    <w:semiHidden/>
    <w:rsid w:val="000A5C00"/>
    <w:rPr>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E66ADA"/>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6"/>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E66ADA"/>
    <w:pPr>
      <w:keepNext/>
      <w:spacing w:after="200"/>
    </w:pPr>
    <w:rPr>
      <w:b/>
      <w:bCs/>
      <w:iCs/>
      <w:szCs w:val="18"/>
    </w:rPr>
  </w:style>
  <w:style w:type="character" w:styleId="Hyperlink">
    <w:name w:val="Hyperlink"/>
    <w:basedOn w:val="DefaultParagraphFont"/>
    <w:uiPriority w:val="99"/>
    <w:unhideWhenUsed/>
    <w:rsid w:val="00E66ADA"/>
    <w:rPr>
      <w:color w:val="0000FF" w:themeColor="hyperlink"/>
      <w:u w:val="single"/>
    </w:rPr>
  </w:style>
  <w:style w:type="table" w:customStyle="1" w:styleId="PanelDefault">
    <w:name w:val="Panel (Default)"/>
    <w:basedOn w:val="TableNormal"/>
    <w:uiPriority w:val="99"/>
    <w:rsid w:val="00E66AD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E66ADA"/>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E66ADA"/>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E66ADA"/>
    <w:pPr>
      <w:spacing w:after="60"/>
    </w:pPr>
    <w:rPr>
      <w:sz w:val="22"/>
    </w:rPr>
  </w:style>
  <w:style w:type="paragraph" w:customStyle="1" w:styleId="Tablebullet">
    <w:name w:val="Table bullet"/>
    <w:basedOn w:val="Tabletext"/>
    <w:qFormat/>
    <w:rsid w:val="00E66ADA"/>
    <w:pPr>
      <w:numPr>
        <w:numId w:val="40"/>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E66AD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E66ADA"/>
    <w:pPr>
      <w:keepNext/>
    </w:pPr>
    <w:rPr>
      <w:rFonts w:cs="Arial"/>
      <w:bCs w:val="0"/>
      <w:sz w:val="32"/>
      <w:lang w:eastAsia="en-US"/>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 w:type="paragraph" w:customStyle="1" w:styleId="NICEnormal">
    <w:name w:val="NICE normal"/>
    <w:link w:val="NICEnormalChar"/>
    <w:qFormat/>
    <w:rsid w:val="00E66ADA"/>
    <w:pPr>
      <w:spacing w:after="240" w:line="360" w:lineRule="auto"/>
    </w:pPr>
    <w:rPr>
      <w:rFonts w:ascii="Arial" w:hAnsi="Arial"/>
      <w:sz w:val="24"/>
      <w:szCs w:val="24"/>
      <w:lang w:eastAsia="en-US"/>
    </w:rPr>
  </w:style>
  <w:style w:type="character" w:customStyle="1" w:styleId="NICEnormalChar">
    <w:name w:val="NICE normal Char"/>
    <w:link w:val="NICEnormal"/>
    <w:rsid w:val="00E66ADA"/>
    <w:rPr>
      <w:rFonts w:ascii="Arial" w:hAnsi="Arial"/>
      <w:sz w:val="24"/>
      <w:szCs w:val="24"/>
      <w:lang w:eastAsia="en-US"/>
    </w:rPr>
  </w:style>
  <w:style w:type="paragraph" w:customStyle="1" w:styleId="Guidanceissuedate">
    <w:name w:val="Guidance issue date"/>
    <w:basedOn w:val="Normal"/>
    <w:qFormat/>
    <w:rsid w:val="00E66ADA"/>
    <w:pPr>
      <w:spacing w:after="240" w:line="360" w:lineRule="auto"/>
    </w:pPr>
    <w:rPr>
      <w:rFonts w:ascii="Arial" w:hAnsi="Arial"/>
      <w:lang w:eastAsia="en-US"/>
    </w:rPr>
  </w:style>
  <w:style w:type="paragraph" w:customStyle="1" w:styleId="Title1">
    <w:name w:val="Title 1"/>
    <w:basedOn w:val="Title"/>
    <w:qFormat/>
    <w:rsid w:val="00E66ADA"/>
    <w:pPr>
      <w:keepNext/>
    </w:pPr>
    <w:rPr>
      <w:rFonts w:cs="Arial"/>
      <w:lang w:eastAsia="en-US"/>
    </w:rPr>
  </w:style>
  <w:style w:type="paragraph" w:customStyle="1" w:styleId="Bulletindent1">
    <w:name w:val="Bullet indent 1"/>
    <w:basedOn w:val="NICEnormal"/>
    <w:rsid w:val="00E66ADA"/>
    <w:pPr>
      <w:numPr>
        <w:numId w:val="25"/>
      </w:numPr>
      <w:spacing w:after="0"/>
    </w:pPr>
  </w:style>
  <w:style w:type="paragraph" w:customStyle="1" w:styleId="Bulletindent1last">
    <w:name w:val="Bullet indent 1 last"/>
    <w:basedOn w:val="NICEnormal"/>
    <w:next w:val="NICEnormal"/>
    <w:rsid w:val="00E66ADA"/>
    <w:pPr>
      <w:numPr>
        <w:numId w:val="26"/>
      </w:numPr>
    </w:pPr>
  </w:style>
  <w:style w:type="paragraph" w:customStyle="1" w:styleId="Bulletindent2">
    <w:name w:val="Bullet indent 2"/>
    <w:basedOn w:val="NICEnormal"/>
    <w:rsid w:val="00E66ADA"/>
    <w:pPr>
      <w:numPr>
        <w:ilvl w:val="1"/>
        <w:numId w:val="27"/>
      </w:numPr>
      <w:spacing w:after="0"/>
    </w:pPr>
  </w:style>
  <w:style w:type="paragraph" w:customStyle="1" w:styleId="Bulletindent3">
    <w:name w:val="Bullet indent 3"/>
    <w:basedOn w:val="NICEnormal"/>
    <w:rsid w:val="00E66ADA"/>
    <w:pPr>
      <w:numPr>
        <w:ilvl w:val="2"/>
        <w:numId w:val="28"/>
      </w:numPr>
      <w:spacing w:after="0"/>
    </w:pPr>
  </w:style>
  <w:style w:type="paragraph" w:customStyle="1" w:styleId="Bulletleft1">
    <w:name w:val="Bullet left 1"/>
    <w:basedOn w:val="NICEnormal"/>
    <w:rsid w:val="00E66ADA"/>
    <w:pPr>
      <w:numPr>
        <w:numId w:val="29"/>
      </w:numPr>
      <w:spacing w:after="0"/>
    </w:pPr>
  </w:style>
  <w:style w:type="paragraph" w:customStyle="1" w:styleId="Bulletleft1last">
    <w:name w:val="Bullet left 1 last"/>
    <w:basedOn w:val="NICEnormal"/>
    <w:link w:val="Bulletleft1lastChar"/>
    <w:rsid w:val="00E66ADA"/>
    <w:pPr>
      <w:numPr>
        <w:numId w:val="30"/>
      </w:numPr>
    </w:pPr>
    <w:rPr>
      <w:rFonts w:cs="Arial"/>
    </w:rPr>
  </w:style>
  <w:style w:type="character" w:customStyle="1" w:styleId="Bulletleft1lastChar">
    <w:name w:val="Bullet left 1 last Char"/>
    <w:link w:val="Bulletleft1last"/>
    <w:rsid w:val="00E66ADA"/>
    <w:rPr>
      <w:rFonts w:ascii="Arial" w:hAnsi="Arial" w:cs="Arial"/>
      <w:sz w:val="24"/>
      <w:szCs w:val="24"/>
      <w:lang w:eastAsia="en-US"/>
    </w:rPr>
  </w:style>
  <w:style w:type="paragraph" w:customStyle="1" w:styleId="Bulletleft2">
    <w:name w:val="Bullet left 2"/>
    <w:basedOn w:val="NICEnormal"/>
    <w:rsid w:val="00E66ADA"/>
    <w:pPr>
      <w:numPr>
        <w:ilvl w:val="1"/>
        <w:numId w:val="31"/>
      </w:numPr>
      <w:spacing w:after="0"/>
    </w:pPr>
  </w:style>
  <w:style w:type="paragraph" w:customStyle="1" w:styleId="Bulletleft3">
    <w:name w:val="Bullet left 3"/>
    <w:basedOn w:val="NICEnormal"/>
    <w:rsid w:val="00E66ADA"/>
    <w:pPr>
      <w:numPr>
        <w:ilvl w:val="2"/>
        <w:numId w:val="32"/>
      </w:numPr>
      <w:spacing w:after="0"/>
    </w:pPr>
  </w:style>
  <w:style w:type="paragraph" w:customStyle="1" w:styleId="Documentissuedate">
    <w:name w:val="Document issue date"/>
    <w:basedOn w:val="Guidanceissuedate"/>
    <w:qFormat/>
    <w:rsid w:val="00E66ADA"/>
  </w:style>
  <w:style w:type="paragraph" w:customStyle="1" w:styleId="NICEnormalsinglespacing">
    <w:name w:val="NICE normal single spacing"/>
    <w:basedOn w:val="NICEnormal"/>
    <w:rsid w:val="00E66ADA"/>
    <w:pPr>
      <w:spacing w:line="240" w:lineRule="auto"/>
    </w:pPr>
  </w:style>
  <w:style w:type="paragraph" w:customStyle="1" w:styleId="Numberedheading1">
    <w:name w:val="Numbered heading 1"/>
    <w:basedOn w:val="Heading1"/>
    <w:next w:val="NICEnormal"/>
    <w:link w:val="Numberedheading1CharChar"/>
    <w:rsid w:val="00E66ADA"/>
    <w:pPr>
      <w:numPr>
        <w:numId w:val="38"/>
      </w:numPr>
    </w:pPr>
    <w:rPr>
      <w:szCs w:val="24"/>
    </w:rPr>
  </w:style>
  <w:style w:type="character" w:customStyle="1" w:styleId="Numberedheading1CharChar">
    <w:name w:val="Numbered heading 1 Char Char"/>
    <w:link w:val="Numberedheading1"/>
    <w:rsid w:val="00E66AD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E66ADA"/>
    <w:pPr>
      <w:numPr>
        <w:ilvl w:val="1"/>
        <w:numId w:val="38"/>
      </w:numPr>
    </w:pPr>
  </w:style>
  <w:style w:type="character" w:customStyle="1" w:styleId="Numberedheading2Char">
    <w:name w:val="Numbered heading 2 Char"/>
    <w:basedOn w:val="Heading2Char"/>
    <w:link w:val="Numberedheading2"/>
    <w:rsid w:val="00E66ADA"/>
    <w:rPr>
      <w:rFonts w:ascii="Arial" w:hAnsi="Arial" w:cs="Arial"/>
      <w:b/>
      <w:bCs/>
      <w:sz w:val="28"/>
      <w:szCs w:val="28"/>
      <w:lang w:eastAsia="en-US"/>
    </w:rPr>
  </w:style>
  <w:style w:type="paragraph" w:customStyle="1" w:styleId="Numberedheading3">
    <w:name w:val="Numbered heading 3"/>
    <w:basedOn w:val="Heading3"/>
    <w:next w:val="NICEnormal"/>
    <w:rsid w:val="00E66ADA"/>
    <w:pPr>
      <w:numPr>
        <w:ilvl w:val="2"/>
        <w:numId w:val="38"/>
      </w:numPr>
    </w:pPr>
  </w:style>
  <w:style w:type="paragraph" w:customStyle="1" w:styleId="Numberedlevel2text">
    <w:name w:val="Numbered level 2 text"/>
    <w:basedOn w:val="Numberedheading2"/>
    <w:rsid w:val="00E66ADA"/>
    <w:pPr>
      <w:spacing w:before="0" w:after="240"/>
    </w:pPr>
    <w:rPr>
      <w:b w:val="0"/>
      <w:sz w:val="24"/>
    </w:rPr>
  </w:style>
  <w:style w:type="paragraph" w:customStyle="1" w:styleId="Numberedlevel3text">
    <w:name w:val="Numbered level 3 text"/>
    <w:basedOn w:val="Numberedheading3"/>
    <w:rsid w:val="00E66ADA"/>
    <w:pPr>
      <w:spacing w:before="0" w:after="240"/>
    </w:pPr>
    <w:rPr>
      <w:b w:val="0"/>
      <w:sz w:val="24"/>
    </w:rPr>
  </w:style>
  <w:style w:type="paragraph" w:customStyle="1" w:styleId="Numberedlevel4text">
    <w:name w:val="Numbered level 4 text"/>
    <w:basedOn w:val="NICEnormal"/>
    <w:next w:val="NICEnormal"/>
    <w:rsid w:val="00E66ADA"/>
    <w:pPr>
      <w:numPr>
        <w:ilvl w:val="3"/>
        <w:numId w:val="38"/>
      </w:numPr>
    </w:pPr>
  </w:style>
  <w:style w:type="paragraph" w:customStyle="1" w:styleId="Panelbullet1">
    <w:name w:val="Panel bullet 1"/>
    <w:basedOn w:val="ListParagraph"/>
    <w:qFormat/>
    <w:rsid w:val="00E66ADA"/>
    <w:pPr>
      <w:numPr>
        <w:numId w:val="39"/>
      </w:numPr>
      <w:tabs>
        <w:tab w:val="num" w:pos="360"/>
        <w:tab w:val="num" w:pos="1134"/>
      </w:tabs>
    </w:pPr>
    <w:rPr>
      <w:rFonts w:ascii="Arial" w:hAnsi="Arial"/>
      <w:lang w:eastAsia="en-US"/>
    </w:rPr>
  </w:style>
  <w:style w:type="paragraph" w:styleId="ListParagraph">
    <w:name w:val="List Paragraph"/>
    <w:basedOn w:val="Normal"/>
    <w:uiPriority w:val="34"/>
    <w:semiHidden/>
    <w:qFormat/>
    <w:rsid w:val="00E66ADA"/>
    <w:pPr>
      <w:ind w:left="720"/>
      <w:contextualSpacing/>
    </w:pPr>
  </w:style>
  <w:style w:type="paragraph" w:customStyle="1" w:styleId="Panelhyperlink">
    <w:name w:val="Panel hyperlink"/>
    <w:basedOn w:val="NICEnormal"/>
    <w:next w:val="NICEnormal"/>
    <w:qFormat/>
    <w:rsid w:val="00E66ADA"/>
    <w:rPr>
      <w:color w:val="FFFFFF" w:themeColor="background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13" Type="http://schemas.openxmlformats.org/officeDocument/2006/relationships/hyperlink" Target="https://www.england.nhs.uk/publication/improving-identification-of-people-with-a-learning-disability-guidance-for-general-prac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land.nhs.uk/learning-disabilities/improving-health/annual-health-chec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terms-and-conditions" TargetMode="Externa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indicator guidance template</dc:title>
  <dc:subject/>
  <dc:creator/>
  <cp:keywords/>
  <dc:description/>
  <cp:lastModifiedBy/>
  <cp:revision>1</cp:revision>
  <dcterms:created xsi:type="dcterms:W3CDTF">2023-10-13T08:42:00Z</dcterms:created>
  <dcterms:modified xsi:type="dcterms:W3CDTF">2023-10-13T10:06:00Z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2023-10-12T16:42:39Z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e35f4296-69e6-4181-9dc8-c165c0a5af45</vt:lpwstr>
  </property>
  <property fmtid="{D5CDD505-2E9C-101B-9397-08002B2CF9AE}" pid="8" name="MSIP_Label_37c1caf1-e4f0-4b5d-9415-ebd897024cb8_ContentBits">
    <vt:lpwstr>0</vt:lpwstr>
  </property>
</Properties>
</file>