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6C8" w14:textId="245141FF" w:rsidR="00501E7B" w:rsidRPr="00501E7B" w:rsidRDefault="00501E7B" w:rsidP="00363276">
      <w:pPr>
        <w:pStyle w:val="Title"/>
        <w:rPr>
          <w:sz w:val="40"/>
          <w:szCs w:val="40"/>
        </w:rPr>
      </w:pPr>
      <w:r w:rsidRPr="00501E7B">
        <w:rPr>
          <w:sz w:val="40"/>
          <w:szCs w:val="40"/>
        </w:rPr>
        <w:t xml:space="preserve">Indicator development programme </w:t>
      </w:r>
    </w:p>
    <w:p w14:paraId="6C6B43FC" w14:textId="6148D6D4" w:rsidR="00482C01" w:rsidRPr="00501E7B" w:rsidRDefault="009B0E59" w:rsidP="00363276">
      <w:pPr>
        <w:pStyle w:val="Title"/>
        <w:rPr>
          <w:sz w:val="40"/>
          <w:szCs w:val="40"/>
        </w:rPr>
      </w:pPr>
      <w:r w:rsidRPr="00501E7B">
        <w:rPr>
          <w:sz w:val="40"/>
          <w:szCs w:val="40"/>
        </w:rPr>
        <w:t>NICE indicator v</w:t>
      </w:r>
      <w:r w:rsidR="00192B09" w:rsidRPr="00501E7B">
        <w:rPr>
          <w:sz w:val="40"/>
          <w:szCs w:val="40"/>
        </w:rPr>
        <w:t>alidity assessment</w:t>
      </w:r>
    </w:p>
    <w:p w14:paraId="047E7BC9" w14:textId="47FFE852" w:rsidR="009B0E59" w:rsidRPr="009B0E59" w:rsidRDefault="00501E7B" w:rsidP="00192685">
      <w:pPr>
        <w:pStyle w:val="Heading1"/>
        <w:rPr>
          <w:lang w:eastAsia="en-GB"/>
        </w:rPr>
      </w:pPr>
      <w:r>
        <w:rPr>
          <w:lang w:eastAsia="en-GB"/>
        </w:rPr>
        <w:t xml:space="preserve">Indicator </w:t>
      </w:r>
      <w:r w:rsidR="00187477">
        <w:rPr>
          <w:lang w:eastAsia="en-GB"/>
        </w:rPr>
        <w:t>NM250</w:t>
      </w:r>
    </w:p>
    <w:p w14:paraId="7C5C120D" w14:textId="6690F429" w:rsidR="00555234" w:rsidRDefault="00555234" w:rsidP="00555234">
      <w:pPr>
        <w:pStyle w:val="Paragraph"/>
        <w:rPr>
          <w:lang w:eastAsia="en-GB"/>
        </w:rPr>
      </w:pPr>
      <w:bookmarkStart w:id="0" w:name="_Hlk145064183"/>
      <w:r>
        <w:rPr>
          <w:lang w:eastAsia="en-GB"/>
        </w:rPr>
        <w:t>The percentage of patients on the learning disability register who:</w:t>
      </w:r>
    </w:p>
    <w:p w14:paraId="732D731B" w14:textId="2C034D7A" w:rsidR="00555234" w:rsidRDefault="00555234" w:rsidP="00555234">
      <w:pPr>
        <w:pStyle w:val="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received a learning disability health check and </w:t>
      </w:r>
      <w:r w:rsidR="0099305B">
        <w:rPr>
          <w:lang w:eastAsia="en-GB"/>
        </w:rPr>
        <w:t xml:space="preserve">had </w:t>
      </w:r>
      <w:r>
        <w:rPr>
          <w:lang w:eastAsia="en-GB"/>
        </w:rPr>
        <w:t>a completed health action plan in the preceding 12 months and</w:t>
      </w:r>
    </w:p>
    <w:p w14:paraId="65A787B4" w14:textId="31A5D2B6" w:rsidR="006A5DF3" w:rsidRDefault="00555234" w:rsidP="00555234">
      <w:pPr>
        <w:pStyle w:val="Paragraph"/>
        <w:numPr>
          <w:ilvl w:val="0"/>
          <w:numId w:val="40"/>
        </w:numPr>
        <w:rPr>
          <w:b/>
          <w:bCs/>
          <w:lang w:eastAsia="en-GB"/>
        </w:rPr>
      </w:pPr>
      <w:r>
        <w:rPr>
          <w:lang w:eastAsia="en-GB"/>
        </w:rPr>
        <w:t>have a recording of ethnicity</w:t>
      </w:r>
      <w:r w:rsidR="002C1868">
        <w:rPr>
          <w:b/>
          <w:bCs/>
          <w:lang w:eastAsia="en-GB"/>
        </w:rPr>
        <w:t>.</w:t>
      </w:r>
    </w:p>
    <w:bookmarkEnd w:id="0"/>
    <w:p w14:paraId="13E9B37D" w14:textId="77777777" w:rsidR="00DB5EEF" w:rsidRDefault="00DB5EEF" w:rsidP="00DB5EEF">
      <w:pPr>
        <w:pStyle w:val="Heading1"/>
      </w:pPr>
      <w:r>
        <w:t xml:space="preserve">Indicator type </w:t>
      </w:r>
    </w:p>
    <w:p w14:paraId="07977358" w14:textId="77777777" w:rsidR="00DB5EEF" w:rsidRDefault="00DB5EEF" w:rsidP="00DB5EEF">
      <w:pPr>
        <w:pStyle w:val="Paragraph"/>
      </w:pPr>
      <w:r w:rsidRPr="00071DAB">
        <w:t>General practice indicator suitable for use in the Quality and Outcomes Framework.</w:t>
      </w:r>
    </w:p>
    <w:p w14:paraId="7C25BFBC" w14:textId="62760B9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527B6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1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527B6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62654B9" w14:textId="77777777" w:rsidTr="002338EB">
        <w:tc>
          <w:tcPr>
            <w:tcW w:w="5949" w:type="dxa"/>
          </w:tcPr>
          <w:p w14:paraId="270D5721" w14:textId="75F4C331" w:rsidR="00B71BDC" w:rsidRDefault="002338EB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6A5DF3">
              <w:rPr>
                <w:rFonts w:cs="Arial"/>
                <w:sz w:val="22"/>
                <w:szCs w:val="22"/>
              </w:rPr>
              <w:t xml:space="preserve">The </w:t>
            </w:r>
            <w:hyperlink r:id="rId8" w:history="1">
              <w:r w:rsidRPr="006A5DF3">
                <w:rPr>
                  <w:rFonts w:cs="Arial"/>
                  <w:color w:val="0000FF"/>
                  <w:sz w:val="22"/>
                  <w:szCs w:val="22"/>
                  <w:u w:val="single"/>
                </w:rPr>
                <w:t>NHS Long Term Plan</w:t>
              </w:r>
            </w:hyperlink>
            <w:r w:rsidRPr="006A5DF3">
              <w:rPr>
                <w:rFonts w:cs="Arial"/>
                <w:sz w:val="22"/>
                <w:szCs w:val="22"/>
              </w:rPr>
              <w:t xml:space="preserve"> </w:t>
            </w:r>
            <w:r w:rsidR="006A5DF3">
              <w:rPr>
                <w:rFonts w:cs="Arial"/>
                <w:sz w:val="22"/>
                <w:szCs w:val="22"/>
              </w:rPr>
              <w:t>s</w:t>
            </w:r>
            <w:r w:rsidR="006A5DF3" w:rsidRPr="006A5DF3">
              <w:rPr>
                <w:rFonts w:cs="Arial"/>
                <w:sz w:val="22"/>
                <w:szCs w:val="22"/>
              </w:rPr>
              <w:t>et</w:t>
            </w:r>
            <w:r w:rsidR="006A5DF3">
              <w:rPr>
                <w:rFonts w:cs="Arial"/>
                <w:sz w:val="22"/>
                <w:szCs w:val="22"/>
              </w:rPr>
              <w:t>s</w:t>
            </w:r>
            <w:r w:rsidR="006A5DF3" w:rsidRPr="006A5DF3">
              <w:rPr>
                <w:rFonts w:cs="Arial"/>
                <w:sz w:val="22"/>
                <w:szCs w:val="22"/>
              </w:rPr>
              <w:t xml:space="preserve"> an ambition that by 2023/24, at least 75% of people aged 14 or over with a learning disability will have had an annual health check</w:t>
            </w:r>
            <w:r w:rsidR="00A87E62">
              <w:rPr>
                <w:rFonts w:cs="Arial"/>
                <w:sz w:val="22"/>
                <w:szCs w:val="22"/>
              </w:rPr>
              <w:t>.</w:t>
            </w:r>
            <w:r w:rsidR="001852BB">
              <w:rPr>
                <w:rFonts w:cs="Arial"/>
                <w:sz w:val="22"/>
                <w:szCs w:val="22"/>
              </w:rPr>
              <w:t xml:space="preserve"> </w:t>
            </w:r>
            <w:r w:rsidR="00A87E62">
              <w:rPr>
                <w:rFonts w:cs="Arial"/>
                <w:sz w:val="22"/>
                <w:szCs w:val="22"/>
              </w:rPr>
              <w:t>The Plan also sets out a commitment on prevention and health inequalities.</w:t>
            </w:r>
            <w:r w:rsidR="00E80D46">
              <w:rPr>
                <w:rFonts w:cs="Arial"/>
                <w:sz w:val="22"/>
                <w:szCs w:val="22"/>
              </w:rPr>
              <w:t xml:space="preserve"> </w:t>
            </w:r>
          </w:p>
          <w:p w14:paraId="2D2C99A3" w14:textId="77777777" w:rsidR="00E62DE0" w:rsidRDefault="00E62DE0" w:rsidP="00331235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4733BB">
              <w:rPr>
                <w:rFonts w:cs="Arial"/>
                <w:sz w:val="22"/>
                <w:szCs w:val="22"/>
              </w:rPr>
              <w:t xml:space="preserve">he </w:t>
            </w:r>
            <w:hyperlink r:id="rId9" w:history="1">
              <w:r w:rsidRPr="00FA2482">
                <w:rPr>
                  <w:rStyle w:val="Hyperlink"/>
                  <w:rFonts w:cs="Arial"/>
                  <w:sz w:val="22"/>
                  <w:szCs w:val="22"/>
                </w:rPr>
                <w:t>NHS Response to COVID Phase 3 letter (Accelerating the return of non-Covid health services, March 2022)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  <w:r w:rsidRPr="004733BB">
              <w:rPr>
                <w:rFonts w:cs="Arial"/>
                <w:sz w:val="22"/>
                <w:szCs w:val="22"/>
              </w:rPr>
              <w:t>reiterates the importance of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733BB">
              <w:rPr>
                <w:rFonts w:cs="Arial"/>
                <w:sz w:val="22"/>
                <w:szCs w:val="22"/>
              </w:rPr>
              <w:t>people with a learning disability being identified on their local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733BB">
              <w:rPr>
                <w:rFonts w:cs="Arial"/>
                <w:sz w:val="22"/>
                <w:szCs w:val="22"/>
              </w:rPr>
              <w:t>register and having annual health checks completed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1CCD2993" w14:textId="4594DF3E" w:rsidR="00EF436C" w:rsidRDefault="00EF436C" w:rsidP="00EF436C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EF436C">
              <w:rPr>
                <w:rFonts w:cs="Arial"/>
                <w:sz w:val="22"/>
                <w:szCs w:val="22"/>
              </w:rPr>
              <w:t xml:space="preserve">The provision of annual health checks </w:t>
            </w:r>
            <w:r w:rsidR="00187477">
              <w:rPr>
                <w:rFonts w:cs="Arial"/>
                <w:sz w:val="22"/>
                <w:szCs w:val="22"/>
              </w:rPr>
              <w:t xml:space="preserve">for people 14 years and over </w:t>
            </w:r>
            <w:r w:rsidRPr="00EF436C">
              <w:rPr>
                <w:rFonts w:cs="Arial"/>
                <w:sz w:val="22"/>
                <w:szCs w:val="22"/>
              </w:rPr>
              <w:t>is already part of Directed Enhanced Services for Primary Medical Services.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F338971" w14:textId="61899EBD" w:rsidR="00950C7B" w:rsidRPr="00A87E62" w:rsidRDefault="00B71BDC" w:rsidP="00331235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indicator is </w:t>
            </w:r>
            <w:r w:rsidR="00EF436C">
              <w:rPr>
                <w:sz w:val="22"/>
                <w:szCs w:val="22"/>
              </w:rPr>
              <w:t xml:space="preserve">based on one currently </w:t>
            </w:r>
            <w:r>
              <w:rPr>
                <w:sz w:val="22"/>
                <w:szCs w:val="22"/>
              </w:rPr>
              <w:t xml:space="preserve">included in the health inequalities domain of the </w:t>
            </w:r>
            <w:hyperlink r:id="rId10" w:history="1">
              <w:r w:rsidRPr="00B71BDC">
                <w:rPr>
                  <w:rStyle w:val="Hyperlink"/>
                  <w:sz w:val="22"/>
                  <w:szCs w:val="22"/>
                </w:rPr>
                <w:t>Investment and Impact Fund (IIF)</w:t>
              </w:r>
            </w:hyperlink>
            <w:r>
              <w:rPr>
                <w:sz w:val="22"/>
                <w:szCs w:val="22"/>
              </w:rPr>
              <w:t xml:space="preserve"> 202</w:t>
            </w:r>
            <w:r w:rsidR="003F37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3F3762">
              <w:rPr>
                <w:sz w:val="22"/>
                <w:szCs w:val="22"/>
              </w:rPr>
              <w:t>4</w:t>
            </w:r>
            <w:r w:rsidR="004B6CCA">
              <w:rPr>
                <w:sz w:val="22"/>
                <w:szCs w:val="22"/>
              </w:rPr>
              <w:t xml:space="preserve"> as HI-0</w:t>
            </w:r>
            <w:r w:rsidR="00555234">
              <w:rPr>
                <w:sz w:val="22"/>
                <w:szCs w:val="22"/>
              </w:rPr>
              <w:t>3</w:t>
            </w:r>
            <w:r w:rsidR="003F3762">
              <w:rPr>
                <w:sz w:val="22"/>
                <w:szCs w:val="22"/>
              </w:rPr>
              <w:t xml:space="preserve"> / NCD120</w:t>
            </w:r>
            <w:r>
              <w:rPr>
                <w:sz w:val="22"/>
                <w:szCs w:val="22"/>
              </w:rPr>
              <w:t>.</w:t>
            </w:r>
            <w:r w:rsidR="004B6CCA">
              <w:rPr>
                <w:sz w:val="22"/>
                <w:szCs w:val="22"/>
              </w:rPr>
              <w:t xml:space="preserve"> </w:t>
            </w:r>
            <w:r w:rsidR="00294A52">
              <w:rPr>
                <w:rFonts w:cs="Arial"/>
                <w:sz w:val="22"/>
                <w:szCs w:val="22"/>
              </w:rPr>
              <w:t>It</w:t>
            </w:r>
            <w:r w:rsidR="00950C7B">
              <w:rPr>
                <w:rFonts w:cs="Arial"/>
                <w:sz w:val="22"/>
                <w:szCs w:val="22"/>
              </w:rPr>
              <w:t xml:space="preserve"> supports </w:t>
            </w:r>
            <w:r w:rsidR="00950C7B" w:rsidRPr="004733BB">
              <w:rPr>
                <w:rFonts w:cs="Arial"/>
                <w:sz w:val="22"/>
                <w:szCs w:val="22"/>
              </w:rPr>
              <w:t>tack</w:t>
            </w:r>
            <w:r w:rsidR="00950C7B">
              <w:rPr>
                <w:rFonts w:cs="Arial"/>
                <w:sz w:val="22"/>
                <w:szCs w:val="22"/>
              </w:rPr>
              <w:t>ling</w:t>
            </w:r>
            <w:r w:rsidR="00950C7B" w:rsidRPr="004733BB">
              <w:rPr>
                <w:rFonts w:cs="Arial"/>
                <w:sz w:val="22"/>
                <w:szCs w:val="22"/>
              </w:rPr>
              <w:t xml:space="preserve"> the causes of morbidity and preventable deaths in people with a learning disability</w:t>
            </w:r>
            <w:r w:rsidR="00294A52">
              <w:rPr>
                <w:rFonts w:cs="Arial"/>
                <w:sz w:val="22"/>
                <w:szCs w:val="22"/>
              </w:rPr>
              <w:t>.</w:t>
            </w:r>
            <w:r w:rsidR="0033123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62E903B" w14:textId="2CC4828A" w:rsidR="002338EB" w:rsidRDefault="002338EB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6A5DF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7A705133" w14:textId="77777777" w:rsidR="002338EB" w:rsidRDefault="002338EB" w:rsidP="00527B6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  <w:p w14:paraId="272CA0EC" w14:textId="6C1CED32" w:rsidR="00CA55C0" w:rsidRPr="002338EB" w:rsidRDefault="00CA55C0" w:rsidP="00527B6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2E2CE1C4" w14:textId="77777777" w:rsidTr="002338EB">
        <w:tc>
          <w:tcPr>
            <w:tcW w:w="5949" w:type="dxa"/>
          </w:tcPr>
          <w:p w14:paraId="21A2DCB2" w14:textId="2E4B3199" w:rsidR="00950C7B" w:rsidRDefault="009E6AE5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950C7B">
              <w:rPr>
                <w:rFonts w:cs="Arial"/>
                <w:sz w:val="22"/>
                <w:szCs w:val="22"/>
              </w:rPr>
              <w:t>eople with a learning disability often have poorer physical and mental health.</w:t>
            </w:r>
            <w:r w:rsidR="00F20565">
              <w:rPr>
                <w:rFonts w:cs="Arial"/>
                <w:sz w:val="22"/>
                <w:szCs w:val="22"/>
              </w:rPr>
              <w:t xml:space="preserve"> </w:t>
            </w:r>
            <w:r w:rsidR="00A87E62">
              <w:rPr>
                <w:rFonts w:cs="Arial"/>
                <w:sz w:val="22"/>
                <w:szCs w:val="22"/>
              </w:rPr>
              <w:t xml:space="preserve">Data from </w:t>
            </w:r>
            <w:hyperlink r:id="rId11" w:history="1">
              <w:r w:rsidR="00F20565" w:rsidRPr="005F3F5B">
                <w:rPr>
                  <w:rStyle w:val="Hyperlink"/>
                  <w:rFonts w:cs="Arial"/>
                  <w:sz w:val="22"/>
                  <w:szCs w:val="22"/>
                </w:rPr>
                <w:t>Learning from Lives and Deaths - people with a learning disability and autistic people</w:t>
              </w:r>
            </w:hyperlink>
            <w:r w:rsidR="00F20565" w:rsidRPr="005F3F5B">
              <w:rPr>
                <w:rFonts w:cs="Arial"/>
                <w:sz w:val="22"/>
                <w:szCs w:val="22"/>
              </w:rPr>
              <w:t xml:space="preserve"> (2021)</w:t>
            </w:r>
            <w:r w:rsidR="002C1868">
              <w:rPr>
                <w:rFonts w:cs="Arial"/>
                <w:sz w:val="22"/>
                <w:szCs w:val="22"/>
              </w:rPr>
              <w:t xml:space="preserve"> highlights </w:t>
            </w:r>
            <w:r w:rsidR="00A87E62">
              <w:rPr>
                <w:rFonts w:cs="Arial"/>
                <w:sz w:val="22"/>
                <w:szCs w:val="22"/>
              </w:rPr>
              <w:t>that</w:t>
            </w:r>
            <w:r w:rsidR="00F20565">
              <w:rPr>
                <w:rFonts w:cs="Arial"/>
                <w:sz w:val="22"/>
                <w:szCs w:val="22"/>
              </w:rPr>
              <w:t xml:space="preserve"> </w:t>
            </w:r>
            <w:r w:rsidR="00F967DF">
              <w:rPr>
                <w:rFonts w:cs="Arial"/>
                <w:sz w:val="22"/>
                <w:szCs w:val="22"/>
              </w:rPr>
              <w:t>4</w:t>
            </w:r>
            <w:r w:rsidR="00F967DF" w:rsidRPr="00F967DF">
              <w:rPr>
                <w:rFonts w:cs="Arial"/>
                <w:sz w:val="22"/>
                <w:szCs w:val="22"/>
              </w:rPr>
              <w:t>9% of deaths were rated</w:t>
            </w:r>
            <w:r w:rsidR="00F967DF">
              <w:rPr>
                <w:rFonts w:cs="Arial"/>
                <w:sz w:val="22"/>
                <w:szCs w:val="22"/>
              </w:rPr>
              <w:t xml:space="preserve"> </w:t>
            </w:r>
            <w:r w:rsidR="00F967DF" w:rsidRPr="00F967DF">
              <w:rPr>
                <w:rFonts w:cs="Arial"/>
                <w:sz w:val="22"/>
                <w:szCs w:val="22"/>
              </w:rPr>
              <w:t>as avoidable for people</w:t>
            </w:r>
            <w:r w:rsidR="00F967DF">
              <w:rPr>
                <w:rFonts w:cs="Arial"/>
                <w:sz w:val="22"/>
                <w:szCs w:val="22"/>
              </w:rPr>
              <w:t xml:space="preserve"> </w:t>
            </w:r>
            <w:r w:rsidR="00F967DF" w:rsidRPr="00F967DF">
              <w:rPr>
                <w:rFonts w:cs="Arial"/>
                <w:sz w:val="22"/>
                <w:szCs w:val="22"/>
              </w:rPr>
              <w:t>with a learning disability</w:t>
            </w:r>
            <w:r w:rsidR="00F20565">
              <w:rPr>
                <w:rFonts w:cs="Arial"/>
                <w:sz w:val="22"/>
                <w:szCs w:val="22"/>
              </w:rPr>
              <w:t xml:space="preserve"> compared to </w:t>
            </w:r>
            <w:r w:rsidR="00F967DF" w:rsidRPr="00F967DF">
              <w:rPr>
                <w:rFonts w:cs="Arial"/>
                <w:sz w:val="22"/>
                <w:szCs w:val="22"/>
              </w:rPr>
              <w:t>22% for</w:t>
            </w:r>
            <w:r w:rsidR="00F967DF">
              <w:rPr>
                <w:rFonts w:cs="Arial"/>
                <w:sz w:val="22"/>
                <w:szCs w:val="22"/>
              </w:rPr>
              <w:t xml:space="preserve"> </w:t>
            </w:r>
            <w:r w:rsidR="00F967DF" w:rsidRPr="00F967DF">
              <w:rPr>
                <w:rFonts w:cs="Arial"/>
                <w:sz w:val="22"/>
                <w:szCs w:val="22"/>
              </w:rPr>
              <w:t>the general population</w:t>
            </w:r>
            <w:r w:rsidR="00F20565">
              <w:rPr>
                <w:rFonts w:cs="Arial"/>
                <w:sz w:val="22"/>
                <w:szCs w:val="22"/>
              </w:rPr>
              <w:t>,</w:t>
            </w:r>
            <w:r w:rsidR="00F967DF">
              <w:rPr>
                <w:rFonts w:cs="Arial"/>
                <w:sz w:val="22"/>
                <w:szCs w:val="22"/>
              </w:rPr>
              <w:t xml:space="preserve"> </w:t>
            </w:r>
            <w:r w:rsidR="00F109F8">
              <w:rPr>
                <w:rFonts w:cs="Arial"/>
                <w:sz w:val="22"/>
                <w:szCs w:val="22"/>
              </w:rPr>
              <w:t xml:space="preserve">31% were due to cardiovascular conditions and 17% to respiratory conditions. </w:t>
            </w:r>
            <w:r w:rsidR="00555234" w:rsidRPr="00555234">
              <w:rPr>
                <w:rFonts w:cs="Arial"/>
                <w:sz w:val="22"/>
                <w:szCs w:val="22"/>
              </w:rPr>
              <w:t>This indicator also requires a recording of ethnicity</w:t>
            </w:r>
            <w:r w:rsidR="00A909CA">
              <w:rPr>
                <w:rFonts w:cs="Arial"/>
                <w:sz w:val="22"/>
                <w:szCs w:val="22"/>
              </w:rPr>
              <w:t xml:space="preserve"> as </w:t>
            </w:r>
            <w:r w:rsidR="00555234" w:rsidRPr="00555234">
              <w:rPr>
                <w:rFonts w:cs="Arial"/>
                <w:sz w:val="22"/>
                <w:szCs w:val="22"/>
              </w:rPr>
              <w:t xml:space="preserve">increasing levels of premature mortality are </w:t>
            </w:r>
            <w:r w:rsidR="00555234" w:rsidRPr="00555234">
              <w:rPr>
                <w:rFonts w:cs="Arial"/>
                <w:sz w:val="22"/>
                <w:szCs w:val="22"/>
              </w:rPr>
              <w:lastRenderedPageBreak/>
              <w:t xml:space="preserve">noted in people with a learning disability from </w:t>
            </w:r>
            <w:r w:rsidR="00746D9B">
              <w:rPr>
                <w:rFonts w:cs="Arial"/>
                <w:sz w:val="22"/>
                <w:szCs w:val="22"/>
              </w:rPr>
              <w:t>ethnic minority backgrounds</w:t>
            </w:r>
            <w:r w:rsidR="00555234" w:rsidRPr="00555234">
              <w:rPr>
                <w:rFonts w:cs="Arial"/>
                <w:sz w:val="22"/>
                <w:szCs w:val="22"/>
              </w:rPr>
              <w:t>.</w:t>
            </w:r>
          </w:p>
          <w:p w14:paraId="4C29066D" w14:textId="59DA0CA8" w:rsidR="00735337" w:rsidRDefault="00DC2BFA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hyperlink r:id="rId12" w:history="1">
              <w:r w:rsidR="0078341A">
                <w:rPr>
                  <w:rStyle w:val="Hyperlink"/>
                  <w:rFonts w:cs="Arial"/>
                  <w:sz w:val="22"/>
                  <w:szCs w:val="22"/>
                </w:rPr>
                <w:t>2021/22 Network contract directed enhanced service data</w:t>
              </w:r>
            </w:hyperlink>
            <w:r w:rsidR="0078341A">
              <w:rPr>
                <w:rFonts w:cs="Arial"/>
                <w:sz w:val="22"/>
                <w:szCs w:val="22"/>
              </w:rPr>
              <w:t xml:space="preserve"> show that: </w:t>
            </w:r>
          </w:p>
          <w:p w14:paraId="4B3B85A9" w14:textId="0FD496D3" w:rsidR="0078341A" w:rsidRDefault="0078341A" w:rsidP="0078341A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73% of people aged 14 </w:t>
            </w:r>
            <w:r w:rsidRPr="0078341A">
              <w:rPr>
                <w:rFonts w:cs="Arial"/>
                <w:sz w:val="22"/>
                <w:szCs w:val="22"/>
              </w:rPr>
              <w:t xml:space="preserve">and over on the QOF learning disability register </w:t>
            </w:r>
            <w:r>
              <w:rPr>
                <w:rFonts w:cs="Arial"/>
                <w:sz w:val="22"/>
                <w:szCs w:val="22"/>
              </w:rPr>
              <w:t xml:space="preserve">received an annual health check. </w:t>
            </w:r>
          </w:p>
          <w:p w14:paraId="378D38FD" w14:textId="734BFA3A" w:rsidR="0078341A" w:rsidRPr="00FA2482" w:rsidRDefault="0078341A" w:rsidP="0078341A">
            <w:pPr>
              <w:pStyle w:val="Paragraph"/>
              <w:numPr>
                <w:ilvl w:val="0"/>
                <w:numId w:val="39"/>
              </w:num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64% of people aged 14 and over on the QOF learning disability register </w:t>
            </w:r>
            <w:r w:rsidRPr="0078341A">
              <w:rPr>
                <w:rFonts w:cs="Arial"/>
                <w:sz w:val="22"/>
                <w:szCs w:val="22"/>
              </w:rPr>
              <w:t>received an annual health check</w:t>
            </w:r>
            <w:r>
              <w:rPr>
                <w:rFonts w:cs="Arial"/>
                <w:sz w:val="22"/>
                <w:szCs w:val="22"/>
              </w:rPr>
              <w:t xml:space="preserve"> and a health action plan.</w:t>
            </w:r>
          </w:p>
        </w:tc>
        <w:tc>
          <w:tcPr>
            <w:tcW w:w="3118" w:type="dxa"/>
          </w:tcPr>
          <w:p w14:paraId="3C8B1CA2" w14:textId="77777777" w:rsidR="00735337" w:rsidRPr="00A87E62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87E62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>The indicator relates to an area where there is known variation in practice.</w:t>
            </w:r>
          </w:p>
          <w:p w14:paraId="3FD01E72" w14:textId="4361FE05" w:rsidR="00735337" w:rsidRPr="00A87E62" w:rsidRDefault="00735337" w:rsidP="00527B6D">
            <w:pPr>
              <w:pStyle w:val="Paragraph"/>
              <w:spacing w:before="120" w:after="120" w:line="240" w:lineRule="auto"/>
            </w:pP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</w:t>
            </w:r>
            <w:r w:rsidR="0078341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should help a</w:t>
            </w: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ddress under-treatment</w:t>
            </w:r>
            <w:r w:rsidR="002F148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by improving </w:t>
            </w:r>
            <w:r w:rsidR="00E3132C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</w:t>
            </w:r>
            <w:r w:rsidR="002F148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case-finding</w:t>
            </w:r>
            <w:r w:rsidR="00E3132C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process</w:t>
            </w:r>
            <w:r w:rsidRPr="00A87E6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.</w:t>
            </w:r>
          </w:p>
        </w:tc>
      </w:tr>
      <w:tr w:rsidR="00735337" w14:paraId="373D8AA4" w14:textId="77777777" w:rsidTr="002338EB">
        <w:tc>
          <w:tcPr>
            <w:tcW w:w="5949" w:type="dxa"/>
          </w:tcPr>
          <w:p w14:paraId="349A3014" w14:textId="063D7496" w:rsidR="00F20565" w:rsidRDefault="00015C79" w:rsidP="00527B6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015C79">
              <w:rPr>
                <w:rFonts w:cs="Arial"/>
                <w:sz w:val="22"/>
                <w:szCs w:val="22"/>
              </w:rPr>
              <w:t xml:space="preserve">The learning disabilities health checks are designed to pick up a wide range of unmet health needs </w:t>
            </w:r>
            <w:r w:rsidR="00F20565">
              <w:rPr>
                <w:rFonts w:cs="Arial"/>
                <w:sz w:val="22"/>
                <w:szCs w:val="22"/>
              </w:rPr>
              <w:t>unlike</w:t>
            </w:r>
            <w:r w:rsidRPr="00015C79">
              <w:rPr>
                <w:rFonts w:cs="Arial"/>
                <w:sz w:val="22"/>
                <w:szCs w:val="22"/>
              </w:rPr>
              <w:t xml:space="preserve"> the </w:t>
            </w:r>
            <w:r w:rsidR="00F20565">
              <w:rPr>
                <w:rFonts w:cs="Arial"/>
                <w:sz w:val="22"/>
                <w:szCs w:val="22"/>
              </w:rPr>
              <w:t>wider NHS health check scheme</w:t>
            </w:r>
            <w:r w:rsidRPr="00015C79">
              <w:rPr>
                <w:rFonts w:cs="Arial"/>
                <w:sz w:val="22"/>
                <w:szCs w:val="22"/>
              </w:rPr>
              <w:t xml:space="preserve"> is intended to help individuals reduce their risk of heart disease, stroke, diabetes and kidney diseas</w:t>
            </w:r>
            <w:r w:rsidR="00F20565">
              <w:rPr>
                <w:rFonts w:cs="Arial"/>
                <w:sz w:val="22"/>
                <w:szCs w:val="22"/>
              </w:rPr>
              <w:t>e (</w:t>
            </w:r>
            <w:hyperlink r:id="rId13" w:history="1">
              <w:r w:rsidR="00F20565" w:rsidRPr="004733BB">
                <w:rPr>
                  <w:rStyle w:val="Hyperlink"/>
                  <w:rFonts w:cs="Arial"/>
                  <w:sz w:val="22"/>
                  <w:szCs w:val="22"/>
                </w:rPr>
                <w:t>Public Health England</w:t>
              </w:r>
              <w:r w:rsidR="00F20565">
                <w:rPr>
                  <w:rStyle w:val="Hyperlink"/>
                  <w:rFonts w:cs="Arial"/>
                  <w:sz w:val="22"/>
                  <w:szCs w:val="22"/>
                </w:rPr>
                <w:t xml:space="preserve">, </w:t>
              </w:r>
              <w:r w:rsidR="00F20565" w:rsidRPr="004733BB">
                <w:rPr>
                  <w:rStyle w:val="Hyperlink"/>
                  <w:rFonts w:cs="Arial"/>
                  <w:sz w:val="22"/>
                  <w:szCs w:val="22"/>
                </w:rPr>
                <w:t>2016)</w:t>
              </w:r>
            </w:hyperlink>
            <w:r w:rsidR="00F20565">
              <w:rPr>
                <w:rStyle w:val="Hyperlink"/>
                <w:rFonts w:cs="Arial"/>
                <w:sz w:val="22"/>
                <w:szCs w:val="22"/>
              </w:rPr>
              <w:t>.</w:t>
            </w:r>
          </w:p>
          <w:p w14:paraId="3E96B4C2" w14:textId="15BA91A7" w:rsidR="00A909CA" w:rsidRDefault="00331235" w:rsidP="004B6C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annual </w:t>
            </w:r>
            <w:r w:rsidR="00F20565">
              <w:rPr>
                <w:rFonts w:ascii="Arial" w:hAnsi="Arial" w:cs="Arial"/>
                <w:sz w:val="22"/>
                <w:szCs w:val="22"/>
              </w:rPr>
              <w:t xml:space="preserve">health check can </w:t>
            </w:r>
            <w:r>
              <w:rPr>
                <w:rFonts w:ascii="Arial" w:hAnsi="Arial" w:cs="Arial"/>
                <w:sz w:val="22"/>
                <w:szCs w:val="22"/>
              </w:rPr>
              <w:t>help to improve the health of people with a learning disability by identifying health concerns at an early stage. The check can identify</w:t>
            </w:r>
            <w:r w:rsidR="00F20565">
              <w:rPr>
                <w:rFonts w:ascii="Arial" w:hAnsi="Arial" w:cs="Arial"/>
                <w:sz w:val="22"/>
                <w:szCs w:val="22"/>
              </w:rPr>
              <w:t xml:space="preserve"> undetected health conditions and </w:t>
            </w:r>
            <w:r w:rsidR="00253BB2">
              <w:rPr>
                <w:rFonts w:ascii="Arial" w:hAnsi="Arial" w:cs="Arial"/>
                <w:sz w:val="22"/>
                <w:szCs w:val="22"/>
              </w:rPr>
              <w:t xml:space="preserve">wider </w:t>
            </w:r>
            <w:r w:rsidR="00F20565">
              <w:rPr>
                <w:rFonts w:ascii="Arial" w:hAnsi="Arial" w:cs="Arial"/>
                <w:sz w:val="22"/>
                <w:szCs w:val="22"/>
              </w:rPr>
              <w:t xml:space="preserve">health needs and are </w:t>
            </w:r>
            <w:r w:rsidR="00F20565" w:rsidRPr="004733BB">
              <w:rPr>
                <w:rFonts w:ascii="Arial" w:hAnsi="Arial" w:cs="Arial"/>
                <w:sz w:val="22"/>
                <w:szCs w:val="22"/>
              </w:rPr>
              <w:t>effective in promoting actions to address identified health needs such as vaccinations, blood tests, breast and testicular screening, dental review and vision and hearing assessment</w:t>
            </w:r>
            <w:r w:rsidR="00F20565">
              <w:rPr>
                <w:rFonts w:ascii="Arial" w:hAnsi="Arial" w:cs="Arial"/>
                <w:sz w:val="22"/>
                <w:szCs w:val="22"/>
              </w:rPr>
              <w:t>.</w:t>
            </w:r>
            <w:r w:rsidR="004733BB" w:rsidRPr="00F20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1235">
              <w:rPr>
                <w:rFonts w:ascii="Arial" w:hAnsi="Arial" w:cs="Arial"/>
                <w:sz w:val="22"/>
                <w:szCs w:val="22"/>
              </w:rPr>
              <w:t>The health action plan is an integral part of the requirements around a learning disability health check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31235">
              <w:rPr>
                <w:rFonts w:ascii="Arial" w:hAnsi="Arial" w:cs="Arial"/>
                <w:sz w:val="22"/>
                <w:szCs w:val="22"/>
              </w:rPr>
              <w:t>Patients should leave their health check with a copy of the action to support them in managing their health and wellbeing.</w:t>
            </w:r>
            <w:r w:rsidR="009930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A2EA38" w14:textId="45C540D2" w:rsidR="00331235" w:rsidRPr="00F20565" w:rsidRDefault="0099305B" w:rsidP="004B6C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9305B">
              <w:rPr>
                <w:rFonts w:ascii="Arial" w:hAnsi="Arial" w:cs="Arial"/>
                <w:sz w:val="22"/>
                <w:szCs w:val="22"/>
              </w:rPr>
              <w:t>This indicator also requires a recording of ethnicity</w:t>
            </w:r>
            <w:r w:rsidR="00A909CA">
              <w:rPr>
                <w:rFonts w:ascii="Arial" w:hAnsi="Arial" w:cs="Arial"/>
                <w:sz w:val="22"/>
                <w:szCs w:val="22"/>
              </w:rPr>
              <w:t xml:space="preserve"> to help support reduction of health inequalities</w:t>
            </w:r>
            <w:r w:rsidRPr="0099305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80FC230" w14:textId="77777777" w:rsidR="00735337" w:rsidRPr="00A554D4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A554D4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  <w:p w14:paraId="45004AAC" w14:textId="77777777" w:rsidR="00735337" w:rsidRPr="002338EB" w:rsidRDefault="00735337" w:rsidP="00527B6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</w:tbl>
    <w:bookmarkEnd w:id="1"/>
    <w:p w14:paraId="5BA69987" w14:textId="6FA6FB6E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862F909" w14:textId="77777777">
        <w:tc>
          <w:tcPr>
            <w:tcW w:w="5949" w:type="dxa"/>
          </w:tcPr>
          <w:p w14:paraId="28066066" w14:textId="795F5C16" w:rsidR="00FE4244" w:rsidRDefault="00DC2BFA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4" w:history="1">
              <w:r w:rsidR="000977C5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Care and support of people growing older with learning disabilities</w:t>
              </w:r>
            </w:hyperlink>
            <w:r w:rsidR="00D50CD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(NICE guideline 96)</w:t>
            </w:r>
            <w:r w:rsidR="000977C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recommendation</w:t>
            </w:r>
            <w:r w:rsidR="00FE424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1.5.12</w:t>
            </w:r>
            <w:r w:rsidR="007F7EB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0D5CE977" w14:textId="186B0A88" w:rsidR="00FE4244" w:rsidRDefault="00DC2BFA" w:rsidP="002C1868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5" w:history="1">
              <w:r w:rsidR="0039252D" w:rsidRPr="00E3132C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Challenging behaviour and learning disabilities: prevention and interventions for people with learning disabilities whose behaviour challenges</w:t>
              </w:r>
            </w:hyperlink>
            <w:r w:rsidR="0039252D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(NICE guideline 11) recommendation</w:t>
            </w:r>
            <w:r w:rsidR="00FE424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1.2.1</w:t>
            </w:r>
            <w:r w:rsidR="007F7EB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23C889F6" w14:textId="0117E947" w:rsidR="00115EF8" w:rsidRDefault="00115EF8" w:rsidP="002C1868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The following NICE quality standards include statements on health checks for people with learning disabilities as areas for quality improvement: </w:t>
            </w:r>
          </w:p>
          <w:p w14:paraId="33173D73" w14:textId="74D601B8" w:rsidR="00115EF8" w:rsidRDefault="00DC2BFA" w:rsidP="001852B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6" w:history="1">
              <w:r w:rsidR="007F7EB7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Learning disability: care and support to people growing older</w:t>
              </w:r>
            </w:hyperlink>
            <w:r w:rsidR="00115EF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(NICE quality standard 187)</w:t>
            </w:r>
          </w:p>
          <w:p w14:paraId="18F2783E" w14:textId="5330E4BB" w:rsidR="00115EF8" w:rsidRDefault="00DC2BFA" w:rsidP="001852B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7" w:history="1">
              <w:r w:rsidR="007F7EB7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Learning disabilities: behaviour that challenges</w:t>
              </w:r>
            </w:hyperlink>
            <w:r w:rsidR="00115EF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(NICE quality standard 101)</w:t>
            </w:r>
          </w:p>
          <w:p w14:paraId="1359C26D" w14:textId="0EF72E90" w:rsidR="00115EF8" w:rsidRPr="006C1C14" w:rsidRDefault="00DC2BFA" w:rsidP="006C1C14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18" w:history="1">
              <w:r w:rsidR="007F7EB7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eastAsia="en-GB"/>
                </w:rPr>
                <w:t>Learning disability: identifying and managing mental health problems</w:t>
              </w:r>
            </w:hyperlink>
            <w:r w:rsidR="00115EF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(NICE quality standard 142).</w:t>
            </w:r>
          </w:p>
        </w:tc>
        <w:tc>
          <w:tcPr>
            <w:tcW w:w="3118" w:type="dxa"/>
          </w:tcPr>
          <w:p w14:paraId="0D72329A" w14:textId="54F94FB4" w:rsidR="002338EB" w:rsidRPr="002C1868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C186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14AEBB9" w14:textId="77777777" w:rsidR="00490D2B" w:rsidRDefault="002338E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C186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aligns with the evidence base.</w:t>
            </w:r>
          </w:p>
          <w:p w14:paraId="1F9D5C5B" w14:textId="77777777" w:rsidR="00490D2B" w:rsidRDefault="00490D2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</w:p>
          <w:p w14:paraId="75848804" w14:textId="440E1AF6" w:rsidR="00490D2B" w:rsidRPr="00490D2B" w:rsidRDefault="00490D2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</w:p>
        </w:tc>
      </w:tr>
    </w:tbl>
    <w:p w14:paraId="67B93D8F" w14:textId="6D992C33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>
        <w:tc>
          <w:tcPr>
            <w:tcW w:w="5949" w:type="dxa"/>
          </w:tcPr>
          <w:p w14:paraId="7BD8EB75" w14:textId="77777777" w:rsidR="002338EB" w:rsidRPr="002338EB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3E61DC2D" w14:textId="77777777">
        <w:tc>
          <w:tcPr>
            <w:tcW w:w="5949" w:type="dxa"/>
          </w:tcPr>
          <w:p w14:paraId="49A7485C" w14:textId="77777777" w:rsidR="00555234" w:rsidRPr="00555234" w:rsidRDefault="00123D25" w:rsidP="0055523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Numerator: </w:t>
            </w:r>
            <w:bookmarkStart w:id="2" w:name="_Hlk127884811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number in the denominator </w:t>
            </w:r>
            <w:bookmarkEnd w:id="2"/>
            <w:r w:rsidR="00555234" w:rsidRPr="0055523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who:</w:t>
            </w:r>
          </w:p>
          <w:p w14:paraId="318FD993" w14:textId="4DE6693A" w:rsidR="00555234" w:rsidRPr="00555234" w:rsidRDefault="00555234" w:rsidP="00555234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bookmarkStart w:id="3" w:name="_Hlk145064279"/>
            <w:r w:rsidRPr="0055523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received a learning disability health check and </w:t>
            </w:r>
            <w:r w:rsidR="0018747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had </w:t>
            </w:r>
            <w:r w:rsidRPr="0055523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 completed health action plan in the preceding 12 months and</w:t>
            </w:r>
          </w:p>
          <w:p w14:paraId="769AA24F" w14:textId="77777777" w:rsidR="00555234" w:rsidRPr="00555234" w:rsidRDefault="00555234" w:rsidP="00555234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55523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have a recording of ethnicity.</w:t>
            </w:r>
          </w:p>
          <w:bookmarkEnd w:id="3"/>
          <w:p w14:paraId="0AB81749" w14:textId="55739F91" w:rsidR="00123D25" w:rsidRDefault="00123D25" w:rsidP="00123D25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Denominator:</w:t>
            </w:r>
            <w:r w:rsidRPr="00A909C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bookmarkStart w:id="4" w:name="_Hlk127884829"/>
            <w:r w:rsidR="0099305B" w:rsidRPr="00A909C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</w:t>
            </w:r>
            <w:r w:rsidR="00271410" w:rsidRPr="00A909C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number</w:t>
            </w:r>
            <w:r w:rsidRPr="0027141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of</w:t>
            </w:r>
            <w:r w:rsidRPr="00123D2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patients on the </w:t>
            </w:r>
            <w:r w:rsidR="005C278D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l</w:t>
            </w:r>
            <w:r w:rsidRPr="00123D2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earning </w:t>
            </w:r>
            <w:r w:rsidR="005C278D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</w:t>
            </w:r>
            <w:r w:rsidRPr="00123D2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isability register</w:t>
            </w:r>
            <w:bookmarkEnd w:id="4"/>
            <w:r w:rsidRPr="00123D2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F44AE5E" w14:textId="44836FF6" w:rsidR="00123D25" w:rsidRDefault="00123D25" w:rsidP="00940A6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Exclusions: None</w:t>
            </w:r>
          </w:p>
          <w:p w14:paraId="1A8C1D16" w14:textId="45D07DB5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4E2BF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Personalised care adjustments or exception reporting should be considered to account for situations where the patient </w:t>
            </w:r>
            <w:r w:rsidR="00D668D9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does not attend or </w:t>
            </w:r>
            <w:r w:rsidRPr="004E2BFB">
              <w:rPr>
                <w:rFonts w:cs="Arial"/>
                <w:color w:val="000000"/>
                <w:kern w:val="24"/>
                <w:sz w:val="22"/>
                <w:szCs w:val="22"/>
              </w:rPr>
              <w:t>declines</w:t>
            </w:r>
            <w:r w:rsidR="00C7141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the health check</w:t>
            </w:r>
            <w:r w:rsidR="00123D2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the health action plan.</w:t>
            </w:r>
            <w:r w:rsidR="00C7141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439227D" w14:textId="5A1A009F" w:rsidR="002338EB" w:rsidRPr="00940A6B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has defined components necessary to construct the indicator, including numerator, </w:t>
            </w:r>
            <w:proofErr w:type="gramStart"/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denominator</w:t>
            </w:r>
            <w:proofErr w:type="gramEnd"/>
            <w:r w:rsidRPr="00940A6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and exclusions.</w:t>
            </w:r>
          </w:p>
          <w:p w14:paraId="0C449702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2338EB" w14:paraId="48133640" w14:textId="77777777">
        <w:tc>
          <w:tcPr>
            <w:tcW w:w="5949" w:type="dxa"/>
          </w:tcPr>
          <w:p w14:paraId="1DFB0B7C" w14:textId="77777777" w:rsidR="00721D88" w:rsidRDefault="009B3F8C" w:rsidP="003B736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would be appropriate to assess performance at individual general practice level. To be classified as suitable for use in QOF, there should be an average minimum population of </w:t>
            </w:r>
            <w:r w:rsidR="009B6AF7"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more than 20 patients </w:t>
            </w: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per practice eligible for inclusion in the denominator prior to application </w:t>
            </w:r>
            <w:r w:rsidRPr="001C7A05">
              <w:rPr>
                <w:rFonts w:cs="Arial"/>
                <w:color w:val="000000"/>
                <w:kern w:val="24"/>
                <w:sz w:val="22"/>
                <w:szCs w:val="22"/>
              </w:rPr>
              <w:t>of personalised care adjustments.</w:t>
            </w:r>
            <w:r w:rsidR="002C1326" w:rsidRPr="001C7A0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  <w:p w14:paraId="4B4889E2" w14:textId="22FC172F" w:rsidR="002C1326" w:rsidRPr="00187477" w:rsidRDefault="00187477" w:rsidP="003B736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187477">
              <w:rPr>
                <w:rFonts w:cs="Arial"/>
                <w:color w:val="000000"/>
                <w:kern w:val="24"/>
                <w:sz w:val="22"/>
                <w:szCs w:val="22"/>
              </w:rPr>
              <w:t>QOF data for 2021/22 shows that an average practice with 10,000 patients would have around 55 eligible patients</w:t>
            </w:r>
          </w:p>
        </w:tc>
        <w:tc>
          <w:tcPr>
            <w:tcW w:w="3118" w:type="dxa"/>
          </w:tcPr>
          <w:p w14:paraId="52D8330C" w14:textId="77777777" w:rsidR="002338EB" w:rsidRDefault="002338E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</w:t>
            </w:r>
            <w:r w:rsidR="002C1326" w:rsidRPr="00490D2B">
              <w:rPr>
                <w:rFonts w:cs="Arial"/>
                <w:color w:val="000000"/>
                <w:kern w:val="24"/>
                <w:sz w:val="22"/>
                <w:szCs w:val="22"/>
              </w:rPr>
              <w:t>doe</w:t>
            </w:r>
            <w:r w:rsidR="00123D25">
              <w:rPr>
                <w:rFonts w:cs="Arial"/>
                <w:color w:val="000000"/>
                <w:kern w:val="24"/>
                <w:sz w:val="22"/>
                <w:szCs w:val="22"/>
              </w:rPr>
              <w:t>s</w:t>
            </w:r>
            <w:r w:rsidRPr="00490D2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outline minimum numbers of patients needed to be confident in the assessment of variation.</w:t>
            </w:r>
          </w:p>
          <w:p w14:paraId="0DA67B02" w14:textId="77777777" w:rsidR="00271410" w:rsidRDefault="00271410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071DA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Available data does suggest that the number of eligible patients per average 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practice</w:t>
            </w:r>
            <w:r w:rsidRPr="00071DAB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would be above this minimum number.</w:t>
            </w:r>
          </w:p>
          <w:p w14:paraId="38DE6D48" w14:textId="35DB9A95" w:rsidR="00B01C1F" w:rsidRPr="002338EB" w:rsidRDefault="00B01C1F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B01C1F">
              <w:rPr>
                <w:rFonts w:cs="Arial"/>
                <w:color w:val="000000"/>
                <w:kern w:val="24"/>
                <w:sz w:val="22"/>
                <w:szCs w:val="22"/>
              </w:rPr>
              <w:t>Concerns were raised as to the under-representation of the QOF register when compared to estimated prevalence.</w:t>
            </w:r>
          </w:p>
        </w:tc>
      </w:tr>
    </w:tbl>
    <w:p w14:paraId="597779EE" w14:textId="5E0747D0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>
        <w:tc>
          <w:tcPr>
            <w:tcW w:w="5949" w:type="dxa"/>
          </w:tcPr>
          <w:p w14:paraId="1B5D3E68" w14:textId="77777777" w:rsidR="002338EB" w:rsidRPr="00735337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CB24BE4" w14:textId="77777777">
        <w:tc>
          <w:tcPr>
            <w:tcW w:w="5949" w:type="dxa"/>
          </w:tcPr>
          <w:p w14:paraId="3ABE91E5" w14:textId="5C530B9E" w:rsidR="004E2BFB" w:rsidRPr="00A87E62" w:rsidRDefault="0099305B" w:rsidP="00A87E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similar</w:t>
            </w:r>
            <w:r w:rsidR="00271410" w:rsidRPr="00271410">
              <w:rPr>
                <w:rFonts w:ascii="Arial" w:hAnsi="Arial" w:cs="Arial"/>
                <w:sz w:val="22"/>
                <w:szCs w:val="22"/>
              </w:rPr>
              <w:t xml:space="preserve"> indicator is </w:t>
            </w:r>
            <w:r w:rsidR="00F25E72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="00271410" w:rsidRPr="00271410">
              <w:rPr>
                <w:rFonts w:ascii="Arial" w:hAnsi="Arial" w:cs="Arial"/>
                <w:sz w:val="22"/>
                <w:szCs w:val="22"/>
              </w:rPr>
              <w:t xml:space="preserve">included in the </w:t>
            </w:r>
            <w:r w:rsidR="003F3762">
              <w:rPr>
                <w:rFonts w:ascii="Arial" w:hAnsi="Arial" w:cs="Arial"/>
                <w:sz w:val="22"/>
                <w:szCs w:val="22"/>
              </w:rPr>
              <w:t>Network Contract Directed Enhanced Services 2023/24</w:t>
            </w:r>
            <w:r w:rsidR="003F3762" w:rsidRPr="00271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9CA">
              <w:rPr>
                <w:rFonts w:ascii="Arial" w:hAnsi="Arial" w:cs="Arial"/>
                <w:sz w:val="22"/>
                <w:szCs w:val="22"/>
              </w:rPr>
              <w:t xml:space="preserve">(HI-03 / NCD120) </w:t>
            </w:r>
            <w:r w:rsidR="00271410" w:rsidRPr="00271410">
              <w:rPr>
                <w:rFonts w:ascii="Arial" w:hAnsi="Arial" w:cs="Arial"/>
                <w:sz w:val="22"/>
                <w:szCs w:val="22"/>
              </w:rPr>
              <w:t xml:space="preserve">and the data is published monthly by </w:t>
            </w:r>
            <w:hyperlink r:id="rId19" w:history="1">
              <w:r w:rsidR="00271410" w:rsidRPr="003F3762">
                <w:rPr>
                  <w:rStyle w:val="Hyperlink"/>
                  <w:rFonts w:ascii="Arial" w:hAnsi="Arial" w:cs="Arial"/>
                  <w:sz w:val="22"/>
                  <w:szCs w:val="22"/>
                </w:rPr>
                <w:t>NHS digital</w:t>
              </w:r>
            </w:hyperlink>
            <w:r w:rsidR="00271410" w:rsidRPr="00271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BC722C2" w14:textId="78093324" w:rsidR="00A87E62" w:rsidRPr="00A87E62" w:rsidRDefault="00A87E62" w:rsidP="00A87E62">
            <w:pPr>
              <w:spacing w:before="120" w:after="120"/>
              <w:rPr>
                <w:rFonts w:ascii="Arial" w:hAnsi="Arial" w:cs="Arial"/>
              </w:rPr>
            </w:pPr>
            <w:r w:rsidRPr="00A87E62">
              <w:rPr>
                <w:rFonts w:ascii="Arial" w:hAnsi="Arial" w:cs="Arial"/>
                <w:sz w:val="22"/>
                <w:szCs w:val="22"/>
              </w:rPr>
              <w:t>The indicator is repeatable</w:t>
            </w:r>
            <w:r w:rsidR="006142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EFE1B2" w14:textId="14CDF1EF" w:rsidR="00A87E62" w:rsidRPr="00735337" w:rsidRDefault="00A87E62" w:rsidP="00A87E62">
            <w:pPr>
              <w:spacing w:before="120" w:after="120"/>
              <w:rPr>
                <w:highlight w:val="lightGray"/>
              </w:rPr>
            </w:pPr>
          </w:p>
        </w:tc>
      </w:tr>
      <w:tr w:rsidR="00735337" w14:paraId="2FE27CD6" w14:textId="77777777">
        <w:tc>
          <w:tcPr>
            <w:tcW w:w="5949" w:type="dxa"/>
          </w:tcPr>
          <w:p w14:paraId="02574403" w14:textId="7D5935DF" w:rsidR="00271410" w:rsidRPr="00DB532E" w:rsidRDefault="00DC2BFA" w:rsidP="0027141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hyperlink r:id="rId20" w:history="1">
              <w:r w:rsidR="003F3762" w:rsidRPr="003F3762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>Network Contract DES business rules f</w:t>
              </w:r>
              <w:r w:rsidR="003F3762" w:rsidRPr="00A909CA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 xml:space="preserve">or </w:t>
              </w:r>
              <w:r w:rsidR="00A909CA" w:rsidRPr="00A909CA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>H</w:t>
              </w:r>
              <w:r w:rsidR="00A909CA" w:rsidRPr="00A909CA">
                <w:rPr>
                  <w:rStyle w:val="Hyperlink"/>
                  <w:rFonts w:ascii="Arial" w:hAnsi="Arial" w:cs="Arial"/>
                  <w:sz w:val="22"/>
                  <w:szCs w:val="22"/>
                </w:rPr>
                <w:t>I-03 / NCD</w:t>
              </w:r>
              <w:r w:rsidR="00A909CA" w:rsidRPr="00A909CA">
                <w:rPr>
                  <w:rStyle w:val="Hyperlink"/>
                  <w:rFonts w:ascii="Arial" w:hAnsi="Arial" w:cs="Arial"/>
                  <w:sz w:val="22"/>
                  <w:szCs w:val="22"/>
                </w:rPr>
                <w:noBreakHyphen/>
                <w:t>120</w:t>
              </w:r>
              <w:r w:rsidR="003F3762" w:rsidRPr="003F3762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 xml:space="preserve"> </w:t>
              </w:r>
            </w:hyperlink>
            <w:r w:rsidR="00271410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are available which contain details of the fields required to extract the data.</w:t>
            </w:r>
            <w:r w:rsidR="0099305B">
              <w:t xml:space="preserve"> </w:t>
            </w:r>
            <w:r w:rsidR="0099305B" w:rsidRPr="0099305B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They would require adaptation to ensure that children under 14 are included.</w:t>
            </w:r>
          </w:p>
          <w:p w14:paraId="6B3D2BF0" w14:textId="2F6A3E0A" w:rsidR="00A65BC8" w:rsidRPr="003B7367" w:rsidRDefault="004079BB" w:rsidP="003B73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fields collected include</w:t>
            </w:r>
            <w:r w:rsidR="00A65BC8">
              <w:rPr>
                <w:rFonts w:ascii="Arial" w:hAnsi="Arial" w:cs="Arial"/>
                <w:sz w:val="22"/>
                <w:szCs w:val="22"/>
              </w:rPr>
              <w:t xml:space="preserve"> separate codes for completion of the health check</w:t>
            </w:r>
            <w:r w:rsidR="003F376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65BC8">
              <w:rPr>
                <w:rFonts w:ascii="Arial" w:hAnsi="Arial" w:cs="Arial"/>
                <w:sz w:val="22"/>
                <w:szCs w:val="22"/>
              </w:rPr>
              <w:t>the action plan</w:t>
            </w:r>
            <w:r w:rsidR="003F3762">
              <w:rPr>
                <w:rFonts w:ascii="Arial" w:hAnsi="Arial" w:cs="Arial"/>
                <w:sz w:val="22"/>
                <w:szCs w:val="22"/>
              </w:rPr>
              <w:t xml:space="preserve"> and recording of ethnicity</w:t>
            </w:r>
            <w:r w:rsidR="00C57A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2FAAA4" w14:textId="1C56E09C" w:rsidR="005F7C15" w:rsidRDefault="00735337" w:rsidP="005F7C15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E607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measuring what it is designed to measure</w:t>
            </w:r>
            <w:r w:rsidR="005F7C1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. </w:t>
            </w:r>
          </w:p>
          <w:p w14:paraId="24CB8CBA" w14:textId="33FF71F6" w:rsidR="00DD05B4" w:rsidRPr="00271410" w:rsidRDefault="00735337" w:rsidP="00CE7BA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5F7C1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</w:t>
            </w:r>
            <w:r w:rsidR="008A4716" w:rsidRPr="005F7C1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including those required for the QOF learning disability register</w:t>
            </w:r>
            <w:r w:rsidRPr="005F7C1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4447A98D" w14:textId="06B983E4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>
        <w:tc>
          <w:tcPr>
            <w:tcW w:w="5949" w:type="dxa"/>
          </w:tcPr>
          <w:p w14:paraId="50FC03A9" w14:textId="77777777" w:rsidR="002338EB" w:rsidRPr="00A47852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5EC80837" w14:textId="77777777">
        <w:tc>
          <w:tcPr>
            <w:tcW w:w="5949" w:type="dxa"/>
          </w:tcPr>
          <w:p w14:paraId="705B1827" w14:textId="4839FC26" w:rsidR="00F25E72" w:rsidRDefault="00F25E72" w:rsidP="00F25E7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Maintaining a register of people with a learning disability has been included QOF since 2006. </w:t>
            </w:r>
          </w:p>
          <w:p w14:paraId="2C884CBA" w14:textId="77777777" w:rsidR="00285CA9" w:rsidRDefault="00F25E72" w:rsidP="00F25E7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25E7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This IIF indicator supplements </w:t>
            </w:r>
            <w:r w:rsidR="004B6CC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an</w:t>
            </w:r>
            <w:r w:rsidRPr="00F25E7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item of service payment for annual Learning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Pr="00F25E7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Disability health checks, which is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currently </w:t>
            </w:r>
            <w:r w:rsidRPr="00F25E7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paid as an Enhanced Service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for general practice. </w:t>
            </w:r>
            <w:r w:rsidR="004B6CC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Health action plans should be completed at the same health check. </w:t>
            </w:r>
          </w:p>
          <w:p w14:paraId="71395686" w14:textId="3F205B91" w:rsidR="00485701" w:rsidRDefault="00485701" w:rsidP="00F25E7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4857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was subject to national consultation in April 2023. Stakeholders supported the potential to improve quality of care for people with a learning disability and that the indicator focused on actions within the control of general practice.</w:t>
            </w:r>
          </w:p>
          <w:p w14:paraId="009E37A6" w14:textId="7E34EF3A" w:rsidR="00187477" w:rsidRPr="009E04BF" w:rsidRDefault="00187477" w:rsidP="00F25E72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747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During development the indicator only included people over 14 years in line with source indicator IIF HI-01 / NCD005. Consultation and focus group feedback highlighted that provision of health checks and action plans were also important for children under 14. It was noted that most children with a learning disability will be supported by either secondary care services or community paediatricians but that contact with general practice is still important.</w:t>
            </w:r>
          </w:p>
        </w:tc>
        <w:tc>
          <w:tcPr>
            <w:tcW w:w="3118" w:type="dxa"/>
          </w:tcPr>
          <w:p w14:paraId="6AFFF2E2" w14:textId="37749683" w:rsidR="005F7C15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950C7B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5F7C15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50C98A36" w14:textId="0CE291CC" w:rsidR="005F7C15" w:rsidRPr="00493C87" w:rsidRDefault="005F7C15" w:rsidP="00B51AB4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7E164FBD" w14:textId="77777777" w:rsidTr="00CE7BAD">
        <w:tc>
          <w:tcPr>
            <w:tcW w:w="5949" w:type="dxa"/>
            <w:shd w:val="clear" w:color="auto" w:fill="auto"/>
          </w:tcPr>
          <w:p w14:paraId="3AF0200A" w14:textId="238D3BC5" w:rsidR="00735337" w:rsidRPr="00A47852" w:rsidRDefault="00DC2BFA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hyperlink r:id="rId21" w:history="1">
              <w:r w:rsidR="001110D8" w:rsidRPr="001B2BDF">
                <w:rPr>
                  <w:rStyle w:val="Hyperlink"/>
                  <w:rFonts w:cs="Arial"/>
                  <w:sz w:val="22"/>
                  <w:szCs w:val="22"/>
                </w:rPr>
                <w:t>Data tables are published by NHS Digital</w:t>
              </w:r>
            </w:hyperlink>
            <w:r w:rsidR="001110D8" w:rsidRPr="008E2C5F">
              <w:rPr>
                <w:rFonts w:cs="Arial"/>
                <w:sz w:val="22"/>
                <w:szCs w:val="22"/>
              </w:rPr>
              <w:t xml:space="preserve"> to compare the performance of</w:t>
            </w:r>
            <w:r w:rsidR="001110D8">
              <w:rPr>
                <w:rFonts w:cs="Arial"/>
                <w:sz w:val="22"/>
                <w:szCs w:val="22"/>
              </w:rPr>
              <w:t xml:space="preserve"> primary care</w:t>
            </w:r>
            <w:r w:rsidR="001110D8" w:rsidRPr="008E2C5F">
              <w:rPr>
                <w:rFonts w:cs="Arial"/>
                <w:sz w:val="22"/>
                <w:szCs w:val="22"/>
              </w:rPr>
              <w:t xml:space="preserve"> networks and</w:t>
            </w:r>
            <w:r w:rsidR="001110D8">
              <w:rPr>
                <w:rFonts w:cs="Arial"/>
                <w:sz w:val="22"/>
                <w:szCs w:val="22"/>
              </w:rPr>
              <w:t xml:space="preserve"> individual</w:t>
            </w:r>
            <w:r w:rsidR="001110D8" w:rsidRPr="008E2C5F">
              <w:rPr>
                <w:rFonts w:cs="Arial"/>
                <w:sz w:val="22"/>
                <w:szCs w:val="22"/>
              </w:rPr>
              <w:t xml:space="preserve"> practices and assist in quality improvement cycles.</w:t>
            </w:r>
          </w:p>
        </w:tc>
        <w:tc>
          <w:tcPr>
            <w:tcW w:w="3118" w:type="dxa"/>
            <w:shd w:val="clear" w:color="auto" w:fill="auto"/>
          </w:tcPr>
          <w:p w14:paraId="2909F55A" w14:textId="550EBBEB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E7BAD">
              <w:rPr>
                <w:rFonts w:cs="Arial"/>
                <w:sz w:val="22"/>
                <w:szCs w:val="22"/>
              </w:rPr>
              <w:t>The results of the indicator can be used to improve practice</w:t>
            </w:r>
          </w:p>
        </w:tc>
      </w:tr>
    </w:tbl>
    <w:p w14:paraId="639F934E" w14:textId="4FCA72D0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>
        <w:tc>
          <w:tcPr>
            <w:tcW w:w="5949" w:type="dxa"/>
          </w:tcPr>
          <w:p w14:paraId="7D45A224" w14:textId="77777777" w:rsidR="00A47852" w:rsidRPr="00A47852" w:rsidRDefault="00A47852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334845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2365E62E" w14:textId="77777777">
        <w:tc>
          <w:tcPr>
            <w:tcW w:w="5949" w:type="dxa"/>
          </w:tcPr>
          <w:p w14:paraId="767D584A" w14:textId="68750347" w:rsidR="00B51AB4" w:rsidRPr="00B51AB4" w:rsidRDefault="00054B65" w:rsidP="00B51AB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Historically t</w:t>
            </w:r>
            <w:r w:rsidR="00B51AB4" w:rsidRPr="00B51A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learning disability</w:t>
            </w:r>
            <w:r w:rsidR="00B51AB4" w:rsidRPr="00B51A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register may 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have </w:t>
            </w:r>
            <w:r w:rsidR="00B51AB4" w:rsidRPr="00B51A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underrepresent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ed</w:t>
            </w:r>
            <w:r w:rsidR="00B51AB4" w:rsidRPr="00B51AB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the population.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In 2019 a commitment 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was made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to improve the quality of the register 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NHS England 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publishing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hyperlink r:id="rId22" w:history="1">
              <w:r w:rsidRPr="00054B65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>Guidance</w:t>
              </w:r>
            </w:hyperlink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to support this. Changes included automatically adding people with certain conditions and </w:t>
            </w:r>
            <w:r w:rsidR="00253BB2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practices to review their registered patients (</w:t>
            </w:r>
            <w:hyperlink r:id="rId23" w:history="1">
              <w:r w:rsidRPr="00054B65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</w:rPr>
                <w:t>NHSE&amp;I (guidance for general practice (October 2019) Improving identification of  people with a learning disability</w:t>
              </w:r>
            </w:hyperlink>
            <w:r w:rsidRPr="00054B6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)</w:t>
            </w:r>
          </w:p>
          <w:p w14:paraId="5D0DDE27" w14:textId="41A73260" w:rsidR="00B51AB4" w:rsidRPr="0030456A" w:rsidRDefault="0030456A" w:rsidP="0030456A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No other risks were identified. </w:t>
            </w:r>
          </w:p>
        </w:tc>
        <w:tc>
          <w:tcPr>
            <w:tcW w:w="3118" w:type="dxa"/>
          </w:tcPr>
          <w:p w14:paraId="7E68CD8D" w14:textId="77777777" w:rsidR="00B01C1F" w:rsidRDefault="00B01C1F" w:rsidP="00334845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B01C1F">
              <w:rPr>
                <w:rFonts w:cs="Arial"/>
                <w:color w:val="000000"/>
                <w:kern w:val="24"/>
                <w:sz w:val="22"/>
                <w:szCs w:val="22"/>
              </w:rPr>
              <w:t>Concerns were raised as to the under-representation of the QOF register when compared to estimated prevalence.</w:t>
            </w:r>
          </w:p>
          <w:p w14:paraId="604945CB" w14:textId="437F1C2D" w:rsidR="00A47852" w:rsidRDefault="00A47852" w:rsidP="00334845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045E8A">
              <w:rPr>
                <w:rFonts w:cs="Arial"/>
                <w:color w:val="000000"/>
                <w:kern w:val="24"/>
                <w:sz w:val="22"/>
                <w:szCs w:val="22"/>
              </w:rPr>
              <w:t>The indicator has an acceptable risk of unintended consequences.</w:t>
            </w:r>
          </w:p>
          <w:p w14:paraId="6D413DED" w14:textId="58860796" w:rsidR="00490D2B" w:rsidRDefault="00490D2B" w:rsidP="00334845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</w:p>
          <w:p w14:paraId="22700D4B" w14:textId="77777777" w:rsidR="00490D2B" w:rsidRDefault="00490D2B" w:rsidP="00334845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  <w:p w14:paraId="29FB2923" w14:textId="668D71AF" w:rsidR="00C45702" w:rsidRPr="00A47852" w:rsidRDefault="00C45702" w:rsidP="00334845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123085F8" w14:textId="2B007B1E" w:rsidR="00D73835" w:rsidRDefault="00D73835" w:rsidP="00345C2E">
      <w:pPr>
        <w:pStyle w:val="Bullets"/>
        <w:numPr>
          <w:ilvl w:val="0"/>
          <w:numId w:val="0"/>
        </w:numPr>
      </w:pPr>
    </w:p>
    <w:sectPr w:rsidR="00D73835" w:rsidSect="009F26E9"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02C7" w14:textId="77777777" w:rsidR="00D02688" w:rsidRDefault="00D02688" w:rsidP="00446BEE">
      <w:r>
        <w:separator/>
      </w:r>
    </w:p>
  </w:endnote>
  <w:endnote w:type="continuationSeparator" w:id="0">
    <w:p w14:paraId="716604A0" w14:textId="77777777" w:rsidR="00D02688" w:rsidRDefault="00D0268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5F7C603F" w:rsidR="00BB14CA" w:rsidRPr="008C1C95" w:rsidRDefault="00187477" w:rsidP="008C1C95">
    <w:pPr>
      <w:pStyle w:val="Footer"/>
      <w:jc w:val="right"/>
    </w:pPr>
    <w:r>
      <w:t>NM250</w:t>
    </w:r>
    <w:r w:rsidR="009B0E59">
      <w:t xml:space="preserve">: Validity assessment </w:t>
    </w:r>
    <w:r>
      <w:t>Sept</w:t>
    </w:r>
    <w:r w:rsidR="004B6CCA">
      <w:t xml:space="preserve"> 2023</w:t>
    </w:r>
    <w:r w:rsidR="004B6CCA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E9B" w14:textId="2BF46316" w:rsidR="009F26E9" w:rsidRDefault="009F26E9">
    <w:pPr>
      <w:pStyle w:val="Footer"/>
    </w:pPr>
    <w:r w:rsidRPr="009F26E9">
      <w:t>NM250: Validity assessment Sept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12C7" w14:textId="77777777" w:rsidR="00D02688" w:rsidRDefault="00D02688" w:rsidP="00446BEE">
      <w:r>
        <w:separator/>
      </w:r>
    </w:p>
  </w:footnote>
  <w:footnote w:type="continuationSeparator" w:id="0">
    <w:p w14:paraId="5F964297" w14:textId="77777777" w:rsidR="00D02688" w:rsidRDefault="00D0268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3D4" w14:textId="6938D7EF" w:rsidR="00BB14CA" w:rsidRDefault="00BB14CA" w:rsidP="009F26E9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686E1FB0" w14:textId="77777777" w:rsidR="00BB14CA" w:rsidRPr="00482C01" w:rsidRDefault="00BB14CA" w:rsidP="00FE4244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AD39" w14:textId="44C0C8E3" w:rsidR="009F26E9" w:rsidRDefault="009F26E9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32E776DF" wp14:editId="74C80AA5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D3F96"/>
    <w:multiLevelType w:val="hybridMultilevel"/>
    <w:tmpl w:val="2398E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D714C"/>
    <w:multiLevelType w:val="hybridMultilevel"/>
    <w:tmpl w:val="9D347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B18A4"/>
    <w:multiLevelType w:val="hybridMultilevel"/>
    <w:tmpl w:val="E554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5" w15:restartNumberingAfterBreak="0">
    <w:nsid w:val="088A545A"/>
    <w:multiLevelType w:val="hybridMultilevel"/>
    <w:tmpl w:val="A0FA4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0D3900E1"/>
    <w:multiLevelType w:val="hybridMultilevel"/>
    <w:tmpl w:val="E848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0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E4D2B"/>
    <w:multiLevelType w:val="hybridMultilevel"/>
    <w:tmpl w:val="7E760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A31F3"/>
    <w:multiLevelType w:val="hybridMultilevel"/>
    <w:tmpl w:val="C7FA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9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435E8"/>
    <w:multiLevelType w:val="hybridMultilevel"/>
    <w:tmpl w:val="9790F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39F6"/>
    <w:multiLevelType w:val="hybridMultilevel"/>
    <w:tmpl w:val="C742C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819B5"/>
    <w:multiLevelType w:val="hybridMultilevel"/>
    <w:tmpl w:val="57A0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96DC9"/>
    <w:multiLevelType w:val="hybridMultilevel"/>
    <w:tmpl w:val="5C0A8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2B1CB3"/>
    <w:multiLevelType w:val="hybridMultilevel"/>
    <w:tmpl w:val="64CC5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0" w15:restartNumberingAfterBreak="0">
    <w:nsid w:val="482040CB"/>
    <w:multiLevelType w:val="hybridMultilevel"/>
    <w:tmpl w:val="EC84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492648"/>
    <w:multiLevelType w:val="hybridMultilevel"/>
    <w:tmpl w:val="8D14A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3843"/>
    <w:multiLevelType w:val="hybridMultilevel"/>
    <w:tmpl w:val="4F1E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9" w15:restartNumberingAfterBreak="0">
    <w:nsid w:val="68DA4500"/>
    <w:multiLevelType w:val="hybridMultilevel"/>
    <w:tmpl w:val="998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 w16cid:durableId="2078238192">
    <w:abstractNumId w:val="40"/>
  </w:num>
  <w:num w:numId="2" w16cid:durableId="233853175">
    <w:abstractNumId w:val="16"/>
  </w:num>
  <w:num w:numId="3" w16cid:durableId="1529370562">
    <w:abstractNumId w:val="35"/>
  </w:num>
  <w:num w:numId="4" w16cid:durableId="657612754">
    <w:abstractNumId w:val="17"/>
  </w:num>
  <w:num w:numId="5" w16cid:durableId="1193808871">
    <w:abstractNumId w:val="31"/>
  </w:num>
  <w:num w:numId="6" w16cid:durableId="781268177">
    <w:abstractNumId w:val="4"/>
  </w:num>
  <w:num w:numId="7" w16cid:durableId="201872007">
    <w:abstractNumId w:val="15"/>
  </w:num>
  <w:num w:numId="8" w16cid:durableId="1295333019">
    <w:abstractNumId w:val="28"/>
  </w:num>
  <w:num w:numId="9" w16cid:durableId="513112173">
    <w:abstractNumId w:val="29"/>
  </w:num>
  <w:num w:numId="10" w16cid:durableId="2049523386">
    <w:abstractNumId w:val="9"/>
  </w:num>
  <w:num w:numId="11" w16cid:durableId="1370840847">
    <w:abstractNumId w:val="11"/>
  </w:num>
  <w:num w:numId="12" w16cid:durableId="1021859395">
    <w:abstractNumId w:val="6"/>
  </w:num>
  <w:num w:numId="13" w16cid:durableId="1167093030">
    <w:abstractNumId w:val="38"/>
  </w:num>
  <w:num w:numId="14" w16cid:durableId="1771392860">
    <w:abstractNumId w:val="18"/>
  </w:num>
  <w:num w:numId="15" w16cid:durableId="1260019971">
    <w:abstractNumId w:val="12"/>
  </w:num>
  <w:num w:numId="16" w16cid:durableId="546987736">
    <w:abstractNumId w:val="23"/>
  </w:num>
  <w:num w:numId="17" w16cid:durableId="2137412053">
    <w:abstractNumId w:val="19"/>
  </w:num>
  <w:num w:numId="18" w16cid:durableId="2039037637">
    <w:abstractNumId w:val="25"/>
  </w:num>
  <w:num w:numId="19" w16cid:durableId="1939945119">
    <w:abstractNumId w:val="32"/>
  </w:num>
  <w:num w:numId="20" w16cid:durableId="1057584041">
    <w:abstractNumId w:val="10"/>
  </w:num>
  <w:num w:numId="21" w16cid:durableId="1439716324">
    <w:abstractNumId w:val="36"/>
  </w:num>
  <w:num w:numId="22" w16cid:durableId="321355733">
    <w:abstractNumId w:val="0"/>
  </w:num>
  <w:num w:numId="23" w16cid:durableId="317730129">
    <w:abstractNumId w:val="8"/>
  </w:num>
  <w:num w:numId="24" w16cid:durableId="480850916">
    <w:abstractNumId w:val="34"/>
  </w:num>
  <w:num w:numId="25" w16cid:durableId="130027160">
    <w:abstractNumId w:val="22"/>
  </w:num>
  <w:num w:numId="26" w16cid:durableId="1357119577">
    <w:abstractNumId w:val="24"/>
  </w:num>
  <w:num w:numId="27" w16cid:durableId="191890131">
    <w:abstractNumId w:val="2"/>
  </w:num>
  <w:num w:numId="28" w16cid:durableId="988483141">
    <w:abstractNumId w:val="20"/>
  </w:num>
  <w:num w:numId="29" w16cid:durableId="1735277981">
    <w:abstractNumId w:val="1"/>
  </w:num>
  <w:num w:numId="30" w16cid:durableId="1615476087">
    <w:abstractNumId w:val="30"/>
  </w:num>
  <w:num w:numId="31" w16cid:durableId="515077047">
    <w:abstractNumId w:val="5"/>
  </w:num>
  <w:num w:numId="32" w16cid:durableId="1020857364">
    <w:abstractNumId w:val="3"/>
  </w:num>
  <w:num w:numId="33" w16cid:durableId="1008487940">
    <w:abstractNumId w:val="27"/>
  </w:num>
  <w:num w:numId="34" w16cid:durableId="1988507201">
    <w:abstractNumId w:val="13"/>
  </w:num>
  <w:num w:numId="35" w16cid:durableId="899050681">
    <w:abstractNumId w:val="26"/>
  </w:num>
  <w:num w:numId="36" w16cid:durableId="2101754570">
    <w:abstractNumId w:val="14"/>
  </w:num>
  <w:num w:numId="37" w16cid:durableId="1410880556">
    <w:abstractNumId w:val="33"/>
  </w:num>
  <w:num w:numId="38" w16cid:durableId="978337593">
    <w:abstractNumId w:val="21"/>
  </w:num>
  <w:num w:numId="39" w16cid:durableId="1116487239">
    <w:abstractNumId w:val="37"/>
  </w:num>
  <w:num w:numId="40" w16cid:durableId="1056970532">
    <w:abstractNumId w:val="39"/>
  </w:num>
  <w:num w:numId="41" w16cid:durableId="51553333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BE"/>
    <w:rsid w:val="00001DF1"/>
    <w:rsid w:val="00002AC5"/>
    <w:rsid w:val="00011FC6"/>
    <w:rsid w:val="0001222B"/>
    <w:rsid w:val="00015441"/>
    <w:rsid w:val="00015C79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0D38"/>
    <w:rsid w:val="0003213D"/>
    <w:rsid w:val="00035D96"/>
    <w:rsid w:val="00036EE4"/>
    <w:rsid w:val="00037552"/>
    <w:rsid w:val="000414CD"/>
    <w:rsid w:val="000453F8"/>
    <w:rsid w:val="00045E8A"/>
    <w:rsid w:val="00050710"/>
    <w:rsid w:val="000523A6"/>
    <w:rsid w:val="000524FA"/>
    <w:rsid w:val="00052A67"/>
    <w:rsid w:val="00052B85"/>
    <w:rsid w:val="00053145"/>
    <w:rsid w:val="000532B3"/>
    <w:rsid w:val="00054B6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25F4"/>
    <w:rsid w:val="000769BB"/>
    <w:rsid w:val="00077062"/>
    <w:rsid w:val="00077DF9"/>
    <w:rsid w:val="00077EEC"/>
    <w:rsid w:val="0008047F"/>
    <w:rsid w:val="00081BFA"/>
    <w:rsid w:val="00081C69"/>
    <w:rsid w:val="000853CB"/>
    <w:rsid w:val="00087E0D"/>
    <w:rsid w:val="000910A7"/>
    <w:rsid w:val="00094BC2"/>
    <w:rsid w:val="00094C1B"/>
    <w:rsid w:val="000963D1"/>
    <w:rsid w:val="000977C5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10A94"/>
    <w:rsid w:val="00110AD8"/>
    <w:rsid w:val="001110D8"/>
    <w:rsid w:val="00112FAE"/>
    <w:rsid w:val="001131E2"/>
    <w:rsid w:val="001134E7"/>
    <w:rsid w:val="00115EF8"/>
    <w:rsid w:val="00121C0F"/>
    <w:rsid w:val="00123D25"/>
    <w:rsid w:val="00124CBD"/>
    <w:rsid w:val="001252AE"/>
    <w:rsid w:val="00125557"/>
    <w:rsid w:val="001260E7"/>
    <w:rsid w:val="001306F4"/>
    <w:rsid w:val="00130EC7"/>
    <w:rsid w:val="00134FDA"/>
    <w:rsid w:val="00135081"/>
    <w:rsid w:val="001352C4"/>
    <w:rsid w:val="00136466"/>
    <w:rsid w:val="001368F7"/>
    <w:rsid w:val="00140B46"/>
    <w:rsid w:val="001413FC"/>
    <w:rsid w:val="00145D3C"/>
    <w:rsid w:val="001503E8"/>
    <w:rsid w:val="00154516"/>
    <w:rsid w:val="001558FB"/>
    <w:rsid w:val="00155A83"/>
    <w:rsid w:val="00156264"/>
    <w:rsid w:val="00156529"/>
    <w:rsid w:val="001579DA"/>
    <w:rsid w:val="00161EBC"/>
    <w:rsid w:val="00163039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52BB"/>
    <w:rsid w:val="00185F6B"/>
    <w:rsid w:val="00187477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CA6"/>
    <w:rsid w:val="001A48E7"/>
    <w:rsid w:val="001A73CD"/>
    <w:rsid w:val="001B06E1"/>
    <w:rsid w:val="001B1619"/>
    <w:rsid w:val="001B187B"/>
    <w:rsid w:val="001B2735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5058"/>
    <w:rsid w:val="001C6303"/>
    <w:rsid w:val="001C74F4"/>
    <w:rsid w:val="001C7A05"/>
    <w:rsid w:val="001D0D90"/>
    <w:rsid w:val="001D24D0"/>
    <w:rsid w:val="001D298F"/>
    <w:rsid w:val="001D3D36"/>
    <w:rsid w:val="001D6DFD"/>
    <w:rsid w:val="001D6E16"/>
    <w:rsid w:val="001E05F6"/>
    <w:rsid w:val="001E08E9"/>
    <w:rsid w:val="001E0B63"/>
    <w:rsid w:val="001E0E8C"/>
    <w:rsid w:val="001E35A2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31C6"/>
    <w:rsid w:val="002338EB"/>
    <w:rsid w:val="00235BB5"/>
    <w:rsid w:val="00236B76"/>
    <w:rsid w:val="002408EA"/>
    <w:rsid w:val="00241410"/>
    <w:rsid w:val="00253BB2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410"/>
    <w:rsid w:val="00271804"/>
    <w:rsid w:val="00271857"/>
    <w:rsid w:val="00272543"/>
    <w:rsid w:val="002744FD"/>
    <w:rsid w:val="00276AC9"/>
    <w:rsid w:val="00277ED2"/>
    <w:rsid w:val="00280F8A"/>
    <w:rsid w:val="00285CA9"/>
    <w:rsid w:val="00286537"/>
    <w:rsid w:val="00286C3A"/>
    <w:rsid w:val="00287467"/>
    <w:rsid w:val="00291A5B"/>
    <w:rsid w:val="00292B2C"/>
    <w:rsid w:val="0029330E"/>
    <w:rsid w:val="00294A52"/>
    <w:rsid w:val="00296E2E"/>
    <w:rsid w:val="002A5503"/>
    <w:rsid w:val="002A58B9"/>
    <w:rsid w:val="002A6812"/>
    <w:rsid w:val="002A7339"/>
    <w:rsid w:val="002A7A24"/>
    <w:rsid w:val="002B4762"/>
    <w:rsid w:val="002B565A"/>
    <w:rsid w:val="002B71D2"/>
    <w:rsid w:val="002C1326"/>
    <w:rsid w:val="002C1868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1488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6A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235"/>
    <w:rsid w:val="00331B26"/>
    <w:rsid w:val="00334845"/>
    <w:rsid w:val="003351B7"/>
    <w:rsid w:val="0033631A"/>
    <w:rsid w:val="00336946"/>
    <w:rsid w:val="00340D15"/>
    <w:rsid w:val="00341BA8"/>
    <w:rsid w:val="00343389"/>
    <w:rsid w:val="00343A77"/>
    <w:rsid w:val="00344166"/>
    <w:rsid w:val="00345C2E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C85"/>
    <w:rsid w:val="00370ACD"/>
    <w:rsid w:val="00371E29"/>
    <w:rsid w:val="003722FA"/>
    <w:rsid w:val="003731E6"/>
    <w:rsid w:val="00373EA4"/>
    <w:rsid w:val="00374C5C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0F4A"/>
    <w:rsid w:val="00391F56"/>
    <w:rsid w:val="0039252D"/>
    <w:rsid w:val="003953C7"/>
    <w:rsid w:val="003A03DC"/>
    <w:rsid w:val="003A1975"/>
    <w:rsid w:val="003A1DE1"/>
    <w:rsid w:val="003A39A0"/>
    <w:rsid w:val="003A3E2A"/>
    <w:rsid w:val="003B0286"/>
    <w:rsid w:val="003B091A"/>
    <w:rsid w:val="003B1C33"/>
    <w:rsid w:val="003B254D"/>
    <w:rsid w:val="003B298F"/>
    <w:rsid w:val="003B69AA"/>
    <w:rsid w:val="003B7367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3762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9BB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6B9D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33BB"/>
    <w:rsid w:val="00474AD7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5701"/>
    <w:rsid w:val="00486953"/>
    <w:rsid w:val="004907E0"/>
    <w:rsid w:val="00490D2B"/>
    <w:rsid w:val="004917EA"/>
    <w:rsid w:val="0049285D"/>
    <w:rsid w:val="00492AC8"/>
    <w:rsid w:val="00492CB6"/>
    <w:rsid w:val="00493C87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6CCA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5ED9"/>
    <w:rsid w:val="004D756F"/>
    <w:rsid w:val="004E0E78"/>
    <w:rsid w:val="004E2BFB"/>
    <w:rsid w:val="004E4C4B"/>
    <w:rsid w:val="004E54B6"/>
    <w:rsid w:val="004E719E"/>
    <w:rsid w:val="004F242D"/>
    <w:rsid w:val="004F3269"/>
    <w:rsid w:val="004F7D3A"/>
    <w:rsid w:val="005001FC"/>
    <w:rsid w:val="00501E7B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27B6D"/>
    <w:rsid w:val="005343E1"/>
    <w:rsid w:val="005353CB"/>
    <w:rsid w:val="00535CCD"/>
    <w:rsid w:val="00542124"/>
    <w:rsid w:val="00545970"/>
    <w:rsid w:val="00550783"/>
    <w:rsid w:val="005508EE"/>
    <w:rsid w:val="005536FB"/>
    <w:rsid w:val="00555234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114A"/>
    <w:rsid w:val="005935C0"/>
    <w:rsid w:val="00596607"/>
    <w:rsid w:val="005A014D"/>
    <w:rsid w:val="005A1574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278D"/>
    <w:rsid w:val="005C3893"/>
    <w:rsid w:val="005C5E41"/>
    <w:rsid w:val="005C7DB5"/>
    <w:rsid w:val="005D15B9"/>
    <w:rsid w:val="005D1E0A"/>
    <w:rsid w:val="005D352A"/>
    <w:rsid w:val="005D48F9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F5B"/>
    <w:rsid w:val="005F5AFD"/>
    <w:rsid w:val="005F6BB8"/>
    <w:rsid w:val="005F6F0A"/>
    <w:rsid w:val="005F7681"/>
    <w:rsid w:val="005F7C15"/>
    <w:rsid w:val="00601291"/>
    <w:rsid w:val="0060351B"/>
    <w:rsid w:val="00607959"/>
    <w:rsid w:val="0061221F"/>
    <w:rsid w:val="00614078"/>
    <w:rsid w:val="00614254"/>
    <w:rsid w:val="006150A0"/>
    <w:rsid w:val="0062228B"/>
    <w:rsid w:val="00624430"/>
    <w:rsid w:val="0062483A"/>
    <w:rsid w:val="00625AEE"/>
    <w:rsid w:val="00627687"/>
    <w:rsid w:val="006276D1"/>
    <w:rsid w:val="006279C2"/>
    <w:rsid w:val="00637F2A"/>
    <w:rsid w:val="00642C45"/>
    <w:rsid w:val="0064313B"/>
    <w:rsid w:val="0064319B"/>
    <w:rsid w:val="006434DF"/>
    <w:rsid w:val="0064604F"/>
    <w:rsid w:val="00650183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DF3"/>
    <w:rsid w:val="006A5E06"/>
    <w:rsid w:val="006B17FD"/>
    <w:rsid w:val="006B44E2"/>
    <w:rsid w:val="006C0C61"/>
    <w:rsid w:val="006C1C14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1D88"/>
    <w:rsid w:val="00726FF0"/>
    <w:rsid w:val="00727230"/>
    <w:rsid w:val="00730AA4"/>
    <w:rsid w:val="0073113B"/>
    <w:rsid w:val="00732C44"/>
    <w:rsid w:val="00734CC7"/>
    <w:rsid w:val="00735337"/>
    <w:rsid w:val="00736348"/>
    <w:rsid w:val="00736448"/>
    <w:rsid w:val="00736BD6"/>
    <w:rsid w:val="00736D41"/>
    <w:rsid w:val="00736E0A"/>
    <w:rsid w:val="00737F84"/>
    <w:rsid w:val="00740203"/>
    <w:rsid w:val="007434C4"/>
    <w:rsid w:val="007469C6"/>
    <w:rsid w:val="00746C13"/>
    <w:rsid w:val="00746D9B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2F4"/>
    <w:rsid w:val="007825BE"/>
    <w:rsid w:val="007831FB"/>
    <w:rsid w:val="0078341A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6B67"/>
    <w:rsid w:val="0079772A"/>
    <w:rsid w:val="007977F2"/>
    <w:rsid w:val="007A0BC6"/>
    <w:rsid w:val="007B1980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2B03"/>
    <w:rsid w:val="007F71A5"/>
    <w:rsid w:val="007F744E"/>
    <w:rsid w:val="007F7EB7"/>
    <w:rsid w:val="007F7F72"/>
    <w:rsid w:val="008010D5"/>
    <w:rsid w:val="0080217C"/>
    <w:rsid w:val="00802828"/>
    <w:rsid w:val="0080288C"/>
    <w:rsid w:val="00802D31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6032D"/>
    <w:rsid w:val="00861B3D"/>
    <w:rsid w:val="00862879"/>
    <w:rsid w:val="00864DAB"/>
    <w:rsid w:val="00865C6A"/>
    <w:rsid w:val="00865CE7"/>
    <w:rsid w:val="00866250"/>
    <w:rsid w:val="00866FA1"/>
    <w:rsid w:val="0086701C"/>
    <w:rsid w:val="00867262"/>
    <w:rsid w:val="00870BDD"/>
    <w:rsid w:val="008717F1"/>
    <w:rsid w:val="008759C9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3EC0"/>
    <w:rsid w:val="008A4716"/>
    <w:rsid w:val="008A6605"/>
    <w:rsid w:val="008A6A0C"/>
    <w:rsid w:val="008B183A"/>
    <w:rsid w:val="008B4B98"/>
    <w:rsid w:val="008C183F"/>
    <w:rsid w:val="008C1C95"/>
    <w:rsid w:val="008C3D9F"/>
    <w:rsid w:val="008C4122"/>
    <w:rsid w:val="008C582A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1E06"/>
    <w:rsid w:val="0093543E"/>
    <w:rsid w:val="00937E8B"/>
    <w:rsid w:val="00940A6B"/>
    <w:rsid w:val="009460E7"/>
    <w:rsid w:val="00947483"/>
    <w:rsid w:val="00947FDB"/>
    <w:rsid w:val="00950C7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59B"/>
    <w:rsid w:val="00987B83"/>
    <w:rsid w:val="00987E66"/>
    <w:rsid w:val="00990173"/>
    <w:rsid w:val="00991E9C"/>
    <w:rsid w:val="00992244"/>
    <w:rsid w:val="0099305B"/>
    <w:rsid w:val="00993567"/>
    <w:rsid w:val="00994CE5"/>
    <w:rsid w:val="00995A38"/>
    <w:rsid w:val="009965E1"/>
    <w:rsid w:val="009A23F7"/>
    <w:rsid w:val="009A2B2A"/>
    <w:rsid w:val="009A38DA"/>
    <w:rsid w:val="009A3F7F"/>
    <w:rsid w:val="009A4036"/>
    <w:rsid w:val="009A4775"/>
    <w:rsid w:val="009A75C4"/>
    <w:rsid w:val="009B0897"/>
    <w:rsid w:val="009B0E59"/>
    <w:rsid w:val="009B276A"/>
    <w:rsid w:val="009B3223"/>
    <w:rsid w:val="009B3F8C"/>
    <w:rsid w:val="009B4063"/>
    <w:rsid w:val="009B4C85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00D"/>
    <w:rsid w:val="009D49AA"/>
    <w:rsid w:val="009D4FBB"/>
    <w:rsid w:val="009D7602"/>
    <w:rsid w:val="009E04BF"/>
    <w:rsid w:val="009E3151"/>
    <w:rsid w:val="009E680B"/>
    <w:rsid w:val="009E6AE5"/>
    <w:rsid w:val="009F1902"/>
    <w:rsid w:val="009F26E9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553A6"/>
    <w:rsid w:val="00A554D4"/>
    <w:rsid w:val="00A60794"/>
    <w:rsid w:val="00A611CE"/>
    <w:rsid w:val="00A614C6"/>
    <w:rsid w:val="00A65BC8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87E62"/>
    <w:rsid w:val="00A909CA"/>
    <w:rsid w:val="00A90FB2"/>
    <w:rsid w:val="00A922F5"/>
    <w:rsid w:val="00A9270F"/>
    <w:rsid w:val="00A94C1A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1A16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1C1F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1AB4"/>
    <w:rsid w:val="00B53A23"/>
    <w:rsid w:val="00B54BE5"/>
    <w:rsid w:val="00B55D4E"/>
    <w:rsid w:val="00B570F4"/>
    <w:rsid w:val="00B57BE4"/>
    <w:rsid w:val="00B624D0"/>
    <w:rsid w:val="00B67460"/>
    <w:rsid w:val="00B67A85"/>
    <w:rsid w:val="00B70575"/>
    <w:rsid w:val="00B70FFB"/>
    <w:rsid w:val="00B712E5"/>
    <w:rsid w:val="00B71BDC"/>
    <w:rsid w:val="00B72513"/>
    <w:rsid w:val="00B73B73"/>
    <w:rsid w:val="00B77084"/>
    <w:rsid w:val="00B80DAC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B7FE2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F45"/>
    <w:rsid w:val="00BE2BC8"/>
    <w:rsid w:val="00BE387B"/>
    <w:rsid w:val="00BE5835"/>
    <w:rsid w:val="00BE5D71"/>
    <w:rsid w:val="00BE7D2D"/>
    <w:rsid w:val="00BF0116"/>
    <w:rsid w:val="00BF1474"/>
    <w:rsid w:val="00BF16F6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3C9"/>
    <w:rsid w:val="00C22E43"/>
    <w:rsid w:val="00C23238"/>
    <w:rsid w:val="00C235DF"/>
    <w:rsid w:val="00C2539E"/>
    <w:rsid w:val="00C278DE"/>
    <w:rsid w:val="00C2796B"/>
    <w:rsid w:val="00C27B54"/>
    <w:rsid w:val="00C3004B"/>
    <w:rsid w:val="00C31F4C"/>
    <w:rsid w:val="00C3209A"/>
    <w:rsid w:val="00C32ADC"/>
    <w:rsid w:val="00C35755"/>
    <w:rsid w:val="00C42E13"/>
    <w:rsid w:val="00C4427F"/>
    <w:rsid w:val="00C45702"/>
    <w:rsid w:val="00C47DDE"/>
    <w:rsid w:val="00C50912"/>
    <w:rsid w:val="00C50FF0"/>
    <w:rsid w:val="00C56073"/>
    <w:rsid w:val="00C578C1"/>
    <w:rsid w:val="00C57AA1"/>
    <w:rsid w:val="00C57E04"/>
    <w:rsid w:val="00C63347"/>
    <w:rsid w:val="00C64D23"/>
    <w:rsid w:val="00C668F9"/>
    <w:rsid w:val="00C67B74"/>
    <w:rsid w:val="00C7123A"/>
    <w:rsid w:val="00C7128F"/>
    <w:rsid w:val="00C7141A"/>
    <w:rsid w:val="00C71666"/>
    <w:rsid w:val="00C7331B"/>
    <w:rsid w:val="00C74667"/>
    <w:rsid w:val="00C74D07"/>
    <w:rsid w:val="00C803FD"/>
    <w:rsid w:val="00C80EB4"/>
    <w:rsid w:val="00C8156F"/>
    <w:rsid w:val="00C86682"/>
    <w:rsid w:val="00C9011F"/>
    <w:rsid w:val="00C90846"/>
    <w:rsid w:val="00C92700"/>
    <w:rsid w:val="00C92E3F"/>
    <w:rsid w:val="00C930FC"/>
    <w:rsid w:val="00C94681"/>
    <w:rsid w:val="00CA129E"/>
    <w:rsid w:val="00CA20B5"/>
    <w:rsid w:val="00CA3562"/>
    <w:rsid w:val="00CA371D"/>
    <w:rsid w:val="00CA55C0"/>
    <w:rsid w:val="00CA6681"/>
    <w:rsid w:val="00CA77AE"/>
    <w:rsid w:val="00CB0A27"/>
    <w:rsid w:val="00CB2154"/>
    <w:rsid w:val="00CB35D9"/>
    <w:rsid w:val="00CB4A8A"/>
    <w:rsid w:val="00CB60DD"/>
    <w:rsid w:val="00CB6E1F"/>
    <w:rsid w:val="00CB728B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E5405"/>
    <w:rsid w:val="00CE5520"/>
    <w:rsid w:val="00CE7BAD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156C"/>
    <w:rsid w:val="00D02688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2EAB"/>
    <w:rsid w:val="00D2662F"/>
    <w:rsid w:val="00D2772A"/>
    <w:rsid w:val="00D33FC2"/>
    <w:rsid w:val="00D349ED"/>
    <w:rsid w:val="00D351C1"/>
    <w:rsid w:val="00D35E64"/>
    <w:rsid w:val="00D36CA3"/>
    <w:rsid w:val="00D41537"/>
    <w:rsid w:val="00D418F3"/>
    <w:rsid w:val="00D4249C"/>
    <w:rsid w:val="00D428BC"/>
    <w:rsid w:val="00D42C6E"/>
    <w:rsid w:val="00D44776"/>
    <w:rsid w:val="00D44CE7"/>
    <w:rsid w:val="00D45804"/>
    <w:rsid w:val="00D46BC7"/>
    <w:rsid w:val="00D47082"/>
    <w:rsid w:val="00D50CD8"/>
    <w:rsid w:val="00D51245"/>
    <w:rsid w:val="00D532B8"/>
    <w:rsid w:val="00D54B6F"/>
    <w:rsid w:val="00D54E73"/>
    <w:rsid w:val="00D575A3"/>
    <w:rsid w:val="00D613A6"/>
    <w:rsid w:val="00D617A6"/>
    <w:rsid w:val="00D650EA"/>
    <w:rsid w:val="00D668D9"/>
    <w:rsid w:val="00D706A3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2857"/>
    <w:rsid w:val="00D939B7"/>
    <w:rsid w:val="00D950D8"/>
    <w:rsid w:val="00D95477"/>
    <w:rsid w:val="00D959C3"/>
    <w:rsid w:val="00D961B8"/>
    <w:rsid w:val="00DA1511"/>
    <w:rsid w:val="00DA6FB8"/>
    <w:rsid w:val="00DA777A"/>
    <w:rsid w:val="00DA7C78"/>
    <w:rsid w:val="00DB0188"/>
    <w:rsid w:val="00DB26A8"/>
    <w:rsid w:val="00DB3C58"/>
    <w:rsid w:val="00DB4F9F"/>
    <w:rsid w:val="00DB532E"/>
    <w:rsid w:val="00DB5728"/>
    <w:rsid w:val="00DB5AE0"/>
    <w:rsid w:val="00DB5EEF"/>
    <w:rsid w:val="00DB6161"/>
    <w:rsid w:val="00DB65B9"/>
    <w:rsid w:val="00DB70FB"/>
    <w:rsid w:val="00DC0CD5"/>
    <w:rsid w:val="00DC2BFA"/>
    <w:rsid w:val="00DC334D"/>
    <w:rsid w:val="00DC6AAD"/>
    <w:rsid w:val="00DD05B4"/>
    <w:rsid w:val="00DD559D"/>
    <w:rsid w:val="00DE165D"/>
    <w:rsid w:val="00DE2F91"/>
    <w:rsid w:val="00DE2FD7"/>
    <w:rsid w:val="00DE3F4C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132C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2DE0"/>
    <w:rsid w:val="00E63ADD"/>
    <w:rsid w:val="00E64120"/>
    <w:rsid w:val="00E65FA3"/>
    <w:rsid w:val="00E678CB"/>
    <w:rsid w:val="00E67D1E"/>
    <w:rsid w:val="00E707FD"/>
    <w:rsid w:val="00E70B10"/>
    <w:rsid w:val="00E710D7"/>
    <w:rsid w:val="00E71348"/>
    <w:rsid w:val="00E71657"/>
    <w:rsid w:val="00E72EDE"/>
    <w:rsid w:val="00E745BB"/>
    <w:rsid w:val="00E8010A"/>
    <w:rsid w:val="00E80D46"/>
    <w:rsid w:val="00E8229C"/>
    <w:rsid w:val="00E836E5"/>
    <w:rsid w:val="00E84601"/>
    <w:rsid w:val="00E84939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1207"/>
    <w:rsid w:val="00EF319C"/>
    <w:rsid w:val="00EF3258"/>
    <w:rsid w:val="00EF436C"/>
    <w:rsid w:val="00EF7C4A"/>
    <w:rsid w:val="00F00846"/>
    <w:rsid w:val="00F02496"/>
    <w:rsid w:val="00F027E4"/>
    <w:rsid w:val="00F055F1"/>
    <w:rsid w:val="00F05A46"/>
    <w:rsid w:val="00F100EB"/>
    <w:rsid w:val="00F109F8"/>
    <w:rsid w:val="00F15458"/>
    <w:rsid w:val="00F158C7"/>
    <w:rsid w:val="00F162F4"/>
    <w:rsid w:val="00F16C11"/>
    <w:rsid w:val="00F20565"/>
    <w:rsid w:val="00F22278"/>
    <w:rsid w:val="00F25246"/>
    <w:rsid w:val="00F25E72"/>
    <w:rsid w:val="00F307D6"/>
    <w:rsid w:val="00F31A8E"/>
    <w:rsid w:val="00F32C2D"/>
    <w:rsid w:val="00F3394E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0DA5"/>
    <w:rsid w:val="00F63D66"/>
    <w:rsid w:val="00F64504"/>
    <w:rsid w:val="00F6458C"/>
    <w:rsid w:val="00F6478A"/>
    <w:rsid w:val="00F6661C"/>
    <w:rsid w:val="00F6682D"/>
    <w:rsid w:val="00F701C7"/>
    <w:rsid w:val="00F70339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217D"/>
    <w:rsid w:val="00F94BD6"/>
    <w:rsid w:val="00F958CC"/>
    <w:rsid w:val="00F967DF"/>
    <w:rsid w:val="00FA2482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4244"/>
    <w:rsid w:val="00FE607A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32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8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707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29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96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0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termplan.nhs.uk/" TargetMode="External"/><Relationship Id="rId13" Type="http://schemas.openxmlformats.org/officeDocument/2006/relationships/hyperlink" Target="https://www.gov.uk/government/publications/annual-health-checks-and-people-with-learning-disabilities/annual-health-checks-and-people-with-learning-disabilities" TargetMode="External"/><Relationship Id="rId18" Type="http://schemas.openxmlformats.org/officeDocument/2006/relationships/hyperlink" Target="https://www.nice.org.uk/guidance/qs142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igital.nhs.uk/data-and-information/publications/statistical/mi-network-contract-des/2022-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gital.nhs.uk/data-and-information/publications/statistical/mi-network-contract-des/2021-22" TargetMode="External"/><Relationship Id="rId17" Type="http://schemas.openxmlformats.org/officeDocument/2006/relationships/hyperlink" Target="https://www.nice.org.uk/guidance/QS10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QS187" TargetMode="External"/><Relationship Id="rId20" Type="http://schemas.openxmlformats.org/officeDocument/2006/relationships/hyperlink" Target="https://nhs-prod.global.ssl.fastly.net/binaries/content/assets/website-assets/data-and-information/data-collections/qof/business-rules-2022---2023/ncd-2022-23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learning-disabilities/improving-health/learning-from-lives-and-death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ng11" TargetMode="External"/><Relationship Id="rId23" Type="http://schemas.openxmlformats.org/officeDocument/2006/relationships/hyperlink" Target="https://www.england.nhs.uk/publication/improving-identification-of-people-with-a-learning-disability-guidance-for-general-practic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ngland.nhs.uk/publication/network-contract-directed-enhanced-service-investment-and-impact-fund-2022-23-updated-guidance/" TargetMode="External"/><Relationship Id="rId19" Type="http://schemas.openxmlformats.org/officeDocument/2006/relationships/hyperlink" Target="https://digital.nhs.uk/data-and-information/publications/statistical/mi-network-contract-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coronavirus/publication/third-phase-response/" TargetMode="External"/><Relationship Id="rId14" Type="http://schemas.openxmlformats.org/officeDocument/2006/relationships/hyperlink" Target="https://www.nice.org.uk/guidance/ng96/" TargetMode="External"/><Relationship Id="rId22" Type="http://schemas.openxmlformats.org/officeDocument/2006/relationships/hyperlink" Target="https://www.england.nhs.uk/publication/improving-identification-of-people-with-a-learning-disability-guidance-for-general-practice/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5CFB-25F6-41DA-9900-338A4FF0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2023-10-11T13:47:00Z</dcterms:created>
  <dcterms:modified xsi:type="dcterms:W3CDTF">2023-10-11T13:47:00Z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2023-10-11T13:47:27Z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19421371-cc0a-4de6-a1c2-ee6f0321b692</vt:lpwstr>
  </property>
  <property fmtid="{D5CDD505-2E9C-101B-9397-08002B2CF9AE}" pid="8" name="MSIP_Label_c69d85d5-6d9e-4305-a294-1f636ec0f2d6_ContentBits">
    <vt:lpwstr>0</vt:lpwstr>
  </property>
</Properties>
</file>