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8642" w14:textId="77777777" w:rsidR="00E66ADA" w:rsidRDefault="00E66ADA" w:rsidP="00333535">
      <w:pPr>
        <w:pStyle w:val="Title2"/>
      </w:pPr>
      <w:r>
        <w:t>NATIONAL INSTITUTE FOR HEALTH AND CARE EXCELLENCE</w:t>
      </w:r>
    </w:p>
    <w:p w14:paraId="2FBD527E" w14:textId="4FB61AC9" w:rsidR="00E66ADA" w:rsidRPr="000C37A0" w:rsidRDefault="00BD0284" w:rsidP="00E66ADA">
      <w:pPr>
        <w:pStyle w:val="Title1"/>
      </w:pPr>
      <w:r>
        <w:t xml:space="preserve">Cardiovascular disease prevention: </w:t>
      </w:r>
      <w:r w:rsidR="00773234">
        <w:t xml:space="preserve">cholesterol </w:t>
      </w:r>
      <w:r w:rsidR="003D3694">
        <w:t xml:space="preserve">treatment target </w:t>
      </w:r>
      <w:r>
        <w:t>(secondary prevention)</w:t>
      </w:r>
    </w:p>
    <w:p w14:paraId="0D126E50" w14:textId="77777777" w:rsidR="00E66ADA" w:rsidRPr="000C37A0" w:rsidRDefault="00E66ADA" w:rsidP="00333535">
      <w:pPr>
        <w:pStyle w:val="Title2"/>
      </w:pPr>
      <w:r w:rsidRPr="000C37A0">
        <w:t xml:space="preserve">NICE </w:t>
      </w:r>
      <w:r>
        <w:t>indicator</w:t>
      </w:r>
    </w:p>
    <w:p w14:paraId="171EB1EE" w14:textId="3A48E81E" w:rsidR="00E66ADA" w:rsidRDefault="00E22108" w:rsidP="00E66ADA">
      <w:pPr>
        <w:pStyle w:val="Guidanceissuedate"/>
      </w:pPr>
      <w:r>
        <w:t xml:space="preserve">14 </w:t>
      </w:r>
      <w:r w:rsidR="00BD0284">
        <w:t>December 2023</w:t>
      </w:r>
    </w:p>
    <w:p w14:paraId="0A9E109C" w14:textId="41BC4499" w:rsidR="00F42A59" w:rsidRDefault="00F42A59" w:rsidP="00C86993">
      <w:pPr>
        <w:pStyle w:val="NICEnormal"/>
      </w:pPr>
      <w:r>
        <w:t xml:space="preserve">Next review date: </w:t>
      </w:r>
      <w:r w:rsidR="00BD0284">
        <w:t>December 2026</w:t>
      </w:r>
    </w:p>
    <w:p w14:paraId="6CEFEB1D" w14:textId="72502B00" w:rsidR="00F42A59" w:rsidRDefault="00F42A59" w:rsidP="00F42A59">
      <w:pPr>
        <w:pStyle w:val="Heading1"/>
      </w:pPr>
      <w:r>
        <w:t>Indicator</w:t>
      </w:r>
      <w:r w:rsidR="00F45830">
        <w:t xml:space="preserve"> </w:t>
      </w:r>
    </w:p>
    <w:p w14:paraId="4B1BAB73" w14:textId="559692C8" w:rsidR="00F42A59" w:rsidRDefault="00FF7969" w:rsidP="00C86993">
      <w:pPr>
        <w:pStyle w:val="NICEnormal"/>
      </w:pPr>
      <w:bookmarkStart w:id="0" w:name="_Hlk149816534"/>
      <w:r>
        <w:t xml:space="preserve">The percentage of patients with CVD in whom the </w:t>
      </w:r>
      <w:r w:rsidR="00F45830">
        <w:t>last recorded LDL cholesterol level (measured in the preceding 12 months) is 2.0 mmol</w:t>
      </w:r>
      <w:r w:rsidR="00234628">
        <w:t xml:space="preserve"> per </w:t>
      </w:r>
      <w:r w:rsidR="00F45830">
        <w:t xml:space="preserve">litre or less, or </w:t>
      </w:r>
      <w:r>
        <w:t>last recorded non-HDL cholesterol level (measured in the preceding 12 months) is 2.6 mmol</w:t>
      </w:r>
      <w:r w:rsidR="00234628">
        <w:t xml:space="preserve"> per </w:t>
      </w:r>
      <w:r>
        <w:t>litre or less,</w:t>
      </w:r>
      <w:r w:rsidR="00F45830">
        <w:t xml:space="preserve"> </w:t>
      </w:r>
      <w:r>
        <w:t xml:space="preserve">if </w:t>
      </w:r>
      <w:r w:rsidR="00F45830">
        <w:t>LDL</w:t>
      </w:r>
      <w:r>
        <w:t xml:space="preserve"> cholesterol is not recorded. </w:t>
      </w:r>
    </w:p>
    <w:bookmarkEnd w:id="0"/>
    <w:p w14:paraId="7F8D349D" w14:textId="77777777" w:rsidR="00F42A59" w:rsidRDefault="00F42A59" w:rsidP="00F42A59">
      <w:pPr>
        <w:pStyle w:val="Heading2"/>
      </w:pPr>
      <w:r>
        <w:t xml:space="preserve">Indicator type </w:t>
      </w:r>
    </w:p>
    <w:p w14:paraId="136D8315" w14:textId="77777777" w:rsidR="00F42A59" w:rsidRPr="00AF0E5E" w:rsidRDefault="00F42A59" w:rsidP="00C86993">
      <w:pPr>
        <w:pStyle w:val="NICEnormal"/>
      </w:pPr>
      <w:r w:rsidRPr="00AF0E5E">
        <w:t>General practice indicator suitable for use in the Quality and Outcomes Framework.</w:t>
      </w:r>
    </w:p>
    <w:tbl>
      <w:tblPr>
        <w:tblStyle w:val="PanelPrimary"/>
        <w:tblW w:w="0" w:type="auto"/>
        <w:tblLook w:val="0000" w:firstRow="0" w:lastRow="0" w:firstColumn="0" w:lastColumn="0" w:noHBand="0" w:noVBand="0"/>
        <w:tblCaption w:val="Primary panel"/>
      </w:tblPr>
      <w:tblGrid>
        <w:gridCol w:w="8246"/>
      </w:tblGrid>
      <w:tr w:rsidR="00E66ADA" w14:paraId="7FD53011" w14:textId="77777777">
        <w:tc>
          <w:tcPr>
            <w:tcW w:w="8246" w:type="dxa"/>
          </w:tcPr>
          <w:p w14:paraId="0DB653C3" w14:textId="25CEDF8A" w:rsidR="00E66ADA" w:rsidRDefault="00E66ADA">
            <w:pPr>
              <w:pStyle w:val="NICEnormal"/>
            </w:pPr>
            <w:bookmarkStart w:id="1" w:name="_Hlk131071627"/>
            <w:r w:rsidRPr="0009195D">
              <w:t xml:space="preserve">This document does not represent formal NICE guidance. </w:t>
            </w:r>
            <w:r>
              <w:t xml:space="preserve">For a full list of NICE indicators, </w:t>
            </w:r>
            <w:r w:rsidRPr="0009195D">
              <w:t>s</w:t>
            </w:r>
            <w:r>
              <w:t xml:space="preserve">ee our </w:t>
            </w:r>
            <w:hyperlink r:id="rId7" w:history="1">
              <w:r w:rsidRPr="008541A5">
                <w:rPr>
                  <w:rStyle w:val="Hyperlink"/>
                </w:rPr>
                <w:t>menu of indicators</w:t>
              </w:r>
            </w:hyperlink>
            <w:r>
              <w:t xml:space="preserve"> </w:t>
            </w:r>
          </w:p>
          <w:p w14:paraId="26B81A49" w14:textId="0CF177C1" w:rsidR="00E66ADA" w:rsidRPr="002C393A" w:rsidRDefault="00E66ADA">
            <w:pPr>
              <w:pStyle w:val="NICEnormal"/>
            </w:pPr>
            <w:r>
              <w:t>To f</w:t>
            </w:r>
            <w:r w:rsidRPr="00A6342F">
              <w:t>ind out how to use indicators and how we develop them</w:t>
            </w:r>
            <w:r>
              <w:t>,</w:t>
            </w:r>
            <w:r w:rsidRPr="00A6342F">
              <w:t xml:space="preserve"> </w:t>
            </w:r>
            <w:r>
              <w:t xml:space="preserve">see our </w:t>
            </w:r>
            <w:hyperlink r:id="rId8" w:anchor="how-we-develop-indicators" w:history="1">
              <w:r w:rsidRPr="00F47CF7">
                <w:rPr>
                  <w:rStyle w:val="Hyperlink"/>
                </w:rPr>
                <w:t>NICE indicator process guide</w:t>
              </w:r>
            </w:hyperlink>
            <w:r w:rsidR="00F47CF7">
              <w:t>.</w:t>
            </w:r>
            <w:r w:rsidRPr="00A6342F">
              <w:t xml:space="preserve"> </w:t>
            </w:r>
          </w:p>
        </w:tc>
      </w:tr>
      <w:bookmarkEnd w:id="1"/>
    </w:tbl>
    <w:p w14:paraId="30A1FC4E" w14:textId="77777777" w:rsidR="00E66ADA" w:rsidRDefault="00E66ADA" w:rsidP="00E66ADA">
      <w:pPr>
        <w:pStyle w:val="NICEnormal"/>
      </w:pPr>
    </w:p>
    <w:p w14:paraId="51590730" w14:textId="77777777" w:rsidR="00F42A59" w:rsidRDefault="00F42A59" w:rsidP="00F42A59">
      <w:pPr>
        <w:pStyle w:val="Heading2"/>
      </w:pPr>
      <w:r>
        <w:t>Rationale</w:t>
      </w:r>
    </w:p>
    <w:p w14:paraId="5F75A7E2" w14:textId="41CCA0B6" w:rsidR="00F42A59" w:rsidRDefault="00AF0E5E" w:rsidP="00C86993">
      <w:pPr>
        <w:pStyle w:val="NICEnormal"/>
      </w:pPr>
      <w:r>
        <w:t xml:space="preserve">This indicator aims to support improvements in secondary prevention of cardiovascular disease by managing cholesterol levels. Where </w:t>
      </w:r>
      <w:r w:rsidR="00F45830">
        <w:t>LD</w:t>
      </w:r>
      <w:r>
        <w:t>L cholesterol is more than 2.</w:t>
      </w:r>
      <w:r w:rsidR="00F45830">
        <w:t>0</w:t>
      </w:r>
      <w:r>
        <w:t xml:space="preserve"> mmol</w:t>
      </w:r>
      <w:r w:rsidR="00234628">
        <w:t xml:space="preserve"> per </w:t>
      </w:r>
      <w:r>
        <w:t>litre (2.</w:t>
      </w:r>
      <w:r w:rsidR="00F45830">
        <w:t>6</w:t>
      </w:r>
      <w:r>
        <w:t xml:space="preserve"> mmol</w:t>
      </w:r>
      <w:r w:rsidR="00234628">
        <w:t xml:space="preserve"> per </w:t>
      </w:r>
      <w:r>
        <w:t xml:space="preserve">litre for </w:t>
      </w:r>
      <w:r w:rsidR="00F45830">
        <w:t>non-HDL</w:t>
      </w:r>
      <w:r>
        <w:t xml:space="preserve"> cholesterol), treatment should be escalated in line with NICE guidance.</w:t>
      </w:r>
    </w:p>
    <w:p w14:paraId="55B629ED" w14:textId="77777777" w:rsidR="00F42A59" w:rsidRDefault="00F42A59" w:rsidP="00F42A59">
      <w:pPr>
        <w:pStyle w:val="Heading2"/>
      </w:pPr>
      <w:r>
        <w:lastRenderedPageBreak/>
        <w:t xml:space="preserve">Source guidance </w:t>
      </w:r>
    </w:p>
    <w:p w14:paraId="410230F3" w14:textId="02588F6F" w:rsidR="00F45830" w:rsidRPr="00333535" w:rsidRDefault="00472432" w:rsidP="00C86993">
      <w:pPr>
        <w:pStyle w:val="NICEnormal"/>
      </w:pPr>
      <w:hyperlink r:id="rId9" w:history="1">
        <w:r w:rsidR="00F45830" w:rsidRPr="00E22108">
          <w:rPr>
            <w:rStyle w:val="Hyperlink"/>
          </w:rPr>
          <w:t xml:space="preserve">Cardiovascular disease: risk assessment and reduction, including lipid modification. NICE guideline </w:t>
        </w:r>
        <w:r w:rsidR="00F24349" w:rsidRPr="00E22108">
          <w:rPr>
            <w:rStyle w:val="Hyperlink"/>
          </w:rPr>
          <w:t>NG238</w:t>
        </w:r>
      </w:hyperlink>
      <w:r w:rsidR="00F24349">
        <w:t xml:space="preserve"> </w:t>
      </w:r>
      <w:r w:rsidR="00F45830">
        <w:t>(2023), recommendation 1.</w:t>
      </w:r>
      <w:r w:rsidR="009E1D9C">
        <w:t>7</w:t>
      </w:r>
      <w:r w:rsidR="00F45830">
        <w:t>.1</w:t>
      </w:r>
    </w:p>
    <w:p w14:paraId="2B57C97A" w14:textId="77777777" w:rsidR="00F42A59" w:rsidRDefault="00F42A59" w:rsidP="00F42A59">
      <w:pPr>
        <w:pStyle w:val="Heading2"/>
      </w:pPr>
      <w:r>
        <w:t xml:space="preserve">Specification </w:t>
      </w:r>
    </w:p>
    <w:p w14:paraId="32FEC62C" w14:textId="53F374FF" w:rsidR="00F42A59" w:rsidRDefault="00F42A59" w:rsidP="00C86993">
      <w:pPr>
        <w:pStyle w:val="NICEnormal"/>
      </w:pPr>
      <w:r>
        <w:t xml:space="preserve">Numerator: </w:t>
      </w:r>
      <w:r w:rsidR="00AF0E5E">
        <w:t xml:space="preserve">The number of patients in the denominator </w:t>
      </w:r>
      <w:r w:rsidR="00D8073F">
        <w:t>in whom the</w:t>
      </w:r>
      <w:r w:rsidR="00AF0E5E">
        <w:t xml:space="preserve"> last recorded </w:t>
      </w:r>
      <w:r w:rsidR="00F45830">
        <w:t>LDL</w:t>
      </w:r>
      <w:r w:rsidR="00AF0E5E">
        <w:t xml:space="preserve"> cholesterol level (measured in the preceding 12 months) is 2.</w:t>
      </w:r>
      <w:r w:rsidR="00F45830">
        <w:t>0</w:t>
      </w:r>
      <w:r w:rsidR="00AF0E5E">
        <w:t xml:space="preserve"> mmol</w:t>
      </w:r>
      <w:r w:rsidR="00234628">
        <w:t xml:space="preserve"> per </w:t>
      </w:r>
      <w:r w:rsidR="00AF0E5E">
        <w:t xml:space="preserve">litre or less, or last recorded </w:t>
      </w:r>
      <w:r w:rsidR="00F45830">
        <w:t>non-HDL</w:t>
      </w:r>
      <w:r w:rsidR="00AF0E5E">
        <w:t xml:space="preserve"> cholesterol level</w:t>
      </w:r>
      <w:r w:rsidR="007825B6">
        <w:t xml:space="preserve"> (measured in the preceding 12 months)</w:t>
      </w:r>
      <w:r w:rsidR="00AF0E5E">
        <w:t xml:space="preserve"> is 2.</w:t>
      </w:r>
      <w:r w:rsidR="00F45830">
        <w:t>6</w:t>
      </w:r>
      <w:r w:rsidR="00AF0E5E">
        <w:t xml:space="preserve"> mmol</w:t>
      </w:r>
      <w:r w:rsidR="00234628">
        <w:t xml:space="preserve"> per </w:t>
      </w:r>
      <w:r w:rsidR="00AF0E5E">
        <w:t xml:space="preserve">litre or less, if </w:t>
      </w:r>
      <w:r w:rsidR="00F45830">
        <w:t>LD</w:t>
      </w:r>
      <w:r w:rsidR="00AF0E5E">
        <w:t>L cholesterol is not recorded.</w:t>
      </w:r>
    </w:p>
    <w:p w14:paraId="730551F5" w14:textId="1ED1366F" w:rsidR="00F42A59" w:rsidRDefault="00F42A59" w:rsidP="00C86993">
      <w:pPr>
        <w:pStyle w:val="NICEnormal"/>
      </w:pPr>
      <w:r>
        <w:t>Denominator:</w:t>
      </w:r>
      <w:r w:rsidR="00D8073F">
        <w:t xml:space="preserve"> </w:t>
      </w:r>
      <w:r w:rsidR="00AF0E5E">
        <w:t xml:space="preserve">The number of patients with CVD. </w:t>
      </w:r>
    </w:p>
    <w:p w14:paraId="2E262B40" w14:textId="0ABE1BCA" w:rsidR="00F42A59" w:rsidRDefault="00F42A59" w:rsidP="00C86993">
      <w:pPr>
        <w:pStyle w:val="NICEnormal"/>
      </w:pPr>
      <w:r w:rsidRPr="00AF0E5E">
        <w:t>Calculation: Numerator</w:t>
      </w:r>
      <w:r w:rsidR="000770C1" w:rsidRPr="00AF0E5E">
        <w:t xml:space="preserve"> divided by the </w:t>
      </w:r>
      <w:r w:rsidRPr="00AF0E5E">
        <w:t>denominator</w:t>
      </w:r>
      <w:r w:rsidR="000770C1" w:rsidRPr="00AF0E5E">
        <w:t>, multiplied by 1</w:t>
      </w:r>
      <w:r w:rsidRPr="00AF0E5E">
        <w:t>00</w:t>
      </w:r>
      <w:r w:rsidR="000770C1" w:rsidRPr="00AF0E5E">
        <w:t>.</w:t>
      </w:r>
    </w:p>
    <w:p w14:paraId="09560AD9" w14:textId="7B251D6F" w:rsidR="00F42A59" w:rsidRDefault="00F42A59" w:rsidP="00C86993">
      <w:pPr>
        <w:pStyle w:val="NICEnormal"/>
      </w:pPr>
      <w:r>
        <w:t xml:space="preserve">Definitions: </w:t>
      </w:r>
      <w:r w:rsidR="00FD354F" w:rsidRPr="00FD354F">
        <w:t xml:space="preserve">For the purposes of this indicator, cardiovascular disease is defined as angina, previous myocardial infarction, revascularisation, ischaemic stroke or TIA or symptomatic peripheral arterial disease. </w:t>
      </w:r>
      <w:r w:rsidR="00FD354F">
        <w:t>E</w:t>
      </w:r>
      <w:r w:rsidR="00134EF9">
        <w:t>xisting QOF registers for coronary heart disease (CHD001), stroke or transient ischaemic attack (STIA001 excluding</w:t>
      </w:r>
      <w:r w:rsidR="00F24349">
        <w:t xml:space="preserve"> a history of</w:t>
      </w:r>
      <w:r w:rsidR="00134EF9">
        <w:t xml:space="preserve"> haemorrhagic stroke) and symptomatic peripheral arterial disease (PAD001).</w:t>
      </w:r>
    </w:p>
    <w:p w14:paraId="44EADD15" w14:textId="04A12519" w:rsidR="00F42A59" w:rsidRDefault="00F42A59" w:rsidP="00C86993">
      <w:pPr>
        <w:pStyle w:val="NICEnormal"/>
      </w:pPr>
      <w:r>
        <w:t xml:space="preserve">Exclusions: </w:t>
      </w:r>
      <w:r w:rsidR="00AF0E5E">
        <w:t>Patients with a diagnosis of familial hypercholesterolaemia</w:t>
      </w:r>
      <w:r w:rsidR="007F23A9">
        <w:t xml:space="preserve"> or a history of haemorrhagic stroke</w:t>
      </w:r>
      <w:r w:rsidR="00AF0E5E">
        <w:t xml:space="preserve">. </w:t>
      </w:r>
      <w:r>
        <w:t xml:space="preserve"> </w:t>
      </w:r>
    </w:p>
    <w:p w14:paraId="01303597" w14:textId="7CC86298" w:rsidR="00F42A59" w:rsidRDefault="00F42A59" w:rsidP="00C86993">
      <w:pPr>
        <w:pStyle w:val="NICEnormal"/>
      </w:pPr>
      <w:r>
        <w:t>Personalised care adjustments or exception reporting should be considered to account for situations where the patient declines</w:t>
      </w:r>
      <w:r w:rsidR="00AF0E5E">
        <w:t xml:space="preserve"> a cholesterol test or lipid lowering therapy</w:t>
      </w:r>
      <w:r>
        <w:t>, does not attend</w:t>
      </w:r>
      <w:r w:rsidR="00AF6B4F">
        <w:t>, is on maximum tolerated lipid lowering therapy</w:t>
      </w:r>
      <w:r>
        <w:t xml:space="preserve"> or if </w:t>
      </w:r>
      <w:r w:rsidR="00AF0E5E">
        <w:t xml:space="preserve">lipid </w:t>
      </w:r>
      <w:r w:rsidR="005A26D1">
        <w:t>lowering therapy</w:t>
      </w:r>
      <w:r>
        <w:t xml:space="preserve"> is not appropriate</w:t>
      </w:r>
      <w:r w:rsidR="00AF0E5E">
        <w:t xml:space="preserve"> for the individual</w:t>
      </w:r>
      <w:r w:rsidR="00134EF9">
        <w:t xml:space="preserve"> (for example</w:t>
      </w:r>
      <w:r w:rsidR="002A1720">
        <w:t>,</w:t>
      </w:r>
      <w:r w:rsidR="00134EF9">
        <w:t xml:space="preserve"> non-atherosclerotic cardiovascular disease)</w:t>
      </w:r>
      <w:r>
        <w:t>.</w:t>
      </w:r>
    </w:p>
    <w:p w14:paraId="4675CEA6" w14:textId="77777777" w:rsidR="00EE6F42" w:rsidRDefault="009E4F14" w:rsidP="00C86993">
      <w:pPr>
        <w:pStyle w:val="NICEnormal"/>
      </w:pPr>
      <w:r>
        <w:t xml:space="preserve">Expected </w:t>
      </w:r>
      <w:r w:rsidR="00F42A59">
        <w:t>population</w:t>
      </w:r>
      <w:r>
        <w:t xml:space="preserve"> size</w:t>
      </w:r>
      <w:r w:rsidR="00F42A59">
        <w:t xml:space="preserve">: </w:t>
      </w:r>
    </w:p>
    <w:p w14:paraId="30857E59" w14:textId="48EFE32A" w:rsidR="00B04218" w:rsidRPr="00D8073F" w:rsidRDefault="00472432" w:rsidP="00C86993">
      <w:pPr>
        <w:pStyle w:val="NICEnormal"/>
      </w:pPr>
      <w:hyperlink r:id="rId10" w:history="1">
        <w:r w:rsidR="00D8073F" w:rsidRPr="00BD0284">
          <w:rPr>
            <w:rStyle w:val="Hyperlink"/>
          </w:rPr>
          <w:t>CVD Prevent</w:t>
        </w:r>
      </w:hyperlink>
      <w:r w:rsidR="00D8073F" w:rsidRPr="00D8073F">
        <w:t xml:space="preserve"> data to June 2023 (CVDP007CHOL)</w:t>
      </w:r>
      <w:r w:rsidR="00F42A59" w:rsidRPr="00D8073F">
        <w:t xml:space="preserve"> shows that </w:t>
      </w:r>
      <w:r w:rsidR="00D8073F" w:rsidRPr="00D8073F">
        <w:t>4.6</w:t>
      </w:r>
      <w:r w:rsidR="00F42A59" w:rsidRPr="00D8073F">
        <w:t>% of people in England</w:t>
      </w:r>
      <w:r w:rsidR="00D8073F" w:rsidRPr="00D8073F">
        <w:t xml:space="preserve"> have CVD (defined as CHD, non-haemorrhagic stroke, TIA or peripheral arterial disease)</w:t>
      </w:r>
      <w:r w:rsidR="00F42A59" w:rsidRPr="00D8073F">
        <w:t xml:space="preserve">: </w:t>
      </w:r>
      <w:r w:rsidR="00D8073F" w:rsidRPr="00D8073F">
        <w:t>461</w:t>
      </w:r>
      <w:r w:rsidR="00F42A59" w:rsidRPr="00D8073F">
        <w:t xml:space="preserve"> patients for an average practice with 10,000 patients.</w:t>
      </w:r>
      <w:r w:rsidR="00546EFB" w:rsidRPr="00D8073F">
        <w:t xml:space="preserve"> To be suitable for use in QOF, there should be more than 20 patients eligible for inclusion </w:t>
      </w:r>
      <w:r w:rsidR="00546EFB" w:rsidRPr="00D8073F">
        <w:lastRenderedPageBreak/>
        <w:t>in the denominator, per average practice with 10,000 patients,</w:t>
      </w:r>
      <w:r w:rsidR="00546EFB" w:rsidRPr="00D8073F" w:rsidDel="00CF3046">
        <w:t xml:space="preserve"> </w:t>
      </w:r>
      <w:r w:rsidR="00546EFB" w:rsidRPr="00D8073F">
        <w:t>prior to application of personalised care adjustments.</w:t>
      </w:r>
    </w:p>
    <w:p w14:paraId="1F4B8FC8" w14:textId="3D2C06F2" w:rsidR="00C86993" w:rsidRPr="00F42A59" w:rsidRDefault="00DE6DA8" w:rsidP="000C594F">
      <w:pPr>
        <w:pStyle w:val="NICEnormal"/>
      </w:pPr>
      <w:r w:rsidRPr="00DE6DA8">
        <w:t>© NI</w:t>
      </w:r>
      <w:r w:rsidR="00D8073F">
        <w:t>CE 2023</w:t>
      </w:r>
      <w:r w:rsidRPr="00DE6DA8">
        <w:t xml:space="preserve">. All rights reserved. Subject to </w:t>
      </w:r>
      <w:hyperlink r:id="rId11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  <w:r w:rsidR="00C2199A">
        <w:t xml:space="preserve"> </w:t>
      </w:r>
    </w:p>
    <w:sectPr w:rsidR="00C86993" w:rsidRPr="00F42A59" w:rsidSect="000A5C00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F1E6" w14:textId="77777777" w:rsidR="00FF7969" w:rsidRDefault="00FF7969" w:rsidP="00446BEE">
      <w:r>
        <w:separator/>
      </w:r>
    </w:p>
  </w:endnote>
  <w:endnote w:type="continuationSeparator" w:id="0">
    <w:p w14:paraId="098491EC" w14:textId="77777777" w:rsidR="00FF7969" w:rsidRDefault="00FF796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624D" w14:textId="46407E00" w:rsidR="00446BEE" w:rsidRDefault="00AD2F66" w:rsidP="00446BEE">
    <w:pPr>
      <w:pStyle w:val="Footer"/>
    </w:pPr>
    <w:r>
      <w:t>[</w:t>
    </w:r>
    <w:r w:rsidR="00AF6B4F">
      <w:t>NM252</w:t>
    </w:r>
    <w:r w:rsidR="00867EE3">
      <w:t xml:space="preserve"> indicator guidance</w:t>
    </w:r>
    <w:r>
      <w:t>]</w:t>
    </w:r>
    <w:r>
      <w:tab/>
    </w:r>
    <w:r w:rsidR="00446BEE">
      <w:tab/>
    </w:r>
    <w:r w:rsidR="00820D0A">
      <w:t xml:space="preserve">Page </w:t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3D60D4" w14:textId="1B56377E" w:rsidR="008E7826" w:rsidRDefault="0036360F" w:rsidP="008E7826">
            <w:pPr>
              <w:pStyle w:val="Footer"/>
            </w:pPr>
            <w:r>
              <w:t>[</w:t>
            </w:r>
            <w:r w:rsidR="00AF6B4F">
              <w:t xml:space="preserve">NM252 </w:t>
            </w:r>
            <w:r w:rsidR="00820D0A">
              <w:t>indicator guidance</w:t>
            </w:r>
            <w:r>
              <w:t>]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2FBD" w14:textId="77777777" w:rsidR="00FF7969" w:rsidRDefault="00FF7969" w:rsidP="00446BEE">
      <w:r>
        <w:separator/>
      </w:r>
    </w:p>
  </w:footnote>
  <w:footnote w:type="continuationSeparator" w:id="0">
    <w:p w14:paraId="043CD4BF" w14:textId="77777777" w:rsidR="00FF7969" w:rsidRDefault="00FF796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14D8" w14:textId="77777777" w:rsidR="008F6FB7" w:rsidRPr="00A919FA" w:rsidRDefault="000A5C00" w:rsidP="000A5C00">
    <w:pPr>
      <w:pStyle w:val="Header"/>
      <w:tabs>
        <w:tab w:val="center" w:pos="4678"/>
        <w:tab w:val="right" w:pos="9781"/>
      </w:tabs>
      <w:rPr>
        <w:rFonts w:asciiTheme="minorHAnsi" w:hAnsiTheme="minorHAnsi"/>
      </w:rPr>
    </w:pPr>
    <w:r w:rsidRPr="00A919FA">
      <w:rPr>
        <w:rFonts w:asciiTheme="minorHAnsi" w:hAnsiTheme="minorHAnsi"/>
      </w:rPr>
      <w:t>CONFIDENTIAL UNTIL PUBLISHED</w:t>
    </w:r>
    <w:r w:rsidRPr="00A919FA">
      <w:rPr>
        <w:rFonts w:asciiTheme="minorHAnsi" w:hAnsiTheme="minorHAnsi"/>
      </w:rPr>
      <w:tab/>
    </w:r>
    <w:r w:rsidRPr="00A919FA">
      <w:rPr>
        <w:rFonts w:asciiTheme="minorHAnsi" w:hAnsiTheme="minorHAnsi"/>
      </w:rPr>
      <w:tab/>
    </w:r>
    <w:r w:rsidRPr="00A919FA">
      <w:rPr>
        <w:rFonts w:asciiTheme="minorHAnsi" w:hAnsiTheme="minorHAnsi"/>
      </w:rPr>
      <w:tab/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 w15:restartNumberingAfterBreak="0">
    <w:nsid w:val="3F376D4F"/>
    <w:multiLevelType w:val="hybridMultilevel"/>
    <w:tmpl w:val="9C1A3CD8"/>
    <w:lvl w:ilvl="0" w:tplc="77AC8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38B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D2A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B8B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001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0EA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7E8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782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B69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4370">
    <w:abstractNumId w:val="20"/>
  </w:num>
  <w:num w:numId="2" w16cid:durableId="1271931310">
    <w:abstractNumId w:val="24"/>
  </w:num>
  <w:num w:numId="3" w16cid:durableId="987441700">
    <w:abstractNumId w:val="24"/>
    <w:lvlOverride w:ilvl="0">
      <w:startOverride w:val="1"/>
    </w:lvlOverride>
  </w:num>
  <w:num w:numId="4" w16cid:durableId="1499422565">
    <w:abstractNumId w:val="24"/>
    <w:lvlOverride w:ilvl="0">
      <w:startOverride w:val="1"/>
    </w:lvlOverride>
  </w:num>
  <w:num w:numId="5" w16cid:durableId="2069916214">
    <w:abstractNumId w:val="24"/>
    <w:lvlOverride w:ilvl="0">
      <w:startOverride w:val="1"/>
    </w:lvlOverride>
  </w:num>
  <w:num w:numId="6" w16cid:durableId="1714303981">
    <w:abstractNumId w:val="24"/>
    <w:lvlOverride w:ilvl="0">
      <w:startOverride w:val="1"/>
    </w:lvlOverride>
  </w:num>
  <w:num w:numId="7" w16cid:durableId="1383334273">
    <w:abstractNumId w:val="2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5"/>
  </w:num>
  <w:num w:numId="19" w16cid:durableId="1373924523">
    <w:abstractNumId w:val="15"/>
    <w:lvlOverride w:ilvl="0">
      <w:startOverride w:val="1"/>
    </w:lvlOverride>
  </w:num>
  <w:num w:numId="20" w16cid:durableId="399716702">
    <w:abstractNumId w:val="20"/>
  </w:num>
  <w:num w:numId="21" w16cid:durableId="1595244151">
    <w:abstractNumId w:val="24"/>
  </w:num>
  <w:num w:numId="22" w16cid:durableId="368646558">
    <w:abstractNumId w:val="15"/>
  </w:num>
  <w:num w:numId="23" w16cid:durableId="534393170">
    <w:abstractNumId w:val="22"/>
  </w:num>
  <w:num w:numId="24" w16cid:durableId="609512517">
    <w:abstractNumId w:val="25"/>
  </w:num>
  <w:num w:numId="25" w16cid:durableId="791556432">
    <w:abstractNumId w:val="10"/>
  </w:num>
  <w:num w:numId="26" w16cid:durableId="259146513">
    <w:abstractNumId w:val="14"/>
  </w:num>
  <w:num w:numId="27" w16cid:durableId="504248076">
    <w:abstractNumId w:val="18"/>
  </w:num>
  <w:num w:numId="28" w16cid:durableId="84230777">
    <w:abstractNumId w:val="19"/>
  </w:num>
  <w:num w:numId="29" w16cid:durableId="1583947509">
    <w:abstractNumId w:val="12"/>
  </w:num>
  <w:num w:numId="30" w16cid:durableId="1248732286">
    <w:abstractNumId w:val="13"/>
  </w:num>
  <w:num w:numId="31" w16cid:durableId="812913656">
    <w:abstractNumId w:val="11"/>
  </w:num>
  <w:num w:numId="32" w16cid:durableId="1052122795">
    <w:abstractNumId w:val="23"/>
  </w:num>
  <w:num w:numId="33" w16cid:durableId="401679924">
    <w:abstractNumId w:val="16"/>
  </w:num>
  <w:num w:numId="34" w16cid:durableId="1078525961">
    <w:abstractNumId w:val="16"/>
  </w:num>
  <w:num w:numId="35" w16cid:durableId="2100907229">
    <w:abstractNumId w:val="16"/>
  </w:num>
  <w:num w:numId="36" w16cid:durableId="24521229">
    <w:abstractNumId w:val="16"/>
  </w:num>
  <w:num w:numId="37" w16cid:durableId="1582134445">
    <w:abstractNumId w:val="16"/>
  </w:num>
  <w:num w:numId="38" w16cid:durableId="1577669658">
    <w:abstractNumId w:val="16"/>
  </w:num>
  <w:num w:numId="39" w16cid:durableId="1444570339">
    <w:abstractNumId w:val="21"/>
  </w:num>
  <w:num w:numId="40" w16cid:durableId="1455369551">
    <w:abstractNumId w:val="22"/>
  </w:num>
  <w:num w:numId="41" w16cid:durableId="229048568">
    <w:abstractNumId w:val="26"/>
  </w:num>
  <w:num w:numId="42" w16cid:durableId="369035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69"/>
    <w:rsid w:val="000053F8"/>
    <w:rsid w:val="00023F36"/>
    <w:rsid w:val="00024D0A"/>
    <w:rsid w:val="00065197"/>
    <w:rsid w:val="00070065"/>
    <w:rsid w:val="000770C1"/>
    <w:rsid w:val="000A4FEE"/>
    <w:rsid w:val="000A5C00"/>
    <w:rsid w:val="000B5939"/>
    <w:rsid w:val="000C594F"/>
    <w:rsid w:val="000D13C6"/>
    <w:rsid w:val="00113116"/>
    <w:rsid w:val="001134E7"/>
    <w:rsid w:val="00117AEB"/>
    <w:rsid w:val="001336FF"/>
    <w:rsid w:val="00134EF9"/>
    <w:rsid w:val="00136206"/>
    <w:rsid w:val="0014053D"/>
    <w:rsid w:val="001519A3"/>
    <w:rsid w:val="00157BBE"/>
    <w:rsid w:val="0017169E"/>
    <w:rsid w:val="001935DA"/>
    <w:rsid w:val="001A6635"/>
    <w:rsid w:val="001B0EE9"/>
    <w:rsid w:val="001B65B3"/>
    <w:rsid w:val="001E60D6"/>
    <w:rsid w:val="002124D5"/>
    <w:rsid w:val="00234628"/>
    <w:rsid w:val="002408EA"/>
    <w:rsid w:val="0025603E"/>
    <w:rsid w:val="00262F98"/>
    <w:rsid w:val="002819D7"/>
    <w:rsid w:val="002A1720"/>
    <w:rsid w:val="002C1A7E"/>
    <w:rsid w:val="002D3376"/>
    <w:rsid w:val="002F7D05"/>
    <w:rsid w:val="00311AFD"/>
    <w:rsid w:val="00311ED0"/>
    <w:rsid w:val="00316CC1"/>
    <w:rsid w:val="00333535"/>
    <w:rsid w:val="00344DDB"/>
    <w:rsid w:val="0036360F"/>
    <w:rsid w:val="003648C5"/>
    <w:rsid w:val="003722FA"/>
    <w:rsid w:val="003C40C5"/>
    <w:rsid w:val="003C7AAF"/>
    <w:rsid w:val="003D3694"/>
    <w:rsid w:val="003D39FF"/>
    <w:rsid w:val="003F0A04"/>
    <w:rsid w:val="003F1C1C"/>
    <w:rsid w:val="004075B6"/>
    <w:rsid w:val="00420952"/>
    <w:rsid w:val="00446BEE"/>
    <w:rsid w:val="004477B9"/>
    <w:rsid w:val="00472432"/>
    <w:rsid w:val="004B4DB7"/>
    <w:rsid w:val="004C2B1E"/>
    <w:rsid w:val="004C517C"/>
    <w:rsid w:val="004C584C"/>
    <w:rsid w:val="004D633D"/>
    <w:rsid w:val="004F1728"/>
    <w:rsid w:val="005025A1"/>
    <w:rsid w:val="0050314F"/>
    <w:rsid w:val="00524C51"/>
    <w:rsid w:val="00546EFB"/>
    <w:rsid w:val="00580D59"/>
    <w:rsid w:val="00594C3A"/>
    <w:rsid w:val="005A02D5"/>
    <w:rsid w:val="005A26D1"/>
    <w:rsid w:val="005D52D0"/>
    <w:rsid w:val="005E2307"/>
    <w:rsid w:val="005F2FE6"/>
    <w:rsid w:val="005F3118"/>
    <w:rsid w:val="00624140"/>
    <w:rsid w:val="0062482B"/>
    <w:rsid w:val="006709A9"/>
    <w:rsid w:val="006802A7"/>
    <w:rsid w:val="006921E1"/>
    <w:rsid w:val="00696C0A"/>
    <w:rsid w:val="006A28FB"/>
    <w:rsid w:val="006A6A07"/>
    <w:rsid w:val="006D09CC"/>
    <w:rsid w:val="006E4D73"/>
    <w:rsid w:val="007238E0"/>
    <w:rsid w:val="00732144"/>
    <w:rsid w:val="00736348"/>
    <w:rsid w:val="007514F2"/>
    <w:rsid w:val="00752AC5"/>
    <w:rsid w:val="007545FB"/>
    <w:rsid w:val="00773234"/>
    <w:rsid w:val="0077376B"/>
    <w:rsid w:val="00781C41"/>
    <w:rsid w:val="007825B6"/>
    <w:rsid w:val="007F23A9"/>
    <w:rsid w:val="007F7032"/>
    <w:rsid w:val="00820D0A"/>
    <w:rsid w:val="00833D8A"/>
    <w:rsid w:val="008347E3"/>
    <w:rsid w:val="00837DE2"/>
    <w:rsid w:val="0084747C"/>
    <w:rsid w:val="008535F3"/>
    <w:rsid w:val="00857943"/>
    <w:rsid w:val="00861B92"/>
    <w:rsid w:val="00867EE3"/>
    <w:rsid w:val="008746C4"/>
    <w:rsid w:val="008814FB"/>
    <w:rsid w:val="00882924"/>
    <w:rsid w:val="008A41BF"/>
    <w:rsid w:val="008D16F1"/>
    <w:rsid w:val="008E276F"/>
    <w:rsid w:val="008E7826"/>
    <w:rsid w:val="008F5E30"/>
    <w:rsid w:val="008F6FB7"/>
    <w:rsid w:val="00914D7F"/>
    <w:rsid w:val="00936DDF"/>
    <w:rsid w:val="0097305A"/>
    <w:rsid w:val="00974C49"/>
    <w:rsid w:val="00976037"/>
    <w:rsid w:val="009C727F"/>
    <w:rsid w:val="009E0445"/>
    <w:rsid w:val="009E1D9C"/>
    <w:rsid w:val="009E365B"/>
    <w:rsid w:val="009E4F14"/>
    <w:rsid w:val="009E680B"/>
    <w:rsid w:val="00A15A1F"/>
    <w:rsid w:val="00A3325A"/>
    <w:rsid w:val="00A43013"/>
    <w:rsid w:val="00A919FA"/>
    <w:rsid w:val="00A93810"/>
    <w:rsid w:val="00AD2F66"/>
    <w:rsid w:val="00AE4AAC"/>
    <w:rsid w:val="00AF0E5E"/>
    <w:rsid w:val="00AF108A"/>
    <w:rsid w:val="00AF10CC"/>
    <w:rsid w:val="00AF6B4F"/>
    <w:rsid w:val="00B02E55"/>
    <w:rsid w:val="00B036C1"/>
    <w:rsid w:val="00B04218"/>
    <w:rsid w:val="00B5431F"/>
    <w:rsid w:val="00B55D0E"/>
    <w:rsid w:val="00B65A11"/>
    <w:rsid w:val="00B77AD1"/>
    <w:rsid w:val="00B93321"/>
    <w:rsid w:val="00BC184B"/>
    <w:rsid w:val="00BD0284"/>
    <w:rsid w:val="00BF7FE0"/>
    <w:rsid w:val="00C2199A"/>
    <w:rsid w:val="00C36044"/>
    <w:rsid w:val="00C569D6"/>
    <w:rsid w:val="00C57670"/>
    <w:rsid w:val="00C77C66"/>
    <w:rsid w:val="00C85682"/>
    <w:rsid w:val="00C86993"/>
    <w:rsid w:val="00C87496"/>
    <w:rsid w:val="00C94C4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62C7D"/>
    <w:rsid w:val="00D8073F"/>
    <w:rsid w:val="00D86BF0"/>
    <w:rsid w:val="00DB7EAE"/>
    <w:rsid w:val="00DE6DA8"/>
    <w:rsid w:val="00E012B3"/>
    <w:rsid w:val="00E22108"/>
    <w:rsid w:val="00E51079"/>
    <w:rsid w:val="00E51920"/>
    <w:rsid w:val="00E56C43"/>
    <w:rsid w:val="00E64120"/>
    <w:rsid w:val="00E660A1"/>
    <w:rsid w:val="00E66ADA"/>
    <w:rsid w:val="00E72AE9"/>
    <w:rsid w:val="00E83EAC"/>
    <w:rsid w:val="00E851C4"/>
    <w:rsid w:val="00E85D1E"/>
    <w:rsid w:val="00EA3A23"/>
    <w:rsid w:val="00EB096F"/>
    <w:rsid w:val="00EE14CB"/>
    <w:rsid w:val="00EE6600"/>
    <w:rsid w:val="00EE6F42"/>
    <w:rsid w:val="00F055F1"/>
    <w:rsid w:val="00F24349"/>
    <w:rsid w:val="00F42A59"/>
    <w:rsid w:val="00F45830"/>
    <w:rsid w:val="00F47CF7"/>
    <w:rsid w:val="00F610AF"/>
    <w:rsid w:val="00FA2C5A"/>
    <w:rsid w:val="00FC2D11"/>
    <w:rsid w:val="00FC6230"/>
    <w:rsid w:val="00FD354F"/>
    <w:rsid w:val="00FE7C5F"/>
    <w:rsid w:val="00FF61E7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FF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919FA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E66AD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ICEnormal"/>
    <w:link w:val="Heading2Char"/>
    <w:qFormat/>
    <w:rsid w:val="00E66ADA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ICEnormal"/>
    <w:link w:val="Heading3Char"/>
    <w:qFormat/>
    <w:rsid w:val="00E66AD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ICEnormal"/>
    <w:link w:val="Heading4Char"/>
    <w:qFormat/>
    <w:rsid w:val="00E66ADA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E66AD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A5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C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66ADA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sz w:val="24"/>
      <w:szCs w:val="28"/>
      <w:lang w:eastAsia="en-US"/>
    </w:rPr>
  </w:style>
  <w:style w:type="paragraph" w:styleId="Caption">
    <w:name w:val="caption"/>
    <w:basedOn w:val="NICEnormal"/>
    <w:next w:val="NICEnormal"/>
    <w:unhideWhenUsed/>
    <w:qFormat/>
    <w:rsid w:val="00E66ADA"/>
    <w:pPr>
      <w:keepNext/>
      <w:spacing w:after="200"/>
    </w:pPr>
    <w:rPr>
      <w:b/>
      <w:bCs/>
      <w:iCs/>
      <w:szCs w:val="18"/>
    </w:rPr>
  </w:style>
  <w:style w:type="character" w:styleId="Hyperlink">
    <w:name w:val="Hyperlink"/>
    <w:basedOn w:val="DefaultParagraphFont"/>
    <w:uiPriority w:val="99"/>
    <w:unhideWhenUsed/>
    <w:rsid w:val="00E66AD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E66AD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E66AD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E66ADA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Tabletext">
    <w:name w:val="Table text"/>
    <w:basedOn w:val="NICEnormalsinglespacing"/>
    <w:rsid w:val="00E66ADA"/>
    <w:pPr>
      <w:spacing w:after="60"/>
    </w:pPr>
    <w:rPr>
      <w:sz w:val="22"/>
    </w:rPr>
  </w:style>
  <w:style w:type="paragraph" w:customStyle="1" w:styleId="Tablebullet">
    <w:name w:val="Table bullet"/>
    <w:basedOn w:val="Tabletext"/>
    <w:qFormat/>
    <w:rsid w:val="00E66ADA"/>
    <w:pPr>
      <w:numPr>
        <w:numId w:val="40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E66AD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E66ADA"/>
    <w:pPr>
      <w:keepNext/>
    </w:pPr>
    <w:rPr>
      <w:rFonts w:cs="Arial"/>
      <w:bCs w:val="0"/>
      <w:sz w:val="32"/>
      <w:lang w:eastAsia="en-US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  <w:style w:type="paragraph" w:customStyle="1" w:styleId="NICEnormal">
    <w:name w:val="NICE normal"/>
    <w:link w:val="NICEnormalChar"/>
    <w:qFormat/>
    <w:rsid w:val="00E66AD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66ADA"/>
    <w:rPr>
      <w:rFonts w:ascii="Arial" w:hAnsi="Arial"/>
      <w:sz w:val="24"/>
      <w:szCs w:val="24"/>
      <w:lang w:eastAsia="en-US"/>
    </w:rPr>
  </w:style>
  <w:style w:type="paragraph" w:customStyle="1" w:styleId="Guidanceissuedate">
    <w:name w:val="Guidance issue date"/>
    <w:basedOn w:val="Normal"/>
    <w:qFormat/>
    <w:rsid w:val="00E66ADA"/>
    <w:pPr>
      <w:spacing w:after="240" w:line="360" w:lineRule="auto"/>
    </w:pPr>
    <w:rPr>
      <w:rFonts w:ascii="Arial" w:hAnsi="Arial"/>
      <w:lang w:eastAsia="en-US"/>
    </w:rPr>
  </w:style>
  <w:style w:type="paragraph" w:customStyle="1" w:styleId="Title1">
    <w:name w:val="Title 1"/>
    <w:basedOn w:val="Title"/>
    <w:qFormat/>
    <w:rsid w:val="00E66ADA"/>
    <w:pPr>
      <w:keepNext/>
    </w:pPr>
    <w:rPr>
      <w:rFonts w:cs="Arial"/>
      <w:lang w:eastAsia="en-US"/>
    </w:rPr>
  </w:style>
  <w:style w:type="paragraph" w:customStyle="1" w:styleId="Bulletindent1">
    <w:name w:val="Bullet indent 1"/>
    <w:basedOn w:val="NICEnormal"/>
    <w:rsid w:val="00E66ADA"/>
    <w:pPr>
      <w:numPr>
        <w:numId w:val="25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E66ADA"/>
    <w:pPr>
      <w:numPr>
        <w:numId w:val="26"/>
      </w:numPr>
    </w:pPr>
  </w:style>
  <w:style w:type="paragraph" w:customStyle="1" w:styleId="Bulletindent2">
    <w:name w:val="Bullet indent 2"/>
    <w:basedOn w:val="NICEnormal"/>
    <w:rsid w:val="00E66ADA"/>
    <w:pPr>
      <w:numPr>
        <w:ilvl w:val="1"/>
        <w:numId w:val="27"/>
      </w:numPr>
      <w:spacing w:after="0"/>
    </w:pPr>
  </w:style>
  <w:style w:type="paragraph" w:customStyle="1" w:styleId="Bulletindent3">
    <w:name w:val="Bullet indent 3"/>
    <w:basedOn w:val="NICEnormal"/>
    <w:rsid w:val="00E66ADA"/>
    <w:pPr>
      <w:numPr>
        <w:ilvl w:val="2"/>
        <w:numId w:val="28"/>
      </w:numPr>
      <w:spacing w:after="0"/>
    </w:pPr>
  </w:style>
  <w:style w:type="paragraph" w:customStyle="1" w:styleId="Bulletleft1">
    <w:name w:val="Bullet left 1"/>
    <w:basedOn w:val="NICEnormal"/>
    <w:rsid w:val="00E66ADA"/>
    <w:pPr>
      <w:numPr>
        <w:numId w:val="29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E66ADA"/>
    <w:pPr>
      <w:numPr>
        <w:numId w:val="30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E66ADA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E66ADA"/>
    <w:pPr>
      <w:numPr>
        <w:ilvl w:val="1"/>
        <w:numId w:val="31"/>
      </w:numPr>
      <w:spacing w:after="0"/>
    </w:pPr>
  </w:style>
  <w:style w:type="paragraph" w:customStyle="1" w:styleId="Bulletleft3">
    <w:name w:val="Bullet left 3"/>
    <w:basedOn w:val="NICEnormal"/>
    <w:rsid w:val="00E66ADA"/>
    <w:pPr>
      <w:numPr>
        <w:ilvl w:val="2"/>
        <w:numId w:val="32"/>
      </w:numPr>
      <w:spacing w:after="0"/>
    </w:pPr>
  </w:style>
  <w:style w:type="paragraph" w:customStyle="1" w:styleId="Documentissuedate">
    <w:name w:val="Document issue date"/>
    <w:basedOn w:val="Guidanceissuedate"/>
    <w:qFormat/>
    <w:rsid w:val="00E66ADA"/>
  </w:style>
  <w:style w:type="paragraph" w:customStyle="1" w:styleId="NICEnormalsinglespacing">
    <w:name w:val="NICE normal single spacing"/>
    <w:basedOn w:val="NICEnormal"/>
    <w:rsid w:val="00E66ADA"/>
    <w:pPr>
      <w:spacing w:line="240" w:lineRule="auto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E66ADA"/>
    <w:pPr>
      <w:numPr>
        <w:numId w:val="38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E66ADA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E66ADA"/>
    <w:pPr>
      <w:numPr>
        <w:ilvl w:val="1"/>
        <w:numId w:val="38"/>
      </w:numPr>
    </w:pPr>
  </w:style>
  <w:style w:type="character" w:customStyle="1" w:styleId="Numberedheading2Char">
    <w:name w:val="Numbered heading 2 Char"/>
    <w:basedOn w:val="Heading2Char"/>
    <w:link w:val="Numberedheading2"/>
    <w:rsid w:val="00E66ADA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E66ADA"/>
    <w:pPr>
      <w:numPr>
        <w:ilvl w:val="2"/>
        <w:numId w:val="38"/>
      </w:numPr>
    </w:pPr>
  </w:style>
  <w:style w:type="paragraph" w:customStyle="1" w:styleId="Numberedlevel2text">
    <w:name w:val="Numbered level 2 text"/>
    <w:basedOn w:val="Numberedheading2"/>
    <w:rsid w:val="00E66ADA"/>
    <w:pPr>
      <w:spacing w:before="0" w:after="240"/>
    </w:pPr>
    <w:rPr>
      <w:b w:val="0"/>
      <w:sz w:val="24"/>
    </w:rPr>
  </w:style>
  <w:style w:type="paragraph" w:customStyle="1" w:styleId="Numberedlevel3text">
    <w:name w:val="Numbered level 3 text"/>
    <w:basedOn w:val="Numberedheading3"/>
    <w:rsid w:val="00E66ADA"/>
    <w:p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E66ADA"/>
    <w:pPr>
      <w:numPr>
        <w:ilvl w:val="3"/>
        <w:numId w:val="38"/>
      </w:numPr>
    </w:pPr>
  </w:style>
  <w:style w:type="paragraph" w:customStyle="1" w:styleId="Panelbullet1">
    <w:name w:val="Panel bullet 1"/>
    <w:basedOn w:val="ListParagraph"/>
    <w:qFormat/>
    <w:rsid w:val="00E66ADA"/>
    <w:pPr>
      <w:numPr>
        <w:numId w:val="39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E66ADA"/>
    <w:pPr>
      <w:ind w:left="720"/>
      <w:contextualSpacing/>
    </w:pPr>
  </w:style>
  <w:style w:type="paragraph" w:customStyle="1" w:styleId="Panelhyperlink">
    <w:name w:val="Panel hyperlink"/>
    <w:basedOn w:val="NICEnormal"/>
    <w:next w:val="NICEnormal"/>
    <w:qFormat/>
    <w:rsid w:val="00E66ADA"/>
    <w:rPr>
      <w:color w:val="FFFFFF" w:themeColor="backgroun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icato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e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vdprevent.nhs.uk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3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2023-12-13T10:54:00Z</dcterms:created>
  <dcterms:modified xsi:type="dcterms:W3CDTF">2023-12-13T10:54:00Z</dcterms:modified>
</cp:coreProperties>
</file>