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B6D8A" w:rsidRDefault="00697B97" w:rsidP="007B6D8A">
      <w:pPr>
        <w:pStyle w:val="Heading1"/>
        <w:jc w:val="center"/>
        <w:rPr>
          <w:sz w:val="32"/>
        </w:rPr>
      </w:pPr>
      <w:r w:rsidRPr="007B6D8A">
        <w:rPr>
          <w:sz w:val="32"/>
        </w:rPr>
        <w:t xml:space="preserve">NICE </w:t>
      </w:r>
      <w:r w:rsidR="00126C3F" w:rsidRPr="007B6D8A">
        <w:rPr>
          <w:sz w:val="32"/>
        </w:rPr>
        <w:t>indicator guidance</w:t>
      </w:r>
    </w:p>
    <w:p w14:paraId="47C90B13" w14:textId="6EBAE047" w:rsidR="00B8026E" w:rsidRDefault="00B8026E" w:rsidP="00EE354D">
      <w:pPr>
        <w:pStyle w:val="Paragraph"/>
      </w:pPr>
      <w:r>
        <w:t>Date first published on NICE menu:</w:t>
      </w:r>
      <w:r w:rsidR="00DF637B">
        <w:t xml:space="preserve"> </w:t>
      </w:r>
      <w:r w:rsidR="00824B4C">
        <w:t>August 201</w:t>
      </w:r>
      <w:r w:rsidR="00D62D1F">
        <w:t>6</w:t>
      </w:r>
    </w:p>
    <w:p w14:paraId="06BAB3FE" w14:textId="4C0EEB35" w:rsidR="00B8026E" w:rsidRPr="00126C3F" w:rsidRDefault="00B8026E" w:rsidP="00EE354D">
      <w:pPr>
        <w:pStyle w:val="Paragraph"/>
        <w:rPr>
          <w:b/>
        </w:rPr>
      </w:pPr>
      <w:r>
        <w:t>Last update</w:t>
      </w:r>
      <w:r w:rsidRPr="00B8026E">
        <w:t xml:space="preserve">: </w:t>
      </w:r>
      <w:r w:rsidR="00B72850">
        <w:t>August</w:t>
      </w:r>
      <w:r w:rsidR="003B56D7">
        <w:t xml:space="preserve"> 2021</w:t>
      </w:r>
    </w:p>
    <w:p w14:paraId="6107852F" w14:textId="2C4AE216" w:rsidR="006F0A86" w:rsidRDefault="006F0A86" w:rsidP="007B6D8A">
      <w:pPr>
        <w:pStyle w:val="Heading2"/>
      </w:pPr>
      <w:r w:rsidRPr="00126C3F">
        <w:t xml:space="preserve">Indicator </w:t>
      </w:r>
      <w:r w:rsidR="00C6459D">
        <w:t>NM27</w:t>
      </w:r>
    </w:p>
    <w:p w14:paraId="0A6C169D" w14:textId="652A799F" w:rsidR="00611A1D" w:rsidRPr="00611A1D" w:rsidRDefault="00C6459D" w:rsidP="00611A1D">
      <w:pPr>
        <w:pStyle w:val="Paragraph"/>
      </w:pPr>
      <w:r w:rsidRPr="00C6459D">
        <w:t>The percentage of patients newly diagnosed with diabetes, on the register, in the preceding 1 April to 31 March who have a record of being referred to a structured education programme within 9 months after entry on to the diabetes register.</w:t>
      </w:r>
    </w:p>
    <w:p w14:paraId="18778417" w14:textId="333A8E39" w:rsidR="00806B97" w:rsidRDefault="00806B97" w:rsidP="007B6D8A">
      <w:pPr>
        <w:pStyle w:val="Heading2"/>
      </w:pPr>
      <w:r w:rsidRPr="00806B97">
        <w:t xml:space="preserve">Indicator type </w:t>
      </w:r>
    </w:p>
    <w:p w14:paraId="1F16E37E" w14:textId="54E70293" w:rsidR="00F6535D" w:rsidRPr="00C6459D" w:rsidRDefault="001C31E9" w:rsidP="008E7A29">
      <w:pPr>
        <w:pStyle w:val="Paragraph"/>
      </w:pPr>
      <w:r w:rsidRPr="00C6459D">
        <w:t>General practice indicator suitable for use in the Quality and Outcomes Framework.</w:t>
      </w:r>
    </w:p>
    <w:p w14:paraId="5CBA37E8" w14:textId="6F58C6BE" w:rsidR="006F0A86" w:rsidRDefault="006F0A86" w:rsidP="007B6D8A">
      <w:pPr>
        <w:pStyle w:val="Heading2"/>
        <w:rPr>
          <w:i/>
        </w:rPr>
      </w:pPr>
      <w:r w:rsidRPr="00011273">
        <w:t>Rationale</w:t>
      </w:r>
    </w:p>
    <w:p w14:paraId="6EFFAA47" w14:textId="74FE23AB" w:rsidR="006F0A86" w:rsidRDefault="00C6459D" w:rsidP="00C6459D">
      <w:pPr>
        <w:pStyle w:val="Paragraph"/>
      </w:pPr>
      <w:r>
        <w:t xml:space="preserve">Diabetes is a progressive long-term medical condition that is predominantly managed by the person with diabetes and/or their carer as part of their daily life. Structured educational programmes have been designed not only to improve people’s knowledge and skills, but also to help motivate and sustain people with both type 1 and type 2 diabetes in taking control of their condition and in delivering effective self-management. Structured education should be offered preferably through a group education programme, to every person </w:t>
      </w:r>
      <w:r w:rsidR="00CA5963">
        <w:t xml:space="preserve">with diabetes </w:t>
      </w:r>
      <w:r>
        <w:t>and/or their carer from the time of diagnosis, with annual reinforcement and review.</w:t>
      </w:r>
    </w:p>
    <w:p w14:paraId="69D4A75D" w14:textId="00B0ED6D" w:rsidR="00D141B1" w:rsidRDefault="00D141B1" w:rsidP="007B6D8A">
      <w:pPr>
        <w:pStyle w:val="Heading2"/>
        <w:rPr>
          <w:i/>
        </w:rPr>
      </w:pPr>
      <w:r w:rsidRPr="001F2B33">
        <w:t xml:space="preserve">Source guidance </w:t>
      </w:r>
    </w:p>
    <w:p w14:paraId="1E259BBD" w14:textId="15FEA307" w:rsidR="00D141B1" w:rsidRDefault="00FA6CD8" w:rsidP="00EE354D">
      <w:pPr>
        <w:pStyle w:val="Paragraph"/>
      </w:pPr>
      <w:hyperlink r:id="rId7" w:history="1">
        <w:r w:rsidR="007236FF">
          <w:rPr>
            <w:rStyle w:val="Hyperlink"/>
          </w:rPr>
          <w:t>Type 1 diabetes in adults: diagnosis and management. NICE guideline NG17</w:t>
        </w:r>
      </w:hyperlink>
      <w:r w:rsidR="00C6459D">
        <w:rPr>
          <w:rStyle w:val="Hyperlink"/>
        </w:rPr>
        <w:t xml:space="preserve">. </w:t>
      </w:r>
      <w:r w:rsidR="00C6459D">
        <w:t>(201</w:t>
      </w:r>
      <w:r w:rsidR="003B56D7">
        <w:t>5, updated 2021</w:t>
      </w:r>
      <w:r w:rsidR="00C6459D">
        <w:t xml:space="preserve">) </w:t>
      </w:r>
      <w:r w:rsidR="00C6459D" w:rsidRPr="00BD6253">
        <w:t>recommendation</w:t>
      </w:r>
      <w:r w:rsidR="003B56D7">
        <w:t>s</w:t>
      </w:r>
      <w:r w:rsidR="00C6459D">
        <w:t xml:space="preserve"> 1.3.1</w:t>
      </w:r>
      <w:r w:rsidR="003B56D7">
        <w:t>, 1.3.2</w:t>
      </w:r>
      <w:r w:rsidR="007236FF">
        <w:t xml:space="preserve"> and</w:t>
      </w:r>
      <w:r w:rsidR="003B56D7">
        <w:t xml:space="preserve"> 1.3.4</w:t>
      </w:r>
    </w:p>
    <w:p w14:paraId="6AF2D1B1" w14:textId="78A0F55F" w:rsidR="004C4ABD" w:rsidRPr="00BD6253" w:rsidRDefault="00FA6CD8" w:rsidP="00EE354D">
      <w:pPr>
        <w:pStyle w:val="Paragraph"/>
      </w:pPr>
      <w:hyperlink r:id="rId8" w:history="1">
        <w:r w:rsidR="00C6459D" w:rsidRPr="00C40B33">
          <w:rPr>
            <w:rStyle w:val="Hyperlink"/>
          </w:rPr>
          <w:t>Type 2 diabetes in adults. NICE guideline NG28</w:t>
        </w:r>
      </w:hyperlink>
      <w:r w:rsidR="00C6459D">
        <w:t xml:space="preserve"> (2015</w:t>
      </w:r>
      <w:r w:rsidR="003B56D7">
        <w:t>, updated 2020</w:t>
      </w:r>
      <w:r w:rsidR="00C6459D">
        <w:t>) recommendations 1.2.1 and 1.2.2</w:t>
      </w:r>
    </w:p>
    <w:p w14:paraId="05AD89C4" w14:textId="77777777" w:rsidR="00D141B1" w:rsidRDefault="00D141B1" w:rsidP="007B6D8A">
      <w:pPr>
        <w:pStyle w:val="Heading2"/>
      </w:pPr>
      <w:r>
        <w:t xml:space="preserve">Specification </w:t>
      </w:r>
    </w:p>
    <w:p w14:paraId="4B62A813" w14:textId="15F2190D" w:rsidR="0009195D" w:rsidRDefault="00D141B1" w:rsidP="00EE354D">
      <w:pPr>
        <w:pStyle w:val="Paragraph"/>
      </w:pPr>
      <w:r>
        <w:t xml:space="preserve">Numerator: </w:t>
      </w:r>
      <w:r w:rsidR="0009195D" w:rsidRPr="00C6459D">
        <w:t xml:space="preserve">The number of patients in the denominator in the preceding </w:t>
      </w:r>
      <w:r w:rsidR="00C6459D" w:rsidRPr="00C6459D">
        <w:t>1 April to 31 March</w:t>
      </w:r>
      <w:r w:rsidR="0009195D" w:rsidRPr="00C6459D">
        <w:t xml:space="preserve"> </w:t>
      </w:r>
      <w:r w:rsidR="00C6459D" w:rsidRPr="00C6459D">
        <w:t>who have a record of being referred to a structured education programme within 9 months after entry on to the diabetes register</w:t>
      </w:r>
      <w:r w:rsidR="0009195D" w:rsidRPr="00C6459D">
        <w:t>.</w:t>
      </w:r>
      <w:r w:rsidR="0009195D" w:rsidRPr="0009195D">
        <w:t xml:space="preserve"> </w:t>
      </w:r>
    </w:p>
    <w:p w14:paraId="06B62F8F" w14:textId="58F8C0C3" w:rsidR="00D141B1" w:rsidRDefault="00D141B1" w:rsidP="00EE354D">
      <w:pPr>
        <w:pStyle w:val="Paragraph"/>
      </w:pPr>
      <w:r>
        <w:t xml:space="preserve">Denominator: </w:t>
      </w:r>
      <w:r w:rsidR="002B0BA6" w:rsidRPr="00C6459D">
        <w:t xml:space="preserve">The number of </w:t>
      </w:r>
      <w:r w:rsidR="00C6459D" w:rsidRPr="00C6459D">
        <w:t xml:space="preserve">newly diagnosed </w:t>
      </w:r>
      <w:r w:rsidR="002B0BA6" w:rsidRPr="00C6459D">
        <w:t>patients on the diabetes register</w:t>
      </w:r>
      <w:r w:rsidR="00C6459D" w:rsidRPr="00C6459D">
        <w:t>.</w:t>
      </w:r>
    </w:p>
    <w:p w14:paraId="04501E11" w14:textId="66A74F18" w:rsidR="0009195D" w:rsidRDefault="0009195D" w:rsidP="00EE354D">
      <w:pPr>
        <w:pStyle w:val="Paragraph"/>
      </w:pPr>
      <w:r>
        <w:t>Calculation</w:t>
      </w:r>
      <w:r w:rsidRPr="00C6459D">
        <w:t>: (Numerator/denominator)*100</w:t>
      </w:r>
    </w:p>
    <w:p w14:paraId="7ACE4052" w14:textId="76D2604E" w:rsidR="00B32D89" w:rsidRDefault="00D141B1" w:rsidP="00A13BF2">
      <w:pPr>
        <w:pStyle w:val="Paragraph"/>
      </w:pPr>
      <w:r>
        <w:t xml:space="preserve">Exclusions: </w:t>
      </w:r>
      <w:r w:rsidR="002000E1">
        <w:rPr>
          <w:rFonts w:cs="Arial"/>
          <w:szCs w:val="20"/>
        </w:rPr>
        <w:t>None</w:t>
      </w:r>
      <w:r w:rsidR="00B32D89" w:rsidRPr="008631DB">
        <w:rPr>
          <w:rFonts w:cs="Arial"/>
          <w:szCs w:val="20"/>
        </w:rPr>
        <w:t>.</w:t>
      </w:r>
    </w:p>
    <w:p w14:paraId="2AA3E046" w14:textId="0C08A964" w:rsidR="002000E1" w:rsidRDefault="002000E1" w:rsidP="007B6D8A">
      <w:pPr>
        <w:pStyle w:val="Heading2"/>
        <w:rPr>
          <w:highlight w:val="lightGray"/>
        </w:rPr>
      </w:pPr>
      <w:r>
        <w:t>Minimum population</w:t>
      </w:r>
      <w:r w:rsidRPr="002000E1">
        <w:t xml:space="preserve">: </w:t>
      </w:r>
      <w:r w:rsidRPr="00A13BF2">
        <w:t xml:space="preserve">The indicator would be appropriate to assess performance at individual general practice level. </w:t>
      </w:r>
    </w:p>
    <w:p w14:paraId="129ECA00" w14:textId="65691789" w:rsidR="0009195D" w:rsidRPr="0009195D" w:rsidRDefault="0009195D" w:rsidP="007B6D8A">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3D56"/>
    <w:multiLevelType w:val="hybridMultilevel"/>
    <w:tmpl w:val="82902CC0"/>
    <w:lvl w:ilvl="0" w:tplc="3F32DD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DA3C85"/>
    <w:multiLevelType w:val="hybridMultilevel"/>
    <w:tmpl w:val="F43AE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9"/>
  </w:num>
  <w:num w:numId="27">
    <w:abstractNumId w:val="27"/>
  </w:num>
  <w:num w:numId="28">
    <w:abstractNumId w:val="31"/>
  </w:num>
  <w:num w:numId="29">
    <w:abstractNumId w:val="14"/>
  </w:num>
  <w:num w:numId="30">
    <w:abstractNumId w:val="15"/>
  </w:num>
  <w:num w:numId="31">
    <w:abstractNumId w:val="11"/>
  </w:num>
  <w:num w:numId="32">
    <w:abstractNumId w:val="25"/>
  </w:num>
  <w:num w:numId="33">
    <w:abstractNumId w:val="30"/>
  </w:num>
  <w:num w:numId="34">
    <w:abstractNumId w:val="19"/>
  </w:num>
  <w:num w:numId="35">
    <w:abstractNumId w:val="10"/>
  </w:num>
  <w:num w:numId="36">
    <w:abstractNumId w:val="22"/>
  </w:num>
  <w:num w:numId="37">
    <w:abstractNumId w:val="23"/>
  </w:num>
  <w:num w:numId="38">
    <w:abstractNumId w:val="21"/>
  </w:num>
  <w:num w:numId="39">
    <w:abstractNumId w:val="2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21A"/>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3634"/>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00E1"/>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39DA"/>
    <w:rsid w:val="002E5744"/>
    <w:rsid w:val="002F25FC"/>
    <w:rsid w:val="002F6A33"/>
    <w:rsid w:val="00305DF6"/>
    <w:rsid w:val="00306A73"/>
    <w:rsid w:val="00311ED0"/>
    <w:rsid w:val="00312208"/>
    <w:rsid w:val="00312B41"/>
    <w:rsid w:val="00313297"/>
    <w:rsid w:val="0031548F"/>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B56D7"/>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56F4E"/>
    <w:rsid w:val="006628FD"/>
    <w:rsid w:val="00662ABE"/>
    <w:rsid w:val="0066703C"/>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36FF"/>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B6D8A"/>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4B4C"/>
    <w:rsid w:val="00825E9B"/>
    <w:rsid w:val="00826160"/>
    <w:rsid w:val="00831CA2"/>
    <w:rsid w:val="008329AB"/>
    <w:rsid w:val="008341C5"/>
    <w:rsid w:val="008342B1"/>
    <w:rsid w:val="008355CB"/>
    <w:rsid w:val="00836C23"/>
    <w:rsid w:val="00850ED2"/>
    <w:rsid w:val="008541A5"/>
    <w:rsid w:val="00857BAA"/>
    <w:rsid w:val="00861B92"/>
    <w:rsid w:val="008631DB"/>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3BF2"/>
    <w:rsid w:val="00A15A1F"/>
    <w:rsid w:val="00A26634"/>
    <w:rsid w:val="00A273A6"/>
    <w:rsid w:val="00A319F2"/>
    <w:rsid w:val="00A3325A"/>
    <w:rsid w:val="00A36A8D"/>
    <w:rsid w:val="00A36C84"/>
    <w:rsid w:val="00A421A8"/>
    <w:rsid w:val="00A43013"/>
    <w:rsid w:val="00A47556"/>
    <w:rsid w:val="00A52C72"/>
    <w:rsid w:val="00A547C9"/>
    <w:rsid w:val="00A56CA2"/>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32D89"/>
    <w:rsid w:val="00B4245E"/>
    <w:rsid w:val="00B5431F"/>
    <w:rsid w:val="00B54674"/>
    <w:rsid w:val="00B54C74"/>
    <w:rsid w:val="00B55000"/>
    <w:rsid w:val="00B5550A"/>
    <w:rsid w:val="00B6011C"/>
    <w:rsid w:val="00B61BE4"/>
    <w:rsid w:val="00B72850"/>
    <w:rsid w:val="00B747F1"/>
    <w:rsid w:val="00B77578"/>
    <w:rsid w:val="00B8026E"/>
    <w:rsid w:val="00B82792"/>
    <w:rsid w:val="00B923E5"/>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0B33"/>
    <w:rsid w:val="00C42C69"/>
    <w:rsid w:val="00C46D9D"/>
    <w:rsid w:val="00C4726C"/>
    <w:rsid w:val="00C478C4"/>
    <w:rsid w:val="00C625B6"/>
    <w:rsid w:val="00C6459D"/>
    <w:rsid w:val="00C66A0A"/>
    <w:rsid w:val="00C67481"/>
    <w:rsid w:val="00C80100"/>
    <w:rsid w:val="00C80EC7"/>
    <w:rsid w:val="00C8355F"/>
    <w:rsid w:val="00C8732C"/>
    <w:rsid w:val="00C952C7"/>
    <w:rsid w:val="00C96411"/>
    <w:rsid w:val="00CA2F61"/>
    <w:rsid w:val="00CA5963"/>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2D1F"/>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3C69"/>
    <w:rsid w:val="00DD4B1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356A"/>
    <w:rsid w:val="00F85171"/>
    <w:rsid w:val="00F9515E"/>
    <w:rsid w:val="00F9741E"/>
    <w:rsid w:val="00FA01FB"/>
    <w:rsid w:val="00FA09FA"/>
    <w:rsid w:val="00FA152E"/>
    <w:rsid w:val="00FA2C5A"/>
    <w:rsid w:val="00FA5251"/>
    <w:rsid w:val="00FA6CD8"/>
    <w:rsid w:val="00FB4668"/>
    <w:rsid w:val="00FB5253"/>
    <w:rsid w:val="00FC25A2"/>
    <w:rsid w:val="00FC2D11"/>
    <w:rsid w:val="00FC3A0E"/>
    <w:rsid w:val="00FC56C8"/>
    <w:rsid w:val="00FC60A0"/>
    <w:rsid w:val="00FC6230"/>
    <w:rsid w:val="00FE5504"/>
    <w:rsid w:val="00FE57F6"/>
    <w:rsid w:val="00FF4E14"/>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7B6D8A"/>
    <w:pPr>
      <w:keepNext/>
      <w:spacing w:before="240" w:after="60"/>
      <w:outlineLvl w:val="1"/>
    </w:pPr>
    <w:rPr>
      <w:rFonts w:ascii="Arial" w:hAnsi="Arial"/>
      <w:b/>
      <w:bCs/>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7B6D8A"/>
    <w:rPr>
      <w:rFonts w:ascii="Arial" w:hAnsi="Arial"/>
      <w:b/>
      <w:bCs/>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713043">
      <w:bodyDiv w:val="1"/>
      <w:marLeft w:val="0"/>
      <w:marRight w:val="0"/>
      <w:marTop w:val="0"/>
      <w:marBottom w:val="0"/>
      <w:divBdr>
        <w:top w:val="none" w:sz="0" w:space="0" w:color="auto"/>
        <w:left w:val="none" w:sz="0" w:space="0" w:color="auto"/>
        <w:bottom w:val="none" w:sz="0" w:space="0" w:color="auto"/>
        <w:right w:val="none" w:sz="0" w:space="0" w:color="auto"/>
      </w:divBdr>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3" Type="http://schemas.openxmlformats.org/officeDocument/2006/relationships/settings" Target="settings.xml"/><Relationship Id="rId7" Type="http://schemas.openxmlformats.org/officeDocument/2006/relationships/hyperlink" Target="https://www.nice.org.uk/guidance/ng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2021-08-24T11:18:00Z</dcterms:created>
  <dcterms:modified xsi:type="dcterms:W3CDTF">2021-08-31T10:28:00Z</dcterms:modified>
</cp:coreProperties>
</file>