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13BADE4C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A75F54">
        <w:t>August 2011</w:t>
      </w:r>
    </w:p>
    <w:p w14:paraId="06BAB3FE" w14:textId="30168E10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5A044A">
        <w:t>November 2021</w:t>
      </w:r>
    </w:p>
    <w:p w14:paraId="6107852F" w14:textId="6B122FEB" w:rsidR="006F0A86" w:rsidRDefault="006F0A86" w:rsidP="00126C3F">
      <w:pPr>
        <w:pStyle w:val="Heading1"/>
      </w:pPr>
      <w:r w:rsidRPr="00126C3F">
        <w:t xml:space="preserve">Indicator </w:t>
      </w:r>
      <w:r w:rsidR="00A75F54">
        <w:t>NM38</w:t>
      </w:r>
    </w:p>
    <w:p w14:paraId="0A6C169D" w14:textId="603EDBAD" w:rsidR="00611A1D" w:rsidRPr="00611A1D" w:rsidRDefault="00A75F54" w:rsidP="00611A1D">
      <w:pPr>
        <w:pStyle w:val="Paragraph"/>
      </w:pPr>
      <w:r>
        <w:t>The percentage of patients with any or any combination of the following conditions: CHD, PAD, stroke or TIA, hypertension, diabetes, COPD, CKD, asthma, schizophrenia, bipolar affective disorder or other psychoses whose notes record smoking status in the preceding 12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42C3F8EC" w:rsidR="00F6535D" w:rsidRPr="008B2264" w:rsidRDefault="001C31E9" w:rsidP="008E7A29">
      <w:pPr>
        <w:pStyle w:val="Paragraph"/>
      </w:pPr>
      <w:r w:rsidRPr="008B2264">
        <w:t>General practice indicator suitable for use in the Quality and Outcomes Framework</w:t>
      </w:r>
      <w:r w:rsidR="005C76CF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4D74926F" w14:textId="4BCA09AF" w:rsidR="000822F0" w:rsidRDefault="008B2264" w:rsidP="006E6A90">
      <w:pPr>
        <w:pStyle w:val="Paragraph"/>
      </w:pPr>
      <w:r w:rsidRPr="008B2264">
        <w:t>This indicator measures the percentage of people with CHD, PAD, stroke or</w:t>
      </w:r>
      <w:r>
        <w:rPr>
          <w:b/>
          <w:bCs/>
        </w:rPr>
        <w:t xml:space="preserve"> </w:t>
      </w:r>
      <w:r w:rsidRPr="008B2264">
        <w:t>TIA, hypertension, diabetes, COPD, CKD, asthma, schizophrenia, bipolar</w:t>
      </w:r>
      <w:r>
        <w:rPr>
          <w:b/>
          <w:bCs/>
        </w:rPr>
        <w:t xml:space="preserve"> </w:t>
      </w:r>
      <w:r w:rsidRPr="008B2264">
        <w:t xml:space="preserve">affective disorder or other psychoses </w:t>
      </w:r>
      <w:r w:rsidR="006E6A90">
        <w:t xml:space="preserve">whose notes </w:t>
      </w:r>
      <w:r w:rsidRPr="008B2264">
        <w:t>record smok</w:t>
      </w:r>
      <w:r w:rsidR="006E6A90">
        <w:t>ing status</w:t>
      </w:r>
      <w:r w:rsidRPr="008B2264">
        <w:t xml:space="preserve"> within the previous 12 months. </w:t>
      </w:r>
    </w:p>
    <w:p w14:paraId="2BCE9AB2" w14:textId="4B6E986B" w:rsidR="008B2264" w:rsidRDefault="008B2264" w:rsidP="006E6A90">
      <w:pPr>
        <w:pStyle w:val="Paragraph"/>
        <w:rPr>
          <w:b/>
          <w:bCs/>
        </w:rPr>
      </w:pPr>
      <w:r w:rsidRPr="008B2264">
        <w:t>NICE</w:t>
      </w:r>
      <w:r w:rsidR="002D32CB">
        <w:rPr>
          <w:b/>
          <w:bCs/>
        </w:rPr>
        <w:t xml:space="preserve"> </w:t>
      </w:r>
      <w:r w:rsidRPr="008B2264">
        <w:t>and NICE-accredited guidance recommends smoking cessation treatment</w:t>
      </w:r>
      <w:r w:rsidR="002D32CB">
        <w:rPr>
          <w:b/>
          <w:bCs/>
        </w:rPr>
        <w:t xml:space="preserve"> </w:t>
      </w:r>
      <w:r w:rsidRPr="008B2264">
        <w:t>and support for people with the conditions outlined in the indicator wording.</w:t>
      </w:r>
      <w:r w:rsidR="002D32CB">
        <w:rPr>
          <w:b/>
          <w:bCs/>
        </w:rPr>
        <w:t xml:space="preserve"> </w:t>
      </w:r>
      <w:r w:rsidRPr="008B2264">
        <w:t>People with these conditions face increased risks from smoking (for example,</w:t>
      </w:r>
      <w:r w:rsidR="002D32CB">
        <w:rPr>
          <w:b/>
          <w:bCs/>
        </w:rPr>
        <w:t xml:space="preserve"> </w:t>
      </w:r>
      <w:r w:rsidRPr="008B2264">
        <w:t>increased risk of cardiovascular disease) compared with the general</w:t>
      </w:r>
      <w:r>
        <w:rPr>
          <w:b/>
          <w:bCs/>
        </w:rPr>
        <w:t xml:space="preserve"> </w:t>
      </w:r>
      <w:r w:rsidR="002D32CB" w:rsidRPr="005C76CF">
        <w:t>p</w:t>
      </w:r>
      <w:r w:rsidRPr="008B2264">
        <w:t>opulation. In addition, there is evidence that people who smoke are receptive</w:t>
      </w:r>
      <w:r w:rsidR="002D32CB">
        <w:rPr>
          <w:b/>
          <w:bCs/>
        </w:rPr>
        <w:t xml:space="preserve"> </w:t>
      </w:r>
      <w:r w:rsidRPr="008B2264">
        <w:t>to smoking cessation advice in all healthcare settings and that healthcare</w:t>
      </w:r>
      <w:r w:rsidR="002D32CB">
        <w:rPr>
          <w:b/>
          <w:bCs/>
        </w:rPr>
        <w:t xml:space="preserve"> </w:t>
      </w:r>
      <w:r w:rsidRPr="008B2264">
        <w:t>professionals are effective in helping people to stop smoking.</w:t>
      </w:r>
      <w:r w:rsidR="000822F0">
        <w:t xml:space="preserve"> I</w:t>
      </w:r>
      <w:r w:rsidR="000822F0" w:rsidRPr="000822F0">
        <w:t xml:space="preserve">t is therefore important that people with </w:t>
      </w:r>
      <w:r w:rsidR="000822F0">
        <w:t xml:space="preserve">these conditions </w:t>
      </w:r>
      <w:r w:rsidR="000822F0" w:rsidRPr="000822F0">
        <w:t>who smoke are identified, so that they can be offered smoking cessation treatment and support.</w:t>
      </w:r>
    </w:p>
    <w:p w14:paraId="69D4A75D" w14:textId="5F4D1940" w:rsidR="00D141B1" w:rsidRDefault="00D141B1" w:rsidP="008B2264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08BBEDB2" w14:textId="7C25FF2B" w:rsidR="006E6A90" w:rsidRPr="00897D98" w:rsidRDefault="000C53A1" w:rsidP="006E6A90">
      <w:pPr>
        <w:pStyle w:val="Paragraph"/>
      </w:pPr>
      <w:hyperlink r:id="rId7" w:history="1">
        <w:r>
          <w:rPr>
            <w:rStyle w:val="Hyperlink"/>
          </w:rPr>
          <w:t>Tobacco: preventing uptake, promoting quitting and treating dependence. NICE guideline NG209</w:t>
        </w:r>
      </w:hyperlink>
      <w:r w:rsidR="005A044A">
        <w:t xml:space="preserve"> (2021), recommendations 1.11.1</w:t>
      </w:r>
      <w:r>
        <w:t xml:space="preserve"> and</w:t>
      </w:r>
      <w:r w:rsidR="005A044A">
        <w:t xml:space="preserve"> 1.11.6.</w:t>
      </w:r>
      <w:r w:rsidR="006E6A90" w:rsidRPr="00897D98">
        <w:t xml:space="preserve"> </w:t>
      </w:r>
    </w:p>
    <w:p w14:paraId="62CC5758" w14:textId="30BA6D4D" w:rsidR="006E6A90" w:rsidRDefault="000C53A1" w:rsidP="006E6A90">
      <w:pPr>
        <w:pStyle w:val="NICEnormal"/>
        <w:rPr>
          <w:highlight w:val="lightGray"/>
        </w:rPr>
      </w:pPr>
      <w:hyperlink r:id="rId8" w:history="1">
        <w:r w:rsidR="000000E3">
          <w:rPr>
            <w:rStyle w:val="Hyperlink"/>
            <w:lang w:val="en-GB"/>
          </w:rPr>
          <w:t>Type 1 diabetes in adults: diagnosis and management. NICE guideline NG17</w:t>
        </w:r>
      </w:hyperlink>
      <w:r w:rsidR="006E6A90" w:rsidRPr="00897D98">
        <w:rPr>
          <w:lang w:val="en-GB"/>
        </w:rPr>
        <w:t xml:space="preserve"> (2015), recommendations 1.1.6 and 1.13.2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096D4F1C" w:rsidR="0009195D" w:rsidRDefault="00D141B1" w:rsidP="00EE354D">
      <w:pPr>
        <w:pStyle w:val="Paragraph"/>
      </w:pPr>
      <w:r>
        <w:t>Numerator</w:t>
      </w:r>
      <w:r w:rsidRPr="006E6A90">
        <w:t xml:space="preserve">: </w:t>
      </w:r>
      <w:r w:rsidR="0009195D" w:rsidRPr="006E6A90">
        <w:t xml:space="preserve">The number of patients in the </w:t>
      </w:r>
      <w:r w:rsidR="006E6A90">
        <w:t>denominator whose notes record smoking status in the preceding 12 months</w:t>
      </w:r>
      <w:r w:rsidR="0009195D">
        <w:t>.</w:t>
      </w:r>
      <w:r w:rsidR="0009195D" w:rsidRPr="0009195D">
        <w:t xml:space="preserve"> </w:t>
      </w:r>
    </w:p>
    <w:p w14:paraId="06B62F8F" w14:textId="52C143D2" w:rsidR="00D141B1" w:rsidRDefault="00D141B1" w:rsidP="00EE354D">
      <w:pPr>
        <w:pStyle w:val="Paragraph"/>
      </w:pPr>
      <w:r>
        <w:t>Denominator</w:t>
      </w:r>
      <w:r w:rsidRPr="006E6A90">
        <w:t xml:space="preserve">: </w:t>
      </w:r>
      <w:r w:rsidR="002B0BA6" w:rsidRPr="006E6A90">
        <w:t xml:space="preserve">The number of patients </w:t>
      </w:r>
      <w:r w:rsidR="006E6A90">
        <w:t>with any or any combination of the following conditions: CHD, PAD, stroke or TIA, hypertension, diabetes, COPD, CKD, asthma, schizophrenia, bipolar affective disorder or other psychoses</w:t>
      </w:r>
      <w:r w:rsidR="002B0BA6">
        <w:t>.</w:t>
      </w:r>
    </w:p>
    <w:p w14:paraId="04501E11" w14:textId="44D2A60C" w:rsidR="0009195D" w:rsidRDefault="0009195D" w:rsidP="00EE354D">
      <w:pPr>
        <w:pStyle w:val="Paragraph"/>
      </w:pPr>
      <w:r>
        <w:t>Calculation</w:t>
      </w:r>
      <w:r w:rsidRPr="006E6A90">
        <w:t>: (Numerator/denominator)*100</w:t>
      </w:r>
    </w:p>
    <w:p w14:paraId="200701E0" w14:textId="41B045C8" w:rsidR="00D141B1" w:rsidRDefault="00D141B1" w:rsidP="00EE354D">
      <w:pPr>
        <w:pStyle w:val="Paragraph"/>
      </w:pPr>
      <w:r>
        <w:t xml:space="preserve">Exclusions: </w:t>
      </w:r>
      <w:r w:rsidR="00E32562">
        <w:t>Patients</w:t>
      </w:r>
      <w:r w:rsidR="00E32562" w:rsidRPr="00E32562">
        <w:t xml:space="preserve"> for whom smoking quality indicator care was unsuitable in the 12 months leading up to and including the payment period end date</w:t>
      </w:r>
      <w:r w:rsidR="00E32562">
        <w:t>.</w:t>
      </w:r>
    </w:p>
    <w:p w14:paraId="2271D33D" w14:textId="66327E85" w:rsidR="00C80127" w:rsidRDefault="00C80127" w:rsidP="00EE354D">
      <w:pPr>
        <w:pStyle w:val="Paragraph"/>
      </w:pPr>
      <w:r w:rsidRPr="00C80127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42F50195" w:rsidR="00245B12" w:rsidRPr="00EA7F52" w:rsidRDefault="00D141B1" w:rsidP="00D141B1">
    <w:pPr>
      <w:pStyle w:val="Footer"/>
    </w:pPr>
    <w:r>
      <w:t xml:space="preserve">NICE indicator guidance: </w:t>
    </w:r>
    <w:r w:rsidR="008B2264">
      <w:t>NM38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64D16"/>
    <w:multiLevelType w:val="hybridMultilevel"/>
    <w:tmpl w:val="2C1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8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24"/>
  </w:num>
  <w:num w:numId="25">
    <w:abstractNumId w:val="21"/>
  </w:num>
  <w:num w:numId="26">
    <w:abstractNumId w:val="29"/>
  </w:num>
  <w:num w:numId="27">
    <w:abstractNumId w:val="28"/>
  </w:num>
  <w:num w:numId="28">
    <w:abstractNumId w:val="31"/>
  </w:num>
  <w:num w:numId="29">
    <w:abstractNumId w:val="15"/>
  </w:num>
  <w:num w:numId="30">
    <w:abstractNumId w:val="16"/>
  </w:num>
  <w:num w:numId="31">
    <w:abstractNumId w:val="11"/>
  </w:num>
  <w:num w:numId="32">
    <w:abstractNumId w:val="26"/>
  </w:num>
  <w:num w:numId="33">
    <w:abstractNumId w:val="30"/>
  </w:num>
  <w:num w:numId="34">
    <w:abstractNumId w:val="20"/>
  </w:num>
  <w:num w:numId="35">
    <w:abstractNumId w:val="10"/>
  </w:num>
  <w:num w:numId="36">
    <w:abstractNumId w:val="24"/>
  </w:num>
  <w:num w:numId="37">
    <w:abstractNumId w:val="25"/>
  </w:num>
  <w:num w:numId="38">
    <w:abstractNumId w:val="22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00E3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22F0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A796E"/>
    <w:rsid w:val="000B15A4"/>
    <w:rsid w:val="000B5939"/>
    <w:rsid w:val="000C2094"/>
    <w:rsid w:val="000C2B7B"/>
    <w:rsid w:val="000C3267"/>
    <w:rsid w:val="000C47C4"/>
    <w:rsid w:val="000C53A1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2F94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2CB"/>
    <w:rsid w:val="002D3376"/>
    <w:rsid w:val="002D691E"/>
    <w:rsid w:val="002D74C0"/>
    <w:rsid w:val="002E5744"/>
    <w:rsid w:val="002F25FC"/>
    <w:rsid w:val="002F6A33"/>
    <w:rsid w:val="00300EE7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2508"/>
    <w:rsid w:val="00373F1E"/>
    <w:rsid w:val="00381A0E"/>
    <w:rsid w:val="00384D2A"/>
    <w:rsid w:val="00391208"/>
    <w:rsid w:val="00391CCC"/>
    <w:rsid w:val="00391F4B"/>
    <w:rsid w:val="0039208F"/>
    <w:rsid w:val="0039354B"/>
    <w:rsid w:val="0039615A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12E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044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C76CF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67598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E6A90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2264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8D9"/>
    <w:rsid w:val="009729A4"/>
    <w:rsid w:val="00975E10"/>
    <w:rsid w:val="0098788C"/>
    <w:rsid w:val="00993DD3"/>
    <w:rsid w:val="00994DDF"/>
    <w:rsid w:val="009A74EB"/>
    <w:rsid w:val="009C0BD9"/>
    <w:rsid w:val="009D037B"/>
    <w:rsid w:val="009D1AB2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75F54"/>
    <w:rsid w:val="00A81422"/>
    <w:rsid w:val="00A841FC"/>
    <w:rsid w:val="00A84A4F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7BE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127"/>
    <w:rsid w:val="00C80EC7"/>
    <w:rsid w:val="00C8355F"/>
    <w:rsid w:val="00C8732C"/>
    <w:rsid w:val="00C952C7"/>
    <w:rsid w:val="00C96411"/>
    <w:rsid w:val="00CA2F61"/>
    <w:rsid w:val="00CA61B6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38A9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2562"/>
    <w:rsid w:val="00E33001"/>
    <w:rsid w:val="00E338B1"/>
    <w:rsid w:val="00E37339"/>
    <w:rsid w:val="00E41AA3"/>
    <w:rsid w:val="00E51920"/>
    <w:rsid w:val="00E5313A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608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56E9C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guidance/ng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2021-11-18T14:39:00Z</dcterms:created>
  <dcterms:modified xsi:type="dcterms:W3CDTF">2021-11-24T10:40:00Z</dcterms:modified>
</cp:coreProperties>
</file>