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4D64710C" w:rsidR="00B8026E" w:rsidRDefault="00B8026E" w:rsidP="00EE354D">
      <w:pPr>
        <w:pStyle w:val="Paragraph"/>
      </w:pPr>
      <w:r>
        <w:t>Date first published on NICE menu:</w:t>
      </w:r>
      <w:r w:rsidR="00DF637B">
        <w:t xml:space="preserve"> </w:t>
      </w:r>
      <w:r w:rsidR="003E216A">
        <w:t>August 2011</w:t>
      </w:r>
    </w:p>
    <w:p w14:paraId="06BAB3FE" w14:textId="1985BA19" w:rsidR="00B8026E" w:rsidRPr="00126C3F" w:rsidRDefault="00B8026E" w:rsidP="00EE354D">
      <w:pPr>
        <w:pStyle w:val="Paragraph"/>
        <w:rPr>
          <w:b/>
        </w:rPr>
      </w:pPr>
      <w:r>
        <w:t>Last update</w:t>
      </w:r>
      <w:r w:rsidRPr="00B8026E">
        <w:t xml:space="preserve">: </w:t>
      </w:r>
      <w:r w:rsidR="005B018B">
        <w:t>November 2021</w:t>
      </w:r>
    </w:p>
    <w:p w14:paraId="6107852F" w14:textId="25741A4A" w:rsidR="006F0A86" w:rsidRDefault="006F0A86" w:rsidP="00126C3F">
      <w:pPr>
        <w:pStyle w:val="Heading1"/>
      </w:pPr>
      <w:r w:rsidRPr="00126C3F">
        <w:t xml:space="preserve">Indicator </w:t>
      </w:r>
      <w:r w:rsidR="003E216A">
        <w:t>NM39</w:t>
      </w:r>
    </w:p>
    <w:p w14:paraId="0BE33367" w14:textId="2FEFE9E1" w:rsidR="003E216A" w:rsidRPr="003E216A" w:rsidRDefault="003E216A" w:rsidP="00611A1D">
      <w:pPr>
        <w:pStyle w:val="Paragraph"/>
        <w:rPr>
          <w:lang w:val="en-US"/>
        </w:rPr>
      </w:pPr>
      <w:r w:rsidRPr="003E216A">
        <w:rPr>
          <w:lang w:val="en-US"/>
        </w:rPr>
        <w:t xml:space="preserve">The percentage </w:t>
      </w:r>
      <w:bookmarkStart w:id="0" w:name="_Hlk36804800"/>
      <w:r w:rsidRPr="003E216A">
        <w:rPr>
          <w:lang w:val="en-US"/>
        </w:rPr>
        <w:t xml:space="preserve">of patients with any or any combination of the following conditions: CHD, PAD, stroke or TIA, hypertension, diabetes, COPD, CKD, asthma, schizophrenia, bipolar affective disorder or other psychoses who are recorded as current smokers </w:t>
      </w:r>
      <w:bookmarkStart w:id="1" w:name="_Hlk36805124"/>
      <w:bookmarkEnd w:id="0"/>
      <w:r w:rsidRPr="003E216A">
        <w:rPr>
          <w:lang w:val="en-US"/>
        </w:rPr>
        <w:t>who have a record of an offer of support and treatment within the preceding 12 months.</w:t>
      </w:r>
      <w:bookmarkEnd w:id="1"/>
    </w:p>
    <w:p w14:paraId="18778417" w14:textId="333A8E39" w:rsidR="00806B97" w:rsidRDefault="00806B97" w:rsidP="00806B97">
      <w:pPr>
        <w:pStyle w:val="Heading1"/>
      </w:pPr>
      <w:r w:rsidRPr="00806B97">
        <w:t xml:space="preserve">Indicator type </w:t>
      </w:r>
    </w:p>
    <w:p w14:paraId="1F16E37E" w14:textId="54E70293" w:rsidR="00F6535D" w:rsidRPr="003E216A" w:rsidRDefault="001C31E9" w:rsidP="008E7A29">
      <w:pPr>
        <w:pStyle w:val="Paragraph"/>
      </w:pPr>
      <w:r w:rsidRPr="003E216A">
        <w:t>General practice indicator suitable for use in the Quality and Outcomes Framework.</w:t>
      </w:r>
    </w:p>
    <w:p w14:paraId="42B84F0E" w14:textId="591F3074" w:rsidR="007E6E7E" w:rsidRPr="007E6E7E" w:rsidRDefault="006F0A86" w:rsidP="007E6E7E">
      <w:pPr>
        <w:pStyle w:val="Heading1"/>
        <w:rPr>
          <w:i/>
        </w:rPr>
      </w:pPr>
      <w:r w:rsidRPr="00011273">
        <w:t>Rationale</w:t>
      </w:r>
    </w:p>
    <w:p w14:paraId="7F4908C1" w14:textId="6EE631D3" w:rsidR="007E6E7E" w:rsidRDefault="007E6E7E" w:rsidP="008D1431">
      <w:pPr>
        <w:pStyle w:val="Paragraph"/>
      </w:pPr>
      <w:r w:rsidRPr="007E6E7E">
        <w:t>NICE and NICE-accredited guidance recommends smoking cessation treatment and support for people with the conditions outlined in the indicator wording. People with these conditions face increased risks from smoking (for example, increased risk of cardiovascular disease) compared with the general population. In addition, there is evidence that people who smoke are receptive to smoking cessation advice in all healthcare settings and that healthcare professionals are effective in helping people to stop smoking.</w:t>
      </w:r>
    </w:p>
    <w:p w14:paraId="69D4A75D" w14:textId="635998D5" w:rsidR="00D141B1" w:rsidRDefault="00D141B1" w:rsidP="00D141B1">
      <w:pPr>
        <w:pStyle w:val="Heading1"/>
        <w:rPr>
          <w:i/>
        </w:rPr>
      </w:pPr>
      <w:r w:rsidRPr="001F2B33">
        <w:t xml:space="preserve">Source guidance </w:t>
      </w:r>
    </w:p>
    <w:p w14:paraId="0C43AFFA" w14:textId="7848C906" w:rsidR="005D42B6" w:rsidRDefault="00DB1400" w:rsidP="00EE354D">
      <w:pPr>
        <w:pStyle w:val="Paragraph"/>
      </w:pPr>
      <w:hyperlink r:id="rId7" w:history="1">
        <w:r>
          <w:rPr>
            <w:rStyle w:val="Hyperlink"/>
          </w:rPr>
          <w:t>Tobacco: preventing uptake, promoting quitting and treating dependence. NICE guideline NG209</w:t>
        </w:r>
      </w:hyperlink>
      <w:r w:rsidR="005B018B">
        <w:t xml:space="preserve"> (2021), recommendations 1.11.1</w:t>
      </w:r>
      <w:r w:rsidR="00734288">
        <w:t xml:space="preserve"> and</w:t>
      </w:r>
      <w:r w:rsidR="005B018B">
        <w:t xml:space="preserve"> 1.11.6.</w:t>
      </w:r>
    </w:p>
    <w:p w14:paraId="1E259BBD" w14:textId="1B54D74E" w:rsidR="00D141B1" w:rsidRPr="006E162B" w:rsidRDefault="00734288" w:rsidP="00EE354D">
      <w:pPr>
        <w:pStyle w:val="Paragraph"/>
        <w:rPr>
          <w:lang w:val="en-US"/>
        </w:rPr>
      </w:pPr>
      <w:hyperlink r:id="rId8" w:history="1">
        <w:r w:rsidR="005D42B6">
          <w:rPr>
            <w:rStyle w:val="Hyperlink"/>
            <w:lang w:val="en-US"/>
          </w:rPr>
          <w:t>Chronic kidney disease. NICE guideline NG203</w:t>
        </w:r>
      </w:hyperlink>
      <w:r w:rsidR="005D42B6" w:rsidRPr="007B07BC">
        <w:rPr>
          <w:lang w:val="en-US"/>
        </w:rPr>
        <w:t xml:space="preserve"> (20</w:t>
      </w:r>
      <w:r w:rsidR="005D42B6">
        <w:rPr>
          <w:lang w:val="en-US"/>
        </w:rPr>
        <w:t>21</w:t>
      </w:r>
      <w:r w:rsidR="005D42B6" w:rsidRPr="007B07BC">
        <w:rPr>
          <w:lang w:val="en-US"/>
        </w:rPr>
        <w:t>), recommendation 1.4.6</w:t>
      </w:r>
    </w:p>
    <w:p w14:paraId="58CE8580" w14:textId="7F1EB4C7" w:rsidR="005D42B6" w:rsidRDefault="00734288" w:rsidP="00EE354D">
      <w:pPr>
        <w:pStyle w:val="Paragraph"/>
        <w:rPr>
          <w:lang w:val="en-US"/>
        </w:rPr>
      </w:pPr>
      <w:hyperlink r:id="rId9" w:history="1">
        <w:r w:rsidR="005D42B6" w:rsidRPr="004A7CD4">
          <w:rPr>
            <w:rStyle w:val="Hyperlink"/>
            <w:lang w:val="en-US"/>
          </w:rPr>
          <w:t>Hypertension in adults: diagnosis and management</w:t>
        </w:r>
        <w:r w:rsidR="005D42B6">
          <w:rPr>
            <w:rStyle w:val="Hyperlink"/>
            <w:lang w:val="en-US"/>
          </w:rPr>
          <w:t>.</w:t>
        </w:r>
        <w:r w:rsidR="005D42B6" w:rsidRPr="004A7CD4">
          <w:rPr>
            <w:rStyle w:val="Hyperlink"/>
            <w:lang w:val="en-US"/>
          </w:rPr>
          <w:t xml:space="preserve"> NICE guideline NG136</w:t>
        </w:r>
      </w:hyperlink>
      <w:r w:rsidR="005D42B6">
        <w:rPr>
          <w:lang w:val="en-US"/>
        </w:rPr>
        <w:t xml:space="preserve"> </w:t>
      </w:r>
      <w:r w:rsidR="005D42B6" w:rsidRPr="004A7CD4">
        <w:rPr>
          <w:lang w:val="en-US"/>
        </w:rPr>
        <w:t>(2019)</w:t>
      </w:r>
      <w:r w:rsidR="005D42B6" w:rsidRPr="00FB7778">
        <w:rPr>
          <w:lang w:val="en-US"/>
        </w:rPr>
        <w:t>, recommendation 1.4.7</w:t>
      </w:r>
    </w:p>
    <w:p w14:paraId="580A263C" w14:textId="22EC4444" w:rsidR="005D42B6" w:rsidRDefault="00734288" w:rsidP="00EE354D">
      <w:pPr>
        <w:pStyle w:val="Paragraph"/>
      </w:pPr>
      <w:hyperlink r:id="rId10" w:history="1">
        <w:r w:rsidR="005D42B6" w:rsidRPr="004A7CD4">
          <w:rPr>
            <w:rStyle w:val="Hyperlink"/>
          </w:rPr>
          <w:t>Chronic obstructive pulmonary disease in over 16s: diagnosis and management. NICE guideline NG115</w:t>
        </w:r>
      </w:hyperlink>
      <w:r w:rsidR="005D42B6">
        <w:t xml:space="preserve"> </w:t>
      </w:r>
      <w:r w:rsidR="005D42B6" w:rsidRPr="004A7CD4">
        <w:t>(2018</w:t>
      </w:r>
      <w:r w:rsidR="005D42B6">
        <w:t>, updated 2019</w:t>
      </w:r>
      <w:r w:rsidR="005D42B6" w:rsidRPr="004A7CD4">
        <w:t>)</w:t>
      </w:r>
      <w:r w:rsidR="005D42B6" w:rsidRPr="007B07BC">
        <w:t>, recommendation 1.2.3</w:t>
      </w:r>
    </w:p>
    <w:p w14:paraId="5D03ABBC" w14:textId="24B8EAB9" w:rsidR="005D42B6" w:rsidRDefault="00734288" w:rsidP="00EE354D">
      <w:pPr>
        <w:pStyle w:val="Paragraph"/>
        <w:rPr>
          <w:rStyle w:val="Hyperlink"/>
        </w:rPr>
      </w:pPr>
      <w:hyperlink r:id="rId11" w:history="1">
        <w:r w:rsidR="005D42B6" w:rsidRPr="00CE6826">
          <w:rPr>
            <w:rStyle w:val="Hyperlink"/>
          </w:rPr>
          <w:t>Stroke and transient ischaemic attack in over 16s: diagnosis and management. NICE guideline NG128</w:t>
        </w:r>
      </w:hyperlink>
      <w:r w:rsidR="005D42B6">
        <w:t xml:space="preserve"> (2019)</w:t>
      </w:r>
    </w:p>
    <w:p w14:paraId="514A2F05" w14:textId="2F16901C" w:rsidR="005D42B6" w:rsidRDefault="00734288" w:rsidP="00EE354D">
      <w:pPr>
        <w:pStyle w:val="Paragraph"/>
        <w:rPr>
          <w:lang w:val="en-US"/>
        </w:rPr>
      </w:pPr>
      <w:hyperlink r:id="rId12" w:history="1">
        <w:r w:rsidR="005D42B6">
          <w:rPr>
            <w:rStyle w:val="Hyperlink"/>
            <w:lang w:val="en-US"/>
          </w:rPr>
          <w:t>Risk estimation and the prevention of cardiovascular disease. SIGN guideline 149</w:t>
        </w:r>
      </w:hyperlink>
      <w:r w:rsidR="005D42B6" w:rsidRPr="007B07BC">
        <w:rPr>
          <w:lang w:val="en-US"/>
        </w:rPr>
        <w:t xml:space="preserve"> </w:t>
      </w:r>
      <w:r w:rsidR="005D42B6" w:rsidRPr="003910B7">
        <w:rPr>
          <w:lang w:val="en-US"/>
        </w:rPr>
        <w:t>(2017)</w:t>
      </w:r>
      <w:r w:rsidR="005D42B6" w:rsidRPr="007B07BC">
        <w:rPr>
          <w:lang w:val="en-US"/>
        </w:rPr>
        <w:t>, recommendation 2.4</w:t>
      </w:r>
    </w:p>
    <w:p w14:paraId="0FA3586C" w14:textId="5DD6A967" w:rsidR="005D42B6" w:rsidRDefault="00734288" w:rsidP="00EE354D">
      <w:pPr>
        <w:pStyle w:val="Paragraph"/>
        <w:rPr>
          <w:lang w:val="en-US"/>
        </w:rPr>
      </w:pPr>
      <w:hyperlink r:id="rId13" w:history="1">
        <w:r w:rsidR="005D42B6">
          <w:rPr>
            <w:rStyle w:val="Hyperlink"/>
            <w:lang w:val="en-US"/>
          </w:rPr>
          <w:t>Type 1 diabetes in adults: diagnosis and management. NICE guideline NG17</w:t>
        </w:r>
      </w:hyperlink>
      <w:r w:rsidR="005D42B6">
        <w:rPr>
          <w:rStyle w:val="Hyperlink"/>
          <w:lang w:val="en-US"/>
        </w:rPr>
        <w:t xml:space="preserve"> </w:t>
      </w:r>
      <w:r w:rsidR="005D42B6" w:rsidRPr="00FB7778">
        <w:rPr>
          <w:lang w:val="en-US"/>
        </w:rPr>
        <w:t xml:space="preserve">(2015, updated </w:t>
      </w:r>
      <w:r w:rsidR="005D42B6">
        <w:rPr>
          <w:lang w:val="en-US"/>
        </w:rPr>
        <w:t>2021</w:t>
      </w:r>
      <w:r w:rsidR="005D42B6" w:rsidRPr="00FB7778">
        <w:rPr>
          <w:lang w:val="en-US"/>
        </w:rPr>
        <w:t>), recommendation 1.13.5</w:t>
      </w:r>
    </w:p>
    <w:p w14:paraId="4249E79B" w14:textId="08257E93" w:rsidR="005D42B6" w:rsidRDefault="00734288" w:rsidP="00EE354D">
      <w:pPr>
        <w:pStyle w:val="Paragraph"/>
        <w:rPr>
          <w:lang w:val="en-US"/>
        </w:rPr>
      </w:pPr>
      <w:hyperlink r:id="rId14" w:history="1">
        <w:r w:rsidR="005D42B6">
          <w:rPr>
            <w:rStyle w:val="Hyperlink"/>
          </w:rPr>
          <w:t>Psychosis and schizophrenia in adults. NICE guideline CG178</w:t>
        </w:r>
      </w:hyperlink>
      <w:r w:rsidR="005D42B6" w:rsidRPr="004D6FC5">
        <w:t xml:space="preserve"> (2014)</w:t>
      </w:r>
      <w:r w:rsidR="005D42B6">
        <w:t>, recommendations 1.1.3.3 and 1.1.3.4</w:t>
      </w:r>
    </w:p>
    <w:p w14:paraId="25EABD45" w14:textId="271356FD" w:rsidR="005D42B6" w:rsidRPr="008B4D5E" w:rsidRDefault="00734288" w:rsidP="00EE354D">
      <w:pPr>
        <w:pStyle w:val="Paragraph"/>
        <w:rPr>
          <w:lang w:val="en-US"/>
        </w:rPr>
      </w:pPr>
      <w:hyperlink r:id="rId15" w:history="1">
        <w:r w:rsidR="005D42B6">
          <w:rPr>
            <w:rStyle w:val="Hyperlink"/>
            <w:lang w:val="en-US"/>
          </w:rPr>
          <w:t>Peripheral arterial disease: diagnosis and management. NICE guideline CG147</w:t>
        </w:r>
      </w:hyperlink>
      <w:r w:rsidR="005D42B6" w:rsidRPr="007B07BC">
        <w:rPr>
          <w:lang w:val="en-US"/>
        </w:rPr>
        <w:t xml:space="preserve"> </w:t>
      </w:r>
      <w:r w:rsidR="005D42B6" w:rsidRPr="00EA211A">
        <w:rPr>
          <w:lang w:val="en-US"/>
        </w:rPr>
        <w:t>(2012, updated 2018)</w:t>
      </w:r>
      <w:r w:rsidR="005D42B6" w:rsidRPr="007B07BC">
        <w:rPr>
          <w:lang w:val="en-US"/>
        </w:rPr>
        <w:t>, recommendation 1.2.1</w:t>
      </w:r>
    </w:p>
    <w:p w14:paraId="05AD89C4" w14:textId="77777777" w:rsidR="00D141B1" w:rsidRDefault="00D141B1" w:rsidP="00126C3F">
      <w:pPr>
        <w:pStyle w:val="Heading1"/>
      </w:pPr>
      <w:r>
        <w:t xml:space="preserve">Specification </w:t>
      </w:r>
    </w:p>
    <w:p w14:paraId="4B62A813" w14:textId="47AD0A04" w:rsidR="0009195D" w:rsidRDefault="00D141B1" w:rsidP="00EE354D">
      <w:pPr>
        <w:pStyle w:val="Paragraph"/>
      </w:pPr>
      <w:r>
        <w:t xml:space="preserve">Numerator: </w:t>
      </w:r>
      <w:r w:rsidR="0009195D" w:rsidRPr="00991AD5">
        <w:t xml:space="preserve">The number of patients in the denominator </w:t>
      </w:r>
      <w:r w:rsidR="00991AD5" w:rsidRPr="003E216A">
        <w:rPr>
          <w:lang w:val="en-US"/>
        </w:rPr>
        <w:t>who have a record of an offer of support and treatment within the preceding 12 months.</w:t>
      </w:r>
    </w:p>
    <w:p w14:paraId="06B62F8F" w14:textId="1881EE7F" w:rsidR="00D141B1" w:rsidRDefault="00D141B1" w:rsidP="00EE354D">
      <w:pPr>
        <w:pStyle w:val="Paragraph"/>
      </w:pPr>
      <w:r>
        <w:t xml:space="preserve">Denominator: </w:t>
      </w:r>
      <w:r w:rsidR="002B0BA6" w:rsidRPr="00991AD5">
        <w:t xml:space="preserve">The number </w:t>
      </w:r>
      <w:r w:rsidR="009F1381" w:rsidRPr="003E216A">
        <w:rPr>
          <w:lang w:val="en-US"/>
        </w:rPr>
        <w:t>of patients with any or any combination of the following conditions: CHD, PAD, stroke or TIA, hypertension, diabetes, COPD, CKD, asthma, schizophrenia, bipolar affective disorder or other psychoses who are recorded as current smokers</w:t>
      </w:r>
      <w:r w:rsidR="009F1381" w:rsidRPr="00991AD5">
        <w:rPr>
          <w:lang w:val="en-US"/>
        </w:rPr>
        <w:t>.</w:t>
      </w:r>
    </w:p>
    <w:p w14:paraId="04501E11" w14:textId="4CF617E5" w:rsidR="0009195D" w:rsidRDefault="0009195D" w:rsidP="00EE354D">
      <w:pPr>
        <w:pStyle w:val="Paragraph"/>
      </w:pPr>
      <w:r>
        <w:t xml:space="preserve">Calculation: </w:t>
      </w:r>
      <w:r w:rsidRPr="00397C28">
        <w:t>(Numerator/denominator)*100</w:t>
      </w:r>
    </w:p>
    <w:p w14:paraId="200701E0" w14:textId="12DA9D7F" w:rsidR="00D141B1" w:rsidRDefault="00D141B1" w:rsidP="00A6542A">
      <w:pPr>
        <w:pStyle w:val="Paragraph"/>
      </w:pPr>
      <w:r>
        <w:t xml:space="preserve">Exclusions: </w:t>
      </w:r>
      <w:r w:rsidR="00CC4919">
        <w:t>None</w:t>
      </w:r>
      <w:r w:rsidR="00A6542A" w:rsidRPr="00A6542A">
        <w:t xml:space="preserve"> </w:t>
      </w:r>
    </w:p>
    <w:p w14:paraId="7B19AFD0" w14:textId="27E6EB72" w:rsidR="009F1381" w:rsidRDefault="00706451" w:rsidP="00EE354D">
      <w:pPr>
        <w:pStyle w:val="Paragraph"/>
      </w:pPr>
      <w:r>
        <w:t xml:space="preserve">Minimum population: </w:t>
      </w:r>
      <w:r w:rsidR="000D5395" w:rsidRPr="00397C28">
        <w:t xml:space="preserve">The indicator would be appropriate </w:t>
      </w:r>
      <w:r w:rsidR="00391F4B" w:rsidRPr="00397C28">
        <w:t xml:space="preserve">to assess performance </w:t>
      </w:r>
      <w:r w:rsidR="003B53D0" w:rsidRPr="00397C28">
        <w:t xml:space="preserve">at </w:t>
      </w:r>
      <w:r w:rsidR="00391F4B" w:rsidRPr="00397C28">
        <w:t>individual</w:t>
      </w:r>
      <w:r w:rsidR="000D5395" w:rsidRPr="00397C28">
        <w:t xml:space="preserve"> general practice</w:t>
      </w:r>
      <w:r w:rsidR="00391F4B" w:rsidRPr="00397C28">
        <w:t xml:space="preserve"> level</w:t>
      </w:r>
      <w:r w:rsidR="000D5395" w:rsidRPr="00397C28">
        <w:t xml:space="preserve">. </w:t>
      </w:r>
    </w:p>
    <w:p w14:paraId="129ECA00" w14:textId="65691789" w:rsidR="0009195D" w:rsidRPr="0009195D" w:rsidRDefault="0009195D" w:rsidP="0009195D">
      <w:pPr>
        <w:pStyle w:val="Heading1"/>
      </w:pPr>
      <w:r w:rsidRPr="0009195D">
        <w:lastRenderedPageBreak/>
        <w:t>Further information</w:t>
      </w:r>
    </w:p>
    <w:p w14:paraId="70B822BC" w14:textId="6A989792" w:rsidR="0009195D" w:rsidRPr="0009195D" w:rsidRDefault="0009195D" w:rsidP="00EE354D">
      <w:pPr>
        <w:pStyle w:val="Paragraph"/>
      </w:pPr>
      <w:bookmarkStart w:id="2" w:name="_Hlk14183092"/>
      <w:r w:rsidRPr="0009195D">
        <w:t xml:space="preserve">This is NICE indicator guidance, which is part of the </w:t>
      </w:r>
      <w:hyperlink r:id="rId16" w:history="1">
        <w:r w:rsidRPr="008541A5">
          <w:rPr>
            <w:rStyle w:val="Hyperlink"/>
          </w:rPr>
          <w:t>NICE menu of indicators</w:t>
        </w:r>
      </w:hyperlink>
      <w:r w:rsidRPr="0009195D">
        <w:t xml:space="preserve">. This document does not represent formal NICE guidance. </w:t>
      </w:r>
      <w:bookmarkEnd w:id="2"/>
    </w:p>
    <w:sectPr w:rsidR="0009195D" w:rsidRPr="0009195D" w:rsidSect="003D61BE">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7E4D599D" w:rsidR="00245B12" w:rsidRPr="00EA7F52" w:rsidRDefault="00D141B1" w:rsidP="00D141B1">
    <w:pPr>
      <w:pStyle w:val="Footer"/>
    </w:pPr>
    <w:r>
      <w:t xml:space="preserve">NICE indicator guidance: </w:t>
    </w:r>
    <w:r w:rsidR="003E216A">
      <w:t>NM39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D11CE"/>
    <w:multiLevelType w:val="hybridMultilevel"/>
    <w:tmpl w:val="5E8ED3C2"/>
    <w:lvl w:ilvl="0" w:tplc="60285160">
      <w:start w:val="1"/>
      <w:numFmt w:val="bullet"/>
      <w:lvlText w:val=""/>
      <w:lvlJc w:val="left"/>
      <w:pPr>
        <w:tabs>
          <w:tab w:val="num" w:pos="3060"/>
        </w:tabs>
        <w:ind w:left="306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3"/>
  </w:num>
  <w:num w:numId="25">
    <w:abstractNumId w:val="20"/>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5"/>
  </w:num>
  <w:num w:numId="33">
    <w:abstractNumId w:val="29"/>
  </w:num>
  <w:num w:numId="34">
    <w:abstractNumId w:val="19"/>
  </w:num>
  <w:num w:numId="35">
    <w:abstractNumId w:val="10"/>
  </w:num>
  <w:num w:numId="36">
    <w:abstractNumId w:val="23"/>
  </w:num>
  <w:num w:numId="37">
    <w:abstractNumId w:val="24"/>
  </w:num>
  <w:num w:numId="38">
    <w:abstractNumId w:val="2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59C"/>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66547"/>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1F69D5"/>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376"/>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97C28"/>
    <w:rsid w:val="003B53D0"/>
    <w:rsid w:val="003C7AAF"/>
    <w:rsid w:val="003D61BE"/>
    <w:rsid w:val="003D6D57"/>
    <w:rsid w:val="003E1C96"/>
    <w:rsid w:val="003E216A"/>
    <w:rsid w:val="003E38A5"/>
    <w:rsid w:val="00402391"/>
    <w:rsid w:val="00402436"/>
    <w:rsid w:val="004070CA"/>
    <w:rsid w:val="004075B6"/>
    <w:rsid w:val="00412C67"/>
    <w:rsid w:val="00413AC7"/>
    <w:rsid w:val="00417A17"/>
    <w:rsid w:val="00420952"/>
    <w:rsid w:val="00424E9C"/>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9706F"/>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018B"/>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D42B6"/>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2B35"/>
    <w:rsid w:val="006B668C"/>
    <w:rsid w:val="006B7D26"/>
    <w:rsid w:val="006C3856"/>
    <w:rsid w:val="006C4C54"/>
    <w:rsid w:val="006D316E"/>
    <w:rsid w:val="006D43D7"/>
    <w:rsid w:val="006D71D4"/>
    <w:rsid w:val="006E162B"/>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428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777CF"/>
    <w:rsid w:val="00780393"/>
    <w:rsid w:val="00787D75"/>
    <w:rsid w:val="00794AAC"/>
    <w:rsid w:val="00794DA0"/>
    <w:rsid w:val="007A17B3"/>
    <w:rsid w:val="007A5C12"/>
    <w:rsid w:val="007A7DFB"/>
    <w:rsid w:val="007B0F36"/>
    <w:rsid w:val="007B5B4D"/>
    <w:rsid w:val="007B5CC6"/>
    <w:rsid w:val="007C6EDB"/>
    <w:rsid w:val="007D5B33"/>
    <w:rsid w:val="007E5A42"/>
    <w:rsid w:val="007E6E7E"/>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033"/>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4D5E"/>
    <w:rsid w:val="008B5FAE"/>
    <w:rsid w:val="008C1650"/>
    <w:rsid w:val="008D1431"/>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1AD5"/>
    <w:rsid w:val="00993DD3"/>
    <w:rsid w:val="00994DDF"/>
    <w:rsid w:val="009A74EB"/>
    <w:rsid w:val="009C0BD9"/>
    <w:rsid w:val="009D037B"/>
    <w:rsid w:val="009D28EE"/>
    <w:rsid w:val="009D3369"/>
    <w:rsid w:val="009D400A"/>
    <w:rsid w:val="009D717F"/>
    <w:rsid w:val="009E680B"/>
    <w:rsid w:val="009F0C5C"/>
    <w:rsid w:val="009F1381"/>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6542A"/>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C4FBB"/>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14828"/>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C4919"/>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0D0"/>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1400"/>
    <w:rsid w:val="00DB20D9"/>
    <w:rsid w:val="00DC047A"/>
    <w:rsid w:val="00DC06BC"/>
    <w:rsid w:val="00DC28B0"/>
    <w:rsid w:val="00DD5F41"/>
    <w:rsid w:val="00DD6008"/>
    <w:rsid w:val="00DE1024"/>
    <w:rsid w:val="00DE4457"/>
    <w:rsid w:val="00DF45AD"/>
    <w:rsid w:val="00DF637B"/>
    <w:rsid w:val="00DF7DE7"/>
    <w:rsid w:val="00E02ADB"/>
    <w:rsid w:val="00E040D6"/>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EF4951"/>
    <w:rsid w:val="00F014C2"/>
    <w:rsid w:val="00F025CE"/>
    <w:rsid w:val="00F050A1"/>
    <w:rsid w:val="00F055F1"/>
    <w:rsid w:val="00F07B2C"/>
    <w:rsid w:val="00F13F5B"/>
    <w:rsid w:val="00F342A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rsid w:val="004E4974"/>
    <w:rPr>
      <w:sz w:val="16"/>
      <w:szCs w:val="16"/>
    </w:rPr>
  </w:style>
  <w:style w:type="paragraph" w:styleId="CommentText">
    <w:name w:val="annotation text"/>
    <w:basedOn w:val="Normal"/>
    <w:link w:val="CommentTextChar"/>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 w:type="paragraph" w:styleId="BodyTextIndent">
    <w:name w:val="Body Text Indent"/>
    <w:basedOn w:val="Normal"/>
    <w:link w:val="BodyTextIndentChar"/>
    <w:semiHidden/>
    <w:unhideWhenUsed/>
    <w:rsid w:val="00166547"/>
    <w:pPr>
      <w:spacing w:after="120"/>
      <w:ind w:left="283"/>
    </w:pPr>
  </w:style>
  <w:style w:type="character" w:customStyle="1" w:styleId="BodyTextIndentChar">
    <w:name w:val="Body Text Indent Char"/>
    <w:basedOn w:val="DefaultParagraphFont"/>
    <w:link w:val="BodyTextIndent"/>
    <w:semiHidden/>
    <w:rsid w:val="001665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85481378">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03" TargetMode="External"/><Relationship Id="rId13" Type="http://schemas.openxmlformats.org/officeDocument/2006/relationships/hyperlink" Target="https://www.nice.org.uk/guidance/ng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209" TargetMode="External"/><Relationship Id="rId12" Type="http://schemas.openxmlformats.org/officeDocument/2006/relationships/hyperlink" Target="https://www.sign.ac.uk/our-guidelines/risk-estimation-and-the-prevention-of-cardiovascular-disea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ice.org.uk/Standards-and-Indicators/inde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28" TargetMode="External"/><Relationship Id="rId5" Type="http://schemas.openxmlformats.org/officeDocument/2006/relationships/footnotes" Target="footnotes.xml"/><Relationship Id="rId15" Type="http://schemas.openxmlformats.org/officeDocument/2006/relationships/hyperlink" Target="https://www.nice.org.uk/guidance/cg147" TargetMode="External"/><Relationship Id="rId10" Type="http://schemas.openxmlformats.org/officeDocument/2006/relationships/hyperlink" Target="https://www.nice.org.uk/guidance/ng1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guidance/ng136" TargetMode="External"/><Relationship Id="rId14" Type="http://schemas.openxmlformats.org/officeDocument/2006/relationships/hyperlink" Target="https://www.nice.org.uk/guidance/cg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2021-11-18T14:40:00Z</dcterms:created>
  <dcterms:modified xsi:type="dcterms:W3CDTF">2021-11-24T10:40:00Z</dcterms:modified>
</cp:coreProperties>
</file>