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11DD2C1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6191A">
        <w:t>August 201</w:t>
      </w:r>
      <w:r w:rsidR="006233E2">
        <w:t>2</w:t>
      </w:r>
    </w:p>
    <w:p w14:paraId="06BAB3FE" w14:textId="3C573952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06191A">
        <w:t xml:space="preserve"> </w:t>
      </w:r>
      <w:r w:rsidR="004C4698">
        <w:t>March</w:t>
      </w:r>
      <w:r w:rsidR="00A93880">
        <w:t xml:space="preserve"> </w:t>
      </w:r>
      <w:r w:rsidR="00000C37">
        <w:t>202</w:t>
      </w:r>
      <w:r w:rsidR="00A93880">
        <w:t>2</w:t>
      </w:r>
    </w:p>
    <w:p w14:paraId="6107852F" w14:textId="7CB78884" w:rsidR="006F0A86" w:rsidRDefault="006F0A86" w:rsidP="00126C3F">
      <w:pPr>
        <w:pStyle w:val="Heading1"/>
      </w:pPr>
      <w:r w:rsidRPr="00126C3F">
        <w:t xml:space="preserve">Indicator </w:t>
      </w:r>
      <w:r w:rsidR="0006191A">
        <w:t>NM52</w:t>
      </w:r>
    </w:p>
    <w:p w14:paraId="0A6C169D" w14:textId="76BF6F4B" w:rsidR="00611A1D" w:rsidRPr="00611A1D" w:rsidRDefault="0006191A" w:rsidP="00611A1D">
      <w:pPr>
        <w:pStyle w:val="Paragraph"/>
      </w:pPr>
      <w:r w:rsidRPr="00326A9E">
        <w:rPr>
          <w:lang w:val="en-US"/>
        </w:rPr>
        <w:t>The percentage of male patients with diabetes who have a record of erectile dysfunction with a record of advice and assessment of contributory factors and treatment options in the preceding 15 months</w:t>
      </w:r>
      <w:r>
        <w:rPr>
          <w:lang w:val="en-US"/>
        </w:rP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06191A" w:rsidRDefault="001C31E9" w:rsidP="008E7A29">
      <w:pPr>
        <w:pStyle w:val="Paragraph"/>
      </w:pPr>
      <w:r w:rsidRPr="0006191A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44EE4047" w14:textId="7412991B" w:rsidR="0006191A" w:rsidRDefault="0006191A" w:rsidP="0006191A">
      <w:pPr>
        <w:pStyle w:val="Paragraph"/>
      </w:pPr>
      <w:r>
        <w:t xml:space="preserve">Erectile dysfunction is a manifestation of autonomic neuropathy as a complication of long-term hyperglycaemia and as such is a common complication of diabetes. Erectile dysfunction is a traumatic complication for some men with diabetes. Although not perceived as life-threatening, it can have a significant impact on the quality of life for men with diabetes, their </w:t>
      </w:r>
      <w:proofErr w:type="gramStart"/>
      <w:r>
        <w:t>partners</w:t>
      </w:r>
      <w:proofErr w:type="gramEnd"/>
      <w:r>
        <w:t xml:space="preserve"> and families.</w:t>
      </w:r>
    </w:p>
    <w:p w14:paraId="3454F879" w14:textId="7A2E9D82" w:rsidR="0006191A" w:rsidRDefault="0006191A" w:rsidP="0006191A">
      <w:pPr>
        <w:pStyle w:val="Paragraph"/>
      </w:pPr>
      <w:r>
        <w:t xml:space="preserve">Risk factors for erectile dysfunction include sedentary lifestyle, obesity, smoking, </w:t>
      </w:r>
      <w:proofErr w:type="gramStart"/>
      <w:r>
        <w:t>hypercholesterolemia</w:t>
      </w:r>
      <w:proofErr w:type="gramEnd"/>
      <w:r>
        <w:t xml:space="preserve"> and metabolic syndrome.</w:t>
      </w:r>
    </w:p>
    <w:p w14:paraId="6EFFAA47" w14:textId="2802B35A" w:rsidR="006F0A86" w:rsidRDefault="0006191A" w:rsidP="0006191A">
      <w:pPr>
        <w:pStyle w:val="Paragraph"/>
      </w:pPr>
      <w:r>
        <w:t>The issue of erectile dysfunction can be a difficult topic for both</w:t>
      </w:r>
      <w:r w:rsidR="007E1DCB">
        <w:t>,</w:t>
      </w:r>
      <w:r>
        <w:t xml:space="preserve"> </w:t>
      </w:r>
      <w:proofErr w:type="gramStart"/>
      <w:r>
        <w:t>patients</w:t>
      </w:r>
      <w:proofErr w:type="gramEnd"/>
      <w:r>
        <w:t xml:space="preserve"> and healthcare professionals. It is important that it is discussed in a sensitive manner which allows patients to voice their concerns in a safe and supportive environment. Practices may wish to consider who in the practice team is best placed to address this issue with patients, how to discuss the issue and </w:t>
      </w:r>
      <w:proofErr w:type="gramStart"/>
      <w:r>
        <w:t>whether or not</w:t>
      </w:r>
      <w:proofErr w:type="gramEnd"/>
      <w:r>
        <w:t xml:space="preserve"> to integrate it into the diabetes annual review.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lastRenderedPageBreak/>
        <w:t xml:space="preserve">Source guidance </w:t>
      </w:r>
    </w:p>
    <w:p w14:paraId="1E259BBD" w14:textId="28030FBC" w:rsidR="00D141B1" w:rsidRDefault="002C6AF9" w:rsidP="00EE354D">
      <w:pPr>
        <w:pStyle w:val="Paragraph"/>
      </w:pPr>
      <w:hyperlink r:id="rId7" w:history="1">
        <w:r w:rsidR="00447B57">
          <w:rPr>
            <w:rStyle w:val="Hyperlink"/>
          </w:rPr>
          <w:t>Type 1 diabetes in adults: diagnosis and management. NICE guideline NG17</w:t>
        </w:r>
      </w:hyperlink>
      <w:r w:rsidR="0006191A">
        <w:rPr>
          <w:rStyle w:val="Hyperlink"/>
        </w:rPr>
        <w:t>.</w:t>
      </w:r>
      <w:r w:rsidR="0006191A">
        <w:t xml:space="preserve"> (</w:t>
      </w:r>
      <w:r w:rsidR="0006191A" w:rsidRPr="00DF1A3B">
        <w:t>201</w:t>
      </w:r>
      <w:r w:rsidR="00000C37">
        <w:t>5, updated 202</w:t>
      </w:r>
      <w:r w:rsidR="004C4698">
        <w:t>2</w:t>
      </w:r>
      <w:r w:rsidR="0006191A" w:rsidRPr="00DF1A3B">
        <w:t>)</w:t>
      </w:r>
      <w:r w:rsidR="0006191A">
        <w:t xml:space="preserve">, </w:t>
      </w:r>
      <w:r w:rsidR="0006191A" w:rsidRPr="00BD6253">
        <w:t>recommendation</w:t>
      </w:r>
      <w:r w:rsidR="0006191A">
        <w:t>s</w:t>
      </w:r>
      <w:r w:rsidR="0006191A" w:rsidRPr="00BD6253">
        <w:t xml:space="preserve"> </w:t>
      </w:r>
      <w:r w:rsidR="0006191A">
        <w:t>1.15.</w:t>
      </w:r>
      <w:r w:rsidR="00000C37">
        <w:t>3</w:t>
      </w:r>
      <w:r w:rsidR="005D4CAD">
        <w:t>6</w:t>
      </w:r>
      <w:r w:rsidR="00000C37">
        <w:t xml:space="preserve"> and </w:t>
      </w:r>
      <w:r w:rsidR="0006191A">
        <w:t>1.15.3</w:t>
      </w:r>
      <w:r w:rsidR="005D4CAD">
        <w:t>7</w:t>
      </w:r>
      <w:r w:rsidR="0006191A">
        <w:t>.</w:t>
      </w:r>
      <w:r w:rsidR="006F3734">
        <w:t xml:space="preserve"> </w:t>
      </w:r>
    </w:p>
    <w:p w14:paraId="6AF2D1B1" w14:textId="4400EBB9" w:rsidR="004C4ABD" w:rsidRPr="00BD6253" w:rsidRDefault="002C6AF9" w:rsidP="00EE354D">
      <w:pPr>
        <w:pStyle w:val="Paragraph"/>
      </w:pPr>
      <w:hyperlink r:id="rId8" w:history="1">
        <w:r w:rsidR="004F6057">
          <w:rPr>
            <w:rStyle w:val="Hyperlink"/>
          </w:rPr>
          <w:t>Type 2 diabetes in adults: management. NICE guideline NG28</w:t>
        </w:r>
      </w:hyperlink>
      <w:r w:rsidR="0006191A">
        <w:t xml:space="preserve"> (2015</w:t>
      </w:r>
      <w:r w:rsidR="00000C37">
        <w:t>, updated 202</w:t>
      </w:r>
      <w:r w:rsidR="00A93880">
        <w:t>2</w:t>
      </w:r>
      <w:r w:rsidR="0006191A">
        <w:t>), recommendations</w:t>
      </w:r>
      <w:r w:rsidR="00DC36F5">
        <w:t xml:space="preserve"> </w:t>
      </w:r>
      <w:r w:rsidR="00A93880">
        <w:t>1.8.</w:t>
      </w:r>
      <w:r w:rsidR="005D4CAD">
        <w:t>2</w:t>
      </w:r>
      <w:r w:rsidR="00902865">
        <w:t>1</w:t>
      </w:r>
      <w:r w:rsidR="00A93880">
        <w:t>, 1.8.</w:t>
      </w:r>
      <w:r w:rsidR="005D4CAD">
        <w:t>2</w:t>
      </w:r>
      <w:r w:rsidR="00902865">
        <w:t>2</w:t>
      </w:r>
      <w:r w:rsidR="005D4CAD">
        <w:t xml:space="preserve"> </w:t>
      </w:r>
      <w:r w:rsidR="00A93880">
        <w:t>and 1.8.</w:t>
      </w:r>
      <w:r w:rsidR="005D4CAD">
        <w:t>2</w:t>
      </w:r>
      <w:r w:rsidR="00902865">
        <w:t>3</w:t>
      </w:r>
      <w:r w:rsidR="0006191A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A97C8C8" w:rsidR="0009195D" w:rsidRPr="0006191A" w:rsidRDefault="00D141B1" w:rsidP="00EE354D">
      <w:pPr>
        <w:pStyle w:val="Paragraph"/>
      </w:pPr>
      <w:r w:rsidRPr="0006191A">
        <w:t xml:space="preserve">Numerator: </w:t>
      </w:r>
      <w:r w:rsidR="0009195D" w:rsidRPr="0006191A">
        <w:t xml:space="preserve"> The number of patients in the denominator </w:t>
      </w:r>
      <w:r w:rsidR="0006191A" w:rsidRPr="00326A9E">
        <w:rPr>
          <w:lang w:val="en-US"/>
        </w:rPr>
        <w:t>with a record of advice and assessment of contributory factors and treatment options in the preceding 15 months</w:t>
      </w:r>
      <w:r w:rsidR="0009195D" w:rsidRPr="0006191A">
        <w:t xml:space="preserve">. </w:t>
      </w:r>
    </w:p>
    <w:p w14:paraId="06B62F8F" w14:textId="2678D85B" w:rsidR="00D141B1" w:rsidRPr="0006191A" w:rsidRDefault="00D141B1" w:rsidP="00EE354D">
      <w:pPr>
        <w:pStyle w:val="Paragraph"/>
      </w:pPr>
      <w:r w:rsidRPr="0006191A">
        <w:t xml:space="preserve">Denominator: </w:t>
      </w:r>
      <w:r w:rsidR="002B0BA6" w:rsidRPr="0006191A">
        <w:t xml:space="preserve">The number of </w:t>
      </w:r>
      <w:r w:rsidR="0006191A" w:rsidRPr="0006191A">
        <w:t xml:space="preserve">male </w:t>
      </w:r>
      <w:r w:rsidR="002B0BA6" w:rsidRPr="0006191A">
        <w:t>patients on the diabetes register</w:t>
      </w:r>
      <w:r w:rsidR="007E1DCB">
        <w:t xml:space="preserve"> with a record of erectile dysfunction</w:t>
      </w:r>
      <w:r w:rsidR="002B0BA6" w:rsidRPr="0006191A">
        <w:t>.</w:t>
      </w:r>
    </w:p>
    <w:p w14:paraId="04501E11" w14:textId="23E5F26C" w:rsidR="0009195D" w:rsidRDefault="0009195D" w:rsidP="00EE354D">
      <w:pPr>
        <w:pStyle w:val="Paragraph"/>
      </w:pPr>
      <w:r w:rsidRPr="0006191A">
        <w:t>Calculation: (Numerator/</w:t>
      </w:r>
      <w:proofErr w:type="gramStart"/>
      <w:r w:rsidRPr="0006191A">
        <w:t>denominator)*</w:t>
      </w:r>
      <w:proofErr w:type="gramEnd"/>
      <w:r w:rsidRPr="0006191A">
        <w:t>100</w:t>
      </w:r>
    </w:p>
    <w:p w14:paraId="200701E0" w14:textId="2404FF81" w:rsidR="00D141B1" w:rsidRDefault="00D141B1" w:rsidP="00EE354D">
      <w:pPr>
        <w:pStyle w:val="Paragraph"/>
      </w:pPr>
      <w:r>
        <w:t xml:space="preserve">Exclusions: </w:t>
      </w:r>
      <w:r w:rsidR="007E1DCB">
        <w:t xml:space="preserve">Male patients with no record of erectile dysfunction. </w:t>
      </w:r>
    </w:p>
    <w:p w14:paraId="6ECAB587" w14:textId="74470D2D" w:rsidR="004C4E8A" w:rsidRDefault="004C4E8A" w:rsidP="00EE354D">
      <w:pPr>
        <w:pStyle w:val="Paragraph"/>
      </w:pPr>
      <w:r w:rsidRPr="004C4E8A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04264620" w:rsidR="00245B12" w:rsidRPr="00EA7F52" w:rsidRDefault="00D141B1" w:rsidP="00D141B1">
    <w:pPr>
      <w:pStyle w:val="Footer"/>
    </w:pPr>
    <w:r>
      <w:t xml:space="preserve">NICE indicator guidance: </w:t>
    </w:r>
    <w:r w:rsidR="0006191A">
      <w:t>NM52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511654">
    <w:abstractNumId w:val="22"/>
  </w:num>
  <w:num w:numId="2" w16cid:durableId="377243120">
    <w:abstractNumId w:val="25"/>
  </w:num>
  <w:num w:numId="3" w16cid:durableId="1547528886">
    <w:abstractNumId w:val="25"/>
    <w:lvlOverride w:ilvl="0">
      <w:startOverride w:val="1"/>
    </w:lvlOverride>
  </w:num>
  <w:num w:numId="4" w16cid:durableId="368726401">
    <w:abstractNumId w:val="25"/>
    <w:lvlOverride w:ilvl="0">
      <w:startOverride w:val="1"/>
    </w:lvlOverride>
  </w:num>
  <w:num w:numId="5" w16cid:durableId="1107193919">
    <w:abstractNumId w:val="25"/>
    <w:lvlOverride w:ilvl="0">
      <w:startOverride w:val="1"/>
    </w:lvlOverride>
  </w:num>
  <w:num w:numId="6" w16cid:durableId="712118021">
    <w:abstractNumId w:val="25"/>
    <w:lvlOverride w:ilvl="0">
      <w:startOverride w:val="1"/>
    </w:lvlOverride>
  </w:num>
  <w:num w:numId="7" w16cid:durableId="51076802">
    <w:abstractNumId w:val="25"/>
    <w:lvlOverride w:ilvl="0">
      <w:startOverride w:val="1"/>
    </w:lvlOverride>
  </w:num>
  <w:num w:numId="8" w16cid:durableId="152988321">
    <w:abstractNumId w:val="9"/>
  </w:num>
  <w:num w:numId="9" w16cid:durableId="1305575118">
    <w:abstractNumId w:val="7"/>
  </w:num>
  <w:num w:numId="10" w16cid:durableId="136146936">
    <w:abstractNumId w:val="6"/>
  </w:num>
  <w:num w:numId="11" w16cid:durableId="1543713796">
    <w:abstractNumId w:val="5"/>
  </w:num>
  <w:num w:numId="12" w16cid:durableId="12541186">
    <w:abstractNumId w:val="4"/>
  </w:num>
  <w:num w:numId="13" w16cid:durableId="1898593145">
    <w:abstractNumId w:val="8"/>
  </w:num>
  <w:num w:numId="14" w16cid:durableId="568810929">
    <w:abstractNumId w:val="3"/>
  </w:num>
  <w:num w:numId="15" w16cid:durableId="486172004">
    <w:abstractNumId w:val="2"/>
  </w:num>
  <w:num w:numId="16" w16cid:durableId="356194914">
    <w:abstractNumId w:val="1"/>
  </w:num>
  <w:num w:numId="17" w16cid:durableId="1381899045">
    <w:abstractNumId w:val="0"/>
  </w:num>
  <w:num w:numId="18" w16cid:durableId="1675256003">
    <w:abstractNumId w:val="16"/>
  </w:num>
  <w:num w:numId="19" w16cid:durableId="1124351063">
    <w:abstractNumId w:val="16"/>
    <w:lvlOverride w:ilvl="0">
      <w:startOverride w:val="1"/>
    </w:lvlOverride>
  </w:num>
  <w:num w:numId="20" w16cid:durableId="1759716634">
    <w:abstractNumId w:val="12"/>
  </w:num>
  <w:num w:numId="21" w16cid:durableId="918516510">
    <w:abstractNumId w:val="13"/>
  </w:num>
  <w:num w:numId="22" w16cid:durableId="1484349662">
    <w:abstractNumId w:val="17"/>
  </w:num>
  <w:num w:numId="23" w16cid:durableId="1154561524">
    <w:abstractNumId w:val="18"/>
  </w:num>
  <w:num w:numId="24" w16cid:durableId="102456443">
    <w:abstractNumId w:val="22"/>
  </w:num>
  <w:num w:numId="25" w16cid:durableId="154498019">
    <w:abstractNumId w:val="20"/>
  </w:num>
  <w:num w:numId="26" w16cid:durableId="1516383055">
    <w:abstractNumId w:val="27"/>
  </w:num>
  <w:num w:numId="27" w16cid:durableId="1706254051">
    <w:abstractNumId w:val="26"/>
  </w:num>
  <w:num w:numId="28" w16cid:durableId="1795707218">
    <w:abstractNumId w:val="29"/>
  </w:num>
  <w:num w:numId="29" w16cid:durableId="686561453">
    <w:abstractNumId w:val="14"/>
  </w:num>
  <w:num w:numId="30" w16cid:durableId="1991716096">
    <w:abstractNumId w:val="15"/>
  </w:num>
  <w:num w:numId="31" w16cid:durableId="2120221940">
    <w:abstractNumId w:val="11"/>
  </w:num>
  <w:num w:numId="32" w16cid:durableId="1032455406">
    <w:abstractNumId w:val="24"/>
  </w:num>
  <w:num w:numId="33" w16cid:durableId="335812205">
    <w:abstractNumId w:val="28"/>
  </w:num>
  <w:num w:numId="34" w16cid:durableId="1465583952">
    <w:abstractNumId w:val="19"/>
  </w:num>
  <w:num w:numId="35" w16cid:durableId="1684161739">
    <w:abstractNumId w:val="10"/>
  </w:num>
  <w:num w:numId="36" w16cid:durableId="513567494">
    <w:abstractNumId w:val="22"/>
  </w:num>
  <w:num w:numId="37" w16cid:durableId="1431270092">
    <w:abstractNumId w:val="23"/>
  </w:num>
  <w:num w:numId="38" w16cid:durableId="1414325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0C37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191A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B6EFB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16DD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C6AF9"/>
    <w:rsid w:val="002D0A88"/>
    <w:rsid w:val="002D2875"/>
    <w:rsid w:val="002D3376"/>
    <w:rsid w:val="002D691E"/>
    <w:rsid w:val="002D74C0"/>
    <w:rsid w:val="002E5744"/>
    <w:rsid w:val="002F25FC"/>
    <w:rsid w:val="002F6266"/>
    <w:rsid w:val="002F6A33"/>
    <w:rsid w:val="00301592"/>
    <w:rsid w:val="00305DF6"/>
    <w:rsid w:val="00306095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3C83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47B57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0739"/>
    <w:rsid w:val="004B7B45"/>
    <w:rsid w:val="004C4698"/>
    <w:rsid w:val="004C4ABD"/>
    <w:rsid w:val="004C4C2D"/>
    <w:rsid w:val="004C4E8A"/>
    <w:rsid w:val="004C6A5C"/>
    <w:rsid w:val="004D0D69"/>
    <w:rsid w:val="004E1F75"/>
    <w:rsid w:val="004E2A20"/>
    <w:rsid w:val="004E4974"/>
    <w:rsid w:val="004E68CA"/>
    <w:rsid w:val="004F27F5"/>
    <w:rsid w:val="004F6057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4096"/>
    <w:rsid w:val="005A63EF"/>
    <w:rsid w:val="005A6544"/>
    <w:rsid w:val="005B27BA"/>
    <w:rsid w:val="005B2BC2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4CAD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33E2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D6B8B"/>
    <w:rsid w:val="007E1DCB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63D7D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86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372D"/>
    <w:rsid w:val="009D3D6B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87B22"/>
    <w:rsid w:val="00A90F05"/>
    <w:rsid w:val="00A93880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3B57"/>
    <w:rsid w:val="00B940DC"/>
    <w:rsid w:val="00B968B4"/>
    <w:rsid w:val="00BA02F9"/>
    <w:rsid w:val="00BA0F05"/>
    <w:rsid w:val="00BA1B8D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3D13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277FC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B5988"/>
    <w:rsid w:val="00DC047A"/>
    <w:rsid w:val="00DC06BC"/>
    <w:rsid w:val="00DC28B0"/>
    <w:rsid w:val="00DC36F5"/>
    <w:rsid w:val="00DD5F41"/>
    <w:rsid w:val="00DD6008"/>
    <w:rsid w:val="00DE1024"/>
    <w:rsid w:val="00DE16B2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2022-06-10T11:02:00Z</dcterms:created>
  <dcterms:modified xsi:type="dcterms:W3CDTF">2022-06-23T08:49:00Z</dcterms:modified>
</cp:coreProperties>
</file>