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03164C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64FF7A28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705087">
        <w:t>August 2012</w:t>
      </w:r>
    </w:p>
    <w:p w14:paraId="06BAB3FE" w14:textId="6DB28840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166726">
        <w:t>October</w:t>
      </w:r>
      <w:r w:rsidR="00332692">
        <w:t xml:space="preserve"> 2020</w:t>
      </w:r>
    </w:p>
    <w:p w14:paraId="6107852F" w14:textId="455301E8" w:rsidR="006F0A86" w:rsidRDefault="006F0A86" w:rsidP="0003164C">
      <w:pPr>
        <w:pStyle w:val="Heading2"/>
      </w:pPr>
      <w:r w:rsidRPr="00126C3F">
        <w:t xml:space="preserve">Indicator </w:t>
      </w:r>
      <w:r w:rsidR="00E961B9">
        <w:t>NM57</w:t>
      </w:r>
    </w:p>
    <w:p w14:paraId="0A6C169D" w14:textId="04563225" w:rsidR="00611A1D" w:rsidRPr="00611A1D" w:rsidRDefault="00F72600" w:rsidP="00611A1D">
      <w:pPr>
        <w:pStyle w:val="Paragraph"/>
      </w:pPr>
      <w:r w:rsidRPr="00F72600">
        <w:t>The percentage of patients aged 50-90 years with rheumatoid arthritis who have had an assessment of fracture risk using a risk assessment tool adjusted for RA in the preceding 27 months.</w:t>
      </w:r>
    </w:p>
    <w:p w14:paraId="18778417" w14:textId="333A8E39" w:rsidR="00806B97" w:rsidRDefault="00806B97" w:rsidP="0003164C">
      <w:pPr>
        <w:pStyle w:val="Heading2"/>
      </w:pPr>
      <w:r w:rsidRPr="00806B97">
        <w:t xml:space="preserve">Indicator type </w:t>
      </w:r>
    </w:p>
    <w:p w14:paraId="1F16E37E" w14:textId="54E70293" w:rsidR="00F6535D" w:rsidRPr="00ED524C" w:rsidRDefault="001C31E9" w:rsidP="008E7A29">
      <w:pPr>
        <w:pStyle w:val="Paragraph"/>
      </w:pPr>
      <w:r w:rsidRPr="00ED524C">
        <w:t>General practice indicator suitable for use in the Quality and Outcomes Framework.</w:t>
      </w:r>
    </w:p>
    <w:p w14:paraId="5CBA37E8" w14:textId="6F58C6BE" w:rsidR="006F0A86" w:rsidRDefault="006F0A86" w:rsidP="0003164C">
      <w:pPr>
        <w:pStyle w:val="Heading2"/>
        <w:rPr>
          <w:i/>
        </w:rPr>
      </w:pPr>
      <w:r w:rsidRPr="00011273">
        <w:t>Rationale</w:t>
      </w:r>
    </w:p>
    <w:p w14:paraId="1AF03676" w14:textId="397AF8C4" w:rsidR="00ED524C" w:rsidRDefault="00ED524C" w:rsidP="00ED524C">
      <w:pPr>
        <w:pStyle w:val="Paragraph"/>
      </w:pPr>
      <w:r>
        <w:t>Assessing for risk of fracture is an important part of holistic primary care for people with rheumatoid arthritis</w:t>
      </w:r>
      <w:r w:rsidR="00332692">
        <w:t xml:space="preserve"> over 50 years old</w:t>
      </w:r>
      <w:r>
        <w:t>.</w:t>
      </w:r>
      <w:r w:rsidR="0017678C">
        <w:t xml:space="preserve"> </w:t>
      </w:r>
      <w:r w:rsidR="0017678C" w:rsidRPr="0017678C">
        <w:t xml:space="preserve">There are </w:t>
      </w:r>
      <w:proofErr w:type="gramStart"/>
      <w:r w:rsidR="0017678C" w:rsidRPr="0017678C">
        <w:t>a number of</w:t>
      </w:r>
      <w:proofErr w:type="gramEnd"/>
      <w:r w:rsidR="0017678C" w:rsidRPr="0017678C">
        <w:t xml:space="preserve"> therapies and treatments available for the prevention of fragility fractures in people who are thought to be at risk</w:t>
      </w:r>
      <w:r w:rsidR="0017678C">
        <w:t>.</w:t>
      </w:r>
      <w:r w:rsidR="0017678C" w:rsidRPr="0017678C">
        <w:t xml:space="preserve"> </w:t>
      </w:r>
      <w:r w:rsidR="0048416A">
        <w:t xml:space="preserve">This indicator </w:t>
      </w:r>
      <w:r w:rsidR="007E7E2D">
        <w:t>requires assessment of fracture risk using r</w:t>
      </w:r>
      <w:r w:rsidR="0017678C" w:rsidRPr="0017678C">
        <w:t xml:space="preserve">isk assessment tools </w:t>
      </w:r>
      <w:r w:rsidR="00C00166">
        <w:t xml:space="preserve">adjusted for rheumatoid arthritis </w:t>
      </w:r>
      <w:r w:rsidR="007E7E2D">
        <w:t xml:space="preserve">to </w:t>
      </w:r>
      <w:r w:rsidR="0017678C" w:rsidRPr="0017678C">
        <w:t>aid decision-making</w:t>
      </w:r>
      <w:r w:rsidR="0017678C">
        <w:t xml:space="preserve"> on </w:t>
      </w:r>
      <w:r w:rsidR="0017678C" w:rsidRPr="0017678C">
        <w:t xml:space="preserve">who will benefit from preventative </w:t>
      </w:r>
      <w:r w:rsidR="0048416A">
        <w:t xml:space="preserve">therapies and </w:t>
      </w:r>
      <w:r w:rsidR="0017678C" w:rsidRPr="0017678C">
        <w:t>treatment.</w:t>
      </w:r>
    </w:p>
    <w:p w14:paraId="69D4A75D" w14:textId="00B0ED6D" w:rsidR="00D141B1" w:rsidRDefault="00D141B1" w:rsidP="0003164C">
      <w:pPr>
        <w:pStyle w:val="Heading2"/>
        <w:rPr>
          <w:i/>
        </w:rPr>
      </w:pPr>
      <w:r w:rsidRPr="001F2B33">
        <w:t xml:space="preserve">Source guidance </w:t>
      </w:r>
    </w:p>
    <w:p w14:paraId="03C063FD" w14:textId="0E5BAFBF" w:rsidR="00C00166" w:rsidRDefault="00E73530" w:rsidP="00EE354D">
      <w:pPr>
        <w:pStyle w:val="Paragraph"/>
      </w:pPr>
      <w:hyperlink r:id="rId7" w:history="1">
        <w:r w:rsidR="00C00166" w:rsidRPr="006E7326">
          <w:rPr>
            <w:rStyle w:val="Hyperlink"/>
          </w:rPr>
          <w:t>Rheumatoid arthritis in adults: management</w:t>
        </w:r>
      </w:hyperlink>
      <w:r w:rsidR="00C00166">
        <w:rPr>
          <w:rStyle w:val="Hyperlink"/>
        </w:rPr>
        <w:t xml:space="preserve">. </w:t>
      </w:r>
      <w:r w:rsidR="00C00166" w:rsidRPr="00C00166">
        <w:rPr>
          <w:rStyle w:val="Hyperlink"/>
        </w:rPr>
        <w:t>NICE guideline NG100</w:t>
      </w:r>
      <w:r w:rsidR="00C00166">
        <w:t xml:space="preserve"> </w:t>
      </w:r>
      <w:r w:rsidR="00C00166" w:rsidRPr="00BD6253">
        <w:t>(</w:t>
      </w:r>
      <w:r w:rsidR="00C00166">
        <w:t>2018</w:t>
      </w:r>
      <w:r w:rsidR="00C00166" w:rsidRPr="00BD6253">
        <w:t xml:space="preserve">), recommendation </w:t>
      </w:r>
      <w:r w:rsidR="00C00166">
        <w:t>1.9.3</w:t>
      </w:r>
      <w:r w:rsidR="00D469A0">
        <w:t>.</w:t>
      </w:r>
    </w:p>
    <w:p w14:paraId="3882473C" w14:textId="6AFC6BB8" w:rsidR="00F56DB0" w:rsidRDefault="00E73530" w:rsidP="00EE354D">
      <w:pPr>
        <w:pStyle w:val="Paragraph"/>
        <w:rPr>
          <w:highlight w:val="lightGray"/>
        </w:rPr>
      </w:pPr>
      <w:hyperlink r:id="rId8" w:history="1">
        <w:r w:rsidR="00F56DB0" w:rsidRPr="00F56DB0">
          <w:rPr>
            <w:rStyle w:val="Hyperlink"/>
          </w:rPr>
          <w:t>Osteoporosis: assessing the risk of fragility fracture. NICE guideline CG146</w:t>
        </w:r>
      </w:hyperlink>
      <w:r w:rsidR="00F56DB0">
        <w:t xml:space="preserve"> (2012, updated 2017) recommendations 1.4</w:t>
      </w:r>
      <w:r w:rsidR="002E2643">
        <w:t xml:space="preserve">, </w:t>
      </w:r>
      <w:r w:rsidR="00F56DB0">
        <w:t>1.7</w:t>
      </w:r>
      <w:r w:rsidR="00E83510">
        <w:t xml:space="preserve">, </w:t>
      </w:r>
      <w:r w:rsidR="002E2643">
        <w:t>1.11</w:t>
      </w:r>
      <w:r w:rsidR="00E83510">
        <w:t xml:space="preserve"> and 1.12</w:t>
      </w:r>
      <w:r w:rsidR="00D469A0">
        <w:t>.</w:t>
      </w:r>
    </w:p>
    <w:p w14:paraId="05AD89C4" w14:textId="77777777" w:rsidR="00D141B1" w:rsidRDefault="00D141B1" w:rsidP="0003164C">
      <w:pPr>
        <w:pStyle w:val="Heading2"/>
      </w:pPr>
      <w:r>
        <w:lastRenderedPageBreak/>
        <w:t xml:space="preserve">Specification </w:t>
      </w:r>
    </w:p>
    <w:p w14:paraId="4B62A813" w14:textId="0ADEB650" w:rsidR="0009195D" w:rsidRDefault="00D141B1" w:rsidP="00EE354D">
      <w:pPr>
        <w:pStyle w:val="Paragraph"/>
      </w:pPr>
      <w:r>
        <w:t xml:space="preserve">Numerator: </w:t>
      </w:r>
      <w:r w:rsidR="004E3E9B">
        <w:t xml:space="preserve">The number of patients in the denominator </w:t>
      </w:r>
      <w:r w:rsidR="004E3E9B" w:rsidRPr="004E3E9B">
        <w:t>who have had an assessment of fracture risk using a risk assessment tool adjusted for RA in the preceding 27 months</w:t>
      </w:r>
      <w:r w:rsidR="0009195D">
        <w:t>.</w:t>
      </w:r>
      <w:r w:rsidR="0009195D" w:rsidRPr="0009195D">
        <w:t xml:space="preserve"> </w:t>
      </w:r>
    </w:p>
    <w:p w14:paraId="06B62F8F" w14:textId="0A9C8BE2" w:rsidR="00D141B1" w:rsidRDefault="00D141B1" w:rsidP="00EE354D">
      <w:pPr>
        <w:pStyle w:val="Paragraph"/>
      </w:pPr>
      <w:r>
        <w:t xml:space="preserve">Denominator: </w:t>
      </w:r>
      <w:r w:rsidR="004E3E9B">
        <w:t>The number of patients aged 50-90 years on the rheumatoid arthritis register</w:t>
      </w:r>
      <w:r w:rsidR="002B0BA6">
        <w:t>.</w:t>
      </w:r>
    </w:p>
    <w:p w14:paraId="04501E11" w14:textId="31A2000B" w:rsidR="0009195D" w:rsidRDefault="0009195D" w:rsidP="00EE354D">
      <w:pPr>
        <w:pStyle w:val="Paragraph"/>
      </w:pPr>
      <w:r>
        <w:t>Calculation</w:t>
      </w:r>
      <w:r w:rsidRPr="004E3E9B">
        <w:t>: (Numerator/</w:t>
      </w:r>
      <w:proofErr w:type="gramStart"/>
      <w:r w:rsidRPr="004E3E9B">
        <w:t>denominator)*</w:t>
      </w:r>
      <w:proofErr w:type="gramEnd"/>
      <w:r w:rsidRPr="004E3E9B">
        <w:t>100</w:t>
      </w:r>
    </w:p>
    <w:p w14:paraId="320329CA" w14:textId="77777777" w:rsidR="00E83510" w:rsidRDefault="00D141B1" w:rsidP="00EE354D">
      <w:pPr>
        <w:pStyle w:val="Paragraph"/>
      </w:pPr>
      <w:r>
        <w:t xml:space="preserve">Exclusions: </w:t>
      </w:r>
    </w:p>
    <w:p w14:paraId="0F4E6ECB" w14:textId="77777777" w:rsidR="00E83510" w:rsidRDefault="00081EC8" w:rsidP="00E83510">
      <w:pPr>
        <w:pStyle w:val="Bulletleft1"/>
      </w:pPr>
      <w:r>
        <w:t>Patients on the rheumatoid arthritis register with a diagnosis of oste</w:t>
      </w:r>
      <w:r w:rsidR="00394BF6">
        <w:t xml:space="preserve">oporosis for more than 27 months. </w:t>
      </w:r>
    </w:p>
    <w:p w14:paraId="5F20F1FF" w14:textId="77777777" w:rsidR="00E83510" w:rsidRDefault="00DA68B4" w:rsidP="00E83510">
      <w:pPr>
        <w:pStyle w:val="Bulletleft1"/>
      </w:pPr>
      <w:r>
        <w:t xml:space="preserve">Patients on the rheumatoid arthritis register with a DXA scan result of osteoporotic or </w:t>
      </w:r>
      <w:r w:rsidRPr="00DA68B4">
        <w:t>with an associated T score of -2.5 or less</w:t>
      </w:r>
      <w:r w:rsidR="00DF45AD">
        <w:t xml:space="preserve"> </w:t>
      </w:r>
      <w:r>
        <w:t xml:space="preserve">recorded more than 27 months </w:t>
      </w:r>
      <w:r w:rsidR="009B5677">
        <w:t>ago</w:t>
      </w:r>
      <w:r>
        <w:t>.</w:t>
      </w:r>
      <w:r w:rsidR="009B5677">
        <w:t xml:space="preserve"> </w:t>
      </w:r>
    </w:p>
    <w:p w14:paraId="200701E0" w14:textId="4EFD1BD1" w:rsidR="00D141B1" w:rsidRDefault="009B5677" w:rsidP="00E83510">
      <w:pPr>
        <w:pStyle w:val="Bulletleft1"/>
      </w:pPr>
      <w:r>
        <w:t xml:space="preserve">Patients on the rheumatoid arthritis register prescribed a bone sparing agent more than 27 months but less than 33 months </w:t>
      </w:r>
      <w:r w:rsidR="00D17E82">
        <w:t>ago</w:t>
      </w:r>
      <w:r>
        <w:t>.</w:t>
      </w:r>
      <w:r w:rsidR="00DA68B4">
        <w:t xml:space="preserve"> </w:t>
      </w:r>
    </w:p>
    <w:p w14:paraId="15239063" w14:textId="5C9F73DD" w:rsidR="00706451" w:rsidRDefault="00706451" w:rsidP="00EE354D">
      <w:pPr>
        <w:pStyle w:val="Paragraph"/>
      </w:pPr>
      <w:r>
        <w:t xml:space="preserve">Minimum population: </w:t>
      </w:r>
      <w:r w:rsidR="000D5395" w:rsidRPr="004E3E9B">
        <w:t xml:space="preserve">The indicator would be appropriate </w:t>
      </w:r>
      <w:r w:rsidR="00391F4B" w:rsidRPr="004E3E9B">
        <w:t xml:space="preserve">to assess performance </w:t>
      </w:r>
      <w:r w:rsidR="003B53D0" w:rsidRPr="004E3E9B">
        <w:t xml:space="preserve">at </w:t>
      </w:r>
      <w:r w:rsidR="00391F4B" w:rsidRPr="004E3E9B">
        <w:t>individual</w:t>
      </w:r>
      <w:r w:rsidR="000D5395" w:rsidRPr="004E3E9B">
        <w:t xml:space="preserve"> general practice</w:t>
      </w:r>
      <w:r w:rsidR="00391F4B" w:rsidRPr="004E3E9B">
        <w:t xml:space="preserve"> level</w:t>
      </w:r>
      <w:r w:rsidR="000D5395" w:rsidRPr="004E3E9B">
        <w:t xml:space="preserve">. </w:t>
      </w:r>
    </w:p>
    <w:p w14:paraId="129ECA00" w14:textId="65691789" w:rsidR="0009195D" w:rsidRPr="0009195D" w:rsidRDefault="0009195D" w:rsidP="0003164C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FDF9" w14:textId="77777777" w:rsidR="00E73530" w:rsidRDefault="00E73530" w:rsidP="00446BEE">
      <w:r>
        <w:separator/>
      </w:r>
    </w:p>
  </w:endnote>
  <w:endnote w:type="continuationSeparator" w:id="0">
    <w:p w14:paraId="3605F739" w14:textId="77777777" w:rsidR="00E73530" w:rsidRDefault="00E7353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68D070A8" w:rsidR="00245B12" w:rsidRPr="00EA7F52" w:rsidRDefault="00D141B1" w:rsidP="00D141B1">
    <w:pPr>
      <w:pStyle w:val="Footer"/>
    </w:pPr>
    <w:r>
      <w:t>NICE indicator guidance</w:t>
    </w:r>
    <w:r w:rsidRPr="00E961B9">
      <w:t xml:space="preserve">: </w:t>
    </w:r>
    <w:r w:rsidR="00E961B9" w:rsidRPr="00E961B9">
      <w:t>NM57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4D26" w14:textId="77777777" w:rsidR="00E73530" w:rsidRDefault="00E73530" w:rsidP="00446BEE">
      <w:r>
        <w:separator/>
      </w:r>
    </w:p>
  </w:footnote>
  <w:footnote w:type="continuationSeparator" w:id="0">
    <w:p w14:paraId="09A110A2" w14:textId="77777777" w:rsidR="00E73530" w:rsidRDefault="00E7353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60E56"/>
    <w:multiLevelType w:val="hybridMultilevel"/>
    <w:tmpl w:val="5D620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64C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0F5E"/>
    <w:rsid w:val="00081EC8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66726"/>
    <w:rsid w:val="0017169E"/>
    <w:rsid w:val="00172282"/>
    <w:rsid w:val="0017678C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05F3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2643"/>
    <w:rsid w:val="002E5744"/>
    <w:rsid w:val="002F25FC"/>
    <w:rsid w:val="002F6123"/>
    <w:rsid w:val="002F6A33"/>
    <w:rsid w:val="003054CA"/>
    <w:rsid w:val="00305DF6"/>
    <w:rsid w:val="00306A73"/>
    <w:rsid w:val="00311ED0"/>
    <w:rsid w:val="00312208"/>
    <w:rsid w:val="00312B41"/>
    <w:rsid w:val="00313297"/>
    <w:rsid w:val="00332692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94BF6"/>
    <w:rsid w:val="003B53D0"/>
    <w:rsid w:val="003C7AAF"/>
    <w:rsid w:val="003D61BE"/>
    <w:rsid w:val="003D6D57"/>
    <w:rsid w:val="003E147F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8416A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3E9B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087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E2D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B5677"/>
    <w:rsid w:val="009C0BD9"/>
    <w:rsid w:val="009D037B"/>
    <w:rsid w:val="009D28EE"/>
    <w:rsid w:val="009D3369"/>
    <w:rsid w:val="009D400A"/>
    <w:rsid w:val="009D717F"/>
    <w:rsid w:val="009E680B"/>
    <w:rsid w:val="009F00D4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166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17E82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69A0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68B4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3530"/>
    <w:rsid w:val="00E74036"/>
    <w:rsid w:val="00E83510"/>
    <w:rsid w:val="00E83609"/>
    <w:rsid w:val="00E84C88"/>
    <w:rsid w:val="00E86111"/>
    <w:rsid w:val="00E87113"/>
    <w:rsid w:val="00E961B9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D524C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56DB0"/>
    <w:rsid w:val="00F610AF"/>
    <w:rsid w:val="00F6535D"/>
    <w:rsid w:val="00F72600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03164C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03164C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2020-10-26T16:58:00Z</dcterms:created>
  <dcterms:modified xsi:type="dcterms:W3CDTF">2020-11-02T14:34:00Z</dcterms:modified>
</cp:coreProperties>
</file>