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68BD399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18317E">
        <w:t>August 201</w:t>
      </w:r>
      <w:r w:rsidR="00A16753">
        <w:t>2</w:t>
      </w:r>
    </w:p>
    <w:p w14:paraId="06BAB3FE" w14:textId="15141374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94629">
        <w:t>March</w:t>
      </w:r>
      <w:r w:rsidR="00E6366F">
        <w:t xml:space="preserve"> </w:t>
      </w:r>
      <w:r w:rsidR="000623EC">
        <w:t>202</w:t>
      </w:r>
      <w:r w:rsidR="00E6366F">
        <w:t>2</w:t>
      </w:r>
    </w:p>
    <w:p w14:paraId="6107852F" w14:textId="2DD379D9" w:rsidR="006F0A86" w:rsidRDefault="006F0A86" w:rsidP="00126C3F">
      <w:pPr>
        <w:pStyle w:val="Heading1"/>
      </w:pPr>
      <w:r w:rsidRPr="00126C3F">
        <w:t xml:space="preserve">Indicator </w:t>
      </w:r>
      <w:r w:rsidR="0018317E">
        <w:t>NM59</w:t>
      </w:r>
    </w:p>
    <w:p w14:paraId="0A6C169D" w14:textId="14F03D77" w:rsidR="00611A1D" w:rsidRPr="00611A1D" w:rsidRDefault="0018317E" w:rsidP="00611A1D">
      <w:pPr>
        <w:pStyle w:val="Paragraph"/>
      </w:pPr>
      <w:r>
        <w:t>The percentage of patients with diabetes who have a record of an albumin:creatinine ratio (ACR) test in the preceding 15 months</w:t>
      </w:r>
      <w:r>
        <w:rPr>
          <w:lang w:val="en-US"/>
        </w:rP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18317E" w:rsidRDefault="001C31E9" w:rsidP="008E7A29">
      <w:pPr>
        <w:pStyle w:val="Paragraph"/>
      </w:pPr>
      <w:r w:rsidRPr="0018317E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2A9E9287" w14:textId="1E11BA0B" w:rsidR="0018317E" w:rsidRDefault="0018317E" w:rsidP="0018317E">
      <w:pPr>
        <w:pStyle w:val="Paragraph"/>
      </w:pPr>
      <w:r>
        <w:t xml:space="preserve">This indicator measures the process of conducting an ACR test. Its intent is that people with diabetes are tested annually for the </w:t>
      </w:r>
      <w:r w:rsidR="00E6366F" w:rsidRPr="00E6366F">
        <w:t xml:space="preserve">initial detection of moderately increased </w:t>
      </w:r>
      <w:r w:rsidR="001908ED" w:rsidRPr="00E6366F">
        <w:t>albuminuria</w:t>
      </w:r>
      <w:r w:rsidR="00E6366F" w:rsidRPr="00E6366F">
        <w:t xml:space="preserve"> and nephropathy</w:t>
      </w:r>
      <w:r w:rsidR="00075656">
        <w:t>.</w:t>
      </w:r>
      <w:r w:rsidR="007935A1">
        <w:t xml:space="preserve"> </w:t>
      </w:r>
      <w:r>
        <w:t>Prompt detection and treatment of these complications of diabetes can lead to a reduction in health outcomes such as end stage renal failure and cardiovascular morbidity and mortality. NICE</w:t>
      </w:r>
      <w:r w:rsidR="001908ED">
        <w:t>’s guidelines on</w:t>
      </w:r>
      <w:r>
        <w:t xml:space="preserve"> diabetes recommend that all people with diabetes should have an ACR measured at diagnosis and at regular intervals, usually annually.</w:t>
      </w:r>
    </w:p>
    <w:p w14:paraId="7A444F2C" w14:textId="45995209" w:rsidR="0018317E" w:rsidRDefault="0018317E" w:rsidP="0018317E">
      <w:pPr>
        <w:pStyle w:val="Paragraph"/>
      </w:pPr>
      <w:r>
        <w:t>NICE</w:t>
      </w:r>
      <w:r w:rsidR="001908ED">
        <w:t>’s guideline on</w:t>
      </w:r>
      <w:r>
        <w:t xml:space="preserve"> </w:t>
      </w:r>
      <w:r w:rsidR="001908ED">
        <w:t>c</w:t>
      </w:r>
      <w:r w:rsidR="00E47D40">
        <w:t xml:space="preserve">hronic </w:t>
      </w:r>
      <w:r w:rsidR="001908ED">
        <w:t>k</w:t>
      </w:r>
      <w:r w:rsidR="00E47D40">
        <w:t xml:space="preserve">idney </w:t>
      </w:r>
      <w:r w:rsidR="001908ED">
        <w:t>d</w:t>
      </w:r>
      <w:r w:rsidR="00E47D40">
        <w:t>isease (</w:t>
      </w:r>
      <w:r>
        <w:t>CKD</w:t>
      </w:r>
      <w:r w:rsidR="00E47D40">
        <w:t>)</w:t>
      </w:r>
      <w:r>
        <w:t xml:space="preserve"> recommends that ACR should be used to detect and identify proteinuria. It has a greater sensitivity than protein:creatinine ratio (PCR) for low levels of proteinuria. ACR is also the recommended method for quantification and monitoring of proteinuria in people with diabetes.</w:t>
      </w:r>
      <w:r>
        <w:cr/>
      </w:r>
    </w:p>
    <w:p w14:paraId="6EFFAA47" w14:textId="2C00B057" w:rsidR="006F0A86" w:rsidRDefault="00881213" w:rsidP="00EE354D">
      <w:pPr>
        <w:pStyle w:val="Paragraph"/>
      </w:pPr>
      <w:r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1E259BBD" w14:textId="5A028741" w:rsidR="00D141B1" w:rsidRDefault="0084681F" w:rsidP="00EE354D">
      <w:pPr>
        <w:pStyle w:val="Paragraph"/>
      </w:pPr>
      <w:hyperlink r:id="rId7" w:history="1">
        <w:r w:rsidR="0018317E" w:rsidRPr="005508AC">
          <w:rPr>
            <w:rStyle w:val="Hyperlink"/>
          </w:rPr>
          <w:t>Type 1 diabetes in adults: diagnosis and management. NICE guideline NG17</w:t>
        </w:r>
      </w:hyperlink>
      <w:r w:rsidR="0018317E">
        <w:t xml:space="preserve"> (</w:t>
      </w:r>
      <w:r w:rsidR="0018317E" w:rsidRPr="00DF1A3B">
        <w:t>201</w:t>
      </w:r>
      <w:r w:rsidR="00E6366F">
        <w:t>5, updated 202</w:t>
      </w:r>
      <w:r w:rsidR="00C94629">
        <w:t>2</w:t>
      </w:r>
      <w:r w:rsidR="0018317E" w:rsidRPr="00DF1A3B">
        <w:t>)</w:t>
      </w:r>
      <w:r w:rsidR="0018317E">
        <w:t xml:space="preserve">, </w:t>
      </w:r>
      <w:r w:rsidR="0018317E" w:rsidRPr="00BD6253">
        <w:t>recommendation</w:t>
      </w:r>
      <w:r w:rsidR="00E6366F">
        <w:t>s</w:t>
      </w:r>
      <w:r w:rsidR="0018317E">
        <w:t xml:space="preserve"> 1.1.</w:t>
      </w:r>
      <w:r w:rsidR="00421E4D">
        <w:t>10</w:t>
      </w:r>
      <w:r w:rsidR="00E6366F">
        <w:t>, 1.1.</w:t>
      </w:r>
      <w:r w:rsidR="00421E4D">
        <w:t>11</w:t>
      </w:r>
      <w:r w:rsidR="00E6366F">
        <w:t xml:space="preserve"> and 1.15.</w:t>
      </w:r>
      <w:r w:rsidR="00BF7361">
        <w:t>10</w:t>
      </w:r>
    </w:p>
    <w:p w14:paraId="6AF2D1B1" w14:textId="72F780DC" w:rsidR="004C4ABD" w:rsidRPr="00BD6253" w:rsidRDefault="0084681F" w:rsidP="00EE354D">
      <w:pPr>
        <w:pStyle w:val="Paragraph"/>
      </w:pPr>
      <w:hyperlink r:id="rId8" w:history="1">
        <w:r w:rsidR="00157A5B">
          <w:rPr>
            <w:rStyle w:val="Hyperlink"/>
          </w:rPr>
          <w:t>Chronic kidney disease</w:t>
        </w:r>
        <w:r w:rsidR="001908ED">
          <w:rPr>
            <w:rStyle w:val="Hyperlink"/>
          </w:rPr>
          <w:t>: assessment and management</w:t>
        </w:r>
        <w:r w:rsidR="00157A5B">
          <w:rPr>
            <w:rStyle w:val="Hyperlink"/>
          </w:rPr>
          <w:t>. NICE guideline NG203</w:t>
        </w:r>
      </w:hyperlink>
      <w:r w:rsidR="00157A5B">
        <w:rPr>
          <w:rStyle w:val="Hyperlink"/>
          <w:u w:val="none"/>
        </w:rPr>
        <w:t xml:space="preserve"> </w:t>
      </w:r>
      <w:r w:rsidR="0018317E">
        <w:t>(20</w:t>
      </w:r>
      <w:r w:rsidR="000623EC">
        <w:t>21</w:t>
      </w:r>
      <w:r w:rsidR="0018317E">
        <w:t>), recommendation 1.1.1</w:t>
      </w:r>
      <w:r w:rsidR="000623EC">
        <w:t>2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0FCFA3B2" w:rsidR="0009195D" w:rsidRPr="0018317E" w:rsidRDefault="00D141B1" w:rsidP="00EE354D">
      <w:pPr>
        <w:pStyle w:val="Paragraph"/>
      </w:pPr>
      <w:r>
        <w:t xml:space="preserve">Numerator: </w:t>
      </w:r>
      <w:r w:rsidR="0009195D" w:rsidRPr="0018317E">
        <w:t xml:space="preserve">The number of patients in the denominator </w:t>
      </w:r>
      <w:r w:rsidR="0018317E" w:rsidRPr="0018317E">
        <w:t>who have a record of an albumin:creatinine ratio (ACR) test in the preceding 15 months</w:t>
      </w:r>
      <w:r w:rsidR="0009195D" w:rsidRPr="0018317E">
        <w:t xml:space="preserve">. </w:t>
      </w:r>
    </w:p>
    <w:p w14:paraId="06B62F8F" w14:textId="55C52DB7" w:rsidR="00D141B1" w:rsidRPr="0018317E" w:rsidRDefault="00D141B1" w:rsidP="00EE354D">
      <w:pPr>
        <w:pStyle w:val="Paragraph"/>
      </w:pPr>
      <w:r w:rsidRPr="0018317E">
        <w:t xml:space="preserve">Denominator: </w:t>
      </w:r>
      <w:r w:rsidR="002B0BA6" w:rsidRPr="0018317E">
        <w:t>The number of patients on the diabetes register.</w:t>
      </w:r>
    </w:p>
    <w:p w14:paraId="04501E11" w14:textId="27810172" w:rsidR="0009195D" w:rsidRDefault="0009195D" w:rsidP="00EE354D">
      <w:pPr>
        <w:pStyle w:val="Paragraph"/>
      </w:pPr>
      <w:r w:rsidRPr="0018317E">
        <w:t>Calculation: (Numerator/denominator)*100</w:t>
      </w:r>
    </w:p>
    <w:p w14:paraId="200701E0" w14:textId="004A997D" w:rsidR="00D141B1" w:rsidRDefault="00D141B1" w:rsidP="00EE354D">
      <w:pPr>
        <w:pStyle w:val="Paragraph"/>
      </w:pPr>
      <w:r w:rsidRPr="00FA0633">
        <w:t>Exclusions</w:t>
      </w:r>
      <w:r w:rsidR="00FA0633" w:rsidRPr="00FA0633">
        <w:t xml:space="preserve">: </w:t>
      </w:r>
      <w:r w:rsidR="00AD1BA1" w:rsidRPr="00FA0633">
        <w:t>None</w:t>
      </w:r>
      <w:r w:rsidR="00DF45AD">
        <w:t xml:space="preserve">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B24769F" w:rsidR="00245B12" w:rsidRPr="00EA7F52" w:rsidRDefault="00D141B1" w:rsidP="00D141B1">
    <w:pPr>
      <w:pStyle w:val="Footer"/>
    </w:pPr>
    <w:r>
      <w:t xml:space="preserve">NICE indicator guidance: </w:t>
    </w:r>
    <w:r w:rsidR="0018317E">
      <w:t>NM59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0678150">
    <w:abstractNumId w:val="22"/>
  </w:num>
  <w:num w:numId="2" w16cid:durableId="2050182493">
    <w:abstractNumId w:val="25"/>
  </w:num>
  <w:num w:numId="3" w16cid:durableId="70347392">
    <w:abstractNumId w:val="25"/>
    <w:lvlOverride w:ilvl="0">
      <w:startOverride w:val="1"/>
    </w:lvlOverride>
  </w:num>
  <w:num w:numId="4" w16cid:durableId="1408263575">
    <w:abstractNumId w:val="25"/>
    <w:lvlOverride w:ilvl="0">
      <w:startOverride w:val="1"/>
    </w:lvlOverride>
  </w:num>
  <w:num w:numId="5" w16cid:durableId="415564512">
    <w:abstractNumId w:val="25"/>
    <w:lvlOverride w:ilvl="0">
      <w:startOverride w:val="1"/>
    </w:lvlOverride>
  </w:num>
  <w:num w:numId="6" w16cid:durableId="1887139987">
    <w:abstractNumId w:val="25"/>
    <w:lvlOverride w:ilvl="0">
      <w:startOverride w:val="1"/>
    </w:lvlOverride>
  </w:num>
  <w:num w:numId="7" w16cid:durableId="1765880949">
    <w:abstractNumId w:val="25"/>
    <w:lvlOverride w:ilvl="0">
      <w:startOverride w:val="1"/>
    </w:lvlOverride>
  </w:num>
  <w:num w:numId="8" w16cid:durableId="442575102">
    <w:abstractNumId w:val="9"/>
  </w:num>
  <w:num w:numId="9" w16cid:durableId="2119904551">
    <w:abstractNumId w:val="7"/>
  </w:num>
  <w:num w:numId="10" w16cid:durableId="1371109023">
    <w:abstractNumId w:val="6"/>
  </w:num>
  <w:num w:numId="11" w16cid:durableId="512308524">
    <w:abstractNumId w:val="5"/>
  </w:num>
  <w:num w:numId="12" w16cid:durableId="1472943264">
    <w:abstractNumId w:val="4"/>
  </w:num>
  <w:num w:numId="13" w16cid:durableId="1233346272">
    <w:abstractNumId w:val="8"/>
  </w:num>
  <w:num w:numId="14" w16cid:durableId="1159540676">
    <w:abstractNumId w:val="3"/>
  </w:num>
  <w:num w:numId="15" w16cid:durableId="1529291006">
    <w:abstractNumId w:val="2"/>
  </w:num>
  <w:num w:numId="16" w16cid:durableId="626591112">
    <w:abstractNumId w:val="1"/>
  </w:num>
  <w:num w:numId="17" w16cid:durableId="628631146">
    <w:abstractNumId w:val="0"/>
  </w:num>
  <w:num w:numId="18" w16cid:durableId="1670980621">
    <w:abstractNumId w:val="16"/>
  </w:num>
  <w:num w:numId="19" w16cid:durableId="1361126971">
    <w:abstractNumId w:val="16"/>
    <w:lvlOverride w:ilvl="0">
      <w:startOverride w:val="1"/>
    </w:lvlOverride>
  </w:num>
  <w:num w:numId="20" w16cid:durableId="470094302">
    <w:abstractNumId w:val="12"/>
  </w:num>
  <w:num w:numId="21" w16cid:durableId="1592396300">
    <w:abstractNumId w:val="13"/>
  </w:num>
  <w:num w:numId="22" w16cid:durableId="456534146">
    <w:abstractNumId w:val="17"/>
  </w:num>
  <w:num w:numId="23" w16cid:durableId="1093283636">
    <w:abstractNumId w:val="18"/>
  </w:num>
  <w:num w:numId="24" w16cid:durableId="319816094">
    <w:abstractNumId w:val="22"/>
  </w:num>
  <w:num w:numId="25" w16cid:durableId="78793280">
    <w:abstractNumId w:val="20"/>
  </w:num>
  <w:num w:numId="26" w16cid:durableId="1266303383">
    <w:abstractNumId w:val="27"/>
  </w:num>
  <w:num w:numId="27" w16cid:durableId="1413043764">
    <w:abstractNumId w:val="26"/>
  </w:num>
  <w:num w:numId="28" w16cid:durableId="681854827">
    <w:abstractNumId w:val="29"/>
  </w:num>
  <w:num w:numId="29" w16cid:durableId="588078972">
    <w:abstractNumId w:val="14"/>
  </w:num>
  <w:num w:numId="30" w16cid:durableId="1537690675">
    <w:abstractNumId w:val="15"/>
  </w:num>
  <w:num w:numId="31" w16cid:durableId="1426851591">
    <w:abstractNumId w:val="11"/>
  </w:num>
  <w:num w:numId="32" w16cid:durableId="1856308323">
    <w:abstractNumId w:val="24"/>
  </w:num>
  <w:num w:numId="33" w16cid:durableId="832378773">
    <w:abstractNumId w:val="28"/>
  </w:num>
  <w:num w:numId="34" w16cid:durableId="2127002742">
    <w:abstractNumId w:val="19"/>
  </w:num>
  <w:num w:numId="35" w16cid:durableId="373359377">
    <w:abstractNumId w:val="10"/>
  </w:num>
  <w:num w:numId="36" w16cid:durableId="870457027">
    <w:abstractNumId w:val="22"/>
  </w:num>
  <w:num w:numId="37" w16cid:durableId="555897419">
    <w:abstractNumId w:val="23"/>
  </w:num>
  <w:num w:numId="38" w16cid:durableId="953824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3EC"/>
    <w:rsid w:val="00062BB5"/>
    <w:rsid w:val="00064F98"/>
    <w:rsid w:val="00065BF1"/>
    <w:rsid w:val="00065C98"/>
    <w:rsid w:val="00070065"/>
    <w:rsid w:val="000745C9"/>
    <w:rsid w:val="00075656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57A5B"/>
    <w:rsid w:val="001630B3"/>
    <w:rsid w:val="0017169E"/>
    <w:rsid w:val="00172282"/>
    <w:rsid w:val="00176A01"/>
    <w:rsid w:val="00181BEC"/>
    <w:rsid w:val="0018317E"/>
    <w:rsid w:val="001849F3"/>
    <w:rsid w:val="001908ED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1475"/>
    <w:rsid w:val="00305DF6"/>
    <w:rsid w:val="00306A73"/>
    <w:rsid w:val="00311ED0"/>
    <w:rsid w:val="00312208"/>
    <w:rsid w:val="00312B41"/>
    <w:rsid w:val="00313297"/>
    <w:rsid w:val="00336D76"/>
    <w:rsid w:val="00337052"/>
    <w:rsid w:val="003379BC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B7297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21E4D"/>
    <w:rsid w:val="004267E4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08AC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23A5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35A1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12ED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681F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3504"/>
    <w:rsid w:val="0098788C"/>
    <w:rsid w:val="00993DD3"/>
    <w:rsid w:val="00994DDF"/>
    <w:rsid w:val="009A74EB"/>
    <w:rsid w:val="009B26A9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16753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3E80"/>
    <w:rsid w:val="00A547C9"/>
    <w:rsid w:val="00A57046"/>
    <w:rsid w:val="00A73F95"/>
    <w:rsid w:val="00A75A10"/>
    <w:rsid w:val="00A762C4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2147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361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4629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47D40"/>
    <w:rsid w:val="00E51920"/>
    <w:rsid w:val="00E6366F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20008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633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2022-06-10T11:03:00Z</dcterms:created>
  <dcterms:modified xsi:type="dcterms:W3CDTF">2022-06-23T08:49:00Z</dcterms:modified>
</cp:coreProperties>
</file>