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194FBD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6C6F87B3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1C7C11">
        <w:t>August 2013</w:t>
      </w:r>
    </w:p>
    <w:p w14:paraId="06BAB3FE" w14:textId="4F76C7F5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987081">
        <w:t>October</w:t>
      </w:r>
      <w:r w:rsidR="000C4FF7">
        <w:t xml:space="preserve"> 2020</w:t>
      </w:r>
    </w:p>
    <w:p w14:paraId="6107852F" w14:textId="1B32F256" w:rsidR="006F0A86" w:rsidRDefault="006F0A86" w:rsidP="00194FBD">
      <w:pPr>
        <w:pStyle w:val="Heading2"/>
      </w:pPr>
      <w:r w:rsidRPr="00126C3F">
        <w:t xml:space="preserve">Indicator </w:t>
      </w:r>
      <w:r w:rsidR="001C7C11">
        <w:t>NM66</w:t>
      </w:r>
    </w:p>
    <w:p w14:paraId="0A6C169D" w14:textId="7EB2BF67" w:rsidR="00611A1D" w:rsidRPr="00611A1D" w:rsidRDefault="001C7C11" w:rsidP="00611A1D">
      <w:pPr>
        <w:pStyle w:val="Paragraph"/>
      </w:pPr>
      <w:r w:rsidRPr="001C7C11">
        <w:t>The percentage of people with a new diagnosis of hypertension (diagnosed on or after 1 April 2014) that has been confirmed by ambulatory blood pressure monitoring (ABPM) or home blood pressure monitoring (HBPM) in the 3 months before being entered on the register.</w:t>
      </w:r>
    </w:p>
    <w:p w14:paraId="18778417" w14:textId="333A8E39" w:rsidR="00806B97" w:rsidRDefault="00806B97" w:rsidP="00194FBD">
      <w:pPr>
        <w:pStyle w:val="Heading2"/>
      </w:pPr>
      <w:r w:rsidRPr="00806B97">
        <w:t xml:space="preserve">Indicator type </w:t>
      </w:r>
    </w:p>
    <w:p w14:paraId="1F16E37E" w14:textId="54E70293" w:rsidR="00F6535D" w:rsidRPr="001C7C11" w:rsidRDefault="001C31E9" w:rsidP="00F6535D">
      <w:pPr>
        <w:pStyle w:val="Paragraph"/>
      </w:pPr>
      <w:r w:rsidRPr="001C7C11">
        <w:t>General practice indicator suitable for use in the Quality and Outcomes Framework.</w:t>
      </w:r>
    </w:p>
    <w:p w14:paraId="5CBA37E8" w14:textId="6F58C6BE" w:rsidR="006F0A86" w:rsidRDefault="006F0A86" w:rsidP="00194FBD">
      <w:pPr>
        <w:pStyle w:val="Heading2"/>
        <w:rPr>
          <w:i/>
        </w:rPr>
      </w:pPr>
      <w:r w:rsidRPr="00011273">
        <w:t>Rationale</w:t>
      </w:r>
    </w:p>
    <w:p w14:paraId="71E12675" w14:textId="77777777" w:rsidR="001C7C11" w:rsidRDefault="001C7C11" w:rsidP="001C7C11">
      <w:pPr>
        <w:pStyle w:val="Paragraph"/>
      </w:pPr>
      <w:r>
        <w:t xml:space="preserve">This indicator is intended to measure the number of people whose hypertension is confirmed using ABPM or HBPM. </w:t>
      </w:r>
    </w:p>
    <w:p w14:paraId="658D59A0" w14:textId="10F86D47" w:rsidR="001C7C11" w:rsidRDefault="006F3C29" w:rsidP="001C7C11">
      <w:pPr>
        <w:pStyle w:val="Paragraph"/>
      </w:pPr>
      <w:hyperlink r:id="rId7" w:history="1">
        <w:r w:rsidR="009255A1">
          <w:rPr>
            <w:rStyle w:val="Hyperlink"/>
          </w:rPr>
          <w:t>NICE's guideline on hypertension</w:t>
        </w:r>
      </w:hyperlink>
      <w:r w:rsidR="001C7C11">
        <w:t xml:space="preserve"> recommends that if a person has a clinic blood pressure between 140/90 mmHg and 180/120 mmHg, they should be offered ABPM to confirm the diagnosis of hypertension. If a person is unable to tolerate ABPM, HBPM is a suitable alternative to confirm the diagnosis of hypertension. Using these diagnostic techniques are recommended as being more accurate than clinic blood pressure monitoring and therefore reduce the risk of over-diagnosis.</w:t>
      </w:r>
    </w:p>
    <w:p w14:paraId="69D4A75D" w14:textId="77777777" w:rsidR="00D141B1" w:rsidRDefault="00D141B1" w:rsidP="00194FBD">
      <w:pPr>
        <w:pStyle w:val="Heading2"/>
        <w:rPr>
          <w:i/>
        </w:rPr>
      </w:pPr>
      <w:r w:rsidRPr="001F2B33">
        <w:t xml:space="preserve">Source guidance </w:t>
      </w:r>
    </w:p>
    <w:p w14:paraId="1E259BBD" w14:textId="58EF73E4" w:rsidR="00D141B1" w:rsidRPr="00BD6253" w:rsidRDefault="006F3C29" w:rsidP="00D75EB5">
      <w:pPr>
        <w:pStyle w:val="NICEnormal"/>
        <w:spacing w:before="240"/>
      </w:pPr>
      <w:hyperlink r:id="rId8" w:history="1">
        <w:r w:rsidR="00D75EB5">
          <w:rPr>
            <w:rStyle w:val="Hyperlink"/>
          </w:rPr>
          <w:t>Hypertension in adults: diagnosis and management. NICE guideline NM136</w:t>
        </w:r>
      </w:hyperlink>
      <w:r w:rsidR="001C7C11">
        <w:t xml:space="preserve"> (2019), recommendations 1.2.3, 1.2.4, 1.2.6 and 1.2.7.</w:t>
      </w:r>
      <w:r w:rsidR="006F3734">
        <w:t xml:space="preserve"> </w:t>
      </w:r>
    </w:p>
    <w:p w14:paraId="05AD89C4" w14:textId="77777777" w:rsidR="00D141B1" w:rsidRDefault="00D141B1" w:rsidP="00194FBD">
      <w:pPr>
        <w:pStyle w:val="Heading2"/>
      </w:pPr>
      <w:r>
        <w:lastRenderedPageBreak/>
        <w:t xml:space="preserve">Specification </w:t>
      </w:r>
    </w:p>
    <w:p w14:paraId="4B62A813" w14:textId="15FC1FC4" w:rsidR="0009195D" w:rsidRPr="00CF1552" w:rsidRDefault="00D141B1" w:rsidP="00D75EB5">
      <w:pPr>
        <w:pStyle w:val="NICEnormal"/>
        <w:spacing w:before="240"/>
      </w:pPr>
      <w:r>
        <w:t xml:space="preserve">Numerator: </w:t>
      </w:r>
      <w:r w:rsidR="0009195D" w:rsidRPr="00CF1552">
        <w:t xml:space="preserve">The number of patients in the denominator </w:t>
      </w:r>
      <w:r w:rsidR="00CF1552" w:rsidRPr="00CF1552">
        <w:t>whose diagnosis has been confirmed by ambulatory blood pressure monitoring (ABPM) or home blood pressure monitoring (HBPM) in the three months before entering on to the register</w:t>
      </w:r>
      <w:r w:rsidR="0009195D" w:rsidRPr="00CF1552">
        <w:t xml:space="preserve">. </w:t>
      </w:r>
    </w:p>
    <w:p w14:paraId="06B62F8F" w14:textId="5EC42B5A" w:rsidR="00D141B1" w:rsidRDefault="00D141B1" w:rsidP="00D141B1">
      <w:pPr>
        <w:pStyle w:val="NICEnormal"/>
      </w:pPr>
      <w:r w:rsidRPr="00CF1552">
        <w:t xml:space="preserve">Denominator: </w:t>
      </w:r>
      <w:r w:rsidR="002B0BA6" w:rsidRPr="00CF1552">
        <w:t xml:space="preserve">The number of patients </w:t>
      </w:r>
      <w:r w:rsidR="00CF1552" w:rsidRPr="00CF1552">
        <w:t>with a new diagnosis of hypertension (diagnosed on or after 1 April 2014)</w:t>
      </w:r>
      <w:r w:rsidR="002B0BA6">
        <w:t>.</w:t>
      </w:r>
    </w:p>
    <w:p w14:paraId="04501E11" w14:textId="5C3257B5" w:rsidR="0009195D" w:rsidRDefault="0009195D" w:rsidP="00D141B1">
      <w:pPr>
        <w:pStyle w:val="NICEnormal"/>
      </w:pPr>
      <w:r>
        <w:t>Calculation</w:t>
      </w:r>
      <w:r w:rsidRPr="00CF1552">
        <w:t>: (Numerator/</w:t>
      </w:r>
      <w:proofErr w:type="gramStart"/>
      <w:r w:rsidRPr="00CF1552">
        <w:t>denominator)*</w:t>
      </w:r>
      <w:proofErr w:type="gramEnd"/>
      <w:r w:rsidRPr="00CF1552">
        <w:t>100</w:t>
      </w:r>
    </w:p>
    <w:p w14:paraId="200701E0" w14:textId="753DCA77" w:rsidR="00D141B1" w:rsidRDefault="00D141B1" w:rsidP="00D141B1">
      <w:pPr>
        <w:pStyle w:val="NICEnormal"/>
      </w:pPr>
      <w:r>
        <w:t xml:space="preserve">Exclusions: </w:t>
      </w:r>
      <w:r w:rsidR="00290970">
        <w:t>None</w:t>
      </w:r>
      <w:r w:rsidR="00DF45AD">
        <w:t xml:space="preserve"> </w:t>
      </w:r>
    </w:p>
    <w:p w14:paraId="15239063" w14:textId="464F9E01" w:rsidR="00706451" w:rsidRDefault="00706451" w:rsidP="00D141B1">
      <w:pPr>
        <w:pStyle w:val="NICEnormal"/>
      </w:pPr>
      <w:r>
        <w:t xml:space="preserve">Minimum </w:t>
      </w:r>
      <w:r w:rsidRPr="00880565">
        <w:t xml:space="preserve">population: </w:t>
      </w:r>
      <w:r w:rsidR="000D5395" w:rsidRPr="00880565">
        <w:t xml:space="preserve">The indicator would be appropriate </w:t>
      </w:r>
      <w:r w:rsidR="00391F4B" w:rsidRPr="00880565">
        <w:t xml:space="preserve">to assess performance </w:t>
      </w:r>
      <w:r w:rsidR="003B53D0" w:rsidRPr="00880565">
        <w:t xml:space="preserve">at </w:t>
      </w:r>
      <w:r w:rsidR="00391F4B" w:rsidRPr="00880565">
        <w:t>individual</w:t>
      </w:r>
      <w:r w:rsidR="000D5395" w:rsidRPr="00880565">
        <w:t xml:space="preserve"> general practice</w:t>
      </w:r>
      <w:r w:rsidR="00391F4B" w:rsidRPr="00880565">
        <w:t xml:space="preserve"> level</w:t>
      </w:r>
      <w:r w:rsidR="000D5395" w:rsidRPr="00880565">
        <w:t>.</w:t>
      </w:r>
    </w:p>
    <w:p w14:paraId="129ECA00" w14:textId="65691789" w:rsidR="0009195D" w:rsidRPr="0009195D" w:rsidRDefault="0009195D" w:rsidP="00194FBD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D75EB5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154AA" w14:textId="77777777" w:rsidR="006F3C29" w:rsidRDefault="006F3C29" w:rsidP="00446BEE">
      <w:r>
        <w:separator/>
      </w:r>
    </w:p>
  </w:endnote>
  <w:endnote w:type="continuationSeparator" w:id="0">
    <w:p w14:paraId="6DC4ACCE" w14:textId="77777777" w:rsidR="006F3C29" w:rsidRDefault="006F3C2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2E0025F" w:rsidR="00245B12" w:rsidRPr="00EA7F52" w:rsidRDefault="00D141B1" w:rsidP="00D141B1">
    <w:pPr>
      <w:pStyle w:val="Footer"/>
    </w:pPr>
    <w:r>
      <w:t xml:space="preserve">NICE indicator guidance: </w:t>
    </w:r>
    <w:r w:rsidR="00106149">
      <w:t>NM66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645EF" w14:textId="77777777" w:rsidR="006F3C29" w:rsidRDefault="006F3C29" w:rsidP="00446BEE">
      <w:r>
        <w:separator/>
      </w:r>
    </w:p>
  </w:footnote>
  <w:footnote w:type="continuationSeparator" w:id="0">
    <w:p w14:paraId="1065CFA4" w14:textId="77777777" w:rsidR="006F3C29" w:rsidRDefault="006F3C2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4FF7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149"/>
    <w:rsid w:val="00106C72"/>
    <w:rsid w:val="00107EDC"/>
    <w:rsid w:val="00110085"/>
    <w:rsid w:val="00111CCE"/>
    <w:rsid w:val="001134E7"/>
    <w:rsid w:val="001256B2"/>
    <w:rsid w:val="00126C3F"/>
    <w:rsid w:val="0015609C"/>
    <w:rsid w:val="0015655B"/>
    <w:rsid w:val="00156AF4"/>
    <w:rsid w:val="001630B3"/>
    <w:rsid w:val="00170EBF"/>
    <w:rsid w:val="0017169E"/>
    <w:rsid w:val="00172282"/>
    <w:rsid w:val="00176A01"/>
    <w:rsid w:val="00181BEC"/>
    <w:rsid w:val="001849F3"/>
    <w:rsid w:val="00191328"/>
    <w:rsid w:val="00194FBD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C7C11"/>
    <w:rsid w:val="001D0FBE"/>
    <w:rsid w:val="001E5835"/>
    <w:rsid w:val="001F2B33"/>
    <w:rsid w:val="00201EFB"/>
    <w:rsid w:val="00201FB8"/>
    <w:rsid w:val="002040A1"/>
    <w:rsid w:val="002042FC"/>
    <w:rsid w:val="002056A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0970"/>
    <w:rsid w:val="00292F85"/>
    <w:rsid w:val="002A31EA"/>
    <w:rsid w:val="002B0BA6"/>
    <w:rsid w:val="002B17B8"/>
    <w:rsid w:val="002B30C6"/>
    <w:rsid w:val="002B69F1"/>
    <w:rsid w:val="002C06F1"/>
    <w:rsid w:val="002C1A7E"/>
    <w:rsid w:val="002C2CA8"/>
    <w:rsid w:val="002C599B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24314"/>
    <w:rsid w:val="00631D73"/>
    <w:rsid w:val="00633DB7"/>
    <w:rsid w:val="00640BC8"/>
    <w:rsid w:val="006628FD"/>
    <w:rsid w:val="00662ABE"/>
    <w:rsid w:val="00670143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3C29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633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079C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0565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55A1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081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5469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B7D4D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D7657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1552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5471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1959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0FE6"/>
    <w:rsid w:val="00D75EB5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3529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194FBD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194FBD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  <w:style w:type="paragraph" w:customStyle="1" w:styleId="Bulletleft1last">
    <w:name w:val="Bullet left 1 last"/>
    <w:basedOn w:val="Normal"/>
    <w:rsid w:val="001C7C11"/>
    <w:pPr>
      <w:numPr>
        <w:numId w:val="40"/>
      </w:numPr>
      <w:spacing w:after="240" w:line="360" w:lineRule="auto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uidance.nice.org.uk/ng1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2020-02-12T17:03:00Z</dcterms:created>
  <dcterms:modified xsi:type="dcterms:W3CDTF">2020-11-02T14:37:00Z</dcterms:modified>
</cp:coreProperties>
</file>