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497CB267" w:rsidR="00B8026E" w:rsidRDefault="00B8026E" w:rsidP="00D372F1">
      <w:pPr>
        <w:pStyle w:val="Paragraphnonumbers"/>
      </w:pPr>
      <w:r>
        <w:t>Date first published on NICE menu:</w:t>
      </w:r>
      <w:r w:rsidR="00DF637B">
        <w:t xml:space="preserve"> </w:t>
      </w:r>
      <w:r w:rsidR="00F153EC">
        <w:t>August 201</w:t>
      </w:r>
      <w:r w:rsidR="002B119B">
        <w:t>3</w:t>
      </w:r>
      <w:r w:rsidR="00F153EC">
        <w:t>.</w:t>
      </w:r>
    </w:p>
    <w:p w14:paraId="06BAB3FE" w14:textId="1E61B644" w:rsidR="00B8026E" w:rsidRPr="00126C3F" w:rsidRDefault="00B8026E" w:rsidP="00D372F1">
      <w:pPr>
        <w:pStyle w:val="Paragraphnonumbers"/>
        <w:rPr>
          <w:b/>
        </w:rPr>
      </w:pPr>
      <w:r>
        <w:t>Last update</w:t>
      </w:r>
      <w:r w:rsidRPr="00B8026E">
        <w:t xml:space="preserve">: </w:t>
      </w:r>
      <w:r w:rsidR="0031592B">
        <w:t>April 2022</w:t>
      </w:r>
      <w:r w:rsidR="00F153EC">
        <w:t>.</w:t>
      </w:r>
    </w:p>
    <w:p w14:paraId="6107852F" w14:textId="36658995" w:rsidR="006F0A86" w:rsidRDefault="006F0A86" w:rsidP="00126C3F">
      <w:pPr>
        <w:pStyle w:val="Heading1"/>
      </w:pPr>
      <w:r w:rsidRPr="00126C3F">
        <w:t>Indicato</w:t>
      </w:r>
      <w:r w:rsidR="00F153EC">
        <w:t>r NM</w:t>
      </w:r>
      <w:r w:rsidR="002B119B">
        <w:t>71</w:t>
      </w:r>
    </w:p>
    <w:p w14:paraId="78DBE54C" w14:textId="259A101E" w:rsidR="002B119B" w:rsidRPr="002B4207" w:rsidRDefault="002B119B" w:rsidP="002B119B">
      <w:pPr>
        <w:pStyle w:val="Paragraph"/>
      </w:pPr>
      <w:r w:rsidRPr="002B119B">
        <w:t xml:space="preserve">The percentage of women with epilepsy who are aged 18 or over, but under 45, who are taking </w:t>
      </w:r>
      <w:r w:rsidR="00592D3B">
        <w:t>antiseizure medications</w:t>
      </w:r>
      <w:r w:rsidRPr="002B119B">
        <w:t xml:space="preserve"> and have a record of being given information and advice in the previous 12 months about pregnancy or conception, or contraception tailored to their pregnancy and contraceptive intentions. </w:t>
      </w:r>
    </w:p>
    <w:p w14:paraId="18778417" w14:textId="4EA23EF0" w:rsidR="00806B97" w:rsidRDefault="00806B97" w:rsidP="00806B97">
      <w:pPr>
        <w:pStyle w:val="Heading1"/>
      </w:pPr>
      <w:r w:rsidRPr="00806B97">
        <w:t xml:space="preserve">Indicator type </w:t>
      </w:r>
    </w:p>
    <w:p w14:paraId="1F16E37E" w14:textId="62735A3E" w:rsidR="00F6535D" w:rsidRPr="00F153EC" w:rsidRDefault="001C31E9" w:rsidP="00F6535D">
      <w:pPr>
        <w:pStyle w:val="Paragraph"/>
      </w:pPr>
      <w:r w:rsidRPr="00F153EC">
        <w:t xml:space="preserve">General practice indicator suitable for use </w:t>
      </w:r>
      <w:r w:rsidR="00BE0C7B">
        <w:t xml:space="preserve">outside </w:t>
      </w:r>
      <w:r w:rsidRPr="00F153EC">
        <w:t>the Quality and Outcomes Framework.</w:t>
      </w:r>
      <w:r w:rsidR="00BE0C7B">
        <w:t xml:space="preserve"> </w:t>
      </w:r>
      <w:r w:rsidR="00DC26D1">
        <w:t>Assessment of available data highlights that the a</w:t>
      </w:r>
      <w:r w:rsidR="00BE0C7B">
        <w:t>verage population size per practice is less than 20 patients.</w:t>
      </w:r>
    </w:p>
    <w:p w14:paraId="5CBA37E8" w14:textId="6F58C6BE" w:rsidR="006F0A86" w:rsidRDefault="006F0A86" w:rsidP="00126C3F">
      <w:pPr>
        <w:pStyle w:val="Heading1"/>
        <w:rPr>
          <w:i/>
        </w:rPr>
      </w:pPr>
      <w:r w:rsidRPr="00011273">
        <w:t>Rationale</w:t>
      </w:r>
    </w:p>
    <w:p w14:paraId="6FE7D75D" w14:textId="120C7DA1" w:rsidR="0031592B" w:rsidRDefault="0031592B" w:rsidP="00F153EC">
      <w:pPr>
        <w:pStyle w:val="Paragraph"/>
        <w:rPr>
          <w:lang w:val="en-US" w:eastAsia="en-US"/>
        </w:rPr>
      </w:pPr>
      <w:r>
        <w:rPr>
          <w:lang w:val="en-US" w:eastAsia="en-US"/>
        </w:rPr>
        <w:t>T</w:t>
      </w:r>
      <w:r w:rsidRPr="0031592B">
        <w:rPr>
          <w:lang w:val="en-US" w:eastAsia="en-US"/>
        </w:rPr>
        <w:t xml:space="preserve">he </w:t>
      </w:r>
      <w:hyperlink r:id="rId7" w:history="1">
        <w:r w:rsidRPr="0031592B">
          <w:rPr>
            <w:rStyle w:val="Hyperlink"/>
            <w:lang w:val="en-US" w:eastAsia="en-US"/>
          </w:rPr>
          <w:t>Medicines and Healthcare Products Regulatory Agency’s Public Assessment Report of antiepileptic drugs: review of safety of use during pregnancy</w:t>
        </w:r>
      </w:hyperlink>
      <w:r w:rsidRPr="0031592B">
        <w:rPr>
          <w:lang w:val="en-US" w:eastAsia="en-US"/>
        </w:rPr>
        <w:t xml:space="preserve"> indicates that antiseizure medications taken during pregnancy are associated with an increased risk of major congenital malformations (MCMs). The risk is greater at higher doses and with polytherapy compared with monotherapy. Some antiseizure medications are associated with a higher risk of neurodevelopmental impairments and fetal growth restriction. The type and level of risk differs according to the specific antiseizure medications taken by the mother during pregnancy. These risks need to be balanced against risks to the mother and the unborn baby of uncontrolled seizures. It is important to ensure that women and girls with epilepsy have access to appropriate advice and information about pregnancy or conception, or contraception tailored to </w:t>
      </w:r>
      <w:r w:rsidRPr="0031592B">
        <w:rPr>
          <w:lang w:val="en-US" w:eastAsia="en-US"/>
        </w:rPr>
        <w:lastRenderedPageBreak/>
        <w:t>their pregnancy and contraceptive intentions</w:t>
      </w:r>
      <w:r>
        <w:rPr>
          <w:lang w:val="en-US" w:eastAsia="en-US"/>
        </w:rPr>
        <w:t xml:space="preserve">, </w:t>
      </w:r>
      <w:r w:rsidRPr="0031592B">
        <w:rPr>
          <w:lang w:val="en-US" w:eastAsia="en-US"/>
        </w:rPr>
        <w:t>and that this can be updated during regular reviews as their circumstances change.</w:t>
      </w:r>
    </w:p>
    <w:p w14:paraId="0EA287F8" w14:textId="7D7E673F" w:rsidR="007224B6" w:rsidRDefault="007224B6" w:rsidP="007224B6">
      <w:pPr>
        <w:pStyle w:val="Paragraph"/>
        <w:rPr>
          <w:lang w:val="en-US" w:eastAsia="en-US"/>
        </w:rPr>
      </w:pPr>
      <w:r w:rsidRPr="00F153EC">
        <w:rPr>
          <w:lang w:val="en-US" w:eastAsia="en-US"/>
        </w:rPr>
        <w:t xml:space="preserve">Valproate must not be used in </w:t>
      </w:r>
      <w:r>
        <w:rPr>
          <w:lang w:val="en-US" w:eastAsia="en-US"/>
        </w:rPr>
        <w:t xml:space="preserve">pregnancy, and </w:t>
      </w:r>
      <w:r w:rsidR="001C0BE2">
        <w:rPr>
          <w:lang w:val="en-US" w:eastAsia="en-US"/>
        </w:rPr>
        <w:t xml:space="preserve">it must not be </w:t>
      </w:r>
      <w:r>
        <w:rPr>
          <w:lang w:val="en-US" w:eastAsia="en-US"/>
        </w:rPr>
        <w:t xml:space="preserve">used in </w:t>
      </w:r>
      <w:r w:rsidRPr="00F153EC">
        <w:rPr>
          <w:lang w:val="en-US" w:eastAsia="en-US"/>
        </w:rPr>
        <w:t xml:space="preserve">girls </w:t>
      </w:r>
      <w:r>
        <w:rPr>
          <w:lang w:val="en-US" w:eastAsia="en-US"/>
        </w:rPr>
        <w:t xml:space="preserve">and women </w:t>
      </w:r>
      <w:r w:rsidRPr="00F153EC">
        <w:rPr>
          <w:lang w:val="en-US" w:eastAsia="en-US"/>
        </w:rPr>
        <w:t xml:space="preserve">of childbearing potential (including young girls who are likely to need treatment into their childbearing years) </w:t>
      </w:r>
      <w:r w:rsidR="001C0BE2">
        <w:rPr>
          <w:lang w:val="en-US" w:eastAsia="en-US"/>
        </w:rPr>
        <w:t>unless</w:t>
      </w:r>
      <w:r w:rsidRPr="00FC1A38">
        <w:rPr>
          <w:lang w:val="en-US" w:eastAsia="en-US"/>
        </w:rPr>
        <w:t xml:space="preserve"> other options are unsuitable </w:t>
      </w:r>
      <w:r>
        <w:rPr>
          <w:lang w:val="en-US" w:eastAsia="en-US"/>
        </w:rPr>
        <w:t xml:space="preserve">and </w:t>
      </w:r>
      <w:r w:rsidRPr="00F153EC">
        <w:rPr>
          <w:lang w:val="en-US" w:eastAsia="en-US"/>
        </w:rPr>
        <w:t xml:space="preserve">a pregnancy prevention </w:t>
      </w:r>
      <w:proofErr w:type="spellStart"/>
      <w:r w:rsidRPr="00F153EC">
        <w:rPr>
          <w:lang w:val="en-US" w:eastAsia="en-US"/>
        </w:rPr>
        <w:t>programme</w:t>
      </w:r>
      <w:proofErr w:type="spellEnd"/>
      <w:r w:rsidRPr="00F153EC">
        <w:rPr>
          <w:lang w:val="en-US" w:eastAsia="en-US"/>
        </w:rPr>
        <w:t xml:space="preserve"> in place, in line with the </w:t>
      </w:r>
      <w:hyperlink r:id="rId8" w:history="1">
        <w:r w:rsidRPr="00F153EC">
          <w:rPr>
            <w:rStyle w:val="Hyperlink"/>
            <w:lang w:val="en-US" w:eastAsia="en-US"/>
          </w:rPr>
          <w:t>MHRA safety advice on valproate</w:t>
        </w:r>
      </w:hyperlink>
      <w:r w:rsidRPr="00F153EC">
        <w:rPr>
          <w:lang w:val="en-US" w:eastAsia="en-US"/>
        </w:rPr>
        <w:t>.</w:t>
      </w:r>
      <w:r w:rsidRPr="00FC1A38">
        <w:rPr>
          <w:lang w:val="en-US" w:eastAsia="en-US"/>
        </w:rPr>
        <w:t xml:space="preserve"> This is because of the risk of malformations and developmental abnormalities in the baby</w:t>
      </w:r>
      <w:r>
        <w:rPr>
          <w:lang w:val="en-US" w:eastAsia="en-US"/>
        </w:rPr>
        <w:t>.</w:t>
      </w:r>
    </w:p>
    <w:p w14:paraId="69D4A75D" w14:textId="657651FE" w:rsidR="00D141B1" w:rsidRDefault="00D141B1" w:rsidP="00F153EC">
      <w:pPr>
        <w:pStyle w:val="Heading1"/>
        <w:rPr>
          <w:i/>
        </w:rPr>
      </w:pPr>
      <w:r w:rsidRPr="001F2B33">
        <w:t xml:space="preserve">Source guidance </w:t>
      </w:r>
    </w:p>
    <w:p w14:paraId="08DD262E" w14:textId="29B388B3" w:rsidR="00592D3B" w:rsidRDefault="003761E7" w:rsidP="00EA70CA">
      <w:pPr>
        <w:pStyle w:val="Paragraph"/>
      </w:pPr>
      <w:hyperlink r:id="rId9" w:history="1">
        <w:r w:rsidR="00592D3B" w:rsidRPr="001E0E60">
          <w:rPr>
            <w:rStyle w:val="Hyperlink"/>
          </w:rPr>
          <w:t>Epilepsies in children,</w:t>
        </w:r>
        <w:r w:rsidR="00020C80" w:rsidRPr="001E0E60">
          <w:rPr>
            <w:rStyle w:val="Hyperlink"/>
          </w:rPr>
          <w:t xml:space="preserve"> </w:t>
        </w:r>
        <w:r w:rsidR="00592D3B" w:rsidRPr="001E0E60">
          <w:rPr>
            <w:rStyle w:val="Hyperlink"/>
          </w:rPr>
          <w:t xml:space="preserve">young </w:t>
        </w:r>
        <w:proofErr w:type="gramStart"/>
        <w:r w:rsidR="00592D3B" w:rsidRPr="001E0E60">
          <w:rPr>
            <w:rStyle w:val="Hyperlink"/>
          </w:rPr>
          <w:t>people</w:t>
        </w:r>
        <w:proofErr w:type="gramEnd"/>
        <w:r w:rsidR="00592D3B" w:rsidRPr="001E0E60">
          <w:rPr>
            <w:rStyle w:val="Hyperlink"/>
          </w:rPr>
          <w:t xml:space="preserve"> and adults. NICE guideline </w:t>
        </w:r>
        <w:r w:rsidR="001E0E60" w:rsidRPr="001E0E60">
          <w:rPr>
            <w:rStyle w:val="Hyperlink"/>
          </w:rPr>
          <w:t>NG217</w:t>
        </w:r>
      </w:hyperlink>
      <w:r w:rsidR="00592D3B" w:rsidRPr="00592D3B">
        <w:t xml:space="preserve"> (2022), recommendations 2.1.11, 4.4.1, 4.4.2, and 4.4.4.</w:t>
      </w:r>
    </w:p>
    <w:p w14:paraId="05AD89C4" w14:textId="77777777" w:rsidR="00D141B1" w:rsidRDefault="00D141B1" w:rsidP="00126C3F">
      <w:pPr>
        <w:pStyle w:val="Heading1"/>
      </w:pPr>
      <w:r>
        <w:t xml:space="preserve">Specification </w:t>
      </w:r>
    </w:p>
    <w:p w14:paraId="4B62A813" w14:textId="29D899AE" w:rsidR="0009195D" w:rsidRDefault="00D141B1" w:rsidP="00EA70CA">
      <w:pPr>
        <w:pStyle w:val="Paragraph"/>
      </w:pPr>
      <w:r>
        <w:t xml:space="preserve">Numerator: </w:t>
      </w:r>
      <w:r w:rsidR="0009195D" w:rsidRPr="00EA70CA">
        <w:t xml:space="preserve">The number of </w:t>
      </w:r>
      <w:r w:rsidR="00F153EC" w:rsidRPr="00EA70CA">
        <w:t>women</w:t>
      </w:r>
      <w:r w:rsidR="0009195D" w:rsidRPr="00EA70CA">
        <w:t xml:space="preserve"> in the denominator </w:t>
      </w:r>
      <w:r w:rsidR="00EA70CA" w:rsidRPr="00EA70CA">
        <w:t xml:space="preserve">who have a record of </w:t>
      </w:r>
      <w:r w:rsidR="00ED0AE1" w:rsidRPr="00ED0AE1">
        <w:t>being given information and advice in the previous 12 months about pregnancy or conception, or contraception tailored to their pregnancy and contraceptive intentions</w:t>
      </w:r>
      <w:r w:rsidR="0009195D">
        <w:t>.</w:t>
      </w:r>
      <w:r w:rsidR="0009195D" w:rsidRPr="0009195D">
        <w:t xml:space="preserve"> </w:t>
      </w:r>
    </w:p>
    <w:p w14:paraId="06B62F8F" w14:textId="0A2E104C" w:rsidR="00D141B1" w:rsidRDefault="00D141B1" w:rsidP="00EA70CA">
      <w:pPr>
        <w:pStyle w:val="Paragraph"/>
      </w:pPr>
      <w:r>
        <w:t>Denominator</w:t>
      </w:r>
      <w:r w:rsidRPr="00F153EC">
        <w:t xml:space="preserve">: </w:t>
      </w:r>
      <w:r w:rsidR="002B0BA6" w:rsidRPr="00F153EC">
        <w:t xml:space="preserve">The number of </w:t>
      </w:r>
      <w:r w:rsidR="00F153EC" w:rsidRPr="00F153EC">
        <w:t xml:space="preserve">women </w:t>
      </w:r>
      <w:r w:rsidR="00ED0AE1" w:rsidRPr="00ED0AE1">
        <w:t xml:space="preserve">with epilepsy aged 18 or over, but under 45, who are taking </w:t>
      </w:r>
      <w:r w:rsidR="00592D3B">
        <w:t>antiseizure medications</w:t>
      </w:r>
      <w:r w:rsidR="002B0BA6">
        <w:t>.</w:t>
      </w:r>
    </w:p>
    <w:p w14:paraId="04501E11" w14:textId="3B40B1F8" w:rsidR="0009195D" w:rsidRDefault="0009195D" w:rsidP="00EA70CA">
      <w:pPr>
        <w:pStyle w:val="Paragraph"/>
      </w:pPr>
      <w:r>
        <w:t xml:space="preserve">Calculation: </w:t>
      </w:r>
      <w:r w:rsidRPr="00EA70CA">
        <w:t>(Numerator/</w:t>
      </w:r>
      <w:proofErr w:type="gramStart"/>
      <w:r w:rsidRPr="00EA70CA">
        <w:t>denominator)*</w:t>
      </w:r>
      <w:proofErr w:type="gramEnd"/>
      <w:r w:rsidRPr="00EA70CA">
        <w:t>100</w:t>
      </w:r>
    </w:p>
    <w:p w14:paraId="200701E0" w14:textId="301D07BE" w:rsidR="00D141B1" w:rsidRDefault="00D141B1" w:rsidP="00EA70CA">
      <w:pPr>
        <w:pStyle w:val="Paragraph"/>
      </w:pPr>
      <w:r>
        <w:t xml:space="preserve">Exclusions: </w:t>
      </w:r>
      <w:r w:rsidR="00EA70CA">
        <w:t>Women who have been sterilised or undergone partial or complete removal of the uterus</w:t>
      </w:r>
      <w:r w:rsidR="00DF45AD">
        <w:t xml:space="preserve">. </w:t>
      </w:r>
    </w:p>
    <w:p w14:paraId="15239063" w14:textId="06A39C68" w:rsidR="00706451" w:rsidRDefault="00706451" w:rsidP="00D372F1">
      <w:pPr>
        <w:pStyle w:val="Paragraphnonumbers"/>
      </w:pPr>
      <w:r w:rsidRPr="00EA70CA">
        <w:t xml:space="preserve">Minimum population: </w:t>
      </w:r>
      <w:r w:rsidR="00BE0C7B" w:rsidRPr="00BE0C7B">
        <w:t>The indicator would be appropriate to assess performance of collaborations or networks of GP practices serving populations of around 30,000 to 50,000.</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D372F1">
      <w:pPr>
        <w:pStyle w:val="Paragraphnonumbers"/>
      </w:pPr>
      <w:bookmarkStart w:id="0" w:name="_Hlk14183092"/>
      <w:r w:rsidRPr="0009195D">
        <w:t xml:space="preserve">This is NICE indicator guidance, which is part of the </w:t>
      </w:r>
      <w:hyperlink r:id="rId10"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7C94" w14:textId="4DB3F1E2" w:rsidR="00245B12" w:rsidRPr="00EA7F52" w:rsidRDefault="00D141B1" w:rsidP="00D141B1">
    <w:pPr>
      <w:pStyle w:val="Footer"/>
    </w:pPr>
    <w:r>
      <w:t xml:space="preserve">NICE indicator guidance: </w:t>
    </w:r>
    <w:r w:rsidR="002A7978">
      <w:t>NM</w:t>
    </w:r>
    <w:r w:rsidR="002B119B">
      <w:t>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86959564">
    <w:abstractNumId w:val="22"/>
  </w:num>
  <w:num w:numId="2" w16cid:durableId="595600046">
    <w:abstractNumId w:val="25"/>
  </w:num>
  <w:num w:numId="3" w16cid:durableId="1363821209">
    <w:abstractNumId w:val="25"/>
    <w:lvlOverride w:ilvl="0">
      <w:startOverride w:val="1"/>
    </w:lvlOverride>
  </w:num>
  <w:num w:numId="4" w16cid:durableId="864026644">
    <w:abstractNumId w:val="25"/>
    <w:lvlOverride w:ilvl="0">
      <w:startOverride w:val="1"/>
    </w:lvlOverride>
  </w:num>
  <w:num w:numId="5" w16cid:durableId="490030006">
    <w:abstractNumId w:val="25"/>
    <w:lvlOverride w:ilvl="0">
      <w:startOverride w:val="1"/>
    </w:lvlOverride>
  </w:num>
  <w:num w:numId="6" w16cid:durableId="1961840503">
    <w:abstractNumId w:val="25"/>
    <w:lvlOverride w:ilvl="0">
      <w:startOverride w:val="1"/>
    </w:lvlOverride>
  </w:num>
  <w:num w:numId="7" w16cid:durableId="576744367">
    <w:abstractNumId w:val="25"/>
    <w:lvlOverride w:ilvl="0">
      <w:startOverride w:val="1"/>
    </w:lvlOverride>
  </w:num>
  <w:num w:numId="8" w16cid:durableId="873347779">
    <w:abstractNumId w:val="9"/>
  </w:num>
  <w:num w:numId="9" w16cid:durableId="250741351">
    <w:abstractNumId w:val="7"/>
  </w:num>
  <w:num w:numId="10" w16cid:durableId="1378047574">
    <w:abstractNumId w:val="6"/>
  </w:num>
  <w:num w:numId="11" w16cid:durableId="633870164">
    <w:abstractNumId w:val="5"/>
  </w:num>
  <w:num w:numId="12" w16cid:durableId="367603892">
    <w:abstractNumId w:val="4"/>
  </w:num>
  <w:num w:numId="13" w16cid:durableId="2064713050">
    <w:abstractNumId w:val="8"/>
  </w:num>
  <w:num w:numId="14" w16cid:durableId="1414400796">
    <w:abstractNumId w:val="3"/>
  </w:num>
  <w:num w:numId="15" w16cid:durableId="50738162">
    <w:abstractNumId w:val="2"/>
  </w:num>
  <w:num w:numId="16" w16cid:durableId="1857689825">
    <w:abstractNumId w:val="1"/>
  </w:num>
  <w:num w:numId="17" w16cid:durableId="109208381">
    <w:abstractNumId w:val="0"/>
  </w:num>
  <w:num w:numId="18" w16cid:durableId="2100330466">
    <w:abstractNumId w:val="16"/>
  </w:num>
  <w:num w:numId="19" w16cid:durableId="1445422665">
    <w:abstractNumId w:val="16"/>
    <w:lvlOverride w:ilvl="0">
      <w:startOverride w:val="1"/>
    </w:lvlOverride>
  </w:num>
  <w:num w:numId="20" w16cid:durableId="950160229">
    <w:abstractNumId w:val="12"/>
  </w:num>
  <w:num w:numId="21" w16cid:durableId="248390706">
    <w:abstractNumId w:val="13"/>
  </w:num>
  <w:num w:numId="22" w16cid:durableId="140582610">
    <w:abstractNumId w:val="17"/>
  </w:num>
  <w:num w:numId="23" w16cid:durableId="1306623254">
    <w:abstractNumId w:val="18"/>
  </w:num>
  <w:num w:numId="24" w16cid:durableId="1450901819">
    <w:abstractNumId w:val="22"/>
  </w:num>
  <w:num w:numId="25" w16cid:durableId="539244715">
    <w:abstractNumId w:val="20"/>
  </w:num>
  <w:num w:numId="26" w16cid:durableId="850726489">
    <w:abstractNumId w:val="27"/>
  </w:num>
  <w:num w:numId="27" w16cid:durableId="1070424504">
    <w:abstractNumId w:val="26"/>
  </w:num>
  <w:num w:numId="28" w16cid:durableId="1209295770">
    <w:abstractNumId w:val="29"/>
  </w:num>
  <w:num w:numId="29" w16cid:durableId="1757822177">
    <w:abstractNumId w:val="14"/>
  </w:num>
  <w:num w:numId="30" w16cid:durableId="172765830">
    <w:abstractNumId w:val="15"/>
  </w:num>
  <w:num w:numId="31" w16cid:durableId="900218402">
    <w:abstractNumId w:val="11"/>
  </w:num>
  <w:num w:numId="32" w16cid:durableId="297607493">
    <w:abstractNumId w:val="24"/>
  </w:num>
  <w:num w:numId="33" w16cid:durableId="818152049">
    <w:abstractNumId w:val="28"/>
  </w:num>
  <w:num w:numId="34" w16cid:durableId="571818038">
    <w:abstractNumId w:val="19"/>
  </w:num>
  <w:num w:numId="35" w16cid:durableId="1372076546">
    <w:abstractNumId w:val="10"/>
  </w:num>
  <w:num w:numId="36" w16cid:durableId="1554003225">
    <w:abstractNumId w:val="22"/>
  </w:num>
  <w:num w:numId="37" w16cid:durableId="1744838096">
    <w:abstractNumId w:val="23"/>
  </w:num>
  <w:num w:numId="38" w16cid:durableId="12032032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0C80"/>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57BDC"/>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5609C"/>
    <w:rsid w:val="0015655B"/>
    <w:rsid w:val="00156AF4"/>
    <w:rsid w:val="001630B3"/>
    <w:rsid w:val="0017169E"/>
    <w:rsid w:val="00172282"/>
    <w:rsid w:val="00176A01"/>
    <w:rsid w:val="00181BEC"/>
    <w:rsid w:val="001849F3"/>
    <w:rsid w:val="0018508E"/>
    <w:rsid w:val="00191328"/>
    <w:rsid w:val="001A0EA2"/>
    <w:rsid w:val="001A2CB8"/>
    <w:rsid w:val="001A2FF4"/>
    <w:rsid w:val="001A7C4E"/>
    <w:rsid w:val="001B0D96"/>
    <w:rsid w:val="001B0EE9"/>
    <w:rsid w:val="001B3EA6"/>
    <w:rsid w:val="001B5A4C"/>
    <w:rsid w:val="001B65B3"/>
    <w:rsid w:val="001C0BE2"/>
    <w:rsid w:val="001C31E9"/>
    <w:rsid w:val="001C506B"/>
    <w:rsid w:val="001C7C0D"/>
    <w:rsid w:val="001D0FBE"/>
    <w:rsid w:val="001E0E60"/>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85"/>
    <w:rsid w:val="002A31EA"/>
    <w:rsid w:val="002A7978"/>
    <w:rsid w:val="002B0BA6"/>
    <w:rsid w:val="002B119B"/>
    <w:rsid w:val="002B30C6"/>
    <w:rsid w:val="002B4207"/>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1592B"/>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761E7"/>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839BA"/>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2D3B"/>
    <w:rsid w:val="0059615A"/>
    <w:rsid w:val="005A20A0"/>
    <w:rsid w:val="005A2737"/>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24B6"/>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29C8"/>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41A5"/>
    <w:rsid w:val="00857BAA"/>
    <w:rsid w:val="00861B92"/>
    <w:rsid w:val="00873A86"/>
    <w:rsid w:val="008771EE"/>
    <w:rsid w:val="008814FB"/>
    <w:rsid w:val="00884895"/>
    <w:rsid w:val="00891C26"/>
    <w:rsid w:val="00893BF2"/>
    <w:rsid w:val="008A50EC"/>
    <w:rsid w:val="008A6036"/>
    <w:rsid w:val="008B5FAE"/>
    <w:rsid w:val="008C1650"/>
    <w:rsid w:val="008D36D5"/>
    <w:rsid w:val="008E09B9"/>
    <w:rsid w:val="008E6DAD"/>
    <w:rsid w:val="008F5E30"/>
    <w:rsid w:val="009018F5"/>
    <w:rsid w:val="009027D5"/>
    <w:rsid w:val="0090299C"/>
    <w:rsid w:val="00914D7F"/>
    <w:rsid w:val="0091747A"/>
    <w:rsid w:val="00922271"/>
    <w:rsid w:val="009233EA"/>
    <w:rsid w:val="00926564"/>
    <w:rsid w:val="00926B7A"/>
    <w:rsid w:val="00927119"/>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350E"/>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2B6F"/>
    <w:rsid w:val="00AD4960"/>
    <w:rsid w:val="00AD75F4"/>
    <w:rsid w:val="00AE008D"/>
    <w:rsid w:val="00AE1B84"/>
    <w:rsid w:val="00AE46B3"/>
    <w:rsid w:val="00AE6DA6"/>
    <w:rsid w:val="00AE6E33"/>
    <w:rsid w:val="00AF108A"/>
    <w:rsid w:val="00AF1A58"/>
    <w:rsid w:val="00AF1FB7"/>
    <w:rsid w:val="00AF39C5"/>
    <w:rsid w:val="00AF4E0B"/>
    <w:rsid w:val="00AF5818"/>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E0C7B"/>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772FB"/>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3083"/>
    <w:rsid w:val="00CF58B7"/>
    <w:rsid w:val="00CF5EE3"/>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372F1"/>
    <w:rsid w:val="00D43489"/>
    <w:rsid w:val="00D465A2"/>
    <w:rsid w:val="00D47ACD"/>
    <w:rsid w:val="00D504B3"/>
    <w:rsid w:val="00D50C58"/>
    <w:rsid w:val="00D50EB4"/>
    <w:rsid w:val="00D60775"/>
    <w:rsid w:val="00D62598"/>
    <w:rsid w:val="00D626A6"/>
    <w:rsid w:val="00D65433"/>
    <w:rsid w:val="00D6794C"/>
    <w:rsid w:val="00D70963"/>
    <w:rsid w:val="00D81F38"/>
    <w:rsid w:val="00D81F78"/>
    <w:rsid w:val="00D86BF0"/>
    <w:rsid w:val="00D8732A"/>
    <w:rsid w:val="00D92D94"/>
    <w:rsid w:val="00D94AAE"/>
    <w:rsid w:val="00DA5875"/>
    <w:rsid w:val="00DA7D68"/>
    <w:rsid w:val="00DB0256"/>
    <w:rsid w:val="00DB20D9"/>
    <w:rsid w:val="00DC047A"/>
    <w:rsid w:val="00DC06BC"/>
    <w:rsid w:val="00DC26D1"/>
    <w:rsid w:val="00DC28B0"/>
    <w:rsid w:val="00DD5F41"/>
    <w:rsid w:val="00DD6008"/>
    <w:rsid w:val="00DE1024"/>
    <w:rsid w:val="00DE4457"/>
    <w:rsid w:val="00DF45AD"/>
    <w:rsid w:val="00DF637B"/>
    <w:rsid w:val="00DF7DE7"/>
    <w:rsid w:val="00E02ADB"/>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45ED"/>
    <w:rsid w:val="00EA6CE3"/>
    <w:rsid w:val="00EA70CA"/>
    <w:rsid w:val="00EA7F52"/>
    <w:rsid w:val="00EB2DFC"/>
    <w:rsid w:val="00EC142C"/>
    <w:rsid w:val="00EC2405"/>
    <w:rsid w:val="00EC3275"/>
    <w:rsid w:val="00EC6C08"/>
    <w:rsid w:val="00EC76D6"/>
    <w:rsid w:val="00ED0AE1"/>
    <w:rsid w:val="00ED3673"/>
    <w:rsid w:val="00EE0E05"/>
    <w:rsid w:val="00EE36E0"/>
    <w:rsid w:val="00EE4BF3"/>
    <w:rsid w:val="00EE50CE"/>
    <w:rsid w:val="00EF0440"/>
    <w:rsid w:val="00F014C2"/>
    <w:rsid w:val="00F025CE"/>
    <w:rsid w:val="00F050A1"/>
    <w:rsid w:val="00F055F1"/>
    <w:rsid w:val="00F07B2C"/>
    <w:rsid w:val="00F13F5B"/>
    <w:rsid w:val="00F153EC"/>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8403598">
      <w:bodyDiv w:val="1"/>
      <w:marLeft w:val="0"/>
      <w:marRight w:val="0"/>
      <w:marTop w:val="0"/>
      <w:marBottom w:val="0"/>
      <w:divBdr>
        <w:top w:val="none" w:sz="0" w:space="0" w:color="auto"/>
        <w:left w:val="none" w:sz="0" w:space="0" w:color="auto"/>
        <w:bottom w:val="none" w:sz="0" w:space="0" w:color="auto"/>
        <w:right w:val="none" w:sz="0" w:space="0" w:color="auto"/>
      </w:divBdr>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valproate-use-by-women-and-gir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public-assesment-report-of-antiepileptic-drugs-review-of-safety-of-use-during-pregnan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ice.org.uk/Standards-and-Indicators/index" TargetMode="External"/><Relationship Id="rId4" Type="http://schemas.openxmlformats.org/officeDocument/2006/relationships/webSettings" Target="webSettings.xml"/><Relationship Id="rId9" Type="http://schemas.openxmlformats.org/officeDocument/2006/relationships/hyperlink" Target="https://www.nice.org.uk/guidance/ng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3016</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2022-03-07T15:16:00Z</dcterms:created>
  <dcterms:modified xsi:type="dcterms:W3CDTF">2022-04-21T12:26:00Z</dcterms:modified>
</cp:coreProperties>
</file>