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F68B021" w:rsidR="00B8026E" w:rsidRDefault="00B8026E" w:rsidP="00EE354D">
      <w:pPr>
        <w:pStyle w:val="Paragraph"/>
      </w:pPr>
      <w:r>
        <w:t>Date first published on NICE menu:</w:t>
      </w:r>
      <w:r w:rsidR="00DF637B">
        <w:t xml:space="preserve"> </w:t>
      </w:r>
      <w:r w:rsidR="00B719B8">
        <w:t>August 2014</w:t>
      </w:r>
    </w:p>
    <w:p w14:paraId="06BAB3FE" w14:textId="506C8EBB" w:rsidR="00B8026E" w:rsidRPr="00126C3F" w:rsidRDefault="00B8026E" w:rsidP="00EE354D">
      <w:pPr>
        <w:pStyle w:val="Paragraph"/>
        <w:rPr>
          <w:b/>
        </w:rPr>
      </w:pPr>
      <w:r>
        <w:t>Last update</w:t>
      </w:r>
      <w:r w:rsidRPr="00B8026E">
        <w:t>:</w:t>
      </w:r>
      <w:r w:rsidR="00B719B8">
        <w:t xml:space="preserve"> </w:t>
      </w:r>
      <w:r w:rsidR="001E3EE4">
        <w:t>March</w:t>
      </w:r>
      <w:r w:rsidR="00346497">
        <w:t xml:space="preserve"> </w:t>
      </w:r>
      <w:r w:rsidR="006241FD">
        <w:t>202</w:t>
      </w:r>
      <w:r w:rsidR="00F00A8C">
        <w:t>2</w:t>
      </w:r>
    </w:p>
    <w:p w14:paraId="6107852F" w14:textId="47DB6739" w:rsidR="006F0A86" w:rsidRDefault="006F0A86" w:rsidP="00126C3F">
      <w:pPr>
        <w:pStyle w:val="Heading1"/>
      </w:pPr>
      <w:r w:rsidRPr="00126C3F">
        <w:t xml:space="preserve">Indicator </w:t>
      </w:r>
      <w:r w:rsidR="00B719B8">
        <w:t>NM74</w:t>
      </w:r>
    </w:p>
    <w:p w14:paraId="290E5E09" w14:textId="3D3E6CF3" w:rsidR="00B719B8" w:rsidRDefault="00B719B8" w:rsidP="00B719B8">
      <w:pPr>
        <w:pStyle w:val="Paragraphnonumbers"/>
        <w:rPr>
          <w:lang w:val="en-US"/>
        </w:rPr>
      </w:pPr>
      <w:r w:rsidRPr="00AA3365">
        <w:rPr>
          <w:lang w:val="en-US"/>
        </w:rPr>
        <w:t xml:space="preserve">The percentage of patients with diabetes who have had the following care processes performed in the preceding 12 months: BMI measurement; BP measurement; HbA1c measurement; Cholesterol measurement; Record of smoking status; Foot examination; Albumin: </w:t>
      </w:r>
      <w:bookmarkStart w:id="0" w:name="OLE_LINK1"/>
      <w:r w:rsidRPr="00AA3365">
        <w:rPr>
          <w:lang w:val="en-US"/>
        </w:rPr>
        <w:t xml:space="preserve">creatinine ratio; </w:t>
      </w:r>
      <w:proofErr w:type="spellStart"/>
      <w:r w:rsidR="00016E32">
        <w:rPr>
          <w:lang w:val="en-US"/>
        </w:rPr>
        <w:t>eGFRc</w:t>
      </w:r>
      <w:r w:rsidR="00782BE9">
        <w:rPr>
          <w:lang w:val="en-US"/>
        </w:rPr>
        <w:t>r</w:t>
      </w:r>
      <w:r w:rsidR="00016E32">
        <w:rPr>
          <w:lang w:val="en-US"/>
        </w:rPr>
        <w:t>eatinine</w:t>
      </w:r>
      <w:proofErr w:type="spellEnd"/>
      <w:r w:rsidR="00016E32">
        <w:rPr>
          <w:lang w:val="en-US"/>
        </w:rPr>
        <w:t xml:space="preserve"> </w:t>
      </w:r>
      <w:r w:rsidRPr="00AA3365">
        <w:rPr>
          <w:lang w:val="en-US"/>
        </w:rPr>
        <w:t>measurement</w:t>
      </w:r>
      <w:r>
        <w:rPr>
          <w:lang w:val="en-US"/>
        </w:rPr>
        <w:t>.</w:t>
      </w:r>
    </w:p>
    <w:bookmarkEnd w:id="0"/>
    <w:p w14:paraId="18778417" w14:textId="333A8E39" w:rsidR="00806B97" w:rsidRDefault="00806B97" w:rsidP="00806B97">
      <w:pPr>
        <w:pStyle w:val="Heading1"/>
      </w:pPr>
      <w:r w:rsidRPr="00806B97">
        <w:t xml:space="preserve">Indicator type </w:t>
      </w:r>
    </w:p>
    <w:p w14:paraId="7C80C1AF" w14:textId="2DF8E4E1" w:rsidR="001C31E9" w:rsidRPr="00B719B8" w:rsidRDefault="001C31E9" w:rsidP="00F6535D">
      <w:pPr>
        <w:pStyle w:val="Paragraph"/>
      </w:pPr>
      <w:r w:rsidRPr="00B719B8">
        <w:t>General practice indicator suitable for use in the Quality and Outcomes Framework</w:t>
      </w:r>
      <w:r w:rsidR="00435C3B" w:rsidRPr="00B719B8">
        <w:t>.</w:t>
      </w:r>
    </w:p>
    <w:p w14:paraId="5CBA37E8" w14:textId="6F58C6BE" w:rsidR="006F0A86" w:rsidRDefault="006F0A86" w:rsidP="00126C3F">
      <w:pPr>
        <w:pStyle w:val="Heading1"/>
        <w:rPr>
          <w:i/>
        </w:rPr>
      </w:pPr>
      <w:r w:rsidRPr="00011273">
        <w:t>Rationale</w:t>
      </w:r>
    </w:p>
    <w:p w14:paraId="5A2F65DD" w14:textId="18763CD1" w:rsidR="00B719B8" w:rsidRDefault="00B719B8" w:rsidP="00B719B8">
      <w:pPr>
        <w:pStyle w:val="Paragraph"/>
      </w:pPr>
      <w:r>
        <w:t>This indicator aims to support holistic and comprehensive care for people with</w:t>
      </w:r>
      <w:r w:rsidR="00BE1A44">
        <w:t xml:space="preserve"> </w:t>
      </w:r>
      <w:r>
        <w:t>diabetes.</w:t>
      </w:r>
    </w:p>
    <w:p w14:paraId="2B163932" w14:textId="0C2397B1" w:rsidR="00B719B8" w:rsidRDefault="00B719B8" w:rsidP="00B719B8">
      <w:pPr>
        <w:pStyle w:val="Paragraph"/>
      </w:pPr>
      <w:r>
        <w:t xml:space="preserve">The NICE guidelines on type 1 </w:t>
      </w:r>
      <w:r w:rsidR="00552C43">
        <w:t xml:space="preserve">and type 2 </w:t>
      </w:r>
      <w:r>
        <w:t xml:space="preserve">diabetes recommend that people with a diagnosis of diabetes should receive </w:t>
      </w:r>
      <w:r w:rsidR="00552C43">
        <w:t xml:space="preserve">all </w:t>
      </w:r>
      <w:r>
        <w:t xml:space="preserve">the </w:t>
      </w:r>
      <w:r w:rsidR="00552C43">
        <w:t xml:space="preserve">indicated </w:t>
      </w:r>
      <w:r>
        <w:t xml:space="preserve">checks. The aim of </w:t>
      </w:r>
      <w:r w:rsidR="00654CF8">
        <w:t>measuring these once a year</w:t>
      </w:r>
      <w:r>
        <w:t xml:space="preserve"> is to monitor and improve control of blood pressure, cholesterol and blood glucose levels and reduce the risk of any complications of diabetes, such as cardiovascular disease, kidney failure and lower limb amputation.</w:t>
      </w:r>
    </w:p>
    <w:p w14:paraId="69D4A75D" w14:textId="00B0ED6D" w:rsidR="00D141B1" w:rsidRDefault="00D141B1" w:rsidP="00D141B1">
      <w:pPr>
        <w:pStyle w:val="Heading1"/>
        <w:rPr>
          <w:i/>
        </w:rPr>
      </w:pPr>
      <w:r w:rsidRPr="001F2B33">
        <w:t xml:space="preserve">Source guidance </w:t>
      </w:r>
    </w:p>
    <w:bookmarkStart w:id="1" w:name="_Hlk49248915"/>
    <w:p w14:paraId="2AC3A148" w14:textId="2F1D1BE3" w:rsidR="00D363C0" w:rsidRDefault="00D363C0" w:rsidP="00EE354D">
      <w:pPr>
        <w:pStyle w:val="Paragraph"/>
      </w:pPr>
      <w:r>
        <w:fldChar w:fldCharType="begin"/>
      </w:r>
      <w:r w:rsidR="00552D97">
        <w:instrText>HYPERLINK "https://www.nice.org.uk/guidance/NG136"</w:instrText>
      </w:r>
      <w:r>
        <w:fldChar w:fldCharType="separate"/>
      </w:r>
      <w:r w:rsidR="00552D97">
        <w:rPr>
          <w:rStyle w:val="Hyperlink"/>
        </w:rPr>
        <w:t>Hypertension in adults: diagnosis and management. NICE guideline NG136</w:t>
      </w:r>
      <w:r>
        <w:fldChar w:fldCharType="end"/>
      </w:r>
      <w:r w:rsidR="00363576">
        <w:t xml:space="preserve"> </w:t>
      </w:r>
      <w:r>
        <w:t>(2019), recommendations 1.2.11,</w:t>
      </w:r>
      <w:r w:rsidR="00CB6836">
        <w:t xml:space="preserve"> </w:t>
      </w:r>
      <w:r w:rsidR="00A73655">
        <w:t xml:space="preserve">and </w:t>
      </w:r>
      <w:r w:rsidR="00CB6836">
        <w:t>1.4.15</w:t>
      </w:r>
      <w:r>
        <w:t>.</w:t>
      </w:r>
    </w:p>
    <w:p w14:paraId="1E259BBD" w14:textId="24407675" w:rsidR="00D141B1" w:rsidRDefault="004D0406" w:rsidP="00EE354D">
      <w:pPr>
        <w:pStyle w:val="Paragraph"/>
      </w:pPr>
      <w:hyperlink r:id="rId7" w:history="1">
        <w:r w:rsidR="00325204">
          <w:rPr>
            <w:rStyle w:val="Hyperlink"/>
          </w:rPr>
          <w:t>Type 1 diabetes in adults: diagnosis and management. NICE guideline NG17</w:t>
        </w:r>
      </w:hyperlink>
      <w:r w:rsidR="00BE1A44">
        <w:t xml:space="preserve"> (2016</w:t>
      </w:r>
      <w:r w:rsidR="00325204">
        <w:t>, updated 202</w:t>
      </w:r>
      <w:r w:rsidR="001E3EE4">
        <w:t>2</w:t>
      </w:r>
      <w:r w:rsidR="00BE1A44">
        <w:t xml:space="preserve">), recommendations </w:t>
      </w:r>
      <w:r w:rsidR="007F09BD">
        <w:t>1.13.2 and</w:t>
      </w:r>
      <w:r w:rsidR="00BE1A44">
        <w:t xml:space="preserve"> 1.13.5</w:t>
      </w:r>
      <w:r w:rsidR="007F09BD">
        <w:t>.</w:t>
      </w:r>
    </w:p>
    <w:p w14:paraId="5DF0629C" w14:textId="733D85C9" w:rsidR="00BE1A44" w:rsidRDefault="004D0406" w:rsidP="006431D4">
      <w:pPr>
        <w:pStyle w:val="Paragraph"/>
      </w:pPr>
      <w:hyperlink r:id="rId8" w:history="1">
        <w:r w:rsidR="00A73655" w:rsidRPr="00CA38A9">
          <w:rPr>
            <w:rStyle w:val="Hyperlink"/>
          </w:rPr>
          <w:t>Type 2 diabetes in adults: management. NICE guideline NG28</w:t>
        </w:r>
      </w:hyperlink>
      <w:r w:rsidR="00A73655" w:rsidDel="00A73655">
        <w:t xml:space="preserve"> </w:t>
      </w:r>
      <w:r w:rsidR="00BE1A44">
        <w:t>(2015</w:t>
      </w:r>
      <w:r w:rsidR="00F00A8C">
        <w:t>, updated 2022</w:t>
      </w:r>
      <w:r w:rsidR="00BE1A44">
        <w:t xml:space="preserve">), recommendation </w:t>
      </w:r>
      <w:bookmarkEnd w:id="1"/>
      <w:r w:rsidR="00BE1A44">
        <w:t>1.6.</w:t>
      </w:r>
      <w:r w:rsidR="00573EF1">
        <w:t>1</w:t>
      </w:r>
      <w:r w:rsidR="00EB0067">
        <w:t>.</w:t>
      </w:r>
    </w:p>
    <w:p w14:paraId="74FC10F2" w14:textId="2A81F29C" w:rsidR="00BE1A44" w:rsidRDefault="004D0406" w:rsidP="00BE1A44">
      <w:pPr>
        <w:pStyle w:val="NICEnormal"/>
      </w:pPr>
      <w:hyperlink r:id="rId9" w:history="1">
        <w:r w:rsidR="00F90F69">
          <w:rPr>
            <w:rStyle w:val="Hyperlink"/>
          </w:rPr>
          <w:t>Diabetic foot problems: prevention and management. NICE guideline NG19</w:t>
        </w:r>
      </w:hyperlink>
      <w:r w:rsidR="00BE1A44">
        <w:t xml:space="preserve"> (2015</w:t>
      </w:r>
      <w:r w:rsidR="00F90F69">
        <w:t>, updated 2019</w:t>
      </w:r>
      <w:r w:rsidR="00BE1A44">
        <w:t>), recommendations</w:t>
      </w:r>
      <w:r w:rsidR="007F09BD">
        <w:t xml:space="preserve"> 1.3.3, 1.3.7 and 1.3.1</w:t>
      </w:r>
      <w:r w:rsidR="00E946B6">
        <w:t>1</w:t>
      </w:r>
      <w:r w:rsidR="00EB0067">
        <w:t>.</w:t>
      </w:r>
    </w:p>
    <w:p w14:paraId="6AF2D1B1" w14:textId="580D2046" w:rsidR="004C4ABD" w:rsidRPr="00BD6253" w:rsidRDefault="004D0406" w:rsidP="00EE354D">
      <w:pPr>
        <w:pStyle w:val="Paragraph"/>
      </w:pPr>
      <w:hyperlink r:id="rId10" w:history="1">
        <w:r w:rsidR="00552D97">
          <w:rPr>
            <w:rStyle w:val="Hyperlink"/>
          </w:rPr>
          <w:t>Chronic kidney disease in adults: assessment and management. NICE guideline NG203</w:t>
        </w:r>
      </w:hyperlink>
      <w:r w:rsidR="00BE1A44">
        <w:t xml:space="preserve"> (20</w:t>
      </w:r>
      <w:r w:rsidR="00552D97">
        <w:t>21</w:t>
      </w:r>
      <w:r w:rsidR="00BE1A44">
        <w:t>), recommendation</w:t>
      </w:r>
      <w:r w:rsidR="001E3EE4">
        <w:t>s</w:t>
      </w:r>
      <w:r w:rsidR="00BE1A44">
        <w:t xml:space="preserve"> 1.1.</w:t>
      </w:r>
      <w:r w:rsidR="007F09BD">
        <w:t>14 and 1.1.21</w:t>
      </w:r>
      <w:r w:rsidR="00EB0067">
        <w:t>.</w:t>
      </w:r>
      <w:r w:rsidR="00BE1A44">
        <w:t xml:space="preserve"> </w:t>
      </w:r>
    </w:p>
    <w:p w14:paraId="05AD89C4" w14:textId="77777777" w:rsidR="00D141B1" w:rsidRDefault="00D141B1" w:rsidP="00126C3F">
      <w:pPr>
        <w:pStyle w:val="Heading1"/>
      </w:pPr>
      <w:r>
        <w:t xml:space="preserve">Specification </w:t>
      </w:r>
    </w:p>
    <w:p w14:paraId="4B62A813" w14:textId="3416AEF4" w:rsidR="0009195D" w:rsidRDefault="00D141B1" w:rsidP="00EE354D">
      <w:pPr>
        <w:pStyle w:val="Paragraph"/>
      </w:pPr>
      <w:r>
        <w:t xml:space="preserve">Numerator: </w:t>
      </w:r>
      <w:r w:rsidR="0009195D" w:rsidRPr="006431D4">
        <w:t xml:space="preserve">The number of patients in the denominator </w:t>
      </w:r>
      <w:r w:rsidR="006431D4" w:rsidRPr="006431D4">
        <w:rPr>
          <w:lang w:val="en-US"/>
        </w:rPr>
        <w:t>who have had the following care processes performed in the preceding 12 months: BMI measurement; BP measurement; HbA1c measurement; Cholesterol measurement; Record of smoking status; Foot examination; Albumin: creatinine ratio; Serum creatinine measurement.</w:t>
      </w:r>
    </w:p>
    <w:p w14:paraId="06B62F8F" w14:textId="1267693C" w:rsidR="00D141B1" w:rsidRPr="00BE1A44" w:rsidRDefault="00D141B1" w:rsidP="00EE354D">
      <w:pPr>
        <w:pStyle w:val="Paragraph"/>
      </w:pPr>
      <w:r>
        <w:t xml:space="preserve">Denominator: </w:t>
      </w:r>
      <w:r w:rsidR="002B0BA6" w:rsidRPr="00BE1A44">
        <w:t>The number of patients on the diabetes register.</w:t>
      </w:r>
    </w:p>
    <w:p w14:paraId="04501E11" w14:textId="062F53EE" w:rsidR="0009195D" w:rsidRDefault="0009195D" w:rsidP="00EE354D">
      <w:pPr>
        <w:pStyle w:val="Paragraph"/>
      </w:pPr>
      <w:r w:rsidRPr="00BE1A44">
        <w:t>Calculation: (Numerator/</w:t>
      </w:r>
      <w:proofErr w:type="gramStart"/>
      <w:r w:rsidRPr="00BE1A44">
        <w:t>denominator)*</w:t>
      </w:r>
      <w:proofErr w:type="gramEnd"/>
      <w:r w:rsidRPr="00BE1A44">
        <w:t>100</w:t>
      </w:r>
    </w:p>
    <w:p w14:paraId="200701E0" w14:textId="10549A56" w:rsidR="00D141B1" w:rsidRDefault="00D141B1" w:rsidP="00EE354D">
      <w:pPr>
        <w:pStyle w:val="Paragraph"/>
      </w:pPr>
      <w:r>
        <w:t xml:space="preserve">Exclusions: </w:t>
      </w:r>
      <w:r w:rsidR="00AD1BA1" w:rsidRPr="00E93334">
        <w:t>None</w:t>
      </w:r>
      <w:r w:rsidR="00DF45AD">
        <w:t xml:space="preserve"> </w:t>
      </w:r>
    </w:p>
    <w:p w14:paraId="18B18B6B" w14:textId="26D10C3D" w:rsidR="00D227E5" w:rsidRDefault="00D227E5" w:rsidP="00EE354D">
      <w:pPr>
        <w:pStyle w:val="Paragraph"/>
      </w:pPr>
      <w:r w:rsidRPr="00D227E5">
        <w:t>Minimum population: The indicator would be appropriate to assess performance at individual general practice level.</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2"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0F99F4B7" w:rsidR="00245B12" w:rsidRPr="00EA7F52" w:rsidRDefault="00D141B1" w:rsidP="00D141B1">
    <w:pPr>
      <w:pStyle w:val="Footer"/>
    </w:pPr>
    <w:r>
      <w:t xml:space="preserve">NICE indicator guidance: </w:t>
    </w:r>
    <w:r w:rsidR="006431D4">
      <w:t>NM74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F417C6"/>
    <w:multiLevelType w:val="hybridMultilevel"/>
    <w:tmpl w:val="21EA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8"/>
  </w:num>
  <w:num w:numId="27">
    <w:abstractNumId w:val="26"/>
  </w:num>
  <w:num w:numId="28">
    <w:abstractNumId w:val="30"/>
  </w:num>
  <w:num w:numId="29">
    <w:abstractNumId w:val="14"/>
  </w:num>
  <w:num w:numId="30">
    <w:abstractNumId w:val="15"/>
  </w:num>
  <w:num w:numId="31">
    <w:abstractNumId w:val="11"/>
  </w:num>
  <w:num w:numId="32">
    <w:abstractNumId w:val="24"/>
  </w:num>
  <w:num w:numId="33">
    <w:abstractNumId w:val="29"/>
  </w:num>
  <w:num w:numId="34">
    <w:abstractNumId w:val="19"/>
  </w:num>
  <w:num w:numId="35">
    <w:abstractNumId w:val="10"/>
  </w:num>
  <w:num w:numId="36">
    <w:abstractNumId w:val="22"/>
  </w:num>
  <w:num w:numId="37">
    <w:abstractNumId w:val="23"/>
  </w:num>
  <w:num w:numId="38">
    <w:abstractNumId w:val="2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6E32"/>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3EE4"/>
    <w:rsid w:val="001E5835"/>
    <w:rsid w:val="001F2B33"/>
    <w:rsid w:val="00201EFB"/>
    <w:rsid w:val="00201FB8"/>
    <w:rsid w:val="002040A1"/>
    <w:rsid w:val="002041D1"/>
    <w:rsid w:val="002042FC"/>
    <w:rsid w:val="00212D33"/>
    <w:rsid w:val="00216F31"/>
    <w:rsid w:val="0022030D"/>
    <w:rsid w:val="002224EE"/>
    <w:rsid w:val="00232A20"/>
    <w:rsid w:val="00232E65"/>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C68A2"/>
    <w:rsid w:val="002D2875"/>
    <w:rsid w:val="002D3376"/>
    <w:rsid w:val="002D691E"/>
    <w:rsid w:val="002D74C0"/>
    <w:rsid w:val="002E5744"/>
    <w:rsid w:val="002F25FC"/>
    <w:rsid w:val="002F6A33"/>
    <w:rsid w:val="00305DF6"/>
    <w:rsid w:val="00306A73"/>
    <w:rsid w:val="00311ED0"/>
    <w:rsid w:val="00312208"/>
    <w:rsid w:val="00312B41"/>
    <w:rsid w:val="00313297"/>
    <w:rsid w:val="00325204"/>
    <w:rsid w:val="00336D76"/>
    <w:rsid w:val="00337052"/>
    <w:rsid w:val="00346497"/>
    <w:rsid w:val="00350F6F"/>
    <w:rsid w:val="00352F88"/>
    <w:rsid w:val="0035406C"/>
    <w:rsid w:val="00355319"/>
    <w:rsid w:val="0035534D"/>
    <w:rsid w:val="00355DA8"/>
    <w:rsid w:val="003600E7"/>
    <w:rsid w:val="0036071C"/>
    <w:rsid w:val="0036097D"/>
    <w:rsid w:val="00362E7E"/>
    <w:rsid w:val="00363576"/>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406"/>
    <w:rsid w:val="004D0D69"/>
    <w:rsid w:val="004E1F75"/>
    <w:rsid w:val="004E2A20"/>
    <w:rsid w:val="004E4974"/>
    <w:rsid w:val="004E68CA"/>
    <w:rsid w:val="004F27F5"/>
    <w:rsid w:val="004F5CBD"/>
    <w:rsid w:val="00500545"/>
    <w:rsid w:val="00501591"/>
    <w:rsid w:val="005025A1"/>
    <w:rsid w:val="005031FD"/>
    <w:rsid w:val="00511E0F"/>
    <w:rsid w:val="005122BC"/>
    <w:rsid w:val="00512DA2"/>
    <w:rsid w:val="00515295"/>
    <w:rsid w:val="00521BB3"/>
    <w:rsid w:val="005224A9"/>
    <w:rsid w:val="005309E5"/>
    <w:rsid w:val="005312F6"/>
    <w:rsid w:val="005374B5"/>
    <w:rsid w:val="005444CE"/>
    <w:rsid w:val="00551A8A"/>
    <w:rsid w:val="00552C43"/>
    <w:rsid w:val="00552D97"/>
    <w:rsid w:val="00554F77"/>
    <w:rsid w:val="00556D18"/>
    <w:rsid w:val="005613CB"/>
    <w:rsid w:val="005652AD"/>
    <w:rsid w:val="00573EF1"/>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D6CD7"/>
    <w:rsid w:val="005D71A8"/>
    <w:rsid w:val="005E1A06"/>
    <w:rsid w:val="005E720D"/>
    <w:rsid w:val="005F57CE"/>
    <w:rsid w:val="005F59EC"/>
    <w:rsid w:val="005F5E00"/>
    <w:rsid w:val="005F65A3"/>
    <w:rsid w:val="005F7A02"/>
    <w:rsid w:val="006015E7"/>
    <w:rsid w:val="0060572D"/>
    <w:rsid w:val="00610F28"/>
    <w:rsid w:val="00611A0A"/>
    <w:rsid w:val="00611A1D"/>
    <w:rsid w:val="006203A9"/>
    <w:rsid w:val="006241CC"/>
    <w:rsid w:val="006241FD"/>
    <w:rsid w:val="00631D73"/>
    <w:rsid w:val="00633DB7"/>
    <w:rsid w:val="00640BC8"/>
    <w:rsid w:val="006431D4"/>
    <w:rsid w:val="00654CF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4C53"/>
    <w:rsid w:val="006B668C"/>
    <w:rsid w:val="006B7D26"/>
    <w:rsid w:val="006C3856"/>
    <w:rsid w:val="006C4C54"/>
    <w:rsid w:val="006D04ED"/>
    <w:rsid w:val="006D316E"/>
    <w:rsid w:val="006D43D7"/>
    <w:rsid w:val="006D71D4"/>
    <w:rsid w:val="006E3BEB"/>
    <w:rsid w:val="006F0A86"/>
    <w:rsid w:val="006F1047"/>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44F3"/>
    <w:rsid w:val="00775824"/>
    <w:rsid w:val="00776C1F"/>
    <w:rsid w:val="00780393"/>
    <w:rsid w:val="00782BE9"/>
    <w:rsid w:val="00787D75"/>
    <w:rsid w:val="00794AAC"/>
    <w:rsid w:val="00794DA0"/>
    <w:rsid w:val="007A17B3"/>
    <w:rsid w:val="007A5C12"/>
    <w:rsid w:val="007A7DFB"/>
    <w:rsid w:val="007B0F36"/>
    <w:rsid w:val="007B5B4D"/>
    <w:rsid w:val="007B5CC6"/>
    <w:rsid w:val="007C6EDB"/>
    <w:rsid w:val="007D5B33"/>
    <w:rsid w:val="007E5A42"/>
    <w:rsid w:val="007E7021"/>
    <w:rsid w:val="007E770A"/>
    <w:rsid w:val="007E7F51"/>
    <w:rsid w:val="007F09BD"/>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143B"/>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530D"/>
    <w:rsid w:val="0098788C"/>
    <w:rsid w:val="00993DD3"/>
    <w:rsid w:val="00994DDF"/>
    <w:rsid w:val="009A74EB"/>
    <w:rsid w:val="009C0BD9"/>
    <w:rsid w:val="009D037B"/>
    <w:rsid w:val="009D28EE"/>
    <w:rsid w:val="009D3369"/>
    <w:rsid w:val="009D400A"/>
    <w:rsid w:val="009D717F"/>
    <w:rsid w:val="009E2D39"/>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655"/>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184C"/>
    <w:rsid w:val="00B5431F"/>
    <w:rsid w:val="00B54674"/>
    <w:rsid w:val="00B54C74"/>
    <w:rsid w:val="00B55000"/>
    <w:rsid w:val="00B5550A"/>
    <w:rsid w:val="00B6011C"/>
    <w:rsid w:val="00B61BE4"/>
    <w:rsid w:val="00B719B8"/>
    <w:rsid w:val="00B747F1"/>
    <w:rsid w:val="00B77578"/>
    <w:rsid w:val="00B8026E"/>
    <w:rsid w:val="00B82792"/>
    <w:rsid w:val="00B940DC"/>
    <w:rsid w:val="00B968B4"/>
    <w:rsid w:val="00BA02F9"/>
    <w:rsid w:val="00BA0F05"/>
    <w:rsid w:val="00BA2026"/>
    <w:rsid w:val="00BA78E0"/>
    <w:rsid w:val="00BB736F"/>
    <w:rsid w:val="00BC05E2"/>
    <w:rsid w:val="00BC4FA5"/>
    <w:rsid w:val="00BC6478"/>
    <w:rsid w:val="00BC73AA"/>
    <w:rsid w:val="00BD08A8"/>
    <w:rsid w:val="00BD3C52"/>
    <w:rsid w:val="00BD6253"/>
    <w:rsid w:val="00BD6594"/>
    <w:rsid w:val="00BE0F18"/>
    <w:rsid w:val="00BE1A44"/>
    <w:rsid w:val="00BE58AF"/>
    <w:rsid w:val="00BE645F"/>
    <w:rsid w:val="00BE69B6"/>
    <w:rsid w:val="00BF04C9"/>
    <w:rsid w:val="00BF2168"/>
    <w:rsid w:val="00BF4266"/>
    <w:rsid w:val="00BF50C4"/>
    <w:rsid w:val="00BF7FE0"/>
    <w:rsid w:val="00C00249"/>
    <w:rsid w:val="00C02993"/>
    <w:rsid w:val="00C04B1E"/>
    <w:rsid w:val="00C04B88"/>
    <w:rsid w:val="00C05310"/>
    <w:rsid w:val="00C07B21"/>
    <w:rsid w:val="00C125B9"/>
    <w:rsid w:val="00C127B2"/>
    <w:rsid w:val="00C17DF4"/>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B6517"/>
    <w:rsid w:val="00CB6836"/>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27E5"/>
    <w:rsid w:val="00D23D74"/>
    <w:rsid w:val="00D263CE"/>
    <w:rsid w:val="00D306D5"/>
    <w:rsid w:val="00D31042"/>
    <w:rsid w:val="00D323B8"/>
    <w:rsid w:val="00D32648"/>
    <w:rsid w:val="00D33FFF"/>
    <w:rsid w:val="00D34F49"/>
    <w:rsid w:val="00D351C1"/>
    <w:rsid w:val="00D355D1"/>
    <w:rsid w:val="00D35EFB"/>
    <w:rsid w:val="00D363C0"/>
    <w:rsid w:val="00D37142"/>
    <w:rsid w:val="00D43489"/>
    <w:rsid w:val="00D465A2"/>
    <w:rsid w:val="00D47ACD"/>
    <w:rsid w:val="00D504B3"/>
    <w:rsid w:val="00D50C58"/>
    <w:rsid w:val="00D50EB4"/>
    <w:rsid w:val="00D60775"/>
    <w:rsid w:val="00D62598"/>
    <w:rsid w:val="00D626A6"/>
    <w:rsid w:val="00D65433"/>
    <w:rsid w:val="00D70963"/>
    <w:rsid w:val="00D77154"/>
    <w:rsid w:val="00D80F42"/>
    <w:rsid w:val="00D81F38"/>
    <w:rsid w:val="00D81F78"/>
    <w:rsid w:val="00D835E3"/>
    <w:rsid w:val="00D86BF0"/>
    <w:rsid w:val="00D8732A"/>
    <w:rsid w:val="00D92D94"/>
    <w:rsid w:val="00D94AAE"/>
    <w:rsid w:val="00DA5875"/>
    <w:rsid w:val="00DA7D68"/>
    <w:rsid w:val="00DB0003"/>
    <w:rsid w:val="00DB0256"/>
    <w:rsid w:val="00DB20D9"/>
    <w:rsid w:val="00DC047A"/>
    <w:rsid w:val="00DC06BC"/>
    <w:rsid w:val="00DC28B0"/>
    <w:rsid w:val="00DD0F63"/>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93334"/>
    <w:rsid w:val="00E946B6"/>
    <w:rsid w:val="00EA45ED"/>
    <w:rsid w:val="00EA6CE3"/>
    <w:rsid w:val="00EA7F52"/>
    <w:rsid w:val="00EB0067"/>
    <w:rsid w:val="00EB2DFC"/>
    <w:rsid w:val="00EC142C"/>
    <w:rsid w:val="00EC2405"/>
    <w:rsid w:val="00EC3275"/>
    <w:rsid w:val="00EC6C08"/>
    <w:rsid w:val="00EC76D6"/>
    <w:rsid w:val="00ED3673"/>
    <w:rsid w:val="00ED64D9"/>
    <w:rsid w:val="00EE0E05"/>
    <w:rsid w:val="00EE354D"/>
    <w:rsid w:val="00EE36E0"/>
    <w:rsid w:val="00EE4BF3"/>
    <w:rsid w:val="00EE50CE"/>
    <w:rsid w:val="00EF0440"/>
    <w:rsid w:val="00EF6164"/>
    <w:rsid w:val="00F00A8C"/>
    <w:rsid w:val="00F014C2"/>
    <w:rsid w:val="00F025CE"/>
    <w:rsid w:val="00F050A1"/>
    <w:rsid w:val="00F055F1"/>
    <w:rsid w:val="00F05D0B"/>
    <w:rsid w:val="00F07B2C"/>
    <w:rsid w:val="00F13F5B"/>
    <w:rsid w:val="00F35DD0"/>
    <w:rsid w:val="00F362B0"/>
    <w:rsid w:val="00F472B7"/>
    <w:rsid w:val="00F546AA"/>
    <w:rsid w:val="00F553DE"/>
    <w:rsid w:val="00F56D0B"/>
    <w:rsid w:val="00F610AF"/>
    <w:rsid w:val="00F64951"/>
    <w:rsid w:val="00F6535D"/>
    <w:rsid w:val="00F742A0"/>
    <w:rsid w:val="00F829F3"/>
    <w:rsid w:val="00F85171"/>
    <w:rsid w:val="00F90F69"/>
    <w:rsid w:val="00F9515E"/>
    <w:rsid w:val="00F9741E"/>
    <w:rsid w:val="00FA01FB"/>
    <w:rsid w:val="00FA09FA"/>
    <w:rsid w:val="00FA152E"/>
    <w:rsid w:val="00FA2C5A"/>
    <w:rsid w:val="00FA5251"/>
    <w:rsid w:val="00FB3078"/>
    <w:rsid w:val="00FB4668"/>
    <w:rsid w:val="00FB5253"/>
    <w:rsid w:val="00FC25A2"/>
    <w:rsid w:val="00FC2D11"/>
    <w:rsid w:val="00FC3A0E"/>
    <w:rsid w:val="00FC56C8"/>
    <w:rsid w:val="00FC60A0"/>
    <w:rsid w:val="00FC6230"/>
    <w:rsid w:val="00FE5504"/>
    <w:rsid w:val="00FE57F6"/>
    <w:rsid w:val="00FF2E4C"/>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uiPriority w:val="99"/>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nice.org.uk/guidance/ng203" TargetMode="External"/><Relationship Id="rId4" Type="http://schemas.openxmlformats.org/officeDocument/2006/relationships/webSettings" Target="webSettings.xml"/><Relationship Id="rId9" Type="http://schemas.openxmlformats.org/officeDocument/2006/relationships/hyperlink" Target="https://www.nice.org.uk/guidance/ng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2021-04-08T15:10:00Z</dcterms:created>
  <dcterms:modified xsi:type="dcterms:W3CDTF">2022-03-10T11:59:00Z</dcterms:modified>
</cp:coreProperties>
</file>