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2EDEA6E" w:rsidR="00B8026E" w:rsidRDefault="00B8026E" w:rsidP="00EE354D">
      <w:pPr>
        <w:pStyle w:val="Paragraph"/>
      </w:pPr>
      <w:r>
        <w:t>Date first published on NICE menu:</w:t>
      </w:r>
      <w:r w:rsidR="00DF637B">
        <w:t xml:space="preserve"> </w:t>
      </w:r>
      <w:r w:rsidR="008D58CC">
        <w:t>August 2014</w:t>
      </w:r>
    </w:p>
    <w:p w14:paraId="06BAB3FE" w14:textId="3A3ECC90" w:rsidR="00B8026E" w:rsidRPr="00126C3F" w:rsidRDefault="00B8026E" w:rsidP="00EE354D">
      <w:pPr>
        <w:pStyle w:val="Paragraph"/>
        <w:rPr>
          <w:b/>
        </w:rPr>
      </w:pPr>
      <w:r>
        <w:t>Last update</w:t>
      </w:r>
      <w:r w:rsidRPr="00B8026E">
        <w:t xml:space="preserve">: </w:t>
      </w:r>
      <w:r w:rsidR="008D58CC">
        <w:t>September 2020</w:t>
      </w:r>
    </w:p>
    <w:p w14:paraId="6107852F" w14:textId="5C072C36" w:rsidR="006F0A86" w:rsidRDefault="006F0A86" w:rsidP="00126C3F">
      <w:pPr>
        <w:pStyle w:val="Heading1"/>
      </w:pPr>
      <w:r w:rsidRPr="00126C3F">
        <w:t xml:space="preserve">Indicator </w:t>
      </w:r>
      <w:r w:rsidR="008D58CC">
        <w:t>NM80</w:t>
      </w:r>
    </w:p>
    <w:p w14:paraId="0A6C169D" w14:textId="4F065450" w:rsidR="00611A1D" w:rsidRPr="00611A1D" w:rsidRDefault="008D58CC" w:rsidP="00611A1D">
      <w:pPr>
        <w:pStyle w:val="Paragraph"/>
      </w:pPr>
      <w:r>
        <w:t>The percentage of patients with a history of myocardial infarction (more than 12 months ago) who are currently being treated with an ACE-I (or ARB if ACE-I intolerant), aspirin (or clopidogrel) (or anticoagulant drug therapy) and a statin, and a beta-blocker for those patients with left ventricular systolic dysfunction.</w:t>
      </w:r>
    </w:p>
    <w:p w14:paraId="18778417" w14:textId="333A8E39" w:rsidR="00806B97" w:rsidRDefault="00806B97" w:rsidP="00806B97">
      <w:pPr>
        <w:pStyle w:val="Heading1"/>
      </w:pPr>
      <w:r w:rsidRPr="00806B97">
        <w:t xml:space="preserve">Indicator type </w:t>
      </w:r>
    </w:p>
    <w:p w14:paraId="1F16E37E" w14:textId="54E70293" w:rsidR="00F6535D" w:rsidRPr="008D58CC" w:rsidRDefault="001C31E9" w:rsidP="008E7A29">
      <w:pPr>
        <w:pStyle w:val="Paragraph"/>
      </w:pPr>
      <w:r w:rsidRPr="008D58CC">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5953BF4D" w14:textId="1055F3A2" w:rsidR="008D58CC" w:rsidRDefault="008D58CC" w:rsidP="00EE354D">
      <w:pPr>
        <w:pStyle w:val="Paragraph"/>
      </w:pPr>
      <w:r>
        <w:t>This indicator aims to reduce associated morbidity and mortality in people who have had a myocardial infarction (MI)</w:t>
      </w:r>
      <w:r w:rsidR="007941E9">
        <w:t xml:space="preserve">. </w:t>
      </w:r>
      <w:r>
        <w:t xml:space="preserve">The </w:t>
      </w:r>
      <w:r w:rsidR="00DC01F4" w:rsidRPr="00DC01F4">
        <w:t>NICE guideline on acute coronary syndromes</w:t>
      </w:r>
      <w:r>
        <w:t xml:space="preserve"> recommends that all people who have had an acute MI </w:t>
      </w:r>
      <w:r w:rsidR="001E049F">
        <w:t xml:space="preserve">more than 12 months ago </w:t>
      </w:r>
      <w:r>
        <w:t>should be offered the following drug therapy</w:t>
      </w:r>
      <w:r w:rsidR="007941E9">
        <w:t xml:space="preserve"> for secondary prevention</w:t>
      </w:r>
      <w:r w:rsidR="003F1E1E">
        <w:t xml:space="preserve"> of cardiovascular disease</w:t>
      </w:r>
      <w:r>
        <w:t>:</w:t>
      </w:r>
    </w:p>
    <w:p w14:paraId="06394A2C" w14:textId="194190AD" w:rsidR="008D58CC" w:rsidRPr="00AF3612" w:rsidRDefault="008D58CC" w:rsidP="00AF3612">
      <w:pPr>
        <w:pStyle w:val="Bullets"/>
        <w:numPr>
          <w:ilvl w:val="0"/>
          <w:numId w:val="39"/>
        </w:numPr>
      </w:pPr>
      <w:r>
        <w:t>Angiotensin-converting enzyme inhibitor (ACE-I)</w:t>
      </w:r>
    </w:p>
    <w:p w14:paraId="0357EE14" w14:textId="057B2187" w:rsidR="008D58CC" w:rsidRPr="00AF3612" w:rsidRDefault="007941E9" w:rsidP="00AF3612">
      <w:pPr>
        <w:pStyle w:val="Bullets"/>
        <w:numPr>
          <w:ilvl w:val="0"/>
          <w:numId w:val="39"/>
        </w:numPr>
      </w:pPr>
      <w:r>
        <w:t>Aspirin (or clopidogrel, or anticoagulant therapy)</w:t>
      </w:r>
    </w:p>
    <w:p w14:paraId="1BA3B58E" w14:textId="728D47BE" w:rsidR="008D58CC" w:rsidRPr="00AF3612" w:rsidRDefault="007941E9" w:rsidP="00AF3612">
      <w:pPr>
        <w:pStyle w:val="Bullets"/>
        <w:numPr>
          <w:ilvl w:val="0"/>
          <w:numId w:val="39"/>
        </w:numPr>
      </w:pPr>
      <w:r>
        <w:t>Statin</w:t>
      </w:r>
    </w:p>
    <w:p w14:paraId="09F35B18" w14:textId="63FFB602" w:rsidR="00A13775" w:rsidRDefault="00BC1600" w:rsidP="001E049F">
      <w:pPr>
        <w:pStyle w:val="Paragraph"/>
      </w:pPr>
      <w:r>
        <w:t xml:space="preserve">The guideline recommends additional treatment with a beta-blocker if the patient has heart failure and left ventricular ejection fraction. The indicator refers to left ventricular systolic dysfunction (LVSD) rather than reduced ejection fraction because it is the term historically used in GP practice. </w:t>
      </w:r>
      <w:r>
        <w:lastRenderedPageBreak/>
        <w:t xml:space="preserve">However, it is recommended for the ejection fraction to be recorded and for the ACE inhibitor or ARB to be prescribed to patients with reduced ejection fraction below 40% in line with the guideline. </w:t>
      </w:r>
    </w:p>
    <w:p w14:paraId="69D4A75D" w14:textId="00B0ED6D" w:rsidR="00D141B1" w:rsidRDefault="00D141B1" w:rsidP="00D141B1">
      <w:pPr>
        <w:pStyle w:val="Heading1"/>
        <w:rPr>
          <w:i/>
        </w:rPr>
      </w:pPr>
      <w:r w:rsidRPr="001F2B33">
        <w:t xml:space="preserve">Source guidance </w:t>
      </w:r>
    </w:p>
    <w:p w14:paraId="76C137F0" w14:textId="04887C0D" w:rsidR="003F1E1E" w:rsidRPr="00BD6253" w:rsidRDefault="00F11D43" w:rsidP="00EE354D">
      <w:pPr>
        <w:pStyle w:val="Paragraph"/>
      </w:pPr>
      <w:hyperlink r:id="rId7" w:history="1">
        <w:r w:rsidR="00842DE0" w:rsidRPr="00F11D43">
          <w:rPr>
            <w:rStyle w:val="Hyperlink"/>
          </w:rPr>
          <w:t>Acute coronary syndromes</w:t>
        </w:r>
      </w:hyperlink>
      <w:r>
        <w:t xml:space="preserve"> (2020)</w:t>
      </w:r>
      <w:r w:rsidR="00842DE0">
        <w:t xml:space="preserve"> </w:t>
      </w:r>
      <w:r w:rsidR="00842DE0" w:rsidRPr="00F11D43">
        <w:t xml:space="preserve">NICE guideline </w:t>
      </w:r>
      <w:r w:rsidR="005B2498" w:rsidRPr="00F11D43">
        <w:t>NG185</w:t>
      </w:r>
      <w:r w:rsidR="00842DE0">
        <w:t xml:space="preserve">, </w:t>
      </w:r>
      <w:r w:rsidR="003F1E1E">
        <w:t>recommendations 1.</w:t>
      </w:r>
      <w:r w:rsidR="00842DE0">
        <w:t>4</w:t>
      </w:r>
      <w:r w:rsidR="003F1E1E">
        <w:t>.</w:t>
      </w:r>
      <w:r w:rsidR="00B7661A">
        <w:t>9, 1.4.10</w:t>
      </w:r>
      <w:r w:rsidR="00A13775">
        <w:t>,</w:t>
      </w:r>
      <w:r w:rsidR="003F1E1E">
        <w:t xml:space="preserve"> 1.</w:t>
      </w:r>
      <w:r w:rsidR="00842DE0">
        <w:t>4</w:t>
      </w:r>
      <w:r w:rsidR="003F1E1E">
        <w:t>.1</w:t>
      </w:r>
      <w:r w:rsidR="00842DE0">
        <w:t>2</w:t>
      </w:r>
      <w:r w:rsidR="00B7661A">
        <w:t xml:space="preserve">, </w:t>
      </w:r>
      <w:r w:rsidR="00A13775">
        <w:t>1.4.29</w:t>
      </w:r>
      <w:r w:rsidR="00B7661A">
        <w:t xml:space="preserve"> and 1.4.39</w:t>
      </w:r>
      <w:r w:rsidR="003F1E1E">
        <w:t>.</w:t>
      </w:r>
    </w:p>
    <w:p w14:paraId="05AD89C4" w14:textId="77777777" w:rsidR="00D141B1" w:rsidRDefault="00D141B1" w:rsidP="00126C3F">
      <w:pPr>
        <w:pStyle w:val="Heading1"/>
      </w:pPr>
      <w:r>
        <w:t xml:space="preserve">Specification </w:t>
      </w:r>
    </w:p>
    <w:p w14:paraId="78DA2609" w14:textId="154E2065" w:rsidR="003F1E1E" w:rsidRDefault="00D141B1" w:rsidP="00EE354D">
      <w:pPr>
        <w:pStyle w:val="Paragraph"/>
      </w:pPr>
      <w:r>
        <w:t xml:space="preserve">Numerator: </w:t>
      </w:r>
      <w:r w:rsidR="003F1E1E">
        <w:t>The number of patients in the denominator who are currently being treated with the following:</w:t>
      </w:r>
    </w:p>
    <w:p w14:paraId="713D7F88" w14:textId="315AC48B" w:rsidR="003F1E1E" w:rsidRPr="00AF3612" w:rsidRDefault="003F1E1E" w:rsidP="00AF3612">
      <w:pPr>
        <w:pStyle w:val="Bulletleft1"/>
        <w:numPr>
          <w:ilvl w:val="0"/>
          <w:numId w:val="39"/>
        </w:numPr>
      </w:pPr>
      <w:r>
        <w:t>ACE-I (or ARB if there is a record of ACE-I intolerance)</w:t>
      </w:r>
    </w:p>
    <w:p w14:paraId="1F67AFDC" w14:textId="4212E585" w:rsidR="003F1E1E" w:rsidRDefault="003F1E1E" w:rsidP="00AF3612">
      <w:pPr>
        <w:pStyle w:val="Bulletleft1"/>
        <w:numPr>
          <w:ilvl w:val="0"/>
          <w:numId w:val="39"/>
        </w:numPr>
      </w:pPr>
      <w:r>
        <w:t>Aspirin (or clopidogrel if there is a record of aspirin intolerance, or an anticoagulant therapy)</w:t>
      </w:r>
    </w:p>
    <w:p w14:paraId="686AF2BA" w14:textId="77777777" w:rsidR="00DC3650" w:rsidRPr="00DC3650" w:rsidRDefault="00DC3650" w:rsidP="00DC01F4">
      <w:pPr>
        <w:pStyle w:val="Bulletleft1"/>
        <w:numPr>
          <w:ilvl w:val="0"/>
          <w:numId w:val="39"/>
        </w:numPr>
      </w:pPr>
      <w:r w:rsidRPr="00DC3650">
        <w:t xml:space="preserve">Beta-blocker (if there is a record of left ventricular systolic dysfunction) </w:t>
      </w:r>
    </w:p>
    <w:p w14:paraId="766A624C" w14:textId="1069886C" w:rsidR="003F1E1E" w:rsidRPr="00AF3612" w:rsidRDefault="003F1E1E" w:rsidP="00AF3612">
      <w:pPr>
        <w:pStyle w:val="Bulletleft1"/>
        <w:numPr>
          <w:ilvl w:val="0"/>
          <w:numId w:val="39"/>
        </w:numPr>
      </w:pPr>
      <w:r>
        <w:t>Statin</w:t>
      </w:r>
    </w:p>
    <w:p w14:paraId="02614446" w14:textId="53812457" w:rsidR="003F1E1E" w:rsidRDefault="00D141B1" w:rsidP="00EE354D">
      <w:pPr>
        <w:pStyle w:val="Paragraph"/>
      </w:pPr>
      <w:r>
        <w:t xml:space="preserve">Denominator: </w:t>
      </w:r>
      <w:r w:rsidR="003F1E1E">
        <w:t>The number of patients with a record of a myocardial infarction more than 12 months ago.</w:t>
      </w:r>
    </w:p>
    <w:p w14:paraId="04501E11" w14:textId="6A5D340C" w:rsidR="0009195D" w:rsidRDefault="0009195D" w:rsidP="00EE354D">
      <w:pPr>
        <w:pStyle w:val="Paragraph"/>
      </w:pPr>
      <w:r>
        <w:t>Calculation</w:t>
      </w:r>
      <w:r w:rsidR="00507111">
        <w:t>:</w:t>
      </w:r>
      <w:r w:rsidRPr="00507111">
        <w:t xml:space="preserve"> (Numerator/denominator)*100</w:t>
      </w:r>
    </w:p>
    <w:p w14:paraId="200701E0" w14:textId="1E4711C9" w:rsidR="00D141B1" w:rsidRDefault="00D141B1" w:rsidP="00EE354D">
      <w:pPr>
        <w:pStyle w:val="Paragraph"/>
      </w:pPr>
      <w:r>
        <w:t xml:space="preserve">Exclusions: </w:t>
      </w:r>
      <w:r w:rsidR="00507111">
        <w:t>None.</w:t>
      </w:r>
      <w:r w:rsidR="00DF45AD">
        <w:t xml:space="preserve"> </w:t>
      </w:r>
    </w:p>
    <w:p w14:paraId="15239063" w14:textId="45D25797" w:rsidR="00706451" w:rsidRDefault="00706451" w:rsidP="00EE354D">
      <w:pPr>
        <w:pStyle w:val="Paragraph"/>
      </w:pPr>
      <w:r>
        <w:t xml:space="preserve">Minimum population: </w:t>
      </w:r>
      <w:r w:rsidR="000D5395" w:rsidRPr="00507111">
        <w:t xml:space="preserve">The indicator would be appropriate </w:t>
      </w:r>
      <w:r w:rsidR="00391F4B" w:rsidRPr="00507111">
        <w:t xml:space="preserve">to assess performance </w:t>
      </w:r>
      <w:r w:rsidR="003B53D0" w:rsidRPr="00507111">
        <w:t xml:space="preserve">at </w:t>
      </w:r>
      <w:r w:rsidR="00391F4B" w:rsidRPr="00507111">
        <w:t>individual</w:t>
      </w:r>
      <w:r w:rsidR="000D5395" w:rsidRPr="00507111">
        <w:t xml:space="preserve"> general practice</w:t>
      </w:r>
      <w:r w:rsidR="00391F4B" w:rsidRPr="00507111">
        <w:t xml:space="preserve"> level</w:t>
      </w:r>
      <w:r w:rsidR="000D5395" w:rsidRPr="00507111">
        <w:t xml:space="preserve">. </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5094A47E" w:rsidR="00245B12" w:rsidRPr="00EA7F52" w:rsidRDefault="00D141B1" w:rsidP="00D141B1">
    <w:pPr>
      <w:pStyle w:val="Footer"/>
    </w:pPr>
    <w:r>
      <w:t xml:space="preserve">NICE indicator guidance: </w:t>
    </w:r>
    <w:r w:rsidR="003F1E1E">
      <w:t>NM80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D84270"/>
    <w:multiLevelType w:val="hybridMultilevel"/>
    <w:tmpl w:val="F4E0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E3269"/>
    <w:multiLevelType w:val="hybridMultilevel"/>
    <w:tmpl w:val="4EC4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8"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3"/>
  </w:num>
  <w:num w:numId="21">
    <w:abstractNumId w:val="14"/>
  </w:num>
  <w:num w:numId="22">
    <w:abstractNumId w:val="18"/>
  </w:num>
  <w:num w:numId="23">
    <w:abstractNumId w:val="19"/>
  </w:num>
  <w:num w:numId="24">
    <w:abstractNumId w:val="23"/>
  </w:num>
  <w:num w:numId="25">
    <w:abstractNumId w:val="21"/>
  </w:num>
  <w:num w:numId="26">
    <w:abstractNumId w:val="29"/>
  </w:num>
  <w:num w:numId="27">
    <w:abstractNumId w:val="28"/>
  </w:num>
  <w:num w:numId="28">
    <w:abstractNumId w:val="31"/>
  </w:num>
  <w:num w:numId="29">
    <w:abstractNumId w:val="15"/>
  </w:num>
  <w:num w:numId="30">
    <w:abstractNumId w:val="16"/>
  </w:num>
  <w:num w:numId="31">
    <w:abstractNumId w:val="12"/>
  </w:num>
  <w:num w:numId="32">
    <w:abstractNumId w:val="26"/>
  </w:num>
  <w:num w:numId="33">
    <w:abstractNumId w:val="30"/>
  </w:num>
  <w:num w:numId="34">
    <w:abstractNumId w:val="20"/>
  </w:num>
  <w:num w:numId="35">
    <w:abstractNumId w:val="10"/>
  </w:num>
  <w:num w:numId="36">
    <w:abstractNumId w:val="23"/>
  </w:num>
  <w:num w:numId="37">
    <w:abstractNumId w:val="24"/>
  </w:num>
  <w:num w:numId="38">
    <w:abstractNumId w:val="22"/>
  </w:num>
  <w:num w:numId="39">
    <w:abstractNumId w:val="25"/>
  </w:num>
  <w:num w:numId="40">
    <w:abstractNumId w:val="1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1007"/>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1096"/>
    <w:rsid w:val="001C31E9"/>
    <w:rsid w:val="001C506B"/>
    <w:rsid w:val="001C7C0D"/>
    <w:rsid w:val="001D0FBE"/>
    <w:rsid w:val="001E049F"/>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1479"/>
    <w:rsid w:val="003B53D0"/>
    <w:rsid w:val="003C7AAF"/>
    <w:rsid w:val="003D61BE"/>
    <w:rsid w:val="003D6D57"/>
    <w:rsid w:val="003E1C96"/>
    <w:rsid w:val="003E38A5"/>
    <w:rsid w:val="003F1E1E"/>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07111"/>
    <w:rsid w:val="00511E0F"/>
    <w:rsid w:val="005122BC"/>
    <w:rsid w:val="00512DA2"/>
    <w:rsid w:val="00515295"/>
    <w:rsid w:val="00521BB3"/>
    <w:rsid w:val="005224A9"/>
    <w:rsid w:val="005309E5"/>
    <w:rsid w:val="005312F6"/>
    <w:rsid w:val="005444CE"/>
    <w:rsid w:val="00551A8A"/>
    <w:rsid w:val="00554F77"/>
    <w:rsid w:val="00556D18"/>
    <w:rsid w:val="005652AD"/>
    <w:rsid w:val="005672BB"/>
    <w:rsid w:val="00575003"/>
    <w:rsid w:val="00576B75"/>
    <w:rsid w:val="0058465D"/>
    <w:rsid w:val="0059615A"/>
    <w:rsid w:val="005A20A0"/>
    <w:rsid w:val="005A63EF"/>
    <w:rsid w:val="005A6544"/>
    <w:rsid w:val="005B2498"/>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1E9"/>
    <w:rsid w:val="00794AAC"/>
    <w:rsid w:val="00794DA0"/>
    <w:rsid w:val="007A17B3"/>
    <w:rsid w:val="007A5C12"/>
    <w:rsid w:val="007A7DFB"/>
    <w:rsid w:val="007B0F36"/>
    <w:rsid w:val="007B5B4D"/>
    <w:rsid w:val="007B5CC6"/>
    <w:rsid w:val="007C67F8"/>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42DE0"/>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D58CC"/>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135E"/>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3775"/>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612"/>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4D56"/>
    <w:rsid w:val="00B55000"/>
    <w:rsid w:val="00B5550A"/>
    <w:rsid w:val="00B6011C"/>
    <w:rsid w:val="00B61BE4"/>
    <w:rsid w:val="00B747F1"/>
    <w:rsid w:val="00B7661A"/>
    <w:rsid w:val="00B77578"/>
    <w:rsid w:val="00B8026E"/>
    <w:rsid w:val="00B82792"/>
    <w:rsid w:val="00B940DC"/>
    <w:rsid w:val="00B968B4"/>
    <w:rsid w:val="00BA02F9"/>
    <w:rsid w:val="00BA0F05"/>
    <w:rsid w:val="00BA2026"/>
    <w:rsid w:val="00BA78E0"/>
    <w:rsid w:val="00BC05E2"/>
    <w:rsid w:val="00BC1600"/>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E28A7"/>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1F4"/>
    <w:rsid w:val="00DC047A"/>
    <w:rsid w:val="00DC06BC"/>
    <w:rsid w:val="00DC28B0"/>
    <w:rsid w:val="00DC33BB"/>
    <w:rsid w:val="00DC365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1D43"/>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www.nice.org.uk/guidance/NG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2020-11-10T11:42:00Z</dcterms:created>
  <dcterms:modified xsi:type="dcterms:W3CDTF">2020-11-10T14:51:00Z</dcterms:modified>
</cp:coreProperties>
</file>