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7BA2B38A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5D4772">
        <w:t>August 2014</w:t>
      </w:r>
    </w:p>
    <w:p w14:paraId="06BAB3FE" w14:textId="195B3AE9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FC206F">
        <w:t>October</w:t>
      </w:r>
      <w:r w:rsidR="000B053E">
        <w:t xml:space="preserve"> 2020</w:t>
      </w:r>
    </w:p>
    <w:p w14:paraId="6107852F" w14:textId="3DF9D476" w:rsidR="006F0A86" w:rsidRDefault="006F0A86" w:rsidP="00126C3F">
      <w:pPr>
        <w:pStyle w:val="Heading1"/>
      </w:pPr>
      <w:r w:rsidRPr="00126C3F">
        <w:t xml:space="preserve">Indicator </w:t>
      </w:r>
      <w:r w:rsidR="005D4772">
        <w:t>NM82</w:t>
      </w:r>
    </w:p>
    <w:p w14:paraId="0A6C169D" w14:textId="70654A49" w:rsidR="00611A1D" w:rsidRPr="00611A1D" w:rsidRDefault="00F56112" w:rsidP="00611A1D">
      <w:pPr>
        <w:pStyle w:val="Paragraph"/>
      </w:pPr>
      <w:r w:rsidRPr="00F56112">
        <w:t>In those patients with atrial fibrillation with a record of a CHA2DS2-VASc score of 2 or more, the percentage of patients who are currently treated with anticoagulation drug therapy.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1F16E37E" w14:textId="54E70293" w:rsidR="00F6535D" w:rsidRPr="00690F06" w:rsidRDefault="001C31E9" w:rsidP="00F6535D">
      <w:pPr>
        <w:pStyle w:val="Paragraph"/>
      </w:pPr>
      <w:r w:rsidRPr="00690F06">
        <w:t>General practice indicator suitable for use in 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044573F0" w14:textId="7F80E1DE" w:rsidR="005D4772" w:rsidRDefault="00EB5FAA" w:rsidP="00CA45B1">
      <w:pPr>
        <w:pStyle w:val="NICEnormal"/>
        <w:spacing w:before="240"/>
      </w:pPr>
      <w:r>
        <w:t>U</w:t>
      </w:r>
      <w:r w:rsidRPr="00EB5FAA">
        <w:t>ntreated atrial fibrillation is a significant risk factor for stroke and other morbidities</w:t>
      </w:r>
      <w:r>
        <w:t>. A</w:t>
      </w:r>
      <w:r w:rsidRPr="00EB5FAA">
        <w:t>nticoagulation therapy can help to prevent strokes by reducing the likelihood of a blood clot forming.</w:t>
      </w:r>
      <w:r w:rsidR="007D6260">
        <w:t xml:space="preserve"> NICE recommends offering anticoagulation to people </w:t>
      </w:r>
      <w:r w:rsidR="007D6260" w:rsidRPr="00F56112">
        <w:t>with a CHA2DS2-VASc score of 2 or more</w:t>
      </w:r>
      <w:r w:rsidR="007D6260">
        <w:t xml:space="preserve">. </w:t>
      </w:r>
      <w:r w:rsidR="005D4772">
        <w:t xml:space="preserve">This indicator aims to support </w:t>
      </w:r>
      <w:r w:rsidR="00F56112">
        <w:t xml:space="preserve">treatment with </w:t>
      </w:r>
      <w:r w:rsidR="005D4772">
        <w:t>anticoagulation drug therapy</w:t>
      </w:r>
      <w:r w:rsidR="00F56112">
        <w:t xml:space="preserve"> in patients </w:t>
      </w:r>
      <w:r w:rsidR="00F56112" w:rsidRPr="00F56112">
        <w:t>with atrial fibrillation</w:t>
      </w:r>
      <w:r w:rsidR="005D4772">
        <w:t xml:space="preserve">. </w:t>
      </w:r>
    </w:p>
    <w:p w14:paraId="69D4A75D" w14:textId="77777777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1E259BBD" w14:textId="39E44E87" w:rsidR="00D141B1" w:rsidRPr="00BD6253" w:rsidRDefault="00B71C97" w:rsidP="00CA45B1">
      <w:pPr>
        <w:pStyle w:val="NICEnormal"/>
        <w:spacing w:before="240"/>
      </w:pPr>
      <w:hyperlink r:id="rId7" w:history="1">
        <w:r w:rsidRPr="00EA6B11">
          <w:rPr>
            <w:rStyle w:val="Hyperlink"/>
          </w:rPr>
          <w:t xml:space="preserve">Atrial fibrillation: </w:t>
        </w:r>
        <w:r>
          <w:rPr>
            <w:rStyle w:val="Hyperlink"/>
          </w:rPr>
          <w:t xml:space="preserve">diagnosis and </w:t>
        </w:r>
        <w:r w:rsidRPr="00EA6B11">
          <w:rPr>
            <w:rStyle w:val="Hyperlink"/>
          </w:rPr>
          <w:t>management</w:t>
        </w:r>
        <w:r w:rsidRPr="00EA6B11">
          <w:rPr>
            <w:rStyle w:val="Hyperlink"/>
          </w:rPr>
          <w:t>.</w:t>
        </w:r>
        <w:r w:rsidRPr="00EA6B11">
          <w:rPr>
            <w:rStyle w:val="Hyperlink"/>
          </w:rPr>
          <w:t xml:space="preserve"> </w:t>
        </w:r>
        <w:r w:rsidRPr="00EA6B11">
          <w:rPr>
            <w:rStyle w:val="Hyperlink"/>
          </w:rPr>
          <w:t>N</w:t>
        </w:r>
        <w:r w:rsidRPr="00EA6B11">
          <w:rPr>
            <w:rStyle w:val="Hyperlink"/>
          </w:rPr>
          <w:t xml:space="preserve">ICE guideline </w:t>
        </w:r>
        <w:r>
          <w:rPr>
            <w:rStyle w:val="Hyperlink"/>
          </w:rPr>
          <w:t>196</w:t>
        </w:r>
      </w:hyperlink>
      <w:r w:rsidRPr="005D4772">
        <w:t xml:space="preserve"> </w:t>
      </w:r>
      <w:r w:rsidR="005D4772" w:rsidRPr="005D4772">
        <w:t>(2014)</w:t>
      </w:r>
      <w:r w:rsidR="00690F06">
        <w:t>, recommendation</w:t>
      </w:r>
      <w:r w:rsidR="00A07F07">
        <w:t>s 1.6.3 and 1.6.5.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353C51C2" w:rsidR="0009195D" w:rsidRDefault="00D141B1" w:rsidP="002F2622">
      <w:pPr>
        <w:pStyle w:val="NICEnormal"/>
        <w:spacing w:before="240"/>
      </w:pPr>
      <w:r>
        <w:t xml:space="preserve">Numerator: </w:t>
      </w:r>
      <w:r w:rsidR="002D5442">
        <w:t xml:space="preserve">The number of patients in the denominator </w:t>
      </w:r>
      <w:r w:rsidR="002D5442" w:rsidRPr="002D5442">
        <w:t>who were prescribed oral anticoagulants in the 6 months leading up to and including the payment period end date</w:t>
      </w:r>
      <w:r w:rsidR="002D5442">
        <w:t xml:space="preserve">. </w:t>
      </w:r>
      <w:r w:rsidR="0009195D" w:rsidRPr="0009195D">
        <w:t xml:space="preserve"> </w:t>
      </w:r>
    </w:p>
    <w:p w14:paraId="06B62F8F" w14:textId="3ADCA065" w:rsidR="00D141B1" w:rsidRDefault="00D141B1" w:rsidP="002D5442">
      <w:pPr>
        <w:pStyle w:val="NICEnormal"/>
      </w:pPr>
      <w:r>
        <w:lastRenderedPageBreak/>
        <w:t xml:space="preserve">Denominator: </w:t>
      </w:r>
      <w:r w:rsidR="002D5442">
        <w:t>The number of patients with most recent CHA2DS2-VASc stroke risk assessment score of 2 or more and those who did not have a CHA2DS2-</w:t>
      </w:r>
      <w:proofErr w:type="gramStart"/>
      <w:r w:rsidR="002D5442">
        <w:t>VASc</w:t>
      </w:r>
      <w:proofErr w:type="gramEnd"/>
      <w:r w:rsidR="002D5442">
        <w:t xml:space="preserve"> but they had a CHADS2 stroke risk assessment score of 2 or more.</w:t>
      </w:r>
    </w:p>
    <w:p w14:paraId="04501E11" w14:textId="4F4C541F" w:rsidR="0009195D" w:rsidRDefault="0009195D" w:rsidP="00D141B1">
      <w:pPr>
        <w:pStyle w:val="NICEnormal"/>
      </w:pPr>
      <w:r>
        <w:t xml:space="preserve">Calculation: </w:t>
      </w:r>
      <w:r w:rsidR="00854FF6">
        <w:t>(</w:t>
      </w:r>
      <w:r w:rsidRPr="002D5442">
        <w:t>Numerator/denominator</w:t>
      </w:r>
      <w:r w:rsidR="00854FF6">
        <w:t>)</w:t>
      </w:r>
      <w:r w:rsidRPr="002D5442">
        <w:t>*100</w:t>
      </w:r>
    </w:p>
    <w:p w14:paraId="1C2CD390" w14:textId="0CFB2E31" w:rsidR="00C954C5" w:rsidRDefault="00D141B1" w:rsidP="002D208C">
      <w:pPr>
        <w:pStyle w:val="NICEnormal"/>
      </w:pPr>
      <w:r>
        <w:t xml:space="preserve">Exclusions: </w:t>
      </w:r>
      <w:r w:rsidR="008777A9">
        <w:t xml:space="preserve">patients </w:t>
      </w:r>
      <w:r w:rsidR="00C954C5">
        <w:t xml:space="preserve">with </w:t>
      </w:r>
      <w:r w:rsidR="00C954C5" w:rsidRPr="00C954C5">
        <w:t>a persisting oral anticoagulant contraindication anywhere on their record</w:t>
      </w:r>
      <w:r w:rsidR="002D208C">
        <w:t xml:space="preserve"> and </w:t>
      </w:r>
      <w:r w:rsidR="00C954C5">
        <w:t xml:space="preserve">patients who </w:t>
      </w:r>
      <w:r w:rsidR="00C954C5" w:rsidRPr="00C954C5">
        <w:t xml:space="preserve">have an expiring oral anticoagulant contraindication recorded in the </w:t>
      </w:r>
      <w:r w:rsidR="00943E69">
        <w:t>preceding</w:t>
      </w:r>
      <w:r w:rsidR="00C954C5" w:rsidRPr="00C954C5">
        <w:t xml:space="preserve"> 12 months</w:t>
      </w:r>
      <w:r w:rsidR="002F2622">
        <w:t>.</w:t>
      </w:r>
    </w:p>
    <w:p w14:paraId="15239063" w14:textId="18E08A2F" w:rsidR="00706451" w:rsidRDefault="00706451" w:rsidP="00D141B1">
      <w:pPr>
        <w:pStyle w:val="NICEnormal"/>
      </w:pPr>
      <w:r>
        <w:t xml:space="preserve">Minimum population: </w:t>
      </w:r>
      <w:r w:rsidR="000D5395" w:rsidRPr="00690F06">
        <w:t xml:space="preserve">The indicator would be appropriate </w:t>
      </w:r>
      <w:r w:rsidR="00391F4B" w:rsidRPr="00690F06">
        <w:t xml:space="preserve">to assess performance </w:t>
      </w:r>
      <w:r w:rsidR="003B53D0" w:rsidRPr="00690F06">
        <w:t xml:space="preserve">at </w:t>
      </w:r>
      <w:r w:rsidR="00391F4B" w:rsidRPr="00690F06">
        <w:t>individual</w:t>
      </w:r>
      <w:r w:rsidR="000D5395" w:rsidRPr="00690F06">
        <w:t xml:space="preserve"> general practice</w:t>
      </w:r>
      <w:r w:rsidR="00391F4B" w:rsidRPr="00690F06">
        <w:t xml:space="preserve"> level</w:t>
      </w:r>
      <w:r w:rsidR="000D5395" w:rsidRPr="00690F06">
        <w:t xml:space="preserve">. 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2F2622">
      <w:pPr>
        <w:pStyle w:val="NICEnormal"/>
        <w:spacing w:before="240"/>
      </w:pPr>
      <w:bookmarkStart w:id="0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2918098A" w:rsidR="00245B12" w:rsidRPr="00EA7F52" w:rsidRDefault="00D141B1" w:rsidP="00D141B1">
    <w:pPr>
      <w:pStyle w:val="Footer"/>
    </w:pPr>
    <w:r>
      <w:t xml:space="preserve">NICE indicator guidance: </w:t>
    </w:r>
    <w:r w:rsidR="005D4772">
      <w:t>NM82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83E5389"/>
    <w:multiLevelType w:val="hybridMultilevel"/>
    <w:tmpl w:val="F8DEE322"/>
    <w:lvl w:ilvl="0" w:tplc="9AECE99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D24A8"/>
    <w:multiLevelType w:val="hybridMultilevel"/>
    <w:tmpl w:val="D8280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8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27"/>
    <w:lvlOverride w:ilvl="0">
      <w:startOverride w:val="1"/>
    </w:lvlOverride>
  </w:num>
  <w:num w:numId="4">
    <w:abstractNumId w:val="27"/>
    <w:lvlOverride w:ilvl="0">
      <w:startOverride w:val="1"/>
    </w:lvlOverride>
  </w:num>
  <w:num w:numId="5">
    <w:abstractNumId w:val="27"/>
    <w:lvlOverride w:ilvl="0">
      <w:startOverride w:val="1"/>
    </w:lvlOverride>
  </w:num>
  <w:num w:numId="6">
    <w:abstractNumId w:val="27"/>
    <w:lvlOverride w:ilvl="0">
      <w:startOverride w:val="1"/>
    </w:lvlOverride>
  </w:num>
  <w:num w:numId="7">
    <w:abstractNumId w:val="27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3"/>
  </w:num>
  <w:num w:numId="21">
    <w:abstractNumId w:val="14"/>
  </w:num>
  <w:num w:numId="22">
    <w:abstractNumId w:val="18"/>
  </w:num>
  <w:num w:numId="23">
    <w:abstractNumId w:val="19"/>
  </w:num>
  <w:num w:numId="24">
    <w:abstractNumId w:val="24"/>
  </w:num>
  <w:num w:numId="25">
    <w:abstractNumId w:val="21"/>
  </w:num>
  <w:num w:numId="26">
    <w:abstractNumId w:val="29"/>
  </w:num>
  <w:num w:numId="27">
    <w:abstractNumId w:val="28"/>
  </w:num>
  <w:num w:numId="28">
    <w:abstractNumId w:val="31"/>
  </w:num>
  <w:num w:numId="29">
    <w:abstractNumId w:val="15"/>
  </w:num>
  <w:num w:numId="30">
    <w:abstractNumId w:val="16"/>
  </w:num>
  <w:num w:numId="31">
    <w:abstractNumId w:val="12"/>
  </w:num>
  <w:num w:numId="32">
    <w:abstractNumId w:val="26"/>
  </w:num>
  <w:num w:numId="33">
    <w:abstractNumId w:val="30"/>
  </w:num>
  <w:num w:numId="34">
    <w:abstractNumId w:val="20"/>
  </w:num>
  <w:num w:numId="35">
    <w:abstractNumId w:val="10"/>
  </w:num>
  <w:num w:numId="36">
    <w:abstractNumId w:val="24"/>
  </w:num>
  <w:num w:numId="37">
    <w:abstractNumId w:val="25"/>
  </w:num>
  <w:num w:numId="38">
    <w:abstractNumId w:val="23"/>
  </w:num>
  <w:num w:numId="39">
    <w:abstractNumId w:val="22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embedSystemFonts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54182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053E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11A8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1353"/>
    <w:rsid w:val="002224EE"/>
    <w:rsid w:val="00232A20"/>
    <w:rsid w:val="002408EA"/>
    <w:rsid w:val="00245B12"/>
    <w:rsid w:val="00261E15"/>
    <w:rsid w:val="0026635F"/>
    <w:rsid w:val="002667AB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08C"/>
    <w:rsid w:val="002D2875"/>
    <w:rsid w:val="002D3376"/>
    <w:rsid w:val="002D5442"/>
    <w:rsid w:val="002D691E"/>
    <w:rsid w:val="002D74C0"/>
    <w:rsid w:val="002E5744"/>
    <w:rsid w:val="002F25FC"/>
    <w:rsid w:val="002F2622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5472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D4772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425E4"/>
    <w:rsid w:val="00643AD6"/>
    <w:rsid w:val="006628FD"/>
    <w:rsid w:val="00662ABE"/>
    <w:rsid w:val="00677315"/>
    <w:rsid w:val="00683309"/>
    <w:rsid w:val="006839FB"/>
    <w:rsid w:val="00684D78"/>
    <w:rsid w:val="00687C11"/>
    <w:rsid w:val="00690F06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2B82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D6260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4FF6"/>
    <w:rsid w:val="00857BAA"/>
    <w:rsid w:val="00861B92"/>
    <w:rsid w:val="00873A86"/>
    <w:rsid w:val="008771EE"/>
    <w:rsid w:val="008777A9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3E6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3F7D"/>
    <w:rsid w:val="00A053BA"/>
    <w:rsid w:val="00A064FB"/>
    <w:rsid w:val="00A07CED"/>
    <w:rsid w:val="00A07F07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C526E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1C97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54C5"/>
    <w:rsid w:val="00C96411"/>
    <w:rsid w:val="00CA023A"/>
    <w:rsid w:val="00CA2F61"/>
    <w:rsid w:val="00CA45B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6CE3"/>
    <w:rsid w:val="00EA7F52"/>
    <w:rsid w:val="00EB2DFC"/>
    <w:rsid w:val="00EB5FAA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112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06F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2021-01-13T13:44:00Z</dcterms:created>
  <dcterms:modified xsi:type="dcterms:W3CDTF">2021-04-22T11:11:00Z</dcterms:modified>
</cp:coreProperties>
</file>