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A9543" w14:textId="77777777" w:rsidR="00E202F5" w:rsidRPr="00402391" w:rsidRDefault="00E202F5" w:rsidP="00D31042">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B54744">
      <w:pPr>
        <w:pStyle w:val="Heading1"/>
        <w:jc w:val="center"/>
      </w:pPr>
      <w:r w:rsidRPr="00697B97">
        <w:t xml:space="preserve">NICE </w:t>
      </w:r>
      <w:r w:rsidR="00126C3F">
        <w:t>indicator guidance</w:t>
      </w:r>
    </w:p>
    <w:p w14:paraId="47C90B13" w14:textId="0BAC73F6" w:rsidR="00B8026E" w:rsidRDefault="00B8026E" w:rsidP="00EE354D">
      <w:pPr>
        <w:pStyle w:val="Paragraph"/>
      </w:pPr>
      <w:r>
        <w:t>Date first published on NICE menu:</w:t>
      </w:r>
      <w:r w:rsidR="00DF637B">
        <w:t xml:space="preserve"> </w:t>
      </w:r>
      <w:r w:rsidR="00C25E0A">
        <w:t xml:space="preserve">August </w:t>
      </w:r>
      <w:r w:rsidR="00877C16">
        <w:t>2009</w:t>
      </w:r>
    </w:p>
    <w:p w14:paraId="06BAB3FE" w14:textId="4D856CDC" w:rsidR="00B8026E" w:rsidRPr="00126C3F" w:rsidRDefault="00B8026E" w:rsidP="00EE354D">
      <w:pPr>
        <w:pStyle w:val="Paragraph"/>
        <w:rPr>
          <w:b/>
        </w:rPr>
      </w:pPr>
      <w:r>
        <w:t>Last update</w:t>
      </w:r>
      <w:r w:rsidRPr="00B8026E">
        <w:t xml:space="preserve">: </w:t>
      </w:r>
      <w:r w:rsidR="00C25E0A">
        <w:t>October 2020</w:t>
      </w:r>
    </w:p>
    <w:p w14:paraId="6107852F" w14:textId="7F918EDB" w:rsidR="006F0A86" w:rsidRDefault="006F0A86" w:rsidP="00B54744">
      <w:pPr>
        <w:pStyle w:val="Heading2"/>
      </w:pPr>
      <w:r w:rsidRPr="00126C3F">
        <w:t xml:space="preserve">Indicator </w:t>
      </w:r>
      <w:r w:rsidR="00C25E0A">
        <w:t>NM95</w:t>
      </w:r>
    </w:p>
    <w:p w14:paraId="37A49869" w14:textId="77777777" w:rsidR="00C25E0A" w:rsidRDefault="00C25E0A" w:rsidP="00C25E0A">
      <w:pPr>
        <w:pStyle w:val="Paragraphnonumbers"/>
        <w:rPr>
          <w:lang w:val="en-US"/>
        </w:rPr>
      </w:pPr>
      <w:r w:rsidRPr="00601E1F">
        <w:rPr>
          <w:lang w:val="en-US"/>
        </w:rPr>
        <w:t>The percentage of patients with diabetes, on the register, with a diagnosis of nephropathy (clinical proteinuria) or micro-albuminuria who are currently treated with an ACE-I (or ARBs)</w:t>
      </w:r>
      <w:r>
        <w:rPr>
          <w:lang w:val="en-US"/>
        </w:rPr>
        <w:t>.</w:t>
      </w:r>
    </w:p>
    <w:p w14:paraId="18778417" w14:textId="333A8E39" w:rsidR="00806B97" w:rsidRDefault="00806B97" w:rsidP="00B54744">
      <w:pPr>
        <w:pStyle w:val="Heading2"/>
      </w:pPr>
      <w:r w:rsidRPr="00806B97">
        <w:t xml:space="preserve">Indicator type </w:t>
      </w:r>
    </w:p>
    <w:p w14:paraId="7C80C1AF" w14:textId="248A5842" w:rsidR="001C31E9" w:rsidRPr="00F6535D" w:rsidRDefault="001C31E9" w:rsidP="00C25E0A">
      <w:pPr>
        <w:pStyle w:val="Paragraph"/>
      </w:pPr>
      <w:r w:rsidRPr="00C25E0A">
        <w:t>General practice indicator suitable for use in the Quality and Outcomes</w:t>
      </w:r>
      <w:r w:rsidR="000C3752">
        <w:t xml:space="preserve"> Framework</w:t>
      </w:r>
      <w:r w:rsidR="009F609E">
        <w:t>.</w:t>
      </w:r>
    </w:p>
    <w:p w14:paraId="5CBA37E8" w14:textId="6F58C6BE" w:rsidR="006F0A86" w:rsidRDefault="006F0A86" w:rsidP="00B54744">
      <w:pPr>
        <w:pStyle w:val="Heading2"/>
        <w:rPr>
          <w:i/>
        </w:rPr>
      </w:pPr>
      <w:r w:rsidRPr="00011273">
        <w:t>Rationale</w:t>
      </w:r>
    </w:p>
    <w:p w14:paraId="56835B99" w14:textId="726A2D05" w:rsidR="00C25E0A" w:rsidDel="00882B90" w:rsidRDefault="00C25E0A" w:rsidP="00C25E0A">
      <w:pPr>
        <w:pStyle w:val="Paragraph"/>
      </w:pPr>
      <w:r w:rsidDel="00882B90">
        <w:t>This indicator measures the percentage of people with diabetes and kidney disease treated with ACE inhibitors or ARBs. The aim of treatment is to slow the progression of kidney disease in people with type 1 or type 2 diabetes.</w:t>
      </w:r>
    </w:p>
    <w:p w14:paraId="32694570" w14:textId="22992B96" w:rsidR="00C25E0A" w:rsidRDefault="00C25E0A" w:rsidP="00C25E0A">
      <w:pPr>
        <w:pStyle w:val="Paragraph"/>
      </w:pPr>
      <w:r>
        <w:t>There is strong clinical evidence that the progression of kidney disease in people with diabetes is slowed by treatment with ACE inhibitors. Although trial evidence is based largely on ACE inhibitors, it is believed that similar benefits occur with ARB treatment in people who have intolerable side effects with ACE inhibitors</w:t>
      </w:r>
      <w:r w:rsidR="00877C16">
        <w:t>.</w:t>
      </w:r>
      <w:r>
        <w:t xml:space="preserve"> The </w:t>
      </w:r>
      <w:hyperlink r:id="rId7" w:history="1">
        <w:r w:rsidRPr="009171B8">
          <w:rPr>
            <w:rStyle w:val="Hyperlink"/>
          </w:rPr>
          <w:t>SIGN guideline for diabetes</w:t>
        </w:r>
      </w:hyperlink>
      <w:r>
        <w:t xml:space="preserve"> recommends that all people with diabetes and a diagnosis of microalbuminuria are offered ACE inhibitors or ARB treatment, irrespective of blood pressure. This </w:t>
      </w:r>
      <w:proofErr w:type="gramStart"/>
      <w:r>
        <w:t>is in agreement</w:t>
      </w:r>
      <w:proofErr w:type="gramEnd"/>
      <w:r>
        <w:t xml:space="preserve"> with the NICE guidelines for type 1 diabetes and type 2 diabetes</w:t>
      </w:r>
      <w:r w:rsidR="009F609E">
        <w:t xml:space="preserve">. </w:t>
      </w:r>
    </w:p>
    <w:p w14:paraId="6EFFAA47" w14:textId="6E4E0C81" w:rsidR="006F0A86" w:rsidRDefault="00C25E0A" w:rsidP="00C25E0A">
      <w:pPr>
        <w:pStyle w:val="Paragraph"/>
      </w:pPr>
      <w:r>
        <w:t>This indicator aligns with the guidance by providing an incentive for ACE inhibitor or ARB treatment for all people with type 1 or type 2 diabetes who have a diagnosis of microalbuminuria or confirmed nephropathy.</w:t>
      </w:r>
      <w:r w:rsidR="00881213">
        <w:t xml:space="preserve"> </w:t>
      </w:r>
    </w:p>
    <w:p w14:paraId="43429C16" w14:textId="77777777" w:rsidR="00882B90" w:rsidRDefault="00882B90" w:rsidP="00C25E0A">
      <w:pPr>
        <w:pStyle w:val="Paragraph"/>
      </w:pPr>
    </w:p>
    <w:p w14:paraId="69D4A75D" w14:textId="00B0ED6D" w:rsidR="00D141B1" w:rsidRDefault="00D141B1" w:rsidP="00B54744">
      <w:pPr>
        <w:pStyle w:val="Heading2"/>
        <w:rPr>
          <w:i/>
        </w:rPr>
      </w:pPr>
      <w:r w:rsidRPr="001F2B33">
        <w:t xml:space="preserve">Source guidance </w:t>
      </w:r>
    </w:p>
    <w:p w14:paraId="60F95C15" w14:textId="63FADA69" w:rsidR="009171B8" w:rsidRDefault="00EA4390" w:rsidP="009171B8">
      <w:pPr>
        <w:pStyle w:val="Paragraph"/>
      </w:pPr>
      <w:hyperlink r:id="rId8" w:history="1">
        <w:r w:rsidR="009171B8" w:rsidRPr="00882B90">
          <w:rPr>
            <w:rStyle w:val="Hyperlink"/>
          </w:rPr>
          <w:t>Type 1 diabetes in adults: diagnosis and management.</w:t>
        </w:r>
      </w:hyperlink>
      <w:r w:rsidR="009171B8" w:rsidRPr="00BE1A44">
        <w:t xml:space="preserve"> NICE</w:t>
      </w:r>
      <w:r w:rsidR="009171B8">
        <w:t xml:space="preserve"> guideline 17 (2016), recommendations 1.15.14 and 1.15.15.</w:t>
      </w:r>
    </w:p>
    <w:p w14:paraId="7ED501C1" w14:textId="1A1ACF50" w:rsidR="009171B8" w:rsidRDefault="00EA4390" w:rsidP="009171B8">
      <w:pPr>
        <w:pStyle w:val="Paragraph"/>
      </w:pPr>
      <w:hyperlink r:id="rId9" w:history="1">
        <w:r w:rsidR="009171B8" w:rsidRPr="00882B90">
          <w:rPr>
            <w:rStyle w:val="Hyperlink"/>
          </w:rPr>
          <w:t>Type 2 diabetes in adults.</w:t>
        </w:r>
      </w:hyperlink>
      <w:r w:rsidR="009171B8" w:rsidRPr="006431D4">
        <w:t xml:space="preserve"> NICE</w:t>
      </w:r>
      <w:r w:rsidR="009171B8">
        <w:t xml:space="preserve"> guideline NG28 (2015), recommendation 1.7.12.</w:t>
      </w:r>
    </w:p>
    <w:p w14:paraId="6AF2D1B1" w14:textId="3D1F8F09" w:rsidR="004C4ABD" w:rsidRDefault="00EA4390" w:rsidP="009171B8">
      <w:pPr>
        <w:pStyle w:val="Paragraph"/>
      </w:pPr>
      <w:hyperlink r:id="rId10" w:history="1">
        <w:r w:rsidR="009171B8" w:rsidRPr="00882B90">
          <w:rPr>
            <w:rStyle w:val="Hyperlink"/>
          </w:rPr>
          <w:t>Chronic kidney disease in adults: assessment and management.</w:t>
        </w:r>
      </w:hyperlink>
      <w:r w:rsidR="009171B8" w:rsidRPr="00B93F37">
        <w:t xml:space="preserve"> </w:t>
      </w:r>
      <w:r w:rsidR="009171B8">
        <w:t>NICE guideline CG182 (2015), recommendation 1.6.3</w:t>
      </w:r>
    </w:p>
    <w:p w14:paraId="1F0C218E" w14:textId="504FD8A9" w:rsidR="009171B8" w:rsidRPr="00BD6253" w:rsidRDefault="00EA4390" w:rsidP="009171B8">
      <w:pPr>
        <w:pStyle w:val="Paragraph"/>
      </w:pPr>
      <w:hyperlink r:id="rId11" w:history="1">
        <w:r w:rsidR="009171B8" w:rsidRPr="00882B90">
          <w:rPr>
            <w:rStyle w:val="Hyperlink"/>
          </w:rPr>
          <w:t>Management of diabetes</w:t>
        </w:r>
      </w:hyperlink>
      <w:r w:rsidR="009171B8">
        <w:t xml:space="preserve"> (2010) SIGN guideline 116</w:t>
      </w:r>
    </w:p>
    <w:p w14:paraId="05AD89C4" w14:textId="77777777" w:rsidR="00D141B1" w:rsidRDefault="00D141B1" w:rsidP="00B54744">
      <w:pPr>
        <w:pStyle w:val="Heading2"/>
      </w:pPr>
      <w:r>
        <w:t xml:space="preserve">Specification </w:t>
      </w:r>
    </w:p>
    <w:p w14:paraId="4B62A813" w14:textId="3B8513F5" w:rsidR="0009195D" w:rsidRDefault="00D141B1" w:rsidP="00EE354D">
      <w:pPr>
        <w:pStyle w:val="Paragraph"/>
      </w:pPr>
      <w:r>
        <w:t xml:space="preserve">Numerator: </w:t>
      </w:r>
      <w:r w:rsidR="0009195D" w:rsidRPr="00E56F8F">
        <w:t xml:space="preserve">The number of patients in the denominator </w:t>
      </w:r>
      <w:r w:rsidR="00E56F8F" w:rsidRPr="00E56F8F">
        <w:rPr>
          <w:lang w:val="en-US"/>
        </w:rPr>
        <w:t>who are currently treated with an ACE-I (or ARBs)</w:t>
      </w:r>
      <w:r w:rsidR="0009195D" w:rsidRPr="00E56F8F">
        <w:t>.</w:t>
      </w:r>
      <w:r w:rsidR="0009195D" w:rsidRPr="0009195D">
        <w:t xml:space="preserve"> </w:t>
      </w:r>
    </w:p>
    <w:p w14:paraId="06B62F8F" w14:textId="5E51208F" w:rsidR="00D141B1" w:rsidRPr="00E56F8F" w:rsidRDefault="00D141B1" w:rsidP="00EE354D">
      <w:pPr>
        <w:pStyle w:val="Paragraph"/>
      </w:pPr>
      <w:r>
        <w:t xml:space="preserve">Denominator: </w:t>
      </w:r>
      <w:r w:rsidR="002B0BA6" w:rsidRPr="00E56F8F">
        <w:t>The number of patients on the diabetes register</w:t>
      </w:r>
      <w:r w:rsidR="00E56F8F">
        <w:t xml:space="preserve"> </w:t>
      </w:r>
      <w:r w:rsidR="00E56F8F" w:rsidRPr="00601E1F">
        <w:rPr>
          <w:lang w:val="en-US"/>
        </w:rPr>
        <w:t>with a diagnosis of nephropathy (clinical proteinuria) or micro-albuminuria</w:t>
      </w:r>
      <w:r w:rsidR="002B0BA6" w:rsidRPr="00E56F8F">
        <w:t>.</w:t>
      </w:r>
    </w:p>
    <w:p w14:paraId="04501E11" w14:textId="072206BD" w:rsidR="0009195D" w:rsidRDefault="0009195D" w:rsidP="00EE354D">
      <w:pPr>
        <w:pStyle w:val="Paragraph"/>
      </w:pPr>
      <w:r w:rsidRPr="00E56F8F">
        <w:t>Calculation: (Numerator/</w:t>
      </w:r>
      <w:proofErr w:type="gramStart"/>
      <w:r w:rsidRPr="00E56F8F">
        <w:t>denominator)*</w:t>
      </w:r>
      <w:proofErr w:type="gramEnd"/>
      <w:r w:rsidRPr="00E56F8F">
        <w:t>100</w:t>
      </w:r>
    </w:p>
    <w:p w14:paraId="200701E0" w14:textId="11586ABA" w:rsidR="00D141B1" w:rsidRDefault="00D141B1" w:rsidP="00EE354D">
      <w:pPr>
        <w:pStyle w:val="Paragraph"/>
      </w:pPr>
      <w:r>
        <w:t xml:space="preserve">Exclusions: </w:t>
      </w:r>
    </w:p>
    <w:p w14:paraId="08031C78" w14:textId="2E91F2F6" w:rsidR="001C6814" w:rsidRDefault="001C6814" w:rsidP="007A00B2">
      <w:pPr>
        <w:pStyle w:val="Paragraph"/>
        <w:numPr>
          <w:ilvl w:val="0"/>
          <w:numId w:val="39"/>
        </w:numPr>
      </w:pPr>
      <w:r>
        <w:t>patients who have no record of a proteinuria code and no record of a microalbuminuria code</w:t>
      </w:r>
    </w:p>
    <w:p w14:paraId="5153CACB" w14:textId="2539E88F" w:rsidR="001C6814" w:rsidRDefault="001C6814" w:rsidP="00407FC0">
      <w:pPr>
        <w:pStyle w:val="Paragraph"/>
        <w:numPr>
          <w:ilvl w:val="0"/>
          <w:numId w:val="39"/>
        </w:numPr>
      </w:pPr>
      <w:r>
        <w:t>patients who have a persisting contraindication or an expiring contraindication to an ACE-I recorded in the 12 months leading up to and including the payment period end date and have a persisting contraindication or an expiring contraindication to an ARB recorded in the 12 months leading up to and including the payment period end date.</w:t>
      </w:r>
    </w:p>
    <w:p w14:paraId="59BE0572" w14:textId="5047B4C8" w:rsidR="00CB2016" w:rsidRDefault="00CB2016" w:rsidP="00CB2016">
      <w:pPr>
        <w:pStyle w:val="Paragraph"/>
        <w:rPr>
          <w:highlight w:val="lightGray"/>
        </w:rPr>
      </w:pPr>
      <w:r>
        <w:t xml:space="preserve">Minimum population: </w:t>
      </w:r>
      <w:r w:rsidRPr="00CB2016">
        <w:t xml:space="preserve">The indicator would be appropriate to assess performance at individual general practice level. </w:t>
      </w:r>
    </w:p>
    <w:p w14:paraId="399B7258" w14:textId="77777777" w:rsidR="00CB2016" w:rsidRDefault="00CB2016" w:rsidP="00CB2016">
      <w:pPr>
        <w:pStyle w:val="Paragraph"/>
        <w:ind w:left="360"/>
      </w:pPr>
    </w:p>
    <w:p w14:paraId="129ECA00" w14:textId="65691789" w:rsidR="0009195D" w:rsidRPr="0009195D" w:rsidRDefault="0009195D" w:rsidP="00B54744">
      <w:pPr>
        <w:pStyle w:val="Heading2"/>
      </w:pPr>
      <w:r w:rsidRPr="0009195D">
        <w:t>Further information</w:t>
      </w:r>
    </w:p>
    <w:p w14:paraId="70B822BC" w14:textId="6A989792" w:rsidR="0009195D" w:rsidRPr="0009195D" w:rsidRDefault="0009195D" w:rsidP="00EE354D">
      <w:pPr>
        <w:pStyle w:val="Paragraph"/>
      </w:pPr>
      <w:bookmarkStart w:id="0" w:name="_Hlk14183092"/>
      <w:r w:rsidRPr="0009195D">
        <w:t xml:space="preserve">This is NICE indicator guidance, which is part of the </w:t>
      </w:r>
      <w:hyperlink r:id="rId12" w:history="1">
        <w:r w:rsidRPr="008541A5">
          <w:rPr>
            <w:rStyle w:val="Hyperlink"/>
          </w:rPr>
          <w:t>NICE menu of indicators</w:t>
        </w:r>
      </w:hyperlink>
      <w:r w:rsidRPr="0009195D">
        <w:t xml:space="preserve">. This document does not represent formal NICE guidance. </w:t>
      </w:r>
      <w:bookmarkEnd w:id="0"/>
    </w:p>
    <w:sectPr w:rsidR="0009195D" w:rsidRPr="0009195D" w:rsidSect="003D61BE">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7B8BAE" w14:textId="77777777" w:rsidR="00EA4390" w:rsidRDefault="00EA4390" w:rsidP="00446BEE">
      <w:r>
        <w:separator/>
      </w:r>
    </w:p>
  </w:endnote>
  <w:endnote w:type="continuationSeparator" w:id="0">
    <w:p w14:paraId="49B1E15B" w14:textId="77777777" w:rsidR="00EA4390" w:rsidRDefault="00EA4390"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E7C94" w14:textId="6ACCDE1C" w:rsidR="00245B12" w:rsidRPr="00EA7F52" w:rsidRDefault="00D141B1" w:rsidP="00D141B1">
    <w:pPr>
      <w:pStyle w:val="Footer"/>
    </w:pPr>
    <w:r>
      <w:t xml:space="preserve">NICE indicator guidance: </w:t>
    </w:r>
    <w:r w:rsidR="009171B8">
      <w:t>NM95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2CA7A" w14:textId="77777777" w:rsidR="00EA4390" w:rsidRDefault="00EA4390" w:rsidP="00446BEE">
      <w:r>
        <w:separator/>
      </w:r>
    </w:p>
  </w:footnote>
  <w:footnote w:type="continuationSeparator" w:id="0">
    <w:p w14:paraId="3C5B9CCD" w14:textId="77777777" w:rsidR="00EA4390" w:rsidRDefault="00EA4390"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FC23F51"/>
    <w:multiLevelType w:val="hybridMultilevel"/>
    <w:tmpl w:val="A3AA1820"/>
    <w:lvl w:ilvl="0" w:tplc="8E20DE2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6"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1"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7"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A667BF7"/>
    <w:multiLevelType w:val="hybridMultilevel"/>
    <w:tmpl w:val="2C288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26"/>
  </w:num>
  <w:num w:numId="3">
    <w:abstractNumId w:val="26"/>
    <w:lvlOverride w:ilvl="0">
      <w:startOverride w:val="1"/>
    </w:lvlOverride>
  </w:num>
  <w:num w:numId="4">
    <w:abstractNumId w:val="26"/>
    <w:lvlOverride w:ilvl="0">
      <w:startOverride w:val="1"/>
    </w:lvlOverride>
  </w:num>
  <w:num w:numId="5">
    <w:abstractNumId w:val="26"/>
    <w:lvlOverride w:ilvl="0">
      <w:startOverride w:val="1"/>
    </w:lvlOverride>
  </w:num>
  <w:num w:numId="6">
    <w:abstractNumId w:val="26"/>
    <w:lvlOverride w:ilvl="0">
      <w:startOverride w:val="1"/>
    </w:lvlOverride>
  </w:num>
  <w:num w:numId="7">
    <w:abstractNumId w:val="26"/>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17"/>
    <w:lvlOverride w:ilvl="0">
      <w:startOverride w:val="1"/>
    </w:lvlOverride>
  </w:num>
  <w:num w:numId="20">
    <w:abstractNumId w:val="12"/>
  </w:num>
  <w:num w:numId="21">
    <w:abstractNumId w:val="14"/>
  </w:num>
  <w:num w:numId="22">
    <w:abstractNumId w:val="18"/>
  </w:num>
  <w:num w:numId="23">
    <w:abstractNumId w:val="19"/>
  </w:num>
  <w:num w:numId="24">
    <w:abstractNumId w:val="23"/>
  </w:num>
  <w:num w:numId="25">
    <w:abstractNumId w:val="21"/>
  </w:num>
  <w:num w:numId="26">
    <w:abstractNumId w:val="29"/>
  </w:num>
  <w:num w:numId="27">
    <w:abstractNumId w:val="27"/>
  </w:num>
  <w:num w:numId="28">
    <w:abstractNumId w:val="31"/>
  </w:num>
  <w:num w:numId="29">
    <w:abstractNumId w:val="15"/>
  </w:num>
  <w:num w:numId="30">
    <w:abstractNumId w:val="16"/>
  </w:num>
  <w:num w:numId="31">
    <w:abstractNumId w:val="11"/>
  </w:num>
  <w:num w:numId="32">
    <w:abstractNumId w:val="25"/>
  </w:num>
  <w:num w:numId="33">
    <w:abstractNumId w:val="30"/>
  </w:num>
  <w:num w:numId="34">
    <w:abstractNumId w:val="20"/>
  </w:num>
  <w:num w:numId="35">
    <w:abstractNumId w:val="10"/>
  </w:num>
  <w:num w:numId="36">
    <w:abstractNumId w:val="23"/>
  </w:num>
  <w:num w:numId="37">
    <w:abstractNumId w:val="24"/>
  </w:num>
  <w:num w:numId="38">
    <w:abstractNumId w:val="22"/>
  </w:num>
  <w:num w:numId="39">
    <w:abstractNumId w:val="28"/>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10E88"/>
    <w:rsid w:val="00010FE2"/>
    <w:rsid w:val="00011273"/>
    <w:rsid w:val="00011320"/>
    <w:rsid w:val="0001564F"/>
    <w:rsid w:val="000245DB"/>
    <w:rsid w:val="00024D0A"/>
    <w:rsid w:val="0002745B"/>
    <w:rsid w:val="00027A18"/>
    <w:rsid w:val="00027FCB"/>
    <w:rsid w:val="000311D6"/>
    <w:rsid w:val="0003192A"/>
    <w:rsid w:val="00033C41"/>
    <w:rsid w:val="00035404"/>
    <w:rsid w:val="00035A1E"/>
    <w:rsid w:val="000373EE"/>
    <w:rsid w:val="00042E54"/>
    <w:rsid w:val="00043AA2"/>
    <w:rsid w:val="00045996"/>
    <w:rsid w:val="000472DC"/>
    <w:rsid w:val="000518F4"/>
    <w:rsid w:val="00062BB5"/>
    <w:rsid w:val="00064F98"/>
    <w:rsid w:val="00065BF1"/>
    <w:rsid w:val="00065C98"/>
    <w:rsid w:val="00070065"/>
    <w:rsid w:val="000745C9"/>
    <w:rsid w:val="00077897"/>
    <w:rsid w:val="00077F5F"/>
    <w:rsid w:val="00083576"/>
    <w:rsid w:val="000857E4"/>
    <w:rsid w:val="000915BF"/>
    <w:rsid w:val="0009195D"/>
    <w:rsid w:val="00092AE4"/>
    <w:rsid w:val="000A19A3"/>
    <w:rsid w:val="000A2698"/>
    <w:rsid w:val="000A4FEE"/>
    <w:rsid w:val="000A5B01"/>
    <w:rsid w:val="000B15A4"/>
    <w:rsid w:val="000B5939"/>
    <w:rsid w:val="000C2094"/>
    <w:rsid w:val="000C2B7B"/>
    <w:rsid w:val="000C3267"/>
    <w:rsid w:val="000C3752"/>
    <w:rsid w:val="000C47C4"/>
    <w:rsid w:val="000C751D"/>
    <w:rsid w:val="000D1DDA"/>
    <w:rsid w:val="000D2996"/>
    <w:rsid w:val="000D5395"/>
    <w:rsid w:val="000E0D4A"/>
    <w:rsid w:val="000E7E9F"/>
    <w:rsid w:val="000F1F98"/>
    <w:rsid w:val="000F2A39"/>
    <w:rsid w:val="000F62E9"/>
    <w:rsid w:val="00100706"/>
    <w:rsid w:val="00104C5A"/>
    <w:rsid w:val="00106C72"/>
    <w:rsid w:val="00107EDC"/>
    <w:rsid w:val="00110085"/>
    <w:rsid w:val="00111CCE"/>
    <w:rsid w:val="001134E7"/>
    <w:rsid w:val="00126C3F"/>
    <w:rsid w:val="00134509"/>
    <w:rsid w:val="0015609C"/>
    <w:rsid w:val="0015655B"/>
    <w:rsid w:val="00156AF4"/>
    <w:rsid w:val="001630B3"/>
    <w:rsid w:val="0017169E"/>
    <w:rsid w:val="00172282"/>
    <w:rsid w:val="00176A01"/>
    <w:rsid w:val="00181BEC"/>
    <w:rsid w:val="001849F3"/>
    <w:rsid w:val="00191328"/>
    <w:rsid w:val="001A0EA2"/>
    <w:rsid w:val="001A2CB8"/>
    <w:rsid w:val="001A2FF4"/>
    <w:rsid w:val="001A7C4E"/>
    <w:rsid w:val="001B0D96"/>
    <w:rsid w:val="001B0EE9"/>
    <w:rsid w:val="001B3EA6"/>
    <w:rsid w:val="001B5A4C"/>
    <w:rsid w:val="001B65B3"/>
    <w:rsid w:val="001C31E9"/>
    <w:rsid w:val="001C506B"/>
    <w:rsid w:val="001C6814"/>
    <w:rsid w:val="001C7C0D"/>
    <w:rsid w:val="001D0FBE"/>
    <w:rsid w:val="001E5835"/>
    <w:rsid w:val="001F2B33"/>
    <w:rsid w:val="00201EFB"/>
    <w:rsid w:val="00201FB8"/>
    <w:rsid w:val="002040A1"/>
    <w:rsid w:val="002042FC"/>
    <w:rsid w:val="00212D33"/>
    <w:rsid w:val="00216F31"/>
    <w:rsid w:val="0022030D"/>
    <w:rsid w:val="002224EE"/>
    <w:rsid w:val="00232A20"/>
    <w:rsid w:val="002408EA"/>
    <w:rsid w:val="00245B12"/>
    <w:rsid w:val="00261E15"/>
    <w:rsid w:val="0026635F"/>
    <w:rsid w:val="00276273"/>
    <w:rsid w:val="002819D7"/>
    <w:rsid w:val="002826F0"/>
    <w:rsid w:val="00292F85"/>
    <w:rsid w:val="002A31EA"/>
    <w:rsid w:val="002B0BA6"/>
    <w:rsid w:val="002B30C6"/>
    <w:rsid w:val="002B69F1"/>
    <w:rsid w:val="002C06F1"/>
    <w:rsid w:val="002C1A7E"/>
    <w:rsid w:val="002C2CA8"/>
    <w:rsid w:val="002C5F59"/>
    <w:rsid w:val="002D2875"/>
    <w:rsid w:val="002D3376"/>
    <w:rsid w:val="002D691E"/>
    <w:rsid w:val="002D74C0"/>
    <w:rsid w:val="002E5744"/>
    <w:rsid w:val="002F25FC"/>
    <w:rsid w:val="002F6A33"/>
    <w:rsid w:val="00305DF6"/>
    <w:rsid w:val="00306A73"/>
    <w:rsid w:val="00311ED0"/>
    <w:rsid w:val="00312208"/>
    <w:rsid w:val="00312B41"/>
    <w:rsid w:val="00313297"/>
    <w:rsid w:val="00336D76"/>
    <w:rsid w:val="00337052"/>
    <w:rsid w:val="00350F6F"/>
    <w:rsid w:val="00352F88"/>
    <w:rsid w:val="0035406C"/>
    <w:rsid w:val="00355319"/>
    <w:rsid w:val="00355DA8"/>
    <w:rsid w:val="003600E7"/>
    <w:rsid w:val="0036071C"/>
    <w:rsid w:val="0036097D"/>
    <w:rsid w:val="00362E7E"/>
    <w:rsid w:val="0036372C"/>
    <w:rsid w:val="003648C5"/>
    <w:rsid w:val="003667A5"/>
    <w:rsid w:val="00366E8E"/>
    <w:rsid w:val="003722FA"/>
    <w:rsid w:val="00373F1E"/>
    <w:rsid w:val="00381A0E"/>
    <w:rsid w:val="00384D2A"/>
    <w:rsid w:val="00391208"/>
    <w:rsid w:val="00391CCC"/>
    <w:rsid w:val="00391F4B"/>
    <w:rsid w:val="0039208F"/>
    <w:rsid w:val="0039354B"/>
    <w:rsid w:val="003B53D0"/>
    <w:rsid w:val="003C7AAF"/>
    <w:rsid w:val="003D61BE"/>
    <w:rsid w:val="003D6D57"/>
    <w:rsid w:val="003E1C96"/>
    <w:rsid w:val="003E38A5"/>
    <w:rsid w:val="00402391"/>
    <w:rsid w:val="00402436"/>
    <w:rsid w:val="004070CA"/>
    <w:rsid w:val="004075B6"/>
    <w:rsid w:val="00412C67"/>
    <w:rsid w:val="00417A17"/>
    <w:rsid w:val="00420952"/>
    <w:rsid w:val="0043025C"/>
    <w:rsid w:val="00430B24"/>
    <w:rsid w:val="0043268D"/>
    <w:rsid w:val="00433AAB"/>
    <w:rsid w:val="00434024"/>
    <w:rsid w:val="00434E6A"/>
    <w:rsid w:val="00435C3B"/>
    <w:rsid w:val="00440900"/>
    <w:rsid w:val="0044093B"/>
    <w:rsid w:val="00443C7B"/>
    <w:rsid w:val="00446BEE"/>
    <w:rsid w:val="00450284"/>
    <w:rsid w:val="00450612"/>
    <w:rsid w:val="00451ACF"/>
    <w:rsid w:val="00454E37"/>
    <w:rsid w:val="0045724B"/>
    <w:rsid w:val="0047074B"/>
    <w:rsid w:val="00470B59"/>
    <w:rsid w:val="0047350D"/>
    <w:rsid w:val="004834D6"/>
    <w:rsid w:val="004838C9"/>
    <w:rsid w:val="004963BB"/>
    <w:rsid w:val="00496A45"/>
    <w:rsid w:val="004A1A88"/>
    <w:rsid w:val="004A7B2D"/>
    <w:rsid w:val="004B7B45"/>
    <w:rsid w:val="004C4ABD"/>
    <w:rsid w:val="004C4C2D"/>
    <w:rsid w:val="004C6A5C"/>
    <w:rsid w:val="004D0D69"/>
    <w:rsid w:val="004E1F75"/>
    <w:rsid w:val="004E2A20"/>
    <w:rsid w:val="004E4974"/>
    <w:rsid w:val="004E68CA"/>
    <w:rsid w:val="004F27F5"/>
    <w:rsid w:val="00500545"/>
    <w:rsid w:val="00501591"/>
    <w:rsid w:val="005025A1"/>
    <w:rsid w:val="005031FD"/>
    <w:rsid w:val="00511E0F"/>
    <w:rsid w:val="005122BC"/>
    <w:rsid w:val="00512DA2"/>
    <w:rsid w:val="00515295"/>
    <w:rsid w:val="00521BB3"/>
    <w:rsid w:val="005224A9"/>
    <w:rsid w:val="005309E5"/>
    <w:rsid w:val="005312F6"/>
    <w:rsid w:val="005444CE"/>
    <w:rsid w:val="00551A8A"/>
    <w:rsid w:val="00554F77"/>
    <w:rsid w:val="00556D18"/>
    <w:rsid w:val="005652AD"/>
    <w:rsid w:val="00575003"/>
    <w:rsid w:val="00576B75"/>
    <w:rsid w:val="0058465D"/>
    <w:rsid w:val="0059615A"/>
    <w:rsid w:val="005A20A0"/>
    <w:rsid w:val="005A63EF"/>
    <w:rsid w:val="005A6544"/>
    <w:rsid w:val="005B27BA"/>
    <w:rsid w:val="005B2BDD"/>
    <w:rsid w:val="005B3063"/>
    <w:rsid w:val="005B5E36"/>
    <w:rsid w:val="005B7EC6"/>
    <w:rsid w:val="005C0DDC"/>
    <w:rsid w:val="005C1FED"/>
    <w:rsid w:val="005C312E"/>
    <w:rsid w:val="005C3E00"/>
    <w:rsid w:val="005C54C9"/>
    <w:rsid w:val="005C56E8"/>
    <w:rsid w:val="005C57C1"/>
    <w:rsid w:val="005C71B4"/>
    <w:rsid w:val="005D0FDD"/>
    <w:rsid w:val="005D1D43"/>
    <w:rsid w:val="005E1A06"/>
    <w:rsid w:val="005E720D"/>
    <w:rsid w:val="005F57CE"/>
    <w:rsid w:val="005F59EC"/>
    <w:rsid w:val="005F5E00"/>
    <w:rsid w:val="005F65A3"/>
    <w:rsid w:val="005F7A02"/>
    <w:rsid w:val="006015E7"/>
    <w:rsid w:val="0060572D"/>
    <w:rsid w:val="00610F28"/>
    <w:rsid w:val="00611A1D"/>
    <w:rsid w:val="006203A9"/>
    <w:rsid w:val="006241CC"/>
    <w:rsid w:val="00631D73"/>
    <w:rsid w:val="00633DB7"/>
    <w:rsid w:val="00640BC8"/>
    <w:rsid w:val="006628FD"/>
    <w:rsid w:val="00662ABE"/>
    <w:rsid w:val="00677315"/>
    <w:rsid w:val="00683309"/>
    <w:rsid w:val="006839FB"/>
    <w:rsid w:val="00684D78"/>
    <w:rsid w:val="00687C11"/>
    <w:rsid w:val="006921E1"/>
    <w:rsid w:val="00692255"/>
    <w:rsid w:val="00694765"/>
    <w:rsid w:val="00697B97"/>
    <w:rsid w:val="006A021F"/>
    <w:rsid w:val="006A4092"/>
    <w:rsid w:val="006A43D7"/>
    <w:rsid w:val="006B25F1"/>
    <w:rsid w:val="006B2B35"/>
    <w:rsid w:val="006B4ED1"/>
    <w:rsid w:val="006B668C"/>
    <w:rsid w:val="006B7D26"/>
    <w:rsid w:val="006C3856"/>
    <w:rsid w:val="006C4C54"/>
    <w:rsid w:val="006D316E"/>
    <w:rsid w:val="006D43D7"/>
    <w:rsid w:val="006D71D4"/>
    <w:rsid w:val="006E3BEB"/>
    <w:rsid w:val="006F0A86"/>
    <w:rsid w:val="006F3734"/>
    <w:rsid w:val="006F4B25"/>
    <w:rsid w:val="00704765"/>
    <w:rsid w:val="0070511A"/>
    <w:rsid w:val="0070521F"/>
    <w:rsid w:val="00706451"/>
    <w:rsid w:val="00707ABC"/>
    <w:rsid w:val="00711FED"/>
    <w:rsid w:val="00717AC8"/>
    <w:rsid w:val="00720A6A"/>
    <w:rsid w:val="00723404"/>
    <w:rsid w:val="007249BB"/>
    <w:rsid w:val="00725022"/>
    <w:rsid w:val="00730A28"/>
    <w:rsid w:val="00735FCE"/>
    <w:rsid w:val="00736348"/>
    <w:rsid w:val="007363F8"/>
    <w:rsid w:val="0074221A"/>
    <w:rsid w:val="00742931"/>
    <w:rsid w:val="007431A1"/>
    <w:rsid w:val="007448AC"/>
    <w:rsid w:val="007449E0"/>
    <w:rsid w:val="00745787"/>
    <w:rsid w:val="007573D9"/>
    <w:rsid w:val="00761801"/>
    <w:rsid w:val="00764344"/>
    <w:rsid w:val="00772105"/>
    <w:rsid w:val="00775824"/>
    <w:rsid w:val="00776C1F"/>
    <w:rsid w:val="00780393"/>
    <w:rsid w:val="00787D75"/>
    <w:rsid w:val="00794AAC"/>
    <w:rsid w:val="00794DA0"/>
    <w:rsid w:val="007A17B3"/>
    <w:rsid w:val="007A5C12"/>
    <w:rsid w:val="007A7DFB"/>
    <w:rsid w:val="007B0F36"/>
    <w:rsid w:val="007B5B4D"/>
    <w:rsid w:val="007B5CC6"/>
    <w:rsid w:val="007C6EDB"/>
    <w:rsid w:val="007D5B33"/>
    <w:rsid w:val="007E5A42"/>
    <w:rsid w:val="007E7021"/>
    <w:rsid w:val="007E7F51"/>
    <w:rsid w:val="007F5B50"/>
    <w:rsid w:val="007F6A12"/>
    <w:rsid w:val="007F7022"/>
    <w:rsid w:val="007F7863"/>
    <w:rsid w:val="00801B8E"/>
    <w:rsid w:val="00803961"/>
    <w:rsid w:val="00804009"/>
    <w:rsid w:val="00804B03"/>
    <w:rsid w:val="00806B97"/>
    <w:rsid w:val="008152E3"/>
    <w:rsid w:val="008216E2"/>
    <w:rsid w:val="00825E9B"/>
    <w:rsid w:val="00826160"/>
    <w:rsid w:val="00831CA2"/>
    <w:rsid w:val="008329AB"/>
    <w:rsid w:val="008341C5"/>
    <w:rsid w:val="008342B1"/>
    <w:rsid w:val="008355CB"/>
    <w:rsid w:val="00836C23"/>
    <w:rsid w:val="00850ED2"/>
    <w:rsid w:val="008541A5"/>
    <w:rsid w:val="00857BAA"/>
    <w:rsid w:val="00861B92"/>
    <w:rsid w:val="00872E0C"/>
    <w:rsid w:val="00873A86"/>
    <w:rsid w:val="008771EE"/>
    <w:rsid w:val="00877C16"/>
    <w:rsid w:val="00881213"/>
    <w:rsid w:val="008814FB"/>
    <w:rsid w:val="00882B90"/>
    <w:rsid w:val="00884895"/>
    <w:rsid w:val="00891C26"/>
    <w:rsid w:val="00893BF2"/>
    <w:rsid w:val="008A50EC"/>
    <w:rsid w:val="008A6036"/>
    <w:rsid w:val="008B5FAE"/>
    <w:rsid w:val="008C1650"/>
    <w:rsid w:val="008D36D5"/>
    <w:rsid w:val="008E09B9"/>
    <w:rsid w:val="008E6DAD"/>
    <w:rsid w:val="008E7A29"/>
    <w:rsid w:val="008F5E30"/>
    <w:rsid w:val="009018F5"/>
    <w:rsid w:val="009027D5"/>
    <w:rsid w:val="0090299C"/>
    <w:rsid w:val="00914D7F"/>
    <w:rsid w:val="009171B8"/>
    <w:rsid w:val="0091747A"/>
    <w:rsid w:val="00922271"/>
    <w:rsid w:val="009233EA"/>
    <w:rsid w:val="00926564"/>
    <w:rsid w:val="00926B7A"/>
    <w:rsid w:val="00933BF9"/>
    <w:rsid w:val="009442DC"/>
    <w:rsid w:val="00947BD5"/>
    <w:rsid w:val="00947BDA"/>
    <w:rsid w:val="0095065B"/>
    <w:rsid w:val="00952977"/>
    <w:rsid w:val="00955DF7"/>
    <w:rsid w:val="009607DA"/>
    <w:rsid w:val="009609A6"/>
    <w:rsid w:val="009619DE"/>
    <w:rsid w:val="00961FA9"/>
    <w:rsid w:val="00963B89"/>
    <w:rsid w:val="009729A4"/>
    <w:rsid w:val="00975E10"/>
    <w:rsid w:val="0098788C"/>
    <w:rsid w:val="00993DD3"/>
    <w:rsid w:val="00994DDF"/>
    <w:rsid w:val="00996C2F"/>
    <w:rsid w:val="009A74EB"/>
    <w:rsid w:val="009C0BD9"/>
    <w:rsid w:val="009D037B"/>
    <w:rsid w:val="009D28EE"/>
    <w:rsid w:val="009D3369"/>
    <w:rsid w:val="009D400A"/>
    <w:rsid w:val="009D717F"/>
    <w:rsid w:val="009E680B"/>
    <w:rsid w:val="009F0C5C"/>
    <w:rsid w:val="009F1968"/>
    <w:rsid w:val="009F1B55"/>
    <w:rsid w:val="009F2995"/>
    <w:rsid w:val="009F609E"/>
    <w:rsid w:val="00A053BA"/>
    <w:rsid w:val="00A064FB"/>
    <w:rsid w:val="00A07CED"/>
    <w:rsid w:val="00A132A2"/>
    <w:rsid w:val="00A132E3"/>
    <w:rsid w:val="00A134B1"/>
    <w:rsid w:val="00A15A1F"/>
    <w:rsid w:val="00A26634"/>
    <w:rsid w:val="00A273A6"/>
    <w:rsid w:val="00A319F2"/>
    <w:rsid w:val="00A3325A"/>
    <w:rsid w:val="00A36A8D"/>
    <w:rsid w:val="00A36C84"/>
    <w:rsid w:val="00A421A8"/>
    <w:rsid w:val="00A43013"/>
    <w:rsid w:val="00A47556"/>
    <w:rsid w:val="00A52C72"/>
    <w:rsid w:val="00A547C9"/>
    <w:rsid w:val="00A57046"/>
    <w:rsid w:val="00A73F95"/>
    <w:rsid w:val="00A75A10"/>
    <w:rsid w:val="00A81422"/>
    <w:rsid w:val="00A841FC"/>
    <w:rsid w:val="00A90F05"/>
    <w:rsid w:val="00A965A3"/>
    <w:rsid w:val="00AA1A5B"/>
    <w:rsid w:val="00AA3B40"/>
    <w:rsid w:val="00AA4344"/>
    <w:rsid w:val="00AA4A2C"/>
    <w:rsid w:val="00AB2242"/>
    <w:rsid w:val="00AB3EE9"/>
    <w:rsid w:val="00AC39B9"/>
    <w:rsid w:val="00AC40E7"/>
    <w:rsid w:val="00AD1BA1"/>
    <w:rsid w:val="00AD2B6F"/>
    <w:rsid w:val="00AD4960"/>
    <w:rsid w:val="00AD75F4"/>
    <w:rsid w:val="00AE008D"/>
    <w:rsid w:val="00AE1B84"/>
    <w:rsid w:val="00AE46B3"/>
    <w:rsid w:val="00AE6DA6"/>
    <w:rsid w:val="00AE6E33"/>
    <w:rsid w:val="00AF108A"/>
    <w:rsid w:val="00AF1A58"/>
    <w:rsid w:val="00AF1FB7"/>
    <w:rsid w:val="00AF39C5"/>
    <w:rsid w:val="00AF4E0B"/>
    <w:rsid w:val="00AF6E62"/>
    <w:rsid w:val="00AF7D11"/>
    <w:rsid w:val="00B00BE5"/>
    <w:rsid w:val="00B01D8F"/>
    <w:rsid w:val="00B02E55"/>
    <w:rsid w:val="00B036C1"/>
    <w:rsid w:val="00B10E3B"/>
    <w:rsid w:val="00B15469"/>
    <w:rsid w:val="00B17B0B"/>
    <w:rsid w:val="00B22F24"/>
    <w:rsid w:val="00B236FF"/>
    <w:rsid w:val="00B2706C"/>
    <w:rsid w:val="00B30421"/>
    <w:rsid w:val="00B40030"/>
    <w:rsid w:val="00B4245E"/>
    <w:rsid w:val="00B5431F"/>
    <w:rsid w:val="00B54674"/>
    <w:rsid w:val="00B54744"/>
    <w:rsid w:val="00B54C74"/>
    <w:rsid w:val="00B55000"/>
    <w:rsid w:val="00B5550A"/>
    <w:rsid w:val="00B6011C"/>
    <w:rsid w:val="00B61BE4"/>
    <w:rsid w:val="00B747F1"/>
    <w:rsid w:val="00B77578"/>
    <w:rsid w:val="00B8026E"/>
    <w:rsid w:val="00B82792"/>
    <w:rsid w:val="00B93F37"/>
    <w:rsid w:val="00B940DC"/>
    <w:rsid w:val="00B968B4"/>
    <w:rsid w:val="00B96BC6"/>
    <w:rsid w:val="00BA02F9"/>
    <w:rsid w:val="00BA0F05"/>
    <w:rsid w:val="00BA2026"/>
    <w:rsid w:val="00BA78E0"/>
    <w:rsid w:val="00BC05E2"/>
    <w:rsid w:val="00BC4FA5"/>
    <w:rsid w:val="00BC6478"/>
    <w:rsid w:val="00BC73AA"/>
    <w:rsid w:val="00BD08A8"/>
    <w:rsid w:val="00BD3C52"/>
    <w:rsid w:val="00BD6253"/>
    <w:rsid w:val="00BD6594"/>
    <w:rsid w:val="00BE0F18"/>
    <w:rsid w:val="00BE58AF"/>
    <w:rsid w:val="00BE645F"/>
    <w:rsid w:val="00BE69B6"/>
    <w:rsid w:val="00BF04C9"/>
    <w:rsid w:val="00BF2168"/>
    <w:rsid w:val="00BF4266"/>
    <w:rsid w:val="00BF50C4"/>
    <w:rsid w:val="00BF7FE0"/>
    <w:rsid w:val="00C00249"/>
    <w:rsid w:val="00C04B1E"/>
    <w:rsid w:val="00C04B88"/>
    <w:rsid w:val="00C05310"/>
    <w:rsid w:val="00C07B21"/>
    <w:rsid w:val="00C125B9"/>
    <w:rsid w:val="00C127B2"/>
    <w:rsid w:val="00C206B2"/>
    <w:rsid w:val="00C25D8A"/>
    <w:rsid w:val="00C25E0A"/>
    <w:rsid w:val="00C35731"/>
    <w:rsid w:val="00C42C69"/>
    <w:rsid w:val="00C46D9D"/>
    <w:rsid w:val="00C4726C"/>
    <w:rsid w:val="00C478C4"/>
    <w:rsid w:val="00C625B6"/>
    <w:rsid w:val="00C66A0A"/>
    <w:rsid w:val="00C67481"/>
    <w:rsid w:val="00C80100"/>
    <w:rsid w:val="00C80EC7"/>
    <w:rsid w:val="00C8355F"/>
    <w:rsid w:val="00C8732C"/>
    <w:rsid w:val="00C952C7"/>
    <w:rsid w:val="00C96411"/>
    <w:rsid w:val="00CA2F61"/>
    <w:rsid w:val="00CA6A8F"/>
    <w:rsid w:val="00CB07C6"/>
    <w:rsid w:val="00CB2016"/>
    <w:rsid w:val="00CB2C9F"/>
    <w:rsid w:val="00CB52E4"/>
    <w:rsid w:val="00CC2B2E"/>
    <w:rsid w:val="00CD5E73"/>
    <w:rsid w:val="00CD78CA"/>
    <w:rsid w:val="00CF58B7"/>
    <w:rsid w:val="00D00C6A"/>
    <w:rsid w:val="00D035AB"/>
    <w:rsid w:val="00D03BAC"/>
    <w:rsid w:val="00D05D63"/>
    <w:rsid w:val="00D10A48"/>
    <w:rsid w:val="00D1189B"/>
    <w:rsid w:val="00D12497"/>
    <w:rsid w:val="00D141B1"/>
    <w:rsid w:val="00D15E0F"/>
    <w:rsid w:val="00D16170"/>
    <w:rsid w:val="00D17456"/>
    <w:rsid w:val="00D20EBA"/>
    <w:rsid w:val="00D219AA"/>
    <w:rsid w:val="00D23D74"/>
    <w:rsid w:val="00D263CE"/>
    <w:rsid w:val="00D306D5"/>
    <w:rsid w:val="00D31042"/>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60775"/>
    <w:rsid w:val="00D62598"/>
    <w:rsid w:val="00D626A6"/>
    <w:rsid w:val="00D65433"/>
    <w:rsid w:val="00D70963"/>
    <w:rsid w:val="00D77154"/>
    <w:rsid w:val="00D81F38"/>
    <w:rsid w:val="00D81F78"/>
    <w:rsid w:val="00D86BF0"/>
    <w:rsid w:val="00D8732A"/>
    <w:rsid w:val="00D92D94"/>
    <w:rsid w:val="00D94AAE"/>
    <w:rsid w:val="00DA5875"/>
    <w:rsid w:val="00DA7D68"/>
    <w:rsid w:val="00DB0256"/>
    <w:rsid w:val="00DB20D9"/>
    <w:rsid w:val="00DC047A"/>
    <w:rsid w:val="00DC06BC"/>
    <w:rsid w:val="00DC28B0"/>
    <w:rsid w:val="00DD5F41"/>
    <w:rsid w:val="00DD6008"/>
    <w:rsid w:val="00DE1024"/>
    <w:rsid w:val="00DE4457"/>
    <w:rsid w:val="00DF45AD"/>
    <w:rsid w:val="00DF637B"/>
    <w:rsid w:val="00DF7DE7"/>
    <w:rsid w:val="00E02ADB"/>
    <w:rsid w:val="00E05591"/>
    <w:rsid w:val="00E06D6C"/>
    <w:rsid w:val="00E10F96"/>
    <w:rsid w:val="00E131B5"/>
    <w:rsid w:val="00E155CE"/>
    <w:rsid w:val="00E202F5"/>
    <w:rsid w:val="00E22E21"/>
    <w:rsid w:val="00E24349"/>
    <w:rsid w:val="00E33001"/>
    <w:rsid w:val="00E338B1"/>
    <w:rsid w:val="00E37339"/>
    <w:rsid w:val="00E41AA3"/>
    <w:rsid w:val="00E51920"/>
    <w:rsid w:val="00E56F8F"/>
    <w:rsid w:val="00E64120"/>
    <w:rsid w:val="00E660A1"/>
    <w:rsid w:val="00E74036"/>
    <w:rsid w:val="00E83609"/>
    <w:rsid w:val="00E84C88"/>
    <w:rsid w:val="00E86111"/>
    <w:rsid w:val="00E87113"/>
    <w:rsid w:val="00EA4390"/>
    <w:rsid w:val="00EA45ED"/>
    <w:rsid w:val="00EA6CE3"/>
    <w:rsid w:val="00EA7F52"/>
    <w:rsid w:val="00EB2DFC"/>
    <w:rsid w:val="00EC142C"/>
    <w:rsid w:val="00EC2405"/>
    <w:rsid w:val="00EC3275"/>
    <w:rsid w:val="00EC6C08"/>
    <w:rsid w:val="00EC76D6"/>
    <w:rsid w:val="00ED3673"/>
    <w:rsid w:val="00EE0E05"/>
    <w:rsid w:val="00EE354D"/>
    <w:rsid w:val="00EE36E0"/>
    <w:rsid w:val="00EE4BF3"/>
    <w:rsid w:val="00EE50CE"/>
    <w:rsid w:val="00EF0440"/>
    <w:rsid w:val="00F014C2"/>
    <w:rsid w:val="00F025CE"/>
    <w:rsid w:val="00F050A1"/>
    <w:rsid w:val="00F055F1"/>
    <w:rsid w:val="00F07B2C"/>
    <w:rsid w:val="00F13F5B"/>
    <w:rsid w:val="00F35DD0"/>
    <w:rsid w:val="00F362B0"/>
    <w:rsid w:val="00F472B7"/>
    <w:rsid w:val="00F546AA"/>
    <w:rsid w:val="00F553DE"/>
    <w:rsid w:val="00F56D0B"/>
    <w:rsid w:val="00F610AF"/>
    <w:rsid w:val="00F6535D"/>
    <w:rsid w:val="00F829F3"/>
    <w:rsid w:val="00F85171"/>
    <w:rsid w:val="00F9515E"/>
    <w:rsid w:val="00F9741E"/>
    <w:rsid w:val="00FA01FB"/>
    <w:rsid w:val="00FA09FA"/>
    <w:rsid w:val="00FA152E"/>
    <w:rsid w:val="00FA2C5A"/>
    <w:rsid w:val="00FA5251"/>
    <w:rsid w:val="00FB4668"/>
    <w:rsid w:val="00FB5253"/>
    <w:rsid w:val="00FC25A2"/>
    <w:rsid w:val="00FC2D11"/>
    <w:rsid w:val="00FC3A0E"/>
    <w:rsid w:val="00FC56C8"/>
    <w:rsid w:val="00FC60A0"/>
    <w:rsid w:val="00FC6230"/>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Heading1"/>
    <w:next w:val="Paragraph"/>
    <w:link w:val="Heading2Char"/>
    <w:uiPriority w:val="2"/>
    <w:qFormat/>
    <w:rsid w:val="00B54744"/>
    <w:pPr>
      <w:outlineLvl w:val="1"/>
    </w:p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B54744"/>
    <w:rPr>
      <w:rFonts w:ascii="Arial" w:hAnsi="Arial"/>
      <w:b/>
      <w:bCs/>
      <w:kern w:val="32"/>
      <w:sz w:val="28"/>
      <w:szCs w:val="32"/>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5961452">
      <w:bodyDiv w:val="1"/>
      <w:marLeft w:val="0"/>
      <w:marRight w:val="0"/>
      <w:marTop w:val="0"/>
      <w:marBottom w:val="0"/>
      <w:divBdr>
        <w:top w:val="none" w:sz="0" w:space="0" w:color="auto"/>
        <w:left w:val="none" w:sz="0" w:space="0" w:color="auto"/>
        <w:bottom w:val="none" w:sz="0" w:space="0" w:color="auto"/>
        <w:right w:val="none" w:sz="0" w:space="0" w:color="auto"/>
      </w:divBdr>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9093733">
      <w:bodyDiv w:val="1"/>
      <w:marLeft w:val="0"/>
      <w:marRight w:val="0"/>
      <w:marTop w:val="0"/>
      <w:marBottom w:val="0"/>
      <w:divBdr>
        <w:top w:val="none" w:sz="0" w:space="0" w:color="auto"/>
        <w:left w:val="none" w:sz="0" w:space="0" w:color="auto"/>
        <w:bottom w:val="none" w:sz="0" w:space="0" w:color="auto"/>
        <w:right w:val="none" w:sz="0" w:space="0" w:color="auto"/>
      </w:divBdr>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4830286">
      <w:bodyDiv w:val="1"/>
      <w:marLeft w:val="0"/>
      <w:marRight w:val="0"/>
      <w:marTop w:val="0"/>
      <w:marBottom w:val="0"/>
      <w:divBdr>
        <w:top w:val="none" w:sz="0" w:space="0" w:color="auto"/>
        <w:left w:val="none" w:sz="0" w:space="0" w:color="auto"/>
        <w:bottom w:val="none" w:sz="0" w:space="0" w:color="auto"/>
        <w:right w:val="none" w:sz="0" w:space="0" w:color="auto"/>
      </w:divBdr>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30432631">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061786510">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17"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ign.ac.uk/our-guidelines/management-of-diabetes/" TargetMode="External"/><Relationship Id="rId12" Type="http://schemas.openxmlformats.org/officeDocument/2006/relationships/hyperlink" Target="https://www.nice.org.uk/Standards-and-Indicators/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ign.ac.uk/sign-116-and-154-diabet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ice.org.uk/guidance/cg182" TargetMode="External"/><Relationship Id="rId4" Type="http://schemas.openxmlformats.org/officeDocument/2006/relationships/webSettings" Target="webSettings.xml"/><Relationship Id="rId9" Type="http://schemas.openxmlformats.org/officeDocument/2006/relationships/hyperlink" Target="https://www.nice.org.uk/guidance/ng2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2020-08-25T10:39:00Z</dcterms:created>
  <dcterms:modified xsi:type="dcterms:W3CDTF">2020-11-02T14:44:00Z</dcterms:modified>
</cp:coreProperties>
</file>