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0"/>
        <w:gridCol w:w="1324"/>
        <w:gridCol w:w="11293"/>
      </w:tblGrid>
      <w:tr w:rsidR="000342F2" w:rsidRPr="00810A2E" w14:paraId="3E7C2ED2" w14:textId="77777777" w:rsidTr="00597DFB">
        <w:trPr>
          <w:cantSplit/>
        </w:trPr>
        <w:tc>
          <w:tcPr>
            <w:tcW w:w="863" w:type="pct"/>
            <w:gridSpan w:val="2"/>
            <w:shd w:val="clear" w:color="auto" w:fill="FFFFFF"/>
          </w:tcPr>
          <w:p w14:paraId="6C7CA736" w14:textId="77777777" w:rsidR="000342F2" w:rsidRPr="00810A2E" w:rsidRDefault="000342F2" w:rsidP="00437587">
            <w:pPr>
              <w:rPr>
                <w:rFonts w:cs="Arial"/>
                <w:b/>
                <w:szCs w:val="22"/>
              </w:rPr>
            </w:pPr>
          </w:p>
        </w:tc>
        <w:tc>
          <w:tcPr>
            <w:tcW w:w="4137" w:type="pct"/>
            <w:gridSpan w:val="2"/>
            <w:shd w:val="clear" w:color="auto" w:fill="FFFFFF"/>
          </w:tcPr>
          <w:p w14:paraId="49DF82FA" w14:textId="2E5476C9" w:rsidR="00A45DE3" w:rsidRPr="00A45DE3" w:rsidRDefault="00A45DE3" w:rsidP="00895A38">
            <w:pPr>
              <w:shd w:val="clear" w:color="auto" w:fill="FFFFFF"/>
              <w:spacing w:after="120"/>
              <w:rPr>
                <w:rFonts w:cs="Arial"/>
                <w:b/>
                <w:bCs/>
                <w:sz w:val="24"/>
                <w:szCs w:val="24"/>
                <w:lang w:val="en"/>
              </w:rPr>
            </w:pPr>
            <w:r w:rsidRPr="00A45DE3">
              <w:rPr>
                <w:rFonts w:cs="Arial"/>
                <w:b/>
                <w:bCs/>
                <w:sz w:val="24"/>
                <w:szCs w:val="24"/>
                <w:lang w:val="en"/>
              </w:rPr>
              <w:t>Comments Proforma – Consultation on NICE indicators</w:t>
            </w:r>
            <w:r w:rsidR="0087179A">
              <w:rPr>
                <w:rFonts w:cs="Arial"/>
                <w:b/>
                <w:bCs/>
                <w:sz w:val="24"/>
                <w:szCs w:val="24"/>
                <w:lang w:val="en"/>
              </w:rPr>
              <w:t xml:space="preserve"> process guide</w:t>
            </w:r>
          </w:p>
          <w:p w14:paraId="739F3FC4" w14:textId="77777777" w:rsidR="00A45DE3" w:rsidRDefault="00A45DE3" w:rsidP="00895A38">
            <w:pPr>
              <w:shd w:val="clear" w:color="auto" w:fill="FFFFFF"/>
              <w:spacing w:after="120"/>
              <w:rPr>
                <w:rFonts w:cs="Arial"/>
                <w:bCs/>
                <w:sz w:val="24"/>
                <w:szCs w:val="24"/>
                <w:lang w:val="en"/>
              </w:rPr>
            </w:pPr>
          </w:p>
          <w:p w14:paraId="46486446" w14:textId="5AABF72C" w:rsidR="00895A38" w:rsidRPr="00905FA6" w:rsidRDefault="00E911D0" w:rsidP="00597DFB">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w:t>
            </w:r>
            <w:r w:rsidR="00895A38">
              <w:rPr>
                <w:rFonts w:cs="Arial"/>
                <w:bCs/>
                <w:sz w:val="24"/>
                <w:szCs w:val="24"/>
                <w:lang w:val="en"/>
              </w:rPr>
              <w:t xml:space="preserve">proposed </w:t>
            </w:r>
            <w:r w:rsidR="00597DFB">
              <w:rPr>
                <w:rFonts w:cs="Arial"/>
                <w:bCs/>
                <w:sz w:val="24"/>
                <w:szCs w:val="24"/>
                <w:lang w:val="en"/>
              </w:rPr>
              <w:t xml:space="preserve">updates to the NICE Indicator process guide.  The guide has been updated in </w:t>
            </w:r>
            <w:proofErr w:type="gramStart"/>
            <w:r w:rsidR="00597DFB">
              <w:rPr>
                <w:rFonts w:cs="Arial"/>
                <w:bCs/>
                <w:sz w:val="24"/>
                <w:szCs w:val="24"/>
                <w:lang w:val="en"/>
              </w:rPr>
              <w:t>a number of</w:t>
            </w:r>
            <w:proofErr w:type="gramEnd"/>
            <w:r w:rsidR="00597DFB">
              <w:rPr>
                <w:rFonts w:cs="Arial"/>
                <w:bCs/>
                <w:sz w:val="24"/>
                <w:szCs w:val="24"/>
                <w:lang w:val="en"/>
              </w:rPr>
              <w:t xml:space="preserve"> areas:</w:t>
            </w:r>
          </w:p>
          <w:p w14:paraId="79108E1B" w14:textId="77777777" w:rsidR="00597DFB" w:rsidRPr="00597DFB" w:rsidRDefault="00597DFB" w:rsidP="00597DFB">
            <w:pPr>
              <w:pStyle w:val="ListParagraph"/>
              <w:numPr>
                <w:ilvl w:val="0"/>
                <w:numId w:val="14"/>
              </w:numPr>
              <w:contextualSpacing w:val="0"/>
              <w:rPr>
                <w:rFonts w:cs="Arial"/>
                <w:bCs/>
                <w:sz w:val="24"/>
                <w:szCs w:val="24"/>
                <w:lang w:val="en"/>
              </w:rPr>
            </w:pPr>
            <w:r w:rsidRPr="00597DFB">
              <w:rPr>
                <w:rFonts w:cs="Arial"/>
                <w:bCs/>
                <w:sz w:val="24"/>
                <w:szCs w:val="24"/>
                <w:lang w:val="en"/>
              </w:rPr>
              <w:t xml:space="preserve">Developing formal criteria to assess the validity of indicators </w:t>
            </w:r>
          </w:p>
          <w:p w14:paraId="0B28AB4E" w14:textId="77777777" w:rsidR="00597DFB" w:rsidRPr="00597DFB" w:rsidRDefault="00597DFB" w:rsidP="00597DFB">
            <w:pPr>
              <w:pStyle w:val="ListParagraph"/>
              <w:numPr>
                <w:ilvl w:val="1"/>
                <w:numId w:val="14"/>
              </w:numPr>
              <w:contextualSpacing w:val="0"/>
              <w:rPr>
                <w:rFonts w:cs="Arial"/>
                <w:bCs/>
                <w:sz w:val="24"/>
                <w:szCs w:val="24"/>
                <w:lang w:val="en"/>
              </w:rPr>
            </w:pPr>
            <w:r w:rsidRPr="00597DFB">
              <w:rPr>
                <w:rFonts w:cs="Arial"/>
                <w:bCs/>
                <w:sz w:val="24"/>
                <w:szCs w:val="24"/>
                <w:lang w:val="en"/>
              </w:rPr>
              <w:t>Agreeing criteria for use during indicator development and subsequent publication to support transparency.</w:t>
            </w:r>
          </w:p>
          <w:p w14:paraId="32408ECD" w14:textId="77777777" w:rsidR="00597DFB" w:rsidRPr="00597DFB" w:rsidRDefault="00597DFB" w:rsidP="00597DFB">
            <w:pPr>
              <w:pStyle w:val="ListParagraph"/>
              <w:numPr>
                <w:ilvl w:val="0"/>
                <w:numId w:val="14"/>
              </w:numPr>
              <w:contextualSpacing w:val="0"/>
              <w:rPr>
                <w:rFonts w:cs="Arial"/>
                <w:bCs/>
                <w:sz w:val="24"/>
                <w:szCs w:val="24"/>
                <w:lang w:val="en"/>
              </w:rPr>
            </w:pPr>
            <w:r w:rsidRPr="00597DFB">
              <w:rPr>
                <w:rFonts w:cs="Arial"/>
                <w:bCs/>
                <w:sz w:val="24"/>
                <w:szCs w:val="24"/>
                <w:lang w:val="en"/>
              </w:rPr>
              <w:t>Exploring different methods to test and pilot indicators</w:t>
            </w:r>
          </w:p>
          <w:p w14:paraId="71B3228A" w14:textId="77777777" w:rsidR="00597DFB" w:rsidRPr="00597DFB" w:rsidRDefault="00597DFB" w:rsidP="00597DFB">
            <w:pPr>
              <w:pStyle w:val="ListParagraph"/>
              <w:numPr>
                <w:ilvl w:val="1"/>
                <w:numId w:val="14"/>
              </w:numPr>
              <w:contextualSpacing w:val="0"/>
              <w:rPr>
                <w:rFonts w:cs="Arial"/>
                <w:bCs/>
                <w:sz w:val="24"/>
                <w:szCs w:val="24"/>
                <w:lang w:val="en"/>
              </w:rPr>
            </w:pPr>
            <w:r w:rsidRPr="00597DFB">
              <w:rPr>
                <w:rFonts w:cs="Arial"/>
                <w:bCs/>
                <w:sz w:val="24"/>
                <w:szCs w:val="24"/>
                <w:lang w:val="en"/>
              </w:rPr>
              <w:t xml:space="preserve">Ensuring testing or piloting is proportionate to the intended use and accounting for the existence of similar assured indicators. </w:t>
            </w:r>
          </w:p>
          <w:p w14:paraId="004100B2" w14:textId="122CA74B" w:rsidR="00597DFB" w:rsidRPr="00597DFB" w:rsidRDefault="00597DFB" w:rsidP="00597DFB">
            <w:pPr>
              <w:pStyle w:val="ListParagraph"/>
              <w:numPr>
                <w:ilvl w:val="1"/>
                <w:numId w:val="14"/>
              </w:numPr>
              <w:contextualSpacing w:val="0"/>
              <w:rPr>
                <w:rFonts w:cs="Arial"/>
                <w:bCs/>
                <w:sz w:val="24"/>
                <w:szCs w:val="24"/>
                <w:lang w:val="en"/>
              </w:rPr>
            </w:pPr>
            <w:r w:rsidRPr="00597DFB">
              <w:rPr>
                <w:rFonts w:cs="Arial"/>
                <w:bCs/>
                <w:sz w:val="24"/>
                <w:szCs w:val="24"/>
                <w:lang w:val="en"/>
              </w:rPr>
              <w:t xml:space="preserve">Considering use of </w:t>
            </w:r>
            <w:r w:rsidR="009B6187" w:rsidRPr="00597DFB">
              <w:rPr>
                <w:rFonts w:cs="Arial"/>
                <w:bCs/>
                <w:sz w:val="24"/>
                <w:szCs w:val="24"/>
                <w:lang w:val="en"/>
              </w:rPr>
              <w:t>real-world</w:t>
            </w:r>
            <w:r w:rsidRPr="00597DFB">
              <w:rPr>
                <w:rFonts w:cs="Arial"/>
                <w:bCs/>
                <w:sz w:val="24"/>
                <w:szCs w:val="24"/>
                <w:lang w:val="en"/>
              </w:rPr>
              <w:t xml:space="preserve"> data.</w:t>
            </w:r>
          </w:p>
          <w:p w14:paraId="58C46A2E" w14:textId="77777777" w:rsidR="00597DFB" w:rsidRPr="00597DFB" w:rsidRDefault="00597DFB" w:rsidP="00597DFB">
            <w:pPr>
              <w:pStyle w:val="ListParagraph"/>
              <w:numPr>
                <w:ilvl w:val="0"/>
                <w:numId w:val="14"/>
              </w:numPr>
              <w:contextualSpacing w:val="0"/>
              <w:rPr>
                <w:rFonts w:cs="Arial"/>
                <w:bCs/>
                <w:sz w:val="24"/>
                <w:szCs w:val="24"/>
                <w:lang w:val="en"/>
              </w:rPr>
            </w:pPr>
            <w:r w:rsidRPr="00597DFB">
              <w:rPr>
                <w:rFonts w:cs="Arial"/>
                <w:bCs/>
                <w:sz w:val="24"/>
                <w:szCs w:val="24"/>
                <w:lang w:val="en"/>
              </w:rPr>
              <w:t>Maintaining relevance in a rapidly changing external environment</w:t>
            </w:r>
          </w:p>
          <w:p w14:paraId="022A456D" w14:textId="77777777" w:rsidR="00597DFB" w:rsidRPr="00597DFB" w:rsidRDefault="00597DFB" w:rsidP="00597DFB">
            <w:pPr>
              <w:pStyle w:val="ListParagraph"/>
              <w:numPr>
                <w:ilvl w:val="1"/>
                <w:numId w:val="14"/>
              </w:numPr>
              <w:contextualSpacing w:val="0"/>
              <w:rPr>
                <w:rFonts w:cs="Arial"/>
                <w:bCs/>
                <w:sz w:val="24"/>
                <w:szCs w:val="24"/>
                <w:lang w:val="en"/>
              </w:rPr>
            </w:pPr>
            <w:r w:rsidRPr="00597DFB">
              <w:rPr>
                <w:rFonts w:cs="Arial"/>
                <w:bCs/>
                <w:sz w:val="24"/>
                <w:szCs w:val="24"/>
                <w:lang w:val="en"/>
              </w:rPr>
              <w:t xml:space="preserve">Publishing indicators with an explicit minimum population threshold at which the indicator is feasible (rather than mapped to specific NHS organisational structures). </w:t>
            </w:r>
          </w:p>
          <w:p w14:paraId="2AB618E0" w14:textId="77777777" w:rsidR="00597DFB" w:rsidRPr="00597DFB" w:rsidRDefault="00597DFB" w:rsidP="00597DFB">
            <w:pPr>
              <w:pStyle w:val="ListParagraph"/>
              <w:numPr>
                <w:ilvl w:val="0"/>
                <w:numId w:val="14"/>
              </w:numPr>
              <w:contextualSpacing w:val="0"/>
              <w:rPr>
                <w:rFonts w:cs="Arial"/>
                <w:bCs/>
                <w:sz w:val="24"/>
                <w:szCs w:val="24"/>
                <w:lang w:val="en"/>
              </w:rPr>
            </w:pPr>
            <w:r w:rsidRPr="00597DFB">
              <w:rPr>
                <w:rFonts w:cs="Arial"/>
                <w:bCs/>
                <w:sz w:val="24"/>
                <w:szCs w:val="24"/>
                <w:lang w:val="en"/>
              </w:rPr>
              <w:t xml:space="preserve">Endorsing externally developed indicators </w:t>
            </w:r>
          </w:p>
          <w:p w14:paraId="26E51EA6" w14:textId="77777777" w:rsidR="00597DFB" w:rsidRPr="00597DFB" w:rsidRDefault="00597DFB" w:rsidP="00597DFB">
            <w:pPr>
              <w:pStyle w:val="ListParagraph"/>
              <w:numPr>
                <w:ilvl w:val="1"/>
                <w:numId w:val="14"/>
              </w:numPr>
              <w:contextualSpacing w:val="0"/>
              <w:rPr>
                <w:rFonts w:cs="Arial"/>
                <w:bCs/>
                <w:sz w:val="24"/>
                <w:szCs w:val="24"/>
                <w:lang w:val="en"/>
              </w:rPr>
            </w:pPr>
            <w:r w:rsidRPr="00597DFB">
              <w:rPr>
                <w:rFonts w:cs="Arial"/>
                <w:bCs/>
                <w:sz w:val="24"/>
                <w:szCs w:val="24"/>
                <w:lang w:val="en"/>
              </w:rPr>
              <w:t>Retaining this as an option in specific circumstances where externally developed indicators align with NHS England priorities.</w:t>
            </w:r>
            <w:bookmarkStart w:id="0" w:name="_GoBack"/>
            <w:bookmarkEnd w:id="0"/>
          </w:p>
          <w:p w14:paraId="057C36D7" w14:textId="77777777" w:rsidR="00895A38" w:rsidRDefault="00895A38" w:rsidP="008F724D">
            <w:pPr>
              <w:shd w:val="clear" w:color="auto" w:fill="FFFFFF"/>
              <w:spacing w:line="276" w:lineRule="auto"/>
              <w:rPr>
                <w:rFonts w:cs="Arial"/>
                <w:bCs/>
                <w:sz w:val="24"/>
                <w:szCs w:val="24"/>
                <w:lang w:val="en"/>
              </w:rPr>
            </w:pPr>
          </w:p>
          <w:p w14:paraId="6DA46A2A" w14:textId="17ED71E8" w:rsidR="00895A38" w:rsidRDefault="00597DFB" w:rsidP="008F724D">
            <w:pPr>
              <w:shd w:val="clear" w:color="auto" w:fill="FFFFFF"/>
              <w:spacing w:line="276" w:lineRule="auto"/>
              <w:rPr>
                <w:rFonts w:cs="Arial"/>
                <w:bCs/>
                <w:sz w:val="24"/>
                <w:szCs w:val="24"/>
                <w:lang w:val="en"/>
              </w:rPr>
            </w:pPr>
            <w:r>
              <w:rPr>
                <w:rFonts w:cs="Arial"/>
                <w:bCs/>
                <w:sz w:val="24"/>
                <w:szCs w:val="24"/>
                <w:lang w:val="en"/>
              </w:rPr>
              <w:t xml:space="preserve">Please read the </w:t>
            </w:r>
            <w:hyperlink r:id="rId8" w:history="1">
              <w:r w:rsidRPr="004A465D">
                <w:rPr>
                  <w:rStyle w:val="Hyperlink"/>
                  <w:rFonts w:cs="Arial"/>
                  <w:bCs/>
                  <w:sz w:val="24"/>
                  <w:szCs w:val="24"/>
                  <w:lang w:val="en"/>
                </w:rPr>
                <w:t>updated guide</w:t>
              </w:r>
            </w:hyperlink>
            <w:r w:rsidR="004A465D">
              <w:rPr>
                <w:rFonts w:cs="Arial"/>
                <w:bCs/>
                <w:sz w:val="24"/>
                <w:szCs w:val="24"/>
                <w:lang w:val="en"/>
              </w:rPr>
              <w:t xml:space="preserve"> </w:t>
            </w:r>
            <w:r>
              <w:rPr>
                <w:rFonts w:cs="Arial"/>
                <w:bCs/>
                <w:sz w:val="24"/>
                <w:szCs w:val="24"/>
                <w:lang w:val="en"/>
              </w:rPr>
              <w:t>before commenting.</w:t>
            </w:r>
          </w:p>
          <w:p w14:paraId="58016EA3" w14:textId="77777777" w:rsidR="00A45DE3" w:rsidRDefault="00A45DE3" w:rsidP="008F724D">
            <w:pPr>
              <w:shd w:val="clear" w:color="auto" w:fill="FFFFFF"/>
              <w:spacing w:line="276" w:lineRule="auto"/>
              <w:rPr>
                <w:rFonts w:cs="Arial"/>
                <w:bCs/>
                <w:sz w:val="24"/>
                <w:szCs w:val="24"/>
                <w:lang w:val="en"/>
              </w:rPr>
            </w:pPr>
          </w:p>
          <w:p w14:paraId="632C8877" w14:textId="3AB265A9" w:rsidR="00A45DE3" w:rsidRPr="00895A38" w:rsidRDefault="00A45DE3" w:rsidP="00A45DE3">
            <w:pPr>
              <w:shd w:val="clear" w:color="auto" w:fill="FFFFFF"/>
              <w:spacing w:after="120"/>
              <w:rPr>
                <w:rFonts w:cs="Arial"/>
                <w:bCs/>
                <w:sz w:val="24"/>
                <w:szCs w:val="24"/>
                <w:lang w:val="en"/>
              </w:rPr>
            </w:pPr>
            <w:r w:rsidRPr="00895A38">
              <w:rPr>
                <w:rFonts w:cs="Arial"/>
                <w:bCs/>
                <w:sz w:val="24"/>
                <w:szCs w:val="24"/>
                <w:lang w:val="en"/>
              </w:rPr>
              <w:t>Please read the checklist for submitting comments at the end of this form.</w:t>
            </w:r>
            <w:r>
              <w:rPr>
                <w:rFonts w:cs="Arial"/>
                <w:bCs/>
                <w:sz w:val="24"/>
                <w:szCs w:val="24"/>
                <w:lang w:val="en"/>
              </w:rPr>
              <w:t xml:space="preserve"> We cannot accept </w:t>
            </w:r>
            <w:r w:rsidRPr="00810A2E">
              <w:rPr>
                <w:rFonts w:cs="Arial"/>
                <w:bCs/>
                <w:sz w:val="24"/>
                <w:szCs w:val="24"/>
                <w:lang w:val="en"/>
              </w:rPr>
              <w:t xml:space="preserve">forms </w:t>
            </w:r>
            <w:r>
              <w:rPr>
                <w:rFonts w:cs="Arial"/>
                <w:bCs/>
                <w:sz w:val="24"/>
                <w:szCs w:val="24"/>
                <w:lang w:val="en"/>
              </w:rPr>
              <w:t xml:space="preserve">that are not filled in correctly. </w:t>
            </w:r>
          </w:p>
        </w:tc>
      </w:tr>
      <w:tr w:rsidR="000342F2" w:rsidRPr="00810A2E" w14:paraId="71F50F3A" w14:textId="77777777" w:rsidTr="00597DFB">
        <w:trPr>
          <w:cantSplit/>
        </w:trPr>
        <w:tc>
          <w:tcPr>
            <w:tcW w:w="863" w:type="pct"/>
            <w:gridSpan w:val="2"/>
            <w:shd w:val="clear" w:color="auto" w:fill="FFFFFF"/>
          </w:tcPr>
          <w:p w14:paraId="3D1D1637" w14:textId="77777777" w:rsidR="000342F2" w:rsidRPr="00810A2E" w:rsidRDefault="00D36D76" w:rsidP="00E96424">
            <w:pPr>
              <w:pStyle w:val="BodyText"/>
              <w:rPr>
                <w:rFonts w:cs="Arial"/>
                <w:szCs w:val="22"/>
              </w:rPr>
            </w:pPr>
            <w:r w:rsidRPr="00D36D76">
              <w:rPr>
                <w:rFonts w:cs="Arial"/>
                <w:szCs w:val="22"/>
              </w:rPr>
              <w:lastRenderedPageBreak/>
              <w:t xml:space="preserve">Organisation name – Stakeholder or respondent </w:t>
            </w:r>
            <w:r w:rsidRPr="00C979F9">
              <w:rPr>
                <w:rFonts w:cs="Arial"/>
                <w:b w:val="0"/>
                <w:szCs w:val="22"/>
              </w:rPr>
              <w:t>(if you are responding as an individual rather than a registered stakeholder please leave blank):</w:t>
            </w:r>
          </w:p>
        </w:tc>
        <w:tc>
          <w:tcPr>
            <w:tcW w:w="4137" w:type="pct"/>
            <w:gridSpan w:val="2"/>
            <w:shd w:val="clear" w:color="auto" w:fill="FFFFFF"/>
          </w:tcPr>
          <w:p w14:paraId="1FEA1359"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4BD704A8" w14:textId="77777777" w:rsidTr="00597DFB">
        <w:trPr>
          <w:cantSplit/>
        </w:trPr>
        <w:tc>
          <w:tcPr>
            <w:tcW w:w="863" w:type="pct"/>
            <w:gridSpan w:val="2"/>
            <w:shd w:val="clear" w:color="auto" w:fill="FFFFFF"/>
          </w:tcPr>
          <w:p w14:paraId="6156125D" w14:textId="77777777" w:rsidR="00D36D76" w:rsidRPr="00D36D76" w:rsidRDefault="00D36D76" w:rsidP="00D36D76">
            <w:pPr>
              <w:pStyle w:val="BodyText"/>
              <w:rPr>
                <w:rFonts w:cs="Arial"/>
                <w:szCs w:val="22"/>
              </w:rPr>
            </w:pPr>
            <w:r w:rsidRPr="00D36D76">
              <w:rPr>
                <w:rFonts w:cs="Arial"/>
                <w:szCs w:val="22"/>
              </w:rPr>
              <w:t>Disclosure</w:t>
            </w:r>
          </w:p>
          <w:p w14:paraId="3E0B6203"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55BBD9F7" w14:textId="77777777" w:rsidR="0054572C" w:rsidRPr="00C979F9" w:rsidRDefault="0054572C" w:rsidP="00D36D76">
            <w:pPr>
              <w:pStyle w:val="BodyText"/>
              <w:rPr>
                <w:rFonts w:cs="Arial"/>
                <w:b w:val="0"/>
                <w:szCs w:val="22"/>
              </w:rPr>
            </w:pPr>
          </w:p>
        </w:tc>
        <w:tc>
          <w:tcPr>
            <w:tcW w:w="4137" w:type="pct"/>
            <w:gridSpan w:val="2"/>
            <w:shd w:val="clear" w:color="auto" w:fill="FFFFFF"/>
          </w:tcPr>
          <w:p w14:paraId="22A5C082"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2B6E1AC5" w14:textId="77777777" w:rsidTr="00597DFB">
        <w:trPr>
          <w:cantSplit/>
        </w:trPr>
        <w:tc>
          <w:tcPr>
            <w:tcW w:w="863" w:type="pct"/>
            <w:gridSpan w:val="2"/>
            <w:tcBorders>
              <w:bottom w:val="single" w:sz="6" w:space="0" w:color="auto"/>
            </w:tcBorders>
            <w:shd w:val="clear" w:color="auto" w:fill="FFFFFF"/>
          </w:tcPr>
          <w:p w14:paraId="12DA7B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37" w:type="pct"/>
            <w:gridSpan w:val="2"/>
            <w:tcBorders>
              <w:bottom w:val="single" w:sz="6" w:space="0" w:color="auto"/>
            </w:tcBorders>
            <w:shd w:val="clear" w:color="auto" w:fill="FFFFFF"/>
          </w:tcPr>
          <w:p w14:paraId="62B40E2A" w14:textId="77777777" w:rsidR="000342F2" w:rsidRPr="00810A2E" w:rsidRDefault="000342F2" w:rsidP="00DB6AB5">
            <w:pPr>
              <w:rPr>
                <w:rFonts w:cs="Arial"/>
                <w:szCs w:val="22"/>
              </w:rPr>
            </w:pPr>
          </w:p>
          <w:p w14:paraId="30905087"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7516C153" w14:textId="77777777" w:rsidTr="00597DFB">
        <w:trPr>
          <w:cantSplit/>
        </w:trPr>
        <w:tc>
          <w:tcPr>
            <w:tcW w:w="863" w:type="pct"/>
            <w:gridSpan w:val="2"/>
            <w:tcBorders>
              <w:bottom w:val="single" w:sz="6" w:space="0" w:color="auto"/>
            </w:tcBorders>
            <w:shd w:val="clear" w:color="auto" w:fill="FFFFFF"/>
          </w:tcPr>
          <w:p w14:paraId="3A05B53C" w14:textId="77777777" w:rsidR="004E513A" w:rsidRPr="00D36D76" w:rsidRDefault="004E513A" w:rsidP="00246154">
            <w:pPr>
              <w:pStyle w:val="BodyText"/>
              <w:rPr>
                <w:rFonts w:cs="Arial"/>
                <w:szCs w:val="22"/>
              </w:rPr>
            </w:pPr>
            <w:r>
              <w:rPr>
                <w:rFonts w:cs="Arial"/>
                <w:szCs w:val="22"/>
              </w:rPr>
              <w:t>Type</w:t>
            </w:r>
          </w:p>
        </w:tc>
        <w:tc>
          <w:tcPr>
            <w:tcW w:w="4137" w:type="pct"/>
            <w:gridSpan w:val="2"/>
            <w:tcBorders>
              <w:bottom w:val="single" w:sz="6" w:space="0" w:color="auto"/>
            </w:tcBorders>
            <w:shd w:val="clear" w:color="auto" w:fill="FFFFFF"/>
          </w:tcPr>
          <w:p w14:paraId="08068515" w14:textId="77777777" w:rsidR="00E911D0" w:rsidRDefault="00B83648" w:rsidP="00DB6AB5">
            <w:pPr>
              <w:rPr>
                <w:rFonts w:cs="Arial"/>
                <w:szCs w:val="22"/>
              </w:rPr>
            </w:pPr>
            <w:r>
              <w:rPr>
                <w:rFonts w:cs="Arial"/>
                <w:szCs w:val="22"/>
              </w:rPr>
              <w:t>[office use only]</w:t>
            </w:r>
          </w:p>
          <w:p w14:paraId="7D2C38A3" w14:textId="77777777" w:rsidR="00E911D0" w:rsidRDefault="00E911D0" w:rsidP="00DB6AB5">
            <w:pPr>
              <w:rPr>
                <w:rFonts w:cs="Arial"/>
                <w:szCs w:val="22"/>
              </w:rPr>
            </w:pPr>
          </w:p>
          <w:p w14:paraId="2485C665" w14:textId="77777777" w:rsidR="00E911D0" w:rsidRDefault="00E911D0" w:rsidP="00DB6AB5">
            <w:pPr>
              <w:rPr>
                <w:rFonts w:cs="Arial"/>
                <w:szCs w:val="22"/>
              </w:rPr>
            </w:pPr>
          </w:p>
          <w:p w14:paraId="3B18C9DD" w14:textId="77777777" w:rsidR="00E911D0" w:rsidRDefault="00E911D0" w:rsidP="00DB6AB5">
            <w:pPr>
              <w:rPr>
                <w:rFonts w:cs="Arial"/>
                <w:szCs w:val="22"/>
              </w:rPr>
            </w:pPr>
          </w:p>
          <w:p w14:paraId="4104ED77" w14:textId="77777777" w:rsidR="00E911D0" w:rsidRPr="00810A2E" w:rsidRDefault="00E911D0" w:rsidP="00DB6AB5">
            <w:pPr>
              <w:rPr>
                <w:rFonts w:cs="Arial"/>
                <w:szCs w:val="22"/>
              </w:rPr>
            </w:pPr>
          </w:p>
        </w:tc>
      </w:tr>
      <w:tr w:rsidR="00597DFB" w:rsidRPr="00810A2E" w14:paraId="6B6AA401" w14:textId="77777777" w:rsidTr="00597DFB">
        <w:tc>
          <w:tcPr>
            <w:tcW w:w="404" w:type="pct"/>
            <w:tcBorders>
              <w:top w:val="single" w:sz="6" w:space="0" w:color="auto"/>
              <w:bottom w:val="single" w:sz="6" w:space="0" w:color="auto"/>
            </w:tcBorders>
            <w:shd w:val="clear" w:color="auto" w:fill="E6E6E6"/>
          </w:tcPr>
          <w:p w14:paraId="050377DB" w14:textId="77777777" w:rsidR="00597DFB" w:rsidRPr="00810A2E" w:rsidRDefault="00597DFB" w:rsidP="00DB6AB5">
            <w:pPr>
              <w:jc w:val="center"/>
              <w:rPr>
                <w:rFonts w:cs="Arial"/>
                <w:b/>
              </w:rPr>
            </w:pPr>
            <w:r>
              <w:rPr>
                <w:rFonts w:cs="Arial"/>
                <w:b/>
              </w:rPr>
              <w:t>Comment</w:t>
            </w:r>
            <w:r w:rsidRPr="00810A2E">
              <w:rPr>
                <w:rFonts w:cs="Arial"/>
                <w:b/>
              </w:rPr>
              <w:t xml:space="preserve"> number</w:t>
            </w:r>
          </w:p>
          <w:p w14:paraId="7119B2D8" w14:textId="77777777" w:rsidR="00597DFB" w:rsidRPr="00810A2E" w:rsidRDefault="00597DFB" w:rsidP="00DB6AB5">
            <w:pPr>
              <w:jc w:val="center"/>
              <w:rPr>
                <w:rFonts w:cs="Arial"/>
                <w:i/>
                <w:sz w:val="18"/>
                <w:szCs w:val="18"/>
              </w:rPr>
            </w:pPr>
          </w:p>
        </w:tc>
        <w:tc>
          <w:tcPr>
            <w:tcW w:w="459" w:type="pct"/>
            <w:tcBorders>
              <w:top w:val="single" w:sz="6" w:space="0" w:color="auto"/>
              <w:bottom w:val="single" w:sz="6" w:space="0" w:color="auto"/>
            </w:tcBorders>
            <w:shd w:val="clear" w:color="auto" w:fill="E6E6E6"/>
          </w:tcPr>
          <w:p w14:paraId="49212C55" w14:textId="70C81C02" w:rsidR="00597DFB" w:rsidRPr="006F679F" w:rsidRDefault="00597DFB" w:rsidP="00F90F1E">
            <w:pPr>
              <w:jc w:val="center"/>
              <w:rPr>
                <w:rFonts w:cs="Arial"/>
                <w:b/>
                <w:sz w:val="16"/>
                <w:szCs w:val="16"/>
              </w:rPr>
            </w:pPr>
            <w:r>
              <w:rPr>
                <w:rFonts w:cs="Arial"/>
                <w:b/>
                <w:szCs w:val="22"/>
              </w:rPr>
              <w:t>Page</w:t>
            </w:r>
          </w:p>
        </w:tc>
        <w:tc>
          <w:tcPr>
            <w:tcW w:w="434" w:type="pct"/>
            <w:tcBorders>
              <w:top w:val="single" w:sz="6" w:space="0" w:color="auto"/>
              <w:bottom w:val="single" w:sz="6" w:space="0" w:color="auto"/>
            </w:tcBorders>
            <w:shd w:val="clear" w:color="auto" w:fill="E6E6E6"/>
          </w:tcPr>
          <w:p w14:paraId="385C809E" w14:textId="7FE12F20" w:rsidR="00597DFB" w:rsidRPr="007E0074" w:rsidRDefault="00597DFB" w:rsidP="00597DFB">
            <w:pPr>
              <w:jc w:val="center"/>
              <w:rPr>
                <w:rFonts w:cs="Arial"/>
                <w:sz w:val="32"/>
              </w:rPr>
            </w:pPr>
            <w:r w:rsidRPr="00597DFB">
              <w:rPr>
                <w:rFonts w:cs="Arial"/>
                <w:b/>
                <w:szCs w:val="22"/>
              </w:rPr>
              <w:t>Reference</w:t>
            </w:r>
          </w:p>
        </w:tc>
        <w:tc>
          <w:tcPr>
            <w:tcW w:w="3703" w:type="pct"/>
            <w:tcBorders>
              <w:top w:val="single" w:sz="6" w:space="0" w:color="auto"/>
              <w:bottom w:val="single" w:sz="6" w:space="0" w:color="auto"/>
            </w:tcBorders>
            <w:shd w:val="clear" w:color="auto" w:fill="E6E6E6"/>
          </w:tcPr>
          <w:p w14:paraId="15EABE3F" w14:textId="77777777" w:rsidR="00597DFB" w:rsidRPr="007E0074" w:rsidRDefault="00597DFB" w:rsidP="00597DFB">
            <w:pPr>
              <w:pStyle w:val="Heading1"/>
              <w:jc w:val="center"/>
              <w:rPr>
                <w:rFonts w:cs="Arial"/>
                <w:sz w:val="32"/>
              </w:rPr>
            </w:pPr>
            <w:r w:rsidRPr="007E0074">
              <w:rPr>
                <w:rFonts w:cs="Arial"/>
                <w:sz w:val="32"/>
              </w:rPr>
              <w:t>Comments</w:t>
            </w:r>
          </w:p>
          <w:p w14:paraId="37A725BF" w14:textId="77777777" w:rsidR="00597DFB" w:rsidRDefault="00597DFB" w:rsidP="00DB6AB5">
            <w:pPr>
              <w:jc w:val="center"/>
              <w:rPr>
                <w:rFonts w:cs="Arial"/>
                <w:sz w:val="18"/>
                <w:szCs w:val="18"/>
              </w:rPr>
            </w:pPr>
          </w:p>
          <w:p w14:paraId="55B4D8B7" w14:textId="77777777" w:rsidR="00597DFB" w:rsidRDefault="00597DFB" w:rsidP="00DB6AB5">
            <w:pPr>
              <w:jc w:val="center"/>
              <w:rPr>
                <w:rFonts w:cs="Arial"/>
                <w:sz w:val="18"/>
                <w:szCs w:val="18"/>
              </w:rPr>
            </w:pPr>
          </w:p>
          <w:p w14:paraId="6E6CD172" w14:textId="225FF132" w:rsidR="00597DFB" w:rsidRPr="005F745A" w:rsidRDefault="00597DFB" w:rsidP="00DB6AB5">
            <w:pPr>
              <w:jc w:val="center"/>
              <w:rPr>
                <w:rFonts w:cs="Arial"/>
                <w:sz w:val="18"/>
                <w:szCs w:val="18"/>
              </w:rPr>
            </w:pPr>
            <w:r>
              <w:rPr>
                <w:rFonts w:cs="Arial"/>
                <w:sz w:val="18"/>
                <w:szCs w:val="18"/>
              </w:rPr>
              <w:t>I</w:t>
            </w:r>
            <w:r w:rsidRPr="005F745A">
              <w:rPr>
                <w:rFonts w:cs="Arial"/>
                <w:sz w:val="18"/>
                <w:szCs w:val="18"/>
              </w:rPr>
              <w:t>nsert each comment in a new row.</w:t>
            </w:r>
          </w:p>
          <w:p w14:paraId="6B926CF3" w14:textId="5FABEC23" w:rsidR="00597DFB" w:rsidRPr="007E0074" w:rsidRDefault="00597DFB" w:rsidP="00DB6AB5">
            <w:pPr>
              <w:jc w:val="center"/>
              <w:rPr>
                <w:rFonts w:cs="Arial"/>
                <w:b/>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tc>
      </w:tr>
      <w:tr w:rsidR="00597DFB" w:rsidRPr="00810A2E" w14:paraId="4C3F1D92" w14:textId="77777777" w:rsidTr="00597DFB">
        <w:tc>
          <w:tcPr>
            <w:tcW w:w="404" w:type="pct"/>
            <w:tcBorders>
              <w:top w:val="single" w:sz="6" w:space="0" w:color="auto"/>
            </w:tcBorders>
          </w:tcPr>
          <w:p w14:paraId="7522B2C5" w14:textId="37E39C95" w:rsidR="00597DFB" w:rsidRDefault="00597DFB" w:rsidP="00DB6AB5">
            <w:pPr>
              <w:jc w:val="center"/>
              <w:rPr>
                <w:rFonts w:cs="Arial"/>
                <w:color w:val="FF0000"/>
                <w:sz w:val="20"/>
              </w:rPr>
            </w:pPr>
            <w:r w:rsidRPr="00810A2E">
              <w:rPr>
                <w:rFonts w:cs="Arial"/>
                <w:color w:val="FF0000"/>
                <w:sz w:val="20"/>
              </w:rPr>
              <w:t>Example</w:t>
            </w:r>
            <w:r>
              <w:rPr>
                <w:rFonts w:cs="Arial"/>
                <w:color w:val="FF0000"/>
                <w:sz w:val="20"/>
              </w:rPr>
              <w:t xml:space="preserve"> 1</w:t>
            </w:r>
          </w:p>
          <w:p w14:paraId="4F312BDF" w14:textId="77777777" w:rsidR="00597DFB" w:rsidRDefault="00597DFB" w:rsidP="00DB6AB5">
            <w:pPr>
              <w:jc w:val="center"/>
              <w:rPr>
                <w:rFonts w:cs="Arial"/>
                <w:color w:val="FF0000"/>
                <w:sz w:val="20"/>
              </w:rPr>
            </w:pPr>
          </w:p>
          <w:p w14:paraId="7E8ADC15" w14:textId="256DAC26" w:rsidR="00597DFB" w:rsidRPr="00810A2E" w:rsidRDefault="00597DFB" w:rsidP="00F90F1E">
            <w:pPr>
              <w:jc w:val="center"/>
              <w:rPr>
                <w:rFonts w:cs="Arial"/>
                <w:color w:val="FF0000"/>
                <w:sz w:val="20"/>
              </w:rPr>
            </w:pPr>
          </w:p>
        </w:tc>
        <w:tc>
          <w:tcPr>
            <w:tcW w:w="459" w:type="pct"/>
            <w:tcBorders>
              <w:top w:val="single" w:sz="6" w:space="0" w:color="auto"/>
            </w:tcBorders>
          </w:tcPr>
          <w:p w14:paraId="4461E56A" w14:textId="38ED8975" w:rsidR="00597DFB" w:rsidRPr="00810A2E" w:rsidRDefault="00597DFB" w:rsidP="009F409D">
            <w:pPr>
              <w:rPr>
                <w:rFonts w:cs="Arial"/>
                <w:color w:val="FF0000"/>
                <w:sz w:val="20"/>
              </w:rPr>
            </w:pPr>
            <w:r>
              <w:rPr>
                <w:rFonts w:cs="Arial"/>
                <w:color w:val="FF0000"/>
                <w:sz w:val="20"/>
              </w:rPr>
              <w:t>Page number</w:t>
            </w:r>
          </w:p>
        </w:tc>
        <w:tc>
          <w:tcPr>
            <w:tcW w:w="434" w:type="pct"/>
            <w:tcBorders>
              <w:top w:val="single" w:sz="6" w:space="0" w:color="auto"/>
            </w:tcBorders>
          </w:tcPr>
          <w:p w14:paraId="0BDBAAD0" w14:textId="3A51F880" w:rsidR="00597DFB" w:rsidRDefault="00597DFB" w:rsidP="00DB6AB5">
            <w:pPr>
              <w:rPr>
                <w:rFonts w:cs="Arial"/>
                <w:color w:val="FF0000"/>
                <w:sz w:val="20"/>
              </w:rPr>
            </w:pPr>
            <w:r>
              <w:rPr>
                <w:rFonts w:cs="Arial"/>
                <w:color w:val="FF0000"/>
                <w:sz w:val="20"/>
              </w:rPr>
              <w:t>Section and sub section number (e.g. 3.3)</w:t>
            </w:r>
          </w:p>
        </w:tc>
        <w:tc>
          <w:tcPr>
            <w:tcW w:w="3703" w:type="pct"/>
            <w:tcBorders>
              <w:top w:val="single" w:sz="6" w:space="0" w:color="auto"/>
            </w:tcBorders>
          </w:tcPr>
          <w:p w14:paraId="2B6B3E3B" w14:textId="30308A6A" w:rsidR="00597DFB" w:rsidRPr="00810A2E" w:rsidRDefault="00597DFB" w:rsidP="00DB6AB5">
            <w:pPr>
              <w:rPr>
                <w:rFonts w:cs="Arial"/>
                <w:color w:val="FF0000"/>
                <w:sz w:val="20"/>
              </w:rPr>
            </w:pPr>
            <w:r>
              <w:rPr>
                <w:rFonts w:cs="Arial"/>
                <w:color w:val="FF0000"/>
                <w:sz w:val="20"/>
              </w:rPr>
              <w:t>Enter your comment</w:t>
            </w:r>
          </w:p>
        </w:tc>
      </w:tr>
      <w:tr w:rsidR="00597DFB" w:rsidRPr="00810A2E" w14:paraId="1178D91B" w14:textId="77777777" w:rsidTr="00597DFB">
        <w:tc>
          <w:tcPr>
            <w:tcW w:w="404" w:type="pct"/>
            <w:tcBorders>
              <w:top w:val="single" w:sz="6" w:space="0" w:color="auto"/>
              <w:bottom w:val="single" w:sz="6" w:space="0" w:color="auto"/>
            </w:tcBorders>
          </w:tcPr>
          <w:p w14:paraId="2C5E5676" w14:textId="77777777" w:rsidR="00597DFB" w:rsidRPr="00810A2E" w:rsidRDefault="00597DFB" w:rsidP="00DB6AB5">
            <w:pPr>
              <w:jc w:val="center"/>
              <w:rPr>
                <w:rFonts w:cs="Arial"/>
                <w:sz w:val="20"/>
              </w:rPr>
            </w:pPr>
            <w:r w:rsidRPr="00810A2E">
              <w:rPr>
                <w:rFonts w:cs="Arial"/>
                <w:sz w:val="20"/>
              </w:rPr>
              <w:lastRenderedPageBreak/>
              <w:t>1</w:t>
            </w:r>
          </w:p>
        </w:tc>
        <w:tc>
          <w:tcPr>
            <w:tcW w:w="459" w:type="pct"/>
            <w:tcBorders>
              <w:top w:val="single" w:sz="6" w:space="0" w:color="auto"/>
              <w:bottom w:val="single" w:sz="6" w:space="0" w:color="auto"/>
            </w:tcBorders>
          </w:tcPr>
          <w:p w14:paraId="3A27C057" w14:textId="77777777" w:rsidR="00597DFB" w:rsidRPr="00810A2E" w:rsidRDefault="00597DFB" w:rsidP="00DB6AB5">
            <w:pPr>
              <w:rPr>
                <w:rFonts w:cs="Arial"/>
                <w:sz w:val="20"/>
              </w:rPr>
            </w:pPr>
          </w:p>
        </w:tc>
        <w:tc>
          <w:tcPr>
            <w:tcW w:w="434" w:type="pct"/>
            <w:tcBorders>
              <w:top w:val="single" w:sz="6" w:space="0" w:color="auto"/>
              <w:bottom w:val="single" w:sz="6" w:space="0" w:color="auto"/>
            </w:tcBorders>
          </w:tcPr>
          <w:p w14:paraId="56606E3E" w14:textId="77777777" w:rsidR="00597DFB" w:rsidRPr="00810A2E" w:rsidRDefault="00597DFB" w:rsidP="00224BF9">
            <w:pPr>
              <w:rPr>
                <w:rFonts w:cs="Arial"/>
                <w:sz w:val="20"/>
              </w:rPr>
            </w:pPr>
          </w:p>
        </w:tc>
        <w:tc>
          <w:tcPr>
            <w:tcW w:w="3703" w:type="pct"/>
            <w:tcBorders>
              <w:top w:val="single" w:sz="6" w:space="0" w:color="auto"/>
              <w:bottom w:val="single" w:sz="6" w:space="0" w:color="auto"/>
            </w:tcBorders>
          </w:tcPr>
          <w:p w14:paraId="3709E3E7" w14:textId="67237585" w:rsidR="00597DFB" w:rsidRPr="00810A2E" w:rsidRDefault="00597DFB" w:rsidP="00224BF9">
            <w:pPr>
              <w:rPr>
                <w:rFonts w:cs="Arial"/>
                <w:sz w:val="20"/>
              </w:rPr>
            </w:pPr>
          </w:p>
        </w:tc>
      </w:tr>
      <w:tr w:rsidR="00597DFB" w:rsidRPr="00810A2E" w14:paraId="52FD0CA0" w14:textId="77777777" w:rsidTr="00597DFB">
        <w:tc>
          <w:tcPr>
            <w:tcW w:w="404" w:type="pct"/>
            <w:tcBorders>
              <w:top w:val="single" w:sz="6" w:space="0" w:color="auto"/>
            </w:tcBorders>
          </w:tcPr>
          <w:p w14:paraId="642D9F86" w14:textId="77777777" w:rsidR="00597DFB" w:rsidRPr="00810A2E" w:rsidRDefault="00597DFB" w:rsidP="00DB6AB5">
            <w:pPr>
              <w:jc w:val="center"/>
              <w:rPr>
                <w:rFonts w:cs="Arial"/>
                <w:sz w:val="20"/>
              </w:rPr>
            </w:pPr>
            <w:r w:rsidRPr="00810A2E">
              <w:rPr>
                <w:rFonts w:cs="Arial"/>
                <w:sz w:val="20"/>
              </w:rPr>
              <w:t>2</w:t>
            </w:r>
          </w:p>
        </w:tc>
        <w:tc>
          <w:tcPr>
            <w:tcW w:w="459" w:type="pct"/>
            <w:tcBorders>
              <w:top w:val="single" w:sz="6" w:space="0" w:color="auto"/>
            </w:tcBorders>
          </w:tcPr>
          <w:p w14:paraId="454DB2CB" w14:textId="77777777" w:rsidR="00597DFB" w:rsidRPr="00810A2E" w:rsidRDefault="00597DFB" w:rsidP="00DB6AB5">
            <w:pPr>
              <w:rPr>
                <w:rFonts w:cs="Arial"/>
                <w:sz w:val="20"/>
              </w:rPr>
            </w:pPr>
          </w:p>
        </w:tc>
        <w:tc>
          <w:tcPr>
            <w:tcW w:w="434" w:type="pct"/>
            <w:tcBorders>
              <w:top w:val="single" w:sz="6" w:space="0" w:color="auto"/>
            </w:tcBorders>
          </w:tcPr>
          <w:p w14:paraId="0DEA1742" w14:textId="77777777" w:rsidR="00597DFB" w:rsidRPr="00810A2E" w:rsidRDefault="00597DFB" w:rsidP="00224BF9">
            <w:pPr>
              <w:rPr>
                <w:rFonts w:cs="Arial"/>
                <w:sz w:val="20"/>
              </w:rPr>
            </w:pPr>
          </w:p>
        </w:tc>
        <w:tc>
          <w:tcPr>
            <w:tcW w:w="3703" w:type="pct"/>
            <w:tcBorders>
              <w:top w:val="single" w:sz="6" w:space="0" w:color="auto"/>
            </w:tcBorders>
          </w:tcPr>
          <w:p w14:paraId="2811EEA6" w14:textId="08B4749B" w:rsidR="00597DFB" w:rsidRPr="00810A2E" w:rsidRDefault="00597DFB" w:rsidP="00224BF9">
            <w:pPr>
              <w:rPr>
                <w:rFonts w:cs="Arial"/>
                <w:sz w:val="20"/>
              </w:rPr>
            </w:pPr>
          </w:p>
        </w:tc>
      </w:tr>
      <w:tr w:rsidR="00597DFB" w:rsidRPr="00810A2E" w14:paraId="187802A6" w14:textId="77777777" w:rsidTr="00597DFB">
        <w:tc>
          <w:tcPr>
            <w:tcW w:w="404" w:type="pct"/>
          </w:tcPr>
          <w:p w14:paraId="50DA4A6A" w14:textId="77777777" w:rsidR="00597DFB" w:rsidRPr="00810A2E" w:rsidRDefault="00597DFB" w:rsidP="00DB6AB5">
            <w:pPr>
              <w:jc w:val="center"/>
              <w:rPr>
                <w:rFonts w:cs="Arial"/>
                <w:sz w:val="20"/>
              </w:rPr>
            </w:pPr>
            <w:r w:rsidRPr="00810A2E">
              <w:rPr>
                <w:rFonts w:cs="Arial"/>
                <w:sz w:val="20"/>
              </w:rPr>
              <w:t>3</w:t>
            </w:r>
          </w:p>
        </w:tc>
        <w:tc>
          <w:tcPr>
            <w:tcW w:w="459" w:type="pct"/>
          </w:tcPr>
          <w:p w14:paraId="61659AC0" w14:textId="77777777" w:rsidR="00597DFB" w:rsidRPr="00810A2E" w:rsidRDefault="00597DFB" w:rsidP="00BB6A20">
            <w:pPr>
              <w:rPr>
                <w:rFonts w:cs="Arial"/>
                <w:sz w:val="20"/>
              </w:rPr>
            </w:pPr>
          </w:p>
        </w:tc>
        <w:tc>
          <w:tcPr>
            <w:tcW w:w="434" w:type="pct"/>
          </w:tcPr>
          <w:p w14:paraId="69434288" w14:textId="77777777" w:rsidR="00597DFB" w:rsidRPr="00810A2E" w:rsidRDefault="00597DFB" w:rsidP="005A0634">
            <w:pPr>
              <w:rPr>
                <w:rFonts w:cs="Arial"/>
                <w:sz w:val="20"/>
              </w:rPr>
            </w:pPr>
          </w:p>
        </w:tc>
        <w:tc>
          <w:tcPr>
            <w:tcW w:w="3703" w:type="pct"/>
          </w:tcPr>
          <w:p w14:paraId="31EAD19B" w14:textId="53687452" w:rsidR="00597DFB" w:rsidRPr="00810A2E" w:rsidRDefault="00597DFB" w:rsidP="005A0634">
            <w:pPr>
              <w:rPr>
                <w:rFonts w:cs="Arial"/>
                <w:sz w:val="20"/>
              </w:rPr>
            </w:pPr>
          </w:p>
        </w:tc>
      </w:tr>
      <w:tr w:rsidR="00597DFB" w:rsidRPr="00810A2E" w14:paraId="0ED7080D" w14:textId="77777777" w:rsidTr="00597DFB">
        <w:tc>
          <w:tcPr>
            <w:tcW w:w="404" w:type="pct"/>
          </w:tcPr>
          <w:p w14:paraId="4F0A5DE4" w14:textId="77777777" w:rsidR="00597DFB" w:rsidRPr="00810A2E" w:rsidRDefault="00597DFB" w:rsidP="00DB6AB5">
            <w:pPr>
              <w:jc w:val="center"/>
              <w:rPr>
                <w:rFonts w:cs="Arial"/>
                <w:sz w:val="20"/>
              </w:rPr>
            </w:pPr>
            <w:r>
              <w:rPr>
                <w:rFonts w:cs="Arial"/>
                <w:sz w:val="20"/>
              </w:rPr>
              <w:t>4</w:t>
            </w:r>
          </w:p>
        </w:tc>
        <w:tc>
          <w:tcPr>
            <w:tcW w:w="459" w:type="pct"/>
          </w:tcPr>
          <w:p w14:paraId="5BC0C786" w14:textId="77777777" w:rsidR="00597DFB" w:rsidRPr="00810A2E" w:rsidRDefault="00597DFB" w:rsidP="00BB6A20">
            <w:pPr>
              <w:rPr>
                <w:rFonts w:cs="Arial"/>
                <w:sz w:val="20"/>
              </w:rPr>
            </w:pPr>
          </w:p>
        </w:tc>
        <w:tc>
          <w:tcPr>
            <w:tcW w:w="434" w:type="pct"/>
          </w:tcPr>
          <w:p w14:paraId="6EB9CC76" w14:textId="77777777" w:rsidR="00597DFB" w:rsidRPr="00810A2E" w:rsidRDefault="00597DFB" w:rsidP="00DB6AB5">
            <w:pPr>
              <w:rPr>
                <w:rFonts w:cs="Arial"/>
                <w:sz w:val="20"/>
              </w:rPr>
            </w:pPr>
          </w:p>
        </w:tc>
        <w:tc>
          <w:tcPr>
            <w:tcW w:w="3703" w:type="pct"/>
          </w:tcPr>
          <w:p w14:paraId="3B1E2750" w14:textId="0E83BB6C" w:rsidR="00597DFB" w:rsidRPr="00810A2E" w:rsidRDefault="00597DFB" w:rsidP="00DB6AB5">
            <w:pPr>
              <w:rPr>
                <w:rFonts w:cs="Arial"/>
                <w:sz w:val="20"/>
              </w:rPr>
            </w:pPr>
          </w:p>
        </w:tc>
      </w:tr>
      <w:tr w:rsidR="00597DFB" w:rsidRPr="00810A2E" w14:paraId="2A934841" w14:textId="77777777" w:rsidTr="00597DFB">
        <w:tc>
          <w:tcPr>
            <w:tcW w:w="404" w:type="pct"/>
          </w:tcPr>
          <w:p w14:paraId="6A5C81FC" w14:textId="77777777" w:rsidR="00597DFB" w:rsidRPr="00810A2E" w:rsidRDefault="00597DFB" w:rsidP="00DB6AB5">
            <w:pPr>
              <w:jc w:val="center"/>
              <w:rPr>
                <w:rFonts w:cs="Arial"/>
                <w:sz w:val="20"/>
              </w:rPr>
            </w:pPr>
            <w:r>
              <w:rPr>
                <w:rFonts w:cs="Arial"/>
                <w:sz w:val="20"/>
              </w:rPr>
              <w:t>5</w:t>
            </w:r>
          </w:p>
        </w:tc>
        <w:tc>
          <w:tcPr>
            <w:tcW w:w="459" w:type="pct"/>
          </w:tcPr>
          <w:p w14:paraId="79F38147" w14:textId="77777777" w:rsidR="00597DFB" w:rsidRPr="00810A2E" w:rsidRDefault="00597DFB" w:rsidP="00BB6A20">
            <w:pPr>
              <w:rPr>
                <w:rFonts w:cs="Arial"/>
                <w:sz w:val="20"/>
              </w:rPr>
            </w:pPr>
          </w:p>
        </w:tc>
        <w:tc>
          <w:tcPr>
            <w:tcW w:w="434" w:type="pct"/>
          </w:tcPr>
          <w:p w14:paraId="4A3DD835" w14:textId="77777777" w:rsidR="00597DFB" w:rsidRPr="00810A2E" w:rsidRDefault="00597DFB" w:rsidP="00DB6AB5">
            <w:pPr>
              <w:rPr>
                <w:rFonts w:cs="Arial"/>
                <w:sz w:val="20"/>
              </w:rPr>
            </w:pPr>
          </w:p>
        </w:tc>
        <w:tc>
          <w:tcPr>
            <w:tcW w:w="3703" w:type="pct"/>
          </w:tcPr>
          <w:p w14:paraId="229789EF" w14:textId="4922770C" w:rsidR="00597DFB" w:rsidRPr="00810A2E" w:rsidRDefault="00597DFB" w:rsidP="00DB6AB5">
            <w:pPr>
              <w:rPr>
                <w:rFonts w:cs="Arial"/>
                <w:sz w:val="20"/>
              </w:rPr>
            </w:pPr>
          </w:p>
        </w:tc>
      </w:tr>
      <w:tr w:rsidR="00597DFB" w:rsidRPr="00810A2E" w14:paraId="38EE8ECE" w14:textId="77777777" w:rsidTr="00597DFB">
        <w:tc>
          <w:tcPr>
            <w:tcW w:w="404" w:type="pct"/>
          </w:tcPr>
          <w:p w14:paraId="6F47A274" w14:textId="77777777" w:rsidR="00597DFB" w:rsidRPr="00810A2E" w:rsidRDefault="00597DFB" w:rsidP="00DB6AB5">
            <w:pPr>
              <w:jc w:val="center"/>
              <w:rPr>
                <w:rFonts w:cs="Arial"/>
                <w:sz w:val="20"/>
              </w:rPr>
            </w:pPr>
            <w:r>
              <w:rPr>
                <w:rFonts w:cs="Arial"/>
                <w:sz w:val="20"/>
              </w:rPr>
              <w:t>6</w:t>
            </w:r>
          </w:p>
        </w:tc>
        <w:tc>
          <w:tcPr>
            <w:tcW w:w="459" w:type="pct"/>
          </w:tcPr>
          <w:p w14:paraId="2A3028DD" w14:textId="77777777" w:rsidR="00597DFB" w:rsidRPr="00810A2E" w:rsidRDefault="00597DFB" w:rsidP="00DB6AB5">
            <w:pPr>
              <w:rPr>
                <w:rFonts w:cs="Arial"/>
                <w:sz w:val="20"/>
              </w:rPr>
            </w:pPr>
          </w:p>
        </w:tc>
        <w:tc>
          <w:tcPr>
            <w:tcW w:w="434" w:type="pct"/>
          </w:tcPr>
          <w:p w14:paraId="249C63B1" w14:textId="77777777" w:rsidR="00597DFB" w:rsidRPr="00810A2E" w:rsidRDefault="00597DFB" w:rsidP="00DB6AB5">
            <w:pPr>
              <w:rPr>
                <w:rFonts w:cs="Arial"/>
                <w:sz w:val="20"/>
              </w:rPr>
            </w:pPr>
          </w:p>
        </w:tc>
        <w:tc>
          <w:tcPr>
            <w:tcW w:w="3703" w:type="pct"/>
          </w:tcPr>
          <w:p w14:paraId="49901E7D" w14:textId="1DC18873" w:rsidR="00597DFB" w:rsidRPr="00810A2E" w:rsidRDefault="00597DFB" w:rsidP="00DB6AB5">
            <w:pPr>
              <w:rPr>
                <w:rFonts w:cs="Arial"/>
                <w:sz w:val="20"/>
              </w:rPr>
            </w:pPr>
          </w:p>
        </w:tc>
      </w:tr>
    </w:tbl>
    <w:p w14:paraId="32E9562B" w14:textId="5734F730" w:rsidR="00A75B8B" w:rsidRDefault="00344D98" w:rsidP="00FC2698">
      <w:pPr>
        <w:rPr>
          <w:sz w:val="16"/>
          <w:szCs w:val="16"/>
        </w:rPr>
      </w:pPr>
      <w:r>
        <w:rPr>
          <w:sz w:val="16"/>
          <w:szCs w:val="16"/>
        </w:rPr>
        <w:t>Insert extra rows as needed</w:t>
      </w:r>
    </w:p>
    <w:p w14:paraId="25FBC322" w14:textId="77777777" w:rsidR="00A45DE3" w:rsidRDefault="00A45DE3" w:rsidP="00FC2698">
      <w:pPr>
        <w:rPr>
          <w:sz w:val="16"/>
          <w:szCs w:val="16"/>
        </w:rPr>
      </w:pPr>
    </w:p>
    <w:p w14:paraId="3C9B8796"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6F0D23BC" w14:textId="77777777" w:rsidTr="009071D4">
        <w:tc>
          <w:tcPr>
            <w:tcW w:w="15352" w:type="dxa"/>
            <w:shd w:val="clear" w:color="auto" w:fill="auto"/>
          </w:tcPr>
          <w:p w14:paraId="35AD68C6"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58994141"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0A6945D7"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03A8F9D0" w14:textId="5F4AF47D"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 xml:space="preserve">page and </w:t>
            </w:r>
            <w:r w:rsidR="003760BA">
              <w:rPr>
                <w:b/>
                <w:sz w:val="24"/>
                <w:szCs w:val="24"/>
              </w:rPr>
              <w:t>section/subsection number</w:t>
            </w:r>
            <w:r>
              <w:rPr>
                <w:sz w:val="24"/>
                <w:szCs w:val="24"/>
              </w:rPr>
              <w:t xml:space="preserve"> of the text each comment is about.</w:t>
            </w:r>
          </w:p>
          <w:p w14:paraId="04845697"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3FA90E8"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1E95FB03"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7ACB56B0"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65C98B68"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7FF5FD27"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14158981" w14:textId="599258DE" w:rsidR="009244E9"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1CA85D6A" w14:textId="77777777" w:rsidR="003760BA" w:rsidRDefault="003760BA" w:rsidP="000C30A4">
            <w:pPr>
              <w:pStyle w:val="NICEnormal"/>
              <w:spacing w:after="120" w:line="240" w:lineRule="auto"/>
              <w:rPr>
                <w:rFonts w:cs="Arial"/>
                <w:b/>
                <w:lang w:val="en-GB"/>
              </w:rPr>
            </w:pPr>
          </w:p>
          <w:p w14:paraId="1C614D18" w14:textId="71BDE288" w:rsidR="000C30A4" w:rsidRPr="0075128C" w:rsidRDefault="000C30A4" w:rsidP="000C30A4">
            <w:pPr>
              <w:pStyle w:val="NICEnormal"/>
              <w:spacing w:after="120" w:line="240" w:lineRule="auto"/>
              <w:rPr>
                <w:rFonts w:cs="Arial"/>
                <w:lang w:val="en-GB"/>
              </w:rPr>
            </w:pPr>
            <w:r w:rsidRPr="00480E65">
              <w:rPr>
                <w:rFonts w:cs="Arial"/>
                <w:b/>
                <w:lang w:val="en-GB"/>
              </w:rPr>
              <w:t>Note:</w:t>
            </w:r>
            <w:r w:rsidRPr="00480E6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5BD7560D" w14:textId="77777777" w:rsidR="000C30A4" w:rsidRPr="009071D4" w:rsidRDefault="000C30A4" w:rsidP="00C05BCC">
            <w:pPr>
              <w:pStyle w:val="Paragraphnonumbers"/>
              <w:spacing w:after="120" w:line="240" w:lineRule="auto"/>
              <w:rPr>
                <w:rFonts w:cs="Arial"/>
                <w:sz w:val="20"/>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9" w:history="1">
              <w:r w:rsidR="00C05BCC" w:rsidRPr="00C05BCC">
                <w:rPr>
                  <w:rStyle w:val="Hyperlink"/>
                  <w:rFonts w:cs="Arial"/>
                  <w:bCs/>
                </w:rPr>
                <w:t>privacy notice</w:t>
              </w:r>
            </w:hyperlink>
            <w:r w:rsidR="00C05BCC">
              <w:rPr>
                <w:rFonts w:cs="Arial"/>
                <w:bCs/>
              </w:rPr>
              <w:t xml:space="preserve"> on our website.</w:t>
            </w:r>
          </w:p>
        </w:tc>
      </w:tr>
    </w:tbl>
    <w:p w14:paraId="32E15E06" w14:textId="77777777" w:rsidR="003F6C97" w:rsidRPr="00B81DC8" w:rsidRDefault="003F6C97" w:rsidP="00FC2698">
      <w:pPr>
        <w:rPr>
          <w:rFonts w:cs="Arial"/>
          <w:sz w:val="20"/>
        </w:rPr>
      </w:pPr>
    </w:p>
    <w:sectPr w:rsidR="003F6C97" w:rsidRPr="00B81DC8" w:rsidSect="006426EF">
      <w:headerReference w:type="default" r:id="rId10"/>
      <w:footerReference w:type="default" r:id="rId11"/>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2E0AA" w14:textId="77777777" w:rsidR="00A16791" w:rsidRDefault="00A16791">
      <w:r>
        <w:separator/>
      </w:r>
    </w:p>
  </w:endnote>
  <w:endnote w:type="continuationSeparator" w:id="0">
    <w:p w14:paraId="3FE8216A" w14:textId="77777777" w:rsidR="00A16791" w:rsidRDefault="00A16791">
      <w:r>
        <w:continuationSeparator/>
      </w:r>
    </w:p>
  </w:endnote>
  <w:endnote w:type="continuationNotice" w:id="1">
    <w:p w14:paraId="62767B01" w14:textId="77777777" w:rsidR="00A16791" w:rsidRDefault="00A16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E666" w14:textId="77777777" w:rsidR="00EE6C88" w:rsidRDefault="00EE6C88" w:rsidP="00EE6C88">
    <w:pPr>
      <w:tabs>
        <w:tab w:val="left" w:pos="5565"/>
      </w:tabs>
      <w:rPr>
        <w:sz w:val="18"/>
      </w:rPr>
    </w:pPr>
    <w:r>
      <w:rPr>
        <w:sz w:val="18"/>
      </w:rPr>
      <w:tab/>
    </w:r>
  </w:p>
  <w:p w14:paraId="56D28669" w14:textId="0DECF9B9" w:rsidR="00EE6C88" w:rsidRDefault="00EE6C88" w:rsidP="00EE6C88">
    <w:pPr>
      <w:rPr>
        <w:b/>
      </w:rPr>
    </w:pPr>
    <w:r>
      <w:rPr>
        <w:szCs w:val="22"/>
      </w:rPr>
      <w:t>Please return to:</w:t>
    </w:r>
    <w:r>
      <w:t xml:space="preserve"> </w:t>
    </w:r>
    <w:hyperlink r:id="rId1" w:history="1">
      <w:r w:rsidR="00A45DE3" w:rsidRPr="00DB6E41">
        <w:rPr>
          <w:rStyle w:val="Hyperlink"/>
        </w:rPr>
        <w:t>indicators</w:t>
      </w:r>
    </w:hyperlink>
    <w:r w:rsidR="00A45DE3">
      <w:rPr>
        <w:rStyle w:val="Hyperlink"/>
      </w:rPr>
      <w:t>@nice.org.uk</w:t>
    </w:r>
    <w:r w:rsidR="00B83AF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A6115" w14:textId="77777777" w:rsidR="00A16791" w:rsidRDefault="00A16791">
      <w:r>
        <w:separator/>
      </w:r>
    </w:p>
  </w:footnote>
  <w:footnote w:type="continuationSeparator" w:id="0">
    <w:p w14:paraId="43316DD0" w14:textId="77777777" w:rsidR="00A16791" w:rsidRDefault="00A16791">
      <w:r>
        <w:continuationSeparator/>
      </w:r>
    </w:p>
  </w:footnote>
  <w:footnote w:type="continuationNotice" w:id="1">
    <w:p w14:paraId="14846E14" w14:textId="77777777" w:rsidR="00A16791" w:rsidRDefault="00A16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B34B" w14:textId="1215F325" w:rsidR="007968D4" w:rsidRPr="008039AA" w:rsidRDefault="00344D61" w:rsidP="00344D61">
    <w:pPr>
      <w:pStyle w:val="Heading3"/>
      <w:jc w:val="left"/>
      <w:rPr>
        <w:bCs w:val="0"/>
        <w:sz w:val="28"/>
        <w:szCs w:val="28"/>
      </w:rPr>
    </w:pPr>
    <w:r w:rsidRPr="00E53E36">
      <w:rPr>
        <w:noProof/>
        <w:lang w:eastAsia="en-GB"/>
      </w:rPr>
      <w:drawing>
        <wp:inline distT="0" distB="0" distL="0" distR="0" wp14:anchorId="6F1D7F05" wp14:editId="1C925AF3">
          <wp:extent cx="2961893" cy="352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7621" cy="353107"/>
                  </a:xfrm>
                  <a:prstGeom prst="rect">
                    <a:avLst/>
                  </a:prstGeom>
                  <a:noFill/>
                  <a:ln>
                    <a:noFill/>
                  </a:ln>
                </pic:spPr>
              </pic:pic>
            </a:graphicData>
          </a:graphic>
        </wp:inline>
      </w:drawing>
    </w:r>
    <w:r w:rsidR="00895A38">
      <w:rPr>
        <w:bCs w:val="0"/>
      </w:rPr>
      <w:tab/>
      <w:t xml:space="preserve">   </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709141C0" w14:textId="77777777" w:rsidR="007968D4" w:rsidRPr="00937F34" w:rsidRDefault="007968D4" w:rsidP="007968D4">
    <w:pPr>
      <w:pStyle w:val="Header"/>
      <w:jc w:val="center"/>
      <w:rPr>
        <w:b/>
        <w:bCs/>
      </w:rPr>
    </w:pPr>
  </w:p>
  <w:p w14:paraId="07A3D550" w14:textId="77777777" w:rsidR="00344D61" w:rsidRDefault="00344D61" w:rsidP="00895A38">
    <w:pPr>
      <w:pStyle w:val="Heading3"/>
      <w:jc w:val="left"/>
      <w:rPr>
        <w:bCs w:val="0"/>
      </w:rPr>
    </w:pPr>
  </w:p>
  <w:p w14:paraId="25D7C028" w14:textId="1DE224A0" w:rsidR="00344D61" w:rsidRDefault="00344D61" w:rsidP="00895A38">
    <w:pPr>
      <w:pStyle w:val="Heading3"/>
      <w:jc w:val="left"/>
      <w:rPr>
        <w:rFonts w:cs="Arial"/>
        <w:b w:val="0"/>
        <w:bCs w:val="0"/>
        <w:sz w:val="22"/>
      </w:rPr>
    </w:pPr>
    <w:r>
      <w:rPr>
        <w:bCs w:val="0"/>
      </w:rPr>
      <w:t xml:space="preserve">NICE Indicator Process Guide April 2019      </w:t>
    </w:r>
  </w:p>
  <w:p w14:paraId="54CF8C92" w14:textId="75D3EF2F" w:rsidR="00895A38" w:rsidRPr="00F34C4E" w:rsidRDefault="00895A38" w:rsidP="00895A38">
    <w:pPr>
      <w:pStyle w:val="Heading3"/>
      <w:jc w:val="left"/>
      <w:rPr>
        <w:b w:val="0"/>
        <w:sz w:val="22"/>
      </w:rPr>
    </w:pPr>
    <w:r w:rsidRPr="00F34C4E">
      <w:rPr>
        <w:rFonts w:cs="Arial"/>
        <w:b w:val="0"/>
        <w:bCs w:val="0"/>
        <w:sz w:val="22"/>
      </w:rPr>
      <w:t>Consultation on NICE indicator</w:t>
    </w:r>
    <w:r w:rsidR="00761463">
      <w:rPr>
        <w:rFonts w:cs="Arial"/>
        <w:b w:val="0"/>
        <w:bCs w:val="0"/>
        <w:sz w:val="22"/>
      </w:rPr>
      <w:t xml:space="preserve"> process guide</w:t>
    </w:r>
    <w:r w:rsidRPr="00F34C4E">
      <w:rPr>
        <w:rFonts w:cs="Arial"/>
        <w:b w:val="0"/>
        <w:bCs w:val="0"/>
        <w:sz w:val="22"/>
      </w:rPr>
      <w:t xml:space="preserve"> – </w:t>
    </w:r>
    <w:r w:rsidRPr="00F34C4E">
      <w:rPr>
        <w:b w:val="0"/>
        <w:sz w:val="22"/>
      </w:rPr>
      <w:t>deadline for comments</w:t>
    </w:r>
    <w:r w:rsidR="002E6EA4">
      <w:rPr>
        <w:b w:val="0"/>
        <w:sz w:val="22"/>
      </w:rPr>
      <w:t xml:space="preserve"> is</w:t>
    </w:r>
    <w:r w:rsidRPr="00F34C4E">
      <w:rPr>
        <w:rFonts w:cs="Arial"/>
        <w:b w:val="0"/>
        <w:bCs w:val="0"/>
        <w:sz w:val="22"/>
      </w:rPr>
      <w:t xml:space="preserve"> </w:t>
    </w:r>
    <w:r w:rsidRPr="00F34C4E">
      <w:rPr>
        <w:b w:val="0"/>
        <w:bCs w:val="0"/>
        <w:sz w:val="22"/>
        <w:u w:val="single"/>
      </w:rPr>
      <w:t>5pm</w:t>
    </w:r>
    <w:r w:rsidR="00761463">
      <w:rPr>
        <w:b w:val="0"/>
        <w:bCs w:val="0"/>
        <w:sz w:val="22"/>
        <w:u w:val="single"/>
      </w:rPr>
      <w:t xml:space="preserve"> </w:t>
    </w:r>
    <w:r w:rsidR="002E6EA4">
      <w:rPr>
        <w:b w:val="0"/>
        <w:bCs w:val="0"/>
        <w:sz w:val="22"/>
        <w:u w:val="single"/>
      </w:rPr>
      <w:t xml:space="preserve">on </w:t>
    </w:r>
    <w:r w:rsidR="00761463">
      <w:rPr>
        <w:b w:val="0"/>
        <w:bCs w:val="0"/>
        <w:sz w:val="22"/>
        <w:u w:val="single"/>
      </w:rPr>
      <w:t>15</w:t>
    </w:r>
    <w:r w:rsidR="00761463" w:rsidRPr="00344D61">
      <w:rPr>
        <w:b w:val="0"/>
        <w:bCs w:val="0"/>
        <w:sz w:val="22"/>
        <w:u w:val="single"/>
        <w:vertAlign w:val="superscript"/>
      </w:rPr>
      <w:t>th</w:t>
    </w:r>
    <w:r w:rsidR="00761463">
      <w:rPr>
        <w:b w:val="0"/>
        <w:bCs w:val="0"/>
        <w:sz w:val="22"/>
        <w:u w:val="single"/>
      </w:rPr>
      <w:t xml:space="preserve"> July 2019</w:t>
    </w:r>
    <w:r w:rsidR="00344D61">
      <w:rPr>
        <w:b w:val="0"/>
        <w:bCs w:val="0"/>
        <w:sz w:val="22"/>
        <w:u w:val="single"/>
      </w:rPr>
      <w:t xml:space="preserve"> </w:t>
    </w:r>
    <w:r w:rsidRPr="00F34C4E">
      <w:rPr>
        <w:b w:val="0"/>
        <w:bCs w:val="0"/>
        <w:sz w:val="22"/>
        <w:u w:val="single"/>
      </w:rPr>
      <w:t>email: indicators@nice.org.uk</w:t>
    </w:r>
  </w:p>
  <w:p w14:paraId="0F94462F" w14:textId="729EE54C" w:rsidR="007968D4" w:rsidRPr="008039AA" w:rsidRDefault="00B83AF0" w:rsidP="003F6C97">
    <w:pPr>
      <w:pStyle w:val="Heading3"/>
      <w:jc w:val="left"/>
    </w:pPr>
    <w:r>
      <w:rPr>
        <w:b w:val="0"/>
        <w:bCs w:val="0"/>
      </w:rPr>
      <w:t xml:space="preserve"> </w:t>
    </w:r>
  </w:p>
  <w:p w14:paraId="46552E0C"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48EB"/>
    <w:multiLevelType w:val="hybridMultilevel"/>
    <w:tmpl w:val="5E8803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F38A3"/>
    <w:multiLevelType w:val="hybridMultilevel"/>
    <w:tmpl w:val="06146B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837B9D"/>
    <w:multiLevelType w:val="hybridMultilevel"/>
    <w:tmpl w:val="1E7E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11"/>
    <w:lvlOverride w:ilvl="0">
      <w:startOverride w:val="1"/>
    </w:lvlOverride>
  </w:num>
  <w:num w:numId="6">
    <w:abstractNumId w:val="6"/>
  </w:num>
  <w:num w:numId="7">
    <w:abstractNumId w:val="7"/>
  </w:num>
  <w:num w:numId="8">
    <w:abstractNumId w:val="8"/>
  </w:num>
  <w:num w:numId="9">
    <w:abstractNumId w:val="0"/>
  </w:num>
  <w:num w:numId="10">
    <w:abstractNumId w:val="3"/>
  </w:num>
  <w:num w:numId="11">
    <w:abstractNumId w:val="1"/>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91"/>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D15"/>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6EA4"/>
    <w:rsid w:val="002E7FE1"/>
    <w:rsid w:val="002F342B"/>
    <w:rsid w:val="00300024"/>
    <w:rsid w:val="00310C57"/>
    <w:rsid w:val="003174B2"/>
    <w:rsid w:val="0032029A"/>
    <w:rsid w:val="00321DA6"/>
    <w:rsid w:val="00321FBA"/>
    <w:rsid w:val="00325106"/>
    <w:rsid w:val="0034087C"/>
    <w:rsid w:val="00341C5B"/>
    <w:rsid w:val="00341C5F"/>
    <w:rsid w:val="00342A8C"/>
    <w:rsid w:val="00344D61"/>
    <w:rsid w:val="00344D98"/>
    <w:rsid w:val="003531CF"/>
    <w:rsid w:val="00361105"/>
    <w:rsid w:val="00373C43"/>
    <w:rsid w:val="003760BA"/>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0E65"/>
    <w:rsid w:val="004826B5"/>
    <w:rsid w:val="00487456"/>
    <w:rsid w:val="004959D4"/>
    <w:rsid w:val="004A0099"/>
    <w:rsid w:val="004A1670"/>
    <w:rsid w:val="004A1C8F"/>
    <w:rsid w:val="004A465D"/>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97DFB"/>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57A"/>
    <w:rsid w:val="006B6ADD"/>
    <w:rsid w:val="006E0EED"/>
    <w:rsid w:val="006F2675"/>
    <w:rsid w:val="006F679F"/>
    <w:rsid w:val="0070312D"/>
    <w:rsid w:val="007061C2"/>
    <w:rsid w:val="00717E28"/>
    <w:rsid w:val="00733036"/>
    <w:rsid w:val="007334BB"/>
    <w:rsid w:val="007372A4"/>
    <w:rsid w:val="00751401"/>
    <w:rsid w:val="00751457"/>
    <w:rsid w:val="00761463"/>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179A"/>
    <w:rsid w:val="0087731C"/>
    <w:rsid w:val="0088516E"/>
    <w:rsid w:val="00895A38"/>
    <w:rsid w:val="008A2552"/>
    <w:rsid w:val="008A4C19"/>
    <w:rsid w:val="008C584A"/>
    <w:rsid w:val="008D749A"/>
    <w:rsid w:val="008F724D"/>
    <w:rsid w:val="00900B13"/>
    <w:rsid w:val="00905FA6"/>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6187"/>
    <w:rsid w:val="009B7261"/>
    <w:rsid w:val="009D0DDF"/>
    <w:rsid w:val="009D7079"/>
    <w:rsid w:val="009E26F6"/>
    <w:rsid w:val="009E7AF2"/>
    <w:rsid w:val="009F409D"/>
    <w:rsid w:val="00A16791"/>
    <w:rsid w:val="00A201B2"/>
    <w:rsid w:val="00A23948"/>
    <w:rsid w:val="00A45DE3"/>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83AF0"/>
    <w:rsid w:val="00B9334D"/>
    <w:rsid w:val="00BA1971"/>
    <w:rsid w:val="00BA208C"/>
    <w:rsid w:val="00BA3872"/>
    <w:rsid w:val="00BB513C"/>
    <w:rsid w:val="00BB593E"/>
    <w:rsid w:val="00BB6A20"/>
    <w:rsid w:val="00BE015F"/>
    <w:rsid w:val="00BE18A8"/>
    <w:rsid w:val="00BF04F2"/>
    <w:rsid w:val="00C007CF"/>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E38AA"/>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046D"/>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23C709"/>
  <w15:chartTrackingRefBased/>
  <w15:docId w15:val="{919382B7-46CF-42B4-B0B6-9FC64A4F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B83AF0"/>
    <w:rPr>
      <w:color w:val="605E5C"/>
      <w:shd w:val="clear" w:color="auto" w:fill="E1DFDD"/>
    </w:rPr>
  </w:style>
  <w:style w:type="paragraph" w:styleId="ListParagraph">
    <w:name w:val="List Paragraph"/>
    <w:basedOn w:val="Normal"/>
    <w:uiPriority w:val="34"/>
    <w:qFormat/>
    <w:rsid w:val="00905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Standards-and-indicators/draft-indicator-process-guide-201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dica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82805-52C7-4B50-8B01-9D5B717D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1</TotalTime>
  <Pages>4</Pages>
  <Words>576</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3954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Carl Jackson</dc:creator>
  <cp:keywords/>
  <cp:lastModifiedBy>Caroline Vickers</cp:lastModifiedBy>
  <cp:revision>2</cp:revision>
  <cp:lastPrinted>2005-11-01T09:30:00Z</cp:lastPrinted>
  <dcterms:created xsi:type="dcterms:W3CDTF">2019-04-15T13:49:00Z</dcterms:created>
  <dcterms:modified xsi:type="dcterms:W3CDTF">2019-04-15T13:49:00Z</dcterms:modified>
</cp:coreProperties>
</file>