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2211" w14:textId="77777777" w:rsidR="002813C4" w:rsidRDefault="002813C4" w:rsidP="00895E26">
      <w:pPr>
        <w:pStyle w:val="Heading3"/>
      </w:pPr>
    </w:p>
    <w:p w14:paraId="4CB73C14" w14:textId="77777777" w:rsidR="00482C6B" w:rsidRDefault="00482C6B" w:rsidP="00482C6B">
      <w:pPr>
        <w:pStyle w:val="Paragraphnonumbers"/>
        <w:jc w:val="center"/>
        <w:rPr>
          <w:rFonts w:cs="Arial"/>
          <w:b/>
          <w:sz w:val="40"/>
          <w:szCs w:val="40"/>
        </w:rPr>
      </w:pPr>
      <w:r>
        <w:rPr>
          <w:rFonts w:cs="Arial"/>
          <w:b/>
          <w:sz w:val="40"/>
          <w:szCs w:val="40"/>
        </w:rPr>
        <w:t>National Institute for Health and Care Excellence</w:t>
      </w:r>
    </w:p>
    <w:p w14:paraId="2C88A8DA" w14:textId="77777777" w:rsidR="00482C6B" w:rsidRDefault="00482C6B" w:rsidP="00482C6B">
      <w:pPr>
        <w:pStyle w:val="Paragraphnonumbers"/>
        <w:jc w:val="center"/>
        <w:rPr>
          <w:rFonts w:cs="Arial"/>
          <w:b/>
          <w:sz w:val="40"/>
          <w:szCs w:val="40"/>
        </w:rPr>
      </w:pPr>
    </w:p>
    <w:p w14:paraId="11C28804" w14:textId="77777777" w:rsidR="00482C6B" w:rsidRDefault="00482C6B" w:rsidP="00482C6B">
      <w:pPr>
        <w:pStyle w:val="Paragraphnonumbers"/>
        <w:jc w:val="center"/>
        <w:rPr>
          <w:rFonts w:cs="Arial"/>
          <w:b/>
          <w:sz w:val="40"/>
          <w:szCs w:val="40"/>
        </w:rPr>
      </w:pPr>
    </w:p>
    <w:p w14:paraId="6EE8CC9B" w14:textId="688C14BF" w:rsidR="00482C6B" w:rsidRDefault="00482C6B" w:rsidP="00482C6B">
      <w:pPr>
        <w:pStyle w:val="Paragraphnonumbers"/>
        <w:jc w:val="center"/>
        <w:rPr>
          <w:rFonts w:cs="Arial"/>
          <w:b/>
          <w:sz w:val="40"/>
          <w:szCs w:val="40"/>
        </w:rPr>
      </w:pPr>
      <w:r>
        <w:rPr>
          <w:rFonts w:cs="Arial"/>
          <w:b/>
          <w:sz w:val="40"/>
          <w:szCs w:val="40"/>
        </w:rPr>
        <w:t>NICE indicator menu: new</w:t>
      </w:r>
      <w:r w:rsidR="003E63BE">
        <w:rPr>
          <w:rFonts w:cs="Arial"/>
          <w:b/>
          <w:sz w:val="40"/>
          <w:szCs w:val="40"/>
        </w:rPr>
        <w:t xml:space="preserve"> </w:t>
      </w:r>
      <w:r>
        <w:rPr>
          <w:rFonts w:cs="Arial"/>
          <w:b/>
          <w:sz w:val="40"/>
          <w:szCs w:val="40"/>
        </w:rPr>
        <w:t>and retired indicators</w:t>
      </w:r>
    </w:p>
    <w:p w14:paraId="73FE3743" w14:textId="77777777" w:rsidR="00482C6B" w:rsidRDefault="00482C6B" w:rsidP="00482C6B">
      <w:pPr>
        <w:pStyle w:val="Heading1"/>
        <w:rPr>
          <w:rFonts w:cs="Arial"/>
        </w:rPr>
      </w:pPr>
    </w:p>
    <w:p w14:paraId="7A9B0756" w14:textId="77777777" w:rsidR="00482C6B" w:rsidRDefault="00482C6B" w:rsidP="00482C6B">
      <w:pPr>
        <w:pStyle w:val="Heading3"/>
        <w:jc w:val="center"/>
        <w:rPr>
          <w:rFonts w:cs="Arial"/>
        </w:rPr>
      </w:pPr>
    </w:p>
    <w:p w14:paraId="28757424" w14:textId="6B416E24" w:rsidR="00482C6B" w:rsidRDefault="00C627C5" w:rsidP="00482C6B">
      <w:pPr>
        <w:jc w:val="center"/>
        <w:rPr>
          <w:rFonts w:cs="Arial"/>
          <w:bCs/>
          <w:sz w:val="32"/>
          <w:szCs w:val="32"/>
          <w:lang w:eastAsia="en-US"/>
        </w:rPr>
      </w:pPr>
      <w:r>
        <w:rPr>
          <w:rFonts w:ascii="Arial" w:hAnsi="Arial" w:cs="Arial"/>
          <w:b/>
          <w:sz w:val="32"/>
          <w:szCs w:val="32"/>
          <w:lang w:eastAsia="en-US"/>
        </w:rPr>
        <w:t>September</w:t>
      </w:r>
      <w:r w:rsidR="00482C6B">
        <w:rPr>
          <w:rFonts w:ascii="Arial" w:hAnsi="Arial" w:cs="Arial"/>
          <w:b/>
          <w:sz w:val="32"/>
          <w:szCs w:val="32"/>
          <w:lang w:eastAsia="en-US"/>
        </w:rPr>
        <w:t xml:space="preserve"> 2020</w:t>
      </w:r>
    </w:p>
    <w:p w14:paraId="0FE84A58" w14:textId="22975B31" w:rsidR="00144F41" w:rsidRDefault="002813C4" w:rsidP="00144F41">
      <w:pPr>
        <w:rPr>
          <w:rFonts w:cs="Arial"/>
        </w:rPr>
      </w:pPr>
      <w:r>
        <w:br w:type="page"/>
      </w:r>
      <w:bookmarkStart w:id="0" w:name="_Toc487111316"/>
      <w:bookmarkStart w:id="1" w:name="_Toc486925623"/>
      <w:bookmarkStart w:id="2" w:name="_Toc299628999"/>
      <w:r w:rsidR="00144F41">
        <w:rPr>
          <w:rFonts w:ascii="Arial" w:hAnsi="Arial" w:cs="Arial"/>
          <w:b/>
          <w:sz w:val="32"/>
          <w:szCs w:val="32"/>
        </w:rPr>
        <w:lastRenderedPageBreak/>
        <w:t xml:space="preserve">New </w:t>
      </w:r>
      <w:r w:rsidR="00E8462B">
        <w:rPr>
          <w:rFonts w:ascii="Arial" w:hAnsi="Arial" w:cs="Arial"/>
          <w:b/>
          <w:sz w:val="32"/>
          <w:szCs w:val="32"/>
        </w:rPr>
        <w:t xml:space="preserve">and retired </w:t>
      </w:r>
      <w:r w:rsidR="00144F41">
        <w:rPr>
          <w:rFonts w:ascii="Arial" w:hAnsi="Arial" w:cs="Arial"/>
          <w:b/>
          <w:sz w:val="32"/>
          <w:szCs w:val="32"/>
        </w:rPr>
        <w:t>indicators for the NICE menu</w:t>
      </w:r>
      <w:bookmarkEnd w:id="0"/>
      <w:bookmarkEnd w:id="1"/>
      <w:bookmarkEnd w:id="2"/>
    </w:p>
    <w:p w14:paraId="5D78CD16" w14:textId="58C0FC53" w:rsidR="00144F41" w:rsidRDefault="00144F41" w:rsidP="00144F41">
      <w:pPr>
        <w:pStyle w:val="Paragraphnonumbers"/>
        <w:spacing w:line="360" w:lineRule="auto"/>
        <w:rPr>
          <w:rFonts w:cs="Arial"/>
        </w:rPr>
      </w:pPr>
      <w:r>
        <w:rPr>
          <w:rFonts w:cs="Arial"/>
        </w:rPr>
        <w:t xml:space="preserve">This paper provides the latest set of </w:t>
      </w:r>
      <w:r w:rsidR="00C368E7">
        <w:rPr>
          <w:rFonts w:cs="Arial"/>
        </w:rPr>
        <w:t xml:space="preserve">new </w:t>
      </w:r>
      <w:r>
        <w:rPr>
          <w:rFonts w:cs="Arial"/>
        </w:rPr>
        <w:t>indicators NICE has published on the NICE indicator menu</w:t>
      </w:r>
      <w:r w:rsidR="00C368E7">
        <w:rPr>
          <w:rFonts w:cs="Arial"/>
        </w:rPr>
        <w:t xml:space="preserve"> (</w:t>
      </w:r>
      <w:r w:rsidR="00C368E7" w:rsidRPr="008D156A">
        <w:rPr>
          <w:rFonts w:cs="Arial"/>
        </w:rPr>
        <w:t>table 1</w:t>
      </w:r>
      <w:r w:rsidR="00C368E7">
        <w:rPr>
          <w:rFonts w:cs="Arial"/>
        </w:rPr>
        <w:t>) and indicators that NICE has retired from the indicator menu (</w:t>
      </w:r>
      <w:r w:rsidR="00C368E7" w:rsidRPr="008D156A">
        <w:rPr>
          <w:rFonts w:cs="Arial"/>
        </w:rPr>
        <w:t>table 2</w:t>
      </w:r>
      <w:r w:rsidR="00C368E7">
        <w:rPr>
          <w:rFonts w:cs="Arial"/>
        </w:rPr>
        <w:t>)</w:t>
      </w:r>
      <w:r>
        <w:rPr>
          <w:rFonts w:cs="Arial"/>
        </w:rPr>
        <w:t xml:space="preserve">. </w:t>
      </w:r>
    </w:p>
    <w:p w14:paraId="6087D423" w14:textId="5E3C0198" w:rsidR="00C368E7" w:rsidRDefault="00C368E7" w:rsidP="00144F41">
      <w:pPr>
        <w:pStyle w:val="Paragraphnonumbers"/>
        <w:spacing w:line="360" w:lineRule="auto"/>
        <w:rPr>
          <w:rFonts w:cs="Arial"/>
          <w:sz w:val="12"/>
          <w:szCs w:val="12"/>
        </w:rPr>
      </w:pPr>
      <w:r>
        <w:t>NICE general practice i</w:t>
      </w:r>
      <w:r w:rsidRPr="00DC0346">
        <w:t xml:space="preserve">ndicators may be assessed as suitable for inclusion in the Quality and Outcomes Framework (QOF). </w:t>
      </w:r>
      <w:r w:rsidR="002736E2">
        <w:t>I</w:t>
      </w:r>
      <w:r>
        <w:t>n England</w:t>
      </w:r>
      <w:r w:rsidR="00E8462B">
        <w:t>,</w:t>
      </w:r>
      <w:r>
        <w:t xml:space="preserve"> </w:t>
      </w:r>
      <w:r w:rsidRPr="00DC0346">
        <w:t>the content of QOF is determined by negotiations between NHS England and the BMA’s General Practitioners Committee.</w:t>
      </w:r>
      <w:r>
        <w:t xml:space="preserve"> NICE </w:t>
      </w:r>
      <w:r w:rsidR="002736E2">
        <w:t xml:space="preserve">and the NICE advisory committee </w:t>
      </w:r>
      <w:r>
        <w:t>have no role in these negotiations.</w:t>
      </w:r>
    </w:p>
    <w:p w14:paraId="5D88EE3A" w14:textId="56644AFB" w:rsidR="00144F41" w:rsidRDefault="00144F41" w:rsidP="00144F41">
      <w:pPr>
        <w:pStyle w:val="Paragraphnonumbers"/>
        <w:spacing w:line="360" w:lineRule="auto"/>
        <w:rPr>
          <w:rFonts w:cs="Arial"/>
        </w:rPr>
      </w:pPr>
      <w:r>
        <w:rPr>
          <w:rFonts w:cs="Arial"/>
        </w:rPr>
        <w:t xml:space="preserve">The full NICE indicator menu and the associated supporting documentation are available via the </w:t>
      </w:r>
      <w:hyperlink r:id="rId8" w:history="1">
        <w:r>
          <w:rPr>
            <w:rStyle w:val="Hyperlink"/>
            <w:rFonts w:cs="Arial"/>
          </w:rPr>
          <w:t>NICE website</w:t>
        </w:r>
      </w:hyperlink>
      <w:r>
        <w:rPr>
          <w:rFonts w:cs="Arial"/>
        </w:rPr>
        <w:t>.</w:t>
      </w:r>
    </w:p>
    <w:p w14:paraId="31F5EFEF" w14:textId="77777777" w:rsidR="00482C6B" w:rsidRDefault="00482C6B">
      <w:pPr>
        <w:sectPr w:rsidR="00482C6B" w:rsidSect="00B33BE6">
          <w:footerReference w:type="default" r:id="rId9"/>
          <w:footerReference w:type="first" r:id="rId10"/>
          <w:pgSz w:w="11906" w:h="16838"/>
          <w:pgMar w:top="1440" w:right="1440" w:bottom="1440" w:left="1440" w:header="709" w:footer="709" w:gutter="0"/>
          <w:cols w:space="708"/>
          <w:docGrid w:linePitch="360"/>
        </w:sectPr>
      </w:pPr>
    </w:p>
    <w:p w14:paraId="497F31D1" w14:textId="3FF97CD1" w:rsidR="00895E26" w:rsidRPr="001C17FE" w:rsidRDefault="00895E26" w:rsidP="000112DC">
      <w:pPr>
        <w:pStyle w:val="Heading2"/>
        <w:rPr>
          <w:lang w:val="en-GB"/>
        </w:rPr>
      </w:pPr>
      <w:bookmarkStart w:id="3" w:name="_Table_1:_New"/>
      <w:bookmarkEnd w:id="3"/>
      <w:r w:rsidRPr="001C17FE">
        <w:lastRenderedPageBreak/>
        <w:t xml:space="preserve">Table </w:t>
      </w:r>
      <w:r w:rsidR="009E0131" w:rsidRPr="001C17FE">
        <w:t>1</w:t>
      </w:r>
      <w:r w:rsidRPr="001C17FE">
        <w:t xml:space="preserve">: </w:t>
      </w:r>
      <w:r w:rsidR="00FB30E5" w:rsidRPr="001C17FE">
        <w:t>New indicators</w:t>
      </w:r>
      <w:r w:rsidRPr="001C17FE">
        <w:t xml:space="preserve"> </w:t>
      </w:r>
      <w:r w:rsidR="00C21F39" w:rsidRPr="001C17FE">
        <w:t>added to the NICE indicator menu</w:t>
      </w:r>
    </w:p>
    <w:tbl>
      <w:tblPr>
        <w:tblStyle w:val="TableGrid"/>
        <w:tblW w:w="14742" w:type="dxa"/>
        <w:tblInd w:w="-5" w:type="dxa"/>
        <w:tblLook w:val="04A0" w:firstRow="1" w:lastRow="0" w:firstColumn="1" w:lastColumn="0" w:noHBand="0" w:noVBand="1"/>
      </w:tblPr>
      <w:tblGrid>
        <w:gridCol w:w="1495"/>
        <w:gridCol w:w="1453"/>
        <w:gridCol w:w="4216"/>
        <w:gridCol w:w="7578"/>
      </w:tblGrid>
      <w:tr w:rsidR="000C3B0F" w:rsidRPr="001C17FE" w14:paraId="2B306B98" w14:textId="77777777" w:rsidTr="001822E1">
        <w:trPr>
          <w:tblHeader/>
        </w:trPr>
        <w:tc>
          <w:tcPr>
            <w:tcW w:w="1495" w:type="dxa"/>
            <w:shd w:val="clear" w:color="auto" w:fill="8DB3E2" w:themeFill="text2" w:themeFillTint="66"/>
          </w:tcPr>
          <w:p w14:paraId="2FA6FD69" w14:textId="23481404" w:rsidR="000C3B0F" w:rsidRPr="001C17FE" w:rsidRDefault="000C3B0F" w:rsidP="00D17AE7">
            <w:pPr>
              <w:pStyle w:val="Paragraph"/>
              <w:spacing w:before="120" w:after="120" w:line="240" w:lineRule="auto"/>
              <w:rPr>
                <w:rFonts w:cs="Arial"/>
                <w:b/>
                <w:bCs/>
                <w:sz w:val="20"/>
                <w:szCs w:val="20"/>
              </w:rPr>
            </w:pPr>
            <w:r>
              <w:rPr>
                <w:rFonts w:cs="Arial"/>
                <w:b/>
                <w:bCs/>
                <w:sz w:val="20"/>
                <w:szCs w:val="20"/>
              </w:rPr>
              <w:t>ID</w:t>
            </w:r>
          </w:p>
        </w:tc>
        <w:tc>
          <w:tcPr>
            <w:tcW w:w="1453" w:type="dxa"/>
            <w:shd w:val="clear" w:color="auto" w:fill="8DB3E2" w:themeFill="text2" w:themeFillTint="66"/>
          </w:tcPr>
          <w:p w14:paraId="6A4E4C36" w14:textId="06A81CD0" w:rsidR="000C3B0F" w:rsidRDefault="000C3B0F">
            <w:pPr>
              <w:pStyle w:val="Paragraph"/>
              <w:spacing w:before="120" w:after="120" w:line="240" w:lineRule="auto"/>
              <w:rPr>
                <w:rFonts w:cs="Arial"/>
                <w:b/>
                <w:bCs/>
                <w:sz w:val="20"/>
                <w:szCs w:val="20"/>
              </w:rPr>
            </w:pPr>
            <w:r>
              <w:rPr>
                <w:rFonts w:cs="Arial"/>
                <w:b/>
                <w:bCs/>
                <w:sz w:val="20"/>
                <w:szCs w:val="20"/>
              </w:rPr>
              <w:t>Indicator type</w:t>
            </w:r>
          </w:p>
        </w:tc>
        <w:tc>
          <w:tcPr>
            <w:tcW w:w="4216" w:type="dxa"/>
            <w:shd w:val="clear" w:color="auto" w:fill="8DB3E2" w:themeFill="text2" w:themeFillTint="66"/>
          </w:tcPr>
          <w:p w14:paraId="28E037FD" w14:textId="7EAA676A" w:rsidR="000C3B0F" w:rsidRPr="001C17FE" w:rsidRDefault="000C3B0F">
            <w:pPr>
              <w:pStyle w:val="Paragraph"/>
              <w:spacing w:before="120" w:after="120" w:line="240" w:lineRule="auto"/>
              <w:rPr>
                <w:rFonts w:cs="Arial"/>
                <w:b/>
                <w:bCs/>
                <w:sz w:val="20"/>
                <w:szCs w:val="20"/>
              </w:rPr>
            </w:pPr>
            <w:r>
              <w:rPr>
                <w:rFonts w:cs="Arial"/>
                <w:b/>
                <w:bCs/>
                <w:sz w:val="20"/>
                <w:szCs w:val="20"/>
              </w:rPr>
              <w:t>Indicator wording</w:t>
            </w:r>
            <w:r w:rsidRPr="001C17FE">
              <w:rPr>
                <w:rFonts w:cs="Arial"/>
                <w:b/>
                <w:bCs/>
                <w:sz w:val="20"/>
                <w:szCs w:val="20"/>
              </w:rPr>
              <w:t xml:space="preserve"> </w:t>
            </w:r>
          </w:p>
        </w:tc>
        <w:tc>
          <w:tcPr>
            <w:tcW w:w="7578" w:type="dxa"/>
            <w:shd w:val="clear" w:color="auto" w:fill="8DB3E2" w:themeFill="text2" w:themeFillTint="66"/>
          </w:tcPr>
          <w:p w14:paraId="3CD0A400" w14:textId="49F8A03C" w:rsidR="000C3B0F" w:rsidRPr="001C17FE" w:rsidRDefault="000C3B0F">
            <w:pPr>
              <w:pStyle w:val="Paragraph"/>
              <w:spacing w:before="120" w:after="120" w:line="240" w:lineRule="auto"/>
              <w:rPr>
                <w:rFonts w:cs="Arial"/>
                <w:b/>
                <w:bCs/>
                <w:sz w:val="20"/>
                <w:szCs w:val="20"/>
              </w:rPr>
            </w:pPr>
            <w:r w:rsidRPr="001C17FE">
              <w:rPr>
                <w:rFonts w:cs="Arial"/>
                <w:b/>
                <w:bCs/>
                <w:color w:val="000000"/>
                <w:sz w:val="20"/>
                <w:szCs w:val="20"/>
              </w:rPr>
              <w:t>Evidence base</w:t>
            </w:r>
            <w:r w:rsidR="00080AF9">
              <w:rPr>
                <w:rFonts w:cs="Arial"/>
                <w:b/>
                <w:bCs/>
                <w:color w:val="000000"/>
                <w:sz w:val="20"/>
                <w:szCs w:val="20"/>
              </w:rPr>
              <w:t xml:space="preserve">, </w:t>
            </w:r>
            <w:proofErr w:type="gramStart"/>
            <w:r w:rsidRPr="001C17FE">
              <w:rPr>
                <w:rFonts w:cs="Arial"/>
                <w:b/>
                <w:bCs/>
                <w:color w:val="000000"/>
                <w:sz w:val="20"/>
                <w:szCs w:val="20"/>
              </w:rPr>
              <w:t>rationale</w:t>
            </w:r>
            <w:proofErr w:type="gramEnd"/>
            <w:r w:rsidRPr="001C17FE">
              <w:rPr>
                <w:rFonts w:cs="Arial"/>
                <w:b/>
                <w:bCs/>
                <w:color w:val="000000"/>
                <w:sz w:val="20"/>
                <w:szCs w:val="20"/>
              </w:rPr>
              <w:t xml:space="preserve"> </w:t>
            </w:r>
            <w:r w:rsidR="00080AF9">
              <w:rPr>
                <w:rFonts w:cs="Arial"/>
                <w:b/>
                <w:bCs/>
                <w:color w:val="000000"/>
                <w:sz w:val="20"/>
                <w:szCs w:val="20"/>
              </w:rPr>
              <w:t xml:space="preserve">and any </w:t>
            </w:r>
            <w:r w:rsidR="00080AF9" w:rsidRPr="002775C1">
              <w:rPr>
                <w:rFonts w:cs="Arial"/>
                <w:b/>
                <w:bCs/>
                <w:i/>
                <w:iCs/>
                <w:color w:val="000000"/>
                <w:sz w:val="20"/>
                <w:szCs w:val="20"/>
              </w:rPr>
              <w:t xml:space="preserve">specific </w:t>
            </w:r>
            <w:r w:rsidR="00DB7314" w:rsidRPr="002775C1">
              <w:rPr>
                <w:rFonts w:cs="Arial"/>
                <w:b/>
                <w:bCs/>
                <w:i/>
                <w:iCs/>
                <w:color w:val="000000"/>
                <w:sz w:val="20"/>
                <w:szCs w:val="20"/>
              </w:rPr>
              <w:t>committee considerations</w:t>
            </w:r>
          </w:p>
        </w:tc>
      </w:tr>
      <w:tr w:rsidR="000C3B0F" w:rsidRPr="001C17FE" w14:paraId="1B481BBF" w14:textId="77777777" w:rsidTr="001822E1">
        <w:tc>
          <w:tcPr>
            <w:tcW w:w="1495" w:type="dxa"/>
          </w:tcPr>
          <w:p w14:paraId="6A4C6E7D" w14:textId="6311080C" w:rsidR="000C3B0F" w:rsidRPr="007E69FD" w:rsidRDefault="000C3B0F" w:rsidP="00D17AE7">
            <w:pPr>
              <w:pStyle w:val="Paragraph"/>
              <w:spacing w:before="120" w:after="120" w:line="240" w:lineRule="auto"/>
              <w:rPr>
                <w:rFonts w:cs="Arial"/>
                <w:sz w:val="20"/>
                <w:szCs w:val="20"/>
              </w:rPr>
            </w:pPr>
            <w:r w:rsidRPr="007E69FD">
              <w:rPr>
                <w:rFonts w:cs="Arial"/>
                <w:sz w:val="20"/>
                <w:szCs w:val="20"/>
              </w:rPr>
              <w:t>NM197</w:t>
            </w:r>
          </w:p>
          <w:p w14:paraId="04E5947A" w14:textId="13CAE8AA" w:rsidR="000C3B0F" w:rsidRPr="007E69FD" w:rsidRDefault="000C3B0F" w:rsidP="00D17AE7">
            <w:pPr>
              <w:pStyle w:val="Paragraph"/>
              <w:spacing w:before="120" w:after="120" w:line="240" w:lineRule="auto"/>
              <w:rPr>
                <w:rFonts w:cs="Arial"/>
                <w:sz w:val="20"/>
                <w:szCs w:val="20"/>
              </w:rPr>
            </w:pPr>
            <w:r w:rsidRPr="007E69FD">
              <w:rPr>
                <w:rFonts w:cs="Arial"/>
                <w:sz w:val="20"/>
                <w:szCs w:val="20"/>
              </w:rPr>
              <w:t>Vaccinations and immunisations</w:t>
            </w:r>
          </w:p>
          <w:p w14:paraId="7B9C66A7" w14:textId="595E5AB6" w:rsidR="000C3B0F" w:rsidRPr="007E69FD" w:rsidRDefault="000C3B0F" w:rsidP="00D17AE7">
            <w:pPr>
              <w:pStyle w:val="Paragraph"/>
              <w:spacing w:before="120" w:after="120" w:line="240" w:lineRule="auto"/>
              <w:rPr>
                <w:rFonts w:cs="Arial"/>
                <w:sz w:val="20"/>
                <w:szCs w:val="20"/>
              </w:rPr>
            </w:pPr>
          </w:p>
        </w:tc>
        <w:tc>
          <w:tcPr>
            <w:tcW w:w="1453" w:type="dxa"/>
          </w:tcPr>
          <w:p w14:paraId="07FB88D5" w14:textId="6DE6F327"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3D32F2CB" w14:textId="3210EE05" w:rsidR="000C3B0F" w:rsidRPr="007E69FD" w:rsidRDefault="000C3B0F" w:rsidP="00D17AE7">
            <w:pPr>
              <w:pStyle w:val="Paragraph"/>
              <w:spacing w:before="120" w:after="120" w:line="240" w:lineRule="auto"/>
              <w:rPr>
                <w:rFonts w:cs="Arial"/>
                <w:sz w:val="20"/>
                <w:szCs w:val="20"/>
              </w:rPr>
            </w:pPr>
            <w:r w:rsidRPr="007E69FD">
              <w:rPr>
                <w:rFonts w:cs="Arial"/>
                <w:sz w:val="20"/>
                <w:szCs w:val="20"/>
              </w:rPr>
              <w:t>The percentage of babies who reached 8 months old in the preceding 12 months, who have received at least 3 doses of a diphtheria, tetanus and pertussis containing vaccine</w:t>
            </w:r>
            <w:r w:rsidR="008A4E42">
              <w:rPr>
                <w:rFonts w:cs="Arial"/>
                <w:sz w:val="20"/>
                <w:szCs w:val="20"/>
              </w:rPr>
              <w:t xml:space="preserve"> before the age of 8 months</w:t>
            </w:r>
            <w:r w:rsidRPr="007E69FD">
              <w:rPr>
                <w:rFonts w:cs="Arial"/>
                <w:sz w:val="20"/>
                <w:szCs w:val="20"/>
              </w:rPr>
              <w:t>.</w:t>
            </w:r>
          </w:p>
        </w:tc>
        <w:tc>
          <w:tcPr>
            <w:tcW w:w="7578" w:type="dxa"/>
          </w:tcPr>
          <w:p w14:paraId="15108523" w14:textId="77777777" w:rsidR="000C3B0F" w:rsidRPr="007E69FD" w:rsidRDefault="00730621" w:rsidP="00D17AE7">
            <w:pPr>
              <w:pStyle w:val="Paragraphnonumbers"/>
              <w:spacing w:before="120" w:after="120" w:line="240" w:lineRule="auto"/>
              <w:rPr>
                <w:sz w:val="20"/>
                <w:szCs w:val="20"/>
              </w:rPr>
            </w:pPr>
            <w:hyperlink r:id="rId11" w:history="1">
              <w:r w:rsidR="000C3B0F" w:rsidRPr="007E69FD">
                <w:rPr>
                  <w:rStyle w:val="Hyperlink"/>
                  <w:sz w:val="20"/>
                  <w:szCs w:val="20"/>
                </w:rPr>
                <w:t>Immunisations: reducing differences in uptake in under 19s</w:t>
              </w:r>
            </w:hyperlink>
            <w:r w:rsidR="000C3B0F" w:rsidRPr="007E69FD">
              <w:rPr>
                <w:sz w:val="20"/>
                <w:szCs w:val="20"/>
              </w:rPr>
              <w:t xml:space="preserve"> (2009, updated 2017) NICE public health guideline PH21, recommendations 1, 2 and 3.</w:t>
            </w:r>
          </w:p>
          <w:p w14:paraId="35D05759" w14:textId="0A52F4A6" w:rsidR="000C3B0F" w:rsidRPr="007E69FD" w:rsidRDefault="00730621" w:rsidP="00D17AE7">
            <w:pPr>
              <w:pStyle w:val="Paragraphnonumbers"/>
              <w:spacing w:before="120" w:after="120" w:line="240" w:lineRule="auto"/>
              <w:rPr>
                <w:sz w:val="20"/>
                <w:szCs w:val="20"/>
              </w:rPr>
            </w:pPr>
            <w:hyperlink r:id="rId12" w:history="1">
              <w:r w:rsidR="000C3B0F" w:rsidRPr="007E69FD">
                <w:rPr>
                  <w:rStyle w:val="Hyperlink"/>
                  <w:sz w:val="20"/>
                  <w:szCs w:val="20"/>
                </w:rPr>
                <w:t>Immuni</w:t>
              </w:r>
              <w:r w:rsidR="00064B05">
                <w:rPr>
                  <w:rStyle w:val="Hyperlink"/>
                  <w:sz w:val="20"/>
                  <w:szCs w:val="20"/>
                </w:rPr>
                <w:t>s</w:t>
              </w:r>
              <w:r w:rsidR="000C3B0F" w:rsidRPr="007E69FD">
                <w:rPr>
                  <w:rStyle w:val="Hyperlink"/>
                  <w:sz w:val="20"/>
                  <w:szCs w:val="20"/>
                </w:rPr>
                <w:t>ations – childhood</w:t>
              </w:r>
            </w:hyperlink>
            <w:r w:rsidR="000C3B0F" w:rsidRPr="007E69FD">
              <w:rPr>
                <w:sz w:val="20"/>
                <w:szCs w:val="20"/>
              </w:rPr>
              <w:t xml:space="preserve"> (2020) NICE clinical knowledge summary</w:t>
            </w:r>
          </w:p>
          <w:p w14:paraId="61114AAE" w14:textId="77777777" w:rsidR="000C3B0F" w:rsidRDefault="000C3B0F" w:rsidP="00D17AE7">
            <w:pPr>
              <w:pStyle w:val="Paragraph"/>
              <w:spacing w:before="120" w:after="120" w:line="240" w:lineRule="auto"/>
              <w:rPr>
                <w:sz w:val="20"/>
                <w:szCs w:val="20"/>
              </w:rPr>
            </w:pPr>
            <w:r w:rsidRPr="007E69FD">
              <w:rPr>
                <w:sz w:val="20"/>
                <w:szCs w:val="20"/>
              </w:rPr>
              <w:t xml:space="preserve">Diphtheria, </w:t>
            </w:r>
            <w:proofErr w:type="gramStart"/>
            <w:r w:rsidRPr="007E69FD">
              <w:rPr>
                <w:sz w:val="20"/>
                <w:szCs w:val="20"/>
              </w:rPr>
              <w:t>tetanus</w:t>
            </w:r>
            <w:proofErr w:type="gramEnd"/>
            <w:r w:rsidRPr="007E69FD">
              <w:rPr>
                <w:sz w:val="20"/>
                <w:szCs w:val="20"/>
              </w:rPr>
              <w:t xml:space="preserve"> and pertussis (whooping cough) are acute infectious diseases that can have severe complications. The routine immunisation schedule states that the hexavalent (6-in-1) vaccine is due at 8, 12 and 16 weeks old (</w:t>
            </w:r>
            <w:hyperlink r:id="rId13" w:history="1">
              <w:r w:rsidRPr="007E69FD">
                <w:rPr>
                  <w:rStyle w:val="Hyperlink"/>
                  <w:sz w:val="20"/>
                  <w:szCs w:val="20"/>
                </w:rPr>
                <w:t>Public Health England</w:t>
              </w:r>
            </w:hyperlink>
            <w:r w:rsidRPr="007E69FD">
              <w:rPr>
                <w:sz w:val="20"/>
                <w:szCs w:val="20"/>
              </w:rPr>
              <w:t xml:space="preserve"> 2020). The indicator supports early vaccination with the hexavalent vaccine according to the routine immunisation schedule. The measurement at 8 months of age allows for vaccination deferral due to febrile illness but aims to achieve immunisation against the named acute infectious diseases as early as possible.</w:t>
            </w:r>
          </w:p>
          <w:p w14:paraId="66991F06" w14:textId="25CEE044" w:rsidR="002775C1" w:rsidRPr="007E69FD" w:rsidRDefault="002775C1" w:rsidP="00D17AE7">
            <w:pPr>
              <w:pStyle w:val="Paragraph"/>
              <w:spacing w:before="120" w:after="120" w:line="240" w:lineRule="auto"/>
              <w:rPr>
                <w:sz w:val="20"/>
                <w:szCs w:val="20"/>
              </w:rPr>
            </w:pPr>
            <w:r w:rsidRPr="002775C1">
              <w:rPr>
                <w:i/>
                <w:iCs/>
                <w:sz w:val="20"/>
                <w:szCs w:val="20"/>
              </w:rPr>
              <w:t xml:space="preserve">The </w:t>
            </w:r>
            <w:r w:rsidRPr="002775C1">
              <w:rPr>
                <w:rFonts w:cs="Arial"/>
                <w:i/>
                <w:iCs/>
                <w:sz w:val="20"/>
                <w:szCs w:val="20"/>
              </w:rPr>
              <w:t>NICE advisory</w:t>
            </w:r>
            <w:r>
              <w:rPr>
                <w:rFonts w:cs="Arial"/>
                <w:i/>
                <w:iCs/>
                <w:sz w:val="20"/>
                <w:szCs w:val="20"/>
              </w:rPr>
              <w:t xml:space="preserve"> committee </w:t>
            </w:r>
            <w:r w:rsidR="00E8462B">
              <w:rPr>
                <w:rFonts w:cs="Arial"/>
                <w:i/>
                <w:iCs/>
                <w:sz w:val="20"/>
                <w:szCs w:val="20"/>
              </w:rPr>
              <w:t>concluded that the timeframe for this indicator should be extended from 6 months which NICE initially consulted on to 8 months.</w:t>
            </w:r>
          </w:p>
        </w:tc>
      </w:tr>
      <w:tr w:rsidR="000C3B0F" w:rsidRPr="001C17FE" w14:paraId="5749CB9E" w14:textId="77777777" w:rsidTr="001822E1">
        <w:tc>
          <w:tcPr>
            <w:tcW w:w="1495" w:type="dxa"/>
          </w:tcPr>
          <w:p w14:paraId="6F26EE23" w14:textId="6608B950" w:rsidR="000C3B0F" w:rsidRPr="007E69FD" w:rsidRDefault="000C3B0F" w:rsidP="00D17AE7">
            <w:pPr>
              <w:pStyle w:val="Paragraph"/>
              <w:spacing w:before="120" w:after="120" w:line="240" w:lineRule="auto"/>
              <w:rPr>
                <w:rFonts w:cs="Arial"/>
                <w:sz w:val="20"/>
                <w:szCs w:val="20"/>
              </w:rPr>
            </w:pPr>
            <w:r w:rsidRPr="007E69FD">
              <w:rPr>
                <w:rFonts w:cs="Arial"/>
                <w:sz w:val="20"/>
                <w:szCs w:val="20"/>
              </w:rPr>
              <w:t>NM198</w:t>
            </w:r>
          </w:p>
          <w:p w14:paraId="1353226E" w14:textId="1F6E8D14" w:rsidR="000C3B0F" w:rsidRPr="007E69FD" w:rsidRDefault="000C3B0F" w:rsidP="00D17AE7">
            <w:pPr>
              <w:pStyle w:val="Paragraph"/>
              <w:spacing w:before="120" w:after="120" w:line="240" w:lineRule="auto"/>
              <w:rPr>
                <w:rFonts w:cs="Arial"/>
                <w:sz w:val="20"/>
                <w:szCs w:val="20"/>
              </w:rPr>
            </w:pPr>
            <w:r w:rsidRPr="007E69FD">
              <w:rPr>
                <w:rFonts w:cs="Arial"/>
                <w:sz w:val="20"/>
                <w:szCs w:val="20"/>
              </w:rPr>
              <w:t>Vaccinations and immunisations</w:t>
            </w:r>
          </w:p>
          <w:p w14:paraId="7196B25A" w14:textId="31EFF6EA" w:rsidR="000C3B0F" w:rsidRPr="007E69FD" w:rsidRDefault="000C3B0F" w:rsidP="00D17AE7">
            <w:pPr>
              <w:pStyle w:val="Paragraph"/>
              <w:spacing w:before="120" w:after="120" w:line="240" w:lineRule="auto"/>
              <w:rPr>
                <w:rFonts w:cs="Arial"/>
                <w:sz w:val="20"/>
                <w:szCs w:val="20"/>
              </w:rPr>
            </w:pPr>
          </w:p>
        </w:tc>
        <w:tc>
          <w:tcPr>
            <w:tcW w:w="1453" w:type="dxa"/>
          </w:tcPr>
          <w:p w14:paraId="0C01771C" w14:textId="52E37A2F"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3D452121" w14:textId="57BD15FD" w:rsidR="000C3B0F" w:rsidRPr="007E69FD" w:rsidRDefault="000C3B0F" w:rsidP="00D17AE7">
            <w:pPr>
              <w:pStyle w:val="Paragraph"/>
              <w:spacing w:before="120" w:after="120" w:line="240" w:lineRule="auto"/>
              <w:rPr>
                <w:rFonts w:cs="Arial"/>
                <w:sz w:val="20"/>
                <w:szCs w:val="20"/>
              </w:rPr>
            </w:pPr>
            <w:r w:rsidRPr="007E69FD">
              <w:rPr>
                <w:rFonts w:cs="Arial"/>
                <w:sz w:val="20"/>
                <w:szCs w:val="20"/>
              </w:rPr>
              <w:t>The percentage of children who reached 18 months old in the preceding 12 months, who have received at least 1 dose of MMR between the ages of 12 and 18 months.</w:t>
            </w:r>
          </w:p>
        </w:tc>
        <w:tc>
          <w:tcPr>
            <w:tcW w:w="7578" w:type="dxa"/>
          </w:tcPr>
          <w:p w14:paraId="37E8EB55" w14:textId="77777777" w:rsidR="000C3B0F" w:rsidRPr="007E69FD" w:rsidRDefault="00730621" w:rsidP="00D17AE7">
            <w:pPr>
              <w:pStyle w:val="Paragraphnonumbers"/>
              <w:spacing w:before="120" w:after="120" w:line="240" w:lineRule="auto"/>
              <w:rPr>
                <w:sz w:val="20"/>
                <w:szCs w:val="20"/>
              </w:rPr>
            </w:pPr>
            <w:hyperlink r:id="rId14" w:history="1">
              <w:r w:rsidR="000C3B0F" w:rsidRPr="007E69FD">
                <w:rPr>
                  <w:rStyle w:val="Hyperlink"/>
                  <w:sz w:val="20"/>
                  <w:szCs w:val="20"/>
                </w:rPr>
                <w:t>Immunisations: reducing differences in uptake in under 19s</w:t>
              </w:r>
            </w:hyperlink>
            <w:r w:rsidR="000C3B0F" w:rsidRPr="007E69FD">
              <w:rPr>
                <w:sz w:val="20"/>
                <w:szCs w:val="20"/>
              </w:rPr>
              <w:t xml:space="preserve"> (2009, updated 2017) NICE public health guideline PH21, recommendations 1, 2 and 3.</w:t>
            </w:r>
          </w:p>
          <w:p w14:paraId="7D98E621" w14:textId="77777777" w:rsidR="000C3B0F" w:rsidRPr="007E69FD" w:rsidRDefault="00730621" w:rsidP="00D17AE7">
            <w:pPr>
              <w:pStyle w:val="Paragraphnonumbers"/>
              <w:spacing w:before="120" w:after="120" w:line="240" w:lineRule="auto"/>
              <w:rPr>
                <w:b/>
                <w:bCs/>
                <w:sz w:val="20"/>
                <w:szCs w:val="20"/>
              </w:rPr>
            </w:pPr>
            <w:hyperlink r:id="rId15" w:history="1">
              <w:r w:rsidR="000C3B0F" w:rsidRPr="007E69FD">
                <w:rPr>
                  <w:rStyle w:val="Hyperlink"/>
                  <w:sz w:val="20"/>
                  <w:szCs w:val="20"/>
                </w:rPr>
                <w:t>Immunizations – childhood</w:t>
              </w:r>
            </w:hyperlink>
            <w:r w:rsidR="000C3B0F" w:rsidRPr="007E69FD">
              <w:rPr>
                <w:sz w:val="20"/>
                <w:szCs w:val="20"/>
              </w:rPr>
              <w:t xml:space="preserve"> (2020) NICE clinical knowledge summary</w:t>
            </w:r>
          </w:p>
          <w:p w14:paraId="4C191C17" w14:textId="77777777" w:rsidR="000C3B0F" w:rsidRDefault="000C3B0F" w:rsidP="00D17AE7">
            <w:pPr>
              <w:pStyle w:val="Paragraphnonumbers"/>
              <w:spacing w:before="120" w:after="120" w:line="240" w:lineRule="auto"/>
              <w:rPr>
                <w:sz w:val="20"/>
                <w:szCs w:val="20"/>
              </w:rPr>
            </w:pPr>
            <w:r w:rsidRPr="007E69FD">
              <w:rPr>
                <w:sz w:val="20"/>
                <w:szCs w:val="20"/>
              </w:rPr>
              <w:t xml:space="preserve">MMR is the combined vaccine that protects against measles, </w:t>
            </w:r>
            <w:proofErr w:type="gramStart"/>
            <w:r w:rsidRPr="007E69FD">
              <w:rPr>
                <w:sz w:val="20"/>
                <w:szCs w:val="20"/>
              </w:rPr>
              <w:t>mumps</w:t>
            </w:r>
            <w:proofErr w:type="gramEnd"/>
            <w:r w:rsidRPr="007E69FD">
              <w:rPr>
                <w:sz w:val="20"/>
                <w:szCs w:val="20"/>
              </w:rPr>
              <w:t xml:space="preserve"> and rubella. These are highly infectious conditions that can have serious complications such as meningitis and encephalitis. The first MMR vaccine (MMR1) is due as part of the routine vaccination schedule for England within a month of the child’s first birthday (</w:t>
            </w:r>
            <w:hyperlink r:id="rId16" w:history="1">
              <w:r w:rsidRPr="007E69FD">
                <w:rPr>
                  <w:rStyle w:val="Hyperlink"/>
                  <w:sz w:val="20"/>
                  <w:szCs w:val="20"/>
                </w:rPr>
                <w:t>Public Health England</w:t>
              </w:r>
            </w:hyperlink>
            <w:r w:rsidRPr="007E69FD">
              <w:rPr>
                <w:sz w:val="20"/>
                <w:szCs w:val="20"/>
              </w:rPr>
              <w:t xml:space="preserve"> 2020). The indicator supports early vaccination with the first dose of the MMR vaccine according to the routine immunisation schedule. The measurement at 18 months of age allows for vaccination deferral due to febrile illness but aims to achieve vaccination against the named acute infectious diseases as early as possible.</w:t>
            </w:r>
          </w:p>
          <w:p w14:paraId="2014C156" w14:textId="3F160DB8" w:rsidR="00E8462B" w:rsidRPr="007E69FD" w:rsidRDefault="00E8462B" w:rsidP="00D17AE7">
            <w:pPr>
              <w:pStyle w:val="Paragraphnonumbers"/>
              <w:spacing w:before="120" w:after="120" w:line="240" w:lineRule="auto"/>
              <w:rPr>
                <w:sz w:val="20"/>
                <w:szCs w:val="20"/>
              </w:rPr>
            </w:pPr>
          </w:p>
        </w:tc>
      </w:tr>
      <w:tr w:rsidR="000C3B0F" w:rsidRPr="001C17FE" w14:paraId="7A8701BF" w14:textId="77777777" w:rsidTr="001822E1">
        <w:tc>
          <w:tcPr>
            <w:tcW w:w="1495" w:type="dxa"/>
          </w:tcPr>
          <w:p w14:paraId="1F23DFD4" w14:textId="77777777" w:rsidR="000C3B0F" w:rsidRPr="007E69FD" w:rsidRDefault="000C3B0F" w:rsidP="00D17AE7">
            <w:pPr>
              <w:pStyle w:val="Paragraph"/>
              <w:spacing w:before="120" w:after="120" w:line="240" w:lineRule="auto"/>
              <w:rPr>
                <w:rFonts w:cs="Arial"/>
                <w:sz w:val="20"/>
                <w:szCs w:val="20"/>
              </w:rPr>
            </w:pPr>
            <w:r w:rsidRPr="007E69FD">
              <w:rPr>
                <w:rFonts w:cs="Arial"/>
                <w:sz w:val="20"/>
                <w:szCs w:val="20"/>
              </w:rPr>
              <w:lastRenderedPageBreak/>
              <w:t>NM199</w:t>
            </w:r>
          </w:p>
          <w:p w14:paraId="225E65DD" w14:textId="788B9D71" w:rsidR="000C3B0F" w:rsidRPr="007E69FD" w:rsidRDefault="000C3B0F" w:rsidP="00D17AE7">
            <w:pPr>
              <w:pStyle w:val="Paragraph"/>
              <w:spacing w:before="120" w:after="120" w:line="240" w:lineRule="auto"/>
              <w:rPr>
                <w:rFonts w:cs="Arial"/>
                <w:sz w:val="20"/>
                <w:szCs w:val="20"/>
              </w:rPr>
            </w:pPr>
            <w:r w:rsidRPr="007E69FD">
              <w:rPr>
                <w:rFonts w:cs="Arial"/>
                <w:sz w:val="20"/>
                <w:szCs w:val="20"/>
              </w:rPr>
              <w:t>Vaccinations and immunisations</w:t>
            </w:r>
          </w:p>
          <w:p w14:paraId="603B6EA0" w14:textId="3E4E9185" w:rsidR="000C3B0F" w:rsidRPr="007E69FD" w:rsidRDefault="000C3B0F" w:rsidP="00D17AE7">
            <w:pPr>
              <w:pStyle w:val="Paragraph"/>
              <w:spacing w:before="120" w:after="120" w:line="240" w:lineRule="auto"/>
              <w:rPr>
                <w:rFonts w:cs="Arial"/>
                <w:sz w:val="20"/>
                <w:szCs w:val="20"/>
              </w:rPr>
            </w:pPr>
          </w:p>
        </w:tc>
        <w:tc>
          <w:tcPr>
            <w:tcW w:w="1453" w:type="dxa"/>
          </w:tcPr>
          <w:p w14:paraId="3EF1BED6" w14:textId="7BD34599"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630FD5A7" w14:textId="2F432BBD" w:rsidR="000C3B0F" w:rsidRPr="007E69FD" w:rsidRDefault="000C3B0F" w:rsidP="00D17AE7">
            <w:pPr>
              <w:pStyle w:val="Paragraph"/>
              <w:spacing w:before="120" w:after="120" w:line="240" w:lineRule="auto"/>
              <w:rPr>
                <w:rFonts w:cs="Arial"/>
                <w:sz w:val="20"/>
                <w:szCs w:val="20"/>
              </w:rPr>
            </w:pPr>
            <w:r w:rsidRPr="007E69FD">
              <w:rPr>
                <w:rFonts w:cs="Arial"/>
                <w:sz w:val="20"/>
                <w:szCs w:val="20"/>
              </w:rPr>
              <w:t>The percentage of children who reached 5 years old in the preceding 12 months, who have received a reinforcing dose of DTaP/IPV and at least 2 doses of MMR between the ages of 1 and 5 years.</w:t>
            </w:r>
          </w:p>
        </w:tc>
        <w:tc>
          <w:tcPr>
            <w:tcW w:w="7578" w:type="dxa"/>
          </w:tcPr>
          <w:p w14:paraId="77C7DAFE" w14:textId="77777777" w:rsidR="000C3B0F" w:rsidRPr="007E69FD" w:rsidRDefault="00730621" w:rsidP="00D17AE7">
            <w:pPr>
              <w:pStyle w:val="Paragraph"/>
              <w:spacing w:before="120" w:after="120" w:line="240" w:lineRule="auto"/>
              <w:rPr>
                <w:sz w:val="20"/>
                <w:szCs w:val="20"/>
              </w:rPr>
            </w:pPr>
            <w:hyperlink r:id="rId17" w:history="1">
              <w:r w:rsidR="000C3B0F" w:rsidRPr="007E69FD">
                <w:rPr>
                  <w:color w:val="0000FF"/>
                  <w:sz w:val="20"/>
                  <w:szCs w:val="20"/>
                  <w:u w:val="single"/>
                </w:rPr>
                <w:t>Immunisations: reducing differences in uptake in under 19s</w:t>
              </w:r>
            </w:hyperlink>
            <w:r w:rsidR="000C3B0F" w:rsidRPr="007E69FD">
              <w:rPr>
                <w:sz w:val="20"/>
                <w:szCs w:val="20"/>
              </w:rPr>
              <w:t xml:space="preserve"> (2009, updated 2017) NICE public health guideline PH21, recommendations 1, 2 and 3.</w:t>
            </w:r>
          </w:p>
          <w:p w14:paraId="49294207" w14:textId="08B33511" w:rsidR="000C3B0F" w:rsidRPr="007E69FD" w:rsidRDefault="00730621" w:rsidP="00D17AE7">
            <w:pPr>
              <w:pStyle w:val="Paragraph"/>
              <w:spacing w:before="120" w:after="120" w:line="240" w:lineRule="auto"/>
              <w:rPr>
                <w:sz w:val="20"/>
                <w:szCs w:val="20"/>
              </w:rPr>
            </w:pPr>
            <w:hyperlink r:id="rId18" w:history="1">
              <w:r w:rsidR="000C3B0F" w:rsidRPr="007E69FD">
                <w:rPr>
                  <w:color w:val="0000FF"/>
                  <w:sz w:val="20"/>
                  <w:szCs w:val="20"/>
                  <w:u w:val="single"/>
                </w:rPr>
                <w:t>Immunizations – childhood</w:t>
              </w:r>
            </w:hyperlink>
            <w:r w:rsidR="000C3B0F" w:rsidRPr="007E69FD">
              <w:rPr>
                <w:sz w:val="20"/>
                <w:szCs w:val="20"/>
              </w:rPr>
              <w:t xml:space="preserve"> (2020) NICE clinical knowledge summary</w:t>
            </w:r>
          </w:p>
          <w:p w14:paraId="61D08FD4" w14:textId="77777777" w:rsidR="000C3B0F" w:rsidRDefault="000C3B0F" w:rsidP="00D17AE7">
            <w:pPr>
              <w:pStyle w:val="Paragraph"/>
              <w:spacing w:before="120" w:after="120" w:line="240" w:lineRule="auto"/>
              <w:rPr>
                <w:sz w:val="20"/>
                <w:szCs w:val="20"/>
              </w:rPr>
            </w:pPr>
            <w:r w:rsidRPr="007E69FD">
              <w:rPr>
                <w:sz w:val="20"/>
                <w:szCs w:val="20"/>
              </w:rPr>
              <w:t xml:space="preserve">DTaP/IPV is the vaccine that protects against diphtheria, tetanus, pertussis (whooping cough) and poliomyelitis. MMR is the combined vaccine that protects against measles, </w:t>
            </w:r>
            <w:proofErr w:type="gramStart"/>
            <w:r w:rsidRPr="007E69FD">
              <w:rPr>
                <w:sz w:val="20"/>
                <w:szCs w:val="20"/>
              </w:rPr>
              <w:t>mumps</w:t>
            </w:r>
            <w:proofErr w:type="gramEnd"/>
            <w:r w:rsidRPr="007E69FD">
              <w:rPr>
                <w:sz w:val="20"/>
                <w:szCs w:val="20"/>
              </w:rPr>
              <w:t xml:space="preserve"> and rubella. These are highly infectious conditions that can have serious complications. The first MMR vaccine (MMR1) for children is due within a month of their first birthday as part of the routine vaccination schedule for England, and a second dose (MMR2) is due at around 3 years and 4 months of age. A reinforcing vaccination for protection against diphtheria, tetanus, pertussis and poliomyelitis is also due at around 3 years and 4 months of age (</w:t>
            </w:r>
            <w:hyperlink r:id="rId19" w:history="1">
              <w:r w:rsidRPr="007E69FD">
                <w:rPr>
                  <w:rStyle w:val="Hyperlink"/>
                  <w:rFonts w:cs="Arial"/>
                  <w:sz w:val="20"/>
                  <w:szCs w:val="20"/>
                </w:rPr>
                <w:t>Public Health England</w:t>
              </w:r>
            </w:hyperlink>
            <w:r w:rsidRPr="007E69FD">
              <w:rPr>
                <w:sz w:val="20"/>
                <w:szCs w:val="20"/>
              </w:rPr>
              <w:t xml:space="preserve"> 2020). The indicator supports immunisation according to the routine immunisation schedule. The measurement at 5 years of age aims to achieve full immunisation against these infectious diseases before children start school.</w:t>
            </w:r>
          </w:p>
          <w:p w14:paraId="7184463A" w14:textId="1C0408C1" w:rsidR="00E8462B" w:rsidRPr="007E69FD" w:rsidRDefault="00E8462B" w:rsidP="00D17AE7">
            <w:pPr>
              <w:pStyle w:val="Paragraph"/>
              <w:spacing w:before="120" w:after="120" w:line="240" w:lineRule="auto"/>
              <w:rPr>
                <w:sz w:val="20"/>
                <w:szCs w:val="20"/>
              </w:rPr>
            </w:pPr>
          </w:p>
        </w:tc>
      </w:tr>
      <w:tr w:rsidR="000C3B0F" w:rsidRPr="007E69FD" w14:paraId="30073782" w14:textId="77777777" w:rsidTr="001822E1">
        <w:tc>
          <w:tcPr>
            <w:tcW w:w="1495" w:type="dxa"/>
          </w:tcPr>
          <w:p w14:paraId="5615688A" w14:textId="77777777" w:rsidR="000C3B0F" w:rsidRPr="007E69FD" w:rsidRDefault="000C3B0F" w:rsidP="00D17AE7">
            <w:pPr>
              <w:pStyle w:val="Paragraph"/>
              <w:spacing w:before="120" w:after="120" w:line="240" w:lineRule="auto"/>
              <w:rPr>
                <w:rFonts w:cs="Arial"/>
                <w:sz w:val="20"/>
                <w:szCs w:val="20"/>
              </w:rPr>
            </w:pPr>
            <w:r w:rsidRPr="007E69FD">
              <w:rPr>
                <w:rFonts w:cs="Arial"/>
                <w:sz w:val="20"/>
                <w:szCs w:val="20"/>
              </w:rPr>
              <w:t>NM200</w:t>
            </w:r>
          </w:p>
          <w:p w14:paraId="0A18F48C" w14:textId="4CAAF8BE" w:rsidR="000C3B0F" w:rsidRPr="007E69FD" w:rsidRDefault="000C3B0F" w:rsidP="00D17AE7">
            <w:pPr>
              <w:pStyle w:val="Paragraph"/>
              <w:spacing w:before="120" w:after="120" w:line="240" w:lineRule="auto"/>
              <w:rPr>
                <w:rFonts w:cs="Arial"/>
                <w:sz w:val="20"/>
                <w:szCs w:val="20"/>
              </w:rPr>
            </w:pPr>
            <w:r w:rsidRPr="007E69FD">
              <w:rPr>
                <w:rFonts w:cs="Arial"/>
                <w:sz w:val="20"/>
                <w:szCs w:val="20"/>
              </w:rPr>
              <w:t>Vaccinations and immunisations</w:t>
            </w:r>
          </w:p>
          <w:p w14:paraId="6001438E" w14:textId="0E5855F8" w:rsidR="000C3B0F" w:rsidRPr="007E69FD" w:rsidRDefault="000C3B0F" w:rsidP="00D17AE7">
            <w:pPr>
              <w:pStyle w:val="Paragraph"/>
              <w:spacing w:before="120" w:after="120" w:line="240" w:lineRule="auto"/>
              <w:rPr>
                <w:rFonts w:cs="Arial"/>
                <w:sz w:val="20"/>
                <w:szCs w:val="20"/>
              </w:rPr>
            </w:pPr>
          </w:p>
        </w:tc>
        <w:tc>
          <w:tcPr>
            <w:tcW w:w="1453" w:type="dxa"/>
          </w:tcPr>
          <w:p w14:paraId="4CEEECDA" w14:textId="7321E754"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2B897F3F" w14:textId="5B32F507" w:rsidR="000C3B0F" w:rsidRPr="007E69FD" w:rsidRDefault="000C3B0F" w:rsidP="00D17AE7">
            <w:pPr>
              <w:pStyle w:val="Paragraph"/>
              <w:spacing w:before="120" w:after="120" w:line="240" w:lineRule="auto"/>
              <w:rPr>
                <w:rFonts w:cs="Arial"/>
                <w:sz w:val="20"/>
                <w:szCs w:val="20"/>
              </w:rPr>
            </w:pPr>
            <w:r w:rsidRPr="007E69FD">
              <w:rPr>
                <w:rFonts w:cs="Arial"/>
                <w:sz w:val="20"/>
                <w:szCs w:val="20"/>
              </w:rPr>
              <w:t>The percentage of children who reached 5 years old in the preceding 12 months, who have received 1 dose of MMR between the ages of 1 and 5 years.</w:t>
            </w:r>
          </w:p>
        </w:tc>
        <w:tc>
          <w:tcPr>
            <w:tcW w:w="7578" w:type="dxa"/>
          </w:tcPr>
          <w:p w14:paraId="4D1511A2" w14:textId="77777777" w:rsidR="000C3B0F" w:rsidRPr="007E69FD" w:rsidRDefault="00730621" w:rsidP="00D17AE7">
            <w:pPr>
              <w:spacing w:before="120" w:after="120"/>
              <w:rPr>
                <w:rFonts w:ascii="Arial" w:hAnsi="Arial" w:cs="Arial"/>
                <w:sz w:val="20"/>
                <w:szCs w:val="20"/>
              </w:rPr>
            </w:pPr>
            <w:hyperlink r:id="rId20" w:history="1">
              <w:r w:rsidR="000C3B0F" w:rsidRPr="007E69FD">
                <w:rPr>
                  <w:rFonts w:ascii="Arial" w:hAnsi="Arial" w:cs="Arial"/>
                  <w:color w:val="0000FF"/>
                  <w:sz w:val="20"/>
                  <w:szCs w:val="20"/>
                  <w:u w:val="single"/>
                </w:rPr>
                <w:t>Immunisations: reducing differences in uptake in under 19s</w:t>
              </w:r>
            </w:hyperlink>
            <w:r w:rsidR="000C3B0F" w:rsidRPr="007E69FD">
              <w:rPr>
                <w:rFonts w:ascii="Arial" w:hAnsi="Arial" w:cs="Arial"/>
                <w:sz w:val="20"/>
                <w:szCs w:val="20"/>
              </w:rPr>
              <w:t xml:space="preserve"> (2009, updated 2017) NICE public health guideline PH21, recommendations 1, 2 and 3.</w:t>
            </w:r>
          </w:p>
          <w:p w14:paraId="3C525EC6" w14:textId="77777777" w:rsidR="000C3B0F" w:rsidRPr="007E69FD" w:rsidRDefault="00730621" w:rsidP="00D17AE7">
            <w:pPr>
              <w:spacing w:before="120" w:after="120"/>
              <w:rPr>
                <w:rFonts w:ascii="Arial" w:hAnsi="Arial" w:cs="Arial"/>
                <w:b/>
                <w:bCs/>
                <w:sz w:val="20"/>
                <w:szCs w:val="20"/>
              </w:rPr>
            </w:pPr>
            <w:hyperlink r:id="rId21" w:history="1">
              <w:r w:rsidR="000C3B0F" w:rsidRPr="007E69FD">
                <w:rPr>
                  <w:rFonts w:ascii="Arial" w:hAnsi="Arial" w:cs="Arial"/>
                  <w:color w:val="0000FF"/>
                  <w:sz w:val="20"/>
                  <w:szCs w:val="20"/>
                  <w:u w:val="single"/>
                </w:rPr>
                <w:t>Immunizations – childhood</w:t>
              </w:r>
            </w:hyperlink>
            <w:r w:rsidR="000C3B0F" w:rsidRPr="007E69FD">
              <w:rPr>
                <w:rFonts w:ascii="Arial" w:hAnsi="Arial" w:cs="Arial"/>
                <w:sz w:val="20"/>
                <w:szCs w:val="20"/>
              </w:rPr>
              <w:t xml:space="preserve"> (2020) NICE clinical knowledge summary</w:t>
            </w:r>
          </w:p>
          <w:p w14:paraId="0BC16446" w14:textId="192AAF4E" w:rsidR="000C3B0F" w:rsidRDefault="000C3B0F" w:rsidP="00D17AE7">
            <w:pPr>
              <w:pStyle w:val="Paragraphnonumbers"/>
              <w:spacing w:before="120" w:after="120" w:line="240" w:lineRule="auto"/>
              <w:rPr>
                <w:rFonts w:cs="Arial"/>
                <w:sz w:val="20"/>
                <w:szCs w:val="20"/>
              </w:rPr>
            </w:pPr>
            <w:r w:rsidRPr="007E69FD">
              <w:rPr>
                <w:rFonts w:cs="Arial"/>
                <w:sz w:val="20"/>
                <w:szCs w:val="20"/>
              </w:rPr>
              <w:t xml:space="preserve">MMR is the combined vaccine that protects against measles, </w:t>
            </w:r>
            <w:proofErr w:type="gramStart"/>
            <w:r w:rsidRPr="007E69FD">
              <w:rPr>
                <w:rFonts w:cs="Arial"/>
                <w:sz w:val="20"/>
                <w:szCs w:val="20"/>
              </w:rPr>
              <w:t>mumps</w:t>
            </w:r>
            <w:proofErr w:type="gramEnd"/>
            <w:r w:rsidRPr="007E69FD">
              <w:rPr>
                <w:rFonts w:cs="Arial"/>
                <w:sz w:val="20"/>
                <w:szCs w:val="20"/>
              </w:rPr>
              <w:t xml:space="preserve"> and rubella. These are highly infectious conditions that can have serious complications. The first MMR vaccine (MMR1) for children is due within a month of their first birthday as part of the routine vaccination schedule for England (</w:t>
            </w:r>
            <w:hyperlink r:id="rId22" w:history="1">
              <w:r w:rsidRPr="007E69FD">
                <w:rPr>
                  <w:rStyle w:val="Hyperlink"/>
                  <w:rFonts w:cs="Arial"/>
                  <w:sz w:val="20"/>
                  <w:szCs w:val="20"/>
                </w:rPr>
                <w:t>Public Health England</w:t>
              </w:r>
            </w:hyperlink>
            <w:r w:rsidRPr="007E69FD">
              <w:rPr>
                <w:rFonts w:cs="Arial"/>
                <w:sz w:val="20"/>
                <w:szCs w:val="20"/>
              </w:rPr>
              <w:t xml:space="preserve"> 2020). The indicator supports vaccination against measles, </w:t>
            </w:r>
            <w:proofErr w:type="gramStart"/>
            <w:r w:rsidRPr="007E69FD">
              <w:rPr>
                <w:rFonts w:cs="Arial"/>
                <w:sz w:val="20"/>
                <w:szCs w:val="20"/>
              </w:rPr>
              <w:t>mumps</w:t>
            </w:r>
            <w:proofErr w:type="gramEnd"/>
            <w:r w:rsidRPr="007E69FD">
              <w:rPr>
                <w:rFonts w:cs="Arial"/>
                <w:sz w:val="20"/>
                <w:szCs w:val="20"/>
              </w:rPr>
              <w:t xml:space="preserve"> and rubella. The measurement at 5 years of age aims to encourage vaccination in those children who may have missed the first dose of MMR due around their first birthday, to give protection against these infectious diseases before they start school.</w:t>
            </w:r>
          </w:p>
          <w:p w14:paraId="1593FD69" w14:textId="77777777" w:rsidR="00E8462B" w:rsidRDefault="00E8462B" w:rsidP="00D17AE7">
            <w:pPr>
              <w:pStyle w:val="Paragraphnonumbers"/>
              <w:spacing w:before="120" w:after="120" w:line="240" w:lineRule="auto"/>
              <w:rPr>
                <w:rFonts w:cs="Arial"/>
                <w:sz w:val="20"/>
                <w:szCs w:val="20"/>
              </w:rPr>
            </w:pPr>
          </w:p>
          <w:p w14:paraId="54E35380" w14:textId="2AB9266E" w:rsidR="00E8462B" w:rsidRPr="007E69FD" w:rsidRDefault="00E8462B" w:rsidP="00D17AE7">
            <w:pPr>
              <w:pStyle w:val="Paragraphnonumbers"/>
              <w:spacing w:before="120" w:after="120" w:line="240" w:lineRule="auto"/>
              <w:rPr>
                <w:rFonts w:cs="Arial"/>
                <w:sz w:val="20"/>
                <w:szCs w:val="20"/>
              </w:rPr>
            </w:pPr>
          </w:p>
        </w:tc>
      </w:tr>
      <w:tr w:rsidR="000C3B0F" w:rsidRPr="007E69FD" w14:paraId="124F892A" w14:textId="77777777" w:rsidTr="001822E1">
        <w:tc>
          <w:tcPr>
            <w:tcW w:w="1495" w:type="dxa"/>
          </w:tcPr>
          <w:p w14:paraId="3A7563C3" w14:textId="510E3AC1" w:rsidR="000C3B0F" w:rsidRPr="007E69FD" w:rsidRDefault="000C3B0F" w:rsidP="00D17AE7">
            <w:pPr>
              <w:pStyle w:val="Paragraph"/>
              <w:spacing w:before="120" w:after="120" w:line="240" w:lineRule="auto"/>
              <w:rPr>
                <w:rFonts w:cs="Arial"/>
                <w:sz w:val="20"/>
                <w:szCs w:val="20"/>
              </w:rPr>
            </w:pPr>
            <w:r w:rsidRPr="007E69FD">
              <w:rPr>
                <w:rFonts w:cs="Arial"/>
                <w:sz w:val="20"/>
                <w:szCs w:val="20"/>
              </w:rPr>
              <w:lastRenderedPageBreak/>
              <w:t>NM201</w:t>
            </w:r>
          </w:p>
          <w:p w14:paraId="4B7550E8" w14:textId="49FE43A1" w:rsidR="000C3B0F" w:rsidRPr="007E69FD" w:rsidRDefault="000C3B0F" w:rsidP="00D17AE7">
            <w:pPr>
              <w:pStyle w:val="Paragraph"/>
              <w:spacing w:before="120" w:after="120" w:line="240" w:lineRule="auto"/>
              <w:rPr>
                <w:rFonts w:cs="Arial"/>
                <w:sz w:val="20"/>
                <w:szCs w:val="20"/>
              </w:rPr>
            </w:pPr>
            <w:r w:rsidRPr="007E69FD">
              <w:rPr>
                <w:rFonts w:cs="Arial"/>
                <w:sz w:val="20"/>
                <w:szCs w:val="20"/>
              </w:rPr>
              <w:t>Vaccinations and immunisations</w:t>
            </w:r>
          </w:p>
          <w:p w14:paraId="4B19A8F2" w14:textId="6DE6CAC8" w:rsidR="000C3B0F" w:rsidRPr="007E69FD" w:rsidRDefault="000C3B0F" w:rsidP="00D17AE7">
            <w:pPr>
              <w:pStyle w:val="Paragraph"/>
              <w:spacing w:before="120" w:after="120" w:line="240" w:lineRule="auto"/>
              <w:rPr>
                <w:rFonts w:cs="Arial"/>
                <w:sz w:val="20"/>
                <w:szCs w:val="20"/>
              </w:rPr>
            </w:pPr>
          </w:p>
        </w:tc>
        <w:tc>
          <w:tcPr>
            <w:tcW w:w="1453" w:type="dxa"/>
          </w:tcPr>
          <w:p w14:paraId="1C6DC4D7" w14:textId="76B47F51"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3273295A" w14:textId="050142D6" w:rsidR="000C3B0F" w:rsidRPr="007E69FD" w:rsidRDefault="000C3B0F" w:rsidP="00D17AE7">
            <w:pPr>
              <w:pStyle w:val="Paragraph"/>
              <w:spacing w:before="120" w:after="120" w:line="240" w:lineRule="auto"/>
              <w:rPr>
                <w:rFonts w:cs="Arial"/>
                <w:sz w:val="20"/>
                <w:szCs w:val="20"/>
              </w:rPr>
            </w:pPr>
            <w:r w:rsidRPr="007E69FD">
              <w:rPr>
                <w:rFonts w:cs="Arial"/>
                <w:sz w:val="20"/>
                <w:szCs w:val="20"/>
              </w:rPr>
              <w:t>The percentage of patients who reached 75 years old in the preceding 12 months, who have received a shingles vaccine between the ages of 70 and 75 years.</w:t>
            </w:r>
          </w:p>
        </w:tc>
        <w:tc>
          <w:tcPr>
            <w:tcW w:w="7578" w:type="dxa"/>
          </w:tcPr>
          <w:p w14:paraId="130DF7A3" w14:textId="77777777" w:rsidR="000C3B0F" w:rsidRPr="007E69FD" w:rsidRDefault="00730621" w:rsidP="00D17AE7">
            <w:pPr>
              <w:spacing w:before="120" w:after="120"/>
              <w:rPr>
                <w:rFonts w:ascii="Arial" w:hAnsi="Arial" w:cs="Arial"/>
                <w:sz w:val="20"/>
                <w:szCs w:val="20"/>
              </w:rPr>
            </w:pPr>
            <w:hyperlink r:id="rId23" w:history="1">
              <w:r w:rsidR="000C3B0F" w:rsidRPr="007E69FD">
                <w:rPr>
                  <w:rFonts w:ascii="Arial" w:hAnsi="Arial" w:cs="Arial"/>
                  <w:color w:val="0000FF"/>
                  <w:sz w:val="20"/>
                  <w:szCs w:val="20"/>
                  <w:u w:val="single"/>
                </w:rPr>
                <w:t>Shingles</w:t>
              </w:r>
            </w:hyperlink>
            <w:r w:rsidR="000C3B0F" w:rsidRPr="007E69FD">
              <w:rPr>
                <w:rFonts w:ascii="Arial" w:hAnsi="Arial" w:cs="Arial"/>
                <w:sz w:val="20"/>
                <w:szCs w:val="20"/>
              </w:rPr>
              <w:t xml:space="preserve"> (2019) NICE clinical knowledge summary</w:t>
            </w:r>
          </w:p>
          <w:p w14:paraId="219D4C91" w14:textId="77777777" w:rsidR="000C3B0F" w:rsidRDefault="000C3B0F" w:rsidP="00D17AE7">
            <w:pPr>
              <w:pStyle w:val="Paragraphnonumbers"/>
              <w:spacing w:before="120" w:after="120" w:line="240" w:lineRule="auto"/>
              <w:rPr>
                <w:rFonts w:cs="Arial"/>
                <w:sz w:val="20"/>
                <w:szCs w:val="20"/>
              </w:rPr>
            </w:pPr>
            <w:r w:rsidRPr="007E69FD">
              <w:rPr>
                <w:rFonts w:cs="Arial"/>
                <w:sz w:val="20"/>
                <w:szCs w:val="20"/>
              </w:rPr>
              <w:t>Shingles is caused by the reactivation of a latent varicella zoster virus infection. Incidence and severity of disease are associated with increasing age. The routine immunisation schedule states that the shingles vaccine is due at 70 years old (</w:t>
            </w:r>
            <w:hyperlink r:id="rId24" w:history="1">
              <w:r w:rsidRPr="007E69FD">
                <w:rPr>
                  <w:rStyle w:val="Hyperlink"/>
                  <w:rFonts w:cs="Arial"/>
                  <w:sz w:val="20"/>
                  <w:szCs w:val="20"/>
                </w:rPr>
                <w:t>Public Health England</w:t>
              </w:r>
            </w:hyperlink>
            <w:r w:rsidRPr="007E69FD">
              <w:rPr>
                <w:rFonts w:cs="Arial"/>
                <w:sz w:val="20"/>
                <w:szCs w:val="20"/>
              </w:rPr>
              <w:t xml:space="preserve"> 2020).  Patients remain eligible for the vaccination until their 80</w:t>
            </w:r>
            <w:r w:rsidRPr="007E69FD">
              <w:rPr>
                <w:rFonts w:cs="Arial"/>
                <w:sz w:val="20"/>
                <w:szCs w:val="20"/>
                <w:vertAlign w:val="superscript"/>
              </w:rPr>
              <w:t>th</w:t>
            </w:r>
            <w:r w:rsidRPr="007E69FD">
              <w:rPr>
                <w:rFonts w:cs="Arial"/>
                <w:sz w:val="20"/>
                <w:szCs w:val="20"/>
              </w:rPr>
              <w:t xml:space="preserve"> birthday. The indicator supports vaccination against shingles for patients aged 70 years and over. The measurement between 70 and 75 years of age aims to encourage vaccination to prevent against the disease and its complications from an earlier age. The effectiveness of the shingles vaccine decreases with increasing age so earlier vaccination ensures optimal protection against shingles.</w:t>
            </w:r>
          </w:p>
          <w:p w14:paraId="07062895" w14:textId="696D4FDA" w:rsidR="00E8462B" w:rsidRPr="007E69FD" w:rsidRDefault="00E8462B" w:rsidP="00D17AE7">
            <w:pPr>
              <w:pStyle w:val="Paragraphnonumbers"/>
              <w:spacing w:before="120" w:after="120" w:line="240" w:lineRule="auto"/>
              <w:rPr>
                <w:rFonts w:cs="Arial"/>
                <w:sz w:val="20"/>
                <w:szCs w:val="20"/>
              </w:rPr>
            </w:pPr>
          </w:p>
        </w:tc>
      </w:tr>
      <w:tr w:rsidR="000C3B0F" w:rsidRPr="007E69FD" w14:paraId="36F96987" w14:textId="77777777" w:rsidTr="001822E1">
        <w:tc>
          <w:tcPr>
            <w:tcW w:w="1495" w:type="dxa"/>
          </w:tcPr>
          <w:p w14:paraId="09EA9C86" w14:textId="7D75BCBA" w:rsidR="000C3B0F" w:rsidRPr="007E69FD" w:rsidRDefault="000C3B0F" w:rsidP="00D17AE7">
            <w:pPr>
              <w:pStyle w:val="Paragraph"/>
              <w:spacing w:before="120" w:after="120" w:line="240" w:lineRule="auto"/>
              <w:rPr>
                <w:rFonts w:cs="Arial"/>
                <w:sz w:val="20"/>
                <w:szCs w:val="20"/>
              </w:rPr>
            </w:pPr>
            <w:bookmarkStart w:id="4" w:name="_Hlk50039572"/>
            <w:r w:rsidRPr="007E69FD">
              <w:rPr>
                <w:rFonts w:cs="Arial"/>
                <w:sz w:val="20"/>
                <w:szCs w:val="20"/>
              </w:rPr>
              <w:t>NM202</w:t>
            </w:r>
          </w:p>
          <w:p w14:paraId="5C625094" w14:textId="18B8F062" w:rsidR="000C3B0F" w:rsidRPr="007E69FD" w:rsidRDefault="000C3B0F" w:rsidP="00D17AE7">
            <w:pPr>
              <w:pStyle w:val="Paragraph"/>
              <w:spacing w:before="120" w:after="120" w:line="240" w:lineRule="auto"/>
              <w:rPr>
                <w:rFonts w:cs="Arial"/>
                <w:sz w:val="20"/>
                <w:szCs w:val="20"/>
              </w:rPr>
            </w:pPr>
            <w:r w:rsidRPr="007E69FD">
              <w:rPr>
                <w:rFonts w:cs="Arial"/>
                <w:sz w:val="20"/>
                <w:szCs w:val="20"/>
              </w:rPr>
              <w:t>Obesity</w:t>
            </w:r>
          </w:p>
          <w:p w14:paraId="7952F34A" w14:textId="29F0DF72" w:rsidR="000C3B0F" w:rsidRPr="007E69FD" w:rsidRDefault="000C3B0F" w:rsidP="00D17AE7">
            <w:pPr>
              <w:pStyle w:val="Paragraph"/>
              <w:spacing w:before="120" w:after="120" w:line="240" w:lineRule="auto"/>
              <w:rPr>
                <w:rFonts w:cs="Arial"/>
                <w:sz w:val="20"/>
                <w:szCs w:val="20"/>
              </w:rPr>
            </w:pPr>
          </w:p>
        </w:tc>
        <w:tc>
          <w:tcPr>
            <w:tcW w:w="1453" w:type="dxa"/>
          </w:tcPr>
          <w:p w14:paraId="3F950DA5" w14:textId="058545BC"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02899D2D" w14:textId="77777777" w:rsidR="000C3B0F" w:rsidRDefault="000C3B0F" w:rsidP="00D17AE7">
            <w:pPr>
              <w:pStyle w:val="Paragraph"/>
              <w:spacing w:before="120" w:after="120" w:line="240" w:lineRule="auto"/>
              <w:rPr>
                <w:rFonts w:cs="Arial"/>
                <w:sz w:val="20"/>
                <w:szCs w:val="20"/>
              </w:rPr>
            </w:pPr>
            <w:r w:rsidRPr="007E69FD">
              <w:rPr>
                <w:rFonts w:cs="Arial"/>
                <w:sz w:val="20"/>
                <w:szCs w:val="20"/>
              </w:rPr>
              <w:t>The percentage of patients with a BMI ≥27.5 kg/m2 (or ≥30 kg/m2 if ethnicity is recorded as White) in the preceding 12 months who have been offered referral to a weight management programme within 90 days of the BMI being recorded.</w:t>
            </w:r>
          </w:p>
          <w:p w14:paraId="104AC78F" w14:textId="77777777" w:rsidR="002B1328" w:rsidRDefault="002B1328" w:rsidP="00D17AE7">
            <w:pPr>
              <w:pStyle w:val="Paragraph"/>
              <w:spacing w:before="120" w:after="120" w:line="240" w:lineRule="auto"/>
              <w:rPr>
                <w:rFonts w:cs="Arial"/>
                <w:sz w:val="20"/>
                <w:szCs w:val="20"/>
              </w:rPr>
            </w:pPr>
          </w:p>
          <w:p w14:paraId="7E4C58FD" w14:textId="3A57242F" w:rsidR="002B1328" w:rsidRPr="007E69FD" w:rsidRDefault="002B1328" w:rsidP="00D17AE7">
            <w:pPr>
              <w:pStyle w:val="Paragraph"/>
              <w:spacing w:before="120" w:after="120" w:line="240" w:lineRule="auto"/>
              <w:rPr>
                <w:rFonts w:cs="Arial"/>
                <w:sz w:val="20"/>
                <w:szCs w:val="20"/>
              </w:rPr>
            </w:pPr>
            <w:r>
              <w:rPr>
                <w:rFonts w:cs="Arial"/>
                <w:sz w:val="20"/>
                <w:szCs w:val="20"/>
              </w:rPr>
              <w:t>(</w:t>
            </w:r>
            <w:r w:rsidRPr="002775C1">
              <w:rPr>
                <w:rFonts w:cs="Arial"/>
                <w:sz w:val="20"/>
                <w:szCs w:val="20"/>
              </w:rPr>
              <w:t xml:space="preserve">The </w:t>
            </w:r>
            <w:r w:rsidR="002736E2">
              <w:rPr>
                <w:rFonts w:cs="Arial"/>
                <w:sz w:val="20"/>
                <w:szCs w:val="20"/>
              </w:rPr>
              <w:t xml:space="preserve">indicator </w:t>
            </w:r>
            <w:r w:rsidR="002736E2" w:rsidRPr="002775C1">
              <w:rPr>
                <w:rFonts w:cs="Arial"/>
                <w:sz w:val="20"/>
                <w:szCs w:val="20"/>
              </w:rPr>
              <w:t>e</w:t>
            </w:r>
            <w:r w:rsidRPr="002775C1">
              <w:rPr>
                <w:rFonts w:cs="Arial"/>
                <w:sz w:val="20"/>
                <w:szCs w:val="20"/>
              </w:rPr>
              <w:t>xclude</w:t>
            </w:r>
            <w:r w:rsidR="002736E2" w:rsidRPr="002775C1">
              <w:rPr>
                <w:rFonts w:cs="Arial"/>
                <w:sz w:val="20"/>
                <w:szCs w:val="20"/>
              </w:rPr>
              <w:t>s</w:t>
            </w:r>
            <w:r w:rsidRPr="002775C1">
              <w:rPr>
                <w:rFonts w:cs="Arial"/>
                <w:sz w:val="20"/>
                <w:szCs w:val="20"/>
              </w:rPr>
              <w:t xml:space="preserve"> patients with a previous offer or referral to weight management services in the preceding 24 months</w:t>
            </w:r>
            <w:r w:rsidR="002736E2" w:rsidRPr="002775C1">
              <w:rPr>
                <w:rFonts w:cs="Arial"/>
                <w:sz w:val="20"/>
                <w:szCs w:val="20"/>
              </w:rPr>
              <w:t>)</w:t>
            </w:r>
            <w:r>
              <w:rPr>
                <w:rFonts w:ascii="Verdana" w:hAnsi="Verdana"/>
                <w:sz w:val="20"/>
                <w:szCs w:val="20"/>
              </w:rPr>
              <w:t xml:space="preserve"> </w:t>
            </w:r>
          </w:p>
        </w:tc>
        <w:tc>
          <w:tcPr>
            <w:tcW w:w="7578" w:type="dxa"/>
          </w:tcPr>
          <w:p w14:paraId="13F6D19B" w14:textId="2D2EAFD0" w:rsidR="000C3B0F" w:rsidRPr="007E69FD" w:rsidRDefault="00730621" w:rsidP="00D17AE7">
            <w:pPr>
              <w:pStyle w:val="Bullets"/>
              <w:numPr>
                <w:ilvl w:val="0"/>
                <w:numId w:val="0"/>
              </w:numPr>
              <w:spacing w:before="120" w:after="120" w:line="240" w:lineRule="auto"/>
              <w:rPr>
                <w:rFonts w:cs="Arial"/>
                <w:sz w:val="20"/>
                <w:szCs w:val="20"/>
              </w:rPr>
            </w:pPr>
            <w:hyperlink r:id="rId25" w:history="1">
              <w:r w:rsidR="000C3B0F" w:rsidRPr="007E69FD">
                <w:rPr>
                  <w:rStyle w:val="Hyperlink"/>
                  <w:rFonts w:cs="Arial"/>
                  <w:sz w:val="20"/>
                  <w:szCs w:val="20"/>
                </w:rPr>
                <w:t xml:space="preserve">BMI: preventing ill health and premature death in black, </w:t>
              </w:r>
              <w:proofErr w:type="gramStart"/>
              <w:r w:rsidR="000C3B0F" w:rsidRPr="007E69FD">
                <w:rPr>
                  <w:rStyle w:val="Hyperlink"/>
                  <w:rFonts w:cs="Arial"/>
                  <w:sz w:val="20"/>
                  <w:szCs w:val="20"/>
                </w:rPr>
                <w:t>Asian</w:t>
              </w:r>
              <w:proofErr w:type="gramEnd"/>
              <w:r w:rsidR="000C3B0F" w:rsidRPr="007E69FD">
                <w:rPr>
                  <w:rStyle w:val="Hyperlink"/>
                  <w:rFonts w:cs="Arial"/>
                  <w:sz w:val="20"/>
                  <w:szCs w:val="20"/>
                </w:rPr>
                <w:t xml:space="preserve"> and other minority ethnic groups</w:t>
              </w:r>
            </w:hyperlink>
            <w:r w:rsidR="000C3B0F" w:rsidRPr="007E69FD">
              <w:rPr>
                <w:rFonts w:cs="Arial"/>
                <w:sz w:val="20"/>
                <w:szCs w:val="20"/>
              </w:rPr>
              <w:t xml:space="preserve"> (2013) NICE guideline PH46, recommendations 1 and 2</w:t>
            </w:r>
          </w:p>
          <w:p w14:paraId="5A4F09F6" w14:textId="77777777" w:rsidR="000C3B0F" w:rsidRPr="007E69FD" w:rsidRDefault="00730621" w:rsidP="004E7A7F">
            <w:pPr>
              <w:pStyle w:val="Bullets"/>
              <w:numPr>
                <w:ilvl w:val="0"/>
                <w:numId w:val="0"/>
              </w:numPr>
              <w:spacing w:before="120" w:after="120" w:line="240" w:lineRule="auto"/>
              <w:rPr>
                <w:rFonts w:cs="Arial"/>
                <w:sz w:val="20"/>
                <w:szCs w:val="20"/>
              </w:rPr>
            </w:pPr>
            <w:hyperlink r:id="rId26" w:history="1">
              <w:r w:rsidR="000C3B0F" w:rsidRPr="007E69FD">
                <w:rPr>
                  <w:rStyle w:val="Hyperlink"/>
                  <w:rFonts w:cs="Arial"/>
                  <w:sz w:val="20"/>
                  <w:szCs w:val="20"/>
                </w:rPr>
                <w:t>Weight management: lifestyle services for overweight or obese adults</w:t>
              </w:r>
            </w:hyperlink>
            <w:r w:rsidR="000C3B0F" w:rsidRPr="007E69FD">
              <w:rPr>
                <w:rFonts w:cs="Arial"/>
                <w:sz w:val="20"/>
                <w:szCs w:val="20"/>
              </w:rPr>
              <w:t xml:space="preserve"> (2014) NICE guideline PH53, recommendations 6 and 7.</w:t>
            </w:r>
          </w:p>
          <w:p w14:paraId="253E0726" w14:textId="45CCE936" w:rsidR="000C3B0F" w:rsidRPr="007E69FD" w:rsidRDefault="00730621" w:rsidP="004E7A7F">
            <w:pPr>
              <w:pStyle w:val="Bullets"/>
              <w:numPr>
                <w:ilvl w:val="0"/>
                <w:numId w:val="0"/>
              </w:numPr>
              <w:spacing w:before="120" w:after="120" w:line="240" w:lineRule="auto"/>
              <w:rPr>
                <w:rFonts w:cs="Arial"/>
                <w:sz w:val="20"/>
                <w:szCs w:val="20"/>
              </w:rPr>
            </w:pPr>
            <w:hyperlink r:id="rId27" w:history="1">
              <w:r w:rsidR="000C3B0F" w:rsidRPr="007E69FD">
                <w:rPr>
                  <w:rStyle w:val="Hyperlink"/>
                  <w:rFonts w:cs="Arial"/>
                  <w:sz w:val="20"/>
                  <w:szCs w:val="20"/>
                </w:rPr>
                <w:t xml:space="preserve">Obesity: identification, </w:t>
              </w:r>
              <w:proofErr w:type="gramStart"/>
              <w:r w:rsidR="000C3B0F" w:rsidRPr="007E69FD">
                <w:rPr>
                  <w:rStyle w:val="Hyperlink"/>
                  <w:rFonts w:cs="Arial"/>
                  <w:sz w:val="20"/>
                  <w:szCs w:val="20"/>
                </w:rPr>
                <w:t>assessment</w:t>
              </w:r>
              <w:proofErr w:type="gramEnd"/>
              <w:r w:rsidR="000C3B0F" w:rsidRPr="007E69FD">
                <w:rPr>
                  <w:rStyle w:val="Hyperlink"/>
                  <w:rFonts w:cs="Arial"/>
                  <w:sz w:val="20"/>
                  <w:szCs w:val="20"/>
                </w:rPr>
                <w:t xml:space="preserve"> and management</w:t>
              </w:r>
            </w:hyperlink>
            <w:r w:rsidR="000C3B0F" w:rsidRPr="007E69FD">
              <w:rPr>
                <w:rFonts w:cs="Arial"/>
                <w:sz w:val="20"/>
                <w:szCs w:val="20"/>
              </w:rPr>
              <w:t xml:space="preserve"> (2014) NICE guideline CG189, recommendations 1.1.2, 1.2.1, 1.2.8, 1.2.10, 1.3.1, 1.3.4, 1.3.6 and 1.4.4.</w:t>
            </w:r>
          </w:p>
          <w:p w14:paraId="4DAC0859" w14:textId="602156D8" w:rsidR="00080AF9" w:rsidRPr="002775C1" w:rsidRDefault="000C3B0F" w:rsidP="00D17AE7">
            <w:pPr>
              <w:pStyle w:val="Bullets"/>
              <w:numPr>
                <w:ilvl w:val="0"/>
                <w:numId w:val="0"/>
              </w:numPr>
              <w:spacing w:before="120" w:after="120" w:line="240" w:lineRule="auto"/>
              <w:rPr>
                <w:rFonts w:cs="Arial"/>
                <w:sz w:val="20"/>
                <w:szCs w:val="20"/>
              </w:rPr>
            </w:pPr>
            <w:r w:rsidRPr="007E69FD">
              <w:rPr>
                <w:rFonts w:cs="Arial"/>
                <w:sz w:val="20"/>
                <w:szCs w:val="20"/>
              </w:rPr>
              <w:t xml:space="preserve">This indicator aims to increase the proportion of people referred to digital and non-digital weight management programmes by general practice when they have been identified as </w:t>
            </w:r>
            <w:r w:rsidR="00080AF9">
              <w:rPr>
                <w:rFonts w:cs="Arial"/>
                <w:sz w:val="20"/>
                <w:szCs w:val="20"/>
              </w:rPr>
              <w:t xml:space="preserve">having a high </w:t>
            </w:r>
            <w:r w:rsidRPr="007E69FD">
              <w:rPr>
                <w:rFonts w:cs="Arial"/>
                <w:sz w:val="20"/>
                <w:szCs w:val="20"/>
              </w:rPr>
              <w:t>BMI. Some population groups, such as people from BAME backgrounds, have higher risks for certain conditions, such as Type 2 diabetes at lower BMIs.</w:t>
            </w:r>
          </w:p>
          <w:p w14:paraId="4FB886FB" w14:textId="77777777" w:rsidR="002B1328" w:rsidRDefault="002B1328" w:rsidP="00D17AE7">
            <w:pPr>
              <w:pStyle w:val="Bullets"/>
              <w:numPr>
                <w:ilvl w:val="0"/>
                <w:numId w:val="0"/>
              </w:numPr>
              <w:spacing w:before="120" w:after="120" w:line="240" w:lineRule="auto"/>
              <w:rPr>
                <w:rFonts w:cs="Arial"/>
                <w:i/>
                <w:iCs/>
                <w:sz w:val="20"/>
                <w:szCs w:val="20"/>
              </w:rPr>
            </w:pPr>
            <w:r>
              <w:rPr>
                <w:rFonts w:cs="Arial"/>
                <w:i/>
                <w:iCs/>
                <w:sz w:val="20"/>
                <w:szCs w:val="20"/>
              </w:rPr>
              <w:t xml:space="preserve">The NICE advisory committee was aware of stakeholder comments that </w:t>
            </w:r>
            <w:r w:rsidR="002736E2">
              <w:rPr>
                <w:rFonts w:cs="Arial"/>
                <w:i/>
                <w:iCs/>
                <w:sz w:val="20"/>
                <w:szCs w:val="20"/>
              </w:rPr>
              <w:t>currently funded weight management services may not be readily available in all localities</w:t>
            </w:r>
            <w:r w:rsidR="002775C1">
              <w:rPr>
                <w:rFonts w:cs="Arial"/>
                <w:i/>
                <w:iCs/>
                <w:sz w:val="20"/>
                <w:szCs w:val="20"/>
              </w:rPr>
              <w:t>.</w:t>
            </w:r>
          </w:p>
          <w:p w14:paraId="49013026" w14:textId="77777777" w:rsidR="00E8462B" w:rsidRDefault="00E8462B" w:rsidP="00D17AE7">
            <w:pPr>
              <w:pStyle w:val="Bullets"/>
              <w:numPr>
                <w:ilvl w:val="0"/>
                <w:numId w:val="0"/>
              </w:numPr>
              <w:spacing w:before="120" w:after="120" w:line="240" w:lineRule="auto"/>
              <w:rPr>
                <w:rFonts w:cs="Arial"/>
                <w:i/>
                <w:iCs/>
                <w:sz w:val="20"/>
                <w:szCs w:val="20"/>
              </w:rPr>
            </w:pPr>
          </w:p>
          <w:p w14:paraId="369A5B51" w14:textId="77777777" w:rsidR="00E8462B" w:rsidRDefault="00E8462B" w:rsidP="00D17AE7">
            <w:pPr>
              <w:pStyle w:val="Bullets"/>
              <w:numPr>
                <w:ilvl w:val="0"/>
                <w:numId w:val="0"/>
              </w:numPr>
              <w:spacing w:before="120" w:after="120" w:line="240" w:lineRule="auto"/>
              <w:rPr>
                <w:rFonts w:cs="Arial"/>
                <w:i/>
                <w:iCs/>
                <w:sz w:val="20"/>
                <w:szCs w:val="20"/>
              </w:rPr>
            </w:pPr>
          </w:p>
          <w:p w14:paraId="51FECC88" w14:textId="4DA10DC7" w:rsidR="00E8462B" w:rsidRPr="002775C1" w:rsidRDefault="00E8462B" w:rsidP="00D17AE7">
            <w:pPr>
              <w:pStyle w:val="Bullets"/>
              <w:numPr>
                <w:ilvl w:val="0"/>
                <w:numId w:val="0"/>
              </w:numPr>
              <w:spacing w:before="120" w:after="120" w:line="240" w:lineRule="auto"/>
              <w:rPr>
                <w:rFonts w:cs="Arial"/>
                <w:i/>
                <w:iCs/>
                <w:sz w:val="20"/>
                <w:szCs w:val="20"/>
              </w:rPr>
            </w:pPr>
          </w:p>
        </w:tc>
      </w:tr>
      <w:tr w:rsidR="000C3B0F" w:rsidRPr="007E69FD" w14:paraId="42487A23" w14:textId="77777777" w:rsidTr="001822E1">
        <w:tc>
          <w:tcPr>
            <w:tcW w:w="1495" w:type="dxa"/>
          </w:tcPr>
          <w:p w14:paraId="4DA0CD93" w14:textId="77777777" w:rsidR="000C3B0F" w:rsidRPr="007E69FD" w:rsidRDefault="000C3B0F" w:rsidP="00D17AE7">
            <w:pPr>
              <w:pStyle w:val="Paragraph"/>
              <w:spacing w:before="120" w:after="120" w:line="240" w:lineRule="auto"/>
              <w:rPr>
                <w:rFonts w:cs="Arial"/>
                <w:sz w:val="20"/>
                <w:szCs w:val="20"/>
              </w:rPr>
            </w:pPr>
            <w:r w:rsidRPr="007E69FD">
              <w:rPr>
                <w:rFonts w:cs="Arial"/>
                <w:sz w:val="20"/>
                <w:szCs w:val="20"/>
              </w:rPr>
              <w:lastRenderedPageBreak/>
              <w:t>NM203</w:t>
            </w:r>
          </w:p>
          <w:p w14:paraId="731F6769" w14:textId="2C838C0E" w:rsidR="000C3B0F" w:rsidRPr="007E69FD" w:rsidRDefault="000C3B0F" w:rsidP="00D17AE7">
            <w:pPr>
              <w:pStyle w:val="Paragraph"/>
              <w:spacing w:before="120" w:after="120" w:line="240" w:lineRule="auto"/>
              <w:rPr>
                <w:rFonts w:cs="Arial"/>
                <w:sz w:val="20"/>
                <w:szCs w:val="20"/>
              </w:rPr>
            </w:pPr>
            <w:r w:rsidRPr="007E69FD">
              <w:rPr>
                <w:rFonts w:cs="Arial"/>
                <w:sz w:val="20"/>
                <w:szCs w:val="20"/>
              </w:rPr>
              <w:t>Obesity</w:t>
            </w:r>
          </w:p>
          <w:p w14:paraId="41B56D7E" w14:textId="28D638A9" w:rsidR="000C3B0F" w:rsidRPr="007E69FD" w:rsidRDefault="000C3B0F" w:rsidP="00D17AE7">
            <w:pPr>
              <w:pStyle w:val="Paragraph"/>
              <w:spacing w:before="120" w:after="120" w:line="240" w:lineRule="auto"/>
              <w:rPr>
                <w:rFonts w:cs="Arial"/>
                <w:sz w:val="20"/>
                <w:szCs w:val="20"/>
              </w:rPr>
            </w:pPr>
          </w:p>
        </w:tc>
        <w:tc>
          <w:tcPr>
            <w:tcW w:w="1453" w:type="dxa"/>
          </w:tcPr>
          <w:p w14:paraId="31FC0C18" w14:textId="64D0E1C9"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174C3FC5" w14:textId="6D574B3F" w:rsidR="002736E2" w:rsidRDefault="000C3B0F" w:rsidP="00D17AE7">
            <w:pPr>
              <w:pStyle w:val="Paragraph"/>
              <w:spacing w:before="120" w:after="120" w:line="240" w:lineRule="auto"/>
              <w:rPr>
                <w:rFonts w:cs="Arial"/>
                <w:sz w:val="20"/>
                <w:szCs w:val="20"/>
              </w:rPr>
            </w:pPr>
            <w:r w:rsidRPr="007E69FD">
              <w:rPr>
                <w:rFonts w:cs="Arial"/>
                <w:sz w:val="20"/>
                <w:szCs w:val="20"/>
              </w:rPr>
              <w:t xml:space="preserve">The percentage of patients with hypertension or diabetes and a BMI ≥27.5 kg/m2 (or ≥30 kg/m2 if ethnicity is recorded as White) in the preceding 12 months who have been </w:t>
            </w:r>
            <w:r w:rsidR="005842E1" w:rsidRPr="007E69FD">
              <w:rPr>
                <w:rFonts w:cs="Arial"/>
                <w:sz w:val="20"/>
                <w:szCs w:val="20"/>
              </w:rPr>
              <w:t>referred</w:t>
            </w:r>
            <w:r w:rsidRPr="007E69FD">
              <w:rPr>
                <w:rFonts w:cs="Arial"/>
                <w:sz w:val="20"/>
                <w:szCs w:val="20"/>
              </w:rPr>
              <w:t xml:space="preserve"> to a weight management programme within 90 days of the BMI being recorded.</w:t>
            </w:r>
          </w:p>
          <w:p w14:paraId="48EEA4B3" w14:textId="77777777" w:rsidR="002736E2" w:rsidRDefault="002736E2" w:rsidP="00D17AE7">
            <w:pPr>
              <w:pStyle w:val="Paragraph"/>
              <w:spacing w:before="120" w:after="120" w:line="240" w:lineRule="auto"/>
              <w:rPr>
                <w:rFonts w:cs="Arial"/>
                <w:sz w:val="20"/>
                <w:szCs w:val="20"/>
              </w:rPr>
            </w:pPr>
          </w:p>
          <w:p w14:paraId="68364639" w14:textId="3B49D837" w:rsidR="002736E2" w:rsidRPr="007E69FD" w:rsidRDefault="002736E2" w:rsidP="00D17AE7">
            <w:pPr>
              <w:pStyle w:val="Paragraph"/>
              <w:spacing w:before="120" w:after="120" w:line="240" w:lineRule="auto"/>
              <w:rPr>
                <w:rFonts w:cs="Arial"/>
                <w:sz w:val="20"/>
                <w:szCs w:val="20"/>
              </w:rPr>
            </w:pPr>
            <w:r>
              <w:rPr>
                <w:rFonts w:cs="Arial"/>
                <w:sz w:val="20"/>
                <w:szCs w:val="20"/>
              </w:rPr>
              <w:t>(</w:t>
            </w:r>
            <w:r w:rsidRPr="008C47BA">
              <w:rPr>
                <w:rFonts w:cs="Arial"/>
                <w:sz w:val="20"/>
                <w:szCs w:val="20"/>
              </w:rPr>
              <w:t xml:space="preserve">The </w:t>
            </w:r>
            <w:r>
              <w:rPr>
                <w:rFonts w:cs="Arial"/>
                <w:sz w:val="20"/>
                <w:szCs w:val="20"/>
              </w:rPr>
              <w:t xml:space="preserve">indicator </w:t>
            </w:r>
            <w:r w:rsidRPr="008C47BA">
              <w:rPr>
                <w:rFonts w:cs="Arial"/>
                <w:sz w:val="20"/>
                <w:szCs w:val="20"/>
              </w:rPr>
              <w:t>excludes patients with a previous referral to weight management services in the preceding 24 months)</w:t>
            </w:r>
          </w:p>
        </w:tc>
        <w:tc>
          <w:tcPr>
            <w:tcW w:w="7578" w:type="dxa"/>
          </w:tcPr>
          <w:p w14:paraId="656AFC1E" w14:textId="46FF0769" w:rsidR="000C3B0F" w:rsidRPr="007E69FD" w:rsidRDefault="00730621" w:rsidP="00D17AE7">
            <w:pPr>
              <w:pStyle w:val="Bullets"/>
              <w:numPr>
                <w:ilvl w:val="0"/>
                <w:numId w:val="0"/>
              </w:numPr>
              <w:spacing w:before="120" w:after="120" w:line="240" w:lineRule="auto"/>
              <w:rPr>
                <w:rFonts w:cs="Arial"/>
                <w:sz w:val="20"/>
                <w:szCs w:val="20"/>
              </w:rPr>
            </w:pPr>
            <w:hyperlink r:id="rId28" w:history="1">
              <w:r w:rsidR="000C3B0F" w:rsidRPr="007E69FD">
                <w:rPr>
                  <w:rStyle w:val="Hyperlink"/>
                  <w:rFonts w:cs="Arial"/>
                  <w:sz w:val="20"/>
                  <w:szCs w:val="20"/>
                </w:rPr>
                <w:t>Weight management: lifestyle services for overweight or obese adults</w:t>
              </w:r>
            </w:hyperlink>
            <w:r w:rsidR="000C3B0F" w:rsidRPr="007E69FD">
              <w:rPr>
                <w:rFonts w:cs="Arial"/>
                <w:sz w:val="20"/>
                <w:szCs w:val="20"/>
              </w:rPr>
              <w:t xml:space="preserve"> (2014) NICE guideline PH53, recommendations 6 and 7.</w:t>
            </w:r>
          </w:p>
          <w:p w14:paraId="5E680798" w14:textId="367DFBD3" w:rsidR="000C3B0F" w:rsidRPr="007E69FD" w:rsidRDefault="00730621" w:rsidP="00D17AE7">
            <w:pPr>
              <w:pStyle w:val="Bullets"/>
              <w:numPr>
                <w:ilvl w:val="0"/>
                <w:numId w:val="0"/>
              </w:numPr>
              <w:spacing w:before="120" w:after="120" w:line="240" w:lineRule="auto"/>
              <w:rPr>
                <w:rFonts w:cs="Arial"/>
                <w:sz w:val="20"/>
                <w:szCs w:val="20"/>
              </w:rPr>
            </w:pPr>
            <w:hyperlink r:id="rId29" w:history="1">
              <w:r w:rsidR="000C3B0F" w:rsidRPr="007E69FD">
                <w:rPr>
                  <w:rStyle w:val="Hyperlink"/>
                  <w:rFonts w:cs="Arial"/>
                  <w:sz w:val="20"/>
                  <w:szCs w:val="20"/>
                </w:rPr>
                <w:t xml:space="preserve">Obesity: identification, </w:t>
              </w:r>
              <w:proofErr w:type="gramStart"/>
              <w:r w:rsidR="000C3B0F" w:rsidRPr="007E69FD">
                <w:rPr>
                  <w:rStyle w:val="Hyperlink"/>
                  <w:rFonts w:cs="Arial"/>
                  <w:sz w:val="20"/>
                  <w:szCs w:val="20"/>
                </w:rPr>
                <w:t>assessment</w:t>
              </w:r>
              <w:proofErr w:type="gramEnd"/>
              <w:r w:rsidR="000C3B0F" w:rsidRPr="007E69FD">
                <w:rPr>
                  <w:rStyle w:val="Hyperlink"/>
                  <w:rFonts w:cs="Arial"/>
                  <w:sz w:val="20"/>
                  <w:szCs w:val="20"/>
                </w:rPr>
                <w:t xml:space="preserve"> and management</w:t>
              </w:r>
            </w:hyperlink>
            <w:r w:rsidR="000C3B0F" w:rsidRPr="007E69FD">
              <w:rPr>
                <w:rFonts w:cs="Arial"/>
                <w:sz w:val="20"/>
                <w:szCs w:val="20"/>
              </w:rPr>
              <w:t xml:space="preserve"> (2014) NICE guideline CG189, recommendations 1.1.2, 1.2.1, 1.2.8, 1.2.10, 1.2.11, 1.3.1, 1.3.4, 1.3.6 and 1.4.4.</w:t>
            </w:r>
          </w:p>
          <w:p w14:paraId="25BF388E" w14:textId="1DA1AFEC" w:rsidR="000C3B0F" w:rsidRPr="007E69FD" w:rsidRDefault="00730621" w:rsidP="00D17AE7">
            <w:pPr>
              <w:pStyle w:val="Bullets"/>
              <w:numPr>
                <w:ilvl w:val="0"/>
                <w:numId w:val="0"/>
              </w:numPr>
              <w:spacing w:before="120" w:after="120" w:line="240" w:lineRule="auto"/>
              <w:rPr>
                <w:rFonts w:cs="Arial"/>
                <w:sz w:val="20"/>
                <w:szCs w:val="20"/>
              </w:rPr>
            </w:pPr>
            <w:hyperlink r:id="rId30" w:history="1">
              <w:r w:rsidR="000C3B0F" w:rsidRPr="007E69FD">
                <w:rPr>
                  <w:rStyle w:val="Hyperlink"/>
                  <w:rFonts w:cs="Arial"/>
                  <w:sz w:val="20"/>
                  <w:szCs w:val="20"/>
                </w:rPr>
                <w:t>Obesity in adults</w:t>
              </w:r>
            </w:hyperlink>
            <w:r w:rsidR="000C3B0F" w:rsidRPr="007E69FD">
              <w:rPr>
                <w:rFonts w:cs="Arial"/>
                <w:sz w:val="20"/>
                <w:szCs w:val="20"/>
              </w:rPr>
              <w:t xml:space="preserve"> (2016) NICE quality standard 111, statement 7.</w:t>
            </w:r>
          </w:p>
          <w:p w14:paraId="725C62B0" w14:textId="77777777" w:rsidR="00AB3CFF" w:rsidRDefault="00AB3CFF" w:rsidP="00D17AE7">
            <w:pPr>
              <w:pStyle w:val="Bullets"/>
              <w:numPr>
                <w:ilvl w:val="0"/>
                <w:numId w:val="0"/>
              </w:numPr>
              <w:spacing w:before="120" w:after="120" w:line="240" w:lineRule="auto"/>
              <w:rPr>
                <w:rFonts w:cs="Arial"/>
                <w:sz w:val="20"/>
                <w:szCs w:val="20"/>
              </w:rPr>
            </w:pPr>
            <w:r w:rsidRPr="00AB3CFF">
              <w:rPr>
                <w:rFonts w:cs="Arial"/>
                <w:sz w:val="20"/>
                <w:szCs w:val="20"/>
              </w:rPr>
              <w:t xml:space="preserve">This indicator aims to increase the proportion of patients with hypertension or diabetes referred to digital and non-digital weight management programmes by general practice when they have been identified as obese based on their BMI measurement. Patients with hypertension or diabetes may experience additional benefits from attaining and maintaining a healthy weight, and patients should be given a targeted offer of support. </w:t>
            </w:r>
          </w:p>
          <w:p w14:paraId="0530F58B" w14:textId="4E137D8A" w:rsidR="002B1328" w:rsidRPr="007E69FD" w:rsidRDefault="002B1328" w:rsidP="00D17AE7">
            <w:pPr>
              <w:pStyle w:val="Bullets"/>
              <w:numPr>
                <w:ilvl w:val="0"/>
                <w:numId w:val="0"/>
              </w:numPr>
              <w:spacing w:before="120" w:after="120" w:line="240" w:lineRule="auto"/>
              <w:rPr>
                <w:rFonts w:cs="Arial"/>
                <w:sz w:val="20"/>
                <w:szCs w:val="20"/>
              </w:rPr>
            </w:pPr>
            <w:r w:rsidRPr="008C47BA">
              <w:rPr>
                <w:rFonts w:cs="Arial"/>
                <w:i/>
                <w:iCs/>
                <w:sz w:val="20"/>
                <w:szCs w:val="20"/>
              </w:rPr>
              <w:t>The NICE advisory committee was aware that the current long-term plan (</w:t>
            </w:r>
            <w:hyperlink r:id="rId31" w:history="1">
              <w:r w:rsidRPr="008C47BA">
                <w:rPr>
                  <w:rStyle w:val="Hyperlink"/>
                  <w:rFonts w:cs="Arial"/>
                  <w:i/>
                  <w:iCs/>
                  <w:sz w:val="20"/>
                  <w:szCs w:val="20"/>
                </w:rPr>
                <w:t>para 2.14</w:t>
              </w:r>
            </w:hyperlink>
            <w:r w:rsidRPr="008C47BA">
              <w:rPr>
                <w:rFonts w:cs="Arial"/>
                <w:i/>
                <w:iCs/>
                <w:sz w:val="20"/>
                <w:szCs w:val="20"/>
              </w:rPr>
              <w:t xml:space="preserve">) </w:t>
            </w:r>
            <w:r w:rsidR="005105E3">
              <w:rPr>
                <w:rFonts w:cs="Arial"/>
                <w:i/>
                <w:iCs/>
                <w:sz w:val="20"/>
                <w:szCs w:val="20"/>
              </w:rPr>
              <w:t xml:space="preserve">notes </w:t>
            </w:r>
            <w:r w:rsidRPr="008C47BA">
              <w:rPr>
                <w:rFonts w:cs="Arial"/>
                <w:i/>
                <w:iCs/>
                <w:sz w:val="20"/>
                <w:szCs w:val="20"/>
              </w:rPr>
              <w:t xml:space="preserve"> that weigh</w:t>
            </w:r>
            <w:r w:rsidR="005105E3">
              <w:rPr>
                <w:rFonts w:cs="Arial"/>
                <w:i/>
                <w:iCs/>
                <w:sz w:val="20"/>
                <w:szCs w:val="20"/>
              </w:rPr>
              <w:t>t</w:t>
            </w:r>
            <w:r w:rsidRPr="008C47BA">
              <w:rPr>
                <w:rFonts w:cs="Arial"/>
                <w:i/>
                <w:iCs/>
                <w:sz w:val="20"/>
                <w:szCs w:val="20"/>
              </w:rPr>
              <w:t xml:space="preserve"> loss services will be made available for people with type 2 diabetes and hypertension. The committee was </w:t>
            </w:r>
            <w:r w:rsidR="00FA7449">
              <w:rPr>
                <w:rFonts w:cs="Arial"/>
                <w:i/>
                <w:iCs/>
                <w:sz w:val="20"/>
                <w:szCs w:val="20"/>
              </w:rPr>
              <w:t xml:space="preserve">conscious </w:t>
            </w:r>
            <w:r w:rsidRPr="008C47BA">
              <w:rPr>
                <w:rFonts w:cs="Arial"/>
                <w:i/>
                <w:iCs/>
                <w:sz w:val="20"/>
                <w:szCs w:val="20"/>
              </w:rPr>
              <w:t>that current NICE guidance</w:t>
            </w:r>
            <w:r>
              <w:rPr>
                <w:rFonts w:cs="Arial"/>
                <w:i/>
                <w:iCs/>
                <w:sz w:val="20"/>
                <w:szCs w:val="20"/>
              </w:rPr>
              <w:t xml:space="preserve"> on weight management </w:t>
            </w:r>
            <w:r w:rsidRPr="008C47BA">
              <w:rPr>
                <w:rFonts w:cs="Arial"/>
                <w:i/>
                <w:iCs/>
                <w:sz w:val="20"/>
                <w:szCs w:val="20"/>
              </w:rPr>
              <w:t>(</w:t>
            </w:r>
            <w:hyperlink r:id="rId32" w:anchor="recommendation-6-refer-overweight-and-obese-adults-to-a-lifestyle-weight-management-programme" w:history="1">
              <w:r w:rsidRPr="008C47BA">
                <w:rPr>
                  <w:rStyle w:val="Hyperlink"/>
                  <w:rFonts w:cs="Arial"/>
                  <w:i/>
                  <w:iCs/>
                  <w:sz w:val="20"/>
                  <w:szCs w:val="20"/>
                </w:rPr>
                <w:t>PH53</w:t>
              </w:r>
            </w:hyperlink>
            <w:r w:rsidRPr="008C47BA">
              <w:rPr>
                <w:rFonts w:cs="Arial"/>
                <w:i/>
                <w:iCs/>
                <w:sz w:val="20"/>
                <w:szCs w:val="20"/>
              </w:rPr>
              <w:t>) highlights that referrals may particularly benefit people with risk factors including comorbidities such as type 2 diabetes.</w:t>
            </w:r>
          </w:p>
        </w:tc>
      </w:tr>
      <w:bookmarkEnd w:id="4"/>
      <w:tr w:rsidR="000C3B0F" w:rsidRPr="007E69FD" w14:paraId="11F88BF6" w14:textId="77777777" w:rsidTr="001822E1">
        <w:tc>
          <w:tcPr>
            <w:tcW w:w="1495" w:type="dxa"/>
          </w:tcPr>
          <w:p w14:paraId="65FAB5EA" w14:textId="77777777" w:rsidR="000C3B0F" w:rsidRPr="007E69FD" w:rsidRDefault="000C3B0F" w:rsidP="00D17AE7">
            <w:pPr>
              <w:pStyle w:val="Paragraph"/>
              <w:spacing w:before="120" w:after="120" w:line="240" w:lineRule="auto"/>
              <w:rPr>
                <w:rFonts w:cs="Arial"/>
                <w:sz w:val="20"/>
                <w:szCs w:val="20"/>
              </w:rPr>
            </w:pPr>
            <w:r w:rsidRPr="007E69FD">
              <w:rPr>
                <w:rFonts w:cs="Arial"/>
                <w:sz w:val="20"/>
                <w:szCs w:val="20"/>
              </w:rPr>
              <w:t>NM204</w:t>
            </w:r>
          </w:p>
          <w:p w14:paraId="0047DEED" w14:textId="5BA1B71D" w:rsidR="000C3B0F" w:rsidRPr="007E69FD" w:rsidRDefault="000C3B0F" w:rsidP="00D17AE7">
            <w:pPr>
              <w:pStyle w:val="Paragraph"/>
              <w:spacing w:before="120" w:after="120" w:line="240" w:lineRule="auto"/>
              <w:rPr>
                <w:rFonts w:cs="Arial"/>
                <w:sz w:val="20"/>
                <w:szCs w:val="20"/>
              </w:rPr>
            </w:pPr>
            <w:r w:rsidRPr="007E69FD">
              <w:rPr>
                <w:rFonts w:cs="Arial"/>
                <w:sz w:val="20"/>
                <w:szCs w:val="20"/>
              </w:rPr>
              <w:t>Cancer</w:t>
            </w:r>
          </w:p>
          <w:p w14:paraId="2C7077CF" w14:textId="5E21BECD" w:rsidR="000C3B0F" w:rsidRPr="007E69FD" w:rsidRDefault="000C3B0F" w:rsidP="00D17AE7">
            <w:pPr>
              <w:pStyle w:val="Paragraph"/>
              <w:spacing w:before="120" w:after="120" w:line="240" w:lineRule="auto"/>
              <w:rPr>
                <w:rFonts w:cs="Arial"/>
                <w:sz w:val="20"/>
                <w:szCs w:val="20"/>
              </w:rPr>
            </w:pPr>
          </w:p>
        </w:tc>
        <w:tc>
          <w:tcPr>
            <w:tcW w:w="1453" w:type="dxa"/>
          </w:tcPr>
          <w:p w14:paraId="2514804D" w14:textId="3C72C778"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71B0FB17" w14:textId="2D68B5D5" w:rsidR="000C3B0F" w:rsidRPr="007E69FD" w:rsidRDefault="000C3B0F" w:rsidP="00D17AE7">
            <w:pPr>
              <w:pStyle w:val="Paragraph"/>
              <w:spacing w:before="120" w:after="120" w:line="240" w:lineRule="auto"/>
              <w:rPr>
                <w:rFonts w:cs="Arial"/>
                <w:sz w:val="20"/>
                <w:szCs w:val="20"/>
              </w:rPr>
            </w:pPr>
            <w:r w:rsidRPr="007E69FD">
              <w:rPr>
                <w:rFonts w:cs="Arial"/>
                <w:sz w:val="20"/>
                <w:szCs w:val="20"/>
              </w:rPr>
              <w:t>The percentage of patients with cancer, diagnosed within the preceding 12 months, who have had a discussion within 3 months of diagnosis about the support available from primary care.</w:t>
            </w:r>
          </w:p>
        </w:tc>
        <w:tc>
          <w:tcPr>
            <w:tcW w:w="7578" w:type="dxa"/>
          </w:tcPr>
          <w:p w14:paraId="5BDAAEFC" w14:textId="020CF692" w:rsidR="000C3B0F" w:rsidRPr="007E69FD" w:rsidRDefault="00730621" w:rsidP="00D17AE7">
            <w:pPr>
              <w:pStyle w:val="Bullets"/>
              <w:numPr>
                <w:ilvl w:val="0"/>
                <w:numId w:val="0"/>
              </w:numPr>
              <w:spacing w:before="120" w:after="120" w:line="240" w:lineRule="auto"/>
              <w:rPr>
                <w:rFonts w:cs="Arial"/>
                <w:sz w:val="20"/>
                <w:szCs w:val="20"/>
              </w:rPr>
            </w:pPr>
            <w:hyperlink r:id="rId33" w:history="1">
              <w:r w:rsidR="000C3B0F" w:rsidRPr="007E69FD">
                <w:rPr>
                  <w:rStyle w:val="Hyperlink"/>
                  <w:rFonts w:cs="Arial"/>
                  <w:sz w:val="20"/>
                  <w:szCs w:val="20"/>
                </w:rPr>
                <w:t>Patient experience in adult NHS services</w:t>
              </w:r>
            </w:hyperlink>
            <w:r w:rsidR="000C3B0F" w:rsidRPr="007E69FD">
              <w:rPr>
                <w:rFonts w:cs="Arial"/>
                <w:sz w:val="20"/>
                <w:szCs w:val="20"/>
              </w:rPr>
              <w:t xml:space="preserve"> CG138 recommendations 1.1.1, 1.3.4 and 1.3.5</w:t>
            </w:r>
          </w:p>
          <w:p w14:paraId="620DDEE4" w14:textId="77777777" w:rsidR="000C3B0F" w:rsidRDefault="00292C4E" w:rsidP="00D17AE7">
            <w:pPr>
              <w:pStyle w:val="Bullets"/>
              <w:numPr>
                <w:ilvl w:val="0"/>
                <w:numId w:val="0"/>
              </w:numPr>
              <w:spacing w:before="120" w:after="120" w:line="240" w:lineRule="auto"/>
              <w:rPr>
                <w:rFonts w:cs="Arial"/>
                <w:sz w:val="20"/>
                <w:szCs w:val="20"/>
              </w:rPr>
            </w:pPr>
            <w:r w:rsidRPr="00292C4E">
              <w:rPr>
                <w:rFonts w:cs="Arial"/>
                <w:sz w:val="20"/>
                <w:szCs w:val="20"/>
              </w:rPr>
              <w:t>This indicator aims to ensure patients are aware of the support available from their GP and wider practice team soon after their diagnosis and how this can complement the care they are receiving in secondary care. The intention is to facilitate early and supportive conversations and ensure patients are aware of what help is available.</w:t>
            </w:r>
          </w:p>
          <w:p w14:paraId="5403581E" w14:textId="77777777" w:rsidR="00E8462B" w:rsidRDefault="00E8462B" w:rsidP="00D17AE7">
            <w:pPr>
              <w:pStyle w:val="Bullets"/>
              <w:numPr>
                <w:ilvl w:val="0"/>
                <w:numId w:val="0"/>
              </w:numPr>
              <w:spacing w:before="120" w:after="120" w:line="240" w:lineRule="auto"/>
              <w:rPr>
                <w:rFonts w:cs="Arial"/>
                <w:sz w:val="20"/>
                <w:szCs w:val="20"/>
              </w:rPr>
            </w:pPr>
          </w:p>
          <w:p w14:paraId="1A1E3456" w14:textId="77777777" w:rsidR="00E8462B" w:rsidRDefault="00E8462B" w:rsidP="00D17AE7">
            <w:pPr>
              <w:pStyle w:val="Bullets"/>
              <w:numPr>
                <w:ilvl w:val="0"/>
                <w:numId w:val="0"/>
              </w:numPr>
              <w:spacing w:before="120" w:after="120" w:line="240" w:lineRule="auto"/>
              <w:rPr>
                <w:rFonts w:cs="Arial"/>
                <w:sz w:val="20"/>
                <w:szCs w:val="20"/>
              </w:rPr>
            </w:pPr>
          </w:p>
          <w:p w14:paraId="2D9D98B8" w14:textId="1F5850BD" w:rsidR="00E8462B" w:rsidRPr="007E69FD" w:rsidRDefault="00E8462B" w:rsidP="00D17AE7">
            <w:pPr>
              <w:pStyle w:val="Bullets"/>
              <w:numPr>
                <w:ilvl w:val="0"/>
                <w:numId w:val="0"/>
              </w:numPr>
              <w:spacing w:before="120" w:after="120" w:line="240" w:lineRule="auto"/>
              <w:rPr>
                <w:rFonts w:cs="Arial"/>
                <w:sz w:val="20"/>
                <w:szCs w:val="20"/>
              </w:rPr>
            </w:pPr>
          </w:p>
        </w:tc>
      </w:tr>
      <w:tr w:rsidR="000C3B0F" w:rsidRPr="007E69FD" w14:paraId="4E22B4AA" w14:textId="77777777" w:rsidTr="001822E1">
        <w:tc>
          <w:tcPr>
            <w:tcW w:w="1495" w:type="dxa"/>
          </w:tcPr>
          <w:p w14:paraId="52B922C0" w14:textId="77777777" w:rsidR="000C3B0F" w:rsidRPr="007E69FD" w:rsidRDefault="000C3B0F" w:rsidP="00D17AE7">
            <w:pPr>
              <w:pStyle w:val="Paragraph"/>
              <w:spacing w:before="120" w:after="120" w:line="240" w:lineRule="auto"/>
              <w:rPr>
                <w:rFonts w:cs="Arial"/>
                <w:sz w:val="20"/>
                <w:szCs w:val="20"/>
              </w:rPr>
            </w:pPr>
            <w:r w:rsidRPr="007E69FD">
              <w:rPr>
                <w:rFonts w:cs="Arial"/>
                <w:sz w:val="20"/>
                <w:szCs w:val="20"/>
              </w:rPr>
              <w:lastRenderedPageBreak/>
              <w:t>NM205</w:t>
            </w:r>
          </w:p>
          <w:p w14:paraId="0941FE12" w14:textId="0FFC0785" w:rsidR="000C3B0F" w:rsidRPr="007E69FD" w:rsidRDefault="000C3B0F" w:rsidP="00D17AE7">
            <w:pPr>
              <w:pStyle w:val="Paragraph"/>
              <w:spacing w:before="120" w:after="120" w:line="240" w:lineRule="auto"/>
              <w:rPr>
                <w:rFonts w:cs="Arial"/>
                <w:sz w:val="20"/>
                <w:szCs w:val="20"/>
              </w:rPr>
            </w:pPr>
            <w:r w:rsidRPr="007E69FD">
              <w:rPr>
                <w:rFonts w:cs="Arial"/>
                <w:sz w:val="20"/>
                <w:szCs w:val="20"/>
              </w:rPr>
              <w:t>Cancer</w:t>
            </w:r>
          </w:p>
          <w:p w14:paraId="18A83797" w14:textId="23770AC0" w:rsidR="000C3B0F" w:rsidRPr="007E69FD" w:rsidRDefault="000C3B0F" w:rsidP="00D17AE7">
            <w:pPr>
              <w:pStyle w:val="Paragraph"/>
              <w:spacing w:before="120" w:after="120" w:line="240" w:lineRule="auto"/>
              <w:rPr>
                <w:rFonts w:cs="Arial"/>
                <w:sz w:val="20"/>
                <w:szCs w:val="20"/>
              </w:rPr>
            </w:pPr>
          </w:p>
        </w:tc>
        <w:tc>
          <w:tcPr>
            <w:tcW w:w="1453" w:type="dxa"/>
          </w:tcPr>
          <w:p w14:paraId="4E16997B" w14:textId="1A5B0C34" w:rsidR="000C3B0F" w:rsidRPr="007E69FD" w:rsidRDefault="000C3B0F" w:rsidP="00D17AE7">
            <w:pPr>
              <w:pStyle w:val="Paragraph"/>
              <w:spacing w:before="120" w:after="120" w:line="240" w:lineRule="auto"/>
              <w:rPr>
                <w:rFonts w:cs="Arial"/>
                <w:sz w:val="20"/>
                <w:szCs w:val="20"/>
              </w:rPr>
            </w:pPr>
            <w:r w:rsidRPr="007E69FD">
              <w:rPr>
                <w:rFonts w:cs="Arial"/>
                <w:sz w:val="20"/>
                <w:szCs w:val="20"/>
              </w:rPr>
              <w:t>General practice indicator suitable for use in the QOF</w:t>
            </w:r>
          </w:p>
        </w:tc>
        <w:tc>
          <w:tcPr>
            <w:tcW w:w="4216" w:type="dxa"/>
          </w:tcPr>
          <w:p w14:paraId="08695AF3" w14:textId="1E8ACE3C" w:rsidR="000C3B0F" w:rsidRPr="007E69FD" w:rsidRDefault="000C3B0F" w:rsidP="00D17AE7">
            <w:pPr>
              <w:pStyle w:val="Paragraph"/>
              <w:spacing w:before="120" w:after="120" w:line="240" w:lineRule="auto"/>
              <w:rPr>
                <w:rFonts w:cs="Arial"/>
                <w:sz w:val="20"/>
                <w:szCs w:val="20"/>
              </w:rPr>
            </w:pPr>
            <w:r w:rsidRPr="007E69FD">
              <w:rPr>
                <w:rFonts w:cs="Arial"/>
                <w:sz w:val="20"/>
                <w:szCs w:val="20"/>
              </w:rPr>
              <w:t>The percentage of patients with cancer, diagnosed within the preceding 24 months, who have a patient Cancer Care Review using a structured template within 12 months of diagnosis.</w:t>
            </w:r>
          </w:p>
        </w:tc>
        <w:tc>
          <w:tcPr>
            <w:tcW w:w="7578" w:type="dxa"/>
          </w:tcPr>
          <w:p w14:paraId="4AB2ADB5" w14:textId="4E349D7E" w:rsidR="000C3B0F" w:rsidRPr="007E69FD" w:rsidRDefault="00730621" w:rsidP="00D17AE7">
            <w:pPr>
              <w:pStyle w:val="Bullets"/>
              <w:numPr>
                <w:ilvl w:val="0"/>
                <w:numId w:val="0"/>
              </w:numPr>
              <w:spacing w:before="120" w:after="120" w:line="240" w:lineRule="auto"/>
              <w:rPr>
                <w:rFonts w:cs="Arial"/>
                <w:sz w:val="20"/>
                <w:szCs w:val="20"/>
              </w:rPr>
            </w:pPr>
            <w:hyperlink r:id="rId34" w:history="1">
              <w:r w:rsidR="000C3B0F" w:rsidRPr="007E69FD">
                <w:rPr>
                  <w:rStyle w:val="Hyperlink"/>
                  <w:rFonts w:cs="Arial"/>
                  <w:sz w:val="20"/>
                  <w:szCs w:val="20"/>
                </w:rPr>
                <w:t>Patient experience in adult NHS services</w:t>
              </w:r>
            </w:hyperlink>
            <w:r w:rsidR="000C3B0F" w:rsidRPr="007E69FD">
              <w:rPr>
                <w:rFonts w:cs="Arial"/>
                <w:sz w:val="20"/>
                <w:szCs w:val="20"/>
              </w:rPr>
              <w:t xml:space="preserve"> CG138 recommendations 1.1.1, 1.3.4 and 1.3.5</w:t>
            </w:r>
          </w:p>
          <w:p w14:paraId="4CD2CD81" w14:textId="0B76032F" w:rsidR="000C3B0F" w:rsidRPr="007E69FD" w:rsidRDefault="00292C4E" w:rsidP="00D17AE7">
            <w:pPr>
              <w:pStyle w:val="Bullets"/>
              <w:numPr>
                <w:ilvl w:val="0"/>
                <w:numId w:val="0"/>
              </w:numPr>
              <w:spacing w:before="120" w:after="120" w:line="240" w:lineRule="auto"/>
              <w:rPr>
                <w:rFonts w:cs="Arial"/>
                <w:sz w:val="20"/>
                <w:szCs w:val="20"/>
              </w:rPr>
            </w:pPr>
            <w:r w:rsidRPr="00292C4E">
              <w:rPr>
                <w:rFonts w:cs="Arial"/>
                <w:sz w:val="20"/>
                <w:szCs w:val="20"/>
              </w:rPr>
              <w:t>This indicator aims to encourage GP practices to conduct a cancer care review which represents an initial opportunity to address patients’ needs for individual assessment, care planning and ongoing support and information requirements at a time which is appropriate for the individual patient.</w:t>
            </w:r>
          </w:p>
        </w:tc>
      </w:tr>
    </w:tbl>
    <w:p w14:paraId="62657B89" w14:textId="77777777" w:rsidR="00216FF4" w:rsidRDefault="00216FF4" w:rsidP="00C21F39">
      <w:pPr>
        <w:pStyle w:val="Heading3"/>
      </w:pPr>
    </w:p>
    <w:p w14:paraId="5F68C859" w14:textId="77777777" w:rsidR="00216FF4" w:rsidRDefault="00216FF4">
      <w:pPr>
        <w:rPr>
          <w:rFonts w:ascii="Arial" w:hAnsi="Arial"/>
          <w:b/>
          <w:bCs/>
          <w:szCs w:val="26"/>
          <w:lang w:val="x-none" w:eastAsia="x-none"/>
        </w:rPr>
      </w:pPr>
      <w:r>
        <w:br w:type="page"/>
      </w:r>
    </w:p>
    <w:p w14:paraId="058877EE" w14:textId="6A411FAB" w:rsidR="00C21F39" w:rsidRPr="00B85FC0" w:rsidRDefault="00C21F39" w:rsidP="000112DC">
      <w:pPr>
        <w:pStyle w:val="Heading2"/>
        <w:rPr>
          <w:lang w:val="en-GB"/>
        </w:rPr>
      </w:pPr>
      <w:bookmarkStart w:id="5" w:name="_Table_2:_Indicators"/>
      <w:bookmarkEnd w:id="5"/>
      <w:r w:rsidRPr="001C17FE">
        <w:lastRenderedPageBreak/>
        <w:t>Table 2: Indicators retired from the NICE indicator menu</w:t>
      </w:r>
    </w:p>
    <w:tbl>
      <w:tblPr>
        <w:tblStyle w:val="TableGrid4"/>
        <w:tblW w:w="14737" w:type="dxa"/>
        <w:tblLook w:val="04A0" w:firstRow="1" w:lastRow="0" w:firstColumn="1" w:lastColumn="0" w:noHBand="0" w:noVBand="1"/>
      </w:tblPr>
      <w:tblGrid>
        <w:gridCol w:w="1271"/>
        <w:gridCol w:w="4394"/>
        <w:gridCol w:w="7088"/>
        <w:gridCol w:w="1984"/>
      </w:tblGrid>
      <w:tr w:rsidR="00BB5FA0" w:rsidRPr="00034D5A" w14:paraId="3E2FDD47" w14:textId="77777777" w:rsidTr="001822E1">
        <w:trPr>
          <w:tblHeader/>
        </w:trPr>
        <w:tc>
          <w:tcPr>
            <w:tcW w:w="1271" w:type="dxa"/>
            <w:shd w:val="clear" w:color="auto" w:fill="8DB3E2" w:themeFill="text2" w:themeFillTint="66"/>
          </w:tcPr>
          <w:p w14:paraId="3A7333CE" w14:textId="77777777" w:rsidR="00BB5FA0" w:rsidRPr="00034D5A" w:rsidRDefault="00BB5FA0" w:rsidP="00034D5A">
            <w:pPr>
              <w:spacing w:before="120" w:after="120"/>
              <w:rPr>
                <w:rFonts w:ascii="Arial" w:hAnsi="Arial" w:cs="Arial"/>
                <w:b/>
                <w:bCs/>
                <w:sz w:val="22"/>
                <w:szCs w:val="22"/>
              </w:rPr>
            </w:pPr>
            <w:r w:rsidRPr="00034D5A">
              <w:rPr>
                <w:rFonts w:ascii="Arial" w:hAnsi="Arial" w:cs="Arial"/>
                <w:b/>
                <w:bCs/>
                <w:sz w:val="22"/>
                <w:szCs w:val="22"/>
              </w:rPr>
              <w:t xml:space="preserve">NICE ID </w:t>
            </w:r>
          </w:p>
        </w:tc>
        <w:tc>
          <w:tcPr>
            <w:tcW w:w="4394" w:type="dxa"/>
            <w:shd w:val="clear" w:color="auto" w:fill="8DB3E2" w:themeFill="text2" w:themeFillTint="66"/>
          </w:tcPr>
          <w:p w14:paraId="70972838" w14:textId="1B8ECD38" w:rsidR="00BB5FA0" w:rsidRPr="00034D5A" w:rsidRDefault="00BB5FA0" w:rsidP="00034D5A">
            <w:pPr>
              <w:spacing w:before="120" w:after="120"/>
              <w:rPr>
                <w:rFonts w:ascii="Arial" w:hAnsi="Arial" w:cs="Arial"/>
                <w:b/>
                <w:bCs/>
                <w:sz w:val="22"/>
                <w:szCs w:val="22"/>
              </w:rPr>
            </w:pPr>
            <w:r w:rsidRPr="00034D5A">
              <w:rPr>
                <w:rFonts w:ascii="Arial" w:hAnsi="Arial" w:cs="Arial"/>
                <w:b/>
                <w:bCs/>
                <w:sz w:val="22"/>
                <w:szCs w:val="22"/>
              </w:rPr>
              <w:t>Indicator</w:t>
            </w:r>
            <w:r>
              <w:rPr>
                <w:rFonts w:ascii="Arial" w:hAnsi="Arial" w:cs="Arial"/>
                <w:b/>
                <w:bCs/>
                <w:sz w:val="22"/>
                <w:szCs w:val="22"/>
              </w:rPr>
              <w:t xml:space="preserve"> wording</w:t>
            </w:r>
          </w:p>
        </w:tc>
        <w:tc>
          <w:tcPr>
            <w:tcW w:w="7088" w:type="dxa"/>
            <w:shd w:val="clear" w:color="auto" w:fill="8DB3E2" w:themeFill="text2" w:themeFillTint="66"/>
          </w:tcPr>
          <w:p w14:paraId="3E8B5A84" w14:textId="57712D6B" w:rsidR="00BB5FA0" w:rsidRPr="00034D5A" w:rsidRDefault="00BB5FA0" w:rsidP="00034D5A">
            <w:pPr>
              <w:spacing w:before="120" w:after="120"/>
              <w:rPr>
                <w:rFonts w:ascii="Arial" w:hAnsi="Arial" w:cs="Arial"/>
                <w:b/>
                <w:bCs/>
                <w:sz w:val="22"/>
                <w:szCs w:val="22"/>
              </w:rPr>
            </w:pPr>
            <w:r>
              <w:rPr>
                <w:rFonts w:ascii="Arial" w:hAnsi="Arial" w:cs="Arial"/>
                <w:b/>
                <w:bCs/>
                <w:sz w:val="22"/>
                <w:szCs w:val="22"/>
              </w:rPr>
              <w:t>Rationale</w:t>
            </w:r>
          </w:p>
        </w:tc>
        <w:tc>
          <w:tcPr>
            <w:tcW w:w="1984" w:type="dxa"/>
            <w:shd w:val="clear" w:color="auto" w:fill="8DB3E2" w:themeFill="text2" w:themeFillTint="66"/>
          </w:tcPr>
          <w:p w14:paraId="71EEE9FF" w14:textId="552F6EB8" w:rsidR="00BB5FA0" w:rsidRPr="00034D5A" w:rsidRDefault="00C368E7" w:rsidP="00034D5A">
            <w:pPr>
              <w:spacing w:before="120" w:after="120"/>
              <w:rPr>
                <w:rFonts w:ascii="Arial" w:hAnsi="Arial" w:cs="Arial"/>
                <w:b/>
                <w:bCs/>
                <w:sz w:val="22"/>
                <w:szCs w:val="22"/>
              </w:rPr>
            </w:pPr>
            <w:r>
              <w:rPr>
                <w:rFonts w:ascii="Arial" w:hAnsi="Arial" w:cs="Arial"/>
                <w:b/>
                <w:bCs/>
                <w:sz w:val="22"/>
                <w:szCs w:val="22"/>
              </w:rPr>
              <w:t xml:space="preserve">Associated indicators </w:t>
            </w:r>
            <w:r w:rsidR="00BB5FA0" w:rsidRPr="00034D5A">
              <w:rPr>
                <w:rFonts w:ascii="Arial" w:hAnsi="Arial" w:cs="Arial"/>
                <w:b/>
                <w:bCs/>
                <w:sz w:val="22"/>
                <w:szCs w:val="22"/>
              </w:rPr>
              <w:t xml:space="preserve"> </w:t>
            </w:r>
          </w:p>
        </w:tc>
      </w:tr>
      <w:tr w:rsidR="00BB5FA0" w:rsidRPr="00034D5A" w14:paraId="59365BB0" w14:textId="77777777" w:rsidTr="001822E1">
        <w:tc>
          <w:tcPr>
            <w:tcW w:w="1271" w:type="dxa"/>
          </w:tcPr>
          <w:p w14:paraId="635CF674"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NM23</w:t>
            </w:r>
          </w:p>
        </w:tc>
        <w:tc>
          <w:tcPr>
            <w:tcW w:w="4394" w:type="dxa"/>
          </w:tcPr>
          <w:p w14:paraId="0067AF7D" w14:textId="77777777" w:rsidR="00BB5FA0" w:rsidRPr="00E26BE0" w:rsidRDefault="00BB5FA0" w:rsidP="00034D5A">
            <w:pPr>
              <w:spacing w:before="120" w:after="120"/>
              <w:rPr>
                <w:rFonts w:ascii="Arial" w:hAnsi="Arial" w:cs="Arial"/>
                <w:sz w:val="20"/>
                <w:szCs w:val="20"/>
              </w:rPr>
            </w:pPr>
            <w:r w:rsidRPr="00E26BE0">
              <w:rPr>
                <w:rFonts w:ascii="Arial" w:hAnsi="Arial" w:cs="Arial"/>
                <w:sz w:val="20"/>
                <w:szCs w:val="20"/>
              </w:rPr>
              <w:t>The percentage of patients with asthma, on the register, who have had an asthma review in the preceding 12 months that includes an assessment of asthma control using the 3 RCP questions</w:t>
            </w:r>
          </w:p>
        </w:tc>
        <w:tc>
          <w:tcPr>
            <w:tcW w:w="7088" w:type="dxa"/>
          </w:tcPr>
          <w:p w14:paraId="354B0826" w14:textId="59D4D532" w:rsidR="00E26BE0" w:rsidRPr="00E26BE0" w:rsidRDefault="00E26BE0" w:rsidP="00E26BE0">
            <w:pPr>
              <w:pStyle w:val="Default"/>
              <w:rPr>
                <w:color w:val="auto"/>
                <w:sz w:val="20"/>
                <w:szCs w:val="20"/>
              </w:rPr>
            </w:pPr>
            <w:r w:rsidRPr="00E26BE0">
              <w:rPr>
                <w:color w:val="auto"/>
                <w:sz w:val="20"/>
                <w:szCs w:val="20"/>
              </w:rPr>
              <w:t xml:space="preserve">Published evidence suggests that both people with asthma and clinicians tend to underestimate asthma severity and overestimate asthma control when simply asking a patient ‘How is your asthma?’. Asthma control questionnaires assess asthma related quality of life, with evidence (NICE NG80) that validated questionnaire can lead to reduced exacerbations. </w:t>
            </w:r>
          </w:p>
          <w:p w14:paraId="5503BFF8" w14:textId="77777777" w:rsidR="00E26BE0" w:rsidRPr="00E26BE0" w:rsidRDefault="00E26BE0" w:rsidP="00E26BE0">
            <w:pPr>
              <w:pStyle w:val="Default"/>
              <w:rPr>
                <w:color w:val="auto"/>
                <w:sz w:val="20"/>
                <w:szCs w:val="20"/>
              </w:rPr>
            </w:pPr>
          </w:p>
          <w:p w14:paraId="72C42D86" w14:textId="61539F88" w:rsidR="00E26BE0" w:rsidRPr="00F24493" w:rsidRDefault="00E26BE0" w:rsidP="00F24493">
            <w:pPr>
              <w:pStyle w:val="Default"/>
              <w:rPr>
                <w:color w:val="auto"/>
                <w:sz w:val="20"/>
                <w:szCs w:val="20"/>
              </w:rPr>
            </w:pPr>
            <w:r w:rsidRPr="00E26BE0">
              <w:rPr>
                <w:color w:val="auto"/>
                <w:sz w:val="20"/>
                <w:szCs w:val="20"/>
              </w:rPr>
              <w:t>Assessing use of short acting beta agonists and recording exacerbations can help identify people with asthma who are at increased risk of poor outcomes.</w:t>
            </w:r>
            <w:r>
              <w:rPr>
                <w:color w:val="auto"/>
                <w:sz w:val="20"/>
                <w:szCs w:val="20"/>
              </w:rPr>
              <w:t xml:space="preserve"> A new indicator </w:t>
            </w:r>
            <w:r w:rsidR="004A263D">
              <w:rPr>
                <w:color w:val="auto"/>
                <w:sz w:val="20"/>
                <w:szCs w:val="20"/>
              </w:rPr>
              <w:t>w</w:t>
            </w:r>
            <w:r>
              <w:rPr>
                <w:color w:val="auto"/>
                <w:sz w:val="20"/>
                <w:szCs w:val="20"/>
              </w:rPr>
              <w:t>as developed, NM167, which includes assessment of asthma control using a validated asthma control questionnaire including assessment of short acting eta agonist use.</w:t>
            </w:r>
            <w:r w:rsidRPr="00E26BE0">
              <w:rPr>
                <w:color w:val="auto"/>
                <w:sz w:val="20"/>
                <w:szCs w:val="20"/>
              </w:rPr>
              <w:t xml:space="preserve"> </w:t>
            </w:r>
          </w:p>
        </w:tc>
        <w:tc>
          <w:tcPr>
            <w:tcW w:w="1984" w:type="dxa"/>
          </w:tcPr>
          <w:p w14:paraId="24C3FEBE" w14:textId="58DCC76D"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35" w:history="1">
              <w:r w:rsidRPr="004A263D">
                <w:rPr>
                  <w:rStyle w:val="Hyperlink"/>
                  <w:rFonts w:ascii="Arial" w:hAnsi="Arial" w:cs="Arial"/>
                  <w:sz w:val="20"/>
                  <w:szCs w:val="20"/>
                </w:rPr>
                <w:t>NM167</w:t>
              </w:r>
            </w:hyperlink>
            <w:r w:rsidRPr="007E69FD">
              <w:rPr>
                <w:rFonts w:ascii="Arial" w:hAnsi="Arial" w:cs="Arial"/>
                <w:sz w:val="20"/>
                <w:szCs w:val="20"/>
              </w:rPr>
              <w:t xml:space="preserve"> which is now in QOF. </w:t>
            </w:r>
          </w:p>
        </w:tc>
      </w:tr>
      <w:tr w:rsidR="00BB5FA0" w:rsidRPr="00034D5A" w14:paraId="76A52DC8" w14:textId="77777777" w:rsidTr="001822E1">
        <w:tc>
          <w:tcPr>
            <w:tcW w:w="1271" w:type="dxa"/>
          </w:tcPr>
          <w:p w14:paraId="15684389"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NM101</w:t>
            </w:r>
          </w:p>
        </w:tc>
        <w:tc>
          <w:tcPr>
            <w:tcW w:w="4394" w:type="dxa"/>
          </w:tcPr>
          <w:p w14:paraId="5BF39504"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The percentage of patients aged 8 or over with asthma (diagnosed on or after 1 April 2006), on the register, with measures of variability or reversibility recorded between 3 months before or any time after diagnosis.</w:t>
            </w:r>
          </w:p>
        </w:tc>
        <w:tc>
          <w:tcPr>
            <w:tcW w:w="7088" w:type="dxa"/>
          </w:tcPr>
          <w:p w14:paraId="15962EC3" w14:textId="4A941618" w:rsidR="000070B7" w:rsidRPr="003619CE" w:rsidRDefault="000070B7" w:rsidP="000070B7">
            <w:pPr>
              <w:pStyle w:val="Default"/>
              <w:rPr>
                <w:sz w:val="20"/>
                <w:szCs w:val="20"/>
              </w:rPr>
            </w:pPr>
            <w:r w:rsidRPr="003619CE">
              <w:rPr>
                <w:sz w:val="20"/>
                <w:szCs w:val="20"/>
              </w:rPr>
              <w:t xml:space="preserve">Misdiagnosis of asthma can have lifelong implications and result in inappropriate treatment with the risk of adverse effects. It can also mean alternative underlying conditions are not diagnosed. Using objective tests to confirm diagnosis can improve the accuracy of a diagnosis and reduce incidences of patients receiving inappropriate care. Results of testing should inform subsequent treatment for people with asthma and lead to improved health and wellbeing. </w:t>
            </w:r>
          </w:p>
          <w:p w14:paraId="63460188" w14:textId="1EA97996" w:rsidR="000070B7" w:rsidRPr="003619CE" w:rsidRDefault="000070B7" w:rsidP="000070B7">
            <w:pPr>
              <w:spacing w:before="120" w:after="120"/>
              <w:rPr>
                <w:rFonts w:ascii="Arial" w:hAnsi="Arial" w:cs="Arial"/>
                <w:sz w:val="20"/>
                <w:szCs w:val="20"/>
              </w:rPr>
            </w:pPr>
            <w:r w:rsidRPr="003619CE">
              <w:rPr>
                <w:rFonts w:ascii="Arial" w:hAnsi="Arial" w:cs="Arial"/>
                <w:sz w:val="20"/>
                <w:szCs w:val="20"/>
              </w:rPr>
              <w:t xml:space="preserve">A new indicator </w:t>
            </w:r>
            <w:r w:rsidR="004A263D">
              <w:rPr>
                <w:rFonts w:ascii="Arial" w:hAnsi="Arial" w:cs="Arial"/>
                <w:sz w:val="20"/>
                <w:szCs w:val="20"/>
              </w:rPr>
              <w:t>w</w:t>
            </w:r>
            <w:r w:rsidRPr="003619CE">
              <w:rPr>
                <w:rFonts w:ascii="Arial" w:hAnsi="Arial" w:cs="Arial"/>
                <w:sz w:val="20"/>
                <w:szCs w:val="20"/>
              </w:rPr>
              <w:t xml:space="preserve">as developed, NM166, which requires a record of an objective test: </w:t>
            </w:r>
            <w:proofErr w:type="spellStart"/>
            <w:r w:rsidRPr="003619CE">
              <w:rPr>
                <w:rFonts w:ascii="Arial" w:hAnsi="Arial" w:cs="Arial"/>
                <w:sz w:val="20"/>
                <w:szCs w:val="20"/>
              </w:rPr>
              <w:t>FeNO</w:t>
            </w:r>
            <w:proofErr w:type="spellEnd"/>
            <w:r w:rsidRPr="003619CE">
              <w:rPr>
                <w:rFonts w:ascii="Arial" w:hAnsi="Arial" w:cs="Arial"/>
                <w:sz w:val="20"/>
                <w:szCs w:val="20"/>
              </w:rPr>
              <w:t xml:space="preserve"> or spirometry or reversibility or variability.</w:t>
            </w:r>
          </w:p>
        </w:tc>
        <w:tc>
          <w:tcPr>
            <w:tcW w:w="1984" w:type="dxa"/>
          </w:tcPr>
          <w:p w14:paraId="2AA8A7C6" w14:textId="0B7490F8"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36" w:history="1">
              <w:r w:rsidRPr="004A263D">
                <w:rPr>
                  <w:rStyle w:val="Hyperlink"/>
                  <w:rFonts w:ascii="Arial" w:hAnsi="Arial" w:cs="Arial"/>
                  <w:sz w:val="20"/>
                  <w:szCs w:val="20"/>
                </w:rPr>
                <w:t>NM166</w:t>
              </w:r>
            </w:hyperlink>
            <w:r w:rsidRPr="007E69FD">
              <w:rPr>
                <w:rFonts w:ascii="Arial" w:hAnsi="Arial" w:cs="Arial"/>
                <w:sz w:val="20"/>
                <w:szCs w:val="20"/>
              </w:rPr>
              <w:t xml:space="preserve"> which is now in QOF.</w:t>
            </w:r>
          </w:p>
        </w:tc>
      </w:tr>
      <w:tr w:rsidR="00BB5FA0" w:rsidRPr="00034D5A" w14:paraId="56D0C846" w14:textId="77777777" w:rsidTr="001822E1">
        <w:tc>
          <w:tcPr>
            <w:tcW w:w="1271" w:type="dxa"/>
          </w:tcPr>
          <w:p w14:paraId="39DA48DE"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NM102</w:t>
            </w:r>
          </w:p>
        </w:tc>
        <w:tc>
          <w:tcPr>
            <w:tcW w:w="4394" w:type="dxa"/>
          </w:tcPr>
          <w:p w14:paraId="7C536C21" w14:textId="77777777" w:rsidR="00BB5FA0" w:rsidRDefault="00BB5FA0" w:rsidP="00034D5A">
            <w:pPr>
              <w:spacing w:before="120" w:after="120"/>
              <w:rPr>
                <w:rFonts w:ascii="Arial" w:hAnsi="Arial" w:cs="Arial"/>
                <w:sz w:val="20"/>
                <w:szCs w:val="20"/>
              </w:rPr>
            </w:pPr>
            <w:r w:rsidRPr="007E69FD">
              <w:rPr>
                <w:rFonts w:ascii="Arial" w:hAnsi="Arial" w:cs="Arial"/>
                <w:sz w:val="20"/>
                <w:szCs w:val="20"/>
              </w:rPr>
              <w:t>The percentage of patients with asthma aged 14 or over and who have not attained the age of 20, on the register, in whom there is a record of smoking status in the preceding 12 months.</w:t>
            </w:r>
          </w:p>
          <w:p w14:paraId="607F199E" w14:textId="77777777" w:rsidR="005035E5" w:rsidRDefault="005035E5" w:rsidP="00034D5A">
            <w:pPr>
              <w:spacing w:before="120" w:after="120"/>
              <w:rPr>
                <w:rFonts w:ascii="Arial" w:hAnsi="Arial" w:cs="Arial"/>
                <w:sz w:val="20"/>
                <w:szCs w:val="20"/>
              </w:rPr>
            </w:pPr>
          </w:p>
          <w:p w14:paraId="062A4631" w14:textId="27681F22" w:rsidR="005035E5" w:rsidRPr="007E69FD" w:rsidRDefault="005035E5" w:rsidP="00034D5A">
            <w:pPr>
              <w:spacing w:before="120" w:after="120"/>
              <w:rPr>
                <w:rFonts w:ascii="Arial" w:hAnsi="Arial" w:cs="Arial"/>
                <w:sz w:val="20"/>
                <w:szCs w:val="20"/>
              </w:rPr>
            </w:pPr>
          </w:p>
        </w:tc>
        <w:tc>
          <w:tcPr>
            <w:tcW w:w="7088" w:type="dxa"/>
          </w:tcPr>
          <w:p w14:paraId="46872493" w14:textId="7C59BBA3" w:rsidR="00BB5FA0" w:rsidRPr="003619CE" w:rsidRDefault="003619CE" w:rsidP="000112DC">
            <w:pPr>
              <w:spacing w:before="120" w:after="120"/>
              <w:rPr>
                <w:sz w:val="20"/>
                <w:szCs w:val="20"/>
              </w:rPr>
            </w:pPr>
            <w:r w:rsidRPr="00873E97">
              <w:rPr>
                <w:rFonts w:ascii="Arial" w:hAnsi="Arial" w:cs="Arial"/>
                <w:sz w:val="20"/>
                <w:szCs w:val="20"/>
              </w:rPr>
              <w:t xml:space="preserve">A new indicator, NM168, </w:t>
            </w:r>
            <w:r w:rsidR="004A263D" w:rsidRPr="00873E97">
              <w:rPr>
                <w:rFonts w:ascii="Arial" w:hAnsi="Arial" w:cs="Arial"/>
                <w:sz w:val="20"/>
                <w:szCs w:val="20"/>
              </w:rPr>
              <w:t>w</w:t>
            </w:r>
            <w:r w:rsidRPr="00873E97">
              <w:rPr>
                <w:rFonts w:ascii="Arial" w:hAnsi="Arial" w:cs="Arial"/>
                <w:sz w:val="20"/>
                <w:szCs w:val="20"/>
              </w:rPr>
              <w:t>as developed which aims to encourage general practice to ask children and young people aged 5 to 19 years with asthma about their exposure to tobacco and encourage smoking cessation advice.</w:t>
            </w:r>
            <w:r w:rsidRPr="003619CE">
              <w:rPr>
                <w:sz w:val="20"/>
                <w:szCs w:val="20"/>
              </w:rPr>
              <w:t xml:space="preserve"> </w:t>
            </w:r>
          </w:p>
        </w:tc>
        <w:tc>
          <w:tcPr>
            <w:tcW w:w="1984" w:type="dxa"/>
          </w:tcPr>
          <w:p w14:paraId="1ED37B9A" w14:textId="020B6034"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37" w:history="1">
              <w:r w:rsidRPr="004A263D">
                <w:rPr>
                  <w:rStyle w:val="Hyperlink"/>
                  <w:rFonts w:ascii="Arial" w:hAnsi="Arial" w:cs="Arial"/>
                  <w:sz w:val="20"/>
                  <w:szCs w:val="20"/>
                </w:rPr>
                <w:t>NM168</w:t>
              </w:r>
            </w:hyperlink>
            <w:r w:rsidRPr="007E69FD">
              <w:rPr>
                <w:rFonts w:ascii="Arial" w:hAnsi="Arial" w:cs="Arial"/>
                <w:sz w:val="20"/>
                <w:szCs w:val="20"/>
              </w:rPr>
              <w:t xml:space="preserve"> which is now in QOF.</w:t>
            </w:r>
          </w:p>
        </w:tc>
      </w:tr>
      <w:tr w:rsidR="00BB5FA0" w:rsidRPr="00034D5A" w14:paraId="1D5056F4" w14:textId="77777777" w:rsidTr="001822E1">
        <w:tc>
          <w:tcPr>
            <w:tcW w:w="1271" w:type="dxa"/>
          </w:tcPr>
          <w:p w14:paraId="229FF71B"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lastRenderedPageBreak/>
              <w:t>NM103</w:t>
            </w:r>
          </w:p>
        </w:tc>
        <w:tc>
          <w:tcPr>
            <w:tcW w:w="4394" w:type="dxa"/>
          </w:tcPr>
          <w:p w14:paraId="6DD779D5"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The percentage of patients with COPD (diagnosed on or after 1 April 2011) in whom the diagnosis has been confirmed by post bronchodilator spirometry between 3 months before and 12 months after entering on to the register</w:t>
            </w:r>
          </w:p>
        </w:tc>
        <w:tc>
          <w:tcPr>
            <w:tcW w:w="7088" w:type="dxa"/>
          </w:tcPr>
          <w:p w14:paraId="2444AF4E" w14:textId="6553F884" w:rsidR="00A96489" w:rsidRPr="007E69FD" w:rsidRDefault="00A96489" w:rsidP="00A96489">
            <w:pPr>
              <w:spacing w:before="120" w:after="120"/>
              <w:rPr>
                <w:rFonts w:ascii="Arial" w:hAnsi="Arial" w:cs="Arial"/>
                <w:sz w:val="20"/>
                <w:szCs w:val="20"/>
              </w:rPr>
            </w:pPr>
            <w:r w:rsidRPr="00E92EF9">
              <w:rPr>
                <w:rFonts w:ascii="Arial" w:hAnsi="Arial" w:cs="Arial"/>
                <w:sz w:val="20"/>
                <w:szCs w:val="20"/>
              </w:rPr>
              <w:t xml:space="preserve">A new indicator, NM169 </w:t>
            </w:r>
            <w:r w:rsidR="004A263D">
              <w:rPr>
                <w:rFonts w:ascii="Arial" w:hAnsi="Arial" w:cs="Arial"/>
                <w:sz w:val="20"/>
                <w:szCs w:val="20"/>
              </w:rPr>
              <w:t>w</w:t>
            </w:r>
            <w:r w:rsidRPr="00E92EF9">
              <w:rPr>
                <w:rFonts w:ascii="Arial" w:hAnsi="Arial" w:cs="Arial"/>
                <w:sz w:val="20"/>
                <w:szCs w:val="20"/>
              </w:rPr>
              <w:t>as developed to encourage more timely confirmation of diagnosis using quality assured post bronchodilator spirometry measuring an FEV1/FVC ratio below 0.7.</w:t>
            </w:r>
          </w:p>
        </w:tc>
        <w:tc>
          <w:tcPr>
            <w:tcW w:w="1984" w:type="dxa"/>
          </w:tcPr>
          <w:p w14:paraId="7E69D4F7" w14:textId="5295407F"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38" w:history="1">
              <w:r w:rsidRPr="004A263D">
                <w:rPr>
                  <w:rStyle w:val="Hyperlink"/>
                  <w:rFonts w:ascii="Arial" w:hAnsi="Arial" w:cs="Arial"/>
                  <w:sz w:val="20"/>
                  <w:szCs w:val="20"/>
                </w:rPr>
                <w:t>NM169</w:t>
              </w:r>
            </w:hyperlink>
            <w:r w:rsidRPr="007E69FD">
              <w:rPr>
                <w:rFonts w:ascii="Arial" w:hAnsi="Arial" w:cs="Arial"/>
                <w:sz w:val="20"/>
                <w:szCs w:val="20"/>
              </w:rPr>
              <w:t xml:space="preserve"> which is now in QOF.</w:t>
            </w:r>
          </w:p>
        </w:tc>
      </w:tr>
      <w:tr w:rsidR="00BB5FA0" w:rsidRPr="00034D5A" w14:paraId="2E17DA7A" w14:textId="77777777" w:rsidTr="001822E1">
        <w:tc>
          <w:tcPr>
            <w:tcW w:w="1271" w:type="dxa"/>
          </w:tcPr>
          <w:p w14:paraId="2E249F31"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NM104</w:t>
            </w:r>
          </w:p>
        </w:tc>
        <w:tc>
          <w:tcPr>
            <w:tcW w:w="4394" w:type="dxa"/>
          </w:tcPr>
          <w:p w14:paraId="4DFBD864"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The percentage of patients with COPD who have had a review, undertaken by a healthcare professional, including an assessment of breathlessness using the Medical Research Council dyspnoea scale in the preceding 12 months</w:t>
            </w:r>
          </w:p>
        </w:tc>
        <w:tc>
          <w:tcPr>
            <w:tcW w:w="7088" w:type="dxa"/>
          </w:tcPr>
          <w:p w14:paraId="339096CE" w14:textId="7307E1C6" w:rsidR="00E92EF9" w:rsidRPr="00E92EF9" w:rsidRDefault="00E92EF9" w:rsidP="00E92EF9">
            <w:pPr>
              <w:spacing w:before="120" w:after="120"/>
              <w:rPr>
                <w:rFonts w:ascii="Arial" w:hAnsi="Arial" w:cs="Arial"/>
                <w:sz w:val="20"/>
                <w:szCs w:val="20"/>
              </w:rPr>
            </w:pPr>
            <w:r w:rsidRPr="00E92EF9">
              <w:rPr>
                <w:rFonts w:ascii="Arial" w:hAnsi="Arial" w:cs="Arial"/>
                <w:sz w:val="20"/>
                <w:szCs w:val="20"/>
              </w:rPr>
              <w:t xml:space="preserve">Understanding the frequency of exacerbations can help when creating personalised management plans, identifying </w:t>
            </w:r>
            <w:proofErr w:type="gramStart"/>
            <w:r w:rsidRPr="00E92EF9">
              <w:rPr>
                <w:rFonts w:ascii="Arial" w:hAnsi="Arial" w:cs="Arial"/>
                <w:sz w:val="20"/>
                <w:szCs w:val="20"/>
              </w:rPr>
              <w:t>triggers</w:t>
            </w:r>
            <w:proofErr w:type="gramEnd"/>
            <w:r w:rsidRPr="00E92EF9">
              <w:rPr>
                <w:rFonts w:ascii="Arial" w:hAnsi="Arial" w:cs="Arial"/>
                <w:sz w:val="20"/>
                <w:szCs w:val="20"/>
              </w:rPr>
              <w:t xml:space="preserve"> and avoiding future exacerbations.</w:t>
            </w:r>
          </w:p>
          <w:p w14:paraId="5202996C" w14:textId="4DC5C950" w:rsidR="00BB5FA0" w:rsidRPr="007E69FD" w:rsidRDefault="00E92EF9" w:rsidP="00034D5A">
            <w:pPr>
              <w:spacing w:before="120" w:after="120"/>
              <w:rPr>
                <w:rFonts w:ascii="Arial" w:hAnsi="Arial" w:cs="Arial"/>
                <w:sz w:val="20"/>
                <w:szCs w:val="20"/>
              </w:rPr>
            </w:pPr>
            <w:r w:rsidRPr="00E92EF9">
              <w:rPr>
                <w:rFonts w:ascii="Arial" w:hAnsi="Arial" w:cs="Arial"/>
                <w:sz w:val="20"/>
                <w:szCs w:val="20"/>
              </w:rPr>
              <w:t xml:space="preserve">A new indicator </w:t>
            </w:r>
            <w:r w:rsidR="004A263D">
              <w:rPr>
                <w:rFonts w:ascii="Arial" w:hAnsi="Arial" w:cs="Arial"/>
                <w:sz w:val="20"/>
                <w:szCs w:val="20"/>
              </w:rPr>
              <w:t>w</w:t>
            </w:r>
            <w:r w:rsidRPr="00E92EF9">
              <w:rPr>
                <w:rFonts w:ascii="Arial" w:hAnsi="Arial" w:cs="Arial"/>
                <w:sz w:val="20"/>
                <w:szCs w:val="20"/>
              </w:rPr>
              <w:t>as</w:t>
            </w:r>
            <w:r w:rsidR="002A6085">
              <w:rPr>
                <w:rFonts w:ascii="Arial" w:hAnsi="Arial" w:cs="Arial"/>
                <w:sz w:val="20"/>
                <w:szCs w:val="20"/>
              </w:rPr>
              <w:t xml:space="preserve"> </w:t>
            </w:r>
            <w:r w:rsidRPr="00E92EF9">
              <w:rPr>
                <w:rFonts w:ascii="Arial" w:hAnsi="Arial" w:cs="Arial"/>
                <w:sz w:val="20"/>
                <w:szCs w:val="20"/>
              </w:rPr>
              <w:t>developed, NM170, which encourages recording of the number of exacerbations in addition to the assessment of breathlessness.</w:t>
            </w:r>
          </w:p>
        </w:tc>
        <w:tc>
          <w:tcPr>
            <w:tcW w:w="1984" w:type="dxa"/>
          </w:tcPr>
          <w:p w14:paraId="51A95A01" w14:textId="310242A3"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39" w:history="1">
              <w:r w:rsidRPr="004A263D">
                <w:rPr>
                  <w:rStyle w:val="Hyperlink"/>
                  <w:rFonts w:ascii="Arial" w:hAnsi="Arial" w:cs="Arial"/>
                  <w:sz w:val="20"/>
                  <w:szCs w:val="20"/>
                </w:rPr>
                <w:t>NM170</w:t>
              </w:r>
            </w:hyperlink>
            <w:r w:rsidRPr="007E69FD">
              <w:rPr>
                <w:rFonts w:ascii="Arial" w:hAnsi="Arial" w:cs="Arial"/>
                <w:sz w:val="20"/>
                <w:szCs w:val="20"/>
              </w:rPr>
              <w:t xml:space="preserve"> which is now in QOF.</w:t>
            </w:r>
          </w:p>
        </w:tc>
      </w:tr>
      <w:tr w:rsidR="00BB5FA0" w:rsidRPr="00034D5A" w14:paraId="44F43AC9" w14:textId="77777777" w:rsidTr="001822E1">
        <w:tc>
          <w:tcPr>
            <w:tcW w:w="1271" w:type="dxa"/>
          </w:tcPr>
          <w:p w14:paraId="6425591A"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NM116</w:t>
            </w:r>
          </w:p>
        </w:tc>
        <w:tc>
          <w:tcPr>
            <w:tcW w:w="4394" w:type="dxa"/>
          </w:tcPr>
          <w:p w14:paraId="07D83209"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The percentage of patients with a diagnosis of heart failure (diagnosed on or after 1 April 2006) which has been confirmed by an echocardiogram or by specialist assessment 3 months before or 12 months after entering on to the register</w:t>
            </w:r>
          </w:p>
        </w:tc>
        <w:tc>
          <w:tcPr>
            <w:tcW w:w="7088" w:type="dxa"/>
          </w:tcPr>
          <w:p w14:paraId="49557D5F" w14:textId="46FD0E19" w:rsidR="00AB5860" w:rsidRPr="00AB5860" w:rsidRDefault="00AB5860" w:rsidP="00AB5860">
            <w:pPr>
              <w:pStyle w:val="Default"/>
              <w:rPr>
                <w:color w:val="auto"/>
                <w:sz w:val="20"/>
                <w:szCs w:val="20"/>
              </w:rPr>
            </w:pPr>
            <w:r w:rsidRPr="00AB5860">
              <w:rPr>
                <w:color w:val="auto"/>
                <w:sz w:val="20"/>
                <w:szCs w:val="20"/>
              </w:rPr>
              <w:t>Earlier diagnosis allows treatment initiation, potentially avoids emergency admission to hospital, and improves patient outcomes (</w:t>
            </w:r>
            <w:hyperlink r:id="rId40" w:history="1">
              <w:r w:rsidRPr="0077207C">
                <w:rPr>
                  <w:rStyle w:val="Hyperlink"/>
                  <w:sz w:val="20"/>
                  <w:szCs w:val="20"/>
                </w:rPr>
                <w:t>Taylor et al. 2019</w:t>
              </w:r>
            </w:hyperlink>
            <w:r w:rsidRPr="00AB5860">
              <w:rPr>
                <w:color w:val="auto"/>
                <w:sz w:val="20"/>
                <w:szCs w:val="20"/>
              </w:rPr>
              <w:t xml:space="preserve">). </w:t>
            </w:r>
            <w:hyperlink r:id="rId41" w:history="1">
              <w:r w:rsidR="0077207C">
                <w:rPr>
                  <w:rStyle w:val="Hyperlink"/>
                  <w:sz w:val="20"/>
                  <w:szCs w:val="20"/>
                </w:rPr>
                <w:t>The NHS Long term Plan (NHS England 2019</w:t>
              </w:r>
            </w:hyperlink>
            <w:r w:rsidRPr="00AB5860">
              <w:rPr>
                <w:color w:val="auto"/>
                <w:sz w:val="20"/>
                <w:szCs w:val="20"/>
              </w:rPr>
              <w:t xml:space="preserve"> promises greater access to echocardiography to improve the early detection of heart failure. </w:t>
            </w:r>
          </w:p>
          <w:p w14:paraId="3CB9F080" w14:textId="507CD503" w:rsidR="00BB5FA0" w:rsidRPr="007E69FD" w:rsidRDefault="00AB5860" w:rsidP="00AB5860">
            <w:pPr>
              <w:spacing w:before="120" w:after="120"/>
              <w:rPr>
                <w:rFonts w:ascii="Arial" w:hAnsi="Arial" w:cs="Arial"/>
                <w:sz w:val="20"/>
                <w:szCs w:val="20"/>
              </w:rPr>
            </w:pPr>
            <w:r w:rsidRPr="00AB5860">
              <w:rPr>
                <w:rFonts w:ascii="Arial" w:hAnsi="Arial" w:cs="Arial"/>
                <w:sz w:val="20"/>
                <w:szCs w:val="20"/>
              </w:rPr>
              <w:t xml:space="preserve">A new indicator, NM171, </w:t>
            </w:r>
            <w:r w:rsidR="00561943">
              <w:rPr>
                <w:rFonts w:ascii="Arial" w:hAnsi="Arial" w:cs="Arial"/>
                <w:sz w:val="20"/>
                <w:szCs w:val="20"/>
              </w:rPr>
              <w:t xml:space="preserve">was </w:t>
            </w:r>
            <w:r w:rsidRPr="00AB5860">
              <w:rPr>
                <w:rFonts w:ascii="Arial" w:hAnsi="Arial" w:cs="Arial"/>
                <w:sz w:val="20"/>
                <w:szCs w:val="20"/>
              </w:rPr>
              <w:t>developed which reduces the timeframe for confirming diagnosis after entry on the register to help ensure that people with heart failure receive the right diagnosis and receive timely treatment that can control symptoms, improve quality of life and help reduce premature mortality.</w:t>
            </w:r>
          </w:p>
        </w:tc>
        <w:tc>
          <w:tcPr>
            <w:tcW w:w="1984" w:type="dxa"/>
          </w:tcPr>
          <w:p w14:paraId="0C0432DA" w14:textId="6AA59DC9"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42" w:history="1">
              <w:r w:rsidRPr="00561943">
                <w:rPr>
                  <w:rStyle w:val="Hyperlink"/>
                  <w:rFonts w:ascii="Arial" w:hAnsi="Arial" w:cs="Arial"/>
                  <w:sz w:val="20"/>
                  <w:szCs w:val="20"/>
                </w:rPr>
                <w:t>NM171</w:t>
              </w:r>
            </w:hyperlink>
            <w:r w:rsidRPr="007E69FD">
              <w:rPr>
                <w:rFonts w:ascii="Arial" w:hAnsi="Arial" w:cs="Arial"/>
                <w:sz w:val="20"/>
                <w:szCs w:val="20"/>
              </w:rPr>
              <w:t xml:space="preserve"> which is now in QOF.</w:t>
            </w:r>
          </w:p>
        </w:tc>
      </w:tr>
      <w:tr w:rsidR="00BB5FA0" w:rsidRPr="00034D5A" w14:paraId="347DEF38" w14:textId="77777777" w:rsidTr="001822E1">
        <w:tc>
          <w:tcPr>
            <w:tcW w:w="1271" w:type="dxa"/>
          </w:tcPr>
          <w:p w14:paraId="68801A71"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NM89</w:t>
            </w:r>
          </w:p>
        </w:tc>
        <w:tc>
          <w:tcPr>
            <w:tcW w:w="4394" w:type="dxa"/>
          </w:tcPr>
          <w:p w14:paraId="158350B2"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In those patients with a current diagnosis of heart failure due to left ventricular systolic dysfunction, the percentage of patients who are currently treated with an ACE-I or ARB</w:t>
            </w:r>
          </w:p>
        </w:tc>
        <w:tc>
          <w:tcPr>
            <w:tcW w:w="7088" w:type="dxa"/>
          </w:tcPr>
          <w:p w14:paraId="1C60C587" w14:textId="06CC9AEB" w:rsidR="001405C3" w:rsidRPr="000112DC" w:rsidRDefault="001405C3" w:rsidP="000112DC">
            <w:pPr>
              <w:spacing w:before="120" w:after="120"/>
              <w:rPr>
                <w:rFonts w:ascii="Arial" w:hAnsi="Arial" w:cs="Arial"/>
                <w:sz w:val="20"/>
                <w:szCs w:val="20"/>
              </w:rPr>
            </w:pPr>
            <w:r w:rsidRPr="000112DC">
              <w:rPr>
                <w:rFonts w:ascii="Arial" w:hAnsi="Arial" w:cs="Arial"/>
                <w:sz w:val="20"/>
                <w:szCs w:val="20"/>
              </w:rPr>
              <w:t>There is good evidence (</w:t>
            </w:r>
            <w:hyperlink r:id="rId43" w:history="1">
              <w:r w:rsidRPr="00601245">
                <w:rPr>
                  <w:rStyle w:val="Hyperlink"/>
                  <w:rFonts w:ascii="Arial" w:hAnsi="Arial" w:cs="Arial"/>
                  <w:sz w:val="20"/>
                  <w:szCs w:val="20"/>
                </w:rPr>
                <w:t>NICE NG106</w:t>
              </w:r>
            </w:hyperlink>
            <w:r w:rsidRPr="000112DC">
              <w:rPr>
                <w:rFonts w:ascii="Arial" w:hAnsi="Arial" w:cs="Arial"/>
                <w:sz w:val="20"/>
                <w:szCs w:val="20"/>
              </w:rPr>
              <w:t xml:space="preserve">) that prescribing ACE-I/ARB as well as beta-blockers for heart failure with reduced ejection fraction below 40%, can improve symptoms, reduce hospitalisation rate and improve survival. </w:t>
            </w:r>
          </w:p>
          <w:p w14:paraId="310C9711" w14:textId="01A32FBF" w:rsidR="001405C3" w:rsidRDefault="001405C3" w:rsidP="001405C3">
            <w:pPr>
              <w:pStyle w:val="Default"/>
              <w:rPr>
                <w:sz w:val="20"/>
                <w:szCs w:val="20"/>
              </w:rPr>
            </w:pPr>
            <w:r w:rsidRPr="001405C3">
              <w:rPr>
                <w:sz w:val="20"/>
                <w:szCs w:val="20"/>
              </w:rPr>
              <w:t>The latest NICE guideline (</w:t>
            </w:r>
            <w:hyperlink r:id="rId44" w:history="1">
              <w:r w:rsidRPr="00601245">
                <w:rPr>
                  <w:rStyle w:val="Hyperlink"/>
                  <w:sz w:val="20"/>
                  <w:szCs w:val="20"/>
                </w:rPr>
                <w:t>NG106</w:t>
              </w:r>
            </w:hyperlink>
            <w:r w:rsidRPr="001405C3">
              <w:rPr>
                <w:sz w:val="20"/>
                <w:szCs w:val="20"/>
              </w:rPr>
              <w:t xml:space="preserve">) defines heart failure with reduced ejection fraction (HFREF) as heart failure characterised by a left ventricular ejection fraction (LVEF) of less than 40%. </w:t>
            </w:r>
          </w:p>
          <w:p w14:paraId="2C1956D0" w14:textId="77777777" w:rsidR="001405C3" w:rsidRDefault="001405C3" w:rsidP="001405C3">
            <w:pPr>
              <w:pStyle w:val="Default"/>
              <w:rPr>
                <w:sz w:val="20"/>
                <w:szCs w:val="20"/>
              </w:rPr>
            </w:pPr>
          </w:p>
          <w:p w14:paraId="3D19DC42" w14:textId="0663740E" w:rsidR="00BB5FA0" w:rsidRPr="001405C3" w:rsidRDefault="001405C3" w:rsidP="001405C3">
            <w:pPr>
              <w:pStyle w:val="Default"/>
              <w:rPr>
                <w:sz w:val="20"/>
                <w:szCs w:val="20"/>
              </w:rPr>
            </w:pPr>
            <w:r>
              <w:rPr>
                <w:sz w:val="20"/>
                <w:szCs w:val="20"/>
              </w:rPr>
              <w:t xml:space="preserve">A </w:t>
            </w:r>
            <w:r w:rsidRPr="001405C3">
              <w:rPr>
                <w:sz w:val="20"/>
                <w:szCs w:val="20"/>
              </w:rPr>
              <w:t>new indicator</w:t>
            </w:r>
            <w:r>
              <w:rPr>
                <w:sz w:val="20"/>
                <w:szCs w:val="20"/>
              </w:rPr>
              <w:t>, NM172,</w:t>
            </w:r>
            <w:r w:rsidR="00561943">
              <w:rPr>
                <w:sz w:val="20"/>
                <w:szCs w:val="20"/>
              </w:rPr>
              <w:t xml:space="preserve"> was </w:t>
            </w:r>
            <w:r>
              <w:rPr>
                <w:sz w:val="20"/>
                <w:szCs w:val="20"/>
              </w:rPr>
              <w:t>developed which support</w:t>
            </w:r>
            <w:r w:rsidR="00561943">
              <w:rPr>
                <w:sz w:val="20"/>
                <w:szCs w:val="20"/>
              </w:rPr>
              <w:t>s</w:t>
            </w:r>
            <w:r>
              <w:rPr>
                <w:sz w:val="20"/>
                <w:szCs w:val="20"/>
              </w:rPr>
              <w:t xml:space="preserve"> </w:t>
            </w:r>
            <w:r w:rsidRPr="001405C3">
              <w:rPr>
                <w:sz w:val="20"/>
                <w:szCs w:val="20"/>
              </w:rPr>
              <w:t xml:space="preserve">the recording of LVEF through including the LVEF recording in the indicator denominator code clusters. </w:t>
            </w:r>
          </w:p>
        </w:tc>
        <w:tc>
          <w:tcPr>
            <w:tcW w:w="1984" w:type="dxa"/>
          </w:tcPr>
          <w:p w14:paraId="69BB88DD" w14:textId="78EB3C9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45" w:history="1">
              <w:r w:rsidRPr="00561943">
                <w:rPr>
                  <w:rStyle w:val="Hyperlink"/>
                  <w:rFonts w:ascii="Arial" w:hAnsi="Arial" w:cs="Arial"/>
                  <w:sz w:val="20"/>
                  <w:szCs w:val="20"/>
                </w:rPr>
                <w:t>NM172</w:t>
              </w:r>
            </w:hyperlink>
            <w:r w:rsidRPr="007E69FD">
              <w:rPr>
                <w:rFonts w:ascii="Arial" w:hAnsi="Arial" w:cs="Arial"/>
                <w:sz w:val="20"/>
                <w:szCs w:val="20"/>
              </w:rPr>
              <w:t xml:space="preserve"> which is now in QOF.</w:t>
            </w:r>
          </w:p>
        </w:tc>
      </w:tr>
      <w:tr w:rsidR="00BB5FA0" w:rsidRPr="00034D5A" w14:paraId="431B0B37" w14:textId="77777777" w:rsidTr="001822E1">
        <w:tc>
          <w:tcPr>
            <w:tcW w:w="1271" w:type="dxa"/>
          </w:tcPr>
          <w:p w14:paraId="5E4EF7DB"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lastRenderedPageBreak/>
              <w:t>NM90</w:t>
            </w:r>
          </w:p>
        </w:tc>
        <w:tc>
          <w:tcPr>
            <w:tcW w:w="4394" w:type="dxa"/>
          </w:tcPr>
          <w:p w14:paraId="16877576"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In those patients with a current diagnosis of heart failure due to left ventricular systolic dysfunction who are currently treated with an ACE-I or ARB, the percentage of patients who are additionally currently treated with a beta-blocker licensed for heart failure</w:t>
            </w:r>
          </w:p>
        </w:tc>
        <w:tc>
          <w:tcPr>
            <w:tcW w:w="7088" w:type="dxa"/>
          </w:tcPr>
          <w:p w14:paraId="42B286F0" w14:textId="27BFCDD4" w:rsidR="006B6C82" w:rsidRPr="006B6C82" w:rsidRDefault="006B6C82" w:rsidP="006B6C82">
            <w:pPr>
              <w:spacing w:before="120" w:after="120"/>
              <w:rPr>
                <w:rFonts w:ascii="Arial" w:hAnsi="Arial" w:cs="Arial"/>
                <w:sz w:val="20"/>
                <w:szCs w:val="20"/>
              </w:rPr>
            </w:pPr>
            <w:r w:rsidRPr="006B6C82">
              <w:rPr>
                <w:rFonts w:ascii="Arial" w:hAnsi="Arial" w:cs="Arial"/>
                <w:sz w:val="20"/>
                <w:szCs w:val="20"/>
              </w:rPr>
              <w:t>There is good evidence (</w:t>
            </w:r>
            <w:hyperlink r:id="rId46" w:history="1">
              <w:r w:rsidRPr="00601245">
                <w:rPr>
                  <w:rStyle w:val="Hyperlink"/>
                  <w:rFonts w:ascii="Arial" w:hAnsi="Arial" w:cs="Arial"/>
                  <w:sz w:val="20"/>
                  <w:szCs w:val="20"/>
                </w:rPr>
                <w:t>NICE NG106</w:t>
              </w:r>
            </w:hyperlink>
            <w:r w:rsidRPr="006B6C82">
              <w:rPr>
                <w:rFonts w:ascii="Arial" w:hAnsi="Arial" w:cs="Arial"/>
                <w:sz w:val="20"/>
                <w:szCs w:val="20"/>
              </w:rPr>
              <w:t xml:space="preserve">) that prescribing ACE-I/ARB as well as beta-blockers for heart failure with reduced ejection fraction below 40%, can improve symptoms, reduce hospitalisation rate and improve survival. </w:t>
            </w:r>
          </w:p>
          <w:p w14:paraId="5432EDC9" w14:textId="24141449" w:rsidR="006B6C82" w:rsidRPr="006B6C82" w:rsidRDefault="006B6C82" w:rsidP="006B6C82">
            <w:pPr>
              <w:spacing w:before="120" w:after="120"/>
              <w:rPr>
                <w:rFonts w:ascii="Arial" w:hAnsi="Arial" w:cs="Arial"/>
                <w:sz w:val="20"/>
                <w:szCs w:val="20"/>
              </w:rPr>
            </w:pPr>
            <w:r w:rsidRPr="006B6C82">
              <w:rPr>
                <w:rFonts w:ascii="Arial" w:hAnsi="Arial" w:cs="Arial"/>
                <w:sz w:val="20"/>
                <w:szCs w:val="20"/>
              </w:rPr>
              <w:t>The latest NICE guideline (</w:t>
            </w:r>
            <w:hyperlink r:id="rId47" w:history="1">
              <w:r w:rsidRPr="00601245">
                <w:rPr>
                  <w:rStyle w:val="Hyperlink"/>
                  <w:rFonts w:ascii="Arial" w:hAnsi="Arial" w:cs="Arial"/>
                  <w:sz w:val="20"/>
                  <w:szCs w:val="20"/>
                </w:rPr>
                <w:t>NG106</w:t>
              </w:r>
            </w:hyperlink>
            <w:r w:rsidRPr="006B6C82">
              <w:rPr>
                <w:rFonts w:ascii="Arial" w:hAnsi="Arial" w:cs="Arial"/>
                <w:sz w:val="20"/>
                <w:szCs w:val="20"/>
              </w:rPr>
              <w:t xml:space="preserve">) defines heart failure with reduced ejection fraction (HFREF) as heart failure characterised by a left ventricular ejection fraction (LVEF) of less than 40%. </w:t>
            </w:r>
          </w:p>
          <w:p w14:paraId="06731165" w14:textId="4C60F338" w:rsidR="00BB5FA0" w:rsidRPr="006B6C82" w:rsidRDefault="006B6C82" w:rsidP="006B6C82">
            <w:pPr>
              <w:spacing w:before="120" w:after="120"/>
              <w:rPr>
                <w:rFonts w:ascii="Arial" w:hAnsi="Arial" w:cs="Arial"/>
                <w:sz w:val="20"/>
                <w:szCs w:val="20"/>
              </w:rPr>
            </w:pPr>
            <w:r w:rsidRPr="006B6C82">
              <w:rPr>
                <w:rFonts w:ascii="Arial" w:hAnsi="Arial" w:cs="Arial"/>
                <w:sz w:val="20"/>
                <w:szCs w:val="20"/>
              </w:rPr>
              <w:t>A new indicator, NM173, has been developed which will support the recording of LVEF through including the LVEF recording in the indicator denominator code clusters.  The new indicator focusses on beta-blockers only to help ensure the denominator size is large enough at practice level to not be subject to random variation in achievement.</w:t>
            </w:r>
          </w:p>
        </w:tc>
        <w:tc>
          <w:tcPr>
            <w:tcW w:w="1984" w:type="dxa"/>
          </w:tcPr>
          <w:p w14:paraId="65B1EEBB" w14:textId="5DB78AD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 xml:space="preserve">Replaced by </w:t>
            </w:r>
            <w:hyperlink r:id="rId48" w:history="1">
              <w:r w:rsidRPr="005035E5">
                <w:rPr>
                  <w:rStyle w:val="Hyperlink"/>
                  <w:rFonts w:ascii="Arial" w:hAnsi="Arial" w:cs="Arial"/>
                  <w:sz w:val="20"/>
                  <w:szCs w:val="20"/>
                </w:rPr>
                <w:t>NM173</w:t>
              </w:r>
            </w:hyperlink>
            <w:r w:rsidRPr="007E69FD">
              <w:rPr>
                <w:rFonts w:ascii="Arial" w:hAnsi="Arial" w:cs="Arial"/>
                <w:sz w:val="20"/>
                <w:szCs w:val="20"/>
              </w:rPr>
              <w:t xml:space="preserve"> which is now in QOF.</w:t>
            </w:r>
          </w:p>
        </w:tc>
      </w:tr>
      <w:tr w:rsidR="00BB5FA0" w:rsidRPr="00034D5A" w14:paraId="0AEA591B" w14:textId="77777777" w:rsidTr="001822E1">
        <w:tc>
          <w:tcPr>
            <w:tcW w:w="1271" w:type="dxa"/>
          </w:tcPr>
          <w:p w14:paraId="7F8A117F"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NM65</w:t>
            </w:r>
          </w:p>
        </w:tc>
        <w:tc>
          <w:tcPr>
            <w:tcW w:w="4394" w:type="dxa"/>
          </w:tcPr>
          <w:p w14:paraId="6ECE3124"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The percentage of patients with dementia (diagnosed on or after 1 April 2014) who have a record of attendance at a memory assessment service up to 12 months before entering on to the register.</w:t>
            </w:r>
          </w:p>
        </w:tc>
        <w:tc>
          <w:tcPr>
            <w:tcW w:w="7088" w:type="dxa"/>
          </w:tcPr>
          <w:p w14:paraId="46FFFA50" w14:textId="0A157A93" w:rsidR="00D07253" w:rsidRPr="00873E97" w:rsidRDefault="00D07253" w:rsidP="000112DC">
            <w:pPr>
              <w:spacing w:before="120" w:after="120"/>
              <w:rPr>
                <w:rFonts w:ascii="Arial" w:hAnsi="Arial" w:cs="Arial"/>
                <w:sz w:val="20"/>
                <w:szCs w:val="20"/>
              </w:rPr>
            </w:pPr>
            <w:r w:rsidRPr="00D07253">
              <w:rPr>
                <w:rFonts w:ascii="Arial" w:hAnsi="Arial" w:cs="Arial"/>
                <w:sz w:val="20"/>
                <w:szCs w:val="20"/>
              </w:rPr>
              <w:t xml:space="preserve">The indicator was originally supported by </w:t>
            </w:r>
            <w:r w:rsidR="005035E5">
              <w:rPr>
                <w:rFonts w:ascii="Arial" w:hAnsi="Arial" w:cs="Arial"/>
                <w:sz w:val="20"/>
                <w:szCs w:val="20"/>
              </w:rPr>
              <w:t>d</w:t>
            </w:r>
            <w:r w:rsidRPr="00D07253">
              <w:rPr>
                <w:rFonts w:ascii="Arial" w:hAnsi="Arial" w:cs="Arial"/>
                <w:sz w:val="20"/>
                <w:szCs w:val="20"/>
              </w:rPr>
              <w:t xml:space="preserve">ementia: supporting people with dementia and their </w:t>
            </w:r>
            <w:proofErr w:type="spellStart"/>
            <w:r w:rsidRPr="00D07253">
              <w:rPr>
                <w:rFonts w:ascii="Arial" w:hAnsi="Arial" w:cs="Arial"/>
                <w:sz w:val="20"/>
                <w:szCs w:val="20"/>
              </w:rPr>
              <w:t>carers</w:t>
            </w:r>
            <w:proofErr w:type="spellEnd"/>
            <w:r w:rsidRPr="00D07253">
              <w:rPr>
                <w:rFonts w:ascii="Arial" w:hAnsi="Arial" w:cs="Arial"/>
                <w:sz w:val="20"/>
                <w:szCs w:val="20"/>
              </w:rPr>
              <w:t xml:space="preserve"> in health and social care (2006) NICE clinical guideline 42. </w:t>
            </w:r>
            <w:r w:rsidRPr="000112DC">
              <w:rPr>
                <w:rFonts w:ascii="Arial" w:hAnsi="Arial" w:cs="Arial"/>
                <w:sz w:val="20"/>
                <w:szCs w:val="20"/>
              </w:rPr>
              <w:t xml:space="preserve">NICE </w:t>
            </w:r>
            <w:r w:rsidR="005035E5">
              <w:rPr>
                <w:rFonts w:ascii="Arial" w:hAnsi="Arial" w:cs="Arial"/>
                <w:sz w:val="20"/>
                <w:szCs w:val="20"/>
              </w:rPr>
              <w:t>CG</w:t>
            </w:r>
            <w:r w:rsidRPr="00873E97">
              <w:rPr>
                <w:rFonts w:ascii="Arial" w:hAnsi="Arial" w:cs="Arial"/>
                <w:sz w:val="20"/>
                <w:szCs w:val="20"/>
              </w:rPr>
              <w:t xml:space="preserve">42 has been </w:t>
            </w:r>
            <w:r w:rsidR="005035E5">
              <w:rPr>
                <w:rFonts w:ascii="Arial" w:hAnsi="Arial" w:cs="Arial"/>
                <w:sz w:val="20"/>
                <w:szCs w:val="20"/>
              </w:rPr>
              <w:t xml:space="preserve">updated and </w:t>
            </w:r>
            <w:r w:rsidRPr="000112DC">
              <w:rPr>
                <w:rFonts w:ascii="Arial" w:hAnsi="Arial" w:cs="Arial"/>
                <w:sz w:val="20"/>
                <w:szCs w:val="20"/>
              </w:rPr>
              <w:t xml:space="preserve">replaced by </w:t>
            </w:r>
            <w:r w:rsidR="005035E5">
              <w:rPr>
                <w:rFonts w:ascii="Arial" w:hAnsi="Arial" w:cs="Arial"/>
                <w:sz w:val="20"/>
                <w:szCs w:val="20"/>
              </w:rPr>
              <w:t>d</w:t>
            </w:r>
            <w:r w:rsidRPr="00873E97">
              <w:rPr>
                <w:rFonts w:ascii="Arial" w:hAnsi="Arial" w:cs="Arial"/>
                <w:sz w:val="20"/>
                <w:szCs w:val="20"/>
              </w:rPr>
              <w:t xml:space="preserve">ementia: assessment, management and support for people living with dementia and their carers (2018) NICE guideline NG97 and recommendation 1.2.6 states: </w:t>
            </w:r>
          </w:p>
          <w:p w14:paraId="1980AB88" w14:textId="77777777" w:rsidR="00D07253" w:rsidRPr="00D07253" w:rsidRDefault="00D07253" w:rsidP="00D07253">
            <w:pPr>
              <w:pStyle w:val="Default"/>
              <w:rPr>
                <w:color w:val="auto"/>
                <w:sz w:val="20"/>
                <w:szCs w:val="20"/>
              </w:rPr>
            </w:pPr>
          </w:p>
          <w:p w14:paraId="6532B989" w14:textId="77777777" w:rsidR="00D07253" w:rsidRPr="00D07253" w:rsidRDefault="00D07253" w:rsidP="00D07253">
            <w:pPr>
              <w:pStyle w:val="Default"/>
              <w:rPr>
                <w:color w:val="auto"/>
                <w:sz w:val="20"/>
                <w:szCs w:val="20"/>
              </w:rPr>
            </w:pPr>
            <w:r w:rsidRPr="00D07253">
              <w:rPr>
                <w:color w:val="auto"/>
                <w:sz w:val="20"/>
                <w:szCs w:val="20"/>
              </w:rPr>
              <w:t xml:space="preserve">Refer the person to a specialist dementia diagnostic service (such as a memory clinic or community old age psychiatry service) if: </w:t>
            </w:r>
          </w:p>
          <w:p w14:paraId="66049AE1" w14:textId="7933ADFA" w:rsidR="00D07253" w:rsidRPr="00D07253" w:rsidRDefault="00D07253" w:rsidP="00D07253">
            <w:pPr>
              <w:pStyle w:val="Default"/>
              <w:numPr>
                <w:ilvl w:val="0"/>
                <w:numId w:val="47"/>
              </w:numPr>
              <w:spacing w:after="198"/>
              <w:rPr>
                <w:color w:val="auto"/>
                <w:sz w:val="20"/>
                <w:szCs w:val="20"/>
              </w:rPr>
            </w:pPr>
            <w:r w:rsidRPr="00D07253">
              <w:rPr>
                <w:color w:val="auto"/>
                <w:sz w:val="20"/>
                <w:szCs w:val="20"/>
              </w:rPr>
              <w:t xml:space="preserve">reversible causes of cognitive decline (including delirium, depression, sensory impairment [such as sight or hearing loss] or cognitive impairment from medicines associated with increased anticholinergic burden) have been investigated and </w:t>
            </w:r>
          </w:p>
          <w:p w14:paraId="59B688F9" w14:textId="69D13BA1" w:rsidR="00D07253" w:rsidRPr="00D07253" w:rsidRDefault="00D07253" w:rsidP="00D07253">
            <w:pPr>
              <w:pStyle w:val="Default"/>
              <w:numPr>
                <w:ilvl w:val="0"/>
                <w:numId w:val="47"/>
              </w:numPr>
              <w:spacing w:after="198"/>
              <w:rPr>
                <w:color w:val="auto"/>
                <w:sz w:val="20"/>
                <w:szCs w:val="20"/>
              </w:rPr>
            </w:pPr>
            <w:r w:rsidRPr="00D07253">
              <w:rPr>
                <w:color w:val="auto"/>
                <w:sz w:val="20"/>
                <w:szCs w:val="20"/>
              </w:rPr>
              <w:t xml:space="preserve">dementia is still suspected. </w:t>
            </w:r>
          </w:p>
          <w:p w14:paraId="4A8886E5" w14:textId="187FE835" w:rsidR="00BB5FA0" w:rsidRPr="007E69FD" w:rsidRDefault="00D07253" w:rsidP="00D07253">
            <w:pPr>
              <w:spacing w:before="120" w:after="120"/>
              <w:rPr>
                <w:rFonts w:ascii="Arial" w:hAnsi="Arial" w:cs="Arial"/>
                <w:sz w:val="20"/>
                <w:szCs w:val="20"/>
              </w:rPr>
            </w:pPr>
            <w:r w:rsidRPr="00D07253">
              <w:rPr>
                <w:rFonts w:ascii="Arial" w:hAnsi="Arial" w:cs="Arial"/>
                <w:sz w:val="20"/>
                <w:szCs w:val="20"/>
              </w:rPr>
              <w:t>The previous recommendations in CG42 stated that memory assessment services should be the single point of referral for all people with a possible diagnosis of dementia. The recommendation in NG97 focusses on referral to a specialist dementia diagnostic service which could be a memory clinic but could be another service.</w:t>
            </w:r>
          </w:p>
        </w:tc>
        <w:tc>
          <w:tcPr>
            <w:tcW w:w="1984" w:type="dxa"/>
          </w:tcPr>
          <w:p w14:paraId="77402397" w14:textId="750C030F" w:rsidR="00BB5FA0" w:rsidRPr="007E69FD" w:rsidRDefault="00BB5FA0" w:rsidP="00034D5A">
            <w:pPr>
              <w:spacing w:before="120" w:after="120"/>
              <w:rPr>
                <w:rFonts w:ascii="Arial" w:hAnsi="Arial" w:cs="Arial"/>
                <w:sz w:val="20"/>
                <w:szCs w:val="20"/>
              </w:rPr>
            </w:pPr>
          </w:p>
        </w:tc>
      </w:tr>
      <w:tr w:rsidR="00BB5FA0" w:rsidRPr="00034D5A" w14:paraId="48BE8CA2" w14:textId="77777777" w:rsidTr="001822E1">
        <w:tc>
          <w:tcPr>
            <w:tcW w:w="1271" w:type="dxa"/>
          </w:tcPr>
          <w:p w14:paraId="5B69091E"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lastRenderedPageBreak/>
              <w:t>NM08</w:t>
            </w:r>
          </w:p>
          <w:p w14:paraId="678FB975" w14:textId="77777777" w:rsidR="00BB5FA0" w:rsidRPr="007E69FD" w:rsidRDefault="00BB5FA0" w:rsidP="00034D5A">
            <w:pPr>
              <w:spacing w:before="120" w:after="120"/>
              <w:rPr>
                <w:rFonts w:ascii="Arial" w:hAnsi="Arial" w:cs="Arial"/>
                <w:sz w:val="20"/>
                <w:szCs w:val="20"/>
              </w:rPr>
            </w:pPr>
          </w:p>
        </w:tc>
        <w:tc>
          <w:tcPr>
            <w:tcW w:w="4394" w:type="dxa"/>
          </w:tcPr>
          <w:p w14:paraId="0FCABD7C"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For patients with newly diagnosed angina (diagnosed after 1 April 2011), the percentage who are referred for specialist assessment.</w:t>
            </w:r>
          </w:p>
        </w:tc>
        <w:tc>
          <w:tcPr>
            <w:tcW w:w="7088" w:type="dxa"/>
          </w:tcPr>
          <w:p w14:paraId="6F014BD9" w14:textId="77777777" w:rsidR="009975A8" w:rsidRPr="009975A8" w:rsidRDefault="009975A8" w:rsidP="009975A8">
            <w:pPr>
              <w:spacing w:before="120" w:after="120"/>
              <w:rPr>
                <w:rFonts w:ascii="Arial" w:eastAsiaTheme="minorEastAsia" w:hAnsi="Arial"/>
                <w:sz w:val="20"/>
                <w:szCs w:val="20"/>
              </w:rPr>
            </w:pPr>
            <w:r w:rsidRPr="009975A8">
              <w:rPr>
                <w:rFonts w:ascii="Arial" w:hAnsi="Arial"/>
                <w:sz w:val="20"/>
                <w:szCs w:val="20"/>
              </w:rPr>
              <w:t xml:space="preserve">NM08 was originally based on </w:t>
            </w:r>
            <w:hyperlink r:id="rId49" w:history="1">
              <w:r w:rsidRPr="009975A8">
                <w:rPr>
                  <w:rFonts w:ascii="Arial" w:eastAsiaTheme="minorEastAsia" w:hAnsi="Arial"/>
                  <w:color w:val="0000FF" w:themeColor="hyperlink"/>
                  <w:sz w:val="20"/>
                  <w:szCs w:val="20"/>
                  <w:u w:val="single"/>
                </w:rPr>
                <w:t>Chest pain of recent onset: assessment and diagnosis</w:t>
              </w:r>
            </w:hyperlink>
            <w:r w:rsidRPr="009975A8">
              <w:rPr>
                <w:rFonts w:ascii="Arial" w:eastAsiaTheme="minorEastAsia" w:hAnsi="Arial"/>
                <w:sz w:val="20"/>
                <w:szCs w:val="20"/>
              </w:rPr>
              <w:t xml:space="preserve"> (2010) NICE guideline CG95, recommendation 1.3.1.1. This was updated in 2016 and the potential to diagnose angina based on clinical assessment alone was removed:</w:t>
            </w:r>
          </w:p>
          <w:p w14:paraId="1FC7C5C3" w14:textId="77777777" w:rsidR="009975A8" w:rsidRPr="009975A8" w:rsidRDefault="009975A8" w:rsidP="000112DC">
            <w:pPr>
              <w:spacing w:after="240"/>
              <w:rPr>
                <w:rFonts w:ascii="Arial" w:eastAsiaTheme="minorEastAsia" w:hAnsi="Arial"/>
                <w:sz w:val="20"/>
                <w:szCs w:val="20"/>
              </w:rPr>
            </w:pPr>
            <w:r w:rsidRPr="009975A8">
              <w:rPr>
                <w:rFonts w:ascii="Arial" w:eastAsiaTheme="minorEastAsia" w:hAnsi="Arial"/>
                <w:sz w:val="20"/>
                <w:szCs w:val="20"/>
              </w:rPr>
              <w:t>1.3.1.1. Exclude a diagnosis of stable angina if clinical assessment indicates non-anginal chest pain (see recommendation 1.3.3.1) and there are no other aspects of the history or risk factors raising clinical suspicion.</w:t>
            </w:r>
          </w:p>
          <w:p w14:paraId="44F9E1DB" w14:textId="4DFA7C1E" w:rsidR="00BB5FA0" w:rsidRPr="007E69FD" w:rsidRDefault="009975A8" w:rsidP="00561943">
            <w:pPr>
              <w:spacing w:before="120" w:after="120"/>
              <w:rPr>
                <w:rFonts w:ascii="Arial" w:hAnsi="Arial" w:cs="Arial"/>
                <w:sz w:val="20"/>
                <w:szCs w:val="20"/>
              </w:rPr>
            </w:pPr>
            <w:r w:rsidRPr="009975A8">
              <w:rPr>
                <w:rFonts w:ascii="Arial" w:eastAsiaTheme="minorEastAsia" w:hAnsi="Arial"/>
                <w:sz w:val="20"/>
                <w:szCs w:val="20"/>
              </w:rPr>
              <w:t>1.3.1.2. If clinical assessment indicates typical or atypical angina (see recommendation 1.3.3.1), offer diagnostic testing</w:t>
            </w:r>
            <w:r w:rsidRPr="009975A8">
              <w:rPr>
                <w:rFonts w:ascii="Arial" w:eastAsiaTheme="minorEastAsia" w:hAnsi="Arial"/>
              </w:rPr>
              <w:t>.</w:t>
            </w:r>
          </w:p>
        </w:tc>
        <w:tc>
          <w:tcPr>
            <w:tcW w:w="1984" w:type="dxa"/>
          </w:tcPr>
          <w:p w14:paraId="3249E351" w14:textId="34A396EF" w:rsidR="00BB5FA0" w:rsidRPr="007E69FD" w:rsidRDefault="00BB5FA0" w:rsidP="00034D5A">
            <w:pPr>
              <w:spacing w:before="120" w:after="120"/>
              <w:rPr>
                <w:rFonts w:ascii="Arial" w:hAnsi="Arial" w:cs="Arial"/>
                <w:sz w:val="20"/>
                <w:szCs w:val="20"/>
              </w:rPr>
            </w:pPr>
          </w:p>
        </w:tc>
      </w:tr>
      <w:tr w:rsidR="00BB5FA0" w:rsidRPr="00034D5A" w14:paraId="3B274A16" w14:textId="77777777" w:rsidTr="001822E1">
        <w:tc>
          <w:tcPr>
            <w:tcW w:w="1271" w:type="dxa"/>
          </w:tcPr>
          <w:p w14:paraId="5125FEDD"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NM35</w:t>
            </w:r>
          </w:p>
        </w:tc>
        <w:tc>
          <w:tcPr>
            <w:tcW w:w="4394" w:type="dxa"/>
          </w:tcPr>
          <w:p w14:paraId="39AF4039" w14:textId="77777777" w:rsidR="00BB5FA0" w:rsidRPr="007E69FD" w:rsidRDefault="00BB5FA0" w:rsidP="00034D5A">
            <w:pPr>
              <w:spacing w:before="120" w:after="120"/>
              <w:rPr>
                <w:rFonts w:ascii="Arial" w:hAnsi="Arial" w:cs="Arial"/>
                <w:sz w:val="20"/>
                <w:szCs w:val="20"/>
              </w:rPr>
            </w:pPr>
            <w:r w:rsidRPr="007E69FD">
              <w:rPr>
                <w:rFonts w:ascii="Arial" w:hAnsi="Arial" w:cs="Arial"/>
                <w:sz w:val="20"/>
                <w:szCs w:val="20"/>
              </w:rPr>
              <w:t>The percentage of patients with peripheral arterial disease in whom the last measured total cholesterol (measured in preceding 15 months) is 5.0 mmol/l or less.</w:t>
            </w:r>
          </w:p>
        </w:tc>
        <w:tc>
          <w:tcPr>
            <w:tcW w:w="7088" w:type="dxa"/>
          </w:tcPr>
          <w:p w14:paraId="15817F74" w14:textId="6C5EB45B" w:rsidR="005035E5" w:rsidRDefault="003F4AAC" w:rsidP="005035E5">
            <w:pPr>
              <w:spacing w:before="120" w:after="120"/>
              <w:rPr>
                <w:rFonts w:ascii="Arial" w:eastAsiaTheme="minorEastAsia" w:hAnsi="Arial" w:cs="Arial"/>
                <w:sz w:val="20"/>
                <w:szCs w:val="20"/>
              </w:rPr>
            </w:pPr>
            <w:r w:rsidRPr="003F4AAC">
              <w:rPr>
                <w:rFonts w:ascii="Arial" w:eastAsiaTheme="minorEastAsia" w:hAnsi="Arial"/>
                <w:sz w:val="20"/>
                <w:szCs w:val="20"/>
              </w:rPr>
              <w:t xml:space="preserve">This indicator was </w:t>
            </w:r>
            <w:r w:rsidR="00E50011">
              <w:rPr>
                <w:rFonts w:ascii="Arial" w:eastAsiaTheme="minorEastAsia" w:hAnsi="Arial"/>
                <w:sz w:val="20"/>
                <w:szCs w:val="20"/>
              </w:rPr>
              <w:t xml:space="preserve">originally </w:t>
            </w:r>
            <w:r w:rsidRPr="003F4AAC">
              <w:rPr>
                <w:rFonts w:ascii="Arial" w:eastAsiaTheme="minorEastAsia" w:hAnsi="Arial"/>
                <w:sz w:val="20"/>
                <w:szCs w:val="20"/>
              </w:rPr>
              <w:t>developed based SIGN guideline 97 (2007) Risk estimation and the prevention of cardiovascular disease</w:t>
            </w:r>
            <w:r w:rsidR="005035E5">
              <w:rPr>
                <w:rFonts w:ascii="Arial" w:eastAsiaTheme="minorEastAsia" w:hAnsi="Arial"/>
                <w:sz w:val="20"/>
                <w:szCs w:val="20"/>
              </w:rPr>
              <w:t xml:space="preserve">. </w:t>
            </w:r>
            <w:r w:rsidRPr="000112DC">
              <w:rPr>
                <w:rFonts w:ascii="Arial" w:eastAsiaTheme="minorEastAsia" w:hAnsi="Arial" w:cs="Arial"/>
                <w:sz w:val="20"/>
                <w:szCs w:val="20"/>
              </w:rPr>
              <w:t xml:space="preserve">This guideline </w:t>
            </w:r>
            <w:r w:rsidR="005035E5" w:rsidRPr="000112DC">
              <w:rPr>
                <w:rFonts w:ascii="Arial" w:eastAsiaTheme="minorEastAsia" w:hAnsi="Arial" w:cs="Arial"/>
                <w:sz w:val="20"/>
                <w:szCs w:val="20"/>
              </w:rPr>
              <w:t xml:space="preserve">(SIGN 97) </w:t>
            </w:r>
            <w:r w:rsidRPr="000112DC">
              <w:rPr>
                <w:rFonts w:ascii="Arial" w:eastAsiaTheme="minorEastAsia" w:hAnsi="Arial" w:cs="Arial"/>
                <w:sz w:val="20"/>
                <w:szCs w:val="20"/>
              </w:rPr>
              <w:t xml:space="preserve">has been </w:t>
            </w:r>
            <w:hyperlink r:id="rId50" w:history="1">
              <w:r w:rsidRPr="000112DC">
                <w:rPr>
                  <w:rFonts w:ascii="Arial" w:eastAsiaTheme="minorEastAsia" w:hAnsi="Arial" w:cs="Arial"/>
                  <w:color w:val="0000FF" w:themeColor="hyperlink"/>
                  <w:sz w:val="20"/>
                  <w:szCs w:val="20"/>
                  <w:u w:val="single"/>
                </w:rPr>
                <w:t>superseded</w:t>
              </w:r>
            </w:hyperlink>
            <w:r w:rsidRPr="000112DC">
              <w:rPr>
                <w:rFonts w:ascii="Arial" w:eastAsiaTheme="minorEastAsia" w:hAnsi="Arial" w:cs="Arial"/>
                <w:sz w:val="20"/>
                <w:szCs w:val="20"/>
              </w:rPr>
              <w:t xml:space="preserve"> by SIGN clinical guideline 149 (2017) </w:t>
            </w:r>
            <w:hyperlink r:id="rId51" w:history="1">
              <w:r w:rsidRPr="000112DC">
                <w:rPr>
                  <w:rFonts w:ascii="Arial" w:eastAsiaTheme="minorEastAsia" w:hAnsi="Arial" w:cs="Arial"/>
                  <w:color w:val="0000FF" w:themeColor="hyperlink"/>
                  <w:sz w:val="20"/>
                  <w:szCs w:val="20"/>
                  <w:u w:val="single"/>
                </w:rPr>
                <w:t>Risk estimation and the prevention of cardiovascular disease</w:t>
              </w:r>
            </w:hyperlink>
            <w:r w:rsidRPr="000112DC">
              <w:rPr>
                <w:rFonts w:ascii="Arial" w:eastAsiaTheme="minorEastAsia" w:hAnsi="Arial" w:cs="Arial"/>
                <w:sz w:val="20"/>
                <w:szCs w:val="20"/>
              </w:rPr>
              <w:t xml:space="preserve"> which does not contain recommendations to support the total cholesterol target. </w:t>
            </w:r>
          </w:p>
          <w:p w14:paraId="43A06B85" w14:textId="0839E94B" w:rsidR="00BB5FA0" w:rsidRPr="003F4AAC" w:rsidRDefault="00E50011" w:rsidP="000112DC">
            <w:pPr>
              <w:spacing w:before="120" w:after="120"/>
              <w:rPr>
                <w:rFonts w:eastAsiaTheme="minorEastAsia"/>
                <w:sz w:val="20"/>
                <w:szCs w:val="20"/>
              </w:rPr>
            </w:pPr>
            <w:r>
              <w:rPr>
                <w:rFonts w:ascii="Arial" w:eastAsiaTheme="minorEastAsia" w:hAnsi="Arial" w:cs="Arial"/>
                <w:sz w:val="20"/>
                <w:szCs w:val="20"/>
              </w:rPr>
              <w:t>The NICE guideline for lipid modification (</w:t>
            </w:r>
            <w:hyperlink r:id="rId52" w:history="1">
              <w:r w:rsidRPr="00E50011">
                <w:rPr>
                  <w:rStyle w:val="Hyperlink"/>
                  <w:rFonts w:ascii="Arial" w:eastAsiaTheme="minorEastAsia" w:hAnsi="Arial" w:cs="Arial"/>
                  <w:sz w:val="20"/>
                  <w:szCs w:val="20"/>
                </w:rPr>
                <w:t>CG181</w:t>
              </w:r>
            </w:hyperlink>
            <w:r>
              <w:rPr>
                <w:rFonts w:ascii="Arial" w:eastAsiaTheme="minorEastAsia" w:hAnsi="Arial" w:cs="Arial"/>
                <w:sz w:val="20"/>
                <w:szCs w:val="20"/>
              </w:rPr>
              <w:t xml:space="preserve">) </w:t>
            </w:r>
            <w:r w:rsidR="003F4AAC" w:rsidRPr="00873E97">
              <w:rPr>
                <w:rFonts w:ascii="Arial" w:eastAsiaTheme="minorEastAsia" w:hAnsi="Arial" w:cs="Arial"/>
                <w:sz w:val="20"/>
                <w:szCs w:val="20"/>
              </w:rPr>
              <w:t>recommends that total cholesterol, HDL cholesterol and non</w:t>
            </w:r>
            <w:r w:rsidR="003F4AAC" w:rsidRPr="000112DC">
              <w:rPr>
                <w:rFonts w:ascii="Cambria Math" w:eastAsiaTheme="minorEastAsia" w:hAnsi="Cambria Math" w:cs="Cambria Math"/>
                <w:sz w:val="20"/>
                <w:szCs w:val="20"/>
              </w:rPr>
              <w:t>‑</w:t>
            </w:r>
            <w:r w:rsidR="003F4AAC" w:rsidRPr="000112DC">
              <w:rPr>
                <w:rFonts w:ascii="Arial" w:eastAsiaTheme="minorEastAsia" w:hAnsi="Arial" w:cs="Arial"/>
                <w:sz w:val="20"/>
                <w:szCs w:val="20"/>
              </w:rPr>
              <w:t>HDL cholesterol are measured in people started on high-intensity statin treatment with an aim for a greater than 40% reduction.</w:t>
            </w:r>
          </w:p>
        </w:tc>
        <w:tc>
          <w:tcPr>
            <w:tcW w:w="1984" w:type="dxa"/>
          </w:tcPr>
          <w:p w14:paraId="0ADD88F1" w14:textId="0EBB2317" w:rsidR="00BB5FA0" w:rsidRPr="007E69FD" w:rsidRDefault="00BB5FA0" w:rsidP="00034D5A">
            <w:pPr>
              <w:spacing w:before="120" w:after="120"/>
              <w:rPr>
                <w:rFonts w:ascii="Arial" w:hAnsi="Arial" w:cs="Arial"/>
                <w:sz w:val="20"/>
                <w:szCs w:val="20"/>
              </w:rPr>
            </w:pPr>
          </w:p>
        </w:tc>
      </w:tr>
      <w:tr w:rsidR="003F43E1" w:rsidRPr="00034D5A" w14:paraId="78AE2E74" w14:textId="77777777" w:rsidTr="001822E1">
        <w:tc>
          <w:tcPr>
            <w:tcW w:w="1271" w:type="dxa"/>
          </w:tcPr>
          <w:p w14:paraId="6D51FD90" w14:textId="77777777" w:rsidR="003F43E1" w:rsidRPr="007E69FD" w:rsidRDefault="003F43E1" w:rsidP="003F43E1">
            <w:pPr>
              <w:spacing w:before="120" w:after="120"/>
              <w:rPr>
                <w:rFonts w:ascii="Arial" w:hAnsi="Arial" w:cs="Arial"/>
                <w:sz w:val="20"/>
                <w:szCs w:val="20"/>
              </w:rPr>
            </w:pPr>
            <w:r w:rsidRPr="007E69FD">
              <w:rPr>
                <w:rFonts w:ascii="Arial" w:hAnsi="Arial" w:cs="Arial"/>
                <w:sz w:val="20"/>
                <w:szCs w:val="20"/>
              </w:rPr>
              <w:t>NM60</w:t>
            </w:r>
          </w:p>
        </w:tc>
        <w:tc>
          <w:tcPr>
            <w:tcW w:w="4394" w:type="dxa"/>
          </w:tcPr>
          <w:p w14:paraId="7D7979C4" w14:textId="77777777" w:rsidR="003F43E1" w:rsidRPr="007E69FD" w:rsidRDefault="003F43E1" w:rsidP="003F43E1">
            <w:pPr>
              <w:spacing w:before="120" w:after="120"/>
              <w:rPr>
                <w:rFonts w:ascii="Arial" w:hAnsi="Arial" w:cs="Arial"/>
                <w:sz w:val="20"/>
                <w:szCs w:val="20"/>
              </w:rPr>
            </w:pPr>
            <w:r w:rsidRPr="007E69FD">
              <w:rPr>
                <w:rFonts w:ascii="Arial" w:hAnsi="Arial" w:cs="Arial"/>
                <w:sz w:val="20"/>
                <w:szCs w:val="20"/>
              </w:rPr>
              <w:t xml:space="preserve">The percentage of patients with a stroke shown to be </w:t>
            </w:r>
            <w:proofErr w:type="spellStart"/>
            <w:r w:rsidRPr="007E69FD">
              <w:rPr>
                <w:rFonts w:ascii="Arial" w:hAnsi="Arial" w:cs="Arial"/>
                <w:sz w:val="20"/>
                <w:szCs w:val="20"/>
              </w:rPr>
              <w:t>nonhaemorrhagic</w:t>
            </w:r>
            <w:proofErr w:type="spellEnd"/>
            <w:r w:rsidRPr="007E69FD">
              <w:rPr>
                <w:rFonts w:ascii="Arial" w:hAnsi="Arial" w:cs="Arial"/>
                <w:sz w:val="20"/>
                <w:szCs w:val="20"/>
              </w:rPr>
              <w:t>, or a history of TIA whose last measured total cholesterol (measured in the preceding 15 months) is 5 mmol/l or less.</w:t>
            </w:r>
          </w:p>
        </w:tc>
        <w:tc>
          <w:tcPr>
            <w:tcW w:w="7088" w:type="dxa"/>
          </w:tcPr>
          <w:p w14:paraId="2A533021" w14:textId="77777777" w:rsidR="00E50011" w:rsidRDefault="00E50011" w:rsidP="00E50011">
            <w:pPr>
              <w:spacing w:before="120" w:after="120"/>
              <w:rPr>
                <w:rFonts w:ascii="Arial" w:eastAsiaTheme="minorEastAsia" w:hAnsi="Arial" w:cs="Arial"/>
                <w:sz w:val="20"/>
                <w:szCs w:val="20"/>
              </w:rPr>
            </w:pPr>
            <w:r w:rsidRPr="003F4AAC">
              <w:rPr>
                <w:rFonts w:ascii="Arial" w:eastAsiaTheme="minorEastAsia" w:hAnsi="Arial"/>
                <w:sz w:val="20"/>
                <w:szCs w:val="20"/>
              </w:rPr>
              <w:t xml:space="preserve">This indicator was </w:t>
            </w:r>
            <w:r>
              <w:rPr>
                <w:rFonts w:ascii="Arial" w:eastAsiaTheme="minorEastAsia" w:hAnsi="Arial"/>
                <w:sz w:val="20"/>
                <w:szCs w:val="20"/>
              </w:rPr>
              <w:t xml:space="preserve">originally </w:t>
            </w:r>
            <w:r w:rsidRPr="003F4AAC">
              <w:rPr>
                <w:rFonts w:ascii="Arial" w:eastAsiaTheme="minorEastAsia" w:hAnsi="Arial"/>
                <w:sz w:val="20"/>
                <w:szCs w:val="20"/>
              </w:rPr>
              <w:t>developed based SIGN guideline 97 (2007) Risk estimation and the prevention of cardiovascular disease</w:t>
            </w:r>
            <w:r>
              <w:rPr>
                <w:rFonts w:ascii="Arial" w:eastAsiaTheme="minorEastAsia" w:hAnsi="Arial"/>
                <w:sz w:val="20"/>
                <w:szCs w:val="20"/>
              </w:rPr>
              <w:t xml:space="preserve">. </w:t>
            </w:r>
            <w:r w:rsidRPr="008C47BA">
              <w:rPr>
                <w:rFonts w:ascii="Arial" w:eastAsiaTheme="minorEastAsia" w:hAnsi="Arial" w:cs="Arial"/>
                <w:sz w:val="20"/>
                <w:szCs w:val="20"/>
              </w:rPr>
              <w:t xml:space="preserve">This guideline (SIGN 97) has been </w:t>
            </w:r>
            <w:hyperlink r:id="rId53" w:history="1">
              <w:r w:rsidRPr="008C47BA">
                <w:rPr>
                  <w:rFonts w:ascii="Arial" w:eastAsiaTheme="minorEastAsia" w:hAnsi="Arial" w:cs="Arial"/>
                  <w:color w:val="0000FF" w:themeColor="hyperlink"/>
                  <w:sz w:val="20"/>
                  <w:szCs w:val="20"/>
                  <w:u w:val="single"/>
                </w:rPr>
                <w:t>superseded</w:t>
              </w:r>
            </w:hyperlink>
            <w:r w:rsidRPr="008C47BA">
              <w:rPr>
                <w:rFonts w:ascii="Arial" w:eastAsiaTheme="minorEastAsia" w:hAnsi="Arial" w:cs="Arial"/>
                <w:sz w:val="20"/>
                <w:szCs w:val="20"/>
              </w:rPr>
              <w:t xml:space="preserve"> by SIGN clinical guideline 149 (2017) </w:t>
            </w:r>
            <w:hyperlink r:id="rId54" w:history="1">
              <w:r w:rsidRPr="008C47BA">
                <w:rPr>
                  <w:rFonts w:ascii="Arial" w:eastAsiaTheme="minorEastAsia" w:hAnsi="Arial" w:cs="Arial"/>
                  <w:color w:val="0000FF" w:themeColor="hyperlink"/>
                  <w:sz w:val="20"/>
                  <w:szCs w:val="20"/>
                  <w:u w:val="single"/>
                </w:rPr>
                <w:t>Risk estimation and the prevention of cardiovascular disease</w:t>
              </w:r>
            </w:hyperlink>
            <w:r w:rsidRPr="008C47BA">
              <w:rPr>
                <w:rFonts w:ascii="Arial" w:eastAsiaTheme="minorEastAsia" w:hAnsi="Arial" w:cs="Arial"/>
                <w:sz w:val="20"/>
                <w:szCs w:val="20"/>
              </w:rPr>
              <w:t xml:space="preserve"> which does not contain recommendations to support the total cholesterol target. </w:t>
            </w:r>
          </w:p>
          <w:p w14:paraId="5E53FE6A" w14:textId="2A7BFE01" w:rsidR="00E50011" w:rsidRPr="003F4AAC" w:rsidRDefault="00E50011" w:rsidP="00E50011">
            <w:pPr>
              <w:spacing w:before="120" w:after="120"/>
              <w:rPr>
                <w:rFonts w:ascii="Arial" w:eastAsiaTheme="minorEastAsia" w:hAnsi="Arial"/>
                <w:sz w:val="20"/>
                <w:szCs w:val="20"/>
              </w:rPr>
            </w:pPr>
            <w:r>
              <w:rPr>
                <w:rFonts w:ascii="Arial" w:eastAsiaTheme="minorEastAsia" w:hAnsi="Arial" w:cs="Arial"/>
                <w:sz w:val="20"/>
                <w:szCs w:val="20"/>
              </w:rPr>
              <w:t>The NICE guideline for lipid modification (</w:t>
            </w:r>
            <w:hyperlink r:id="rId55" w:history="1">
              <w:r w:rsidRPr="00E50011">
                <w:rPr>
                  <w:rStyle w:val="Hyperlink"/>
                  <w:rFonts w:ascii="Arial" w:eastAsiaTheme="minorEastAsia" w:hAnsi="Arial" w:cs="Arial"/>
                  <w:sz w:val="20"/>
                  <w:szCs w:val="20"/>
                </w:rPr>
                <w:t>CG181</w:t>
              </w:r>
            </w:hyperlink>
            <w:r>
              <w:rPr>
                <w:rFonts w:ascii="Arial" w:eastAsiaTheme="minorEastAsia" w:hAnsi="Arial" w:cs="Arial"/>
                <w:sz w:val="20"/>
                <w:szCs w:val="20"/>
              </w:rPr>
              <w:t xml:space="preserve">) </w:t>
            </w:r>
            <w:r w:rsidRPr="008C47BA">
              <w:rPr>
                <w:rFonts w:ascii="Arial" w:eastAsiaTheme="minorEastAsia" w:hAnsi="Arial" w:cs="Arial"/>
                <w:sz w:val="20"/>
                <w:szCs w:val="20"/>
              </w:rPr>
              <w:t>recommends that total cholesterol, HDL cholesterol and non</w:t>
            </w:r>
            <w:r w:rsidRPr="008C47BA">
              <w:rPr>
                <w:rFonts w:ascii="Cambria Math" w:eastAsiaTheme="minorEastAsia" w:hAnsi="Cambria Math" w:cs="Cambria Math"/>
                <w:sz w:val="20"/>
                <w:szCs w:val="20"/>
              </w:rPr>
              <w:t>‑</w:t>
            </w:r>
            <w:r w:rsidRPr="008C47BA">
              <w:rPr>
                <w:rFonts w:ascii="Arial" w:eastAsiaTheme="minorEastAsia" w:hAnsi="Arial" w:cs="Arial"/>
                <w:sz w:val="20"/>
                <w:szCs w:val="20"/>
              </w:rPr>
              <w:t>HDL cholesterol are measured in people started on high-intensity statin treatment with an aim for a greater than 40% reduction.</w:t>
            </w:r>
          </w:p>
          <w:p w14:paraId="324DA7CE" w14:textId="7A3D2776" w:rsidR="003F43E1" w:rsidRPr="007E69FD" w:rsidRDefault="003F43E1" w:rsidP="003F43E1">
            <w:pPr>
              <w:spacing w:before="120" w:after="120"/>
              <w:rPr>
                <w:rFonts w:ascii="Arial" w:hAnsi="Arial" w:cs="Arial"/>
                <w:sz w:val="20"/>
                <w:szCs w:val="20"/>
              </w:rPr>
            </w:pPr>
          </w:p>
        </w:tc>
        <w:tc>
          <w:tcPr>
            <w:tcW w:w="1984" w:type="dxa"/>
          </w:tcPr>
          <w:p w14:paraId="3BA0BEED" w14:textId="2CC734B1" w:rsidR="003F43E1" w:rsidRPr="007E69FD" w:rsidRDefault="003F43E1" w:rsidP="003F43E1">
            <w:pPr>
              <w:spacing w:before="120" w:after="120"/>
              <w:rPr>
                <w:rFonts w:ascii="Arial" w:hAnsi="Arial" w:cs="Arial"/>
                <w:sz w:val="20"/>
                <w:szCs w:val="20"/>
              </w:rPr>
            </w:pPr>
          </w:p>
        </w:tc>
      </w:tr>
      <w:tr w:rsidR="003F43E1" w:rsidRPr="00034D5A" w14:paraId="79461E97" w14:textId="77777777" w:rsidTr="001822E1">
        <w:tc>
          <w:tcPr>
            <w:tcW w:w="1271" w:type="dxa"/>
          </w:tcPr>
          <w:p w14:paraId="4D391CB0" w14:textId="77777777" w:rsidR="003F43E1" w:rsidRPr="007E69FD" w:rsidRDefault="003F43E1" w:rsidP="003F43E1">
            <w:pPr>
              <w:spacing w:before="120" w:after="120"/>
              <w:rPr>
                <w:rFonts w:ascii="Arial" w:hAnsi="Arial" w:cs="Arial"/>
                <w:sz w:val="20"/>
                <w:szCs w:val="20"/>
              </w:rPr>
            </w:pPr>
            <w:r w:rsidRPr="007E69FD">
              <w:rPr>
                <w:rFonts w:ascii="Arial" w:hAnsi="Arial" w:cs="Arial"/>
                <w:sz w:val="20"/>
                <w:szCs w:val="20"/>
              </w:rPr>
              <w:lastRenderedPageBreak/>
              <w:t>NM118</w:t>
            </w:r>
          </w:p>
        </w:tc>
        <w:tc>
          <w:tcPr>
            <w:tcW w:w="4394" w:type="dxa"/>
          </w:tcPr>
          <w:p w14:paraId="230E7237" w14:textId="77777777" w:rsidR="003F43E1" w:rsidRPr="007E69FD" w:rsidRDefault="003F43E1" w:rsidP="003F43E1">
            <w:pPr>
              <w:spacing w:before="120" w:after="120"/>
              <w:rPr>
                <w:rFonts w:ascii="Arial" w:hAnsi="Arial" w:cs="Arial"/>
                <w:sz w:val="20"/>
                <w:szCs w:val="20"/>
              </w:rPr>
            </w:pPr>
            <w:r w:rsidRPr="007E69FD">
              <w:rPr>
                <w:rFonts w:ascii="Arial" w:hAnsi="Arial" w:cs="Arial"/>
                <w:sz w:val="20"/>
                <w:szCs w:val="20"/>
              </w:rPr>
              <w:t>The percentage of patients with coronary heart disease whose last measured total cholesterol (measured in the preceding 12 months) is 5 mmol/l or less.</w:t>
            </w:r>
          </w:p>
        </w:tc>
        <w:tc>
          <w:tcPr>
            <w:tcW w:w="7088" w:type="dxa"/>
          </w:tcPr>
          <w:p w14:paraId="06A9322E" w14:textId="77777777" w:rsidR="00E50011" w:rsidRDefault="00E50011" w:rsidP="000112DC">
            <w:pPr>
              <w:spacing w:before="120" w:after="120"/>
              <w:rPr>
                <w:rFonts w:ascii="Arial" w:eastAsiaTheme="minorEastAsia" w:hAnsi="Arial" w:cs="Arial"/>
                <w:sz w:val="20"/>
                <w:szCs w:val="20"/>
              </w:rPr>
            </w:pPr>
            <w:r w:rsidRPr="003F4AAC">
              <w:rPr>
                <w:rFonts w:ascii="Arial" w:eastAsiaTheme="minorEastAsia" w:hAnsi="Arial"/>
                <w:sz w:val="20"/>
                <w:szCs w:val="20"/>
              </w:rPr>
              <w:t xml:space="preserve">This indicator was </w:t>
            </w:r>
            <w:r>
              <w:rPr>
                <w:rFonts w:ascii="Arial" w:eastAsiaTheme="minorEastAsia" w:hAnsi="Arial"/>
                <w:sz w:val="20"/>
                <w:szCs w:val="20"/>
              </w:rPr>
              <w:t xml:space="preserve">originally </w:t>
            </w:r>
            <w:r w:rsidRPr="003F4AAC">
              <w:rPr>
                <w:rFonts w:ascii="Arial" w:eastAsiaTheme="minorEastAsia" w:hAnsi="Arial"/>
                <w:sz w:val="20"/>
                <w:szCs w:val="20"/>
              </w:rPr>
              <w:t>developed based SIGN guideline 97 (2007) Risk estimation and the prevention of cardiovascular disease</w:t>
            </w:r>
            <w:r>
              <w:rPr>
                <w:rFonts w:ascii="Arial" w:eastAsiaTheme="minorEastAsia" w:hAnsi="Arial"/>
                <w:sz w:val="20"/>
                <w:szCs w:val="20"/>
              </w:rPr>
              <w:t xml:space="preserve">. </w:t>
            </w:r>
            <w:r w:rsidRPr="008C47BA">
              <w:rPr>
                <w:rFonts w:ascii="Arial" w:eastAsiaTheme="minorEastAsia" w:hAnsi="Arial" w:cs="Arial"/>
                <w:sz w:val="20"/>
                <w:szCs w:val="20"/>
              </w:rPr>
              <w:t xml:space="preserve">This guideline (SIGN 97) has been </w:t>
            </w:r>
            <w:hyperlink r:id="rId56" w:history="1">
              <w:r w:rsidRPr="008C47BA">
                <w:rPr>
                  <w:rFonts w:ascii="Arial" w:eastAsiaTheme="minorEastAsia" w:hAnsi="Arial" w:cs="Arial"/>
                  <w:color w:val="0000FF" w:themeColor="hyperlink"/>
                  <w:sz w:val="20"/>
                  <w:szCs w:val="20"/>
                  <w:u w:val="single"/>
                </w:rPr>
                <w:t>superseded</w:t>
              </w:r>
            </w:hyperlink>
            <w:r w:rsidRPr="008C47BA">
              <w:rPr>
                <w:rFonts w:ascii="Arial" w:eastAsiaTheme="minorEastAsia" w:hAnsi="Arial" w:cs="Arial"/>
                <w:sz w:val="20"/>
                <w:szCs w:val="20"/>
              </w:rPr>
              <w:t xml:space="preserve"> by SIGN clinical guideline 149 (2017) </w:t>
            </w:r>
            <w:hyperlink r:id="rId57" w:history="1">
              <w:r w:rsidRPr="008C47BA">
                <w:rPr>
                  <w:rFonts w:ascii="Arial" w:eastAsiaTheme="minorEastAsia" w:hAnsi="Arial" w:cs="Arial"/>
                  <w:color w:val="0000FF" w:themeColor="hyperlink"/>
                  <w:sz w:val="20"/>
                  <w:szCs w:val="20"/>
                  <w:u w:val="single"/>
                </w:rPr>
                <w:t>Risk estimation and the prevention of cardiovascular disease</w:t>
              </w:r>
            </w:hyperlink>
            <w:r w:rsidRPr="008C47BA">
              <w:rPr>
                <w:rFonts w:ascii="Arial" w:eastAsiaTheme="minorEastAsia" w:hAnsi="Arial" w:cs="Arial"/>
                <w:sz w:val="20"/>
                <w:szCs w:val="20"/>
              </w:rPr>
              <w:t xml:space="preserve"> which does not contain recommendations to support the total cholesterol target. </w:t>
            </w:r>
          </w:p>
          <w:p w14:paraId="62E3BDCB" w14:textId="272D06F4" w:rsidR="003F43E1" w:rsidRPr="007E69FD" w:rsidRDefault="00E50011" w:rsidP="000112DC">
            <w:pPr>
              <w:spacing w:after="240"/>
              <w:rPr>
                <w:rFonts w:ascii="Arial" w:hAnsi="Arial" w:cs="Arial"/>
                <w:sz w:val="20"/>
                <w:szCs w:val="20"/>
              </w:rPr>
            </w:pPr>
            <w:r>
              <w:rPr>
                <w:rFonts w:ascii="Arial" w:eastAsiaTheme="minorEastAsia" w:hAnsi="Arial" w:cs="Arial"/>
                <w:sz w:val="20"/>
                <w:szCs w:val="20"/>
              </w:rPr>
              <w:t>The NICE guideline for lipid modification (</w:t>
            </w:r>
            <w:hyperlink r:id="rId58" w:history="1">
              <w:r w:rsidRPr="00E50011">
                <w:rPr>
                  <w:rStyle w:val="Hyperlink"/>
                  <w:rFonts w:ascii="Arial" w:eastAsiaTheme="minorEastAsia" w:hAnsi="Arial" w:cs="Arial"/>
                  <w:sz w:val="20"/>
                  <w:szCs w:val="20"/>
                </w:rPr>
                <w:t>CG181</w:t>
              </w:r>
            </w:hyperlink>
            <w:r>
              <w:rPr>
                <w:rFonts w:ascii="Arial" w:eastAsiaTheme="minorEastAsia" w:hAnsi="Arial" w:cs="Arial"/>
                <w:sz w:val="20"/>
                <w:szCs w:val="20"/>
              </w:rPr>
              <w:t xml:space="preserve">) </w:t>
            </w:r>
            <w:r w:rsidRPr="008C47BA">
              <w:rPr>
                <w:rFonts w:ascii="Arial" w:eastAsiaTheme="minorEastAsia" w:hAnsi="Arial" w:cs="Arial"/>
                <w:sz w:val="20"/>
                <w:szCs w:val="20"/>
              </w:rPr>
              <w:t>recommends that total cholesterol, HDL cholesterol and non</w:t>
            </w:r>
            <w:r w:rsidRPr="008C47BA">
              <w:rPr>
                <w:rFonts w:ascii="Cambria Math" w:eastAsiaTheme="minorEastAsia" w:hAnsi="Cambria Math" w:cs="Cambria Math"/>
                <w:sz w:val="20"/>
                <w:szCs w:val="20"/>
              </w:rPr>
              <w:t>‑</w:t>
            </w:r>
            <w:r w:rsidRPr="008C47BA">
              <w:rPr>
                <w:rFonts w:ascii="Arial" w:eastAsiaTheme="minorEastAsia" w:hAnsi="Arial" w:cs="Arial"/>
                <w:sz w:val="20"/>
                <w:szCs w:val="20"/>
              </w:rPr>
              <w:t>HDL cholesterol are measured in people started on high-intensity statin treatment with an aim for a greater than 40% reduction.</w:t>
            </w:r>
          </w:p>
        </w:tc>
        <w:tc>
          <w:tcPr>
            <w:tcW w:w="1984" w:type="dxa"/>
          </w:tcPr>
          <w:p w14:paraId="51680AF8" w14:textId="460A783E" w:rsidR="003F43E1" w:rsidRPr="007E69FD" w:rsidRDefault="003F43E1" w:rsidP="003F43E1">
            <w:pPr>
              <w:spacing w:before="120" w:after="120"/>
              <w:rPr>
                <w:rFonts w:ascii="Arial" w:hAnsi="Arial" w:cs="Arial"/>
                <w:sz w:val="20"/>
                <w:szCs w:val="20"/>
              </w:rPr>
            </w:pPr>
          </w:p>
        </w:tc>
      </w:tr>
      <w:tr w:rsidR="003F43E1" w:rsidRPr="00034D5A" w14:paraId="331E7E2F" w14:textId="77777777" w:rsidTr="001822E1">
        <w:tc>
          <w:tcPr>
            <w:tcW w:w="1271" w:type="dxa"/>
          </w:tcPr>
          <w:p w14:paraId="535B36F1" w14:textId="1EF5D848" w:rsidR="003F43E1" w:rsidRPr="007E69FD" w:rsidRDefault="003F43E1" w:rsidP="003F43E1">
            <w:pPr>
              <w:spacing w:before="120" w:after="120"/>
              <w:rPr>
                <w:rFonts w:ascii="Arial" w:hAnsi="Arial" w:cs="Arial"/>
                <w:sz w:val="20"/>
                <w:szCs w:val="20"/>
              </w:rPr>
            </w:pPr>
            <w:r w:rsidRPr="007E69FD">
              <w:rPr>
                <w:rFonts w:ascii="Arial" w:hAnsi="Arial" w:cs="Arial"/>
                <w:sz w:val="20"/>
                <w:szCs w:val="20"/>
              </w:rPr>
              <w:t>CCG30</w:t>
            </w:r>
          </w:p>
        </w:tc>
        <w:tc>
          <w:tcPr>
            <w:tcW w:w="4394" w:type="dxa"/>
          </w:tcPr>
          <w:p w14:paraId="33FF7BD9" w14:textId="77777777" w:rsidR="003F43E1" w:rsidRDefault="003F43E1" w:rsidP="003F43E1">
            <w:pPr>
              <w:spacing w:before="120" w:after="120"/>
              <w:rPr>
                <w:rFonts w:ascii="Arial" w:hAnsi="Arial" w:cs="Arial"/>
                <w:sz w:val="20"/>
                <w:szCs w:val="20"/>
              </w:rPr>
            </w:pPr>
            <w:r w:rsidRPr="007E69FD">
              <w:rPr>
                <w:rFonts w:ascii="Arial" w:hAnsi="Arial" w:cs="Arial"/>
                <w:sz w:val="20"/>
                <w:szCs w:val="20"/>
              </w:rPr>
              <w:t>Proportion of women who receive antenatal assessments by 13 weeks of pregnancy</w:t>
            </w:r>
            <w:r w:rsidR="005105E3">
              <w:rPr>
                <w:rFonts w:ascii="Arial" w:hAnsi="Arial" w:cs="Arial"/>
                <w:sz w:val="20"/>
                <w:szCs w:val="20"/>
              </w:rPr>
              <w:t>*</w:t>
            </w:r>
          </w:p>
          <w:p w14:paraId="69A3B7B1" w14:textId="77777777" w:rsidR="005105E3" w:rsidRDefault="005105E3" w:rsidP="003F43E1">
            <w:pPr>
              <w:spacing w:before="120" w:after="120"/>
              <w:rPr>
                <w:rFonts w:ascii="Arial" w:hAnsi="Arial" w:cs="Arial"/>
                <w:sz w:val="20"/>
                <w:szCs w:val="20"/>
              </w:rPr>
            </w:pPr>
          </w:p>
          <w:p w14:paraId="6D579264" w14:textId="275A908D" w:rsidR="005105E3" w:rsidRPr="007E69FD" w:rsidRDefault="005105E3" w:rsidP="003F43E1">
            <w:pPr>
              <w:spacing w:before="120" w:after="120"/>
              <w:rPr>
                <w:rFonts w:ascii="Arial" w:hAnsi="Arial" w:cs="Arial"/>
                <w:sz w:val="20"/>
                <w:szCs w:val="20"/>
              </w:rPr>
            </w:pPr>
            <w:r>
              <w:rPr>
                <w:rFonts w:ascii="Arial" w:hAnsi="Arial" w:cs="Arial"/>
                <w:sz w:val="20"/>
                <w:szCs w:val="20"/>
              </w:rPr>
              <w:t>*this is a CCG level indicator.</w:t>
            </w:r>
          </w:p>
        </w:tc>
        <w:tc>
          <w:tcPr>
            <w:tcW w:w="7088" w:type="dxa"/>
          </w:tcPr>
          <w:p w14:paraId="35684901" w14:textId="15882911" w:rsidR="003F43E1" w:rsidRPr="007E69FD" w:rsidRDefault="000112DC" w:rsidP="003F43E1">
            <w:pPr>
              <w:spacing w:before="120" w:after="120"/>
              <w:rPr>
                <w:rFonts w:ascii="Arial" w:hAnsi="Arial" w:cs="Arial"/>
                <w:sz w:val="20"/>
                <w:szCs w:val="20"/>
              </w:rPr>
            </w:pPr>
            <w:r>
              <w:rPr>
                <w:rFonts w:ascii="Arial" w:hAnsi="Arial" w:cs="Arial"/>
                <w:sz w:val="20"/>
                <w:szCs w:val="20"/>
              </w:rPr>
              <w:t xml:space="preserve">NICE guidance (CG62 and CG110) recommends that systems are in place to </w:t>
            </w:r>
            <w:r w:rsidRPr="000112DC">
              <w:rPr>
                <w:rFonts w:ascii="Arial" w:hAnsi="Arial" w:cs="Arial"/>
                <w:sz w:val="20"/>
                <w:szCs w:val="20"/>
              </w:rPr>
              <w:t>support pregnant women to access antenatal care, ideally by 10 weeks 0 days</w:t>
            </w:r>
            <w:r>
              <w:rPr>
                <w:rFonts w:ascii="Arial" w:hAnsi="Arial" w:cs="Arial"/>
                <w:sz w:val="20"/>
                <w:szCs w:val="20"/>
              </w:rPr>
              <w:t>. NICE have developed and published an indicator that measures access at 10 weeks</w:t>
            </w:r>
            <w:r w:rsidR="00876E61">
              <w:rPr>
                <w:rFonts w:ascii="Arial" w:hAnsi="Arial" w:cs="Arial"/>
                <w:sz w:val="20"/>
                <w:szCs w:val="20"/>
              </w:rPr>
              <w:t xml:space="preserve"> (CCG81)</w:t>
            </w:r>
            <w:r>
              <w:rPr>
                <w:rFonts w:ascii="Arial" w:hAnsi="Arial" w:cs="Arial"/>
                <w:sz w:val="20"/>
                <w:szCs w:val="20"/>
              </w:rPr>
              <w:t xml:space="preserve">. </w:t>
            </w:r>
          </w:p>
        </w:tc>
        <w:tc>
          <w:tcPr>
            <w:tcW w:w="1984" w:type="dxa"/>
          </w:tcPr>
          <w:p w14:paraId="5397F42C" w14:textId="1AB3BE77" w:rsidR="003F43E1" w:rsidRPr="007E69FD" w:rsidRDefault="00876E61" w:rsidP="003F43E1">
            <w:pPr>
              <w:spacing w:before="120" w:after="120"/>
              <w:rPr>
                <w:rFonts w:ascii="Arial" w:hAnsi="Arial" w:cs="Arial"/>
                <w:sz w:val="20"/>
                <w:szCs w:val="20"/>
              </w:rPr>
            </w:pPr>
            <w:r>
              <w:rPr>
                <w:rFonts w:ascii="Arial" w:hAnsi="Arial" w:cs="Arial"/>
                <w:sz w:val="20"/>
                <w:szCs w:val="20"/>
              </w:rPr>
              <w:t xml:space="preserve">NICE CCG indicator </w:t>
            </w:r>
            <w:hyperlink r:id="rId59" w:history="1">
              <w:r w:rsidRPr="00876E61">
                <w:rPr>
                  <w:rStyle w:val="Hyperlink"/>
                  <w:rFonts w:ascii="Arial" w:hAnsi="Arial" w:cs="Arial"/>
                  <w:sz w:val="20"/>
                  <w:szCs w:val="20"/>
                </w:rPr>
                <w:t>CCG81</w:t>
              </w:r>
            </w:hyperlink>
          </w:p>
        </w:tc>
      </w:tr>
    </w:tbl>
    <w:p w14:paraId="6CA63CA7" w14:textId="77777777" w:rsidR="001E0E22" w:rsidRPr="001E0E22" w:rsidRDefault="001E0E22" w:rsidP="001E0E22">
      <w:pPr>
        <w:pStyle w:val="Paragraph"/>
        <w:rPr>
          <w:lang w:val="x-none" w:eastAsia="x-none"/>
        </w:rPr>
      </w:pPr>
      <w:bookmarkStart w:id="6" w:name="_Appendix_A"/>
      <w:bookmarkEnd w:id="6"/>
    </w:p>
    <w:sectPr w:rsidR="001E0E22" w:rsidRPr="001E0E22" w:rsidSect="00482C6B">
      <w:footerReference w:type="default" r:id="rId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AB20" w14:textId="77777777" w:rsidR="003E62A1" w:rsidRDefault="003E62A1" w:rsidP="00446BEE">
      <w:r>
        <w:separator/>
      </w:r>
    </w:p>
  </w:endnote>
  <w:endnote w:type="continuationSeparator" w:id="0">
    <w:p w14:paraId="3C669EAB" w14:textId="77777777" w:rsidR="003E62A1" w:rsidRDefault="003E62A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2589" w14:textId="3B59BBFC" w:rsidR="00B33BE6" w:rsidRPr="003E63BE" w:rsidRDefault="00B33BE6" w:rsidP="00B33BE6">
    <w:pPr>
      <w:pStyle w:val="Footer"/>
      <w:rPr>
        <w:lang w:val="en-GB"/>
      </w:rPr>
    </w:pPr>
    <w:r>
      <w:rPr>
        <w:lang w:val="en-GB"/>
      </w:rPr>
      <w:t>New</w:t>
    </w:r>
    <w:r w:rsidR="003E63BE">
      <w:rPr>
        <w:lang w:val="en-GB"/>
      </w:rPr>
      <w:t xml:space="preserve"> and </w:t>
    </w:r>
    <w:r>
      <w:rPr>
        <w:lang w:val="en-GB"/>
      </w:rPr>
      <w:t xml:space="preserve">retired NICE indicators </w:t>
    </w:r>
    <w:r w:rsidR="00C627C5">
      <w:rPr>
        <w:lang w:val="en-GB"/>
      </w:rPr>
      <w:t>September</w:t>
    </w:r>
    <w:r>
      <w:rPr>
        <w:lang w:val="en-GB"/>
      </w:rPr>
      <w:t xml:space="preserve"> 2020</w:t>
    </w:r>
    <w:sdt>
      <w:sdtPr>
        <w:id w:val="-256838757"/>
        <w:docPartObj>
          <w:docPartGallery w:val="Page Numbers (Bottom of Page)"/>
          <w:docPartUnique/>
        </w:docPartObj>
      </w:sdtPr>
      <w:sdtEndPr>
        <w:rPr>
          <w:noProof/>
        </w:rPr>
      </w:sdtEndPr>
      <w:sdtContent>
        <w:r>
          <w:tab/>
        </w:r>
        <w:r w:rsidR="003E63BE">
          <w:tab/>
        </w:r>
        <w:r>
          <w:fldChar w:fldCharType="begin"/>
        </w:r>
        <w:r>
          <w:instrText xml:space="preserve"> PAGE   \* MERGEFORMAT </w:instrText>
        </w:r>
        <w:r>
          <w:fldChar w:fldCharType="separate"/>
        </w:r>
        <w:r>
          <w:rPr>
            <w:noProof/>
          </w:rPr>
          <w:t>2</w:t>
        </w:r>
        <w:r>
          <w:rPr>
            <w:noProof/>
          </w:rPr>
          <w:fldChar w:fldCharType="end"/>
        </w:r>
      </w:sdtContent>
    </w:sdt>
  </w:p>
  <w:p w14:paraId="6D605E14" w14:textId="77777777" w:rsidR="00144F41" w:rsidRDefault="0014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FF03" w14:textId="77777777" w:rsidR="003E62A1" w:rsidRDefault="003E62A1">
    <w:pPr>
      <w:pStyle w:val="Footer"/>
      <w:jc w:val="right"/>
    </w:pPr>
    <w:r w:rsidRPr="004B5586">
      <w:t xml:space="preserve">Report for GE </w:t>
    </w:r>
    <w:proofErr w:type="spellStart"/>
    <w:r w:rsidRPr="004B5586">
      <w:t>yyyymmdd</w:t>
    </w:r>
    <w:proofErr w:type="spellEnd"/>
    <w:r w:rsidRPr="004B5586">
      <w:t>: NICE quality standard for [topic] (update)</w:t>
    </w:r>
    <w:r>
      <w:rPr>
        <w:lang w:val="en-GB"/>
      </w:rPr>
      <w:t xml:space="preserve"> </w:t>
    </w:r>
    <w:r>
      <w:rPr>
        <w:lang w:val="en-GB"/>
      </w:rPr>
      <w:tab/>
    </w: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61</w:t>
    </w:r>
    <w:r>
      <w:rPr>
        <w:b/>
        <w:bCs/>
        <w:sz w:val="24"/>
      </w:rPr>
      <w:fldChar w:fldCharType="end"/>
    </w:r>
  </w:p>
  <w:p w14:paraId="675F02F5" w14:textId="77777777" w:rsidR="003E62A1" w:rsidRPr="004B5586" w:rsidRDefault="003E62A1">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539825"/>
      <w:docPartObj>
        <w:docPartGallery w:val="Page Numbers (Bottom of Page)"/>
        <w:docPartUnique/>
      </w:docPartObj>
    </w:sdtPr>
    <w:sdtEndPr>
      <w:rPr>
        <w:noProof/>
      </w:rPr>
    </w:sdtEndPr>
    <w:sdtContent>
      <w:p w14:paraId="077AE896" w14:textId="67B04432" w:rsidR="00C377BD" w:rsidRDefault="00C377BD" w:rsidP="00C377BD">
        <w:pPr>
          <w:pStyle w:val="Footer"/>
        </w:pPr>
        <w:r>
          <w:rPr>
            <w:lang w:val="en-GB"/>
          </w:rPr>
          <w:t xml:space="preserve">New and retired NICE indicators </w:t>
        </w:r>
        <w:r w:rsidR="00216FF4">
          <w:rPr>
            <w:lang w:val="en-GB"/>
          </w:rPr>
          <w:t>September</w:t>
        </w:r>
        <w:r>
          <w:rPr>
            <w:lang w:val="en-GB"/>
          </w:rPr>
          <w:t xml:space="preserve"> 2020</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fldChar w:fldCharType="begin"/>
        </w:r>
        <w:r>
          <w:instrText xml:space="preserve"> PAGE   \* MERGEFORMAT </w:instrText>
        </w:r>
        <w:r>
          <w:fldChar w:fldCharType="separate"/>
        </w:r>
        <w:r>
          <w:rPr>
            <w:noProof/>
          </w:rPr>
          <w:t>2</w:t>
        </w:r>
        <w:r>
          <w:rPr>
            <w:noProof/>
          </w:rPr>
          <w:fldChar w:fldCharType="end"/>
        </w:r>
      </w:p>
    </w:sdtContent>
  </w:sdt>
  <w:p w14:paraId="435F86F8" w14:textId="77777777" w:rsidR="00C377BD" w:rsidRDefault="00C3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7B9B" w14:textId="77777777" w:rsidR="003E62A1" w:rsidRDefault="003E62A1" w:rsidP="00446BEE">
      <w:r>
        <w:separator/>
      </w:r>
    </w:p>
  </w:footnote>
  <w:footnote w:type="continuationSeparator" w:id="0">
    <w:p w14:paraId="2ADC64D3" w14:textId="77777777" w:rsidR="003E62A1" w:rsidRDefault="003E62A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EAD"/>
    <w:multiLevelType w:val="hybridMultilevel"/>
    <w:tmpl w:val="183C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18CF"/>
    <w:multiLevelType w:val="hybridMultilevel"/>
    <w:tmpl w:val="45C4E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84144AC"/>
    <w:multiLevelType w:val="hybridMultilevel"/>
    <w:tmpl w:val="1DB2A23E"/>
    <w:lvl w:ilvl="0" w:tplc="9AA669C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22421"/>
    <w:multiLevelType w:val="hybridMultilevel"/>
    <w:tmpl w:val="5E346D3E"/>
    <w:lvl w:ilvl="0" w:tplc="08090001">
      <w:start w:val="1"/>
      <w:numFmt w:val="bullet"/>
      <w:lvlText w:val=""/>
      <w:lvlJc w:val="left"/>
      <w:pPr>
        <w:ind w:left="720" w:hanging="360"/>
      </w:pPr>
      <w:rPr>
        <w:rFonts w:ascii="Symbol" w:hAnsi="Symbol" w:hint="default"/>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C491032"/>
    <w:multiLevelType w:val="hybridMultilevel"/>
    <w:tmpl w:val="0F382BA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15:restartNumberingAfterBreak="0">
    <w:nsid w:val="0CA96492"/>
    <w:multiLevelType w:val="hybridMultilevel"/>
    <w:tmpl w:val="11928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6C1B8A"/>
    <w:multiLevelType w:val="hybridMultilevel"/>
    <w:tmpl w:val="88A47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7128C"/>
    <w:multiLevelType w:val="hybridMultilevel"/>
    <w:tmpl w:val="60CA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F023A"/>
    <w:multiLevelType w:val="hybridMultilevel"/>
    <w:tmpl w:val="9836E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97417"/>
    <w:multiLevelType w:val="hybridMultilevel"/>
    <w:tmpl w:val="4BC85C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D24EF"/>
    <w:multiLevelType w:val="hybridMultilevel"/>
    <w:tmpl w:val="22D23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0C08F4"/>
    <w:multiLevelType w:val="hybridMultilevel"/>
    <w:tmpl w:val="ABAA0316"/>
    <w:lvl w:ilvl="0" w:tplc="9AA669C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F6E50"/>
    <w:multiLevelType w:val="hybridMultilevel"/>
    <w:tmpl w:val="CCB83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7393E"/>
    <w:multiLevelType w:val="hybridMultilevel"/>
    <w:tmpl w:val="99F282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4073F46"/>
    <w:multiLevelType w:val="hybridMultilevel"/>
    <w:tmpl w:val="690460BC"/>
    <w:lvl w:ilvl="0" w:tplc="E6086EC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00D3F"/>
    <w:multiLevelType w:val="hybridMultilevel"/>
    <w:tmpl w:val="3E581B06"/>
    <w:lvl w:ilvl="0" w:tplc="BBB0CF08">
      <w:start w:val="1"/>
      <w:numFmt w:val="bullet"/>
      <w:pStyle w:val="Bulletleft1las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1" w15:restartNumberingAfterBreak="0">
    <w:nsid w:val="3F5856FF"/>
    <w:multiLevelType w:val="hybridMultilevel"/>
    <w:tmpl w:val="9704128C"/>
    <w:lvl w:ilvl="0" w:tplc="08090001">
      <w:start w:val="1"/>
      <w:numFmt w:val="bullet"/>
      <w:lvlText w:val=""/>
      <w:lvlJc w:val="left"/>
      <w:pPr>
        <w:ind w:left="1080" w:hanging="360"/>
      </w:pPr>
      <w:rPr>
        <w:rFonts w:ascii="Symbol" w:hAnsi="Symbol" w:hint="default"/>
        <w:b w:val="0"/>
        <w:sz w:val="24"/>
        <w:szCs w:val="24"/>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622D62"/>
    <w:multiLevelType w:val="hybridMultilevel"/>
    <w:tmpl w:val="A7F4B65E"/>
    <w:lvl w:ilvl="0" w:tplc="E6086EC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5296713"/>
    <w:multiLevelType w:val="hybridMultilevel"/>
    <w:tmpl w:val="14C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20978"/>
    <w:multiLevelType w:val="hybridMultilevel"/>
    <w:tmpl w:val="55C03FD2"/>
    <w:lvl w:ilvl="0" w:tplc="9AA669C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C3C6D30"/>
    <w:multiLevelType w:val="hybridMultilevel"/>
    <w:tmpl w:val="169A8BA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A55B8C"/>
    <w:multiLevelType w:val="hybridMultilevel"/>
    <w:tmpl w:val="8BEE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7635F"/>
    <w:multiLevelType w:val="hybridMultilevel"/>
    <w:tmpl w:val="EC3C467C"/>
    <w:lvl w:ilvl="0" w:tplc="9AA669C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F092F"/>
    <w:multiLevelType w:val="hybridMultilevel"/>
    <w:tmpl w:val="2428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229B2"/>
    <w:multiLevelType w:val="hybridMultilevel"/>
    <w:tmpl w:val="EA903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6A1F79"/>
    <w:multiLevelType w:val="hybridMultilevel"/>
    <w:tmpl w:val="D9C4AFD6"/>
    <w:lvl w:ilvl="0" w:tplc="9AA669C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95B48"/>
    <w:multiLevelType w:val="hybridMultilevel"/>
    <w:tmpl w:val="64CE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F36E6"/>
    <w:multiLevelType w:val="hybridMultilevel"/>
    <w:tmpl w:val="14320908"/>
    <w:lvl w:ilvl="0" w:tplc="E64A643A">
      <w:start w:val="1"/>
      <w:numFmt w:val="bullet"/>
      <w:pStyle w:val="Section411paragraphs"/>
      <w:lvlText w:val=""/>
      <w:lvlJc w:val="left"/>
      <w:pPr>
        <w:tabs>
          <w:tab w:val="num" w:pos="1701"/>
        </w:tabs>
        <w:ind w:left="1701" w:hanging="567"/>
      </w:pPr>
      <w:rPr>
        <w:rFonts w:ascii="Symbol" w:hAnsi="Symbol" w:hint="default"/>
        <w:sz w:val="22"/>
        <w:szCs w:val="22"/>
      </w:rPr>
    </w:lvl>
    <w:lvl w:ilvl="1" w:tplc="7312E316">
      <w:start w:val="1"/>
      <w:numFmt w:val="bullet"/>
      <w:pStyle w:val="Unnumbereditalicheading"/>
      <w:lvlText w:val="o"/>
      <w:lvlJc w:val="left"/>
      <w:pPr>
        <w:tabs>
          <w:tab w:val="num" w:pos="1440"/>
        </w:tabs>
        <w:ind w:left="1440" w:hanging="360"/>
      </w:pPr>
      <w:rPr>
        <w:rFonts w:ascii="Courier New" w:hAnsi="Courier New" w:cs="Courier New" w:hint="default"/>
      </w:rPr>
    </w:lvl>
    <w:lvl w:ilvl="2" w:tplc="42AAEF2E" w:tentative="1">
      <w:start w:val="1"/>
      <w:numFmt w:val="bullet"/>
      <w:lvlText w:val=""/>
      <w:lvlJc w:val="left"/>
      <w:pPr>
        <w:tabs>
          <w:tab w:val="num" w:pos="2160"/>
        </w:tabs>
        <w:ind w:left="2160" w:hanging="360"/>
      </w:pPr>
      <w:rPr>
        <w:rFonts w:ascii="Wingdings" w:hAnsi="Wingdings" w:hint="default"/>
      </w:rPr>
    </w:lvl>
    <w:lvl w:ilvl="3" w:tplc="42A41F98" w:tentative="1">
      <w:start w:val="1"/>
      <w:numFmt w:val="bullet"/>
      <w:lvlText w:val=""/>
      <w:lvlJc w:val="left"/>
      <w:pPr>
        <w:tabs>
          <w:tab w:val="num" w:pos="2880"/>
        </w:tabs>
        <w:ind w:left="2880" w:hanging="360"/>
      </w:pPr>
      <w:rPr>
        <w:rFonts w:ascii="Symbol" w:hAnsi="Symbol" w:hint="default"/>
      </w:rPr>
    </w:lvl>
    <w:lvl w:ilvl="4" w:tplc="6B82F48A" w:tentative="1">
      <w:start w:val="1"/>
      <w:numFmt w:val="bullet"/>
      <w:lvlText w:val="o"/>
      <w:lvlJc w:val="left"/>
      <w:pPr>
        <w:tabs>
          <w:tab w:val="num" w:pos="3600"/>
        </w:tabs>
        <w:ind w:left="3600" w:hanging="360"/>
      </w:pPr>
      <w:rPr>
        <w:rFonts w:ascii="Courier New" w:hAnsi="Courier New" w:cs="Courier New" w:hint="default"/>
      </w:rPr>
    </w:lvl>
    <w:lvl w:ilvl="5" w:tplc="093A3550" w:tentative="1">
      <w:start w:val="1"/>
      <w:numFmt w:val="bullet"/>
      <w:lvlText w:val=""/>
      <w:lvlJc w:val="left"/>
      <w:pPr>
        <w:tabs>
          <w:tab w:val="num" w:pos="4320"/>
        </w:tabs>
        <w:ind w:left="4320" w:hanging="360"/>
      </w:pPr>
      <w:rPr>
        <w:rFonts w:ascii="Wingdings" w:hAnsi="Wingdings" w:hint="default"/>
      </w:rPr>
    </w:lvl>
    <w:lvl w:ilvl="6" w:tplc="B72CA472" w:tentative="1">
      <w:start w:val="1"/>
      <w:numFmt w:val="bullet"/>
      <w:lvlText w:val=""/>
      <w:lvlJc w:val="left"/>
      <w:pPr>
        <w:tabs>
          <w:tab w:val="num" w:pos="5040"/>
        </w:tabs>
        <w:ind w:left="5040" w:hanging="360"/>
      </w:pPr>
      <w:rPr>
        <w:rFonts w:ascii="Symbol" w:hAnsi="Symbol" w:hint="default"/>
      </w:rPr>
    </w:lvl>
    <w:lvl w:ilvl="7" w:tplc="1E7CE38C" w:tentative="1">
      <w:start w:val="1"/>
      <w:numFmt w:val="bullet"/>
      <w:lvlText w:val="o"/>
      <w:lvlJc w:val="left"/>
      <w:pPr>
        <w:tabs>
          <w:tab w:val="num" w:pos="5760"/>
        </w:tabs>
        <w:ind w:left="5760" w:hanging="360"/>
      </w:pPr>
      <w:rPr>
        <w:rFonts w:ascii="Courier New" w:hAnsi="Courier New" w:cs="Courier New" w:hint="default"/>
      </w:rPr>
    </w:lvl>
    <w:lvl w:ilvl="8" w:tplc="347C00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DA3454"/>
    <w:multiLevelType w:val="hybridMultilevel"/>
    <w:tmpl w:val="D7EE52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6599717D"/>
    <w:multiLevelType w:val="hybridMultilevel"/>
    <w:tmpl w:val="9CA4A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75202B9"/>
    <w:multiLevelType w:val="hybridMultilevel"/>
    <w:tmpl w:val="60365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F2189"/>
    <w:multiLevelType w:val="hybridMultilevel"/>
    <w:tmpl w:val="DD246504"/>
    <w:lvl w:ilvl="0" w:tplc="4EEC47A6">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54C47"/>
    <w:multiLevelType w:val="hybridMultilevel"/>
    <w:tmpl w:val="2416C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3FD60A"/>
    <w:multiLevelType w:val="hybridMultilevel"/>
    <w:tmpl w:val="28DB5A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FB34553"/>
    <w:multiLevelType w:val="hybridMultilevel"/>
    <w:tmpl w:val="EB6C2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14"/>
  </w:num>
  <w:num w:numId="3">
    <w:abstractNumId w:val="34"/>
  </w:num>
  <w:num w:numId="4">
    <w:abstractNumId w:val="20"/>
  </w:num>
  <w:num w:numId="5">
    <w:abstractNumId w:val="5"/>
  </w:num>
  <w:num w:numId="6">
    <w:abstractNumId w:val="29"/>
  </w:num>
  <w:num w:numId="7">
    <w:abstractNumId w:val="35"/>
  </w:num>
  <w:num w:numId="8">
    <w:abstractNumId w:val="27"/>
  </w:num>
  <w:num w:numId="9">
    <w:abstractNumId w:val="37"/>
  </w:num>
  <w:num w:numId="10">
    <w:abstractNumId w:val="23"/>
  </w:num>
  <w:num w:numId="11">
    <w:abstractNumId w:val="26"/>
  </w:num>
  <w:num w:numId="12">
    <w:abstractNumId w:val="2"/>
  </w:num>
  <w:num w:numId="13">
    <w:abstractNumId w:val="12"/>
  </w:num>
  <w:num w:numId="14">
    <w:abstractNumId w:val="10"/>
  </w:num>
  <w:num w:numId="15">
    <w:abstractNumId w:val="22"/>
  </w:num>
  <w:num w:numId="16">
    <w:abstractNumId w:val="30"/>
  </w:num>
  <w:num w:numId="17">
    <w:abstractNumId w:val="7"/>
  </w:num>
  <w:num w:numId="18">
    <w:abstractNumId w:val="19"/>
  </w:num>
  <w:num w:numId="19">
    <w:abstractNumId w:val="42"/>
  </w:num>
  <w:num w:numId="20">
    <w:abstractNumId w:val="36"/>
  </w:num>
  <w:num w:numId="21">
    <w:abstractNumId w:val="16"/>
  </w:num>
  <w:num w:numId="22">
    <w:abstractNumId w:val="40"/>
  </w:num>
  <w:num w:numId="23">
    <w:abstractNumId w:val="21"/>
  </w:num>
  <w:num w:numId="24">
    <w:abstractNumId w:val="9"/>
  </w:num>
  <w:num w:numId="25">
    <w:abstractNumId w:val="1"/>
  </w:num>
  <w:num w:numId="26">
    <w:abstractNumId w:val="25"/>
  </w:num>
  <w:num w:numId="27">
    <w:abstractNumId w:val="3"/>
  </w:num>
  <w:num w:numId="28">
    <w:abstractNumId w:val="24"/>
  </w:num>
  <w:num w:numId="29">
    <w:abstractNumId w:val="38"/>
  </w:num>
  <w:num w:numId="30">
    <w:abstractNumId w:val="39"/>
  </w:num>
  <w:num w:numId="31">
    <w:abstractNumId w:val="39"/>
  </w:num>
  <w:num w:numId="32">
    <w:abstractNumId w:val="39"/>
  </w:num>
  <w:num w:numId="33">
    <w:abstractNumId w:val="39"/>
  </w:num>
  <w:num w:numId="34">
    <w:abstractNumId w:val="39"/>
    <w:lvlOverride w:ilvl="0">
      <w:startOverride w:val="1"/>
    </w:lvlOverride>
  </w:num>
  <w:num w:numId="35">
    <w:abstractNumId w:val="32"/>
  </w:num>
  <w:num w:numId="36">
    <w:abstractNumId w:val="18"/>
  </w:num>
  <w:num w:numId="37">
    <w:abstractNumId w:val="0"/>
  </w:num>
  <w:num w:numId="38">
    <w:abstractNumId w:val="39"/>
  </w:num>
  <w:num w:numId="39">
    <w:abstractNumId w:val="6"/>
  </w:num>
  <w:num w:numId="40">
    <w:abstractNumId w:val="31"/>
  </w:num>
  <w:num w:numId="41">
    <w:abstractNumId w:val="8"/>
  </w:num>
  <w:num w:numId="42">
    <w:abstractNumId w:val="15"/>
  </w:num>
  <w:num w:numId="43">
    <w:abstractNumId w:val="11"/>
  </w:num>
  <w:num w:numId="44">
    <w:abstractNumId w:val="4"/>
  </w:num>
  <w:num w:numId="45">
    <w:abstractNumId w:val="17"/>
  </w:num>
  <w:num w:numId="46">
    <w:abstractNumId w:val="13"/>
  </w:num>
  <w:num w:numId="47">
    <w:abstractNumId w:val="28"/>
  </w:num>
  <w:num w:numId="48">
    <w:abstractNumId w:val="41"/>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56"/>
    <w:rsid w:val="000008C0"/>
    <w:rsid w:val="00001798"/>
    <w:rsid w:val="000031D2"/>
    <w:rsid w:val="0000525D"/>
    <w:rsid w:val="000070B7"/>
    <w:rsid w:val="000112DC"/>
    <w:rsid w:val="00012088"/>
    <w:rsid w:val="0001290A"/>
    <w:rsid w:val="00013C21"/>
    <w:rsid w:val="00017BF0"/>
    <w:rsid w:val="00023813"/>
    <w:rsid w:val="00023D78"/>
    <w:rsid w:val="0002460D"/>
    <w:rsid w:val="00024D0A"/>
    <w:rsid w:val="00024D48"/>
    <w:rsid w:val="0003013E"/>
    <w:rsid w:val="00030DB2"/>
    <w:rsid w:val="00034D5A"/>
    <w:rsid w:val="0003517D"/>
    <w:rsid w:val="00036BA8"/>
    <w:rsid w:val="000433D8"/>
    <w:rsid w:val="000452D7"/>
    <w:rsid w:val="00045517"/>
    <w:rsid w:val="00046B7B"/>
    <w:rsid w:val="00062137"/>
    <w:rsid w:val="00064523"/>
    <w:rsid w:val="00064665"/>
    <w:rsid w:val="00064B05"/>
    <w:rsid w:val="00067C09"/>
    <w:rsid w:val="00070065"/>
    <w:rsid w:val="00080AF9"/>
    <w:rsid w:val="0008336C"/>
    <w:rsid w:val="00083923"/>
    <w:rsid w:val="00084D11"/>
    <w:rsid w:val="00090038"/>
    <w:rsid w:val="00090758"/>
    <w:rsid w:val="00094E78"/>
    <w:rsid w:val="000A0ABB"/>
    <w:rsid w:val="000A0BC5"/>
    <w:rsid w:val="000A1ED6"/>
    <w:rsid w:val="000A232C"/>
    <w:rsid w:val="000A3306"/>
    <w:rsid w:val="000A332B"/>
    <w:rsid w:val="000A4823"/>
    <w:rsid w:val="000A6FE1"/>
    <w:rsid w:val="000B5939"/>
    <w:rsid w:val="000B7D7D"/>
    <w:rsid w:val="000C1E73"/>
    <w:rsid w:val="000C392D"/>
    <w:rsid w:val="000C3B0F"/>
    <w:rsid w:val="000C3E07"/>
    <w:rsid w:val="000C44E5"/>
    <w:rsid w:val="000C4F30"/>
    <w:rsid w:val="000C53CE"/>
    <w:rsid w:val="000C608D"/>
    <w:rsid w:val="000D4DB1"/>
    <w:rsid w:val="000D62E6"/>
    <w:rsid w:val="000E0ECE"/>
    <w:rsid w:val="000E2E15"/>
    <w:rsid w:val="000E48A8"/>
    <w:rsid w:val="000E55CD"/>
    <w:rsid w:val="000E5CCB"/>
    <w:rsid w:val="000E6CA1"/>
    <w:rsid w:val="000E6E32"/>
    <w:rsid w:val="000E7E5F"/>
    <w:rsid w:val="000F11D6"/>
    <w:rsid w:val="000F3D75"/>
    <w:rsid w:val="000F402C"/>
    <w:rsid w:val="000F5C2C"/>
    <w:rsid w:val="00105C56"/>
    <w:rsid w:val="00107CF6"/>
    <w:rsid w:val="001108A0"/>
    <w:rsid w:val="00113395"/>
    <w:rsid w:val="001134E7"/>
    <w:rsid w:val="00113DFD"/>
    <w:rsid w:val="0011594F"/>
    <w:rsid w:val="0012349D"/>
    <w:rsid w:val="00124345"/>
    <w:rsid w:val="00125594"/>
    <w:rsid w:val="00125AC4"/>
    <w:rsid w:val="00125DE5"/>
    <w:rsid w:val="00125E6A"/>
    <w:rsid w:val="00125EFF"/>
    <w:rsid w:val="001266AC"/>
    <w:rsid w:val="00126F3E"/>
    <w:rsid w:val="001279DB"/>
    <w:rsid w:val="00130E6C"/>
    <w:rsid w:val="00134045"/>
    <w:rsid w:val="00134616"/>
    <w:rsid w:val="00134F08"/>
    <w:rsid w:val="00134FDA"/>
    <w:rsid w:val="001405C3"/>
    <w:rsid w:val="001410D4"/>
    <w:rsid w:val="001439DF"/>
    <w:rsid w:val="00144C27"/>
    <w:rsid w:val="00144F41"/>
    <w:rsid w:val="00146294"/>
    <w:rsid w:val="00146BF3"/>
    <w:rsid w:val="00153553"/>
    <w:rsid w:val="00153B99"/>
    <w:rsid w:val="001556A7"/>
    <w:rsid w:val="00155CBE"/>
    <w:rsid w:val="001639B4"/>
    <w:rsid w:val="00163D2E"/>
    <w:rsid w:val="0016722E"/>
    <w:rsid w:val="00167679"/>
    <w:rsid w:val="00167F72"/>
    <w:rsid w:val="001703D4"/>
    <w:rsid w:val="0017169E"/>
    <w:rsid w:val="00172201"/>
    <w:rsid w:val="001771E5"/>
    <w:rsid w:val="00181178"/>
    <w:rsid w:val="00181563"/>
    <w:rsid w:val="001821E2"/>
    <w:rsid w:val="001822E1"/>
    <w:rsid w:val="00182766"/>
    <w:rsid w:val="00183439"/>
    <w:rsid w:val="001855D5"/>
    <w:rsid w:val="0018728B"/>
    <w:rsid w:val="00190698"/>
    <w:rsid w:val="00194FA6"/>
    <w:rsid w:val="00197ECF"/>
    <w:rsid w:val="001A050E"/>
    <w:rsid w:val="001A23E4"/>
    <w:rsid w:val="001A2E76"/>
    <w:rsid w:val="001A5A3D"/>
    <w:rsid w:val="001A69AE"/>
    <w:rsid w:val="001A78B1"/>
    <w:rsid w:val="001B2399"/>
    <w:rsid w:val="001B419C"/>
    <w:rsid w:val="001B65B3"/>
    <w:rsid w:val="001B6DED"/>
    <w:rsid w:val="001B7936"/>
    <w:rsid w:val="001C03AC"/>
    <w:rsid w:val="001C17FE"/>
    <w:rsid w:val="001C2463"/>
    <w:rsid w:val="001C2916"/>
    <w:rsid w:val="001C46AA"/>
    <w:rsid w:val="001C74BC"/>
    <w:rsid w:val="001D115E"/>
    <w:rsid w:val="001D2451"/>
    <w:rsid w:val="001D268E"/>
    <w:rsid w:val="001D2DA5"/>
    <w:rsid w:val="001D33B1"/>
    <w:rsid w:val="001D5EF1"/>
    <w:rsid w:val="001D6979"/>
    <w:rsid w:val="001E0886"/>
    <w:rsid w:val="001E0E22"/>
    <w:rsid w:val="001E1017"/>
    <w:rsid w:val="001E2744"/>
    <w:rsid w:val="001E4708"/>
    <w:rsid w:val="001E7C6C"/>
    <w:rsid w:val="001F29FD"/>
    <w:rsid w:val="001F348D"/>
    <w:rsid w:val="001F70BC"/>
    <w:rsid w:val="001F7E3E"/>
    <w:rsid w:val="00200BBA"/>
    <w:rsid w:val="0020500D"/>
    <w:rsid w:val="00206ACD"/>
    <w:rsid w:val="002078DB"/>
    <w:rsid w:val="0021587A"/>
    <w:rsid w:val="00216FF4"/>
    <w:rsid w:val="002173F9"/>
    <w:rsid w:val="00217C34"/>
    <w:rsid w:val="00220B95"/>
    <w:rsid w:val="0022661C"/>
    <w:rsid w:val="0022718E"/>
    <w:rsid w:val="002408EA"/>
    <w:rsid w:val="00242162"/>
    <w:rsid w:val="00247009"/>
    <w:rsid w:val="00251050"/>
    <w:rsid w:val="00251160"/>
    <w:rsid w:val="002551FA"/>
    <w:rsid w:val="00255CE1"/>
    <w:rsid w:val="00260F6F"/>
    <w:rsid w:val="002616C4"/>
    <w:rsid w:val="0026205B"/>
    <w:rsid w:val="00263A4F"/>
    <w:rsid w:val="00264D01"/>
    <w:rsid w:val="00265F80"/>
    <w:rsid w:val="00267110"/>
    <w:rsid w:val="00267E17"/>
    <w:rsid w:val="00270456"/>
    <w:rsid w:val="00270605"/>
    <w:rsid w:val="00271FA7"/>
    <w:rsid w:val="002736E2"/>
    <w:rsid w:val="002737FC"/>
    <w:rsid w:val="00276AE5"/>
    <w:rsid w:val="002775C1"/>
    <w:rsid w:val="002813C4"/>
    <w:rsid w:val="00281461"/>
    <w:rsid w:val="002822AD"/>
    <w:rsid w:val="002835D2"/>
    <w:rsid w:val="00287935"/>
    <w:rsid w:val="0029268F"/>
    <w:rsid w:val="00292881"/>
    <w:rsid w:val="00292C4E"/>
    <w:rsid w:val="00295BCB"/>
    <w:rsid w:val="00295FF8"/>
    <w:rsid w:val="002A4B5E"/>
    <w:rsid w:val="002A4E82"/>
    <w:rsid w:val="002A6085"/>
    <w:rsid w:val="002B0393"/>
    <w:rsid w:val="002B1328"/>
    <w:rsid w:val="002B1E81"/>
    <w:rsid w:val="002B36B1"/>
    <w:rsid w:val="002B442B"/>
    <w:rsid w:val="002B47B9"/>
    <w:rsid w:val="002C0A9B"/>
    <w:rsid w:val="002C1A7E"/>
    <w:rsid w:val="002C3FC4"/>
    <w:rsid w:val="002C6155"/>
    <w:rsid w:val="002D11B6"/>
    <w:rsid w:val="002D424A"/>
    <w:rsid w:val="002D566B"/>
    <w:rsid w:val="002D568C"/>
    <w:rsid w:val="002E217C"/>
    <w:rsid w:val="002E7D8E"/>
    <w:rsid w:val="002F13E2"/>
    <w:rsid w:val="002F1436"/>
    <w:rsid w:val="002F2EEF"/>
    <w:rsid w:val="002F3368"/>
    <w:rsid w:val="002F464C"/>
    <w:rsid w:val="002F5C75"/>
    <w:rsid w:val="002F5C7D"/>
    <w:rsid w:val="002F7799"/>
    <w:rsid w:val="00302EA5"/>
    <w:rsid w:val="003072E9"/>
    <w:rsid w:val="00311ED0"/>
    <w:rsid w:val="00315908"/>
    <w:rsid w:val="00316CB4"/>
    <w:rsid w:val="00316CC6"/>
    <w:rsid w:val="00316E09"/>
    <w:rsid w:val="00322DEB"/>
    <w:rsid w:val="00322DFE"/>
    <w:rsid w:val="00324427"/>
    <w:rsid w:val="00324DA1"/>
    <w:rsid w:val="00327F77"/>
    <w:rsid w:val="00335120"/>
    <w:rsid w:val="00340D82"/>
    <w:rsid w:val="003425BE"/>
    <w:rsid w:val="003439CE"/>
    <w:rsid w:val="003443CB"/>
    <w:rsid w:val="00344E01"/>
    <w:rsid w:val="003466CE"/>
    <w:rsid w:val="003500A0"/>
    <w:rsid w:val="0035045C"/>
    <w:rsid w:val="003511E8"/>
    <w:rsid w:val="003519D0"/>
    <w:rsid w:val="0035260E"/>
    <w:rsid w:val="00354F8F"/>
    <w:rsid w:val="00360863"/>
    <w:rsid w:val="003619CE"/>
    <w:rsid w:val="003655F5"/>
    <w:rsid w:val="003671F3"/>
    <w:rsid w:val="0037044E"/>
    <w:rsid w:val="003722FA"/>
    <w:rsid w:val="00373532"/>
    <w:rsid w:val="003745CA"/>
    <w:rsid w:val="00374CB2"/>
    <w:rsid w:val="003751ED"/>
    <w:rsid w:val="003752C8"/>
    <w:rsid w:val="00375BFE"/>
    <w:rsid w:val="00377277"/>
    <w:rsid w:val="00380359"/>
    <w:rsid w:val="0038183D"/>
    <w:rsid w:val="00381857"/>
    <w:rsid w:val="00390950"/>
    <w:rsid w:val="00392493"/>
    <w:rsid w:val="00394ADA"/>
    <w:rsid w:val="0039672B"/>
    <w:rsid w:val="003968F3"/>
    <w:rsid w:val="0039694C"/>
    <w:rsid w:val="00397922"/>
    <w:rsid w:val="003A21B6"/>
    <w:rsid w:val="003A61A3"/>
    <w:rsid w:val="003A69C6"/>
    <w:rsid w:val="003B1C33"/>
    <w:rsid w:val="003B2E05"/>
    <w:rsid w:val="003B3C10"/>
    <w:rsid w:val="003B4A46"/>
    <w:rsid w:val="003B6AE7"/>
    <w:rsid w:val="003B7455"/>
    <w:rsid w:val="003C02BA"/>
    <w:rsid w:val="003C259A"/>
    <w:rsid w:val="003C2D8E"/>
    <w:rsid w:val="003C7AAF"/>
    <w:rsid w:val="003D0721"/>
    <w:rsid w:val="003D2038"/>
    <w:rsid w:val="003D5E8F"/>
    <w:rsid w:val="003D663A"/>
    <w:rsid w:val="003E12B1"/>
    <w:rsid w:val="003E279D"/>
    <w:rsid w:val="003E28D7"/>
    <w:rsid w:val="003E62A1"/>
    <w:rsid w:val="003E63BE"/>
    <w:rsid w:val="003E6704"/>
    <w:rsid w:val="003F2EC0"/>
    <w:rsid w:val="003F43E1"/>
    <w:rsid w:val="003F4AAC"/>
    <w:rsid w:val="003F4EA7"/>
    <w:rsid w:val="003F5419"/>
    <w:rsid w:val="00401E4F"/>
    <w:rsid w:val="004036C3"/>
    <w:rsid w:val="004038F5"/>
    <w:rsid w:val="00406B73"/>
    <w:rsid w:val="004075B6"/>
    <w:rsid w:val="0040772C"/>
    <w:rsid w:val="004126E9"/>
    <w:rsid w:val="00412D28"/>
    <w:rsid w:val="00416274"/>
    <w:rsid w:val="00417495"/>
    <w:rsid w:val="00420952"/>
    <w:rsid w:val="004227D5"/>
    <w:rsid w:val="00422A48"/>
    <w:rsid w:val="00424B16"/>
    <w:rsid w:val="00431361"/>
    <w:rsid w:val="00441776"/>
    <w:rsid w:val="0044240D"/>
    <w:rsid w:val="00445108"/>
    <w:rsid w:val="00446BEE"/>
    <w:rsid w:val="004541A8"/>
    <w:rsid w:val="0045577B"/>
    <w:rsid w:val="00460075"/>
    <w:rsid w:val="00462FC4"/>
    <w:rsid w:val="00465CF8"/>
    <w:rsid w:val="004666DD"/>
    <w:rsid w:val="004666FA"/>
    <w:rsid w:val="00472215"/>
    <w:rsid w:val="004724A1"/>
    <w:rsid w:val="00480C8C"/>
    <w:rsid w:val="00482C6B"/>
    <w:rsid w:val="00482DD6"/>
    <w:rsid w:val="00483417"/>
    <w:rsid w:val="0049144A"/>
    <w:rsid w:val="00491CBC"/>
    <w:rsid w:val="00491FAD"/>
    <w:rsid w:val="0049580B"/>
    <w:rsid w:val="00496312"/>
    <w:rsid w:val="00497250"/>
    <w:rsid w:val="0049773E"/>
    <w:rsid w:val="004A0822"/>
    <w:rsid w:val="004A1335"/>
    <w:rsid w:val="004A1B0F"/>
    <w:rsid w:val="004A263D"/>
    <w:rsid w:val="004A2A9D"/>
    <w:rsid w:val="004A3033"/>
    <w:rsid w:val="004A4974"/>
    <w:rsid w:val="004A5080"/>
    <w:rsid w:val="004A50E0"/>
    <w:rsid w:val="004A6F7F"/>
    <w:rsid w:val="004A7291"/>
    <w:rsid w:val="004B162A"/>
    <w:rsid w:val="004B2DE5"/>
    <w:rsid w:val="004B41AC"/>
    <w:rsid w:val="004B4BF4"/>
    <w:rsid w:val="004B5586"/>
    <w:rsid w:val="004B6085"/>
    <w:rsid w:val="004B74EC"/>
    <w:rsid w:val="004C086F"/>
    <w:rsid w:val="004C33AB"/>
    <w:rsid w:val="004C5ECC"/>
    <w:rsid w:val="004C7C8A"/>
    <w:rsid w:val="004D07DC"/>
    <w:rsid w:val="004D0D7D"/>
    <w:rsid w:val="004D2691"/>
    <w:rsid w:val="004D2BD9"/>
    <w:rsid w:val="004D3D37"/>
    <w:rsid w:val="004D4E15"/>
    <w:rsid w:val="004D7045"/>
    <w:rsid w:val="004D792D"/>
    <w:rsid w:val="004E7736"/>
    <w:rsid w:val="004E7A7F"/>
    <w:rsid w:val="004F079A"/>
    <w:rsid w:val="004F1513"/>
    <w:rsid w:val="004F56F5"/>
    <w:rsid w:val="005007A5"/>
    <w:rsid w:val="005025A1"/>
    <w:rsid w:val="00502C4B"/>
    <w:rsid w:val="005032A2"/>
    <w:rsid w:val="005035E5"/>
    <w:rsid w:val="00505A40"/>
    <w:rsid w:val="00507E51"/>
    <w:rsid w:val="005105E3"/>
    <w:rsid w:val="00512812"/>
    <w:rsid w:val="0051553E"/>
    <w:rsid w:val="005155B3"/>
    <w:rsid w:val="00517058"/>
    <w:rsid w:val="00521FC9"/>
    <w:rsid w:val="00522226"/>
    <w:rsid w:val="00522E3E"/>
    <w:rsid w:val="00523DF7"/>
    <w:rsid w:val="0052701A"/>
    <w:rsid w:val="005278C9"/>
    <w:rsid w:val="005344CA"/>
    <w:rsid w:val="00537D83"/>
    <w:rsid w:val="00544AB1"/>
    <w:rsid w:val="00545490"/>
    <w:rsid w:val="005465E7"/>
    <w:rsid w:val="00547DB7"/>
    <w:rsid w:val="00550C30"/>
    <w:rsid w:val="00552D5E"/>
    <w:rsid w:val="00561165"/>
    <w:rsid w:val="00561943"/>
    <w:rsid w:val="00567AA9"/>
    <w:rsid w:val="005722BB"/>
    <w:rsid w:val="0057344A"/>
    <w:rsid w:val="005751F8"/>
    <w:rsid w:val="00576FCD"/>
    <w:rsid w:val="0057772D"/>
    <w:rsid w:val="00577C7A"/>
    <w:rsid w:val="00581564"/>
    <w:rsid w:val="005815A9"/>
    <w:rsid w:val="005837BA"/>
    <w:rsid w:val="005842E1"/>
    <w:rsid w:val="005866FE"/>
    <w:rsid w:val="005A0F25"/>
    <w:rsid w:val="005A33F1"/>
    <w:rsid w:val="005B39A3"/>
    <w:rsid w:val="005B4209"/>
    <w:rsid w:val="005C059C"/>
    <w:rsid w:val="005C1C41"/>
    <w:rsid w:val="005C59EF"/>
    <w:rsid w:val="005C65C5"/>
    <w:rsid w:val="005C7319"/>
    <w:rsid w:val="005E0713"/>
    <w:rsid w:val="005E1EB8"/>
    <w:rsid w:val="005E2C80"/>
    <w:rsid w:val="005E3DEA"/>
    <w:rsid w:val="005E4D11"/>
    <w:rsid w:val="005E7773"/>
    <w:rsid w:val="005F0CDC"/>
    <w:rsid w:val="005F1519"/>
    <w:rsid w:val="005F525C"/>
    <w:rsid w:val="005F5DAA"/>
    <w:rsid w:val="005F75FB"/>
    <w:rsid w:val="00600BF2"/>
    <w:rsid w:val="00601245"/>
    <w:rsid w:val="00602C7A"/>
    <w:rsid w:val="0060306E"/>
    <w:rsid w:val="00604332"/>
    <w:rsid w:val="0060712B"/>
    <w:rsid w:val="006104FB"/>
    <w:rsid w:val="00611818"/>
    <w:rsid w:val="00612CE0"/>
    <w:rsid w:val="00615D3B"/>
    <w:rsid w:val="006201DE"/>
    <w:rsid w:val="00620AC7"/>
    <w:rsid w:val="00620E02"/>
    <w:rsid w:val="00621EF9"/>
    <w:rsid w:val="00624136"/>
    <w:rsid w:val="00625101"/>
    <w:rsid w:val="0062614E"/>
    <w:rsid w:val="00631213"/>
    <w:rsid w:val="00640656"/>
    <w:rsid w:val="00642653"/>
    <w:rsid w:val="00643F7D"/>
    <w:rsid w:val="006440B6"/>
    <w:rsid w:val="00644A12"/>
    <w:rsid w:val="0064510E"/>
    <w:rsid w:val="00646007"/>
    <w:rsid w:val="006468CF"/>
    <w:rsid w:val="0064730E"/>
    <w:rsid w:val="00654DDB"/>
    <w:rsid w:val="0065772C"/>
    <w:rsid w:val="006601A6"/>
    <w:rsid w:val="00665FE4"/>
    <w:rsid w:val="00670CB9"/>
    <w:rsid w:val="0067112B"/>
    <w:rsid w:val="0067501F"/>
    <w:rsid w:val="006767FF"/>
    <w:rsid w:val="00682E5B"/>
    <w:rsid w:val="00684398"/>
    <w:rsid w:val="00686592"/>
    <w:rsid w:val="00686605"/>
    <w:rsid w:val="00687906"/>
    <w:rsid w:val="00690382"/>
    <w:rsid w:val="006919A1"/>
    <w:rsid w:val="006921E1"/>
    <w:rsid w:val="00692B29"/>
    <w:rsid w:val="006935BA"/>
    <w:rsid w:val="00693B99"/>
    <w:rsid w:val="00693DC0"/>
    <w:rsid w:val="006965CF"/>
    <w:rsid w:val="00697C1F"/>
    <w:rsid w:val="006A0A0F"/>
    <w:rsid w:val="006A7667"/>
    <w:rsid w:val="006B14C4"/>
    <w:rsid w:val="006B25DB"/>
    <w:rsid w:val="006B2B36"/>
    <w:rsid w:val="006B4C81"/>
    <w:rsid w:val="006B543E"/>
    <w:rsid w:val="006B6C82"/>
    <w:rsid w:val="006B6C87"/>
    <w:rsid w:val="006B7320"/>
    <w:rsid w:val="006C0D52"/>
    <w:rsid w:val="006C6603"/>
    <w:rsid w:val="006D02C0"/>
    <w:rsid w:val="006D0381"/>
    <w:rsid w:val="006D168E"/>
    <w:rsid w:val="006D1959"/>
    <w:rsid w:val="006D55A6"/>
    <w:rsid w:val="006D6367"/>
    <w:rsid w:val="006D6CC4"/>
    <w:rsid w:val="006D7C21"/>
    <w:rsid w:val="006E0C75"/>
    <w:rsid w:val="006E2921"/>
    <w:rsid w:val="006E4410"/>
    <w:rsid w:val="006F2D04"/>
    <w:rsid w:val="006F3D7E"/>
    <w:rsid w:val="007021EE"/>
    <w:rsid w:val="007047A3"/>
    <w:rsid w:val="00707016"/>
    <w:rsid w:val="00710951"/>
    <w:rsid w:val="00711646"/>
    <w:rsid w:val="00717D8D"/>
    <w:rsid w:val="00721F51"/>
    <w:rsid w:val="00724D15"/>
    <w:rsid w:val="0072529C"/>
    <w:rsid w:val="007276D8"/>
    <w:rsid w:val="00730621"/>
    <w:rsid w:val="00733EBC"/>
    <w:rsid w:val="00734E66"/>
    <w:rsid w:val="00736348"/>
    <w:rsid w:val="007366AF"/>
    <w:rsid w:val="00740627"/>
    <w:rsid w:val="007435E0"/>
    <w:rsid w:val="00743C88"/>
    <w:rsid w:val="00745BF5"/>
    <w:rsid w:val="00746D5B"/>
    <w:rsid w:val="0076185D"/>
    <w:rsid w:val="00764B3B"/>
    <w:rsid w:val="00764F29"/>
    <w:rsid w:val="00765DA8"/>
    <w:rsid w:val="00765FF3"/>
    <w:rsid w:val="00766CAE"/>
    <w:rsid w:val="0076718E"/>
    <w:rsid w:val="0076744E"/>
    <w:rsid w:val="00770B9A"/>
    <w:rsid w:val="0077207C"/>
    <w:rsid w:val="0077213C"/>
    <w:rsid w:val="00773BE5"/>
    <w:rsid w:val="007752A1"/>
    <w:rsid w:val="00781A47"/>
    <w:rsid w:val="00782D06"/>
    <w:rsid w:val="00783DD4"/>
    <w:rsid w:val="00790C2A"/>
    <w:rsid w:val="00791793"/>
    <w:rsid w:val="007923DA"/>
    <w:rsid w:val="00792A44"/>
    <w:rsid w:val="0079525F"/>
    <w:rsid w:val="0079744D"/>
    <w:rsid w:val="00797840"/>
    <w:rsid w:val="00797C54"/>
    <w:rsid w:val="007A05BF"/>
    <w:rsid w:val="007A06C0"/>
    <w:rsid w:val="007A0B4B"/>
    <w:rsid w:val="007A0D49"/>
    <w:rsid w:val="007A34C7"/>
    <w:rsid w:val="007B00C0"/>
    <w:rsid w:val="007B0E15"/>
    <w:rsid w:val="007B40A4"/>
    <w:rsid w:val="007B721D"/>
    <w:rsid w:val="007C04C1"/>
    <w:rsid w:val="007C1A90"/>
    <w:rsid w:val="007C3ABB"/>
    <w:rsid w:val="007C445C"/>
    <w:rsid w:val="007D1706"/>
    <w:rsid w:val="007D3290"/>
    <w:rsid w:val="007D46B0"/>
    <w:rsid w:val="007D699D"/>
    <w:rsid w:val="007E16ED"/>
    <w:rsid w:val="007E44E2"/>
    <w:rsid w:val="007E69FD"/>
    <w:rsid w:val="007F2513"/>
    <w:rsid w:val="007F3027"/>
    <w:rsid w:val="007F45EB"/>
    <w:rsid w:val="007F6607"/>
    <w:rsid w:val="007F7BBE"/>
    <w:rsid w:val="00800416"/>
    <w:rsid w:val="00800EA3"/>
    <w:rsid w:val="008015E8"/>
    <w:rsid w:val="00802762"/>
    <w:rsid w:val="0080441F"/>
    <w:rsid w:val="00804B74"/>
    <w:rsid w:val="00804D4A"/>
    <w:rsid w:val="008059B4"/>
    <w:rsid w:val="00810039"/>
    <w:rsid w:val="00814D81"/>
    <w:rsid w:val="008165EC"/>
    <w:rsid w:val="0082541F"/>
    <w:rsid w:val="0083110A"/>
    <w:rsid w:val="00831204"/>
    <w:rsid w:val="00831B5D"/>
    <w:rsid w:val="00834EFC"/>
    <w:rsid w:val="00841FB8"/>
    <w:rsid w:val="008475B0"/>
    <w:rsid w:val="00851634"/>
    <w:rsid w:val="008538B8"/>
    <w:rsid w:val="00853D1C"/>
    <w:rsid w:val="00855EEE"/>
    <w:rsid w:val="00857FA1"/>
    <w:rsid w:val="00860428"/>
    <w:rsid w:val="00863294"/>
    <w:rsid w:val="00867C22"/>
    <w:rsid w:val="00873E97"/>
    <w:rsid w:val="00874899"/>
    <w:rsid w:val="008750D7"/>
    <w:rsid w:val="008756C9"/>
    <w:rsid w:val="00875DDF"/>
    <w:rsid w:val="00876250"/>
    <w:rsid w:val="00876E61"/>
    <w:rsid w:val="00877D7D"/>
    <w:rsid w:val="00880648"/>
    <w:rsid w:val="00882EEC"/>
    <w:rsid w:val="00883BC9"/>
    <w:rsid w:val="008860BD"/>
    <w:rsid w:val="00886105"/>
    <w:rsid w:val="008911EE"/>
    <w:rsid w:val="00895E26"/>
    <w:rsid w:val="0089633E"/>
    <w:rsid w:val="008A091C"/>
    <w:rsid w:val="008A1B01"/>
    <w:rsid w:val="008A4E42"/>
    <w:rsid w:val="008A628C"/>
    <w:rsid w:val="008B017A"/>
    <w:rsid w:val="008B0AAD"/>
    <w:rsid w:val="008B439B"/>
    <w:rsid w:val="008B6D97"/>
    <w:rsid w:val="008B6E45"/>
    <w:rsid w:val="008B6EB2"/>
    <w:rsid w:val="008C2E40"/>
    <w:rsid w:val="008C4194"/>
    <w:rsid w:val="008C5C1A"/>
    <w:rsid w:val="008D156A"/>
    <w:rsid w:val="008D16BA"/>
    <w:rsid w:val="008D1B0C"/>
    <w:rsid w:val="008E0BC6"/>
    <w:rsid w:val="008E125D"/>
    <w:rsid w:val="008E169F"/>
    <w:rsid w:val="008E664D"/>
    <w:rsid w:val="008E7750"/>
    <w:rsid w:val="008E7994"/>
    <w:rsid w:val="008F3746"/>
    <w:rsid w:val="008F3D34"/>
    <w:rsid w:val="008F62A3"/>
    <w:rsid w:val="008F7228"/>
    <w:rsid w:val="008F740B"/>
    <w:rsid w:val="009001A2"/>
    <w:rsid w:val="00902474"/>
    <w:rsid w:val="0090255B"/>
    <w:rsid w:val="0090351E"/>
    <w:rsid w:val="009119E9"/>
    <w:rsid w:val="00912A47"/>
    <w:rsid w:val="00912BF8"/>
    <w:rsid w:val="0092164F"/>
    <w:rsid w:val="00922762"/>
    <w:rsid w:val="00922CA1"/>
    <w:rsid w:val="009237C5"/>
    <w:rsid w:val="009242CB"/>
    <w:rsid w:val="00925F15"/>
    <w:rsid w:val="00932E9F"/>
    <w:rsid w:val="00932FC0"/>
    <w:rsid w:val="00936121"/>
    <w:rsid w:val="009370AA"/>
    <w:rsid w:val="00937580"/>
    <w:rsid w:val="00941970"/>
    <w:rsid w:val="00944235"/>
    <w:rsid w:val="009508C1"/>
    <w:rsid w:val="00950A15"/>
    <w:rsid w:val="0095542B"/>
    <w:rsid w:val="0095696C"/>
    <w:rsid w:val="00961931"/>
    <w:rsid w:val="009629FF"/>
    <w:rsid w:val="00963C83"/>
    <w:rsid w:val="00976266"/>
    <w:rsid w:val="009770C2"/>
    <w:rsid w:val="00977CD8"/>
    <w:rsid w:val="009822C2"/>
    <w:rsid w:val="00984FBA"/>
    <w:rsid w:val="009870AB"/>
    <w:rsid w:val="009910E6"/>
    <w:rsid w:val="00992182"/>
    <w:rsid w:val="00993033"/>
    <w:rsid w:val="009975A8"/>
    <w:rsid w:val="009A0B74"/>
    <w:rsid w:val="009A5AB6"/>
    <w:rsid w:val="009B2252"/>
    <w:rsid w:val="009B551F"/>
    <w:rsid w:val="009C0134"/>
    <w:rsid w:val="009C0C2E"/>
    <w:rsid w:val="009C42ED"/>
    <w:rsid w:val="009C4321"/>
    <w:rsid w:val="009C6EEB"/>
    <w:rsid w:val="009D4546"/>
    <w:rsid w:val="009D7DA2"/>
    <w:rsid w:val="009E0131"/>
    <w:rsid w:val="009E2965"/>
    <w:rsid w:val="009E3C22"/>
    <w:rsid w:val="009E49BC"/>
    <w:rsid w:val="009E4C95"/>
    <w:rsid w:val="009E4CD3"/>
    <w:rsid w:val="009E4E79"/>
    <w:rsid w:val="009E641A"/>
    <w:rsid w:val="009E64AC"/>
    <w:rsid w:val="009E680B"/>
    <w:rsid w:val="009E6FC0"/>
    <w:rsid w:val="009F2E66"/>
    <w:rsid w:val="009F3BEB"/>
    <w:rsid w:val="009F5D70"/>
    <w:rsid w:val="009F7239"/>
    <w:rsid w:val="00A00908"/>
    <w:rsid w:val="00A02AF8"/>
    <w:rsid w:val="00A06488"/>
    <w:rsid w:val="00A0682F"/>
    <w:rsid w:val="00A06DB4"/>
    <w:rsid w:val="00A102A4"/>
    <w:rsid w:val="00A13FAA"/>
    <w:rsid w:val="00A14C1E"/>
    <w:rsid w:val="00A1597D"/>
    <w:rsid w:val="00A15A1F"/>
    <w:rsid w:val="00A16043"/>
    <w:rsid w:val="00A16E35"/>
    <w:rsid w:val="00A20959"/>
    <w:rsid w:val="00A21C70"/>
    <w:rsid w:val="00A21E95"/>
    <w:rsid w:val="00A24192"/>
    <w:rsid w:val="00A25A1C"/>
    <w:rsid w:val="00A25EBF"/>
    <w:rsid w:val="00A30B4E"/>
    <w:rsid w:val="00A3325A"/>
    <w:rsid w:val="00A33746"/>
    <w:rsid w:val="00A33B44"/>
    <w:rsid w:val="00A36B6A"/>
    <w:rsid w:val="00A4103A"/>
    <w:rsid w:val="00A41A0B"/>
    <w:rsid w:val="00A429BD"/>
    <w:rsid w:val="00A43CB2"/>
    <w:rsid w:val="00A440A4"/>
    <w:rsid w:val="00A46118"/>
    <w:rsid w:val="00A46FB0"/>
    <w:rsid w:val="00A523A4"/>
    <w:rsid w:val="00A53727"/>
    <w:rsid w:val="00A5585A"/>
    <w:rsid w:val="00A5587F"/>
    <w:rsid w:val="00A55ACC"/>
    <w:rsid w:val="00A56349"/>
    <w:rsid w:val="00A5666C"/>
    <w:rsid w:val="00A60FEC"/>
    <w:rsid w:val="00A6367E"/>
    <w:rsid w:val="00A65C34"/>
    <w:rsid w:val="00A66B45"/>
    <w:rsid w:val="00A6735D"/>
    <w:rsid w:val="00A7278E"/>
    <w:rsid w:val="00A74E49"/>
    <w:rsid w:val="00A756BB"/>
    <w:rsid w:val="00A8072B"/>
    <w:rsid w:val="00A809AF"/>
    <w:rsid w:val="00A8343B"/>
    <w:rsid w:val="00A86612"/>
    <w:rsid w:val="00A8768C"/>
    <w:rsid w:val="00A9062B"/>
    <w:rsid w:val="00A91407"/>
    <w:rsid w:val="00A93033"/>
    <w:rsid w:val="00A96489"/>
    <w:rsid w:val="00A96731"/>
    <w:rsid w:val="00A96973"/>
    <w:rsid w:val="00AA0224"/>
    <w:rsid w:val="00AA3B51"/>
    <w:rsid w:val="00AA54FE"/>
    <w:rsid w:val="00AA6D9B"/>
    <w:rsid w:val="00AA70DA"/>
    <w:rsid w:val="00AA726B"/>
    <w:rsid w:val="00AA7628"/>
    <w:rsid w:val="00AB2759"/>
    <w:rsid w:val="00AB3CFF"/>
    <w:rsid w:val="00AB3DE2"/>
    <w:rsid w:val="00AB5860"/>
    <w:rsid w:val="00AB6CD9"/>
    <w:rsid w:val="00AC1925"/>
    <w:rsid w:val="00AC26F7"/>
    <w:rsid w:val="00AC2FE3"/>
    <w:rsid w:val="00AC448A"/>
    <w:rsid w:val="00AC4D7B"/>
    <w:rsid w:val="00AD12D9"/>
    <w:rsid w:val="00AD31E6"/>
    <w:rsid w:val="00AD6101"/>
    <w:rsid w:val="00AE0013"/>
    <w:rsid w:val="00AE0242"/>
    <w:rsid w:val="00AE09F0"/>
    <w:rsid w:val="00AE0E07"/>
    <w:rsid w:val="00AE1D21"/>
    <w:rsid w:val="00AE6D08"/>
    <w:rsid w:val="00AF108A"/>
    <w:rsid w:val="00AF2882"/>
    <w:rsid w:val="00AF5E35"/>
    <w:rsid w:val="00B02E55"/>
    <w:rsid w:val="00B04222"/>
    <w:rsid w:val="00B05B8C"/>
    <w:rsid w:val="00B13401"/>
    <w:rsid w:val="00B13EBF"/>
    <w:rsid w:val="00B14ADA"/>
    <w:rsid w:val="00B16B95"/>
    <w:rsid w:val="00B21344"/>
    <w:rsid w:val="00B24735"/>
    <w:rsid w:val="00B24D53"/>
    <w:rsid w:val="00B25647"/>
    <w:rsid w:val="00B2593F"/>
    <w:rsid w:val="00B3146D"/>
    <w:rsid w:val="00B33BE6"/>
    <w:rsid w:val="00B40D04"/>
    <w:rsid w:val="00B43EC7"/>
    <w:rsid w:val="00B4580C"/>
    <w:rsid w:val="00B470DA"/>
    <w:rsid w:val="00B53CF4"/>
    <w:rsid w:val="00B53D3C"/>
    <w:rsid w:val="00B567AE"/>
    <w:rsid w:val="00B572EE"/>
    <w:rsid w:val="00B62886"/>
    <w:rsid w:val="00B65E9D"/>
    <w:rsid w:val="00B67E57"/>
    <w:rsid w:val="00B70B94"/>
    <w:rsid w:val="00B7170C"/>
    <w:rsid w:val="00B76223"/>
    <w:rsid w:val="00B80D0B"/>
    <w:rsid w:val="00B81510"/>
    <w:rsid w:val="00B81FA4"/>
    <w:rsid w:val="00B8205D"/>
    <w:rsid w:val="00B836A3"/>
    <w:rsid w:val="00B85327"/>
    <w:rsid w:val="00B85FC0"/>
    <w:rsid w:val="00B910E6"/>
    <w:rsid w:val="00B9285B"/>
    <w:rsid w:val="00B9544D"/>
    <w:rsid w:val="00B9594A"/>
    <w:rsid w:val="00B9797F"/>
    <w:rsid w:val="00BA193B"/>
    <w:rsid w:val="00BA1B63"/>
    <w:rsid w:val="00BA5AF6"/>
    <w:rsid w:val="00BA66B5"/>
    <w:rsid w:val="00BA6D78"/>
    <w:rsid w:val="00BA757A"/>
    <w:rsid w:val="00BB53FC"/>
    <w:rsid w:val="00BB5FA0"/>
    <w:rsid w:val="00BC3410"/>
    <w:rsid w:val="00BC4F24"/>
    <w:rsid w:val="00BC533D"/>
    <w:rsid w:val="00BC5394"/>
    <w:rsid w:val="00BC6FD3"/>
    <w:rsid w:val="00BD1A0F"/>
    <w:rsid w:val="00BD6517"/>
    <w:rsid w:val="00BE30E7"/>
    <w:rsid w:val="00BE30FE"/>
    <w:rsid w:val="00BE5835"/>
    <w:rsid w:val="00BE6205"/>
    <w:rsid w:val="00BE793C"/>
    <w:rsid w:val="00BF631D"/>
    <w:rsid w:val="00BF7FE0"/>
    <w:rsid w:val="00C046F7"/>
    <w:rsid w:val="00C054FC"/>
    <w:rsid w:val="00C072E2"/>
    <w:rsid w:val="00C07300"/>
    <w:rsid w:val="00C10E84"/>
    <w:rsid w:val="00C11A03"/>
    <w:rsid w:val="00C155C5"/>
    <w:rsid w:val="00C15FF5"/>
    <w:rsid w:val="00C17211"/>
    <w:rsid w:val="00C21DF0"/>
    <w:rsid w:val="00C21F39"/>
    <w:rsid w:val="00C22979"/>
    <w:rsid w:val="00C23950"/>
    <w:rsid w:val="00C246C8"/>
    <w:rsid w:val="00C30A79"/>
    <w:rsid w:val="00C34458"/>
    <w:rsid w:val="00C344C1"/>
    <w:rsid w:val="00C34B55"/>
    <w:rsid w:val="00C368E7"/>
    <w:rsid w:val="00C377BD"/>
    <w:rsid w:val="00C37BEB"/>
    <w:rsid w:val="00C41F8F"/>
    <w:rsid w:val="00C42BD6"/>
    <w:rsid w:val="00C445FA"/>
    <w:rsid w:val="00C451C4"/>
    <w:rsid w:val="00C456A8"/>
    <w:rsid w:val="00C45E33"/>
    <w:rsid w:val="00C46085"/>
    <w:rsid w:val="00C47DDE"/>
    <w:rsid w:val="00C52115"/>
    <w:rsid w:val="00C53812"/>
    <w:rsid w:val="00C54143"/>
    <w:rsid w:val="00C60ABF"/>
    <w:rsid w:val="00C6218A"/>
    <w:rsid w:val="00C627C5"/>
    <w:rsid w:val="00C6329F"/>
    <w:rsid w:val="00C66641"/>
    <w:rsid w:val="00C70A6F"/>
    <w:rsid w:val="00C70B1E"/>
    <w:rsid w:val="00C72CF6"/>
    <w:rsid w:val="00C73110"/>
    <w:rsid w:val="00C7523F"/>
    <w:rsid w:val="00C76795"/>
    <w:rsid w:val="00C76CCC"/>
    <w:rsid w:val="00C7715E"/>
    <w:rsid w:val="00C8180B"/>
    <w:rsid w:val="00C81C5D"/>
    <w:rsid w:val="00C86B92"/>
    <w:rsid w:val="00C879FC"/>
    <w:rsid w:val="00C87F88"/>
    <w:rsid w:val="00C914EF"/>
    <w:rsid w:val="00C917B3"/>
    <w:rsid w:val="00C96DE1"/>
    <w:rsid w:val="00CA48BC"/>
    <w:rsid w:val="00CA4C02"/>
    <w:rsid w:val="00CA6A8A"/>
    <w:rsid w:val="00CA7F83"/>
    <w:rsid w:val="00CB13F1"/>
    <w:rsid w:val="00CB203E"/>
    <w:rsid w:val="00CB208B"/>
    <w:rsid w:val="00CB6595"/>
    <w:rsid w:val="00CB6F77"/>
    <w:rsid w:val="00CC2573"/>
    <w:rsid w:val="00CC3F79"/>
    <w:rsid w:val="00CC485B"/>
    <w:rsid w:val="00CC5753"/>
    <w:rsid w:val="00CC7F25"/>
    <w:rsid w:val="00CD121D"/>
    <w:rsid w:val="00CD1CB6"/>
    <w:rsid w:val="00CD71EC"/>
    <w:rsid w:val="00CE592B"/>
    <w:rsid w:val="00CE6650"/>
    <w:rsid w:val="00CF2203"/>
    <w:rsid w:val="00CF58B7"/>
    <w:rsid w:val="00D00A20"/>
    <w:rsid w:val="00D0139B"/>
    <w:rsid w:val="00D03988"/>
    <w:rsid w:val="00D055E2"/>
    <w:rsid w:val="00D07253"/>
    <w:rsid w:val="00D16142"/>
    <w:rsid w:val="00D17AE7"/>
    <w:rsid w:val="00D17FFD"/>
    <w:rsid w:val="00D250A9"/>
    <w:rsid w:val="00D2591F"/>
    <w:rsid w:val="00D26A3C"/>
    <w:rsid w:val="00D33380"/>
    <w:rsid w:val="00D351C1"/>
    <w:rsid w:val="00D36EDC"/>
    <w:rsid w:val="00D41EDC"/>
    <w:rsid w:val="00D42767"/>
    <w:rsid w:val="00D57BAD"/>
    <w:rsid w:val="00D63E77"/>
    <w:rsid w:val="00D6591F"/>
    <w:rsid w:val="00D67CAF"/>
    <w:rsid w:val="00D67D74"/>
    <w:rsid w:val="00D717CD"/>
    <w:rsid w:val="00D71A3B"/>
    <w:rsid w:val="00D75897"/>
    <w:rsid w:val="00D80822"/>
    <w:rsid w:val="00D80EFB"/>
    <w:rsid w:val="00D8308E"/>
    <w:rsid w:val="00D83685"/>
    <w:rsid w:val="00D85389"/>
    <w:rsid w:val="00D86BF0"/>
    <w:rsid w:val="00D86E4E"/>
    <w:rsid w:val="00D90D2A"/>
    <w:rsid w:val="00D90F93"/>
    <w:rsid w:val="00D932DA"/>
    <w:rsid w:val="00D96250"/>
    <w:rsid w:val="00DA1A17"/>
    <w:rsid w:val="00DA2346"/>
    <w:rsid w:val="00DA3CBC"/>
    <w:rsid w:val="00DA54E8"/>
    <w:rsid w:val="00DA57A3"/>
    <w:rsid w:val="00DA5954"/>
    <w:rsid w:val="00DB1DB5"/>
    <w:rsid w:val="00DB33E4"/>
    <w:rsid w:val="00DB455E"/>
    <w:rsid w:val="00DB457D"/>
    <w:rsid w:val="00DB4C1F"/>
    <w:rsid w:val="00DB5C80"/>
    <w:rsid w:val="00DB6963"/>
    <w:rsid w:val="00DB72CB"/>
    <w:rsid w:val="00DB7314"/>
    <w:rsid w:val="00DB76F9"/>
    <w:rsid w:val="00DC2261"/>
    <w:rsid w:val="00DC2A48"/>
    <w:rsid w:val="00DD67D2"/>
    <w:rsid w:val="00DE07AC"/>
    <w:rsid w:val="00DE37A9"/>
    <w:rsid w:val="00DF3182"/>
    <w:rsid w:val="00DF6D2C"/>
    <w:rsid w:val="00E01BBA"/>
    <w:rsid w:val="00E06C29"/>
    <w:rsid w:val="00E06FA3"/>
    <w:rsid w:val="00E10983"/>
    <w:rsid w:val="00E13F75"/>
    <w:rsid w:val="00E21A65"/>
    <w:rsid w:val="00E24B66"/>
    <w:rsid w:val="00E26BE0"/>
    <w:rsid w:val="00E33CF6"/>
    <w:rsid w:val="00E3700C"/>
    <w:rsid w:val="00E40C08"/>
    <w:rsid w:val="00E42016"/>
    <w:rsid w:val="00E42CEF"/>
    <w:rsid w:val="00E43B11"/>
    <w:rsid w:val="00E46144"/>
    <w:rsid w:val="00E46ACA"/>
    <w:rsid w:val="00E50011"/>
    <w:rsid w:val="00E51920"/>
    <w:rsid w:val="00E53178"/>
    <w:rsid w:val="00E53D88"/>
    <w:rsid w:val="00E5779F"/>
    <w:rsid w:val="00E605D0"/>
    <w:rsid w:val="00E61A88"/>
    <w:rsid w:val="00E61E2A"/>
    <w:rsid w:val="00E62897"/>
    <w:rsid w:val="00E62EF9"/>
    <w:rsid w:val="00E630FA"/>
    <w:rsid w:val="00E64120"/>
    <w:rsid w:val="00E71F90"/>
    <w:rsid w:val="00E7210A"/>
    <w:rsid w:val="00E7283C"/>
    <w:rsid w:val="00E8037E"/>
    <w:rsid w:val="00E81325"/>
    <w:rsid w:val="00E8372E"/>
    <w:rsid w:val="00E8462B"/>
    <w:rsid w:val="00E861B4"/>
    <w:rsid w:val="00E86B3B"/>
    <w:rsid w:val="00E9072E"/>
    <w:rsid w:val="00E91750"/>
    <w:rsid w:val="00E92EF9"/>
    <w:rsid w:val="00E94075"/>
    <w:rsid w:val="00E9563E"/>
    <w:rsid w:val="00EA07E1"/>
    <w:rsid w:val="00EA0AEB"/>
    <w:rsid w:val="00EA22C6"/>
    <w:rsid w:val="00EA37DC"/>
    <w:rsid w:val="00EB4E02"/>
    <w:rsid w:val="00EB7C15"/>
    <w:rsid w:val="00EC6181"/>
    <w:rsid w:val="00EC667B"/>
    <w:rsid w:val="00ED05AE"/>
    <w:rsid w:val="00ED0C2F"/>
    <w:rsid w:val="00ED22CE"/>
    <w:rsid w:val="00ED22E9"/>
    <w:rsid w:val="00ED3176"/>
    <w:rsid w:val="00ED3CDB"/>
    <w:rsid w:val="00ED4429"/>
    <w:rsid w:val="00ED76C1"/>
    <w:rsid w:val="00ED7DBD"/>
    <w:rsid w:val="00EE0EAC"/>
    <w:rsid w:val="00EE33E1"/>
    <w:rsid w:val="00EE373A"/>
    <w:rsid w:val="00EE6781"/>
    <w:rsid w:val="00EE6EC9"/>
    <w:rsid w:val="00EF0B6B"/>
    <w:rsid w:val="00EF20DC"/>
    <w:rsid w:val="00F01BF8"/>
    <w:rsid w:val="00F01D0E"/>
    <w:rsid w:val="00F035CF"/>
    <w:rsid w:val="00F048AA"/>
    <w:rsid w:val="00F055F1"/>
    <w:rsid w:val="00F10275"/>
    <w:rsid w:val="00F10399"/>
    <w:rsid w:val="00F10D03"/>
    <w:rsid w:val="00F10D2F"/>
    <w:rsid w:val="00F10F4D"/>
    <w:rsid w:val="00F12366"/>
    <w:rsid w:val="00F12E3E"/>
    <w:rsid w:val="00F13DFA"/>
    <w:rsid w:val="00F17049"/>
    <w:rsid w:val="00F1704F"/>
    <w:rsid w:val="00F20980"/>
    <w:rsid w:val="00F21825"/>
    <w:rsid w:val="00F243E3"/>
    <w:rsid w:val="00F24493"/>
    <w:rsid w:val="00F2617A"/>
    <w:rsid w:val="00F304A9"/>
    <w:rsid w:val="00F30E43"/>
    <w:rsid w:val="00F310DB"/>
    <w:rsid w:val="00F3116E"/>
    <w:rsid w:val="00F32B02"/>
    <w:rsid w:val="00F34E6B"/>
    <w:rsid w:val="00F34E7C"/>
    <w:rsid w:val="00F36AE0"/>
    <w:rsid w:val="00F40272"/>
    <w:rsid w:val="00F43421"/>
    <w:rsid w:val="00F45E09"/>
    <w:rsid w:val="00F47A98"/>
    <w:rsid w:val="00F47C9E"/>
    <w:rsid w:val="00F50EF9"/>
    <w:rsid w:val="00F53B28"/>
    <w:rsid w:val="00F54B4D"/>
    <w:rsid w:val="00F56178"/>
    <w:rsid w:val="00F6134B"/>
    <w:rsid w:val="00F619E2"/>
    <w:rsid w:val="00F61A52"/>
    <w:rsid w:val="00F62027"/>
    <w:rsid w:val="00F62C3F"/>
    <w:rsid w:val="00F6460F"/>
    <w:rsid w:val="00F66219"/>
    <w:rsid w:val="00F672B0"/>
    <w:rsid w:val="00F67A51"/>
    <w:rsid w:val="00F67B6F"/>
    <w:rsid w:val="00F77195"/>
    <w:rsid w:val="00F77253"/>
    <w:rsid w:val="00F8098D"/>
    <w:rsid w:val="00F82690"/>
    <w:rsid w:val="00F829E9"/>
    <w:rsid w:val="00F858CA"/>
    <w:rsid w:val="00F862D5"/>
    <w:rsid w:val="00F869CC"/>
    <w:rsid w:val="00F908E1"/>
    <w:rsid w:val="00F911A2"/>
    <w:rsid w:val="00F915AF"/>
    <w:rsid w:val="00F9328E"/>
    <w:rsid w:val="00F95514"/>
    <w:rsid w:val="00F958D5"/>
    <w:rsid w:val="00F977CC"/>
    <w:rsid w:val="00FA4EB5"/>
    <w:rsid w:val="00FA64B2"/>
    <w:rsid w:val="00FA66E0"/>
    <w:rsid w:val="00FA6BBC"/>
    <w:rsid w:val="00FA7240"/>
    <w:rsid w:val="00FA7449"/>
    <w:rsid w:val="00FA771B"/>
    <w:rsid w:val="00FA790B"/>
    <w:rsid w:val="00FB1CAC"/>
    <w:rsid w:val="00FB30E5"/>
    <w:rsid w:val="00FC10ED"/>
    <w:rsid w:val="00FC11C0"/>
    <w:rsid w:val="00FC2D11"/>
    <w:rsid w:val="00FC2E49"/>
    <w:rsid w:val="00FC4196"/>
    <w:rsid w:val="00FC4DC7"/>
    <w:rsid w:val="00FC6230"/>
    <w:rsid w:val="00FD13E0"/>
    <w:rsid w:val="00FD2344"/>
    <w:rsid w:val="00FD387B"/>
    <w:rsid w:val="00FD3AA6"/>
    <w:rsid w:val="00FD4F43"/>
    <w:rsid w:val="00FD5A8A"/>
    <w:rsid w:val="00FE049A"/>
    <w:rsid w:val="00FF041A"/>
    <w:rsid w:val="00FF1A98"/>
    <w:rsid w:val="00FF61E7"/>
    <w:rsid w:val="00FF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D6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858CA"/>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lang w:val="x-none"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lang w:val="x-none" w:eastAsia="x-none"/>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sz w:val="16"/>
      <w:szCs w:val="16"/>
      <w:lang w:val="x-none" w:eastAsia="x-none"/>
    </w:rPr>
  </w:style>
  <w:style w:type="character" w:customStyle="1" w:styleId="BalloonTextChar">
    <w:name w:val="Balloon Text Char"/>
    <w:link w:val="BalloonText"/>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qFormat/>
    <w:rsid w:val="00F858CA"/>
    <w:rPr>
      <w:rFonts w:ascii="Arial" w:hAnsi="Arial"/>
    </w:rPr>
  </w:style>
  <w:style w:type="paragraph" w:styleId="TOC2">
    <w:name w:val="toc 2"/>
    <w:basedOn w:val="Normal"/>
    <w:next w:val="Normal"/>
    <w:autoRedefine/>
    <w:uiPriority w:val="39"/>
    <w:qFormat/>
    <w:rsid w:val="00F858CA"/>
    <w:pPr>
      <w:ind w:left="240"/>
    </w:pPr>
    <w:rPr>
      <w:rFonts w:ascii="Arial" w:hAnsi="Arial"/>
    </w:rPr>
  </w:style>
  <w:style w:type="paragraph" w:styleId="TOC3">
    <w:name w:val="toc 3"/>
    <w:basedOn w:val="Normal"/>
    <w:next w:val="Normal"/>
    <w:autoRedefine/>
    <w:uiPriority w:val="39"/>
    <w:qFormat/>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F858CA"/>
    <w:rPr>
      <w:rFonts w:ascii="Arial" w:eastAsia="Times New Roman" w:hAnsi="Arial" w:cs="Times New Roman"/>
      <w:b/>
      <w:bCs/>
      <w:i/>
      <w:sz w:val="24"/>
      <w:szCs w:val="28"/>
    </w:rPr>
  </w:style>
  <w:style w:type="paragraph" w:customStyle="1" w:styleId="NICEnormal">
    <w:name w:val="NICE normal"/>
    <w:link w:val="NICEnormalChar1"/>
    <w:qFormat/>
    <w:rsid w:val="00322DFE"/>
    <w:pPr>
      <w:spacing w:after="240"/>
    </w:pPr>
    <w:rPr>
      <w:rFonts w:ascii="Arial" w:hAnsi="Arial"/>
      <w:sz w:val="24"/>
      <w:szCs w:val="24"/>
      <w:lang w:val="en-US" w:eastAsia="en-US"/>
    </w:rPr>
  </w:style>
  <w:style w:type="character" w:customStyle="1" w:styleId="NICEnormalChar1">
    <w:name w:val="NICE normal Char1"/>
    <w:link w:val="NICEnormal"/>
    <w:rsid w:val="00322DFE"/>
    <w:rPr>
      <w:rFonts w:ascii="Arial" w:hAnsi="Arial"/>
      <w:sz w:val="24"/>
      <w:szCs w:val="24"/>
      <w:lang w:val="en-US" w:eastAsia="en-US" w:bidi="ar-SA"/>
    </w:rPr>
  </w:style>
  <w:style w:type="character" w:customStyle="1" w:styleId="Numberedheading2Char">
    <w:name w:val="Numbered heading 2 Char"/>
    <w:link w:val="Numberedheading2"/>
    <w:rsid w:val="00322DFE"/>
    <w:rPr>
      <w:rFonts w:ascii="Arial" w:hAnsi="Arial" w:cs="Arial"/>
      <w:b w:val="0"/>
      <w:bCs w:val="0"/>
      <w:i w:val="0"/>
      <w:iCs w:val="0"/>
      <w:sz w:val="28"/>
      <w:szCs w:val="28"/>
      <w:lang w:eastAsia="en-US"/>
    </w:rPr>
  </w:style>
  <w:style w:type="paragraph" w:customStyle="1" w:styleId="Unnumberedboldheading">
    <w:name w:val="Unnumbered bold heading"/>
    <w:next w:val="Normal"/>
    <w:uiPriority w:val="99"/>
    <w:rsid w:val="00CB203E"/>
    <w:pPr>
      <w:keepNext/>
      <w:widowControl w:val="0"/>
      <w:tabs>
        <w:tab w:val="num" w:pos="1701"/>
      </w:tabs>
      <w:spacing w:after="120"/>
    </w:pPr>
    <w:rPr>
      <w:rFonts w:ascii="Arial" w:hAnsi="Arial"/>
      <w:b/>
      <w:sz w:val="24"/>
      <w:szCs w:val="24"/>
      <w:lang w:val="en-US" w:eastAsia="en-US"/>
    </w:rPr>
  </w:style>
  <w:style w:type="paragraph" w:customStyle="1" w:styleId="Unnumbereditalicheading">
    <w:name w:val="Unnumbered italic heading"/>
    <w:next w:val="Normal"/>
    <w:uiPriority w:val="99"/>
    <w:rsid w:val="00CB203E"/>
    <w:pPr>
      <w:keepNext/>
      <w:widowControl w:val="0"/>
      <w:numPr>
        <w:ilvl w:val="1"/>
        <w:numId w:val="3"/>
      </w:numPr>
      <w:spacing w:after="120"/>
      <w:ind w:left="0" w:firstLine="0"/>
    </w:pPr>
    <w:rPr>
      <w:rFonts w:ascii="Arial" w:hAnsi="Arial"/>
      <w:i/>
      <w:sz w:val="24"/>
      <w:szCs w:val="24"/>
      <w:lang w:val="en-US" w:eastAsia="en-US"/>
    </w:rPr>
  </w:style>
  <w:style w:type="paragraph" w:customStyle="1" w:styleId="Numberedheading2">
    <w:name w:val="Numbered heading 2"/>
    <w:basedOn w:val="Heading2"/>
    <w:next w:val="Normal"/>
    <w:link w:val="Numberedheading2Char"/>
    <w:qFormat/>
    <w:rsid w:val="00CB203E"/>
    <w:pPr>
      <w:tabs>
        <w:tab w:val="num" w:pos="1134"/>
      </w:tabs>
      <w:ind w:left="1134" w:hanging="1134"/>
    </w:pPr>
    <w:rPr>
      <w:b w:val="0"/>
      <w:bCs w:val="0"/>
      <w:i w:val="0"/>
      <w:iCs w:val="0"/>
      <w:lang w:eastAsia="en-US"/>
    </w:rPr>
  </w:style>
  <w:style w:type="paragraph" w:customStyle="1" w:styleId="Section411paragraphs">
    <w:name w:val="Section 4.1.1 paragraphs"/>
    <w:basedOn w:val="NICEnormal"/>
    <w:uiPriority w:val="99"/>
    <w:rsid w:val="00A91407"/>
    <w:pPr>
      <w:numPr>
        <w:numId w:val="3"/>
      </w:numPr>
      <w:tabs>
        <w:tab w:val="clear" w:pos="1701"/>
        <w:tab w:val="num" w:pos="1134"/>
      </w:tabs>
      <w:ind w:left="1134" w:hanging="1134"/>
    </w:pPr>
  </w:style>
  <w:style w:type="paragraph" w:customStyle="1" w:styleId="Numberedheading1">
    <w:name w:val="Numbered heading 1"/>
    <w:basedOn w:val="Heading1"/>
    <w:next w:val="Normal"/>
    <w:link w:val="Numberedheading1CharChar"/>
    <w:qFormat/>
    <w:rsid w:val="00A91407"/>
    <w:pPr>
      <w:ind w:left="1134" w:hanging="454"/>
    </w:pPr>
    <w:rPr>
      <w:b w:val="0"/>
      <w:bCs w:val="0"/>
      <w:sz w:val="32"/>
      <w:szCs w:val="24"/>
      <w:lang w:eastAsia="en-US"/>
    </w:rPr>
  </w:style>
  <w:style w:type="character" w:customStyle="1" w:styleId="Numberedheading1CharChar">
    <w:name w:val="Numbered heading 1 Char Char"/>
    <w:link w:val="Numberedheading1"/>
    <w:rsid w:val="00A91407"/>
    <w:rPr>
      <w:rFonts w:ascii="Arial" w:hAnsi="Arial" w:cs="Arial"/>
      <w:b w:val="0"/>
      <w:bCs w:val="0"/>
      <w:kern w:val="32"/>
      <w:sz w:val="32"/>
      <w:szCs w:val="24"/>
      <w:lang w:eastAsia="en-US"/>
    </w:rPr>
  </w:style>
  <w:style w:type="character" w:styleId="CommentReference">
    <w:name w:val="annotation reference"/>
    <w:rsid w:val="00D75897"/>
    <w:rPr>
      <w:sz w:val="16"/>
      <w:szCs w:val="16"/>
    </w:rPr>
  </w:style>
  <w:style w:type="paragraph" w:styleId="CommentText">
    <w:name w:val="annotation text"/>
    <w:basedOn w:val="Normal"/>
    <w:link w:val="CommentTextChar"/>
    <w:rsid w:val="00D75897"/>
    <w:rPr>
      <w:sz w:val="20"/>
      <w:szCs w:val="20"/>
    </w:rPr>
  </w:style>
  <w:style w:type="character" w:customStyle="1" w:styleId="CommentTextChar">
    <w:name w:val="Comment Text Char"/>
    <w:basedOn w:val="DefaultParagraphFont"/>
    <w:link w:val="CommentText"/>
    <w:rsid w:val="00D75897"/>
  </w:style>
  <w:style w:type="paragraph" w:styleId="CommentSubject">
    <w:name w:val="annotation subject"/>
    <w:basedOn w:val="CommentText"/>
    <w:next w:val="CommentText"/>
    <w:link w:val="CommentSubjectChar"/>
    <w:rsid w:val="00D75897"/>
    <w:rPr>
      <w:b/>
      <w:bCs/>
      <w:lang w:val="x-none" w:eastAsia="x-none"/>
    </w:rPr>
  </w:style>
  <w:style w:type="character" w:customStyle="1" w:styleId="CommentSubjectChar">
    <w:name w:val="Comment Subject Char"/>
    <w:link w:val="CommentSubject"/>
    <w:rsid w:val="00D75897"/>
    <w:rPr>
      <w:b/>
      <w:bCs/>
    </w:rPr>
  </w:style>
  <w:style w:type="paragraph" w:customStyle="1" w:styleId="paragraph0">
    <w:name w:val="paragraph"/>
    <w:basedOn w:val="Normal"/>
    <w:rsid w:val="003B3C10"/>
    <w:rPr>
      <w:rFonts w:eastAsia="Calibri"/>
    </w:rPr>
  </w:style>
  <w:style w:type="paragraph" w:styleId="ListParagraph">
    <w:name w:val="List Paragraph"/>
    <w:basedOn w:val="Normal"/>
    <w:uiPriority w:val="34"/>
    <w:qFormat/>
    <w:rsid w:val="00271FA7"/>
    <w:pPr>
      <w:ind w:left="720"/>
    </w:pPr>
  </w:style>
  <w:style w:type="paragraph" w:customStyle="1" w:styleId="Appendixbullet">
    <w:name w:val="Appendix bullet"/>
    <w:basedOn w:val="NICEnormal"/>
    <w:rsid w:val="00397922"/>
    <w:pPr>
      <w:tabs>
        <w:tab w:val="num" w:pos="1701"/>
      </w:tabs>
      <w:spacing w:after="0"/>
      <w:ind w:left="1701" w:hanging="567"/>
    </w:pPr>
  </w:style>
  <w:style w:type="character" w:styleId="Hyperlink">
    <w:name w:val="Hyperlink"/>
    <w:rsid w:val="00397922"/>
    <w:rPr>
      <w:color w:val="0000FF"/>
      <w:u w:val="single"/>
    </w:rPr>
  </w:style>
  <w:style w:type="character" w:customStyle="1" w:styleId="NICEnormalChar">
    <w:name w:val="NICE normal Char"/>
    <w:rsid w:val="00397922"/>
    <w:rPr>
      <w:rFonts w:ascii="Arial" w:hAnsi="Arial"/>
      <w:sz w:val="24"/>
      <w:szCs w:val="24"/>
      <w:lang w:val="en-US" w:eastAsia="en-US" w:bidi="ar-SA"/>
    </w:rPr>
  </w:style>
  <w:style w:type="paragraph" w:customStyle="1" w:styleId="Numberedheading3">
    <w:name w:val="Numbered heading 3"/>
    <w:basedOn w:val="Heading3"/>
    <w:next w:val="Paragraph"/>
    <w:qFormat/>
    <w:rsid w:val="003B2E05"/>
    <w:pPr>
      <w:tabs>
        <w:tab w:val="num" w:pos="360"/>
      </w:tabs>
      <w:spacing w:after="240" w:line="360" w:lineRule="auto"/>
    </w:pPr>
    <w:rPr>
      <w:rFonts w:cs="Arial"/>
      <w:sz w:val="26"/>
      <w:szCs w:val="24"/>
      <w:lang w:val="en-GB" w:eastAsia="en-US"/>
    </w:rPr>
  </w:style>
  <w:style w:type="paragraph" w:customStyle="1" w:styleId="Bulletstable">
    <w:name w:val="Bullets (table)"/>
    <w:basedOn w:val="Normal"/>
    <w:rsid w:val="008A091C"/>
    <w:pPr>
      <w:tabs>
        <w:tab w:val="left" w:pos="284"/>
      </w:tabs>
      <w:ind w:left="284" w:hanging="284"/>
    </w:pPr>
    <w:rPr>
      <w:rFonts w:ascii="Arial" w:hAnsi="Arial"/>
      <w:sz w:val="22"/>
      <w:szCs w:val="22"/>
      <w:lang w:eastAsia="en-US"/>
    </w:rPr>
  </w:style>
  <w:style w:type="paragraph" w:customStyle="1" w:styleId="Bulletleft1last">
    <w:name w:val="Bullet left 1 last"/>
    <w:basedOn w:val="NICEnormal"/>
    <w:rsid w:val="008A091C"/>
    <w:pPr>
      <w:numPr>
        <w:numId w:val="4"/>
      </w:numPr>
      <w:spacing w:line="360" w:lineRule="auto"/>
    </w:pPr>
    <w:rPr>
      <w:rFonts w:cs="Arial"/>
      <w:lang w:val="en-GB"/>
    </w:rPr>
  </w:style>
  <w:style w:type="paragraph" w:customStyle="1" w:styleId="Bulletleft2">
    <w:name w:val="Bullet left 2"/>
    <w:basedOn w:val="NICEnormal"/>
    <w:rsid w:val="00912BF8"/>
    <w:pPr>
      <w:numPr>
        <w:ilvl w:val="1"/>
        <w:numId w:val="5"/>
      </w:numPr>
      <w:spacing w:after="0" w:line="360" w:lineRule="auto"/>
      <w:ind w:left="568" w:hanging="284"/>
    </w:pPr>
    <w:rPr>
      <w:lang w:val="en-GB"/>
    </w:rPr>
  </w:style>
  <w:style w:type="paragraph" w:customStyle="1" w:styleId="Bulletleft1">
    <w:name w:val="Bullet left 1"/>
    <w:basedOn w:val="Bulletleft1last"/>
    <w:link w:val="Bulletleft1Char"/>
    <w:rsid w:val="00E33CF6"/>
    <w:pPr>
      <w:numPr>
        <w:numId w:val="0"/>
      </w:numPr>
      <w:spacing w:after="0"/>
      <w:ind w:left="1134" w:hanging="454"/>
    </w:pPr>
  </w:style>
  <w:style w:type="paragraph" w:customStyle="1" w:styleId="Heading40">
    <w:name w:val="Heading  4"/>
    <w:basedOn w:val="Paragraph"/>
    <w:qFormat/>
    <w:rsid w:val="00693B99"/>
    <w:rPr>
      <w:u w:val="single"/>
      <w:lang w:eastAsia="en-US"/>
    </w:rPr>
  </w:style>
  <w:style w:type="character" w:styleId="FollowedHyperlink">
    <w:name w:val="FollowedHyperlink"/>
    <w:rsid w:val="00DB33E4"/>
    <w:rPr>
      <w:color w:val="800080"/>
      <w:u w:val="single"/>
    </w:rPr>
  </w:style>
  <w:style w:type="paragraph" w:customStyle="1" w:styleId="TableText">
    <w:name w:val="Table Text"/>
    <w:basedOn w:val="Paragraph"/>
    <w:link w:val="TableTextChar"/>
    <w:qFormat/>
    <w:rsid w:val="008A628C"/>
    <w:pPr>
      <w:spacing w:before="30" w:after="60" w:line="240" w:lineRule="auto"/>
    </w:pPr>
    <w:rPr>
      <w:sz w:val="22"/>
    </w:rPr>
  </w:style>
  <w:style w:type="character" w:customStyle="1" w:styleId="TableTextChar">
    <w:name w:val="Table Text Char"/>
    <w:link w:val="TableText"/>
    <w:rsid w:val="008A628C"/>
    <w:rPr>
      <w:rFonts w:ascii="Arial" w:hAnsi="Arial"/>
      <w:sz w:val="22"/>
      <w:szCs w:val="24"/>
    </w:rPr>
  </w:style>
  <w:style w:type="paragraph" w:customStyle="1" w:styleId="Default">
    <w:name w:val="Default"/>
    <w:rsid w:val="007F2513"/>
    <w:pPr>
      <w:autoSpaceDE w:val="0"/>
      <w:autoSpaceDN w:val="0"/>
      <w:adjustRightInd w:val="0"/>
    </w:pPr>
    <w:rPr>
      <w:rFonts w:ascii="Arial" w:hAnsi="Arial" w:cs="Arial"/>
      <w:color w:val="000000"/>
      <w:sz w:val="24"/>
      <w:szCs w:val="24"/>
    </w:rPr>
  </w:style>
  <w:style w:type="paragraph" w:customStyle="1" w:styleId="NICEnormalsinglespacing">
    <w:name w:val="NICE normal single spacing"/>
    <w:basedOn w:val="NICEnormal"/>
    <w:rsid w:val="007F2513"/>
  </w:style>
  <w:style w:type="character" w:customStyle="1" w:styleId="Bulletleft1Char">
    <w:name w:val="Bullet left 1 Char"/>
    <w:link w:val="Bulletleft1"/>
    <w:rsid w:val="00197ECF"/>
    <w:rPr>
      <w:rFonts w:ascii="Arial" w:hAnsi="Arial" w:cs="Arial"/>
      <w:sz w:val="24"/>
      <w:szCs w:val="24"/>
      <w:lang w:eastAsia="en-US"/>
    </w:rPr>
  </w:style>
  <w:style w:type="paragraph" w:customStyle="1" w:styleId="Tabletitle">
    <w:name w:val="Table title"/>
    <w:basedOn w:val="NICEnormal"/>
    <w:next w:val="NICEnormal"/>
    <w:rsid w:val="00DB6963"/>
    <w:pPr>
      <w:keepNext/>
      <w:spacing w:after="60"/>
    </w:pPr>
    <w:rPr>
      <w:b/>
    </w:rPr>
  </w:style>
  <w:style w:type="paragraph" w:styleId="FootnoteText">
    <w:name w:val="footnote text"/>
    <w:basedOn w:val="Normal"/>
    <w:link w:val="FootnoteTextChar"/>
    <w:uiPriority w:val="99"/>
    <w:rsid w:val="003C02BA"/>
    <w:rPr>
      <w:sz w:val="20"/>
      <w:szCs w:val="20"/>
    </w:rPr>
  </w:style>
  <w:style w:type="character" w:customStyle="1" w:styleId="FootnoteTextChar">
    <w:name w:val="Footnote Text Char"/>
    <w:basedOn w:val="DefaultParagraphFont"/>
    <w:link w:val="FootnoteText"/>
    <w:uiPriority w:val="99"/>
    <w:rsid w:val="003C02BA"/>
  </w:style>
  <w:style w:type="character" w:styleId="FootnoteReference">
    <w:name w:val="footnote reference"/>
    <w:uiPriority w:val="99"/>
    <w:rsid w:val="003C02BA"/>
    <w:rPr>
      <w:vertAlign w:val="superscript"/>
    </w:rPr>
  </w:style>
  <w:style w:type="paragraph" w:customStyle="1" w:styleId="Title2">
    <w:name w:val="Title 2"/>
    <w:basedOn w:val="Title"/>
    <w:rsid w:val="00030DB2"/>
    <w:pPr>
      <w:keepNext/>
    </w:pPr>
    <w:rPr>
      <w:rFonts w:cs="Arial"/>
      <w:lang w:val="en-GB" w:eastAsia="en-US"/>
    </w:rPr>
  </w:style>
  <w:style w:type="paragraph" w:customStyle="1" w:styleId="Numberedlevel4text">
    <w:name w:val="Numbered level 4 text"/>
    <w:basedOn w:val="NICEnormal"/>
    <w:next w:val="NICEnormal"/>
    <w:rsid w:val="00030DB2"/>
    <w:pPr>
      <w:tabs>
        <w:tab w:val="num" w:pos="1134"/>
      </w:tabs>
      <w:spacing w:line="360" w:lineRule="auto"/>
      <w:ind w:left="1134" w:hanging="1134"/>
    </w:pPr>
    <w:rPr>
      <w:lang w:val="en-GB"/>
    </w:rPr>
  </w:style>
  <w:style w:type="paragraph" w:customStyle="1" w:styleId="Numberedlevel3text">
    <w:name w:val="Numbered level 3 text"/>
    <w:basedOn w:val="Normal"/>
    <w:rsid w:val="00030DB2"/>
    <w:pPr>
      <w:keepNext/>
      <w:tabs>
        <w:tab w:val="num" w:pos="1134"/>
      </w:tabs>
      <w:spacing w:after="240" w:line="360" w:lineRule="auto"/>
      <w:ind w:left="1134" w:hanging="1134"/>
      <w:outlineLvl w:val="2"/>
    </w:pPr>
    <w:rPr>
      <w:rFonts w:ascii="Arial" w:hAnsi="Arial" w:cs="Arial"/>
      <w:bCs/>
      <w:lang w:eastAsia="en-US"/>
    </w:rPr>
  </w:style>
  <w:style w:type="paragraph" w:customStyle="1" w:styleId="Bulletindent2">
    <w:name w:val="Bullet indent 2"/>
    <w:basedOn w:val="NICEnormal"/>
    <w:rsid w:val="00030DB2"/>
    <w:pPr>
      <w:numPr>
        <w:ilvl w:val="1"/>
        <w:numId w:val="10"/>
      </w:numPr>
      <w:spacing w:after="0" w:line="360" w:lineRule="auto"/>
      <w:ind w:left="1702" w:hanging="284"/>
    </w:pPr>
    <w:rPr>
      <w:lang w:val="en-GB"/>
    </w:rPr>
  </w:style>
  <w:style w:type="paragraph" w:customStyle="1" w:styleId="Bulletleft3">
    <w:name w:val="Bullet left 3"/>
    <w:basedOn w:val="NICEnormal"/>
    <w:rsid w:val="00030DB2"/>
    <w:pPr>
      <w:numPr>
        <w:ilvl w:val="2"/>
        <w:numId w:val="9"/>
      </w:numPr>
      <w:spacing w:after="0" w:line="360" w:lineRule="auto"/>
    </w:pPr>
    <w:rPr>
      <w:lang w:val="en-GB"/>
    </w:rPr>
  </w:style>
  <w:style w:type="paragraph" w:customStyle="1" w:styleId="Bulletindent1">
    <w:name w:val="Bullet indent 1"/>
    <w:basedOn w:val="NICEnormal"/>
    <w:rsid w:val="00030DB2"/>
    <w:pPr>
      <w:numPr>
        <w:numId w:val="12"/>
      </w:numPr>
      <w:spacing w:after="0" w:line="360" w:lineRule="auto"/>
    </w:pPr>
    <w:rPr>
      <w:lang w:val="en-GB"/>
    </w:rPr>
  </w:style>
  <w:style w:type="paragraph" w:customStyle="1" w:styleId="Bulletindent3">
    <w:name w:val="Bullet indent 3"/>
    <w:basedOn w:val="NICEnormal"/>
    <w:rsid w:val="00030DB2"/>
    <w:pPr>
      <w:numPr>
        <w:ilvl w:val="2"/>
        <w:numId w:val="11"/>
      </w:numPr>
      <w:spacing w:after="0" w:line="360" w:lineRule="auto"/>
    </w:pPr>
    <w:rPr>
      <w:lang w:val="en-GB"/>
    </w:rPr>
  </w:style>
  <w:style w:type="character" w:styleId="PageNumber">
    <w:name w:val="page number"/>
    <w:rsid w:val="00030DB2"/>
    <w:rPr>
      <w:rFonts w:ascii="Arial" w:hAnsi="Arial"/>
      <w:sz w:val="24"/>
    </w:rPr>
  </w:style>
  <w:style w:type="paragraph" w:customStyle="1" w:styleId="Bulletindent1last">
    <w:name w:val="Bullet indent 1 last"/>
    <w:basedOn w:val="NICEnormal"/>
    <w:next w:val="NICEnormal"/>
    <w:rsid w:val="00030DB2"/>
    <w:pPr>
      <w:numPr>
        <w:numId w:val="13"/>
      </w:numPr>
      <w:spacing w:line="360" w:lineRule="auto"/>
    </w:pPr>
    <w:rPr>
      <w:lang w:val="en-GB"/>
    </w:rPr>
  </w:style>
  <w:style w:type="paragraph" w:customStyle="1" w:styleId="NICEnormalindented">
    <w:name w:val="NICE normal indented"/>
    <w:basedOn w:val="NICEnormal"/>
    <w:rsid w:val="00030DB2"/>
    <w:pPr>
      <w:tabs>
        <w:tab w:val="left" w:pos="1134"/>
      </w:tabs>
      <w:spacing w:line="360" w:lineRule="auto"/>
      <w:ind w:left="1134"/>
    </w:pPr>
    <w:rPr>
      <w:lang w:val="en-GB"/>
    </w:rPr>
  </w:style>
  <w:style w:type="paragraph" w:styleId="TOCHeading">
    <w:name w:val="TOC Heading"/>
    <w:basedOn w:val="Heading1"/>
    <w:next w:val="Normal"/>
    <w:uiPriority w:val="39"/>
    <w:unhideWhenUsed/>
    <w:qFormat/>
    <w:rsid w:val="00030DB2"/>
    <w:pPr>
      <w:keepLines/>
      <w:spacing w:before="480" w:after="0" w:line="276" w:lineRule="auto"/>
      <w:outlineLvl w:val="9"/>
    </w:pPr>
    <w:rPr>
      <w:rFonts w:ascii="Cambria" w:eastAsia="MS Gothic" w:hAnsi="Cambria"/>
      <w:color w:val="365F91"/>
      <w:kern w:val="0"/>
      <w:szCs w:val="28"/>
      <w:lang w:val="en-US" w:eastAsia="ja-JP"/>
    </w:rPr>
  </w:style>
  <w:style w:type="paragraph" w:customStyle="1" w:styleId="Tabletext0">
    <w:name w:val="Table text"/>
    <w:basedOn w:val="NICEnormalsinglespacing"/>
    <w:rsid w:val="00030DB2"/>
    <w:pPr>
      <w:keepNext/>
      <w:spacing w:after="60"/>
    </w:pPr>
    <w:rPr>
      <w:sz w:val="22"/>
      <w:lang w:val="en-GB"/>
    </w:rPr>
  </w:style>
  <w:style w:type="paragraph" w:customStyle="1" w:styleId="Guidanceissuedate">
    <w:name w:val="Guidance issue date"/>
    <w:basedOn w:val="NICEnormal"/>
    <w:qFormat/>
    <w:rsid w:val="00030DB2"/>
    <w:pPr>
      <w:spacing w:line="360" w:lineRule="auto"/>
    </w:pPr>
    <w:rPr>
      <w:lang w:val="en-GB"/>
    </w:rPr>
  </w:style>
  <w:style w:type="paragraph" w:customStyle="1" w:styleId="Documentissuedate">
    <w:name w:val="Document issue date"/>
    <w:basedOn w:val="Guidanceissuedate"/>
    <w:qFormat/>
    <w:rsid w:val="00030DB2"/>
  </w:style>
  <w:style w:type="table" w:customStyle="1" w:styleId="TableGrid1">
    <w:name w:val="Table Grid1"/>
    <w:basedOn w:val="TableNormal"/>
    <w:next w:val="TableGrid"/>
    <w:rsid w:val="0003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030D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1">
    <w:name w:val="Table Grid11"/>
    <w:basedOn w:val="TableNormal"/>
    <w:next w:val="TableGrid"/>
    <w:rsid w:val="00030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1">
    <w:name w:val="table text"/>
    <w:basedOn w:val="Normal"/>
    <w:link w:val="tabletextChar0"/>
    <w:qFormat/>
    <w:rsid w:val="00030DB2"/>
    <w:pPr>
      <w:spacing w:before="60" w:after="60"/>
    </w:pPr>
    <w:rPr>
      <w:rFonts w:ascii="Arial" w:hAnsi="Arial"/>
    </w:rPr>
  </w:style>
  <w:style w:type="character" w:customStyle="1" w:styleId="tabletextChar0">
    <w:name w:val="table text Char"/>
    <w:basedOn w:val="DefaultParagraphFont"/>
    <w:link w:val="tabletext1"/>
    <w:rsid w:val="00030DB2"/>
    <w:rPr>
      <w:rFonts w:ascii="Arial" w:hAnsi="Arial"/>
      <w:sz w:val="24"/>
      <w:szCs w:val="24"/>
    </w:rPr>
  </w:style>
  <w:style w:type="paragraph" w:customStyle="1" w:styleId="Title1">
    <w:name w:val="Title 1"/>
    <w:basedOn w:val="Title"/>
    <w:qFormat/>
    <w:rsid w:val="00030DB2"/>
    <w:pPr>
      <w:keepNext/>
    </w:pPr>
    <w:rPr>
      <w:rFonts w:cs="Arial"/>
      <w:sz w:val="40"/>
      <w:lang w:val="en-GB" w:eastAsia="en-US"/>
    </w:rPr>
  </w:style>
  <w:style w:type="paragraph" w:styleId="Revision">
    <w:name w:val="Revision"/>
    <w:hidden/>
    <w:uiPriority w:val="99"/>
    <w:semiHidden/>
    <w:rsid w:val="00030DB2"/>
    <w:rPr>
      <w:sz w:val="24"/>
      <w:szCs w:val="24"/>
      <w:lang w:eastAsia="en-US"/>
    </w:rPr>
  </w:style>
  <w:style w:type="paragraph" w:styleId="NormalWeb">
    <w:name w:val="Normal (Web)"/>
    <w:basedOn w:val="Normal"/>
    <w:uiPriority w:val="99"/>
    <w:unhideWhenUsed/>
    <w:rsid w:val="00030DB2"/>
    <w:pPr>
      <w:spacing w:after="180"/>
    </w:pPr>
  </w:style>
  <w:style w:type="table" w:customStyle="1" w:styleId="TableGrid2">
    <w:name w:val="Table Grid2"/>
    <w:basedOn w:val="TableNormal"/>
    <w:next w:val="TableGrid"/>
    <w:rsid w:val="0076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66C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766CAE"/>
    <w:rPr>
      <w:b/>
      <w:bCs/>
    </w:rPr>
  </w:style>
  <w:style w:type="paragraph" w:customStyle="1" w:styleId="numbered-paragraph">
    <w:name w:val="numbered-paragraph"/>
    <w:basedOn w:val="Normal"/>
    <w:rsid w:val="00766CAE"/>
    <w:pPr>
      <w:spacing w:after="180"/>
    </w:pPr>
  </w:style>
  <w:style w:type="character" w:customStyle="1" w:styleId="ParagraphnonumbersChar">
    <w:name w:val="Paragraph no numbers Char"/>
    <w:link w:val="Paragraphnonumbers"/>
    <w:uiPriority w:val="99"/>
    <w:rsid w:val="00766CAE"/>
    <w:rPr>
      <w:rFonts w:ascii="Arial" w:hAnsi="Arial"/>
      <w:sz w:val="24"/>
      <w:szCs w:val="24"/>
    </w:rPr>
  </w:style>
  <w:style w:type="table" w:customStyle="1" w:styleId="TableGrid3">
    <w:name w:val="Table Grid3"/>
    <w:basedOn w:val="TableNormal"/>
    <w:next w:val="TableGrid"/>
    <w:rsid w:val="000A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36C"/>
    <w:rPr>
      <w:color w:val="605E5C"/>
      <w:shd w:val="clear" w:color="auto" w:fill="E1DFDD"/>
    </w:rPr>
  </w:style>
  <w:style w:type="table" w:customStyle="1" w:styleId="TableGrid4">
    <w:name w:val="Table Grid4"/>
    <w:basedOn w:val="TableNormal"/>
    <w:next w:val="TableGrid"/>
    <w:rsid w:val="00034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2193">
      <w:bodyDiv w:val="1"/>
      <w:marLeft w:val="0"/>
      <w:marRight w:val="0"/>
      <w:marTop w:val="0"/>
      <w:marBottom w:val="0"/>
      <w:divBdr>
        <w:top w:val="none" w:sz="0" w:space="0" w:color="auto"/>
        <w:left w:val="none" w:sz="0" w:space="0" w:color="auto"/>
        <w:bottom w:val="none" w:sz="0" w:space="0" w:color="auto"/>
        <w:right w:val="none" w:sz="0" w:space="0" w:color="auto"/>
      </w:divBdr>
    </w:div>
    <w:div w:id="79379412">
      <w:bodyDiv w:val="1"/>
      <w:marLeft w:val="0"/>
      <w:marRight w:val="0"/>
      <w:marTop w:val="0"/>
      <w:marBottom w:val="0"/>
      <w:divBdr>
        <w:top w:val="none" w:sz="0" w:space="0" w:color="auto"/>
        <w:left w:val="none" w:sz="0" w:space="0" w:color="auto"/>
        <w:bottom w:val="none" w:sz="0" w:space="0" w:color="auto"/>
        <w:right w:val="none" w:sz="0" w:space="0" w:color="auto"/>
      </w:divBdr>
    </w:div>
    <w:div w:id="139155893">
      <w:bodyDiv w:val="1"/>
      <w:marLeft w:val="0"/>
      <w:marRight w:val="0"/>
      <w:marTop w:val="0"/>
      <w:marBottom w:val="0"/>
      <w:divBdr>
        <w:top w:val="none" w:sz="0" w:space="0" w:color="auto"/>
        <w:left w:val="none" w:sz="0" w:space="0" w:color="auto"/>
        <w:bottom w:val="none" w:sz="0" w:space="0" w:color="auto"/>
        <w:right w:val="none" w:sz="0" w:space="0" w:color="auto"/>
      </w:divBdr>
    </w:div>
    <w:div w:id="140654774">
      <w:bodyDiv w:val="1"/>
      <w:marLeft w:val="0"/>
      <w:marRight w:val="0"/>
      <w:marTop w:val="0"/>
      <w:marBottom w:val="0"/>
      <w:divBdr>
        <w:top w:val="none" w:sz="0" w:space="0" w:color="auto"/>
        <w:left w:val="none" w:sz="0" w:space="0" w:color="auto"/>
        <w:bottom w:val="none" w:sz="0" w:space="0" w:color="auto"/>
        <w:right w:val="none" w:sz="0" w:space="0" w:color="auto"/>
      </w:divBdr>
    </w:div>
    <w:div w:id="169180850">
      <w:bodyDiv w:val="1"/>
      <w:marLeft w:val="0"/>
      <w:marRight w:val="0"/>
      <w:marTop w:val="0"/>
      <w:marBottom w:val="0"/>
      <w:divBdr>
        <w:top w:val="none" w:sz="0" w:space="0" w:color="auto"/>
        <w:left w:val="none" w:sz="0" w:space="0" w:color="auto"/>
        <w:bottom w:val="none" w:sz="0" w:space="0" w:color="auto"/>
        <w:right w:val="none" w:sz="0" w:space="0" w:color="auto"/>
      </w:divBdr>
    </w:div>
    <w:div w:id="287787107">
      <w:bodyDiv w:val="1"/>
      <w:marLeft w:val="0"/>
      <w:marRight w:val="0"/>
      <w:marTop w:val="0"/>
      <w:marBottom w:val="0"/>
      <w:divBdr>
        <w:top w:val="none" w:sz="0" w:space="0" w:color="auto"/>
        <w:left w:val="none" w:sz="0" w:space="0" w:color="auto"/>
        <w:bottom w:val="none" w:sz="0" w:space="0" w:color="auto"/>
        <w:right w:val="none" w:sz="0" w:space="0" w:color="auto"/>
      </w:divBdr>
    </w:div>
    <w:div w:id="315693154">
      <w:bodyDiv w:val="1"/>
      <w:marLeft w:val="0"/>
      <w:marRight w:val="0"/>
      <w:marTop w:val="0"/>
      <w:marBottom w:val="0"/>
      <w:divBdr>
        <w:top w:val="none" w:sz="0" w:space="0" w:color="auto"/>
        <w:left w:val="none" w:sz="0" w:space="0" w:color="auto"/>
        <w:bottom w:val="none" w:sz="0" w:space="0" w:color="auto"/>
        <w:right w:val="none" w:sz="0" w:space="0" w:color="auto"/>
      </w:divBdr>
    </w:div>
    <w:div w:id="327638357">
      <w:bodyDiv w:val="1"/>
      <w:marLeft w:val="0"/>
      <w:marRight w:val="0"/>
      <w:marTop w:val="0"/>
      <w:marBottom w:val="0"/>
      <w:divBdr>
        <w:top w:val="none" w:sz="0" w:space="0" w:color="auto"/>
        <w:left w:val="none" w:sz="0" w:space="0" w:color="auto"/>
        <w:bottom w:val="none" w:sz="0" w:space="0" w:color="auto"/>
        <w:right w:val="none" w:sz="0" w:space="0" w:color="auto"/>
      </w:divBdr>
    </w:div>
    <w:div w:id="364452557">
      <w:bodyDiv w:val="1"/>
      <w:marLeft w:val="0"/>
      <w:marRight w:val="0"/>
      <w:marTop w:val="0"/>
      <w:marBottom w:val="0"/>
      <w:divBdr>
        <w:top w:val="none" w:sz="0" w:space="0" w:color="auto"/>
        <w:left w:val="none" w:sz="0" w:space="0" w:color="auto"/>
        <w:bottom w:val="none" w:sz="0" w:space="0" w:color="auto"/>
        <w:right w:val="none" w:sz="0" w:space="0" w:color="auto"/>
      </w:divBdr>
    </w:div>
    <w:div w:id="376929583">
      <w:bodyDiv w:val="1"/>
      <w:marLeft w:val="0"/>
      <w:marRight w:val="0"/>
      <w:marTop w:val="0"/>
      <w:marBottom w:val="0"/>
      <w:divBdr>
        <w:top w:val="none" w:sz="0" w:space="0" w:color="auto"/>
        <w:left w:val="none" w:sz="0" w:space="0" w:color="auto"/>
        <w:bottom w:val="none" w:sz="0" w:space="0" w:color="auto"/>
        <w:right w:val="none" w:sz="0" w:space="0" w:color="auto"/>
      </w:divBdr>
    </w:div>
    <w:div w:id="395906346">
      <w:bodyDiv w:val="1"/>
      <w:marLeft w:val="0"/>
      <w:marRight w:val="0"/>
      <w:marTop w:val="0"/>
      <w:marBottom w:val="0"/>
      <w:divBdr>
        <w:top w:val="none" w:sz="0" w:space="0" w:color="auto"/>
        <w:left w:val="none" w:sz="0" w:space="0" w:color="auto"/>
        <w:bottom w:val="none" w:sz="0" w:space="0" w:color="auto"/>
        <w:right w:val="none" w:sz="0" w:space="0" w:color="auto"/>
      </w:divBdr>
    </w:div>
    <w:div w:id="431390546">
      <w:bodyDiv w:val="1"/>
      <w:marLeft w:val="0"/>
      <w:marRight w:val="0"/>
      <w:marTop w:val="0"/>
      <w:marBottom w:val="0"/>
      <w:divBdr>
        <w:top w:val="none" w:sz="0" w:space="0" w:color="auto"/>
        <w:left w:val="none" w:sz="0" w:space="0" w:color="auto"/>
        <w:bottom w:val="none" w:sz="0" w:space="0" w:color="auto"/>
        <w:right w:val="none" w:sz="0" w:space="0" w:color="auto"/>
      </w:divBdr>
    </w:div>
    <w:div w:id="474419847">
      <w:bodyDiv w:val="1"/>
      <w:marLeft w:val="0"/>
      <w:marRight w:val="0"/>
      <w:marTop w:val="0"/>
      <w:marBottom w:val="0"/>
      <w:divBdr>
        <w:top w:val="none" w:sz="0" w:space="0" w:color="auto"/>
        <w:left w:val="none" w:sz="0" w:space="0" w:color="auto"/>
        <w:bottom w:val="none" w:sz="0" w:space="0" w:color="auto"/>
        <w:right w:val="none" w:sz="0" w:space="0" w:color="auto"/>
      </w:divBdr>
    </w:div>
    <w:div w:id="670834801">
      <w:bodyDiv w:val="1"/>
      <w:marLeft w:val="0"/>
      <w:marRight w:val="0"/>
      <w:marTop w:val="0"/>
      <w:marBottom w:val="0"/>
      <w:divBdr>
        <w:top w:val="none" w:sz="0" w:space="0" w:color="auto"/>
        <w:left w:val="none" w:sz="0" w:space="0" w:color="auto"/>
        <w:bottom w:val="none" w:sz="0" w:space="0" w:color="auto"/>
        <w:right w:val="none" w:sz="0" w:space="0" w:color="auto"/>
      </w:divBdr>
    </w:div>
    <w:div w:id="1347562600">
      <w:bodyDiv w:val="1"/>
      <w:marLeft w:val="0"/>
      <w:marRight w:val="0"/>
      <w:marTop w:val="0"/>
      <w:marBottom w:val="0"/>
      <w:divBdr>
        <w:top w:val="none" w:sz="0" w:space="0" w:color="auto"/>
        <w:left w:val="none" w:sz="0" w:space="0" w:color="auto"/>
        <w:bottom w:val="none" w:sz="0" w:space="0" w:color="auto"/>
        <w:right w:val="none" w:sz="0" w:space="0" w:color="auto"/>
      </w:divBdr>
    </w:div>
    <w:div w:id="1388338567">
      <w:bodyDiv w:val="1"/>
      <w:marLeft w:val="0"/>
      <w:marRight w:val="0"/>
      <w:marTop w:val="0"/>
      <w:marBottom w:val="0"/>
      <w:divBdr>
        <w:top w:val="none" w:sz="0" w:space="0" w:color="auto"/>
        <w:left w:val="none" w:sz="0" w:space="0" w:color="auto"/>
        <w:bottom w:val="none" w:sz="0" w:space="0" w:color="auto"/>
        <w:right w:val="none" w:sz="0" w:space="0" w:color="auto"/>
      </w:divBdr>
    </w:div>
    <w:div w:id="1418330728">
      <w:bodyDiv w:val="1"/>
      <w:marLeft w:val="0"/>
      <w:marRight w:val="0"/>
      <w:marTop w:val="0"/>
      <w:marBottom w:val="0"/>
      <w:divBdr>
        <w:top w:val="none" w:sz="0" w:space="0" w:color="auto"/>
        <w:left w:val="none" w:sz="0" w:space="0" w:color="auto"/>
        <w:bottom w:val="none" w:sz="0" w:space="0" w:color="auto"/>
        <w:right w:val="none" w:sz="0" w:space="0" w:color="auto"/>
      </w:divBdr>
    </w:div>
    <w:div w:id="1460419804">
      <w:bodyDiv w:val="1"/>
      <w:marLeft w:val="0"/>
      <w:marRight w:val="0"/>
      <w:marTop w:val="0"/>
      <w:marBottom w:val="0"/>
      <w:divBdr>
        <w:top w:val="none" w:sz="0" w:space="0" w:color="auto"/>
        <w:left w:val="none" w:sz="0" w:space="0" w:color="auto"/>
        <w:bottom w:val="none" w:sz="0" w:space="0" w:color="auto"/>
        <w:right w:val="none" w:sz="0" w:space="0" w:color="auto"/>
      </w:divBdr>
    </w:div>
    <w:div w:id="1465271138">
      <w:bodyDiv w:val="1"/>
      <w:marLeft w:val="0"/>
      <w:marRight w:val="0"/>
      <w:marTop w:val="0"/>
      <w:marBottom w:val="0"/>
      <w:divBdr>
        <w:top w:val="none" w:sz="0" w:space="0" w:color="auto"/>
        <w:left w:val="none" w:sz="0" w:space="0" w:color="auto"/>
        <w:bottom w:val="none" w:sz="0" w:space="0" w:color="auto"/>
        <w:right w:val="none" w:sz="0" w:space="0" w:color="auto"/>
      </w:divBdr>
    </w:div>
    <w:div w:id="1805855321">
      <w:bodyDiv w:val="1"/>
      <w:marLeft w:val="0"/>
      <w:marRight w:val="0"/>
      <w:marTop w:val="0"/>
      <w:marBottom w:val="0"/>
      <w:divBdr>
        <w:top w:val="none" w:sz="0" w:space="0" w:color="auto"/>
        <w:left w:val="none" w:sz="0" w:space="0" w:color="auto"/>
        <w:bottom w:val="none" w:sz="0" w:space="0" w:color="auto"/>
        <w:right w:val="none" w:sz="0" w:space="0" w:color="auto"/>
      </w:divBdr>
    </w:div>
    <w:div w:id="20647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complete-routine-immunisation-schedule" TargetMode="External"/><Relationship Id="rId18" Type="http://schemas.openxmlformats.org/officeDocument/2006/relationships/hyperlink" Target="https://cks.nice.org.uk/immunizations-childhood" TargetMode="External"/><Relationship Id="rId26" Type="http://schemas.openxmlformats.org/officeDocument/2006/relationships/hyperlink" Target="https://www.nice.org.uk/guidance/ph46" TargetMode="External"/><Relationship Id="rId39" Type="http://schemas.openxmlformats.org/officeDocument/2006/relationships/hyperlink" Target="https://www.nice.org.uk/standards-and-indicators/qofindicators/the-percentage-of-patients-with-copd-on-the-register-who-have-had-a-review-in-the-preceding-12-months-including-a-record-of-the-number-of-exacerbations-and-an-assessment-of-breathlessness-using-the-medical-research-council-dyspnoea-scale" TargetMode="External"/><Relationship Id="rId21" Type="http://schemas.openxmlformats.org/officeDocument/2006/relationships/hyperlink" Target="https://cks.nice.org.uk/immunizations-childhood" TargetMode="External"/><Relationship Id="rId34" Type="http://schemas.openxmlformats.org/officeDocument/2006/relationships/hyperlink" Target="https://www.nice.org.uk/guidance/cg138" TargetMode="External"/><Relationship Id="rId42" Type="http://schemas.openxmlformats.org/officeDocument/2006/relationships/hyperlink" Target="https://www.nice.org.uk/standards-and-indicators/qofindicators/the-percentage-of-patients-with-a-diagnosis-of-heart-failure-after-start-date-which-has-been-confirmed-by-an-echocardiogram-or-by-specialist-assessment-between-3-months-before-or-3-months-after-entering-on-to-the-register" TargetMode="External"/><Relationship Id="rId47" Type="http://schemas.openxmlformats.org/officeDocument/2006/relationships/hyperlink" Target="https://www.nice.org.uk/guidance/ng106" TargetMode="External"/><Relationship Id="rId50" Type="http://schemas.openxmlformats.org/officeDocument/2006/relationships/hyperlink" Target="https://www.sign.ac.uk/archived-guidelines.html" TargetMode="External"/><Relationship Id="rId55" Type="http://schemas.openxmlformats.org/officeDocument/2006/relationships/hyperlink" Target="https://www.nice.org.uk/guidance/cg181/chapter/1-recommenda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the-complete-routine-immunisation-schedule" TargetMode="External"/><Relationship Id="rId20" Type="http://schemas.openxmlformats.org/officeDocument/2006/relationships/hyperlink" Target="https://www.nice.org.uk/guidance/ph21" TargetMode="External"/><Relationship Id="rId29" Type="http://schemas.openxmlformats.org/officeDocument/2006/relationships/hyperlink" Target="https://www.nice.org.uk/guidance/cg189" TargetMode="External"/><Relationship Id="rId41" Type="http://schemas.openxmlformats.org/officeDocument/2006/relationships/hyperlink" Target="https://www.longtermplan.nhs.uk/" TargetMode="External"/><Relationship Id="rId54" Type="http://schemas.openxmlformats.org/officeDocument/2006/relationships/hyperlink" Target="https://www.sign.ac.uk/sign-149-risk-estimation-and-the-prevention-of-cardiovascular-disease.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ph21" TargetMode="External"/><Relationship Id="rId24" Type="http://schemas.openxmlformats.org/officeDocument/2006/relationships/hyperlink" Target="https://www.gov.uk/government/publications/the-complete-routine-immunisation-schedule" TargetMode="External"/><Relationship Id="rId32" Type="http://schemas.openxmlformats.org/officeDocument/2006/relationships/hyperlink" Target="https://www.nice.org.uk/guidance/ph53/chapter/1-Recommendations" TargetMode="External"/><Relationship Id="rId37" Type="http://schemas.openxmlformats.org/officeDocument/2006/relationships/hyperlink" Target="https://www.nice.org.uk/standards-and-indicators/qofindicators/the-percentage-of-patients-with-asthma-on-the-register-aged-19-or-under-in-whom-there-is-a-record-of-smoking-status-active-or-passive-in-the-preceding-12-months" TargetMode="External"/><Relationship Id="rId40" Type="http://schemas.openxmlformats.org/officeDocument/2006/relationships/hyperlink" Target="https://www.bmj.com/content/364/bmj.l223" TargetMode="External"/><Relationship Id="rId45" Type="http://schemas.openxmlformats.org/officeDocument/2006/relationships/hyperlink" Target="https://www.nice.org.uk/standards-and-indicators/qofindicators/the-percentage-of-patients-with-a-current-diagnosis-of-heart-failure-due-to-left-ventricular-systolic-dysfunction-who-are-currently-treated-with-an-ace-i-or-arb" TargetMode="External"/><Relationship Id="rId53" Type="http://schemas.openxmlformats.org/officeDocument/2006/relationships/hyperlink" Target="https://www.sign.ac.uk/archived-guidelines.html" TargetMode="External"/><Relationship Id="rId58" Type="http://schemas.openxmlformats.org/officeDocument/2006/relationships/hyperlink" Target="https://www.nice.org.uk/guidance/cg181/chapter/1-recommendations" TargetMode="External"/><Relationship Id="rId5" Type="http://schemas.openxmlformats.org/officeDocument/2006/relationships/webSettings" Target="webSettings.xml"/><Relationship Id="rId15" Type="http://schemas.openxmlformats.org/officeDocument/2006/relationships/hyperlink" Target="https://cks.nice.org.uk/immunizations-childhood" TargetMode="External"/><Relationship Id="rId23" Type="http://schemas.openxmlformats.org/officeDocument/2006/relationships/hyperlink" Target="https://cks.nice.org.uk/shingles" TargetMode="External"/><Relationship Id="rId28" Type="http://schemas.openxmlformats.org/officeDocument/2006/relationships/hyperlink" Target="https://www.nice.org.uk/guidance/ph46" TargetMode="External"/><Relationship Id="rId36" Type="http://schemas.openxmlformats.org/officeDocument/2006/relationships/hyperlink" Target="https://www.nice.org.uk/standards-and-indicators/qofindicators/the-percentage-of-patients-with-asthma-on-the-register-from-start-date-with-a-record-of-spirometry-and-one-other-objective-test-feno-or-reversibility-or-variability-between-3-months-before-or-3-months-after-diagnosis" TargetMode="External"/><Relationship Id="rId49" Type="http://schemas.openxmlformats.org/officeDocument/2006/relationships/hyperlink" Target="https://www.nice.org.uk/guidance/cg95" TargetMode="External"/><Relationship Id="rId57" Type="http://schemas.openxmlformats.org/officeDocument/2006/relationships/hyperlink" Target="https://www.sign.ac.uk/sign-149-risk-estimation-and-the-prevention-of-cardiovascular-disease.html"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gov.uk/government/publications/the-complete-routine-immunisation-schedule" TargetMode="External"/><Relationship Id="rId31" Type="http://schemas.openxmlformats.org/officeDocument/2006/relationships/hyperlink" Target="https://www.longtermplan.nhs.uk/wp-content/uploads/2019/08/nhs-long-term-plan-version-1.2.pdf" TargetMode="External"/><Relationship Id="rId44" Type="http://schemas.openxmlformats.org/officeDocument/2006/relationships/hyperlink" Target="https://www.nice.org.uk/guidance/ng106" TargetMode="External"/><Relationship Id="rId52" Type="http://schemas.openxmlformats.org/officeDocument/2006/relationships/hyperlink" Target="https://www.nice.org.uk/guidance/cg181/chapter/1-recommendations"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e.org.uk/guidance/ph21" TargetMode="External"/><Relationship Id="rId22" Type="http://schemas.openxmlformats.org/officeDocument/2006/relationships/hyperlink" Target="https://www.gov.uk/government/publications/the-complete-routine-immunisation-schedule" TargetMode="External"/><Relationship Id="rId27" Type="http://schemas.openxmlformats.org/officeDocument/2006/relationships/hyperlink" Target="https://www.nice.org.uk/guidance/cg189" TargetMode="External"/><Relationship Id="rId30" Type="http://schemas.openxmlformats.org/officeDocument/2006/relationships/hyperlink" Target="https://www.nice.org.uk/guidance/qs111" TargetMode="External"/><Relationship Id="rId35" Type="http://schemas.openxmlformats.org/officeDocument/2006/relationships/hyperlink" Target="https://www.nice.org.uk/standards-and-indicators/qofindicators/the-percentage-of-patients-with-asthma-on-the-register-who-have-had-an-asthma-review-in-the-preceding-12-months-that-includes-an-assessment-of-asthma-control-using-a-validated-asthma-control-questionnaire-including-assessment-of-short-acting-beta-agonist-" TargetMode="External"/><Relationship Id="rId43" Type="http://schemas.openxmlformats.org/officeDocument/2006/relationships/hyperlink" Target="https://www.nice.org.uk/guidance/ng106" TargetMode="External"/><Relationship Id="rId48" Type="http://schemas.openxmlformats.org/officeDocument/2006/relationships/hyperlink" Target="https://www.nice.org.uk/standards-and-indicators/qofindicators/the-percentage-of-patients-with-a-current-diagnosis-of-heart-failure-due-to-left-ventricular-systolic-dysfunction-who-are-currently-treated-with-a-beta-blocker-licensed-for-heart-failure" TargetMode="External"/><Relationship Id="rId56" Type="http://schemas.openxmlformats.org/officeDocument/2006/relationships/hyperlink" Target="https://www.sign.ac.uk/archived-guidelines.html" TargetMode="External"/><Relationship Id="rId8" Type="http://schemas.openxmlformats.org/officeDocument/2006/relationships/hyperlink" Target="https://www.nice.org.uk/Standards-and-Indicators/index" TargetMode="External"/><Relationship Id="rId51" Type="http://schemas.openxmlformats.org/officeDocument/2006/relationships/hyperlink" Target="https://www.sign.ac.uk/sign-149-risk-estimation-and-the-prevention-of-cardiovascular-disease.html" TargetMode="External"/><Relationship Id="rId3" Type="http://schemas.openxmlformats.org/officeDocument/2006/relationships/styles" Target="styles.xml"/><Relationship Id="rId12" Type="http://schemas.openxmlformats.org/officeDocument/2006/relationships/hyperlink" Target="https://cks.nice.org.uk/immunizations-childhood" TargetMode="External"/><Relationship Id="rId17" Type="http://schemas.openxmlformats.org/officeDocument/2006/relationships/hyperlink" Target="https://www.nice.org.uk/guidance/ph21" TargetMode="External"/><Relationship Id="rId25" Type="http://schemas.openxmlformats.org/officeDocument/2006/relationships/hyperlink" Target="https://www.nice.org.uk/guidance/ph46" TargetMode="External"/><Relationship Id="rId33" Type="http://schemas.openxmlformats.org/officeDocument/2006/relationships/hyperlink" Target="https://www.nice.org.uk/guidance/cg138" TargetMode="External"/><Relationship Id="rId38" Type="http://schemas.openxmlformats.org/officeDocument/2006/relationships/hyperlink" Target="https://www.nice.org.uk/standards-and-indicators/qofindicators/the-contractor-establishes-and-maintains-a-register-of-1-patients-with-a-clinical-diagnosis-of-copd-before-start-date-and-2-patients-with-a-clinical-diagnosis-of-copd-on-or-after-start-date-whose-diagnosis-has-been-confirmed-by-a-quality-assured-post-bron" TargetMode="External"/><Relationship Id="rId46" Type="http://schemas.openxmlformats.org/officeDocument/2006/relationships/hyperlink" Target="https://www.nice.org.uk/guidance/ng106" TargetMode="External"/><Relationship Id="rId59" Type="http://schemas.openxmlformats.org/officeDocument/2006/relationships/hyperlink" Target="https://www.nice.org.uk/Standards-and-Indicators/CCGOISIndicators/proportion-of-pregnant-women-accessing-antenatal-care-who-are-seen-for-booking-by-10-weeks-and-0-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98E70-E30F-4B1D-948C-894D385E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24052</Characters>
  <Application>Microsoft Office Word</Application>
  <DocSecurity>4</DocSecurity>
  <Lines>200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Links>
    <vt:vector size="30" baseType="variant">
      <vt:variant>
        <vt:i4>4390982</vt:i4>
      </vt:variant>
      <vt:variant>
        <vt:i4>12</vt:i4>
      </vt:variant>
      <vt:variant>
        <vt:i4>0</vt:i4>
      </vt:variant>
      <vt:variant>
        <vt:i4>5</vt:i4>
      </vt:variant>
      <vt:variant>
        <vt:lpwstr>http://www.nice.org.uk/guidance/cg185</vt:lpwstr>
      </vt:variant>
      <vt:variant>
        <vt:lpwstr/>
      </vt:variant>
      <vt:variant>
        <vt:i4>4980806</vt:i4>
      </vt:variant>
      <vt:variant>
        <vt:i4>9</vt:i4>
      </vt:variant>
      <vt:variant>
        <vt:i4>0</vt:i4>
      </vt:variant>
      <vt:variant>
        <vt:i4>5</vt:i4>
      </vt:variant>
      <vt:variant>
        <vt:lpwstr>http://www.nice.org.uk/guidance/cg178</vt:lpwstr>
      </vt:variant>
      <vt:variant>
        <vt:lpwstr/>
      </vt:variant>
      <vt:variant>
        <vt:i4>5111878</vt:i4>
      </vt:variant>
      <vt:variant>
        <vt:i4>6</vt:i4>
      </vt:variant>
      <vt:variant>
        <vt:i4>0</vt:i4>
      </vt:variant>
      <vt:variant>
        <vt:i4>5</vt:i4>
      </vt:variant>
      <vt:variant>
        <vt:lpwstr>http://www.nice.org.uk/guidance/cg155</vt:lpwstr>
      </vt:variant>
      <vt:variant>
        <vt:lpwstr/>
      </vt:variant>
      <vt:variant>
        <vt:i4>4390982</vt:i4>
      </vt:variant>
      <vt:variant>
        <vt:i4>3</vt:i4>
      </vt:variant>
      <vt:variant>
        <vt:i4>0</vt:i4>
      </vt:variant>
      <vt:variant>
        <vt:i4>5</vt:i4>
      </vt:variant>
      <vt:variant>
        <vt:lpwstr>http://www.nice.org.uk/guidance/cg181</vt:lpwstr>
      </vt:variant>
      <vt:variant>
        <vt:lpwstr/>
      </vt:variant>
      <vt:variant>
        <vt:i4>4390982</vt:i4>
      </vt:variant>
      <vt:variant>
        <vt:i4>0</vt:i4>
      </vt:variant>
      <vt:variant>
        <vt:i4>0</vt:i4>
      </vt:variant>
      <vt:variant>
        <vt:i4>5</vt:i4>
      </vt:variant>
      <vt:variant>
        <vt:lpwstr>http://www.nice.org.uk/guidance/cg189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2020-09-15T12:39:00Z</dcterms:created>
  <dcterms:modified xsi:type="dcterms:W3CDTF">2020-09-15T12:39:00Z</dcterms:modified>
</cp:coreProperties>
</file>