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86D12" w14:textId="77777777" w:rsidR="00A476A1" w:rsidRDefault="00A476A1">
      <w:pPr>
        <w:pStyle w:val="BodyA"/>
        <w:suppressAutoHyphens/>
        <w:rPr>
          <w:rFonts w:ascii="Arial" w:eastAsia="Arial" w:hAnsi="Arial" w:cs="Arial"/>
          <w:b/>
          <w:bCs/>
          <w:sz w:val="24"/>
          <w:szCs w:val="24"/>
        </w:rPr>
      </w:pPr>
    </w:p>
    <w:p w14:paraId="07AD350B" w14:textId="77777777" w:rsidR="00A476A1" w:rsidRDefault="00265C5C">
      <w:pPr>
        <w:pStyle w:val="BodyA"/>
        <w:suppressAutoHyphens/>
        <w:rPr>
          <w:rFonts w:ascii="Arial" w:eastAsia="Arial" w:hAnsi="Arial" w:cs="Arial"/>
          <w:b/>
          <w:bCs/>
          <w:sz w:val="24"/>
          <w:szCs w:val="24"/>
        </w:rPr>
      </w:pPr>
      <w:r>
        <w:rPr>
          <w:rFonts w:ascii="Arial" w:hAnsi="Arial"/>
          <w:b/>
          <w:bCs/>
          <w:sz w:val="24"/>
          <w:szCs w:val="24"/>
        </w:rPr>
        <w:t>NHS Confederation member case study</w:t>
      </w:r>
    </w:p>
    <w:p w14:paraId="1AD890E2" w14:textId="77777777" w:rsidR="00A476A1" w:rsidRDefault="00265C5C">
      <w:pPr>
        <w:pStyle w:val="BodyA"/>
        <w:suppressAutoHyphens/>
        <w:rPr>
          <w:rFonts w:ascii="Arial" w:eastAsia="Arial" w:hAnsi="Arial" w:cs="Arial"/>
          <w:b/>
          <w:bCs/>
          <w:sz w:val="24"/>
          <w:szCs w:val="24"/>
        </w:rPr>
      </w:pPr>
      <w:r>
        <w:rPr>
          <w:rFonts w:ascii="Arial" w:hAnsi="Arial"/>
          <w:b/>
          <w:bCs/>
          <w:sz w:val="24"/>
          <w:szCs w:val="24"/>
        </w:rPr>
        <w:t>5 May 2016</w:t>
      </w:r>
    </w:p>
    <w:p w14:paraId="013AF630" w14:textId="77777777" w:rsidR="00A476A1" w:rsidRDefault="00265C5C">
      <w:pPr>
        <w:pStyle w:val="BodyA"/>
        <w:suppressAutoHyphens/>
        <w:rPr>
          <w:rFonts w:ascii="Arial" w:eastAsia="Arial" w:hAnsi="Arial" w:cs="Arial"/>
          <w:b/>
          <w:bCs/>
          <w:sz w:val="24"/>
          <w:szCs w:val="24"/>
        </w:rPr>
      </w:pPr>
      <w:r>
        <w:rPr>
          <w:rFonts w:ascii="Arial" w:hAnsi="Arial"/>
          <w:b/>
          <w:bCs/>
          <w:sz w:val="24"/>
          <w:szCs w:val="24"/>
        </w:rPr>
        <w:t>Draft 1</w:t>
      </w:r>
    </w:p>
    <w:p w14:paraId="4E0338DF" w14:textId="77777777" w:rsidR="00A476A1" w:rsidRDefault="00265C5C">
      <w:pPr>
        <w:pStyle w:val="BodyA"/>
        <w:suppressAutoHyphens/>
        <w:rPr>
          <w:rFonts w:ascii="Arial" w:eastAsia="Arial" w:hAnsi="Arial" w:cs="Arial"/>
          <w:b/>
          <w:bCs/>
          <w:sz w:val="24"/>
          <w:szCs w:val="24"/>
        </w:rPr>
      </w:pPr>
      <w:r>
        <w:rPr>
          <w:rFonts w:ascii="Arial" w:hAnsi="Arial"/>
          <w:b/>
          <w:bCs/>
          <w:sz w:val="24"/>
          <w:szCs w:val="24"/>
        </w:rPr>
        <w:t>________________________________________________________________________</w:t>
      </w:r>
    </w:p>
    <w:p w14:paraId="6CA9AE02" w14:textId="77777777" w:rsidR="00A476A1" w:rsidRDefault="00A476A1">
      <w:pPr>
        <w:pStyle w:val="BodyA"/>
        <w:suppressAutoHyphens/>
        <w:rPr>
          <w:rFonts w:ascii="Arial" w:eastAsia="Arial" w:hAnsi="Arial" w:cs="Arial"/>
          <w:b/>
          <w:bCs/>
          <w:sz w:val="24"/>
          <w:szCs w:val="24"/>
        </w:rPr>
      </w:pPr>
    </w:p>
    <w:p w14:paraId="448576B7" w14:textId="2FC597D6" w:rsidR="00A476A1" w:rsidRDefault="00265C5C">
      <w:pPr>
        <w:pStyle w:val="BodyA"/>
        <w:suppressAutoHyphens/>
        <w:rPr>
          <w:rFonts w:ascii="Arial" w:eastAsia="Arial" w:hAnsi="Arial" w:cs="Arial"/>
          <w:b/>
          <w:bCs/>
          <w:sz w:val="24"/>
          <w:szCs w:val="24"/>
        </w:rPr>
      </w:pPr>
      <w:r>
        <w:rPr>
          <w:rFonts w:ascii="Arial" w:hAnsi="Arial"/>
          <w:b/>
          <w:bCs/>
          <w:sz w:val="24"/>
          <w:szCs w:val="24"/>
        </w:rPr>
        <w:t>Refer</w:t>
      </w:r>
      <w:r w:rsidR="001F3938">
        <w:rPr>
          <w:rFonts w:ascii="Arial" w:hAnsi="Arial"/>
          <w:b/>
          <w:bCs/>
          <w:sz w:val="24"/>
          <w:szCs w:val="24"/>
        </w:rPr>
        <w:t>-</w:t>
      </w:r>
      <w:r>
        <w:rPr>
          <w:rFonts w:ascii="Arial" w:hAnsi="Arial"/>
          <w:b/>
          <w:bCs/>
          <w:sz w:val="24"/>
          <w:szCs w:val="24"/>
        </w:rPr>
        <w:t>to</w:t>
      </w:r>
      <w:r w:rsidR="001F3938">
        <w:rPr>
          <w:rFonts w:ascii="Arial" w:hAnsi="Arial"/>
          <w:b/>
          <w:bCs/>
          <w:sz w:val="24"/>
          <w:szCs w:val="24"/>
        </w:rPr>
        <w:t>-</w:t>
      </w:r>
      <w:r>
        <w:rPr>
          <w:rFonts w:ascii="Arial" w:hAnsi="Arial"/>
          <w:b/>
          <w:bCs/>
          <w:sz w:val="24"/>
          <w:szCs w:val="24"/>
        </w:rPr>
        <w:t>Pharmacy:</w:t>
      </w:r>
    </w:p>
    <w:p w14:paraId="4F282B36" w14:textId="77777777" w:rsidR="00A476A1" w:rsidRDefault="00265C5C">
      <w:pPr>
        <w:pStyle w:val="BodyA"/>
        <w:suppressAutoHyphens/>
        <w:rPr>
          <w:rFonts w:ascii="Arial" w:eastAsia="Arial" w:hAnsi="Arial" w:cs="Arial"/>
          <w:b/>
          <w:bCs/>
          <w:sz w:val="24"/>
          <w:szCs w:val="24"/>
        </w:rPr>
      </w:pPr>
      <w:r>
        <w:rPr>
          <w:rFonts w:ascii="Arial" w:hAnsi="Arial"/>
          <w:b/>
          <w:bCs/>
          <w:sz w:val="24"/>
          <w:szCs w:val="24"/>
        </w:rPr>
        <w:t>East Lancashire Hospitals NHS Trust</w:t>
      </w:r>
    </w:p>
    <w:p w14:paraId="530EA390" w14:textId="77777777" w:rsidR="00A476A1" w:rsidRDefault="00A476A1">
      <w:pPr>
        <w:pStyle w:val="BodyA"/>
        <w:suppressAutoHyphens/>
        <w:rPr>
          <w:rFonts w:ascii="Arial" w:eastAsia="Arial" w:hAnsi="Arial" w:cs="Arial"/>
          <w:b/>
          <w:bCs/>
          <w:sz w:val="24"/>
          <w:szCs w:val="24"/>
        </w:rPr>
      </w:pPr>
    </w:p>
    <w:p w14:paraId="73A5A932" w14:textId="77777777" w:rsidR="00A476A1" w:rsidRDefault="00265C5C">
      <w:pPr>
        <w:pStyle w:val="BodyA"/>
        <w:suppressAutoHyphens/>
        <w:rPr>
          <w:rFonts w:ascii="Arial" w:eastAsia="Arial" w:hAnsi="Arial" w:cs="Arial"/>
          <w:b/>
          <w:bCs/>
          <w:sz w:val="24"/>
          <w:szCs w:val="24"/>
        </w:rPr>
      </w:pPr>
      <w:r>
        <w:rPr>
          <w:rFonts w:ascii="Arial" w:hAnsi="Arial"/>
          <w:b/>
          <w:bCs/>
          <w:sz w:val="24"/>
          <w:szCs w:val="24"/>
        </w:rPr>
        <w:t>The challenge</w:t>
      </w:r>
    </w:p>
    <w:p w14:paraId="3558D3DB" w14:textId="77777777" w:rsidR="00A476A1" w:rsidRDefault="00265C5C">
      <w:pPr>
        <w:pStyle w:val="BodyA"/>
        <w:suppressAutoHyphens/>
        <w:rPr>
          <w:rFonts w:ascii="Arial" w:eastAsia="Arial" w:hAnsi="Arial" w:cs="Arial"/>
          <w:sz w:val="24"/>
          <w:szCs w:val="24"/>
        </w:rPr>
      </w:pPr>
      <w:r>
        <w:rPr>
          <w:rFonts w:ascii="Arial" w:hAnsi="Arial"/>
          <w:sz w:val="24"/>
          <w:szCs w:val="24"/>
        </w:rPr>
        <w:t>Community pharmacists are a valuable source of advice, not least for patients who have recently left hospital. In late 2011, two new national services were launched to help increase the support pharmacists can offer following a hospital stay – the New Medicines Service (NMS) for people with certain long term conditions and the Medicines Use Review (MUR), for advice and guidance on an individual’s medication.</w:t>
      </w:r>
    </w:p>
    <w:p w14:paraId="2BC45998" w14:textId="77777777" w:rsidR="00A476A1" w:rsidRDefault="00A476A1">
      <w:pPr>
        <w:pStyle w:val="BodyA"/>
        <w:suppressAutoHyphens/>
        <w:rPr>
          <w:rFonts w:ascii="Arial" w:eastAsia="Arial" w:hAnsi="Arial" w:cs="Arial"/>
          <w:sz w:val="24"/>
          <w:szCs w:val="24"/>
        </w:rPr>
      </w:pPr>
    </w:p>
    <w:p w14:paraId="26ADD850" w14:textId="77777777" w:rsidR="00A476A1" w:rsidRDefault="00265C5C">
      <w:pPr>
        <w:pStyle w:val="BodyA"/>
        <w:suppressAutoHyphens/>
        <w:rPr>
          <w:rFonts w:ascii="Arial" w:eastAsia="Arial" w:hAnsi="Arial" w:cs="Arial"/>
          <w:sz w:val="24"/>
          <w:szCs w:val="24"/>
        </w:rPr>
      </w:pPr>
      <w:r>
        <w:rPr>
          <w:rFonts w:ascii="Arial" w:hAnsi="Arial"/>
          <w:sz w:val="24"/>
          <w:szCs w:val="24"/>
        </w:rPr>
        <w:t>However, there was often no easy and reliable way to inform community pharmacists when patients were leaving hospital. Community pharmacists also sometimes lacked all the information they needed to carry out an effective review.</w:t>
      </w:r>
    </w:p>
    <w:p w14:paraId="76504276" w14:textId="77777777" w:rsidR="00A476A1" w:rsidRDefault="00A476A1">
      <w:pPr>
        <w:pStyle w:val="BodyA"/>
        <w:suppressAutoHyphens/>
        <w:rPr>
          <w:rFonts w:ascii="Arial" w:eastAsia="Arial" w:hAnsi="Arial" w:cs="Arial"/>
          <w:sz w:val="24"/>
          <w:szCs w:val="24"/>
        </w:rPr>
      </w:pPr>
    </w:p>
    <w:p w14:paraId="00129B10" w14:textId="77777777" w:rsidR="00A476A1" w:rsidRDefault="00265C5C">
      <w:pPr>
        <w:pStyle w:val="BodyA"/>
        <w:suppressAutoHyphens/>
        <w:rPr>
          <w:rFonts w:ascii="Arial" w:eastAsia="Arial" w:hAnsi="Arial" w:cs="Arial"/>
          <w:sz w:val="24"/>
          <w:szCs w:val="24"/>
        </w:rPr>
      </w:pPr>
      <w:r>
        <w:rPr>
          <w:rFonts w:ascii="Arial" w:hAnsi="Arial"/>
          <w:sz w:val="24"/>
          <w:szCs w:val="24"/>
        </w:rPr>
        <w:t>This increased the risk of patients not using medicines, or not using them correctly which in turn made hospital readmissions or A&amp;E visits more likely.</w:t>
      </w:r>
    </w:p>
    <w:p w14:paraId="64D36165" w14:textId="77777777" w:rsidR="00A476A1" w:rsidRDefault="00A476A1">
      <w:pPr>
        <w:pStyle w:val="BodyA"/>
        <w:suppressAutoHyphens/>
        <w:rPr>
          <w:rFonts w:ascii="Arial" w:eastAsia="Arial" w:hAnsi="Arial" w:cs="Arial"/>
          <w:sz w:val="24"/>
          <w:szCs w:val="24"/>
        </w:rPr>
      </w:pPr>
    </w:p>
    <w:p w14:paraId="1C4C3C75" w14:textId="77777777" w:rsidR="00A476A1" w:rsidRDefault="00265C5C">
      <w:pPr>
        <w:pStyle w:val="BodyA"/>
        <w:suppressAutoHyphens/>
        <w:rPr>
          <w:rFonts w:ascii="Arial" w:eastAsia="Arial" w:hAnsi="Arial" w:cs="Arial"/>
          <w:b/>
          <w:bCs/>
          <w:sz w:val="24"/>
          <w:szCs w:val="24"/>
        </w:rPr>
      </w:pPr>
      <w:r>
        <w:rPr>
          <w:rFonts w:ascii="Arial" w:hAnsi="Arial"/>
          <w:b/>
          <w:bCs/>
          <w:sz w:val="24"/>
          <w:szCs w:val="24"/>
        </w:rPr>
        <w:t xml:space="preserve">What was </w:t>
      </w:r>
      <w:proofErr w:type="gramStart"/>
      <w:r>
        <w:rPr>
          <w:rFonts w:ascii="Arial" w:hAnsi="Arial"/>
          <w:b/>
          <w:bCs/>
          <w:sz w:val="24"/>
          <w:szCs w:val="24"/>
        </w:rPr>
        <w:t>done</w:t>
      </w:r>
      <w:proofErr w:type="gramEnd"/>
    </w:p>
    <w:p w14:paraId="33B810AC" w14:textId="46CF40BC" w:rsidR="00A476A1" w:rsidRDefault="00265C5C">
      <w:pPr>
        <w:pStyle w:val="BodyA"/>
        <w:suppressAutoHyphens/>
        <w:rPr>
          <w:rFonts w:ascii="Arial" w:eastAsia="Arial" w:hAnsi="Arial" w:cs="Arial"/>
          <w:sz w:val="24"/>
          <w:szCs w:val="24"/>
        </w:rPr>
      </w:pPr>
      <w:r>
        <w:rPr>
          <w:rFonts w:ascii="Arial" w:hAnsi="Arial"/>
          <w:sz w:val="24"/>
          <w:szCs w:val="24"/>
        </w:rPr>
        <w:t xml:space="preserve">In East Lancashire, a new IT system </w:t>
      </w:r>
      <w:r w:rsidR="001F3938">
        <w:rPr>
          <w:rFonts w:ascii="Arial" w:hAnsi="Arial"/>
          <w:sz w:val="24"/>
          <w:szCs w:val="24"/>
        </w:rPr>
        <w:t xml:space="preserve">called Refer-to-Pharmacy </w:t>
      </w:r>
      <w:r>
        <w:rPr>
          <w:rFonts w:ascii="Arial" w:hAnsi="Arial"/>
          <w:sz w:val="24"/>
          <w:szCs w:val="24"/>
        </w:rPr>
        <w:t>has been introduced which allows hospitals to electronically refer patients to a community pharmacy for the NMS or a MUR. The community pharmacist is able to see an electronic copy of the patient’s hospital discharge letter, which contains full details of their stay and of any medication changes.</w:t>
      </w:r>
    </w:p>
    <w:p w14:paraId="37646ADB" w14:textId="77777777" w:rsidR="00A476A1" w:rsidRDefault="00A476A1">
      <w:pPr>
        <w:pStyle w:val="BodyA"/>
        <w:suppressAutoHyphens/>
        <w:rPr>
          <w:rFonts w:ascii="Arial" w:eastAsia="Arial" w:hAnsi="Arial" w:cs="Arial"/>
          <w:sz w:val="24"/>
          <w:szCs w:val="24"/>
        </w:rPr>
      </w:pPr>
    </w:p>
    <w:p w14:paraId="22641B44" w14:textId="77777777" w:rsidR="00A476A1" w:rsidRDefault="00265C5C">
      <w:pPr>
        <w:pStyle w:val="BodyA"/>
        <w:suppressAutoHyphens/>
        <w:rPr>
          <w:rFonts w:ascii="Arial" w:eastAsia="Arial" w:hAnsi="Arial" w:cs="Arial"/>
          <w:sz w:val="24"/>
          <w:szCs w:val="24"/>
        </w:rPr>
      </w:pPr>
      <w:r>
        <w:rPr>
          <w:rFonts w:ascii="Arial" w:hAnsi="Arial"/>
          <w:sz w:val="24"/>
          <w:szCs w:val="24"/>
        </w:rPr>
        <w:t>East Lancashire Hospitals NHS Trust worked with an IT provider to develop the referral software, and ensure it worked well with existing systems. Ward-based pharmacists and community pharmacists were then trained in how to use the system.</w:t>
      </w:r>
    </w:p>
    <w:p w14:paraId="7576D305" w14:textId="77777777" w:rsidR="00A476A1" w:rsidRDefault="00A476A1">
      <w:pPr>
        <w:pStyle w:val="BodyA"/>
        <w:suppressAutoHyphens/>
        <w:rPr>
          <w:rFonts w:ascii="Arial" w:eastAsia="Arial" w:hAnsi="Arial" w:cs="Arial"/>
          <w:sz w:val="24"/>
          <w:szCs w:val="24"/>
        </w:rPr>
      </w:pPr>
    </w:p>
    <w:p w14:paraId="6A8A666B" w14:textId="6D68C0C5" w:rsidR="00A476A1" w:rsidRDefault="00265C5C">
      <w:pPr>
        <w:pStyle w:val="BodyA"/>
        <w:suppressAutoHyphens/>
        <w:rPr>
          <w:rFonts w:ascii="Arial" w:eastAsia="Arial" w:hAnsi="Arial" w:cs="Arial"/>
          <w:sz w:val="24"/>
          <w:szCs w:val="24"/>
        </w:rPr>
      </w:pPr>
      <w:r>
        <w:rPr>
          <w:rFonts w:ascii="Arial" w:hAnsi="Arial"/>
          <w:sz w:val="24"/>
          <w:szCs w:val="24"/>
        </w:rPr>
        <w:t>An awareness campaign for patients and professionals supported the introduction of the new scheme. It included engagement on social media, the creation of a short film aimed at patients</w:t>
      </w:r>
      <w:r w:rsidR="001F3938">
        <w:rPr>
          <w:rFonts w:ascii="Arial" w:hAnsi="Arial"/>
          <w:sz w:val="24"/>
          <w:szCs w:val="24"/>
        </w:rPr>
        <w:t xml:space="preserve"> (viewable at: www.elht.nhs.uk/refer)</w:t>
      </w:r>
      <w:r>
        <w:rPr>
          <w:rFonts w:ascii="Arial" w:hAnsi="Arial"/>
          <w:sz w:val="24"/>
          <w:szCs w:val="24"/>
        </w:rPr>
        <w:t>, and a launch event to which members of the local media were invited.</w:t>
      </w:r>
    </w:p>
    <w:p w14:paraId="5A87FD99" w14:textId="77777777" w:rsidR="00A476A1" w:rsidRDefault="00A476A1">
      <w:pPr>
        <w:pStyle w:val="BodyA"/>
        <w:suppressAutoHyphens/>
        <w:rPr>
          <w:rFonts w:ascii="Arial" w:eastAsia="Arial" w:hAnsi="Arial" w:cs="Arial"/>
          <w:sz w:val="24"/>
          <w:szCs w:val="24"/>
        </w:rPr>
      </w:pPr>
    </w:p>
    <w:p w14:paraId="2E18B18C" w14:textId="77777777" w:rsidR="00A476A1" w:rsidRDefault="00265C5C">
      <w:pPr>
        <w:pStyle w:val="BodyA"/>
        <w:suppressAutoHyphens/>
        <w:rPr>
          <w:rFonts w:ascii="Arial" w:eastAsia="Arial" w:hAnsi="Arial" w:cs="Arial"/>
          <w:sz w:val="24"/>
          <w:szCs w:val="24"/>
        </w:rPr>
      </w:pPr>
      <w:r>
        <w:rPr>
          <w:rFonts w:ascii="Arial" w:hAnsi="Arial"/>
          <w:sz w:val="24"/>
          <w:szCs w:val="24"/>
        </w:rPr>
        <w:t>The trust worked with a number of partners to develop and implement the Referral-to-Pharmacy scheme:</w:t>
      </w:r>
    </w:p>
    <w:p w14:paraId="04600EF8" w14:textId="77777777" w:rsidR="00A476A1" w:rsidRDefault="00A476A1">
      <w:pPr>
        <w:pStyle w:val="BodyA"/>
        <w:suppressAutoHyphens/>
        <w:rPr>
          <w:rFonts w:ascii="Arial" w:eastAsia="Arial" w:hAnsi="Arial" w:cs="Arial"/>
          <w:sz w:val="24"/>
          <w:szCs w:val="24"/>
        </w:rPr>
      </w:pPr>
    </w:p>
    <w:p w14:paraId="742B0207" w14:textId="77777777" w:rsidR="00A476A1" w:rsidRDefault="00265C5C">
      <w:pPr>
        <w:pStyle w:val="ListParagraph"/>
        <w:numPr>
          <w:ilvl w:val="0"/>
          <w:numId w:val="2"/>
        </w:numPr>
        <w:suppressAutoHyphens/>
        <w:spacing w:line="240" w:lineRule="auto"/>
        <w:jc w:val="left"/>
        <w:rPr>
          <w:rFonts w:ascii="Arial" w:eastAsia="Arial" w:hAnsi="Arial" w:cs="Arial"/>
          <w:sz w:val="24"/>
          <w:szCs w:val="24"/>
        </w:rPr>
      </w:pPr>
      <w:r>
        <w:rPr>
          <w:rFonts w:ascii="Arial" w:hAnsi="Arial"/>
          <w:sz w:val="24"/>
          <w:szCs w:val="24"/>
        </w:rPr>
        <w:t>Lancashire Local Pharmaceutical Committee (LPC) supported community pharmacists in using the system.</w:t>
      </w:r>
    </w:p>
    <w:p w14:paraId="30F9C0C1" w14:textId="77777777" w:rsidR="00A476A1" w:rsidRDefault="00265C5C">
      <w:pPr>
        <w:pStyle w:val="ListParagraph"/>
        <w:numPr>
          <w:ilvl w:val="0"/>
          <w:numId w:val="2"/>
        </w:numPr>
        <w:suppressAutoHyphens/>
        <w:spacing w:line="240" w:lineRule="auto"/>
        <w:jc w:val="left"/>
        <w:rPr>
          <w:rFonts w:ascii="Arial" w:eastAsia="Arial" w:hAnsi="Arial" w:cs="Arial"/>
          <w:sz w:val="24"/>
          <w:szCs w:val="24"/>
        </w:rPr>
      </w:pPr>
      <w:r>
        <w:rPr>
          <w:rFonts w:ascii="Arial" w:hAnsi="Arial"/>
          <w:sz w:val="24"/>
          <w:szCs w:val="24"/>
        </w:rPr>
        <w:t>North West Coast Academic Health Science Network (AHSN) helped raise awareness of the scheme locally and nationally, and produced an evaluation of the scheme.</w:t>
      </w:r>
    </w:p>
    <w:p w14:paraId="7864697A" w14:textId="77777777" w:rsidR="00A476A1" w:rsidRDefault="00265C5C">
      <w:pPr>
        <w:pStyle w:val="ListParagraph"/>
        <w:numPr>
          <w:ilvl w:val="0"/>
          <w:numId w:val="2"/>
        </w:numPr>
        <w:suppressAutoHyphens/>
        <w:spacing w:line="240" w:lineRule="auto"/>
        <w:jc w:val="left"/>
        <w:rPr>
          <w:rFonts w:ascii="Arial" w:eastAsia="Arial" w:hAnsi="Arial" w:cs="Arial"/>
          <w:sz w:val="24"/>
          <w:szCs w:val="24"/>
        </w:rPr>
      </w:pPr>
      <w:r>
        <w:rPr>
          <w:rFonts w:ascii="Arial" w:hAnsi="Arial"/>
          <w:sz w:val="24"/>
          <w:szCs w:val="24"/>
        </w:rPr>
        <w:t>The Centre for Pharmacy Postgraduate Education produced an online training package to help pharmacists and technicians use the new system.</w:t>
      </w:r>
    </w:p>
    <w:p w14:paraId="3F2F6475" w14:textId="2E7410A4" w:rsidR="00A476A1" w:rsidRPr="00265C5C" w:rsidRDefault="00265C5C">
      <w:pPr>
        <w:pStyle w:val="ListParagraph"/>
        <w:numPr>
          <w:ilvl w:val="0"/>
          <w:numId w:val="2"/>
        </w:numPr>
        <w:suppressAutoHyphens/>
        <w:spacing w:line="240" w:lineRule="auto"/>
        <w:jc w:val="left"/>
        <w:rPr>
          <w:rFonts w:ascii="Arial" w:eastAsia="Arial" w:hAnsi="Arial" w:cs="Arial"/>
          <w:sz w:val="24"/>
          <w:szCs w:val="24"/>
        </w:rPr>
      </w:pPr>
      <w:r>
        <w:rPr>
          <w:rFonts w:ascii="Arial" w:hAnsi="Arial"/>
          <w:sz w:val="24"/>
          <w:szCs w:val="24"/>
        </w:rPr>
        <w:t xml:space="preserve">Manchester University School of Pharmacy </w:t>
      </w:r>
      <w:r w:rsidR="001F3938">
        <w:rPr>
          <w:rFonts w:ascii="Arial" w:hAnsi="Arial"/>
          <w:sz w:val="24"/>
          <w:szCs w:val="24"/>
        </w:rPr>
        <w:t xml:space="preserve">is currently carrying </w:t>
      </w:r>
      <w:r>
        <w:rPr>
          <w:rFonts w:ascii="Arial" w:hAnsi="Arial"/>
          <w:sz w:val="24"/>
          <w:szCs w:val="24"/>
        </w:rPr>
        <w:t>out a service evaluation of the scheme.</w:t>
      </w:r>
    </w:p>
    <w:p w14:paraId="182DAF27" w14:textId="77777777" w:rsidR="00265C5C" w:rsidRDefault="00265C5C" w:rsidP="00265C5C">
      <w:pPr>
        <w:pStyle w:val="ListParagraph"/>
        <w:numPr>
          <w:ilvl w:val="0"/>
          <w:numId w:val="2"/>
        </w:numPr>
        <w:suppressAutoHyphens/>
        <w:spacing w:line="240" w:lineRule="auto"/>
        <w:jc w:val="left"/>
        <w:rPr>
          <w:rFonts w:ascii="Arial" w:eastAsia="Arial" w:hAnsi="Arial" w:cs="Arial"/>
          <w:sz w:val="24"/>
          <w:szCs w:val="24"/>
        </w:rPr>
      </w:pPr>
      <w:r>
        <w:rPr>
          <w:rFonts w:ascii="Arial" w:hAnsi="Arial"/>
          <w:sz w:val="24"/>
          <w:szCs w:val="24"/>
        </w:rPr>
        <w:lastRenderedPageBreak/>
        <w:t>The Royal Pharmaceutical Society produced a referrals toolkit to help other health economies successfully introduce a referrals system (</w:t>
      </w:r>
      <w:hyperlink r:id="rId8" w:history="1">
        <w:r>
          <w:rPr>
            <w:rStyle w:val="Hyperlink0"/>
            <w:rFonts w:ascii="Arial" w:hAnsi="Arial"/>
            <w:sz w:val="24"/>
            <w:szCs w:val="24"/>
          </w:rPr>
          <w:t>www.rpharms.com/referraltoolkit</w:t>
        </w:r>
      </w:hyperlink>
      <w:r>
        <w:rPr>
          <w:rFonts w:ascii="Arial" w:hAnsi="Arial"/>
          <w:sz w:val="24"/>
          <w:szCs w:val="24"/>
        </w:rPr>
        <w:t>).</w:t>
      </w:r>
    </w:p>
    <w:p w14:paraId="7A97FA76" w14:textId="77777777" w:rsidR="00A476A1" w:rsidRDefault="00A476A1">
      <w:pPr>
        <w:pStyle w:val="ListParagraph"/>
        <w:suppressAutoHyphens/>
        <w:spacing w:line="240" w:lineRule="auto"/>
        <w:ind w:left="0" w:firstLine="0"/>
        <w:jc w:val="left"/>
        <w:rPr>
          <w:rFonts w:ascii="Arial" w:eastAsia="Arial" w:hAnsi="Arial" w:cs="Arial"/>
          <w:sz w:val="24"/>
          <w:szCs w:val="24"/>
        </w:rPr>
      </w:pPr>
    </w:p>
    <w:p w14:paraId="337077DB" w14:textId="77777777" w:rsidR="00A476A1" w:rsidRDefault="00265C5C">
      <w:pPr>
        <w:pStyle w:val="BodyA"/>
        <w:suppressAutoHyphens/>
        <w:rPr>
          <w:rFonts w:ascii="Arial" w:eastAsia="Arial" w:hAnsi="Arial" w:cs="Arial"/>
          <w:sz w:val="24"/>
          <w:szCs w:val="24"/>
        </w:rPr>
      </w:pPr>
      <w:r>
        <w:rPr>
          <w:rFonts w:ascii="Arial" w:hAnsi="Arial"/>
          <w:sz w:val="24"/>
          <w:szCs w:val="24"/>
        </w:rPr>
        <w:t>Reporting tools have also been developed which make it possible to identify and support any community pharmacist having trouble using the system. It is also possible to track the progress of referrals through to completion.</w:t>
      </w:r>
    </w:p>
    <w:p w14:paraId="7CB2D11D" w14:textId="77777777" w:rsidR="00A476A1" w:rsidRDefault="00A476A1">
      <w:pPr>
        <w:pStyle w:val="BodyA"/>
        <w:suppressAutoHyphens/>
        <w:rPr>
          <w:rFonts w:ascii="Arial" w:eastAsia="Arial" w:hAnsi="Arial" w:cs="Arial"/>
          <w:sz w:val="24"/>
          <w:szCs w:val="24"/>
        </w:rPr>
      </w:pPr>
    </w:p>
    <w:p w14:paraId="730D4D74" w14:textId="77777777" w:rsidR="00A476A1" w:rsidRDefault="00265C5C">
      <w:pPr>
        <w:pStyle w:val="BodyA"/>
        <w:suppressAutoHyphens/>
        <w:rPr>
          <w:rFonts w:ascii="Arial" w:eastAsia="Arial" w:hAnsi="Arial" w:cs="Arial"/>
          <w:b/>
          <w:bCs/>
          <w:sz w:val="24"/>
          <w:szCs w:val="24"/>
        </w:rPr>
      </w:pPr>
      <w:r>
        <w:rPr>
          <w:rFonts w:ascii="Arial" w:hAnsi="Arial"/>
          <w:b/>
          <w:bCs/>
          <w:sz w:val="24"/>
          <w:szCs w:val="24"/>
        </w:rPr>
        <w:t>The results</w:t>
      </w:r>
    </w:p>
    <w:p w14:paraId="60614829" w14:textId="0E20F0D0" w:rsidR="00A476A1" w:rsidRDefault="00265C5C">
      <w:pPr>
        <w:pStyle w:val="BodyA"/>
        <w:suppressAutoHyphens/>
        <w:rPr>
          <w:rFonts w:ascii="Arial" w:eastAsia="Arial" w:hAnsi="Arial" w:cs="Arial"/>
          <w:sz w:val="24"/>
          <w:szCs w:val="24"/>
        </w:rPr>
      </w:pPr>
      <w:r>
        <w:rPr>
          <w:rFonts w:ascii="Arial" w:hAnsi="Arial"/>
          <w:sz w:val="24"/>
          <w:szCs w:val="24"/>
        </w:rPr>
        <w:t>1</w:t>
      </w:r>
      <w:r w:rsidR="001F3938">
        <w:rPr>
          <w:rFonts w:ascii="Arial" w:hAnsi="Arial"/>
          <w:sz w:val="24"/>
          <w:szCs w:val="24"/>
        </w:rPr>
        <w:t>777</w:t>
      </w:r>
      <w:r>
        <w:rPr>
          <w:rFonts w:ascii="Arial" w:hAnsi="Arial"/>
          <w:sz w:val="24"/>
          <w:szCs w:val="24"/>
        </w:rPr>
        <w:t xml:space="preserve"> electronic referrals to community pharmacy were made between October 2015, when the scheme launched, and the </w:t>
      </w:r>
      <w:r w:rsidR="001F3938">
        <w:rPr>
          <w:rFonts w:ascii="Arial" w:hAnsi="Arial"/>
          <w:sz w:val="24"/>
          <w:szCs w:val="24"/>
        </w:rPr>
        <w:t>5</w:t>
      </w:r>
      <w:r w:rsidR="001F3938" w:rsidRPr="00A15225">
        <w:rPr>
          <w:rFonts w:ascii="Arial" w:hAnsi="Arial"/>
          <w:sz w:val="24"/>
          <w:szCs w:val="24"/>
          <w:vertAlign w:val="superscript"/>
        </w:rPr>
        <w:t>th</w:t>
      </w:r>
      <w:r w:rsidR="001F3938">
        <w:rPr>
          <w:rFonts w:ascii="Arial" w:hAnsi="Arial"/>
          <w:sz w:val="24"/>
          <w:szCs w:val="24"/>
        </w:rPr>
        <w:t xml:space="preserve"> May </w:t>
      </w:r>
      <w:r>
        <w:rPr>
          <w:rFonts w:ascii="Arial" w:hAnsi="Arial"/>
          <w:sz w:val="24"/>
          <w:szCs w:val="24"/>
        </w:rPr>
        <w:t>2016.</w:t>
      </w:r>
    </w:p>
    <w:p w14:paraId="0F1A31D4" w14:textId="77777777" w:rsidR="00A476A1" w:rsidRDefault="00A476A1">
      <w:pPr>
        <w:pStyle w:val="BodyA"/>
        <w:suppressAutoHyphens/>
        <w:rPr>
          <w:rFonts w:ascii="Arial" w:eastAsia="Arial" w:hAnsi="Arial" w:cs="Arial"/>
          <w:sz w:val="24"/>
          <w:szCs w:val="24"/>
        </w:rPr>
      </w:pPr>
    </w:p>
    <w:p w14:paraId="7AF638D3" w14:textId="77777777" w:rsidR="00A476A1" w:rsidRDefault="00265C5C">
      <w:pPr>
        <w:pStyle w:val="BodyA"/>
        <w:suppressAutoHyphens/>
        <w:rPr>
          <w:rFonts w:ascii="Arial" w:eastAsia="Arial" w:hAnsi="Arial" w:cs="Arial"/>
          <w:b/>
          <w:bCs/>
          <w:sz w:val="24"/>
          <w:szCs w:val="24"/>
        </w:rPr>
      </w:pPr>
      <w:r>
        <w:rPr>
          <w:rFonts w:ascii="Arial" w:hAnsi="Arial"/>
          <w:sz w:val="24"/>
          <w:szCs w:val="24"/>
        </w:rPr>
        <w:t>Several key pieces of data are being tracked to help evaluate the scheme, including readmission rates. Community pharmacists are also recording key outcomes, including time saved and reduction in medicines waste.</w:t>
      </w:r>
    </w:p>
    <w:p w14:paraId="52EEFA4D" w14:textId="77777777" w:rsidR="00A476A1" w:rsidRDefault="00A476A1">
      <w:pPr>
        <w:pStyle w:val="BodyA"/>
        <w:suppressAutoHyphens/>
        <w:rPr>
          <w:rFonts w:ascii="Arial" w:eastAsia="Arial" w:hAnsi="Arial" w:cs="Arial"/>
          <w:sz w:val="24"/>
          <w:szCs w:val="24"/>
        </w:rPr>
      </w:pPr>
    </w:p>
    <w:p w14:paraId="35053B5B" w14:textId="77777777" w:rsidR="00A476A1" w:rsidRDefault="00265C5C">
      <w:pPr>
        <w:pStyle w:val="BodyA"/>
        <w:suppressAutoHyphens/>
      </w:pPr>
      <w:r>
        <w:rPr>
          <w:rFonts w:ascii="Arial" w:hAnsi="Arial"/>
          <w:b/>
          <w:bCs/>
          <w:sz w:val="24"/>
          <w:szCs w:val="24"/>
        </w:rPr>
        <w:t>Overcoming barriers</w:t>
      </w:r>
    </w:p>
    <w:p w14:paraId="24C2F4AB" w14:textId="4940B908" w:rsidR="00A476A1" w:rsidRDefault="00265C5C" w:rsidP="00265C5C">
      <w:pPr>
        <w:pStyle w:val="ListParagraph"/>
        <w:numPr>
          <w:ilvl w:val="0"/>
          <w:numId w:val="4"/>
        </w:numPr>
        <w:suppressAutoHyphens/>
        <w:spacing w:line="240" w:lineRule="auto"/>
        <w:jc w:val="left"/>
        <w:rPr>
          <w:rFonts w:ascii="Arial" w:eastAsia="Arial" w:hAnsi="Arial" w:cs="Arial"/>
          <w:b/>
          <w:bCs/>
          <w:sz w:val="24"/>
          <w:szCs w:val="24"/>
        </w:rPr>
      </w:pPr>
      <w:r>
        <w:rPr>
          <w:rFonts w:ascii="Arial" w:hAnsi="Arial"/>
          <w:sz w:val="24"/>
          <w:szCs w:val="24"/>
        </w:rPr>
        <w:t xml:space="preserve">Securing funding: Funding was initially sought from a Department of Health innovation fund. However, the timescales proved unfeasible so bid was withdrawn. Instead, a business case was presented to the East Lancashire Hospitals NHS Trust information management and technology (IM&amp;T) board, as well as to the </w:t>
      </w:r>
      <w:r w:rsidR="001F3938">
        <w:rPr>
          <w:rFonts w:ascii="Arial" w:hAnsi="Arial"/>
          <w:sz w:val="24"/>
          <w:szCs w:val="24"/>
        </w:rPr>
        <w:t xml:space="preserve">main </w:t>
      </w:r>
      <w:r>
        <w:rPr>
          <w:rFonts w:ascii="Arial" w:hAnsi="Arial"/>
          <w:sz w:val="24"/>
          <w:szCs w:val="24"/>
        </w:rPr>
        <w:t>boards of Blackburn with Darwen and East Lancashire CCGs</w:t>
      </w:r>
      <w:bookmarkStart w:id="0" w:name="_GoBack"/>
      <w:bookmarkEnd w:id="0"/>
      <w:r>
        <w:rPr>
          <w:rFonts w:ascii="Arial" w:hAnsi="Arial"/>
          <w:sz w:val="24"/>
          <w:szCs w:val="24"/>
        </w:rPr>
        <w:t>. A funding arrangement was agreed between the three organisations, with additional investment provided by the IT developer, Webstar Health.</w:t>
      </w:r>
    </w:p>
    <w:p w14:paraId="6630F918" w14:textId="77777777" w:rsidR="00A476A1" w:rsidRDefault="00265C5C">
      <w:pPr>
        <w:pStyle w:val="ListParagraph"/>
        <w:numPr>
          <w:ilvl w:val="0"/>
          <w:numId w:val="4"/>
        </w:numPr>
        <w:suppressAutoHyphens/>
        <w:spacing w:line="240" w:lineRule="auto"/>
        <w:jc w:val="left"/>
        <w:rPr>
          <w:rFonts w:ascii="Arial" w:eastAsia="Arial" w:hAnsi="Arial" w:cs="Arial"/>
          <w:b/>
          <w:bCs/>
          <w:sz w:val="24"/>
          <w:szCs w:val="24"/>
        </w:rPr>
      </w:pPr>
      <w:r>
        <w:rPr>
          <w:rFonts w:ascii="Arial" w:hAnsi="Arial"/>
          <w:sz w:val="24"/>
          <w:szCs w:val="24"/>
        </w:rPr>
        <w:t>Training:</w:t>
      </w:r>
      <w:r>
        <w:rPr>
          <w:rFonts w:ascii="Arial" w:hAnsi="Arial"/>
          <w:b/>
          <w:bCs/>
          <w:sz w:val="24"/>
          <w:szCs w:val="24"/>
        </w:rPr>
        <w:t xml:space="preserve"> </w:t>
      </w:r>
      <w:r>
        <w:rPr>
          <w:rFonts w:ascii="Arial" w:hAnsi="Arial"/>
          <w:sz w:val="24"/>
          <w:szCs w:val="24"/>
        </w:rPr>
        <w:t>It took nearly two months to train all ward-based pharmacists and technicians (90+) in the new system. The software is user-friendly, so the main focus was on understanding which community pharmacy services were available and which patients were most likely to benefit from a referral.</w:t>
      </w:r>
    </w:p>
    <w:p w14:paraId="7FD0F7AA" w14:textId="77777777" w:rsidR="00A476A1" w:rsidRDefault="00A476A1">
      <w:pPr>
        <w:pStyle w:val="BodyA"/>
        <w:suppressAutoHyphens/>
        <w:rPr>
          <w:rFonts w:ascii="Arial" w:eastAsia="Arial" w:hAnsi="Arial" w:cs="Arial"/>
          <w:sz w:val="24"/>
          <w:szCs w:val="24"/>
        </w:rPr>
      </w:pPr>
    </w:p>
    <w:p w14:paraId="0EBA2ED2" w14:textId="77777777" w:rsidR="00A476A1" w:rsidRDefault="00265C5C">
      <w:pPr>
        <w:pStyle w:val="BodyA"/>
        <w:suppressAutoHyphens/>
        <w:rPr>
          <w:rFonts w:ascii="Arial" w:eastAsia="Arial" w:hAnsi="Arial" w:cs="Arial"/>
          <w:b/>
          <w:bCs/>
          <w:sz w:val="24"/>
          <w:szCs w:val="24"/>
        </w:rPr>
      </w:pPr>
      <w:r>
        <w:rPr>
          <w:rFonts w:ascii="Arial" w:hAnsi="Arial"/>
          <w:b/>
          <w:bCs/>
          <w:sz w:val="24"/>
          <w:szCs w:val="24"/>
        </w:rPr>
        <w:t>Key learning</w:t>
      </w:r>
    </w:p>
    <w:p w14:paraId="17A2DDB9" w14:textId="77777777" w:rsidR="00A476A1" w:rsidRDefault="00265C5C">
      <w:pPr>
        <w:pStyle w:val="BodyA"/>
        <w:numPr>
          <w:ilvl w:val="0"/>
          <w:numId w:val="6"/>
        </w:numPr>
        <w:suppressAutoHyphens/>
        <w:rPr>
          <w:rFonts w:ascii="Arial" w:eastAsia="Arial" w:hAnsi="Arial" w:cs="Arial"/>
          <w:sz w:val="24"/>
          <w:szCs w:val="24"/>
        </w:rPr>
      </w:pPr>
      <w:r>
        <w:rPr>
          <w:rFonts w:ascii="Arial" w:hAnsi="Arial"/>
          <w:sz w:val="24"/>
          <w:szCs w:val="24"/>
        </w:rPr>
        <w:t>Don’t give up. Stick to the plan, and use influencing skills to surmount problems.</w:t>
      </w:r>
    </w:p>
    <w:p w14:paraId="5E20B4DB" w14:textId="77D6D0C6" w:rsidR="00A476A1" w:rsidRDefault="00265C5C">
      <w:pPr>
        <w:pStyle w:val="BodyA"/>
        <w:numPr>
          <w:ilvl w:val="0"/>
          <w:numId w:val="6"/>
        </w:numPr>
        <w:suppressAutoHyphens/>
        <w:rPr>
          <w:rFonts w:ascii="Arial" w:eastAsia="Arial" w:hAnsi="Arial" w:cs="Arial"/>
          <w:sz w:val="24"/>
          <w:szCs w:val="24"/>
        </w:rPr>
      </w:pPr>
      <w:r>
        <w:rPr>
          <w:rFonts w:ascii="Arial" w:hAnsi="Arial"/>
          <w:sz w:val="24"/>
          <w:szCs w:val="24"/>
        </w:rPr>
        <w:t>Draw on the expertise of others. East Lancashire has created a</w:t>
      </w:r>
      <w:r w:rsidR="001F3938">
        <w:rPr>
          <w:rFonts w:ascii="Arial" w:hAnsi="Arial"/>
          <w:sz w:val="24"/>
          <w:szCs w:val="24"/>
        </w:rPr>
        <w:t xml:space="preserve"> novel</w:t>
      </w:r>
      <w:r>
        <w:rPr>
          <w:rFonts w:ascii="Arial" w:hAnsi="Arial"/>
          <w:sz w:val="24"/>
          <w:szCs w:val="24"/>
        </w:rPr>
        <w:t xml:space="preserve"> referrals tool, and hosts colleagues who are interested in seeing the software and understanding how it works.</w:t>
      </w:r>
    </w:p>
    <w:p w14:paraId="27C72DAC" w14:textId="77777777" w:rsidR="00A476A1" w:rsidRDefault="00A476A1">
      <w:pPr>
        <w:pStyle w:val="BodyA"/>
        <w:suppressAutoHyphens/>
        <w:rPr>
          <w:rFonts w:ascii="Arial" w:eastAsia="Arial" w:hAnsi="Arial" w:cs="Arial"/>
          <w:sz w:val="24"/>
          <w:szCs w:val="24"/>
        </w:rPr>
      </w:pPr>
    </w:p>
    <w:p w14:paraId="1F2FD97B" w14:textId="77777777" w:rsidR="00A476A1" w:rsidRDefault="00265C5C">
      <w:pPr>
        <w:pStyle w:val="BodyA"/>
        <w:suppressAutoHyphens/>
      </w:pPr>
      <w:r>
        <w:rPr>
          <w:rFonts w:ascii="Arial" w:hAnsi="Arial"/>
          <w:b/>
          <w:bCs/>
          <w:sz w:val="24"/>
          <w:szCs w:val="24"/>
        </w:rPr>
        <w:t>For more information</w:t>
      </w:r>
    </w:p>
    <w:p w14:paraId="09B70DCB" w14:textId="77777777" w:rsidR="00A476A1" w:rsidRDefault="00265C5C">
      <w:pPr>
        <w:pStyle w:val="BodyA"/>
        <w:suppressAutoHyphens/>
        <w:rPr>
          <w:rFonts w:ascii="Arial" w:eastAsia="Arial" w:hAnsi="Arial" w:cs="Arial"/>
          <w:sz w:val="24"/>
          <w:szCs w:val="24"/>
        </w:rPr>
      </w:pPr>
      <w:r>
        <w:rPr>
          <w:rFonts w:ascii="Arial" w:hAnsi="Arial"/>
          <w:sz w:val="24"/>
          <w:szCs w:val="24"/>
        </w:rPr>
        <w:t>Alistair Gray</w:t>
      </w:r>
    </w:p>
    <w:p w14:paraId="4E98CA82" w14:textId="77777777" w:rsidR="00A476A1" w:rsidRDefault="00265C5C">
      <w:pPr>
        <w:pStyle w:val="BodyA"/>
        <w:suppressAutoHyphens/>
        <w:rPr>
          <w:rFonts w:ascii="Arial" w:eastAsia="Arial" w:hAnsi="Arial" w:cs="Arial"/>
          <w:sz w:val="24"/>
          <w:szCs w:val="24"/>
        </w:rPr>
      </w:pPr>
      <w:r>
        <w:rPr>
          <w:rFonts w:ascii="Arial" w:hAnsi="Arial"/>
          <w:sz w:val="24"/>
          <w:szCs w:val="24"/>
        </w:rPr>
        <w:t>Clinical Services Lead Pharmacist, East Lancashire Hospitals NHS Trust</w:t>
      </w:r>
    </w:p>
    <w:p w14:paraId="569DCC0B" w14:textId="77777777" w:rsidR="00A476A1" w:rsidRDefault="00265C5C">
      <w:pPr>
        <w:pStyle w:val="BodyA"/>
        <w:suppressAutoHyphens/>
      </w:pPr>
      <w:r>
        <w:rPr>
          <w:rFonts w:ascii="Arial" w:hAnsi="Arial"/>
          <w:sz w:val="24"/>
          <w:szCs w:val="24"/>
        </w:rPr>
        <w:t>alistair.gray@elht.nhs.uk</w:t>
      </w:r>
    </w:p>
    <w:sectPr w:rsidR="00A476A1">
      <w:headerReference w:type="default" r:id="rId9"/>
      <w:footerReference w:type="default" r:id="rId10"/>
      <w:pgSz w:w="11900" w:h="16840"/>
      <w:pgMar w:top="1134" w:right="1134" w:bottom="1134" w:left="1134" w:header="709" w:footer="85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6995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82109" w14:textId="77777777" w:rsidR="00F42516" w:rsidRDefault="00265C5C">
      <w:r>
        <w:separator/>
      </w:r>
    </w:p>
  </w:endnote>
  <w:endnote w:type="continuationSeparator" w:id="0">
    <w:p w14:paraId="0BFE254B" w14:textId="77777777" w:rsidR="00F42516" w:rsidRDefault="0026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91D9D" w14:textId="77777777" w:rsidR="00A476A1" w:rsidRDefault="00265C5C">
    <w:pPr>
      <w:pStyle w:val="HeaderFooterA"/>
      <w:tabs>
        <w:tab w:val="clear" w:pos="9020"/>
        <w:tab w:val="center" w:pos="4819"/>
        <w:tab w:val="right" w:pos="9612"/>
      </w:tabs>
    </w:pPr>
    <w:r>
      <w:rPr>
        <w:rFonts w:ascii="Verdana" w:eastAsia="Verdana" w:hAnsi="Verdana" w:cs="Verdana"/>
        <w:sz w:val="18"/>
        <w:szCs w:val="18"/>
      </w:rPr>
      <w:tab/>
    </w:r>
    <w:r>
      <w:rPr>
        <w:rFonts w:ascii="Verdana" w:eastAsia="Verdana" w:hAnsi="Verdana" w:cs="Verdana"/>
        <w:sz w:val="18"/>
        <w:szCs w:val="18"/>
      </w:rPr>
      <w:tab/>
    </w:r>
    <w:r>
      <w:rPr>
        <w:rFonts w:ascii="Verdana" w:hAnsi="Verdana"/>
        <w:sz w:val="18"/>
        <w:szCs w:val="18"/>
      </w:rPr>
      <w:t xml:space="preserve">Page </w:t>
    </w:r>
    <w:r>
      <w:rPr>
        <w:rFonts w:ascii="Verdana" w:eastAsia="Verdana" w:hAnsi="Verdana" w:cs="Verdana"/>
        <w:sz w:val="18"/>
        <w:szCs w:val="18"/>
      </w:rPr>
      <w:fldChar w:fldCharType="begin"/>
    </w:r>
    <w:r>
      <w:rPr>
        <w:rFonts w:ascii="Verdana" w:eastAsia="Verdana" w:hAnsi="Verdana" w:cs="Verdana"/>
        <w:sz w:val="18"/>
        <w:szCs w:val="18"/>
      </w:rPr>
      <w:instrText xml:space="preserve"> PAGE </w:instrText>
    </w:r>
    <w:r>
      <w:rPr>
        <w:rFonts w:ascii="Verdana" w:eastAsia="Verdana" w:hAnsi="Verdana" w:cs="Verdana"/>
        <w:sz w:val="18"/>
        <w:szCs w:val="18"/>
      </w:rPr>
      <w:fldChar w:fldCharType="separate"/>
    </w:r>
    <w:r w:rsidR="00A15225">
      <w:rPr>
        <w:rFonts w:ascii="Verdana" w:eastAsia="Verdana" w:hAnsi="Verdana" w:cs="Verdana"/>
        <w:noProof/>
        <w:sz w:val="18"/>
        <w:szCs w:val="18"/>
      </w:rPr>
      <w:t>1</w:t>
    </w:r>
    <w:r>
      <w:rPr>
        <w:rFonts w:ascii="Verdana" w:eastAsia="Verdana" w:hAnsi="Verdana" w:cs="Verdana"/>
        <w:sz w:val="18"/>
        <w:szCs w:val="18"/>
      </w:rPr>
      <w:fldChar w:fldCharType="end"/>
    </w:r>
    <w:r>
      <w:rPr>
        <w:rFonts w:ascii="Verdana" w:hAnsi="Verdana"/>
        <w:sz w:val="18"/>
        <w:szCs w:val="18"/>
      </w:rPr>
      <w:t xml:space="preserve"> of </w:t>
    </w:r>
    <w:r>
      <w:rPr>
        <w:rFonts w:ascii="Verdana" w:eastAsia="Verdana" w:hAnsi="Verdana" w:cs="Verdana"/>
        <w:sz w:val="18"/>
        <w:szCs w:val="18"/>
      </w:rPr>
      <w:fldChar w:fldCharType="begin"/>
    </w:r>
    <w:r>
      <w:rPr>
        <w:rFonts w:ascii="Verdana" w:eastAsia="Verdana" w:hAnsi="Verdana" w:cs="Verdana"/>
        <w:sz w:val="18"/>
        <w:szCs w:val="18"/>
      </w:rPr>
      <w:instrText xml:space="preserve"> NUMPAGES </w:instrText>
    </w:r>
    <w:r>
      <w:rPr>
        <w:rFonts w:ascii="Verdana" w:eastAsia="Verdana" w:hAnsi="Verdana" w:cs="Verdana"/>
        <w:sz w:val="18"/>
        <w:szCs w:val="18"/>
      </w:rPr>
      <w:fldChar w:fldCharType="separate"/>
    </w:r>
    <w:r w:rsidR="00A15225">
      <w:rPr>
        <w:rFonts w:ascii="Verdana" w:eastAsia="Verdana" w:hAnsi="Verdana" w:cs="Verdana"/>
        <w:noProof/>
        <w:sz w:val="18"/>
        <w:szCs w:val="18"/>
      </w:rPr>
      <w:t>2</w:t>
    </w:r>
    <w:r>
      <w:rPr>
        <w:rFonts w:ascii="Verdana" w:eastAsia="Verdana" w:hAnsi="Verdana" w:cs="Verdan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B9A0E" w14:textId="77777777" w:rsidR="00F42516" w:rsidRDefault="00265C5C">
      <w:r>
        <w:separator/>
      </w:r>
    </w:p>
  </w:footnote>
  <w:footnote w:type="continuationSeparator" w:id="0">
    <w:p w14:paraId="5513E551" w14:textId="77777777" w:rsidR="00F42516" w:rsidRDefault="00265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7D131" w14:textId="77777777" w:rsidR="00A476A1" w:rsidRDefault="00265C5C">
    <w:pPr>
      <w:pStyle w:val="HeaderFooterA"/>
      <w:tabs>
        <w:tab w:val="clear" w:pos="9020"/>
        <w:tab w:val="center" w:pos="4819"/>
        <w:tab w:val="right" w:pos="9612"/>
      </w:tabs>
    </w:pPr>
    <w:r>
      <w:rPr>
        <w:rFonts w:ascii="Verdana" w:hAnsi="Verdana"/>
        <w:sz w:val="18"/>
        <w:szCs w:val="18"/>
      </w:rPr>
      <w:tab/>
    </w:r>
    <w:r>
      <w:rPr>
        <w:rFonts w:ascii="Verdana" w:hAnsi="Verdana"/>
        <w:sz w:val="18"/>
        <w:szCs w:val="18"/>
      </w:rPr>
      <w:tab/>
      <w:t>5 May 2016 v2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12D"/>
    <w:multiLevelType w:val="hybridMultilevel"/>
    <w:tmpl w:val="A52AB946"/>
    <w:styleLink w:val="ImportedStyle2"/>
    <w:lvl w:ilvl="0" w:tplc="3F5277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F2A4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54EB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FC0B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1227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4059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BED5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42E9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F039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2A10FCB"/>
    <w:multiLevelType w:val="hybridMultilevel"/>
    <w:tmpl w:val="3544FBE0"/>
    <w:styleLink w:val="ImportedStyle1"/>
    <w:lvl w:ilvl="0" w:tplc="70D2B8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82AD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F604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3261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14D0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B41F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E291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3A59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7C2C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1577143"/>
    <w:multiLevelType w:val="hybridMultilevel"/>
    <w:tmpl w:val="3544FBE0"/>
    <w:numStyleLink w:val="ImportedStyle1"/>
  </w:abstractNum>
  <w:abstractNum w:abstractNumId="3">
    <w:nsid w:val="12AF045A"/>
    <w:multiLevelType w:val="hybridMultilevel"/>
    <w:tmpl w:val="A52AB946"/>
    <w:numStyleLink w:val="ImportedStyle2"/>
  </w:abstractNum>
  <w:abstractNum w:abstractNumId="4">
    <w:nsid w:val="4E0566EC"/>
    <w:multiLevelType w:val="hybridMultilevel"/>
    <w:tmpl w:val="883264DE"/>
    <w:numStyleLink w:val="ImportedStyle3"/>
  </w:abstractNum>
  <w:abstractNum w:abstractNumId="5">
    <w:nsid w:val="76237DBB"/>
    <w:multiLevelType w:val="hybridMultilevel"/>
    <w:tmpl w:val="883264DE"/>
    <w:styleLink w:val="ImportedStyle3"/>
    <w:lvl w:ilvl="0" w:tplc="22F4374E">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B49AAE">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466121C">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3B06CEE">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0F49960">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19C4782">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BB0EF10">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13E6ABE">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E60E20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die Collins">
    <w15:presenceInfo w15:providerId="AD" w15:userId="S-1-5-21-3800458238-4224493526-180875777-8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A1"/>
    <w:rsid w:val="001F3938"/>
    <w:rsid w:val="00265C5C"/>
    <w:rsid w:val="00A15225"/>
    <w:rsid w:val="00A476A1"/>
    <w:rsid w:val="00F42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w:hAnsi="Helvetica" w:cs="Arial Unicode MS"/>
      <w:color w:val="000000"/>
      <w:sz w:val="24"/>
      <w:szCs w:val="24"/>
      <w:u w:color="000000"/>
      <w:lang w:val="en-US"/>
    </w:rPr>
  </w:style>
  <w:style w:type="paragraph" w:customStyle="1" w:styleId="BodyA">
    <w:name w:val="Body A"/>
    <w:rPr>
      <w:rFonts w:ascii="Helvetica" w:eastAsia="Helvetica" w:hAnsi="Helvetica" w:cs="Helvetica"/>
      <w:color w:val="000000"/>
      <w:sz w:val="22"/>
      <w:szCs w:val="22"/>
      <w:u w:color="000000"/>
      <w:lang w:val="en-US"/>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spacing w:line="360" w:lineRule="auto"/>
      <w:ind w:left="720" w:hanging="357"/>
      <w:jc w:val="both"/>
    </w:pPr>
    <w:rPr>
      <w:rFonts w:ascii="Helvetica" w:hAnsi="Helvetica"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5C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5C"/>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265C5C"/>
    <w:rPr>
      <w:b/>
      <w:bCs/>
    </w:rPr>
  </w:style>
  <w:style w:type="character" w:customStyle="1" w:styleId="CommentSubjectChar">
    <w:name w:val="Comment Subject Char"/>
    <w:basedOn w:val="CommentTextChar"/>
    <w:link w:val="CommentSubject"/>
    <w:uiPriority w:val="99"/>
    <w:semiHidden/>
    <w:rsid w:val="00265C5C"/>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w:hAnsi="Helvetica" w:cs="Arial Unicode MS"/>
      <w:color w:val="000000"/>
      <w:sz w:val="24"/>
      <w:szCs w:val="24"/>
      <w:u w:color="000000"/>
      <w:lang w:val="en-US"/>
    </w:rPr>
  </w:style>
  <w:style w:type="paragraph" w:customStyle="1" w:styleId="BodyA">
    <w:name w:val="Body A"/>
    <w:rPr>
      <w:rFonts w:ascii="Helvetica" w:eastAsia="Helvetica" w:hAnsi="Helvetica" w:cs="Helvetica"/>
      <w:color w:val="000000"/>
      <w:sz w:val="22"/>
      <w:szCs w:val="22"/>
      <w:u w:color="000000"/>
      <w:lang w:val="en-US"/>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spacing w:line="360" w:lineRule="auto"/>
      <w:ind w:left="720" w:hanging="357"/>
      <w:jc w:val="both"/>
    </w:pPr>
    <w:rPr>
      <w:rFonts w:ascii="Helvetica" w:hAnsi="Helvetica"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5C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5C"/>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265C5C"/>
    <w:rPr>
      <w:b/>
      <w:bCs/>
    </w:rPr>
  </w:style>
  <w:style w:type="character" w:customStyle="1" w:styleId="CommentSubjectChar">
    <w:name w:val="Comment Subject Char"/>
    <w:basedOn w:val="CommentTextChar"/>
    <w:link w:val="CommentSubject"/>
    <w:uiPriority w:val="99"/>
    <w:semiHidden/>
    <w:rsid w:val="00265C5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rpharms.com/referraltoolk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Wks_Admin</cp:lastModifiedBy>
  <cp:revision>3</cp:revision>
  <dcterms:created xsi:type="dcterms:W3CDTF">2016-05-06T12:35:00Z</dcterms:created>
  <dcterms:modified xsi:type="dcterms:W3CDTF">2016-11-25T08:24:00Z</dcterms:modified>
</cp:coreProperties>
</file>