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5C0" w:rsidRPr="003C45C0" w:rsidRDefault="003C45C0">
      <w:pPr>
        <w:rPr>
          <w:b/>
        </w:rPr>
      </w:pPr>
      <w:r w:rsidRPr="003C45C0">
        <w:rPr>
          <w:b/>
        </w:rPr>
        <w:t>Introduction</w:t>
      </w:r>
    </w:p>
    <w:p w:rsidR="00252936" w:rsidRDefault="003C45C0">
      <w:r>
        <w:t>T</w:t>
      </w:r>
      <w:r w:rsidR="00705EC1">
        <w:t>here have been significant improvements</w:t>
      </w:r>
      <w:r w:rsidR="00252936">
        <w:t>, over the past 12 months,</w:t>
      </w:r>
      <w:r w:rsidR="00705EC1">
        <w:t xml:space="preserve"> in the way NICE is managed and monitored within the organ</w:t>
      </w:r>
      <w:r w:rsidR="00252936">
        <w:t>isation with the introduction of a Trust Lead for NICE and improved engagement from all Divisions and Services.</w:t>
      </w:r>
    </w:p>
    <w:p w:rsidR="00705EC1" w:rsidRDefault="00252936">
      <w:r>
        <w:t>T</w:t>
      </w:r>
      <w:r w:rsidR="00705EC1">
        <w:t>here are currently 650 pieces of NICE guidance which include:</w:t>
      </w:r>
    </w:p>
    <w:p w:rsidR="00705EC1" w:rsidRDefault="00705EC1" w:rsidP="00705EC1">
      <w:pPr>
        <w:pStyle w:val="ListParagraph"/>
        <w:numPr>
          <w:ilvl w:val="0"/>
          <w:numId w:val="1"/>
        </w:numPr>
      </w:pPr>
      <w:r>
        <w:t>Clinical Guideline (CG/NG)</w:t>
      </w:r>
    </w:p>
    <w:p w:rsidR="00705EC1" w:rsidRDefault="00705EC1" w:rsidP="00705EC1">
      <w:pPr>
        <w:pStyle w:val="ListParagraph"/>
        <w:numPr>
          <w:ilvl w:val="0"/>
          <w:numId w:val="1"/>
        </w:numPr>
      </w:pPr>
      <w:r>
        <w:t>Quality Standards (QS)</w:t>
      </w:r>
    </w:p>
    <w:p w:rsidR="00705EC1" w:rsidRDefault="00705EC1" w:rsidP="00705EC1">
      <w:pPr>
        <w:pStyle w:val="ListParagraph"/>
        <w:numPr>
          <w:ilvl w:val="0"/>
          <w:numId w:val="1"/>
        </w:numPr>
      </w:pPr>
      <w:r>
        <w:t>Public Health Guidance (PH)</w:t>
      </w:r>
    </w:p>
    <w:p w:rsidR="00705EC1" w:rsidRDefault="00705EC1" w:rsidP="00705EC1">
      <w:pPr>
        <w:pStyle w:val="ListParagraph"/>
        <w:numPr>
          <w:ilvl w:val="0"/>
          <w:numId w:val="1"/>
        </w:numPr>
      </w:pPr>
      <w:r>
        <w:t>Social Care Guidance (SC)</w:t>
      </w:r>
    </w:p>
    <w:p w:rsidR="00705EC1" w:rsidRDefault="00705EC1" w:rsidP="00705EC1">
      <w:pPr>
        <w:pStyle w:val="ListParagraph"/>
        <w:numPr>
          <w:ilvl w:val="0"/>
          <w:numId w:val="1"/>
        </w:numPr>
      </w:pPr>
      <w:r>
        <w:t>Safer Staffing Guidance</w:t>
      </w:r>
      <w:r w:rsidR="00865A48">
        <w:t xml:space="preserve"> (SS)</w:t>
      </w:r>
    </w:p>
    <w:p w:rsidR="00705EC1" w:rsidRDefault="00705EC1" w:rsidP="00705EC1">
      <w:pPr>
        <w:pStyle w:val="ListParagraph"/>
        <w:numPr>
          <w:ilvl w:val="0"/>
          <w:numId w:val="1"/>
        </w:numPr>
      </w:pPr>
      <w:r>
        <w:t>Technology appraisal guidance (TA)</w:t>
      </w:r>
    </w:p>
    <w:p w:rsidR="00705EC1" w:rsidRDefault="00705EC1" w:rsidP="00705EC1">
      <w:pPr>
        <w:pStyle w:val="ListParagraph"/>
        <w:numPr>
          <w:ilvl w:val="0"/>
          <w:numId w:val="1"/>
        </w:numPr>
      </w:pPr>
      <w:r>
        <w:t>Interventional procedures guidance (IPG)</w:t>
      </w:r>
    </w:p>
    <w:p w:rsidR="00705EC1" w:rsidRDefault="00705EC1" w:rsidP="00705EC1">
      <w:pPr>
        <w:pStyle w:val="ListParagraph"/>
        <w:numPr>
          <w:ilvl w:val="0"/>
          <w:numId w:val="1"/>
        </w:numPr>
      </w:pPr>
      <w:r>
        <w:t>Diagnostics (DG)</w:t>
      </w:r>
    </w:p>
    <w:p w:rsidR="00705EC1" w:rsidRDefault="00705EC1" w:rsidP="00705EC1">
      <w:pPr>
        <w:pStyle w:val="ListParagraph"/>
        <w:numPr>
          <w:ilvl w:val="0"/>
          <w:numId w:val="1"/>
        </w:numPr>
      </w:pPr>
      <w:r>
        <w:t>Highly specialised technologies (HST)</w:t>
      </w:r>
    </w:p>
    <w:p w:rsidR="00705EC1" w:rsidRDefault="00705EC1" w:rsidP="00705EC1">
      <w:pPr>
        <w:pStyle w:val="ListParagraph"/>
        <w:numPr>
          <w:ilvl w:val="0"/>
          <w:numId w:val="1"/>
        </w:numPr>
      </w:pPr>
      <w:r>
        <w:t>Medical technologies guidance (MT</w:t>
      </w:r>
      <w:r w:rsidR="004C2D75">
        <w:t xml:space="preserve"> </w:t>
      </w:r>
      <w:r>
        <w:t>G)</w:t>
      </w:r>
    </w:p>
    <w:p w:rsidR="00705EC1" w:rsidRPr="003C45C0" w:rsidRDefault="003569E2" w:rsidP="003569E2">
      <w:pPr>
        <w:pStyle w:val="ListParagraph"/>
        <w:ind w:left="0"/>
        <w:rPr>
          <w:u w:val="single"/>
        </w:rPr>
      </w:pPr>
      <w:r w:rsidRPr="003C45C0">
        <w:rPr>
          <w:u w:val="single"/>
        </w:rPr>
        <w:t>Table 1.1</w:t>
      </w:r>
    </w:p>
    <w:p w:rsidR="00705EC1" w:rsidRDefault="004C2D75">
      <w:r>
        <w:rPr>
          <w:noProof/>
          <w:lang w:eastAsia="en-GB"/>
        </w:rPr>
        <w:drawing>
          <wp:inline distT="0" distB="0" distL="0" distR="0" wp14:anchorId="0EDC0620" wp14:editId="360E6F4D">
            <wp:extent cx="5943600" cy="2305050"/>
            <wp:effectExtent l="0" t="0" r="19050" b="190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C2D75" w:rsidRDefault="004C2D75" w:rsidP="004C2D75">
      <w:pPr>
        <w:pStyle w:val="ListParagraph"/>
        <w:numPr>
          <w:ilvl w:val="0"/>
          <w:numId w:val="2"/>
        </w:numPr>
      </w:pPr>
      <w:r>
        <w:t>Each publication is reviewed within Divisions/services and a NICE Guideline Lead is allocated – they review the guidance within the Multidisciplinary teams/external agencies/voluntary organisation (where appropriate)</w:t>
      </w:r>
      <w:r w:rsidR="00367248">
        <w:t>.</w:t>
      </w:r>
    </w:p>
    <w:p w:rsidR="003569E2" w:rsidRDefault="003569E2" w:rsidP="004C2D75">
      <w:pPr>
        <w:pStyle w:val="ListParagraph"/>
        <w:numPr>
          <w:ilvl w:val="0"/>
          <w:numId w:val="2"/>
        </w:numPr>
      </w:pPr>
      <w:r>
        <w:t>Table 1.1 highlights the number of guidelines by status showing that 40% have been signed off as compliant and 16% are partially compliant with action plans in place.</w:t>
      </w:r>
    </w:p>
    <w:p w:rsidR="003569E2" w:rsidRDefault="003569E2" w:rsidP="004C2D75">
      <w:pPr>
        <w:pStyle w:val="ListParagraph"/>
        <w:numPr>
          <w:ilvl w:val="0"/>
          <w:numId w:val="2"/>
        </w:numPr>
      </w:pPr>
      <w:r>
        <w:t xml:space="preserve">There are 9 overdue reviews which have all been formally escalated by the Medical Director and Director of Governance </w:t>
      </w:r>
      <w:r w:rsidR="003C45C0">
        <w:t xml:space="preserve">to the NICE Guideline Lead and Divisional Triumvirate. </w:t>
      </w:r>
    </w:p>
    <w:p w:rsidR="003569E2" w:rsidRDefault="003569E2" w:rsidP="004C2D75">
      <w:pPr>
        <w:pStyle w:val="ListParagraph"/>
        <w:numPr>
          <w:ilvl w:val="0"/>
          <w:numId w:val="2"/>
        </w:numPr>
      </w:pPr>
      <w:r>
        <w:t xml:space="preserve">Closed status refers to NICE’s advisory guidance </w:t>
      </w:r>
      <w:r w:rsidR="00367248">
        <w:t>which are for</w:t>
      </w:r>
      <w:r>
        <w:t xml:space="preserve"> information only.</w:t>
      </w:r>
    </w:p>
    <w:p w:rsidR="004C2D75" w:rsidRDefault="004C2D75" w:rsidP="004C2D75">
      <w:pPr>
        <w:pStyle w:val="ListParagraph"/>
        <w:numPr>
          <w:ilvl w:val="0"/>
          <w:numId w:val="2"/>
        </w:numPr>
      </w:pPr>
      <w:r>
        <w:t>The guidance is compliant when:</w:t>
      </w:r>
    </w:p>
    <w:p w:rsidR="004C2D75" w:rsidRDefault="004C2D75" w:rsidP="004C2D75">
      <w:pPr>
        <w:pStyle w:val="ListParagraph"/>
        <w:numPr>
          <w:ilvl w:val="1"/>
          <w:numId w:val="2"/>
        </w:numPr>
      </w:pPr>
      <w:r>
        <w:t>It has been fully reviewed</w:t>
      </w:r>
    </w:p>
    <w:p w:rsidR="004C2D75" w:rsidRDefault="004C2D75" w:rsidP="004C2D75">
      <w:pPr>
        <w:pStyle w:val="ListParagraph"/>
        <w:numPr>
          <w:ilvl w:val="1"/>
          <w:numId w:val="2"/>
        </w:numPr>
      </w:pPr>
      <w:r>
        <w:t>Evidence of compliance is available (where appropriate)</w:t>
      </w:r>
    </w:p>
    <w:p w:rsidR="004C2D75" w:rsidRDefault="004C2D75" w:rsidP="004C2D75">
      <w:pPr>
        <w:pStyle w:val="ListParagraph"/>
        <w:numPr>
          <w:ilvl w:val="1"/>
          <w:numId w:val="2"/>
        </w:numPr>
      </w:pPr>
      <w:r>
        <w:t xml:space="preserve">If an action plan has been developed </w:t>
      </w:r>
      <w:r w:rsidR="00367248">
        <w:t>it has been</w:t>
      </w:r>
      <w:r>
        <w:t xml:space="preserve"> signed off</w:t>
      </w:r>
    </w:p>
    <w:p w:rsidR="004C2D75" w:rsidRDefault="004C2D75" w:rsidP="004C2D75">
      <w:pPr>
        <w:pStyle w:val="ListParagraph"/>
        <w:numPr>
          <w:ilvl w:val="1"/>
          <w:numId w:val="2"/>
        </w:numPr>
      </w:pPr>
      <w:r>
        <w:t>It has been signed off at Divisional DGAG/Relevant Meeting</w:t>
      </w:r>
    </w:p>
    <w:p w:rsidR="004C2D75" w:rsidRDefault="004C2D75" w:rsidP="004C2D75">
      <w:pPr>
        <w:pStyle w:val="ListParagraph"/>
        <w:numPr>
          <w:ilvl w:val="0"/>
          <w:numId w:val="2"/>
        </w:numPr>
      </w:pPr>
      <w:r>
        <w:lastRenderedPageBreak/>
        <w:t>If Divisions decide that elements of NICE guidance should not be implemented they must provide rationale for the decision and complet</w:t>
      </w:r>
      <w:r w:rsidR="000473E8">
        <w:t>e an exception form. The Trust L</w:t>
      </w:r>
      <w:r>
        <w:t xml:space="preserve">ead for NICE will ensure that this has been fully reviewed by discussing with North West NICE </w:t>
      </w:r>
      <w:r w:rsidR="000473E8">
        <w:t xml:space="preserve">Leads </w:t>
      </w:r>
      <w:r>
        <w:t xml:space="preserve">Forum and contacting NICE for guidance. </w:t>
      </w:r>
    </w:p>
    <w:p w:rsidR="004C2D75" w:rsidRPr="003C45C0" w:rsidRDefault="004C2D75" w:rsidP="003C45C0">
      <w:pPr>
        <w:spacing w:after="0"/>
        <w:rPr>
          <w:b/>
        </w:rPr>
      </w:pPr>
      <w:r w:rsidRPr="003C45C0">
        <w:rPr>
          <w:b/>
        </w:rPr>
        <w:t xml:space="preserve">Improvements </w:t>
      </w:r>
    </w:p>
    <w:p w:rsidR="003569E2" w:rsidRDefault="003569E2" w:rsidP="003C45C0">
      <w:pPr>
        <w:pStyle w:val="ListParagraph"/>
        <w:numPr>
          <w:ilvl w:val="0"/>
          <w:numId w:val="3"/>
        </w:numPr>
        <w:spacing w:after="0"/>
      </w:pPr>
      <w:r>
        <w:t>NICE guidance is now managed within the Ulysses</w:t>
      </w:r>
      <w:r w:rsidR="000473E8">
        <w:t xml:space="preserve"> system</w:t>
      </w:r>
    </w:p>
    <w:p w:rsidR="004C2D75" w:rsidRDefault="003C45C0" w:rsidP="003C45C0">
      <w:pPr>
        <w:pStyle w:val="ListParagraph"/>
        <w:numPr>
          <w:ilvl w:val="0"/>
          <w:numId w:val="3"/>
        </w:numPr>
        <w:spacing w:after="0"/>
      </w:pPr>
      <w:r>
        <w:t>T</w:t>
      </w:r>
      <w:r w:rsidR="004C2D75">
        <w:t xml:space="preserve">he development of an improved management system </w:t>
      </w:r>
      <w:r>
        <w:t xml:space="preserve">(Table 1.2) </w:t>
      </w:r>
      <w:r w:rsidR="004C2D75">
        <w:t>highlights when guidance is overdue and sends an automated email reminder and formal escalation letter</w:t>
      </w:r>
      <w:r w:rsidR="000473E8">
        <w:t>. This reduces the amount of time needed on the day to day management of NICE.</w:t>
      </w:r>
    </w:p>
    <w:p w:rsidR="003C45C0" w:rsidRDefault="003C45C0" w:rsidP="004C2D75">
      <w:pPr>
        <w:pStyle w:val="ListParagraph"/>
        <w:numPr>
          <w:ilvl w:val="0"/>
          <w:numId w:val="3"/>
        </w:numPr>
      </w:pPr>
      <w:r>
        <w:t xml:space="preserve">Divisions can now access live reporting via the SQL server (Table 1.3) which enables </w:t>
      </w:r>
      <w:r w:rsidR="000473E8">
        <w:t xml:space="preserve">them to present at meetings, </w:t>
      </w:r>
      <w:r>
        <w:t>discuss with specialties</w:t>
      </w:r>
      <w:r w:rsidR="000473E8">
        <w:t xml:space="preserve"> and develop exception reports.</w:t>
      </w:r>
    </w:p>
    <w:p w:rsidR="009E1A6B" w:rsidRDefault="009E1A6B" w:rsidP="004C2D75">
      <w:pPr>
        <w:pStyle w:val="ListParagraph"/>
        <w:numPr>
          <w:ilvl w:val="0"/>
          <w:numId w:val="3"/>
        </w:numPr>
      </w:pPr>
      <w:r>
        <w:t xml:space="preserve">Monthly Divisional NICE reports presented at Clinical Audit and Effectiveness </w:t>
      </w:r>
      <w:r w:rsidR="000473E8">
        <w:t xml:space="preserve">are </w:t>
      </w:r>
      <w:r>
        <w:t>generated using the live reporting system</w:t>
      </w:r>
      <w:bookmarkStart w:id="0" w:name="_GoBack"/>
      <w:bookmarkEnd w:id="0"/>
    </w:p>
    <w:p w:rsidR="004C2D75" w:rsidRDefault="004C2D75" w:rsidP="004C2D75">
      <w:pPr>
        <w:pStyle w:val="ListParagraph"/>
        <w:numPr>
          <w:ilvl w:val="0"/>
          <w:numId w:val="3"/>
        </w:numPr>
      </w:pPr>
      <w:proofErr w:type="gramStart"/>
      <w:r>
        <w:t>Monthly meetings with Divisional NICE leads</w:t>
      </w:r>
      <w:r w:rsidR="000473E8">
        <w:t xml:space="preserve"> to ensure NICE guidance is</w:t>
      </w:r>
      <w:proofErr w:type="gramEnd"/>
      <w:r w:rsidR="000473E8">
        <w:t xml:space="preserve"> progressed and/or escalated</w:t>
      </w:r>
      <w:r>
        <w:t>.</w:t>
      </w:r>
    </w:p>
    <w:p w:rsidR="003569E2" w:rsidRDefault="000473E8" w:rsidP="004C2D75">
      <w:pPr>
        <w:pStyle w:val="ListParagraph"/>
        <w:numPr>
          <w:ilvl w:val="0"/>
          <w:numId w:val="3"/>
        </w:numPr>
      </w:pPr>
      <w:proofErr w:type="gramStart"/>
      <w:r>
        <w:t>Regular m</w:t>
      </w:r>
      <w:r w:rsidR="003569E2">
        <w:t>eetings with NICE guideline leads</w:t>
      </w:r>
      <w:proofErr w:type="gramEnd"/>
      <w:r w:rsidR="003569E2">
        <w:t xml:space="preserve"> to support the review of guidance and collation of evidence</w:t>
      </w:r>
      <w:r w:rsidR="003C45C0">
        <w:t>.</w:t>
      </w:r>
    </w:p>
    <w:p w:rsidR="003C45C0" w:rsidRDefault="003C45C0" w:rsidP="004C2D75">
      <w:pPr>
        <w:pStyle w:val="ListParagraph"/>
        <w:numPr>
          <w:ilvl w:val="0"/>
          <w:numId w:val="3"/>
        </w:numPr>
      </w:pPr>
      <w:r>
        <w:t>Increased references to NICE in complaint, incident and investigation responses.</w:t>
      </w:r>
    </w:p>
    <w:p w:rsidR="003C45C0" w:rsidRDefault="003C45C0" w:rsidP="004C2D75">
      <w:pPr>
        <w:pStyle w:val="ListParagraph"/>
        <w:numPr>
          <w:ilvl w:val="0"/>
          <w:numId w:val="3"/>
        </w:numPr>
      </w:pPr>
      <w:r>
        <w:t>Links with Better Care Together to review NICE across the healthcare economy pathway rather than just acute care.</w:t>
      </w:r>
    </w:p>
    <w:p w:rsidR="004C2D75" w:rsidRDefault="004C2D75" w:rsidP="004C2D75">
      <w:pPr>
        <w:pStyle w:val="ListParagraph"/>
        <w:numPr>
          <w:ilvl w:val="0"/>
          <w:numId w:val="3"/>
        </w:numPr>
      </w:pPr>
      <w:r>
        <w:t>Use of wide range of evidence, including audit, to demonstrate compliance</w:t>
      </w:r>
      <w:r w:rsidR="000473E8">
        <w:t>.</w:t>
      </w:r>
    </w:p>
    <w:p w:rsidR="004C2D75" w:rsidRDefault="004C2D75" w:rsidP="004C2D75">
      <w:pPr>
        <w:pStyle w:val="ListParagraph"/>
        <w:numPr>
          <w:ilvl w:val="0"/>
          <w:numId w:val="3"/>
        </w:numPr>
      </w:pPr>
      <w:r>
        <w:t>Automated reminder system for Divisions to revisit NICE guidance every 12 months</w:t>
      </w:r>
      <w:r w:rsidR="000473E8">
        <w:t>.</w:t>
      </w:r>
    </w:p>
    <w:p w:rsidR="004C2D75" w:rsidRDefault="004C2D75" w:rsidP="004C2D75">
      <w:pPr>
        <w:pStyle w:val="ListParagraph"/>
        <w:numPr>
          <w:ilvl w:val="0"/>
          <w:numId w:val="3"/>
        </w:numPr>
      </w:pPr>
      <w:r>
        <w:t>Automated email reminders for updated NICE guidance</w:t>
      </w:r>
      <w:r w:rsidR="000473E8">
        <w:t xml:space="preserve"> requiring re-review.</w:t>
      </w:r>
    </w:p>
    <w:p w:rsidR="004C2D75" w:rsidRDefault="004C2D75" w:rsidP="004C2D75">
      <w:pPr>
        <w:pStyle w:val="ListParagraph"/>
        <w:numPr>
          <w:ilvl w:val="0"/>
          <w:numId w:val="3"/>
        </w:numPr>
      </w:pPr>
      <w:r>
        <w:t>Regular Weekly News articles highlighting developments</w:t>
      </w:r>
      <w:r w:rsidR="009E1A6B">
        <w:t>.</w:t>
      </w:r>
    </w:p>
    <w:p w:rsidR="009E1A6B" w:rsidRDefault="009E1A6B" w:rsidP="004C2D75">
      <w:pPr>
        <w:pStyle w:val="ListParagraph"/>
        <w:numPr>
          <w:ilvl w:val="0"/>
          <w:numId w:val="3"/>
        </w:numPr>
      </w:pPr>
      <w:r>
        <w:t xml:space="preserve">The </w:t>
      </w:r>
      <w:r w:rsidR="003569E2">
        <w:t>organisation is</w:t>
      </w:r>
      <w:r>
        <w:t xml:space="preserve"> now registered as a stakeholder and is beginning to make contributions to the development of new guidance and the review of existing guidance.</w:t>
      </w:r>
    </w:p>
    <w:p w:rsidR="003569E2" w:rsidRDefault="003569E2" w:rsidP="003569E2">
      <w:pPr>
        <w:pStyle w:val="ListParagraph"/>
        <w:numPr>
          <w:ilvl w:val="0"/>
          <w:numId w:val="3"/>
        </w:numPr>
      </w:pPr>
      <w:r>
        <w:t xml:space="preserve">Submissions for the NICE Shared Learning awards </w:t>
      </w:r>
      <w:r w:rsidR="003C45C0">
        <w:t xml:space="preserve">are </w:t>
      </w:r>
      <w:r>
        <w:t>in progress.</w:t>
      </w:r>
    </w:p>
    <w:p w:rsidR="003569E2" w:rsidRDefault="003C45C0" w:rsidP="003569E2">
      <w:pPr>
        <w:pStyle w:val="ListParagraph"/>
        <w:numPr>
          <w:ilvl w:val="0"/>
          <w:numId w:val="3"/>
        </w:numPr>
      </w:pPr>
      <w:r>
        <w:t>The Executive and Quality dashboards are automatically updated monthly.</w:t>
      </w:r>
    </w:p>
    <w:p w:rsidR="003C45C0" w:rsidRPr="003C45C0" w:rsidRDefault="003C45C0" w:rsidP="003C45C0">
      <w:pPr>
        <w:rPr>
          <w:u w:val="single"/>
        </w:rPr>
      </w:pPr>
      <w:r w:rsidRPr="003C45C0">
        <w:rPr>
          <w:u w:val="single"/>
        </w:rPr>
        <w:t>Table 1.2</w:t>
      </w:r>
    </w:p>
    <w:p w:rsidR="003569E2" w:rsidRDefault="003569E2" w:rsidP="003569E2">
      <w:r>
        <w:rPr>
          <w:noProof/>
          <w:lang w:eastAsia="en-GB"/>
        </w:rPr>
        <w:drawing>
          <wp:inline distT="0" distB="0" distL="0" distR="0" wp14:anchorId="6418EFCC" wp14:editId="420446B8">
            <wp:extent cx="5943600" cy="2505075"/>
            <wp:effectExtent l="133350" t="57150" r="95250" b="1619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b="5359"/>
                    <a:stretch/>
                  </pic:blipFill>
                  <pic:spPr bwMode="auto">
                    <a:xfrm>
                      <a:off x="0" y="0"/>
                      <a:ext cx="5943600" cy="25050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45C0" w:rsidRPr="003C45C0" w:rsidRDefault="003C45C0" w:rsidP="003569E2">
      <w:pPr>
        <w:rPr>
          <w:u w:val="single"/>
        </w:rPr>
      </w:pPr>
      <w:r w:rsidRPr="003C45C0">
        <w:rPr>
          <w:u w:val="single"/>
        </w:rPr>
        <w:lastRenderedPageBreak/>
        <w:t>Table 1.3</w:t>
      </w:r>
    </w:p>
    <w:p w:rsidR="003C45C0" w:rsidRDefault="003C45C0" w:rsidP="003569E2">
      <w:r>
        <w:rPr>
          <w:noProof/>
          <w:lang w:eastAsia="en-GB"/>
        </w:rPr>
        <w:drawing>
          <wp:inline distT="0" distB="0" distL="0" distR="0" wp14:anchorId="24BDDB3B" wp14:editId="125D9659">
            <wp:extent cx="5981700" cy="2667000"/>
            <wp:effectExtent l="114300" t="57150" r="38100" b="133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6841" r="-641" b="5074"/>
                    <a:stretch/>
                  </pic:blipFill>
                  <pic:spPr bwMode="auto">
                    <a:xfrm>
                      <a:off x="0" y="0"/>
                      <a:ext cx="5981700" cy="2667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45C0" w:rsidRPr="003C45C0" w:rsidRDefault="003C45C0" w:rsidP="003C45C0">
      <w:pPr>
        <w:rPr>
          <w:b/>
        </w:rPr>
      </w:pPr>
      <w:r w:rsidRPr="003C45C0">
        <w:rPr>
          <w:b/>
        </w:rPr>
        <w:t>Future Developments</w:t>
      </w:r>
    </w:p>
    <w:p w:rsidR="003C45C0" w:rsidRDefault="003C45C0" w:rsidP="003C45C0">
      <w:pPr>
        <w:pStyle w:val="ListParagraph"/>
        <w:numPr>
          <w:ilvl w:val="0"/>
          <w:numId w:val="5"/>
        </w:numPr>
      </w:pPr>
      <w:r>
        <w:t xml:space="preserve">Strengthen links with Bay Health and Care Partners to start reviewing </w:t>
      </w:r>
      <w:r w:rsidR="000473E8">
        <w:t>all NICE Guidance as part of patient</w:t>
      </w:r>
      <w:r>
        <w:t xml:space="preserve"> pathway</w:t>
      </w:r>
      <w:r w:rsidR="000473E8">
        <w:t>s</w:t>
      </w:r>
      <w:r>
        <w:t>.</w:t>
      </w:r>
    </w:p>
    <w:p w:rsidR="003C45C0" w:rsidRDefault="003C45C0" w:rsidP="003C45C0">
      <w:pPr>
        <w:pStyle w:val="ListParagraph"/>
        <w:numPr>
          <w:ilvl w:val="0"/>
          <w:numId w:val="5"/>
        </w:numPr>
      </w:pPr>
      <w:r>
        <w:t>Engage with service users as part of guideline reviews.</w:t>
      </w:r>
    </w:p>
    <w:p w:rsidR="003C45C0" w:rsidRDefault="008637C9" w:rsidP="003C45C0">
      <w:pPr>
        <w:pStyle w:val="ListParagraph"/>
        <w:numPr>
          <w:ilvl w:val="0"/>
          <w:numId w:val="5"/>
        </w:numPr>
      </w:pPr>
      <w:r>
        <w:t>Further develop Divisional reviews of evidence of compliance to ensure that there is agreement of compliance and robust assurance.</w:t>
      </w:r>
    </w:p>
    <w:p w:rsidR="008637C9" w:rsidRDefault="008637C9" w:rsidP="003C45C0">
      <w:pPr>
        <w:pStyle w:val="ListParagraph"/>
        <w:numPr>
          <w:ilvl w:val="0"/>
          <w:numId w:val="5"/>
        </w:numPr>
      </w:pPr>
      <w:r>
        <w:t xml:space="preserve">Continued involvement in </w:t>
      </w:r>
      <w:r w:rsidR="000473E8">
        <w:t xml:space="preserve">NICE </w:t>
      </w:r>
      <w:r>
        <w:t>guideline consultations.</w:t>
      </w:r>
    </w:p>
    <w:p w:rsidR="008637C9" w:rsidRDefault="008637C9" w:rsidP="003C45C0">
      <w:pPr>
        <w:pStyle w:val="ListParagraph"/>
        <w:numPr>
          <w:ilvl w:val="0"/>
          <w:numId w:val="5"/>
        </w:numPr>
      </w:pPr>
      <w:r>
        <w:t>Submit examples of successful and effective implementation of NICE guidance for NICE Shared Learning Examples and/or Quality and Productivity Cases.</w:t>
      </w:r>
    </w:p>
    <w:p w:rsidR="008637C9" w:rsidRDefault="008637C9" w:rsidP="003C45C0">
      <w:pPr>
        <w:pStyle w:val="ListParagraph"/>
        <w:numPr>
          <w:ilvl w:val="0"/>
          <w:numId w:val="5"/>
        </w:numPr>
      </w:pPr>
      <w:r>
        <w:t xml:space="preserve">Continue to support the role of the Trust Lead for NICE.  </w:t>
      </w:r>
    </w:p>
    <w:sectPr w:rsidR="008637C9" w:rsidSect="000728B7">
      <w:headerReference w:type="default" r:id="rId12"/>
      <w:footerReference w:type="default" r:id="rId13"/>
      <w:pgSz w:w="11906" w:h="16838"/>
      <w:pgMar w:top="233" w:right="991" w:bottom="1135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1EC" w:rsidRDefault="002001EC" w:rsidP="00705EC1">
      <w:pPr>
        <w:spacing w:after="0" w:line="240" w:lineRule="auto"/>
      </w:pPr>
      <w:r>
        <w:separator/>
      </w:r>
    </w:p>
  </w:endnote>
  <w:endnote w:type="continuationSeparator" w:id="0">
    <w:p w:rsidR="002001EC" w:rsidRDefault="002001EC" w:rsidP="00705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248" w:rsidRDefault="00367248">
    <w:pPr>
      <w:pStyle w:val="Footer"/>
    </w:pPr>
    <w:r>
      <w:t>NICE Briefing (November 2016)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1EC" w:rsidRDefault="002001EC" w:rsidP="00705EC1">
      <w:pPr>
        <w:spacing w:after="0" w:line="240" w:lineRule="auto"/>
      </w:pPr>
      <w:r>
        <w:separator/>
      </w:r>
    </w:p>
  </w:footnote>
  <w:footnote w:type="continuationSeparator" w:id="0">
    <w:p w:rsidR="002001EC" w:rsidRDefault="002001EC" w:rsidP="00705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5C0" w:rsidRPr="003C45C0" w:rsidRDefault="003C45C0" w:rsidP="003C45C0">
    <w:r w:rsidRPr="003C45C0">
      <w:t xml:space="preserve">NICE Progress Update                                                                                        </w:t>
    </w:r>
    <w:r w:rsidRPr="003C45C0">
      <w:rPr>
        <w:noProof/>
        <w:lang w:eastAsia="en-GB"/>
      </w:rPr>
      <w:drawing>
        <wp:inline distT="0" distB="0" distL="0" distR="0" wp14:anchorId="55A95E45" wp14:editId="5D925568">
          <wp:extent cx="1988286" cy="467832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1856" t="7261" r="63449" b="83498"/>
                  <a:stretch/>
                </pic:blipFill>
                <pic:spPr bwMode="auto">
                  <a:xfrm>
                    <a:off x="0" y="0"/>
                    <a:ext cx="1988580" cy="4679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3C45C0" w:rsidRPr="003C45C0" w:rsidRDefault="003C45C0" w:rsidP="003C45C0">
    <w:r w:rsidRPr="003C45C0">
      <w:t>24</w:t>
    </w:r>
    <w:r w:rsidRPr="003C45C0">
      <w:rPr>
        <w:vertAlign w:val="superscript"/>
      </w:rPr>
      <w:t>th</w:t>
    </w:r>
    <w:r w:rsidRPr="003C45C0">
      <w:t xml:space="preserve"> November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30C55"/>
    <w:multiLevelType w:val="hybridMultilevel"/>
    <w:tmpl w:val="96E08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042E33"/>
    <w:multiLevelType w:val="hybridMultilevel"/>
    <w:tmpl w:val="26BC4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6E6E3D"/>
    <w:multiLevelType w:val="hybridMultilevel"/>
    <w:tmpl w:val="101418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05C7625"/>
    <w:multiLevelType w:val="hybridMultilevel"/>
    <w:tmpl w:val="79D69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030F49"/>
    <w:multiLevelType w:val="hybridMultilevel"/>
    <w:tmpl w:val="43F8EBA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EC1"/>
    <w:rsid w:val="000473E8"/>
    <w:rsid w:val="00056052"/>
    <w:rsid w:val="000728B7"/>
    <w:rsid w:val="002001EC"/>
    <w:rsid w:val="00252936"/>
    <w:rsid w:val="003569E2"/>
    <w:rsid w:val="00367248"/>
    <w:rsid w:val="003C45C0"/>
    <w:rsid w:val="0041125C"/>
    <w:rsid w:val="004C2D75"/>
    <w:rsid w:val="00705EC1"/>
    <w:rsid w:val="008637C9"/>
    <w:rsid w:val="00865A48"/>
    <w:rsid w:val="00907D38"/>
    <w:rsid w:val="00972B24"/>
    <w:rsid w:val="009E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5E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EC1"/>
  </w:style>
  <w:style w:type="paragraph" w:styleId="Footer">
    <w:name w:val="footer"/>
    <w:basedOn w:val="Normal"/>
    <w:link w:val="FooterChar"/>
    <w:uiPriority w:val="99"/>
    <w:unhideWhenUsed/>
    <w:rsid w:val="00705E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EC1"/>
  </w:style>
  <w:style w:type="paragraph" w:styleId="BalloonText">
    <w:name w:val="Balloon Text"/>
    <w:basedOn w:val="Normal"/>
    <w:link w:val="BalloonTextChar"/>
    <w:uiPriority w:val="99"/>
    <w:semiHidden/>
    <w:unhideWhenUsed/>
    <w:rsid w:val="00705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E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5E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5E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EC1"/>
  </w:style>
  <w:style w:type="paragraph" w:styleId="Footer">
    <w:name w:val="footer"/>
    <w:basedOn w:val="Normal"/>
    <w:link w:val="FooterChar"/>
    <w:uiPriority w:val="99"/>
    <w:unhideWhenUsed/>
    <w:rsid w:val="00705E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EC1"/>
  </w:style>
  <w:style w:type="paragraph" w:styleId="BalloonText">
    <w:name w:val="Balloon Text"/>
    <w:basedOn w:val="Normal"/>
    <w:link w:val="BalloonTextChar"/>
    <w:uiPriority w:val="99"/>
    <w:semiHidden/>
    <w:unhideWhenUsed/>
    <w:rsid w:val="00705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E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5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[EXT7908.tmp]Sheet1!PivotTable1</c:name>
    <c:fmtId val="-1"/>
  </c:pivotSource>
  <c:chart>
    <c:title>
      <c:tx>
        <c:rich>
          <a:bodyPr/>
          <a:lstStyle/>
          <a:p>
            <a:pPr>
              <a:defRPr/>
            </a:pPr>
            <a:r>
              <a:rPr lang="en-US" sz="1400"/>
              <a:t>NICE Guidance November 16</a:t>
            </a:r>
          </a:p>
        </c:rich>
      </c:tx>
      <c:layout>
        <c:manualLayout>
          <c:xMode val="edge"/>
          <c:yMode val="edge"/>
          <c:x val="0.11739215290396393"/>
          <c:y val="4.2169206071048439E-2"/>
        </c:manualLayout>
      </c:layout>
      <c:overlay val="0"/>
    </c:title>
    <c:autoTitleDeleted val="0"/>
    <c:pivotFmts>
      <c:pivotFmt>
        <c:idx val="0"/>
        <c:marker>
          <c:symbol val="none"/>
        </c:marker>
      </c:pivotFmt>
      <c:pivotFmt>
        <c:idx val="1"/>
        <c:marker>
          <c:symbol val="none"/>
        </c:marker>
      </c:pivotFmt>
      <c:pivotFmt>
        <c:idx val="2"/>
        <c:marker>
          <c:symbol val="none"/>
        </c:marker>
      </c:pivotFmt>
      <c:pivotFmt>
        <c:idx val="3"/>
        <c:marker>
          <c:symbol val="none"/>
        </c:marker>
      </c:pivotFmt>
      <c:pivotFmt>
        <c:idx val="4"/>
        <c:marker>
          <c:symbol val="none"/>
        </c:marker>
      </c:pivotFmt>
      <c:pivotFmt>
        <c:idx val="5"/>
        <c:marker>
          <c:symbol val="none"/>
        </c:marker>
      </c:pivotFmt>
      <c:pivotFmt>
        <c:idx val="6"/>
        <c:marker>
          <c:symbol val="none"/>
        </c:marker>
      </c:pivotFmt>
      <c:pivotFmt>
        <c:idx val="7"/>
        <c:marker>
          <c:symbol val="none"/>
        </c:marker>
      </c:pivotFmt>
      <c:pivotFmt>
        <c:idx val="8"/>
        <c:marker>
          <c:symbol val="none"/>
        </c:marker>
      </c:pivotFmt>
      <c:pivotFmt>
        <c:idx val="9"/>
        <c:marker>
          <c:symbol val="none"/>
        </c:marker>
      </c:pivotFmt>
      <c:pivotFmt>
        <c:idx val="10"/>
        <c:marker>
          <c:symbol val="none"/>
        </c:marker>
      </c:pivotFmt>
      <c:pivotFmt>
        <c:idx val="11"/>
        <c:marker>
          <c:symbol val="none"/>
        </c:marker>
      </c:pivotFmt>
      <c:pivotFmt>
        <c:idx val="12"/>
        <c:marker>
          <c:symbol val="none"/>
        </c:marker>
      </c:pivotFmt>
      <c:pivotFmt>
        <c:idx val="13"/>
        <c:marker>
          <c:symbol val="none"/>
        </c:marker>
      </c:pivotFmt>
      <c:pivotFmt>
        <c:idx val="14"/>
        <c:marker>
          <c:symbol val="none"/>
        </c:marker>
      </c:pivotFmt>
      <c:pivotFmt>
        <c:idx val="15"/>
        <c:marker>
          <c:symbol val="none"/>
        </c:marker>
      </c:pivotFmt>
      <c:pivotFmt>
        <c:idx val="16"/>
        <c:marker>
          <c:symbol val="none"/>
        </c:marker>
      </c:pivotFmt>
      <c:pivotFmt>
        <c:idx val="17"/>
        <c:spPr>
          <a:solidFill>
            <a:schemeClr val="bg1">
              <a:lumMod val="75000"/>
            </a:schemeClr>
          </a:solidFill>
        </c:spPr>
        <c:marker>
          <c:symbol val="none"/>
        </c:marker>
      </c:pivotFmt>
      <c:pivotFmt>
        <c:idx val="18"/>
        <c:spPr>
          <a:solidFill>
            <a:srgbClr val="00B050"/>
          </a:solidFill>
        </c:spPr>
      </c:pivotFmt>
      <c:pivotFmt>
        <c:idx val="19"/>
        <c:spPr>
          <a:solidFill>
            <a:srgbClr val="FFC000"/>
          </a:solidFill>
        </c:spPr>
      </c:pivotFmt>
      <c:pivotFmt>
        <c:idx val="20"/>
        <c:spPr>
          <a:solidFill>
            <a:srgbClr val="0070C0"/>
          </a:solidFill>
        </c:spPr>
      </c:pivotFmt>
      <c:pivotFmt>
        <c:idx val="21"/>
        <c:spPr>
          <a:solidFill>
            <a:schemeClr val="tx1"/>
          </a:solidFill>
        </c:spPr>
      </c:pivotFmt>
      <c:pivotFmt>
        <c:idx val="22"/>
        <c:spPr>
          <a:solidFill>
            <a:schemeClr val="bg1">
              <a:lumMod val="75000"/>
            </a:schemeClr>
          </a:solidFill>
        </c:spPr>
        <c:marker>
          <c:symbol val="none"/>
        </c:marker>
      </c:pivotFmt>
      <c:pivotFmt>
        <c:idx val="23"/>
        <c:spPr>
          <a:solidFill>
            <a:srgbClr val="00B050"/>
          </a:solidFill>
        </c:spPr>
      </c:pivotFmt>
      <c:pivotFmt>
        <c:idx val="24"/>
        <c:spPr>
          <a:solidFill>
            <a:srgbClr val="FFC000"/>
          </a:solidFill>
        </c:spPr>
      </c:pivotFmt>
      <c:pivotFmt>
        <c:idx val="25"/>
        <c:spPr>
          <a:solidFill>
            <a:srgbClr val="0070C0"/>
          </a:solidFill>
        </c:spPr>
      </c:pivotFmt>
      <c:pivotFmt>
        <c:idx val="26"/>
        <c:spPr>
          <a:solidFill>
            <a:schemeClr val="tx1"/>
          </a:solidFill>
        </c:spPr>
      </c:pivotFmt>
      <c:pivotFmt>
        <c:idx val="27"/>
        <c:spPr>
          <a:solidFill>
            <a:schemeClr val="bg1">
              <a:lumMod val="75000"/>
            </a:schemeClr>
          </a:solidFill>
        </c:spPr>
        <c:marker>
          <c:symbol val="none"/>
        </c:marker>
      </c:pivotFmt>
      <c:pivotFmt>
        <c:idx val="28"/>
        <c:spPr>
          <a:solidFill>
            <a:srgbClr val="00B050"/>
          </a:solidFill>
        </c:spPr>
      </c:pivotFmt>
      <c:pivotFmt>
        <c:idx val="29"/>
        <c:spPr>
          <a:solidFill>
            <a:srgbClr val="FFC000"/>
          </a:solidFill>
        </c:spPr>
      </c:pivotFmt>
      <c:pivotFmt>
        <c:idx val="30"/>
        <c:spPr>
          <a:solidFill>
            <a:srgbClr val="0070C0"/>
          </a:solidFill>
        </c:spPr>
      </c:pivotFmt>
      <c:pivotFmt>
        <c:idx val="31"/>
        <c:spPr>
          <a:solidFill>
            <a:schemeClr val="tx1"/>
          </a:solidFill>
        </c:spPr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2"/>
            <c:invertIfNegative val="0"/>
            <c:bubble3D val="0"/>
            <c:spPr>
              <a:solidFill>
                <a:srgbClr val="FFC000"/>
              </a:solidFill>
            </c:spPr>
          </c:dPt>
          <c:dPt>
            <c:idx val="3"/>
            <c:invertIfNegative val="0"/>
            <c:bubble3D val="0"/>
            <c:spPr>
              <a:solidFill>
                <a:srgbClr val="0070C0"/>
              </a:solidFill>
            </c:spPr>
          </c:dPt>
          <c:dPt>
            <c:idx val="5"/>
            <c:invertIfNegative val="0"/>
            <c:bubble3D val="0"/>
            <c:spPr>
              <a:solidFill>
                <a:schemeClr val="tx1"/>
              </a:solidFill>
            </c:spPr>
          </c:dPt>
          <c:cat>
            <c:strRef>
              <c:f>Sheet1!$A$2:$A$8</c:f>
              <c:strCache>
                <c:ptCount val="6"/>
                <c:pt idx="0">
                  <c:v>Compliant</c:v>
                </c:pt>
                <c:pt idx="1">
                  <c:v>Not Applicable</c:v>
                </c:pt>
                <c:pt idx="2">
                  <c:v>Partially Compliant</c:v>
                </c:pt>
                <c:pt idx="3">
                  <c:v>Closed</c:v>
                </c:pt>
                <c:pt idx="4">
                  <c:v>Not Yet Reviewed</c:v>
                </c:pt>
                <c:pt idx="5">
                  <c:v>Exception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6"/>
                <c:pt idx="0">
                  <c:v>263</c:v>
                </c:pt>
                <c:pt idx="1">
                  <c:v>191</c:v>
                </c:pt>
                <c:pt idx="2">
                  <c:v>102</c:v>
                </c:pt>
                <c:pt idx="3">
                  <c:v>61</c:v>
                </c:pt>
                <c:pt idx="4">
                  <c:v>30</c:v>
                </c:pt>
                <c:pt idx="5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121408"/>
        <c:axId val="35262464"/>
      </c:barChart>
      <c:catAx>
        <c:axId val="35121408"/>
        <c:scaling>
          <c:orientation val="minMax"/>
        </c:scaling>
        <c:delete val="0"/>
        <c:axPos val="b"/>
        <c:majorTickMark val="none"/>
        <c:minorTickMark val="none"/>
        <c:tickLblPos val="nextTo"/>
        <c:crossAx val="35262464"/>
        <c:crosses val="autoZero"/>
        <c:auto val="1"/>
        <c:lblAlgn val="ctr"/>
        <c:lblOffset val="100"/>
        <c:noMultiLvlLbl val="0"/>
      </c:catAx>
      <c:valAx>
        <c:axId val="3526246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Status</a:t>
                </a:r>
              </a:p>
            </c:rich>
          </c:tx>
          <c:layout>
            <c:manualLayout>
              <c:xMode val="edge"/>
              <c:yMode val="edge"/>
              <c:x val="9.9354197714853452E-3"/>
              <c:y val="0.39807706328375619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3512140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</c:extLst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BAAF9-8355-466E-BB27-98A57133A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3404</Characters>
  <Application>Microsoft Office Word</Application>
  <DocSecurity>4</DocSecurity>
  <Lines>61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UHMB</Company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Moate Louise (UHMB Governance)</dc:creator>
  <cp:lastModifiedBy>Moate Louise (UHMB Governance)</cp:lastModifiedBy>
  <cp:revision>2</cp:revision>
  <dcterms:created xsi:type="dcterms:W3CDTF">2016-12-06T12:12:00Z</dcterms:created>
  <dcterms:modified xsi:type="dcterms:W3CDTF">2016-12-06T12:12:00Z</dcterms:modified>
</cp:coreProperties>
</file>