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2" w:rsidRPr="00C4666E" w:rsidRDefault="00456536" w:rsidP="00C4666E">
      <w:pPr>
        <w:jc w:val="center"/>
        <w:rPr>
          <w:b/>
          <w:u w:val="single"/>
        </w:rPr>
      </w:pPr>
      <w:r w:rsidRPr="00456536">
        <w:rPr>
          <w:b/>
          <w:u w:val="single"/>
        </w:rPr>
        <w:t>NICE Shared Learning Example</w:t>
      </w:r>
      <w:r w:rsidR="00C4666E">
        <w:rPr>
          <w:b/>
          <w:u w:val="single"/>
        </w:rPr>
        <w:t xml:space="preserve"> MISSION ABC</w:t>
      </w:r>
      <w:bookmarkStart w:id="0" w:name="_GoBack"/>
      <w:bookmarkEnd w:id="0"/>
    </w:p>
    <w:p w:rsidR="007566D9" w:rsidRDefault="00D5606A" w:rsidP="007566D9">
      <w:pPr>
        <w:spacing w:line="360" w:lineRule="atLeast"/>
        <w:rPr>
          <w:rFonts w:eastAsia="Times New Roman" w:cs="Times New Roman"/>
          <w:color w:val="0E0E0E"/>
          <w:lang w:eastAsia="en-GB"/>
        </w:rPr>
      </w:pPr>
      <w:r>
        <w:rPr>
          <w:rFonts w:eastAsia="Times New Roman" w:cs="Times New Roman"/>
          <w:color w:val="0E0E0E"/>
          <w:lang w:eastAsia="en-GB"/>
        </w:rPr>
        <w:t xml:space="preserve"> </w:t>
      </w:r>
      <w:r w:rsidR="00DD60F2">
        <w:rPr>
          <w:rFonts w:eastAsia="Times New Roman" w:cs="Times New Roman"/>
          <w:noProof/>
          <w:color w:val="0E0E0E"/>
          <w:lang w:eastAsia="en-GB"/>
        </w:rPr>
        <w:drawing>
          <wp:inline distT="0" distB="0" distL="0" distR="0" wp14:anchorId="70C48A6C" wp14:editId="3EFF49B8">
            <wp:extent cx="5552698" cy="419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5"/>
                    <a:stretch/>
                  </pic:blipFill>
                  <pic:spPr bwMode="auto">
                    <a:xfrm>
                      <a:off x="0" y="0"/>
                      <a:ext cx="5551068" cy="41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62C" w:rsidRDefault="0077762C" w:rsidP="007566D9">
      <w:pPr>
        <w:spacing w:line="360" w:lineRule="atLeast"/>
        <w:rPr>
          <w:rFonts w:eastAsia="Times New Roman" w:cs="Times New Roman"/>
          <w:color w:val="0E0E0E"/>
          <w:sz w:val="18"/>
          <w:szCs w:val="18"/>
          <w:lang w:eastAsia="en-GB"/>
        </w:rPr>
      </w:pPr>
      <w:r>
        <w:rPr>
          <w:rFonts w:eastAsia="Times New Roman" w:cs="Times New Roman"/>
          <w:color w:val="0E0E0E"/>
          <w:sz w:val="18"/>
          <w:szCs w:val="18"/>
          <w:lang w:eastAsia="en-GB"/>
        </w:rPr>
        <w:t>Figure 1.</w:t>
      </w:r>
    </w:p>
    <w:p w:rsidR="007566D9" w:rsidRDefault="00627653" w:rsidP="007566D9">
      <w:pPr>
        <w:spacing w:line="360" w:lineRule="atLeast"/>
        <w:rPr>
          <w:rFonts w:eastAsia="Times New Roman" w:cs="Times New Roman"/>
          <w:color w:val="0E0E0E"/>
          <w:lang w:eastAsia="en-GB"/>
        </w:rPr>
      </w:pPr>
      <w:r w:rsidRPr="00627653">
        <w:rPr>
          <w:rFonts w:eastAsia="Times New Roman" w:cs="Times New Roman"/>
          <w:noProof/>
          <w:color w:val="0E0E0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F4AE" wp14:editId="5FA69312">
                <wp:simplePos x="0" y="0"/>
                <wp:positionH relativeFrom="column">
                  <wp:posOffset>86360</wp:posOffset>
                </wp:positionH>
                <wp:positionV relativeFrom="paragraph">
                  <wp:posOffset>74930</wp:posOffset>
                </wp:positionV>
                <wp:extent cx="1368425" cy="396875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6F" w:rsidRPr="00627653" w:rsidRDefault="0085206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Number of hospital </w:t>
                            </w:r>
                            <w:r w:rsidRPr="00627653">
                              <w:rPr>
                                <w:sz w:val="14"/>
                              </w:rPr>
                              <w:t>admissions per pt per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5.9pt;width:107.7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" stroked="f">
                <v:textbox>
                  <w:txbxContent>
                    <w:p w:rsidR="0085206F" w:rsidRPr="00627653" w:rsidRDefault="0085206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Number of hospital </w:t>
                      </w:r>
                      <w:r w:rsidRPr="00627653">
                        <w:rPr>
                          <w:sz w:val="14"/>
                        </w:rPr>
                        <w:t>admissions per pt per 3 months</w:t>
                      </w:r>
                    </w:p>
                  </w:txbxContent>
                </v:textbox>
              </v:shape>
            </w:pict>
          </mc:Fallback>
        </mc:AlternateContent>
      </w:r>
      <w:r w:rsidRPr="0001760F">
        <w:rPr>
          <w:rFonts w:eastAsia="Times New Roman" w:cs="Times New Roman"/>
          <w:noProof/>
          <w:color w:val="0E0E0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0DE8" wp14:editId="03D33422">
                <wp:simplePos x="0" y="0"/>
                <wp:positionH relativeFrom="column">
                  <wp:posOffset>1755140</wp:posOffset>
                </wp:positionH>
                <wp:positionV relativeFrom="paragraph">
                  <wp:posOffset>18415</wp:posOffset>
                </wp:positionV>
                <wp:extent cx="2988945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6F" w:rsidRPr="00627653" w:rsidRDefault="0085206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Change in number</w:t>
                            </w:r>
                            <w:r w:rsidRPr="00627653">
                              <w:rPr>
                                <w:u w:val="single"/>
                              </w:rPr>
                              <w:t xml:space="preserve"> of hospital admissions before and after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2pt;margin-top:1.45pt;width:235.3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" filled="f" stroked="f">
                <v:textbox>
                  <w:txbxContent>
                    <w:p w:rsidR="0085206F" w:rsidRPr="00627653" w:rsidRDefault="0085206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Change in number</w:t>
                      </w:r>
                      <w:r w:rsidRPr="00627653">
                        <w:rPr>
                          <w:u w:val="single"/>
                        </w:rPr>
                        <w:t xml:space="preserve"> of hospital admissions before and after MISSION</w:t>
                      </w:r>
                    </w:p>
                  </w:txbxContent>
                </v:textbox>
              </v:shape>
            </w:pict>
          </mc:Fallback>
        </mc:AlternateContent>
      </w:r>
      <w:r w:rsidR="00531B9C">
        <w:rPr>
          <w:noProof/>
          <w:lang w:eastAsia="en-GB"/>
        </w:rPr>
        <w:drawing>
          <wp:inline distT="0" distB="0" distL="0" distR="0" wp14:anchorId="5883AE54" wp14:editId="4EC3AC46">
            <wp:extent cx="5324475" cy="28765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62C" w:rsidRPr="0077762C" w:rsidRDefault="0077762C" w:rsidP="007566D9">
      <w:pPr>
        <w:spacing w:line="360" w:lineRule="atLeast"/>
        <w:rPr>
          <w:rFonts w:eastAsia="Times New Roman" w:cs="Times New Roman"/>
          <w:color w:val="0E0E0E"/>
          <w:sz w:val="20"/>
          <w:szCs w:val="20"/>
          <w:lang w:eastAsia="en-GB"/>
        </w:rPr>
      </w:pPr>
      <w:r>
        <w:rPr>
          <w:rFonts w:eastAsia="Times New Roman" w:cs="Times New Roman"/>
          <w:color w:val="0E0E0E"/>
          <w:sz w:val="20"/>
          <w:szCs w:val="20"/>
          <w:lang w:eastAsia="en-GB"/>
        </w:rPr>
        <w:t>Figure 2. Run chart of mean hospital admissions.</w:t>
      </w:r>
    </w:p>
    <w:p w:rsidR="0077762C" w:rsidRDefault="0086756A" w:rsidP="007566D9">
      <w:pPr>
        <w:spacing w:line="360" w:lineRule="atLeast"/>
        <w:rPr>
          <w:rFonts w:eastAsia="Times New Roman" w:cs="Times New Roman"/>
          <w:color w:val="0E0E0E"/>
          <w:lang w:eastAsia="en-GB"/>
        </w:rPr>
      </w:pPr>
      <w:r w:rsidRPr="0086756A">
        <w:rPr>
          <w:rFonts w:eastAsia="Times New Roman" w:cs="Times New Roman"/>
          <w:noProof/>
          <w:color w:val="0E0E0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4D884" wp14:editId="0BE306B0">
                <wp:simplePos x="0" y="0"/>
                <wp:positionH relativeFrom="column">
                  <wp:posOffset>119818</wp:posOffset>
                </wp:positionH>
                <wp:positionV relativeFrom="paragraph">
                  <wp:posOffset>14539</wp:posOffset>
                </wp:positionV>
                <wp:extent cx="1109892" cy="4414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892" cy="44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6F" w:rsidRPr="0086756A" w:rsidRDefault="0085206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756A">
                              <w:rPr>
                                <w:sz w:val="14"/>
                                <w:szCs w:val="14"/>
                              </w:rPr>
                              <w:t>Number of GP attendances per pt per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45pt;margin-top:1.15pt;width:87.4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" stroked="f">
                <v:textbox>
                  <w:txbxContent>
                    <w:p w:rsidR="0085206F" w:rsidRPr="0086756A" w:rsidRDefault="0085206F">
                      <w:pPr>
                        <w:rPr>
                          <w:sz w:val="14"/>
                          <w:szCs w:val="14"/>
                        </w:rPr>
                      </w:pPr>
                      <w:r w:rsidRPr="0086756A">
                        <w:rPr>
                          <w:sz w:val="14"/>
                          <w:szCs w:val="14"/>
                        </w:rPr>
                        <w:t>Number of GP attendances per pt per 3 months</w:t>
                      </w:r>
                    </w:p>
                  </w:txbxContent>
                </v:textbox>
              </v:shape>
            </w:pict>
          </mc:Fallback>
        </mc:AlternateContent>
      </w:r>
      <w:r w:rsidR="00627653" w:rsidRPr="00627653">
        <w:rPr>
          <w:rFonts w:eastAsia="Times New Roman" w:cs="Times New Roman"/>
          <w:noProof/>
          <w:color w:val="0E0E0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45366" wp14:editId="32803225">
                <wp:simplePos x="0" y="0"/>
                <wp:positionH relativeFrom="column">
                  <wp:posOffset>1625250</wp:posOffset>
                </wp:positionH>
                <wp:positionV relativeFrom="paragraph">
                  <wp:posOffset>37553</wp:posOffset>
                </wp:positionV>
                <wp:extent cx="3115267" cy="485578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267" cy="485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6F" w:rsidRPr="0086756A" w:rsidRDefault="0085206F">
                            <w:pPr>
                              <w:rPr>
                                <w:u w:val="single"/>
                              </w:rPr>
                            </w:pPr>
                            <w:r w:rsidRPr="0086756A">
                              <w:rPr>
                                <w:u w:val="single"/>
                              </w:rPr>
                              <w:t>Change in number of unscheduled GP attendances before and after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95pt;margin-top:2.95pt;width:245.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" stroked="f">
                <v:textbox>
                  <w:txbxContent>
                    <w:p w:rsidR="0085206F" w:rsidRPr="0086756A" w:rsidRDefault="0085206F">
                      <w:pPr>
                        <w:rPr>
                          <w:u w:val="single"/>
                        </w:rPr>
                      </w:pPr>
                      <w:r w:rsidRPr="0086756A">
                        <w:rPr>
                          <w:u w:val="single"/>
                        </w:rPr>
                        <w:t>Change in number of unscheduled GP attendances before and after MISSION</w:t>
                      </w:r>
                    </w:p>
                  </w:txbxContent>
                </v:textbox>
              </v:shape>
            </w:pict>
          </mc:Fallback>
        </mc:AlternateContent>
      </w:r>
      <w:r w:rsidR="00DC2BA9">
        <w:rPr>
          <w:noProof/>
          <w:lang w:eastAsia="en-GB"/>
        </w:rPr>
        <w:drawing>
          <wp:inline distT="0" distB="0" distL="0" distR="0" wp14:anchorId="7B1070DB" wp14:editId="40C68356">
            <wp:extent cx="5324475" cy="28765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0895" w:rsidRDefault="00C00895" w:rsidP="007566D9">
      <w:pPr>
        <w:spacing w:line="360" w:lineRule="atLeast"/>
        <w:rPr>
          <w:rFonts w:eastAsia="Times New Roman" w:cs="Times New Roman"/>
          <w:color w:val="0E0E0E"/>
          <w:sz w:val="20"/>
          <w:szCs w:val="20"/>
          <w:lang w:eastAsia="en-GB"/>
        </w:rPr>
      </w:pPr>
      <w:r>
        <w:rPr>
          <w:rFonts w:eastAsia="Times New Roman" w:cs="Times New Roman"/>
          <w:color w:val="0E0E0E"/>
          <w:sz w:val="20"/>
          <w:szCs w:val="20"/>
          <w:lang w:eastAsia="en-GB"/>
        </w:rPr>
        <w:t>Figure 3. Run chart of mean unscheduled GP visits.</w:t>
      </w:r>
    </w:p>
    <w:p w:rsidR="00456536" w:rsidRPr="00456536" w:rsidRDefault="00456536" w:rsidP="00456536"/>
    <w:sectPr w:rsidR="00456536" w:rsidRPr="0045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5BD"/>
    <w:multiLevelType w:val="hybridMultilevel"/>
    <w:tmpl w:val="092E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65B"/>
    <w:multiLevelType w:val="hybridMultilevel"/>
    <w:tmpl w:val="ECB447E0"/>
    <w:lvl w:ilvl="0" w:tplc="BA7004D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5B3C"/>
    <w:multiLevelType w:val="hybridMultilevel"/>
    <w:tmpl w:val="54E67F9A"/>
    <w:lvl w:ilvl="0" w:tplc="8482D0EE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B5F"/>
    <w:multiLevelType w:val="hybridMultilevel"/>
    <w:tmpl w:val="CA0A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6"/>
    <w:rsid w:val="00016EC5"/>
    <w:rsid w:val="0001760F"/>
    <w:rsid w:val="00021DD0"/>
    <w:rsid w:val="00021DE8"/>
    <w:rsid w:val="000237FB"/>
    <w:rsid w:val="00063C24"/>
    <w:rsid w:val="00081DFA"/>
    <w:rsid w:val="00083544"/>
    <w:rsid w:val="000B6BD3"/>
    <w:rsid w:val="000D2761"/>
    <w:rsid w:val="00103DE5"/>
    <w:rsid w:val="00117B01"/>
    <w:rsid w:val="00125483"/>
    <w:rsid w:val="0014370D"/>
    <w:rsid w:val="00161C83"/>
    <w:rsid w:val="00161DE4"/>
    <w:rsid w:val="001864C1"/>
    <w:rsid w:val="001D26B3"/>
    <w:rsid w:val="00205671"/>
    <w:rsid w:val="00223837"/>
    <w:rsid w:val="002421B7"/>
    <w:rsid w:val="002571C3"/>
    <w:rsid w:val="002715D9"/>
    <w:rsid w:val="002829B6"/>
    <w:rsid w:val="002A4439"/>
    <w:rsid w:val="002D652A"/>
    <w:rsid w:val="002F0E81"/>
    <w:rsid w:val="00356177"/>
    <w:rsid w:val="0037323A"/>
    <w:rsid w:val="00386985"/>
    <w:rsid w:val="003B7229"/>
    <w:rsid w:val="00400A22"/>
    <w:rsid w:val="00411436"/>
    <w:rsid w:val="004141EB"/>
    <w:rsid w:val="00414776"/>
    <w:rsid w:val="00420872"/>
    <w:rsid w:val="00456536"/>
    <w:rsid w:val="0046203E"/>
    <w:rsid w:val="00475B56"/>
    <w:rsid w:val="004778B9"/>
    <w:rsid w:val="004B7D4E"/>
    <w:rsid w:val="004C51B6"/>
    <w:rsid w:val="005177BD"/>
    <w:rsid w:val="00522913"/>
    <w:rsid w:val="00531B9C"/>
    <w:rsid w:val="00533014"/>
    <w:rsid w:val="005338B5"/>
    <w:rsid w:val="00536A41"/>
    <w:rsid w:val="00595A2D"/>
    <w:rsid w:val="005960E8"/>
    <w:rsid w:val="005A49F0"/>
    <w:rsid w:val="005B7E3B"/>
    <w:rsid w:val="005D28F2"/>
    <w:rsid w:val="005D5BE3"/>
    <w:rsid w:val="005F4F2A"/>
    <w:rsid w:val="00627653"/>
    <w:rsid w:val="00632EDB"/>
    <w:rsid w:val="00692D5C"/>
    <w:rsid w:val="006F1337"/>
    <w:rsid w:val="0070748A"/>
    <w:rsid w:val="00754985"/>
    <w:rsid w:val="007566D9"/>
    <w:rsid w:val="00762373"/>
    <w:rsid w:val="0077762C"/>
    <w:rsid w:val="007C2D24"/>
    <w:rsid w:val="007D4DAE"/>
    <w:rsid w:val="0080250E"/>
    <w:rsid w:val="00843AC9"/>
    <w:rsid w:val="0085206F"/>
    <w:rsid w:val="0086756A"/>
    <w:rsid w:val="008A3BF0"/>
    <w:rsid w:val="008B2A7B"/>
    <w:rsid w:val="008E3703"/>
    <w:rsid w:val="00917EBE"/>
    <w:rsid w:val="00A44FA2"/>
    <w:rsid w:val="00B45DDC"/>
    <w:rsid w:val="00B77D70"/>
    <w:rsid w:val="00BB1536"/>
    <w:rsid w:val="00BC5C4A"/>
    <w:rsid w:val="00BE37EE"/>
    <w:rsid w:val="00C00895"/>
    <w:rsid w:val="00C4666E"/>
    <w:rsid w:val="00C64EED"/>
    <w:rsid w:val="00CF1820"/>
    <w:rsid w:val="00D11226"/>
    <w:rsid w:val="00D5606A"/>
    <w:rsid w:val="00D57A86"/>
    <w:rsid w:val="00D84AFE"/>
    <w:rsid w:val="00DA619E"/>
    <w:rsid w:val="00DB0863"/>
    <w:rsid w:val="00DC2BA9"/>
    <w:rsid w:val="00DD0F8F"/>
    <w:rsid w:val="00DD60F2"/>
    <w:rsid w:val="00DE7B52"/>
    <w:rsid w:val="00E31F35"/>
    <w:rsid w:val="00E348D7"/>
    <w:rsid w:val="00E461EA"/>
    <w:rsid w:val="00E65AD9"/>
    <w:rsid w:val="00E70F40"/>
    <w:rsid w:val="00EF3F2C"/>
    <w:rsid w:val="00F00C1F"/>
    <w:rsid w:val="00F01CDE"/>
    <w:rsid w:val="00F95B3A"/>
    <w:rsid w:val="00FD3A98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536"/>
    <w:pPr>
      <w:spacing w:before="360" w:after="180" w:line="330" w:lineRule="atLeast"/>
      <w:outlineLvl w:val="2"/>
    </w:pPr>
    <w:rPr>
      <w:rFonts w:ascii="inherit" w:eastAsia="Times New Roman" w:hAnsi="inherit" w:cs="Times New Roman"/>
      <w:b/>
      <w:bCs/>
      <w:color w:val="0E0E0E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6536"/>
    <w:rPr>
      <w:rFonts w:ascii="inherit" w:eastAsia="Times New Roman" w:hAnsi="inherit" w:cs="Times New Roman"/>
      <w:b/>
      <w:bCs/>
      <w:color w:val="0E0E0E"/>
      <w:sz w:val="30"/>
      <w:szCs w:val="30"/>
      <w:lang w:eastAsia="en-GB"/>
    </w:rPr>
  </w:style>
  <w:style w:type="paragraph" w:styleId="ListParagraph">
    <w:name w:val="List Paragraph"/>
    <w:basedOn w:val="Normal"/>
    <w:uiPriority w:val="34"/>
    <w:qFormat/>
    <w:rsid w:val="002829B6"/>
    <w:pPr>
      <w:ind w:left="720"/>
      <w:contextualSpacing/>
    </w:pPr>
  </w:style>
  <w:style w:type="paragraph" w:styleId="NoSpacing">
    <w:name w:val="No Spacing"/>
    <w:uiPriority w:val="1"/>
    <w:qFormat/>
    <w:rsid w:val="000D27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49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536"/>
    <w:pPr>
      <w:spacing w:before="360" w:after="180" w:line="330" w:lineRule="atLeast"/>
      <w:outlineLvl w:val="2"/>
    </w:pPr>
    <w:rPr>
      <w:rFonts w:ascii="inherit" w:eastAsia="Times New Roman" w:hAnsi="inherit" w:cs="Times New Roman"/>
      <w:b/>
      <w:bCs/>
      <w:color w:val="0E0E0E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6536"/>
    <w:rPr>
      <w:rFonts w:ascii="inherit" w:eastAsia="Times New Roman" w:hAnsi="inherit" w:cs="Times New Roman"/>
      <w:b/>
      <w:bCs/>
      <w:color w:val="0E0E0E"/>
      <w:sz w:val="30"/>
      <w:szCs w:val="30"/>
      <w:lang w:eastAsia="en-GB"/>
    </w:rPr>
  </w:style>
  <w:style w:type="paragraph" w:styleId="ListParagraph">
    <w:name w:val="List Paragraph"/>
    <w:basedOn w:val="Normal"/>
    <w:uiPriority w:val="34"/>
    <w:qFormat/>
    <w:rsid w:val="002829B6"/>
    <w:pPr>
      <w:ind w:left="720"/>
      <w:contextualSpacing/>
    </w:pPr>
  </w:style>
  <w:style w:type="paragraph" w:styleId="NoSpacing">
    <w:name w:val="No Spacing"/>
    <w:uiPriority w:val="1"/>
    <w:qFormat/>
    <w:rsid w:val="000D27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49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0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484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57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75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4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6989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40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686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tshared\shared\Research%20and%20Innovation%20-%20Respiratory%20Research%20Trials\Current%20Trials\MISSION%20COPD\project%20analysis\charts%20and%20figures\Exacerbations%20run%20chart%20templa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tshared\shared\Research%20and%20Innovation%20-%20Respiratory%20Research%20Trials\Current%20Trials\MISSION%20COPD\project%20analysis\charts%20and%20figures\admissions%20run%20char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11861488726286E-2"/>
          <c:y val="0.17880794701986755"/>
          <c:w val="0.90339971576590783"/>
          <c:h val="0.71192052980132448"/>
        </c:manualLayout>
      </c:layout>
      <c:lineChart>
        <c:grouping val="standard"/>
        <c:varyColors val="0"/>
        <c:ser>
          <c:idx val="0"/>
          <c:order val="0"/>
          <c:tx>
            <c:v>Values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'Run Chart'!Obs</c:f>
              <c:strCache>
                <c:ptCount val="7"/>
                <c:pt idx="0">
                  <c:v>12 months pre</c:v>
                </c:pt>
                <c:pt idx="1">
                  <c:v>9 months pre</c:v>
                </c:pt>
                <c:pt idx="2">
                  <c:v>6 months pre</c:v>
                </c:pt>
                <c:pt idx="3">
                  <c:v>3 months pre</c:v>
                </c:pt>
                <c:pt idx="4">
                  <c:v>3 months post</c:v>
                </c:pt>
                <c:pt idx="5">
                  <c:v>6 months post</c:v>
                </c:pt>
                <c:pt idx="6">
                  <c:v>9 months post</c:v>
                </c:pt>
              </c:strCache>
            </c:strRef>
          </c:cat>
          <c:val>
            <c:numRef>
              <c:f>'Run Chart'!Data</c:f>
              <c:numCache>
                <c:formatCode>General</c:formatCode>
                <c:ptCount val="7"/>
                <c:pt idx="0">
                  <c:v>2.35E-2</c:v>
                </c:pt>
                <c:pt idx="1">
                  <c:v>3.2899999999999999E-2</c:v>
                </c:pt>
                <c:pt idx="2">
                  <c:v>1.41E-2</c:v>
                </c:pt>
                <c:pt idx="3">
                  <c:v>2.5899999999999999E-2</c:v>
                </c:pt>
                <c:pt idx="4">
                  <c:v>9.4000000000000004E-3</c:v>
                </c:pt>
                <c:pt idx="5">
                  <c:v>5.5999999999999999E-3</c:v>
                </c:pt>
                <c:pt idx="6">
                  <c:v>8.8999999999999999E-3</c:v>
                </c:pt>
              </c:numCache>
            </c:numRef>
          </c:val>
          <c:smooth val="0"/>
        </c:ser>
        <c:ser>
          <c:idx val="1"/>
          <c:order val="1"/>
          <c:tx>
            <c:v>Median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>
                        <a:solidFill>
                          <a:srgbClr val="FF0000"/>
                        </a:solidFill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Median</a:t>
                    </a: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'Run Chart'!Median</c:f>
              <c:numCache>
                <c:formatCode>General</c:formatCode>
                <c:ptCount val="7"/>
                <c:pt idx="0">
                  <c:v>1.41E-2</c:v>
                </c:pt>
                <c:pt idx="1">
                  <c:v>1.41E-2</c:v>
                </c:pt>
                <c:pt idx="2">
                  <c:v>1.41E-2</c:v>
                </c:pt>
                <c:pt idx="3">
                  <c:v>1.41E-2</c:v>
                </c:pt>
                <c:pt idx="4">
                  <c:v>1.41E-2</c:v>
                </c:pt>
                <c:pt idx="5">
                  <c:v>1.41E-2</c:v>
                </c:pt>
                <c:pt idx="6">
                  <c:v>1.41E-2</c:v>
                </c:pt>
              </c:numCache>
            </c:numRef>
          </c:val>
          <c:smooth val="0"/>
        </c:ser>
        <c:ser>
          <c:idx val="2"/>
          <c:order val="2"/>
          <c:tx>
            <c:v>Goal</c:v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rgbClr val="008000"/>
                        </a:solidFill>
                      </a:defRPr>
                    </a:pPr>
                    <a:r>
                      <a:rPr lang="en-US">
                        <a:solidFill>
                          <a:srgbClr val="008000"/>
                        </a:solidFill>
                      </a:rPr>
                      <a:t>Goal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'Run Chart'!Goal</c:f>
              <c:numCache>
                <c:formatCode>General</c:formatCode>
                <c:ptCount val="7"/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935104"/>
        <c:axId val="29725824"/>
      </c:lineChart>
      <c:catAx>
        <c:axId val="75935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725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7258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93510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11861488726286E-2"/>
          <c:y val="0.18617614851123743"/>
          <c:w val="0.90339971576590783"/>
          <c:h val="0.70308767122334936"/>
        </c:manualLayout>
      </c:layout>
      <c:lineChart>
        <c:grouping val="standard"/>
        <c:varyColors val="0"/>
        <c:ser>
          <c:idx val="0"/>
          <c:order val="0"/>
          <c:tx>
            <c:v>Values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'Run Chart'!Obs</c:f>
              <c:strCache>
                <c:ptCount val="8"/>
                <c:pt idx="0">
                  <c:v>12 months pre</c:v>
                </c:pt>
                <c:pt idx="1">
                  <c:v>9 months pre</c:v>
                </c:pt>
                <c:pt idx="2">
                  <c:v>6 months pre</c:v>
                </c:pt>
                <c:pt idx="3">
                  <c:v>3 months pre</c:v>
                </c:pt>
                <c:pt idx="4">
                  <c:v>3 months post</c:v>
                </c:pt>
                <c:pt idx="5">
                  <c:v>6 months post</c:v>
                </c:pt>
                <c:pt idx="6">
                  <c:v>9 months post</c:v>
                </c:pt>
                <c:pt idx="7">
                  <c:v>12 months post</c:v>
                </c:pt>
              </c:strCache>
            </c:strRef>
          </c:cat>
          <c:val>
            <c:numRef>
              <c:f>'Run Chart'!Data</c:f>
              <c:numCache>
                <c:formatCode>General</c:formatCode>
                <c:ptCount val="8"/>
                <c:pt idx="0">
                  <c:v>0.82350000000000001</c:v>
                </c:pt>
                <c:pt idx="1">
                  <c:v>0.86819999999999997</c:v>
                </c:pt>
                <c:pt idx="2">
                  <c:v>0.86819999999999997</c:v>
                </c:pt>
                <c:pt idx="3">
                  <c:v>0.8518</c:v>
                </c:pt>
                <c:pt idx="4">
                  <c:v>0.28810000000000002</c:v>
                </c:pt>
                <c:pt idx="5">
                  <c:v>0.3034</c:v>
                </c:pt>
                <c:pt idx="6">
                  <c:v>0.308</c:v>
                </c:pt>
                <c:pt idx="7">
                  <c:v>0.35210000000000002</c:v>
                </c:pt>
              </c:numCache>
            </c:numRef>
          </c:val>
          <c:smooth val="0"/>
        </c:ser>
        <c:ser>
          <c:idx val="1"/>
          <c:order val="1"/>
          <c:tx>
            <c:v>Median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>
                        <a:solidFill>
                          <a:srgbClr val="FF0000"/>
                        </a:solidFill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Median</a:t>
                    </a: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'Run Chart'!Median</c:f>
              <c:numCache>
                <c:formatCode>General</c:formatCode>
                <c:ptCount val="8"/>
                <c:pt idx="0">
                  <c:v>0.58779999999999999</c:v>
                </c:pt>
                <c:pt idx="1">
                  <c:v>0.58779999999999999</c:v>
                </c:pt>
                <c:pt idx="2">
                  <c:v>0.58779999999999999</c:v>
                </c:pt>
                <c:pt idx="3">
                  <c:v>0.58779999999999999</c:v>
                </c:pt>
                <c:pt idx="4">
                  <c:v>0.58779999999999999</c:v>
                </c:pt>
                <c:pt idx="5">
                  <c:v>0.58779999999999999</c:v>
                </c:pt>
                <c:pt idx="6">
                  <c:v>0.58779999999999999</c:v>
                </c:pt>
                <c:pt idx="7">
                  <c:v>0.58779999999999999</c:v>
                </c:pt>
              </c:numCache>
            </c:numRef>
          </c:val>
          <c:smooth val="0"/>
        </c:ser>
        <c:ser>
          <c:idx val="2"/>
          <c:order val="2"/>
          <c:tx>
            <c:v>Goal</c:v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rgbClr val="008000"/>
                        </a:solidFill>
                      </a:defRPr>
                    </a:pPr>
                    <a:r>
                      <a:rPr lang="en-US">
                        <a:solidFill>
                          <a:srgbClr val="008000"/>
                        </a:solidFill>
                      </a:rPr>
                      <a:t>Goal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'Run Chart'!Goal</c:f>
              <c:numCache>
                <c:formatCode>General</c:formatCode>
                <c:ptCount val="8"/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67680"/>
        <c:axId val="76569216"/>
      </c:lineChart>
      <c:catAx>
        <c:axId val="765676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5692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656921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56768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26CF98-CA60-4EA8-A519-2FE5AD07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dcterms:created xsi:type="dcterms:W3CDTF">2018-01-12T15:21:00Z</dcterms:created>
  <dcterms:modified xsi:type="dcterms:W3CDTF">2018-01-12T15:21:00Z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-649918931</vt:i4>
  </property>
</Properties>
</file>