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A44" w:rsidRPr="007F2A44" w:rsidRDefault="007F2A44" w:rsidP="007F2A44">
      <w:pPr>
        <w:spacing w:after="0" w:line="240" w:lineRule="auto"/>
        <w:rPr>
          <w:rFonts w:cs="Times New Roman"/>
          <w:b/>
          <w:sz w:val="28"/>
          <w:szCs w:val="28"/>
          <w:lang w:val="en-US"/>
        </w:rPr>
      </w:pPr>
      <w:bookmarkStart w:id="0" w:name="_GoBack"/>
      <w:bookmarkEnd w:id="0"/>
      <w:r w:rsidRPr="007F2A44">
        <w:rPr>
          <w:rFonts w:cs="Times New Roman"/>
          <w:b/>
          <w:sz w:val="28"/>
          <w:szCs w:val="28"/>
          <w:lang w:val="en-US"/>
        </w:rPr>
        <w:t>NICE NG28.</w:t>
      </w:r>
      <w:r w:rsidRPr="007F2A44">
        <w:rPr>
          <w:rFonts w:ascii="Arial" w:hAnsi="Arial" w:cs="Arial"/>
          <w:b/>
          <w:color w:val="0000FF"/>
          <w:sz w:val="28"/>
          <w:szCs w:val="28"/>
        </w:rPr>
        <w:t xml:space="preserve"> </w:t>
      </w:r>
      <w:r w:rsidRPr="007F2A44">
        <w:rPr>
          <w:rFonts w:cs="Times New Roman"/>
          <w:b/>
          <w:sz w:val="28"/>
          <w:szCs w:val="28"/>
        </w:rPr>
        <w:t>Type 2 diabetes in adults: Management</w:t>
      </w:r>
    </w:p>
    <w:p w:rsidR="007F2A44" w:rsidRPr="007F2A44" w:rsidRDefault="007F2A44" w:rsidP="007F2A44">
      <w:pPr>
        <w:spacing w:after="0" w:line="240" w:lineRule="auto"/>
        <w:rPr>
          <w:rFonts w:cs="Times New Roman"/>
          <w:sz w:val="24"/>
          <w:szCs w:val="24"/>
        </w:rPr>
      </w:pPr>
      <w:r w:rsidRPr="007F2A44">
        <w:rPr>
          <w:rFonts w:cs="Times New Roman"/>
          <w:sz w:val="24"/>
          <w:szCs w:val="24"/>
        </w:rPr>
        <w:t>1.3.3 Encourage high</w:t>
      </w:r>
      <w:r w:rsidRPr="007F2A44">
        <w:rPr>
          <w:rFonts w:cs="Times New Roman"/>
          <w:sz w:val="24"/>
          <w:szCs w:val="24"/>
        </w:rPr>
        <w:noBreakHyphen/>
        <w:t>fibre, low</w:t>
      </w:r>
      <w:r w:rsidRPr="007F2A44">
        <w:rPr>
          <w:rFonts w:cs="Times New Roman"/>
          <w:sz w:val="24"/>
          <w:szCs w:val="24"/>
        </w:rPr>
        <w:noBreakHyphen/>
        <w:t>glycaemic</w:t>
      </w:r>
      <w:r w:rsidRPr="007F2A44">
        <w:rPr>
          <w:rFonts w:cs="Times New Roman"/>
          <w:sz w:val="24"/>
          <w:szCs w:val="24"/>
        </w:rPr>
        <w:noBreakHyphen/>
        <w:t xml:space="preserve">index sources of carbohydrate in the diet </w:t>
      </w:r>
      <w:r w:rsidRPr="007F2A44">
        <w:rPr>
          <w:rFonts w:cs="Times New Roman"/>
          <w:b/>
          <w:bCs/>
          <w:sz w:val="24"/>
          <w:szCs w:val="24"/>
        </w:rPr>
        <w:t>[2009]</w:t>
      </w:r>
    </w:p>
    <w:p w:rsidR="007F2A44" w:rsidRDefault="007F2A44" w:rsidP="007F2A44">
      <w:pPr>
        <w:spacing w:after="0" w:line="240" w:lineRule="auto"/>
        <w:rPr>
          <w:rFonts w:cs="Times New Roman"/>
          <w:b/>
          <w:sz w:val="24"/>
          <w:szCs w:val="24"/>
        </w:rPr>
      </w:pPr>
      <w:r w:rsidRPr="007F2A44">
        <w:rPr>
          <w:rFonts w:cs="Times New Roman"/>
          <w:sz w:val="24"/>
          <w:szCs w:val="24"/>
        </w:rPr>
        <w:t xml:space="preserve">1.3.6 Individualise recommendations for carbohydrate and alcohol intake </w:t>
      </w:r>
      <w:r w:rsidRPr="007F2A44">
        <w:rPr>
          <w:rFonts w:cs="Times New Roman"/>
          <w:b/>
          <w:sz w:val="24"/>
          <w:szCs w:val="24"/>
        </w:rPr>
        <w:t>[2009]</w:t>
      </w:r>
    </w:p>
    <w:p w:rsidR="007F2A44" w:rsidRPr="007F2A44" w:rsidRDefault="007F2A44" w:rsidP="007F2A44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C051FC" w:rsidRDefault="00C051FC" w:rsidP="00D67FFE">
      <w:pPr>
        <w:pStyle w:val="ListParagraph"/>
        <w:ind w:left="360"/>
        <w:rPr>
          <w:b/>
        </w:rPr>
      </w:pPr>
      <w:r>
        <w:rPr>
          <w:noProof/>
          <w:lang w:eastAsia="en-GB"/>
        </w:rPr>
        <w:drawing>
          <wp:inline distT="0" distB="0" distL="0" distR="0" wp14:anchorId="5711C864" wp14:editId="604191B9">
            <wp:extent cx="6308090" cy="2762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1"/>
                    <a:stretch/>
                  </pic:blipFill>
                  <pic:spPr bwMode="auto">
                    <a:xfrm>
                      <a:off x="0" y="0"/>
                      <a:ext cx="6319501" cy="2767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1FC" w:rsidRDefault="00C051FC" w:rsidP="00D67FFE">
      <w:pPr>
        <w:pStyle w:val="ListParagraph"/>
        <w:ind w:left="360"/>
        <w:rPr>
          <w:b/>
        </w:rPr>
      </w:pPr>
    </w:p>
    <w:p w:rsidR="00322024" w:rsidRDefault="00322024" w:rsidP="00322024">
      <w:pPr>
        <w:spacing w:after="0" w:line="240" w:lineRule="auto"/>
        <w:rPr>
          <w:rFonts w:cs="Times New Roman"/>
          <w:b/>
          <w:sz w:val="24"/>
          <w:szCs w:val="24"/>
        </w:rPr>
      </w:pPr>
      <w:r w:rsidRPr="00322024">
        <w:rPr>
          <w:rFonts w:cs="Times New Roman"/>
          <w:sz w:val="24"/>
          <w:szCs w:val="24"/>
        </w:rPr>
        <w:t>We produced many Infographic</w:t>
      </w:r>
      <w:r>
        <w:rPr>
          <w:rFonts w:cs="Times New Roman"/>
          <w:sz w:val="24"/>
          <w:szCs w:val="24"/>
        </w:rPr>
        <w:t>s like this</w:t>
      </w:r>
      <w:r w:rsidRPr="00322024">
        <w:rPr>
          <w:rFonts w:cs="Times New Roman"/>
          <w:sz w:val="24"/>
          <w:szCs w:val="24"/>
        </w:rPr>
        <w:t xml:space="preserve"> to help people use the glycaemic index and load to make better dietary choices.  Calculations to be found in</w:t>
      </w:r>
      <w:r w:rsidRPr="00322024">
        <w:rPr>
          <w:rFonts w:cs="Times New Roman"/>
          <w:b/>
          <w:sz w:val="24"/>
          <w:szCs w:val="24"/>
        </w:rPr>
        <w:t xml:space="preserve">: </w:t>
      </w:r>
      <w:r w:rsidRPr="00322024">
        <w:rPr>
          <w:rFonts w:cs="Times New Roman"/>
          <w:b/>
          <w:i/>
          <w:sz w:val="24"/>
          <w:szCs w:val="24"/>
        </w:rPr>
        <w:t>It is the glycaemic response to, not the carbohydrate content of food that matters in diabetes and obesity: The glycaemic index revisited</w:t>
      </w:r>
      <w:r w:rsidRPr="00322024">
        <w:rPr>
          <w:rFonts w:cs="Times New Roman"/>
          <w:b/>
          <w:sz w:val="24"/>
          <w:szCs w:val="24"/>
        </w:rPr>
        <w:t xml:space="preserve"> | Unwin | Journal of Insulin Resistance </w:t>
      </w:r>
    </w:p>
    <w:p w:rsidR="005B4597" w:rsidRDefault="005B4597" w:rsidP="00322024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5B4597" w:rsidRDefault="005B4597" w:rsidP="00322024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5B4597" w:rsidRPr="00322024" w:rsidRDefault="005B4597" w:rsidP="00322024">
      <w:pPr>
        <w:spacing w:after="0" w:line="240" w:lineRule="auto"/>
        <w:rPr>
          <w:rFonts w:ascii="Verdana" w:hAnsi="Verdana" w:cs="Times New Roman"/>
          <w:color w:val="0000FF"/>
          <w:sz w:val="21"/>
          <w:szCs w:val="21"/>
          <w:u w:val="single"/>
        </w:rPr>
      </w:pPr>
      <w:r>
        <w:rPr>
          <w:rFonts w:ascii="Verdana" w:hAnsi="Verdana" w:cs="Times New Roman"/>
          <w:noProof/>
          <w:color w:val="0000FF"/>
          <w:sz w:val="21"/>
          <w:szCs w:val="21"/>
          <w:u w:val="single"/>
          <w:lang w:eastAsia="en-GB"/>
        </w:rPr>
        <w:drawing>
          <wp:inline distT="0" distB="0" distL="0" distR="0" wp14:anchorId="635DFBDD">
            <wp:extent cx="5224780" cy="33166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7D09" w:rsidRPr="00D37BF6" w:rsidRDefault="00FC7D09" w:rsidP="00FC7D09">
      <w:pPr>
        <w:pStyle w:val="ListParagraph"/>
        <w:ind w:left="360"/>
        <w:rPr>
          <w:b/>
        </w:rPr>
      </w:pPr>
      <w:r>
        <w:rPr>
          <w:b/>
        </w:rPr>
        <w:t xml:space="preserve">From our RCGP e-learning module based on the glycaemic index as per NICE published June 2018 Free to all 52,000 NHS GPs  </w:t>
      </w:r>
    </w:p>
    <w:p w:rsidR="00322024" w:rsidRDefault="00322024" w:rsidP="00D67FFE">
      <w:pPr>
        <w:pStyle w:val="ListParagraph"/>
        <w:ind w:left="360"/>
        <w:rPr>
          <w:b/>
        </w:rPr>
      </w:pPr>
    </w:p>
    <w:p w:rsidR="00D05758" w:rsidRDefault="00A840F7" w:rsidP="00D67FFE">
      <w:pPr>
        <w:pStyle w:val="ListParagraph"/>
        <w:ind w:left="360"/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17EDFE00">
            <wp:extent cx="5730875" cy="2664460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7FFE" w:rsidRPr="00DB11F8" w:rsidRDefault="00D67FFE" w:rsidP="00D67FFE">
      <w:pPr>
        <w:pStyle w:val="ListParagraph"/>
        <w:ind w:left="360"/>
        <w:rPr>
          <w:b/>
        </w:rPr>
      </w:pPr>
      <w:r>
        <w:rPr>
          <w:b/>
        </w:rPr>
        <w:t>A separate RCGP publication Dr Unwin produced this autumn. An Essential Knowledge Update screencast based on NICE guidelines for Type 2 diabetes Free for all to view here:</w:t>
      </w:r>
    </w:p>
    <w:p w:rsidR="00D67FFE" w:rsidRDefault="0091735E" w:rsidP="00D67FFE">
      <w:pPr>
        <w:pStyle w:val="ListParagraph"/>
        <w:ind w:left="360"/>
        <w:rPr>
          <w:rStyle w:val="Hyperlink"/>
          <w:b/>
        </w:rPr>
      </w:pPr>
      <w:hyperlink r:id="rId8" w:history="1">
        <w:r w:rsidR="00D67FFE" w:rsidRPr="00A34B07">
          <w:rPr>
            <w:rStyle w:val="Hyperlink"/>
            <w:b/>
          </w:rPr>
          <w:t>http://elearning.rcgp.org.uk/mod/page/view.php?id=8734</w:t>
        </w:r>
      </w:hyperlink>
    </w:p>
    <w:p w:rsidR="00097EA1" w:rsidRDefault="00097EA1" w:rsidP="00D67FFE">
      <w:pPr>
        <w:pStyle w:val="ListParagraph"/>
        <w:ind w:left="360"/>
        <w:rPr>
          <w:rStyle w:val="Hyperlink"/>
          <w:b/>
        </w:rPr>
      </w:pPr>
    </w:p>
    <w:p w:rsidR="00097EA1" w:rsidRDefault="00097EA1" w:rsidP="00D67FFE">
      <w:pPr>
        <w:pStyle w:val="ListParagraph"/>
        <w:ind w:left="360"/>
        <w:rPr>
          <w:rStyle w:val="Hyperlink"/>
          <w:b/>
        </w:rPr>
      </w:pPr>
    </w:p>
    <w:p w:rsidR="00D05758" w:rsidRPr="00D37BF6" w:rsidRDefault="00097EA1" w:rsidP="00D67FFE">
      <w:pPr>
        <w:pStyle w:val="ListParagraph"/>
        <w:ind w:left="360"/>
        <w:rPr>
          <w:b/>
        </w:rPr>
      </w:pPr>
      <w:r>
        <w:rPr>
          <w:noProof/>
          <w:lang w:eastAsia="en-GB"/>
        </w:rPr>
        <w:drawing>
          <wp:inline distT="0" distB="0" distL="0" distR="0" wp14:anchorId="7743E859" wp14:editId="03358BE2">
            <wp:extent cx="6645275" cy="373697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7EA1" w:rsidRDefault="00097EA1" w:rsidP="00D05758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097EA1" w:rsidRDefault="00097EA1" w:rsidP="00D05758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D05758" w:rsidRPr="00D05758" w:rsidRDefault="00D05758" w:rsidP="00D05758">
      <w:pPr>
        <w:spacing w:after="0" w:line="240" w:lineRule="auto"/>
        <w:rPr>
          <w:rFonts w:cs="Times New Roman"/>
          <w:b/>
          <w:sz w:val="28"/>
          <w:szCs w:val="28"/>
        </w:rPr>
      </w:pPr>
      <w:r w:rsidRPr="00D05758">
        <w:rPr>
          <w:rFonts w:cs="Times New Roman"/>
          <w:b/>
          <w:sz w:val="28"/>
          <w:szCs w:val="28"/>
        </w:rPr>
        <w:t>Our relevant peer reviewed publications</w:t>
      </w:r>
      <w:r w:rsidRPr="00D05758">
        <w:rPr>
          <w:rFonts w:cs="Times New Roman"/>
          <w:b/>
          <w:sz w:val="24"/>
          <w:szCs w:val="24"/>
        </w:rPr>
        <w:t xml:space="preserve"> </w:t>
      </w:r>
    </w:p>
    <w:p w:rsidR="00D05758" w:rsidRPr="00D05758" w:rsidRDefault="00D05758" w:rsidP="00D05758">
      <w:pPr>
        <w:numPr>
          <w:ilvl w:val="0"/>
          <w:numId w:val="1"/>
        </w:numPr>
        <w:spacing w:after="0" w:line="240" w:lineRule="auto"/>
        <w:contextualSpacing/>
        <w:rPr>
          <w:rFonts w:cs="Times New Roman"/>
          <w:b/>
          <w:sz w:val="24"/>
          <w:szCs w:val="24"/>
        </w:rPr>
      </w:pPr>
      <w:r w:rsidRPr="00D05758">
        <w:rPr>
          <w:rFonts w:cs="Times New Roman"/>
          <w:b/>
          <w:sz w:val="24"/>
          <w:szCs w:val="24"/>
        </w:rPr>
        <w:t>Low carbohydrate diet to achieve weight loss and improve HbA1c in type 2 diabetes and pre‐diabetes: experience from one general practice.</w:t>
      </w:r>
      <w:r w:rsidRPr="00D05758">
        <w:rPr>
          <w:rFonts w:cs="Times New Roman"/>
          <w:sz w:val="24"/>
          <w:szCs w:val="24"/>
        </w:rPr>
        <w:t xml:space="preserve"> Practical Diabetes. Unwin D, Unwin J</w:t>
      </w:r>
      <w:r w:rsidRPr="00D05758">
        <w:rPr>
          <w:rFonts w:cs="Times New Roman"/>
          <w:b/>
          <w:sz w:val="24"/>
          <w:szCs w:val="24"/>
        </w:rPr>
        <w:t xml:space="preserve">. </w:t>
      </w:r>
      <w:r w:rsidRPr="00D05758">
        <w:rPr>
          <w:rFonts w:cs="Times New Roman"/>
          <w:sz w:val="24"/>
          <w:szCs w:val="24"/>
        </w:rPr>
        <w:t xml:space="preserve"> 2014;</w:t>
      </w:r>
      <w:r w:rsidRPr="00D05758">
        <w:rPr>
          <w:rFonts w:cs="Times New Roman"/>
          <w:b/>
          <w:sz w:val="24"/>
          <w:szCs w:val="24"/>
        </w:rPr>
        <w:t>31</w:t>
      </w:r>
      <w:r w:rsidRPr="00D05758">
        <w:rPr>
          <w:rFonts w:cs="Times New Roman"/>
          <w:sz w:val="24"/>
          <w:szCs w:val="24"/>
        </w:rPr>
        <w:t xml:space="preserve">(2):76 </w:t>
      </w:r>
      <w:hyperlink r:id="rId10" w:history="1">
        <w:r w:rsidRPr="00D05758">
          <w:rPr>
            <w:rFonts w:cs="Times New Roman"/>
            <w:color w:val="0563C1" w:themeColor="hyperlink"/>
            <w:sz w:val="24"/>
            <w:szCs w:val="24"/>
            <w:u w:val="single"/>
          </w:rPr>
          <w:t>https://onlinelibrary.wiley.com/doi/abs/10.1002/pdi.1835</w:t>
        </w:r>
      </w:hyperlink>
    </w:p>
    <w:p w:rsidR="00D05758" w:rsidRPr="00D05758" w:rsidRDefault="00D05758" w:rsidP="00D05758">
      <w:pPr>
        <w:numPr>
          <w:ilvl w:val="0"/>
          <w:numId w:val="1"/>
        </w:numPr>
        <w:spacing w:after="0" w:line="240" w:lineRule="auto"/>
        <w:contextualSpacing/>
        <w:rPr>
          <w:rFonts w:cs="Times New Roman"/>
          <w:sz w:val="24"/>
          <w:szCs w:val="24"/>
        </w:rPr>
      </w:pPr>
      <w:r w:rsidRPr="00D05758">
        <w:rPr>
          <w:rFonts w:cs="Times New Roman"/>
          <w:b/>
          <w:bCs/>
          <w:sz w:val="24"/>
          <w:szCs w:val="24"/>
        </w:rPr>
        <w:t>A patient request for some ‘</w:t>
      </w:r>
      <w:proofErr w:type="spellStart"/>
      <w:r w:rsidRPr="00D05758">
        <w:rPr>
          <w:rFonts w:cs="Times New Roman"/>
          <w:b/>
          <w:bCs/>
          <w:sz w:val="24"/>
          <w:szCs w:val="24"/>
        </w:rPr>
        <w:t>deprescribing</w:t>
      </w:r>
      <w:proofErr w:type="spellEnd"/>
      <w:r w:rsidRPr="00D05758">
        <w:rPr>
          <w:rFonts w:cs="Times New Roman"/>
          <w:b/>
          <w:bCs/>
          <w:sz w:val="24"/>
          <w:szCs w:val="24"/>
        </w:rPr>
        <w:t>’</w:t>
      </w:r>
      <w:r w:rsidRPr="00D05758">
        <w:rPr>
          <w:rFonts w:cs="Times New Roman"/>
          <w:b/>
          <w:sz w:val="24"/>
          <w:szCs w:val="24"/>
        </w:rPr>
        <w:t>. DJ Unwin &amp; SM Tobin</w:t>
      </w:r>
      <w:r w:rsidRPr="00D05758">
        <w:rPr>
          <w:rFonts w:cs="Times New Roman"/>
          <w:sz w:val="24"/>
          <w:szCs w:val="24"/>
        </w:rPr>
        <w:t xml:space="preserve">. </w:t>
      </w:r>
      <w:r w:rsidRPr="00D05758">
        <w:rPr>
          <w:rFonts w:cs="Times New Roman"/>
          <w:sz w:val="24"/>
          <w:szCs w:val="24"/>
          <w:lang w:val="en"/>
        </w:rPr>
        <w:t xml:space="preserve">BMJ 2015; 351 </w:t>
      </w:r>
      <w:proofErr w:type="spellStart"/>
      <w:r w:rsidRPr="00D05758">
        <w:rPr>
          <w:rFonts w:cs="Times New Roman"/>
          <w:sz w:val="24"/>
          <w:szCs w:val="24"/>
          <w:lang w:val="en"/>
        </w:rPr>
        <w:t>doi</w:t>
      </w:r>
      <w:proofErr w:type="spellEnd"/>
      <w:r w:rsidRPr="00D05758">
        <w:rPr>
          <w:rFonts w:cs="Times New Roman"/>
          <w:sz w:val="24"/>
          <w:szCs w:val="24"/>
          <w:lang w:val="en"/>
        </w:rPr>
        <w:t xml:space="preserve">: http://dx.doi.org/10.1136/bmj.h4023 (Published 03 August 2015) This is about how diet can help a patient who wants to come off his medication for diabetes do it safely </w:t>
      </w:r>
    </w:p>
    <w:p w:rsidR="00D05758" w:rsidRPr="00D05758" w:rsidRDefault="00D05758" w:rsidP="00D05758">
      <w:pPr>
        <w:numPr>
          <w:ilvl w:val="0"/>
          <w:numId w:val="1"/>
        </w:numPr>
        <w:spacing w:after="0" w:line="240" w:lineRule="auto"/>
        <w:contextualSpacing/>
        <w:rPr>
          <w:rFonts w:cs="Times New Roman"/>
          <w:b/>
          <w:sz w:val="24"/>
          <w:szCs w:val="24"/>
        </w:rPr>
      </w:pPr>
      <w:r w:rsidRPr="00D05758">
        <w:rPr>
          <w:rFonts w:cs="Times New Roman"/>
          <w:b/>
          <w:sz w:val="24"/>
          <w:szCs w:val="24"/>
        </w:rPr>
        <w:t xml:space="preserve">Outcomes of a Digitally Delivered Low-Carbohydrate Type 2 Diabetes Self-Management Program: 1-Year Results of a Single-Arm Longitudinal Study </w:t>
      </w:r>
      <w:proofErr w:type="spellStart"/>
      <w:r w:rsidRPr="00D05758">
        <w:rPr>
          <w:rFonts w:cs="Times New Roman"/>
          <w:sz w:val="24"/>
          <w:szCs w:val="24"/>
        </w:rPr>
        <w:t>Saslow</w:t>
      </w:r>
      <w:proofErr w:type="spellEnd"/>
      <w:r w:rsidRPr="00D05758">
        <w:rPr>
          <w:rFonts w:cs="Times New Roman"/>
          <w:sz w:val="24"/>
          <w:szCs w:val="24"/>
        </w:rPr>
        <w:t xml:space="preserve"> LR, Summers C, Aikens JE, Unwin DJ. JMIR Diabetes 2018;3(3):e12 </w:t>
      </w:r>
      <w:hyperlink r:id="rId11" w:history="1">
        <w:r w:rsidRPr="00D05758">
          <w:rPr>
            <w:rFonts w:cs="Times New Roman"/>
            <w:color w:val="0563C1" w:themeColor="hyperlink"/>
            <w:sz w:val="24"/>
            <w:szCs w:val="24"/>
            <w:u w:val="single"/>
          </w:rPr>
          <w:t>http://diabetes.jmir.org/2018/3/e12</w:t>
        </w:r>
      </w:hyperlink>
    </w:p>
    <w:p w:rsidR="00D05758" w:rsidRPr="00D05758" w:rsidRDefault="00D05758" w:rsidP="00D05758">
      <w:pPr>
        <w:numPr>
          <w:ilvl w:val="0"/>
          <w:numId w:val="1"/>
        </w:numPr>
        <w:spacing w:after="0" w:line="240" w:lineRule="auto"/>
        <w:contextualSpacing/>
        <w:rPr>
          <w:rFonts w:cs="Times New Roman"/>
          <w:sz w:val="24"/>
          <w:szCs w:val="24"/>
        </w:rPr>
      </w:pPr>
      <w:r w:rsidRPr="00D05758">
        <w:rPr>
          <w:rFonts w:cs="Times New Roman"/>
          <w:b/>
          <w:sz w:val="24"/>
          <w:szCs w:val="24"/>
        </w:rPr>
        <w:lastRenderedPageBreak/>
        <w:t>It is the glycaemic response to, not the carbohydrate content of food that matters in diabetes and obesity: The glycaemic index revisited | Unwin | Journal of Insulin Resistance</w:t>
      </w:r>
    </w:p>
    <w:p w:rsidR="00D05758" w:rsidRPr="00D05758" w:rsidRDefault="0091735E" w:rsidP="00D05758">
      <w:pPr>
        <w:spacing w:after="0" w:line="240" w:lineRule="auto"/>
        <w:ind w:left="720"/>
        <w:contextualSpacing/>
        <w:rPr>
          <w:rFonts w:cs="Times New Roman"/>
          <w:sz w:val="24"/>
          <w:szCs w:val="24"/>
        </w:rPr>
      </w:pPr>
      <w:hyperlink r:id="rId12" w:tgtFrame="_blank" w:history="1">
        <w:r w:rsidR="00D05758" w:rsidRPr="00D05758">
          <w:rPr>
            <w:rFonts w:cs="Times New Roman"/>
            <w:color w:val="0563C1" w:themeColor="hyperlink"/>
            <w:sz w:val="24"/>
            <w:szCs w:val="24"/>
            <w:u w:val="single"/>
          </w:rPr>
          <w:t>http://insulinresistance.org/index.php/jir/article/view/8</w:t>
        </w:r>
      </w:hyperlink>
    </w:p>
    <w:p w:rsidR="006C3EDD" w:rsidRDefault="0091735E"/>
    <w:sectPr w:rsidR="006C3EDD" w:rsidSect="00D67F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6E7FA1"/>
    <w:multiLevelType w:val="hybridMultilevel"/>
    <w:tmpl w:val="23246BC6"/>
    <w:lvl w:ilvl="0" w:tplc="7C462E6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FFE"/>
    <w:rsid w:val="00097EA1"/>
    <w:rsid w:val="000E1D5D"/>
    <w:rsid w:val="002965C8"/>
    <w:rsid w:val="00322024"/>
    <w:rsid w:val="005B4597"/>
    <w:rsid w:val="00635BA9"/>
    <w:rsid w:val="00652AAD"/>
    <w:rsid w:val="006E30BA"/>
    <w:rsid w:val="007F2A44"/>
    <w:rsid w:val="0091735E"/>
    <w:rsid w:val="00A63A7E"/>
    <w:rsid w:val="00A840F7"/>
    <w:rsid w:val="00C051FC"/>
    <w:rsid w:val="00D05758"/>
    <w:rsid w:val="00D67FFE"/>
    <w:rsid w:val="00E24223"/>
    <w:rsid w:val="00F57FF4"/>
    <w:rsid w:val="00FC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836D6B-C162-40D2-8B04-98A7A74E2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8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7FF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67FFE"/>
    <w:pPr>
      <w:spacing w:after="0" w:line="240" w:lineRule="auto"/>
      <w:ind w:left="720"/>
      <w:contextualSpacing/>
    </w:pPr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earning.rcgp.org.uk/mod/page/view.php?id=873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insulinresistance.org/index.php/jir/article/view/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diabetes.jmir.org/2018/3/e12" TargetMode="External"/><Relationship Id="rId5" Type="http://schemas.openxmlformats.org/officeDocument/2006/relationships/image" Target="media/image1.JPG"/><Relationship Id="rId10" Type="http://schemas.openxmlformats.org/officeDocument/2006/relationships/hyperlink" Target="https://onlinelibrary.wiley.com/doi/abs/10.1002/pdi.183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8213D894</Template>
  <TotalTime>1</TotalTime>
  <Pages>3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Unwin</dc:creator>
  <cp:keywords/>
  <dc:description/>
  <cp:lastModifiedBy>Bruce Smith</cp:lastModifiedBy>
  <cp:revision>2</cp:revision>
  <dcterms:created xsi:type="dcterms:W3CDTF">2019-01-04T17:17:00Z</dcterms:created>
  <dcterms:modified xsi:type="dcterms:W3CDTF">2019-01-04T17:17:00Z</dcterms:modified>
</cp:coreProperties>
</file>