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71" w:rsidRPr="00D20E71" w:rsidRDefault="00D20E71" w:rsidP="00D20E71">
      <w:pPr>
        <w:rPr>
          <w:b/>
          <w:noProof/>
        </w:rPr>
      </w:pPr>
      <w:r w:rsidRPr="00D20E71">
        <w:rPr>
          <w:b/>
          <w:noProof/>
        </w:rPr>
        <w:t>References for NICE Shared Learning Database</w:t>
      </w:r>
      <w:r w:rsidRPr="00D20E71">
        <w:rPr>
          <w:b/>
          <w:noProof/>
        </w:rPr>
        <w:br/>
        <w:t>Sexual Health in Practice Training increases HIV testing in primary care</w:t>
      </w:r>
    </w:p>
    <w:p w:rsidR="00D20E71" w:rsidRDefault="00D20E71" w:rsidP="00D20E71">
      <w:pPr>
        <w:rPr>
          <w:noProof/>
        </w:rPr>
      </w:pPr>
    </w:p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Pillay TD, Mullineux J, Smith CJ, et al. Unlocking the potential: longitudinal audit finds multifaceted education for general practice increases HIV testing and diagnosis. </w:t>
      </w:r>
      <w:r w:rsidRPr="00A865D2">
        <w:rPr>
          <w:i/>
          <w:noProof/>
        </w:rPr>
        <w:t>Sexually transmitted infections</w:t>
      </w:r>
      <w:r w:rsidRPr="00A865D2">
        <w:rPr>
          <w:noProof/>
        </w:rPr>
        <w:t xml:space="preserve"> 2013;89(3):191-6. doi: 10.1136/sextrans-2012-050655 [published Online First: 2012/10/10]</w:t>
      </w:r>
    </w:p>
    <w:p w:rsidR="00D20E71" w:rsidRDefault="00D20E71" w:rsidP="00D20E71">
      <w:pPr>
        <w:rPr>
          <w:noProof/>
        </w:rPr>
      </w:pPr>
      <w:r>
        <w:rPr>
          <w:noProof/>
        </w:rPr>
        <w:t xml:space="preserve">Available </w:t>
      </w:r>
      <w:hyperlink r:id="rId5" w:history="1">
        <w:r w:rsidRPr="00D20E71">
          <w:rPr>
            <w:rStyle w:val="Hyperlink"/>
            <w:noProof/>
          </w:rPr>
          <w:t>here</w:t>
        </w:r>
      </w:hyperlink>
      <w:bookmarkStart w:id="0" w:name="_GoBack"/>
      <w:bookmarkEnd w:id="0"/>
    </w:p>
    <w:p w:rsidR="00D20E71" w:rsidRDefault="00D20E71" w:rsidP="00D20E71"/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Mullineux J, Firmstone V, Matthews P, et al. Innovative Sexual Health Education for General Practice: An Evaluation of the Sexual Health in Practice (SHIP) Scheme. </w:t>
      </w:r>
      <w:r w:rsidRPr="00D20E71">
        <w:rPr>
          <w:noProof/>
        </w:rPr>
        <w:t>Education for Primary Care</w:t>
      </w:r>
      <w:r w:rsidRPr="00A865D2">
        <w:rPr>
          <w:noProof/>
        </w:rPr>
        <w:t xml:space="preserve"> 2008;19(4):397-407. doi: 10.1080/14739879.2008.11493704</w:t>
      </w:r>
    </w:p>
    <w:p w:rsidR="00D20E71" w:rsidRPr="00A865D2" w:rsidRDefault="00D20E71" w:rsidP="00D20E71">
      <w:pPr>
        <w:rPr>
          <w:noProof/>
        </w:rPr>
      </w:pPr>
    </w:p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Bailey AC, Dean G, Hankins M, et al. Attending an STI Foundation course increases chlamydia testing in primary care, but not HIV testing. </w:t>
      </w:r>
      <w:r w:rsidRPr="00A865D2">
        <w:rPr>
          <w:i/>
          <w:noProof/>
        </w:rPr>
        <w:t>International journal of STD &amp; AIDS</w:t>
      </w:r>
      <w:r w:rsidRPr="00A865D2">
        <w:rPr>
          <w:noProof/>
        </w:rPr>
        <w:t xml:space="preserve"> 2008;19(9):633-4. doi: 10.1258/ijsa.2008.008110 [published Online First: 2008/08/30]</w:t>
      </w:r>
    </w:p>
    <w:p w:rsidR="00D20E71" w:rsidRDefault="00D20E71" w:rsidP="00D20E71">
      <w:pPr>
        <w:rPr>
          <w:noProof/>
        </w:rPr>
      </w:pPr>
    </w:p>
    <w:p w:rsidR="00D20E71" w:rsidRPr="00A865D2" w:rsidRDefault="00D20E71" w:rsidP="00D20E71">
      <w:pPr>
        <w:rPr>
          <w:noProof/>
        </w:rPr>
      </w:pPr>
    </w:p>
    <w:p w:rsidR="00D20E71" w:rsidRPr="00D20E71" w:rsidRDefault="00D20E71" w:rsidP="00D20E71">
      <w:pPr>
        <w:rPr>
          <w:noProof/>
        </w:rPr>
      </w:pPr>
      <w:r w:rsidRPr="00A865D2">
        <w:rPr>
          <w:noProof/>
        </w:rPr>
        <w:t>Town K, McNulty CA, Ricketts EJ, et al. Service evaluation of an educational intervention to improve sexual health services in primary care implemented using a step-wedge design: analysis</w:t>
      </w:r>
      <w:r w:rsidRPr="00D20E71">
        <w:rPr>
          <w:noProof/>
        </w:rPr>
        <w:t xml:space="preserve"> Allison et al 2017).</w:t>
      </w:r>
    </w:p>
    <w:p w:rsidR="00D20E71" w:rsidRDefault="00D20E71" w:rsidP="00D20E71">
      <w:pPr>
        <w:rPr>
          <w:noProof/>
        </w:rPr>
      </w:pPr>
    </w:p>
    <w:p w:rsidR="00D20E71" w:rsidRDefault="00D20E71" w:rsidP="00D20E71">
      <w:pPr>
        <w:rPr>
          <w:noProof/>
        </w:rPr>
      </w:pPr>
      <w:r w:rsidRPr="00A865D2">
        <w:rPr>
          <w:noProof/>
        </w:rPr>
        <w:t xml:space="preserve">Allison R, Lecky DM, Town K, et al. Exploring why a complex intervention piloted in general practices did not result in an increase in chlamydia screening and diagnosis: a qualitative evaluation using the fidelity of implementation model. </w:t>
      </w:r>
      <w:r w:rsidRPr="00D20E71">
        <w:rPr>
          <w:noProof/>
        </w:rPr>
        <w:t>BMC family practice</w:t>
      </w:r>
      <w:r w:rsidRPr="00A865D2">
        <w:rPr>
          <w:noProof/>
        </w:rPr>
        <w:t xml:space="preserve"> 2017;18(1):43. doi: 10.1186/s12875-017-0618-0 [published Online First: 2017/03/23]</w:t>
      </w:r>
    </w:p>
    <w:p w:rsidR="00D20E71" w:rsidRPr="00D20E71" w:rsidRDefault="00D20E71" w:rsidP="00D20E71">
      <w:pPr>
        <w:rPr>
          <w:rFonts w:ascii="Times" w:eastAsia="Times New Roman" w:hAnsi="Times" w:cs="Times New Roman"/>
          <w:sz w:val="20"/>
          <w:szCs w:val="20"/>
        </w:rPr>
      </w:pPr>
    </w:p>
    <w:p w:rsidR="00D20E71" w:rsidRPr="00A865D2" w:rsidRDefault="00D20E71" w:rsidP="00D20E71">
      <w:pPr>
        <w:pStyle w:val="EndNoteBibliography"/>
        <w:spacing w:after="0"/>
        <w:ind w:left="720" w:hanging="720"/>
        <w:rPr>
          <w:noProof/>
        </w:rPr>
      </w:pPr>
    </w:p>
    <w:sectPr w:rsidR="00D20E71" w:rsidRPr="00A865D2" w:rsidSect="006C279C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71"/>
    <w:rsid w:val="00165067"/>
    <w:rsid w:val="006C279C"/>
    <w:rsid w:val="00AA61D9"/>
    <w:rsid w:val="00D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F09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D20E71"/>
    <w:pPr>
      <w:suppressAutoHyphens/>
      <w:spacing w:after="200"/>
    </w:pPr>
    <w:rPr>
      <w:rFonts w:ascii="Calibri" w:eastAsia="Calibri" w:hAnsi="Calibri" w:cs="Times New Roman"/>
      <w:sz w:val="22"/>
      <w:szCs w:val="22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20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D20E71"/>
    <w:pPr>
      <w:suppressAutoHyphens/>
      <w:spacing w:after="200"/>
    </w:pPr>
    <w:rPr>
      <w:rFonts w:ascii="Calibri" w:eastAsia="Calibri" w:hAnsi="Calibri" w:cs="Times New Roman"/>
      <w:sz w:val="22"/>
      <w:szCs w:val="22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2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ti.bmj.com/content/early/2012/10/07/sextrans-2012-050655.ful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Macintosh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Gardner</dc:creator>
  <cp:keywords/>
  <dc:description/>
  <cp:lastModifiedBy>Mel Gardner</cp:lastModifiedBy>
  <cp:revision>2</cp:revision>
  <dcterms:created xsi:type="dcterms:W3CDTF">2017-07-05T19:02:00Z</dcterms:created>
  <dcterms:modified xsi:type="dcterms:W3CDTF">2017-07-05T19:02:00Z</dcterms:modified>
</cp:coreProperties>
</file>