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BC" w:rsidRPr="00B43ABC" w:rsidRDefault="00B43ABC" w:rsidP="00B43ABC">
      <w:pPr>
        <w:pStyle w:val="NICEnormal"/>
        <w:rPr>
          <w:b/>
          <w:sz w:val="20"/>
          <w:szCs w:val="20"/>
          <w:lang w:val="en-GB"/>
        </w:rPr>
      </w:pPr>
      <w:r w:rsidRPr="00B43ABC">
        <w:rPr>
          <w:b/>
          <w:sz w:val="20"/>
          <w:szCs w:val="20"/>
          <w:lang w:val="en-GB"/>
        </w:rPr>
        <w:t>References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Brown, J.S., Sellwood, k., Beecham, J.K., Sldae, M., Andiappan, M., Landau, S., Johnson, T., &amp; Smith, R. (2011). Outcome, costs and patient engagement for group and individual CBT for Depression: A naturalistic clinical study. Behavioural and Cognitive Psychotherapy, 39 (3), 355-358.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Department of Health. (2008) Improving access to psychological therapies: specification for the commissioner-led pathfinder programme. http://webarchive.nationalarchives.gov.uk/20130107105354/http://dh.gov.uk/en/publicationsandstatistics/publications/publicationspolicyandguidance/dh_074555.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Gurpinder, A. Beck, A (2012) in press. BME adolescents experience of using CBT.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Horghagen, S., Fostvedt, B., Alsaker, S., (2014). Craft activities in groups at meeting places: supporting mental health users' everyday occupations. Scandinavian Journal of Occupational Therapy, 21,(2), 145-152.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Kruenker, K., Spitzer, R.L., &amp; Williams, J.B., (2001). The Patient Health Questionnaire – 9. The validity of a brief depression severity measure. Journal of International Medicine, 16 (9), 606.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Martell, C.R., Addis, M.E., &amp; Jacobson, N.S. (2001). Depression in Context; strategies for guided action. New York: Norton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National Institute for Health and Care Excellence: Depression in adults. (CG90). London: National Institue for Health and Care Excellence 2009.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Rathod, S., Kingdon, D., Pninniti, N., Turkington, D., &amp; Phiri, P. (2015). Cultural adaptations of CBT for serious mental illness: A guide for training and practice. UK, John Wiley &amp; Sons ltd.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Spitzer, B.L., Kruenker. K., Williams. J.B., Lowe, B., (2006). A brief measure for assessing generalised anxiety disorder. The GAD-7, Archives of International Medicine, 166 (10), 1092-1097.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Sue, D.W., &amp; Sue, D. (2003). Counselling the culturally diverse: Theory and Practice (4th ed.). New Yrok, NY: John Wiley &amp; Sons, Inc.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Sue, S., Fujino, D.C., Hu, L., &amp; Takeuchi, D.T. (1991). Community mental health service for ethnic minority groups: A test for the cultural responsiveness hypothesis. Journal of Consulting and Clinical Psychology, 59, 533-540.</w:t>
      </w:r>
    </w:p>
    <w:p w:rsidR="00B43ABC" w:rsidRPr="00B11069" w:rsidRDefault="00B43ABC" w:rsidP="00B43ABC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Tomcho, T.J., &amp; Foels, R. (2012). Meta-Analysis of Group Learning Activities: Empirically based teaching recommendations. Teaching of Psychology, 39: 159-169.</w:t>
      </w:r>
    </w:p>
    <w:p w:rsidR="00443081" w:rsidRPr="00A5465B" w:rsidRDefault="00B43ABC" w:rsidP="00A5465B">
      <w:pPr>
        <w:pStyle w:val="NICEnormal"/>
        <w:rPr>
          <w:sz w:val="20"/>
          <w:szCs w:val="20"/>
          <w:lang w:val="en-GB"/>
        </w:rPr>
      </w:pPr>
      <w:r w:rsidRPr="00B11069">
        <w:rPr>
          <w:sz w:val="20"/>
          <w:szCs w:val="20"/>
          <w:lang w:val="en-GB"/>
        </w:rPr>
        <w:t>Yalom, I.D., &amp; Leszcz, M. (2005). The theory and Practice of Group Psychotherapy (5th Ed). Basic Books.</w:t>
      </w:r>
      <w:bookmarkStart w:id="0" w:name="_GoBack"/>
      <w:bookmarkEnd w:id="0"/>
    </w:p>
    <w:sectPr w:rsidR="00443081" w:rsidRPr="00A5465B" w:rsidSect="0017149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BC" w:rsidRDefault="00B43ABC" w:rsidP="00446BEE">
      <w:r>
        <w:separator/>
      </w:r>
    </w:p>
  </w:endnote>
  <w:endnote w:type="continuationSeparator" w:id="0">
    <w:p w:rsidR="00B43ABC" w:rsidRDefault="00B43ABC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5465B">
      <w:rPr>
        <w:noProof/>
      </w:rPr>
      <w:t>1</w:t>
    </w:r>
    <w:r>
      <w:fldChar w:fldCharType="end"/>
    </w:r>
    <w:r>
      <w:t xml:space="preserve"> of </w:t>
    </w:r>
    <w:r w:rsidR="00A5465B">
      <w:fldChar w:fldCharType="begin"/>
    </w:r>
    <w:r w:rsidR="00A5465B">
      <w:instrText xml:space="preserve"> NUMPAGES  </w:instrText>
    </w:r>
    <w:r w:rsidR="00A5465B">
      <w:fldChar w:fldCharType="separate"/>
    </w:r>
    <w:r w:rsidR="00A5465B">
      <w:rPr>
        <w:noProof/>
      </w:rPr>
      <w:t>1</w:t>
    </w:r>
    <w:r w:rsidR="00A546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BC" w:rsidRDefault="00B43ABC" w:rsidP="00446BEE">
      <w:r>
        <w:separator/>
      </w:r>
    </w:p>
  </w:footnote>
  <w:footnote w:type="continuationSeparator" w:id="0">
    <w:p w:rsidR="00B43ABC" w:rsidRDefault="00B43ABC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BC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5465B"/>
    <w:rsid w:val="00AF108A"/>
    <w:rsid w:val="00B02E55"/>
    <w:rsid w:val="00B036C1"/>
    <w:rsid w:val="00B43ABC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BDDA3-12F5-4CF1-AF8A-8A719AD7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rsid w:val="00B43ABC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B13AEAAE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2</cp:revision>
  <dcterms:created xsi:type="dcterms:W3CDTF">2017-12-07T14:19:00Z</dcterms:created>
  <dcterms:modified xsi:type="dcterms:W3CDTF">2017-12-07T14:19:00Z</dcterms:modified>
</cp:coreProperties>
</file>