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EC755D" w:rsidRPr="00B80646">
        <w:rPr>
          <w:sz w:val="36"/>
          <w:szCs w:val="36"/>
        </w:rPr>
        <w:t>CG</w:t>
      </w:r>
      <w:r w:rsidR="00B80646" w:rsidRPr="00B80646">
        <w:rPr>
          <w:sz w:val="36"/>
          <w:szCs w:val="36"/>
        </w:rPr>
        <w:t>138</w:t>
      </w:r>
      <w:r w:rsidR="00A22182" w:rsidRPr="00B80646">
        <w:rPr>
          <w:sz w:val="36"/>
          <w:szCs w:val="36"/>
        </w:rPr>
        <w:t xml:space="preserve"> </w:t>
      </w:r>
      <w:r w:rsidR="00EC755D" w:rsidRPr="00B80646">
        <w:rPr>
          <w:sz w:val="36"/>
          <w:szCs w:val="36"/>
        </w:rPr>
        <w:t xml:space="preserve">– </w:t>
      </w:r>
      <w:r w:rsidR="00B80646" w:rsidRPr="00B80646">
        <w:rPr>
          <w:sz w:val="36"/>
          <w:szCs w:val="36"/>
        </w:rPr>
        <w:t>Patient experience in adult NHS services</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2F45EE">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from the guideline scope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Call for evidence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2133"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9582"/>
      </w:tblGrid>
      <w:tr w:rsidR="00B80646" w:rsidTr="00B80646">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9582"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B80646">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9582"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r w:rsidR="009A3324" w:rsidTr="00B80646">
        <w:trPr>
          <w:cantSplit/>
        </w:trPr>
        <w:tc>
          <w:tcPr>
            <w:tcW w:w="2551" w:type="dxa"/>
            <w:shd w:val="clear" w:color="auto" w:fill="auto"/>
          </w:tcPr>
          <w:p w:rsidR="009A3324" w:rsidRDefault="009A3324" w:rsidP="00847255">
            <w:pPr>
              <w:pStyle w:val="GDGtabletext"/>
              <w:rPr>
                <w:sz w:val="24"/>
              </w:rPr>
            </w:pPr>
          </w:p>
        </w:tc>
        <w:tc>
          <w:tcPr>
            <w:tcW w:w="9582" w:type="dxa"/>
            <w:shd w:val="clear" w:color="auto" w:fill="auto"/>
          </w:tcPr>
          <w:p w:rsidR="009A3324" w:rsidRDefault="009A3324" w:rsidP="00847255">
            <w:pPr>
              <w:pStyle w:val="GDGtabletext"/>
              <w:rPr>
                <w:sz w:val="24"/>
                <w:lang w:val="en-GB"/>
              </w:rPr>
            </w:pP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B80646" w:rsidRDefault="00B80646">
      <w:pPr>
        <w:rPr>
          <w:b/>
          <w:sz w:val="28"/>
          <w:szCs w:val="28"/>
          <w:u w:val="single"/>
        </w:rPr>
      </w:pPr>
      <w:r>
        <w:rPr>
          <w:b/>
          <w:sz w:val="28"/>
          <w:szCs w:val="28"/>
          <w:u w:val="single"/>
        </w:rPr>
        <w:br w:type="page"/>
      </w:r>
    </w:p>
    <w:p w:rsidR="00590D59" w:rsidRDefault="00B80646" w:rsidP="004B7469">
      <w:pPr>
        <w:ind w:left="426"/>
        <w:rPr>
          <w:b/>
          <w:sz w:val="28"/>
          <w:szCs w:val="28"/>
          <w:u w:val="single"/>
        </w:rPr>
      </w:pPr>
      <w:r w:rsidRPr="00B80646">
        <w:rPr>
          <w:b/>
          <w:sz w:val="28"/>
          <w:szCs w:val="28"/>
          <w:u w:val="single"/>
        </w:rPr>
        <w:lastRenderedPageBreak/>
        <w:t>Call for evidence</w:t>
      </w:r>
    </w:p>
    <w:p w:rsidR="00B80646" w:rsidRPr="00B80646" w:rsidRDefault="00B80646" w:rsidP="004B7469">
      <w:pPr>
        <w:ind w:left="426"/>
        <w:rPr>
          <w:b/>
          <w:sz w:val="28"/>
          <w:szCs w:val="28"/>
          <w:u w:val="single"/>
        </w:rPr>
      </w:pPr>
    </w:p>
    <w:p w:rsidR="00B80646" w:rsidRDefault="00B80646" w:rsidP="004B7469">
      <w:pPr>
        <w:ind w:left="426"/>
        <w:rPr>
          <w:sz w:val="18"/>
        </w:rPr>
      </w:pPr>
    </w:p>
    <w:tbl>
      <w:tblPr>
        <w:tblW w:w="1522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609"/>
        <w:gridCol w:w="1843"/>
        <w:gridCol w:w="10773"/>
      </w:tblGrid>
      <w:tr w:rsidR="00B80646" w:rsidTr="00B80646">
        <w:trPr>
          <w:cantSplit/>
          <w:tblHeader/>
        </w:trPr>
        <w:tc>
          <w:tcPr>
            <w:tcW w:w="2609" w:type="dxa"/>
            <w:tcBorders>
              <w:top w:val="nil"/>
              <w:left w:val="nil"/>
              <w:bottom w:val="single" w:sz="6" w:space="0" w:color="BFBFBF"/>
            </w:tcBorders>
            <w:shd w:val="clear" w:color="auto" w:fill="FFFFFF"/>
          </w:tcPr>
          <w:p w:rsidR="00B80646" w:rsidRPr="002E1B0D" w:rsidRDefault="00B80646" w:rsidP="00847255">
            <w:pPr>
              <w:pStyle w:val="GDGtabletext"/>
              <w:rPr>
                <w:sz w:val="24"/>
              </w:rPr>
            </w:pPr>
          </w:p>
        </w:tc>
        <w:tc>
          <w:tcPr>
            <w:tcW w:w="1843" w:type="dxa"/>
            <w:shd w:val="clear" w:color="auto" w:fill="C6D9F1"/>
          </w:tcPr>
          <w:p w:rsidR="00B80646" w:rsidRPr="002E1B0D" w:rsidRDefault="00B80646" w:rsidP="00847255">
            <w:pPr>
              <w:pStyle w:val="GDGtabletext"/>
              <w:rPr>
                <w:sz w:val="24"/>
              </w:rPr>
            </w:pPr>
            <w:r w:rsidRPr="002E1B0D">
              <w:rPr>
                <w:b/>
                <w:sz w:val="24"/>
              </w:rPr>
              <w:t>Response</w:t>
            </w:r>
          </w:p>
        </w:tc>
        <w:tc>
          <w:tcPr>
            <w:tcW w:w="10773" w:type="dxa"/>
            <w:shd w:val="clear" w:color="auto" w:fill="C6D9F1"/>
          </w:tcPr>
          <w:p w:rsidR="00B80646" w:rsidRPr="002E1B0D" w:rsidRDefault="00B80646" w:rsidP="00B80646">
            <w:pPr>
              <w:pStyle w:val="GDGtabletext"/>
              <w:rPr>
                <w:sz w:val="24"/>
              </w:rPr>
            </w:pPr>
            <w:r w:rsidRPr="002E1B0D">
              <w:rPr>
                <w:b/>
                <w:sz w:val="24"/>
              </w:rPr>
              <w:t>References and supporting information</w:t>
            </w:r>
          </w:p>
        </w:tc>
      </w:tr>
      <w:tr w:rsidR="00B80646" w:rsidRPr="002E1B0D" w:rsidTr="00847255">
        <w:trPr>
          <w:cantSplit/>
        </w:trPr>
        <w:tc>
          <w:tcPr>
            <w:tcW w:w="15225" w:type="dxa"/>
            <w:gridSpan w:val="3"/>
            <w:shd w:val="clear" w:color="auto" w:fill="F2F2F2"/>
          </w:tcPr>
          <w:p w:rsidR="00B80646" w:rsidRPr="002E1B0D" w:rsidRDefault="00B80646" w:rsidP="00847255">
            <w:pPr>
              <w:pStyle w:val="GDGtabletext"/>
              <w:rPr>
                <w:b/>
                <w:sz w:val="24"/>
              </w:rPr>
            </w:pPr>
            <w:r w:rsidRPr="002E1B0D">
              <w:rPr>
                <w:b/>
                <w:sz w:val="24"/>
                <w:lang w:val="en-GB"/>
              </w:rPr>
              <w:t>Is there new evidence (not identified through the surveillance) in the following areas that may impact on current recommendations or address research recommendations in this guideline?</w:t>
            </w:r>
          </w:p>
        </w:tc>
      </w:tr>
      <w:tr w:rsidR="00B80646" w:rsidTr="00B80646">
        <w:trPr>
          <w:cantSplit/>
        </w:trPr>
        <w:tc>
          <w:tcPr>
            <w:tcW w:w="2609" w:type="dxa"/>
            <w:shd w:val="clear" w:color="auto" w:fill="auto"/>
          </w:tcPr>
          <w:p w:rsidR="00B80646" w:rsidRPr="002E1B0D" w:rsidRDefault="00B80646" w:rsidP="00847255">
            <w:pPr>
              <w:pStyle w:val="GDGtabletext"/>
              <w:rPr>
                <w:b/>
                <w:bCs/>
                <w:sz w:val="24"/>
              </w:rPr>
            </w:pPr>
            <w:r w:rsidRPr="002E1B0D">
              <w:rPr>
                <w:b/>
                <w:bCs/>
                <w:sz w:val="24"/>
              </w:rPr>
              <w:t>Knowing the patient as an individual</w:t>
            </w:r>
          </w:p>
          <w:p w:rsidR="00B80646" w:rsidRPr="002E1B0D" w:rsidRDefault="00B80646" w:rsidP="00847255">
            <w:pPr>
              <w:pStyle w:val="GDGtabletext"/>
              <w:rPr>
                <w:sz w:val="24"/>
              </w:rPr>
            </w:pPr>
            <w:r w:rsidRPr="002E1B0D">
              <w:rPr>
                <w:b/>
                <w:bCs/>
                <w:sz w:val="24"/>
              </w:rPr>
              <w:t xml:space="preserve">Recommendations </w:t>
            </w:r>
            <w:hyperlink r:id="rId11" w:anchor="knowing-the-patient-as-an-individual" w:history="1">
              <w:r w:rsidRPr="002E1B0D">
                <w:rPr>
                  <w:rStyle w:val="Hyperlink"/>
                  <w:b/>
                  <w:bCs/>
                  <w:sz w:val="24"/>
                </w:rPr>
                <w:t>1.1.1 – 1.1.7</w:t>
              </w:r>
            </w:hyperlink>
          </w:p>
        </w:tc>
        <w:tc>
          <w:tcPr>
            <w:tcW w:w="1843" w:type="dxa"/>
            <w:shd w:val="clear" w:color="auto" w:fill="auto"/>
          </w:tcPr>
          <w:p w:rsidR="00B80646" w:rsidRPr="002E1B0D" w:rsidRDefault="00B80646" w:rsidP="00847255">
            <w:pPr>
              <w:pStyle w:val="GDGtabletext"/>
              <w:rPr>
                <w:sz w:val="24"/>
              </w:rPr>
            </w:pPr>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B80646" w:rsidTr="00B80646">
        <w:trPr>
          <w:cantSplit/>
        </w:trPr>
        <w:tc>
          <w:tcPr>
            <w:tcW w:w="2609" w:type="dxa"/>
            <w:shd w:val="clear" w:color="auto" w:fill="auto"/>
          </w:tcPr>
          <w:p w:rsidR="00B80646" w:rsidRPr="002E1B0D" w:rsidRDefault="00B80646" w:rsidP="00847255">
            <w:pPr>
              <w:pStyle w:val="GDGtabletext"/>
              <w:rPr>
                <w:b/>
                <w:bCs/>
                <w:sz w:val="24"/>
              </w:rPr>
            </w:pPr>
            <w:r w:rsidRPr="002E1B0D">
              <w:rPr>
                <w:b/>
                <w:bCs/>
                <w:sz w:val="24"/>
              </w:rPr>
              <w:t>Essential requirements of care</w:t>
            </w:r>
          </w:p>
          <w:p w:rsidR="00B80646" w:rsidRPr="002E1B0D" w:rsidRDefault="00B80646" w:rsidP="00847255">
            <w:pPr>
              <w:pStyle w:val="GDGtabletext"/>
              <w:rPr>
                <w:b/>
                <w:bCs/>
                <w:sz w:val="24"/>
              </w:rPr>
            </w:pPr>
            <w:r w:rsidRPr="002E1B0D">
              <w:rPr>
                <w:b/>
                <w:bCs/>
                <w:sz w:val="24"/>
              </w:rPr>
              <w:t xml:space="preserve">Recommendations </w:t>
            </w:r>
            <w:hyperlink r:id="rId12" w:anchor="essential-requirements-of-care" w:history="1">
              <w:r w:rsidRPr="002E1B0D">
                <w:rPr>
                  <w:rStyle w:val="Hyperlink"/>
                  <w:b/>
                  <w:bCs/>
                  <w:sz w:val="24"/>
                </w:rPr>
                <w:t>1.2.1 – 1.2.13</w:t>
              </w:r>
            </w:hyperlink>
            <w:r w:rsidRPr="002E1B0D">
              <w:rPr>
                <w:b/>
                <w:bCs/>
                <w:sz w:val="24"/>
              </w:rPr>
              <w:t xml:space="preserve"> </w:t>
            </w:r>
          </w:p>
        </w:tc>
        <w:tc>
          <w:tcPr>
            <w:tcW w:w="1843" w:type="dxa"/>
            <w:shd w:val="clear" w:color="auto" w:fill="auto"/>
          </w:tcPr>
          <w:p w:rsidR="00B80646" w:rsidRDefault="00B80646" w:rsidP="00847255">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B80646" w:rsidTr="00B80646">
        <w:trPr>
          <w:cantSplit/>
        </w:trPr>
        <w:tc>
          <w:tcPr>
            <w:tcW w:w="2609" w:type="dxa"/>
            <w:shd w:val="clear" w:color="auto" w:fill="auto"/>
          </w:tcPr>
          <w:p w:rsidR="00B80646" w:rsidRPr="002E1B0D" w:rsidRDefault="00B80646" w:rsidP="00847255">
            <w:pPr>
              <w:pStyle w:val="GDGtabletext"/>
              <w:rPr>
                <w:b/>
                <w:bCs/>
                <w:sz w:val="24"/>
              </w:rPr>
            </w:pPr>
            <w:r w:rsidRPr="002E1B0D">
              <w:rPr>
                <w:b/>
                <w:bCs/>
                <w:sz w:val="24"/>
              </w:rPr>
              <w:t>Tailoring healthcare services for each patient</w:t>
            </w:r>
          </w:p>
          <w:p w:rsidR="00B80646" w:rsidRPr="002E1B0D" w:rsidRDefault="00B80646" w:rsidP="00847255">
            <w:pPr>
              <w:pStyle w:val="GDGtabletext"/>
              <w:rPr>
                <w:b/>
                <w:bCs/>
                <w:sz w:val="24"/>
              </w:rPr>
            </w:pPr>
            <w:r w:rsidRPr="002E1B0D">
              <w:rPr>
                <w:b/>
                <w:bCs/>
                <w:sz w:val="24"/>
              </w:rPr>
              <w:t xml:space="preserve">Recommendations </w:t>
            </w:r>
            <w:hyperlink r:id="rId13" w:anchor="tailoring-healthcare-services-for-each-patient" w:history="1">
              <w:r w:rsidRPr="002E1B0D">
                <w:rPr>
                  <w:rStyle w:val="Hyperlink"/>
                  <w:b/>
                  <w:bCs/>
                  <w:sz w:val="24"/>
                </w:rPr>
                <w:t>1.3.1 – 1.3.13</w:t>
              </w:r>
            </w:hyperlink>
            <w:r w:rsidRPr="002E1B0D">
              <w:rPr>
                <w:b/>
                <w:bCs/>
                <w:sz w:val="24"/>
              </w:rPr>
              <w:t xml:space="preserve"> </w:t>
            </w:r>
          </w:p>
        </w:tc>
        <w:tc>
          <w:tcPr>
            <w:tcW w:w="1843" w:type="dxa"/>
            <w:shd w:val="clear" w:color="auto" w:fill="auto"/>
          </w:tcPr>
          <w:p w:rsidR="00B80646" w:rsidRDefault="00B80646" w:rsidP="00847255">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B80646" w:rsidTr="00B80646">
        <w:trPr>
          <w:cantSplit/>
        </w:trPr>
        <w:tc>
          <w:tcPr>
            <w:tcW w:w="2609" w:type="dxa"/>
            <w:shd w:val="clear" w:color="auto" w:fill="auto"/>
          </w:tcPr>
          <w:p w:rsidR="00B80646" w:rsidRPr="002E1B0D" w:rsidRDefault="00B80646" w:rsidP="00847255">
            <w:pPr>
              <w:pStyle w:val="GDGtabletext"/>
              <w:rPr>
                <w:b/>
                <w:bCs/>
                <w:sz w:val="24"/>
              </w:rPr>
            </w:pPr>
            <w:r w:rsidRPr="002E1B0D">
              <w:rPr>
                <w:b/>
                <w:bCs/>
                <w:sz w:val="24"/>
              </w:rPr>
              <w:t>Continuity of care and relationships</w:t>
            </w:r>
          </w:p>
          <w:p w:rsidR="00B80646" w:rsidRPr="002E1B0D" w:rsidRDefault="00B80646" w:rsidP="00847255">
            <w:pPr>
              <w:pStyle w:val="GDGtabletext"/>
              <w:rPr>
                <w:b/>
                <w:bCs/>
                <w:sz w:val="24"/>
              </w:rPr>
            </w:pPr>
            <w:r w:rsidRPr="002E1B0D">
              <w:rPr>
                <w:b/>
                <w:bCs/>
                <w:sz w:val="24"/>
              </w:rPr>
              <w:t xml:space="preserve">Recommendations </w:t>
            </w:r>
            <w:hyperlink r:id="rId14" w:anchor="continuity-of-care-and-relationships" w:history="1">
              <w:r w:rsidRPr="002E1B0D">
                <w:rPr>
                  <w:rStyle w:val="Hyperlink"/>
                  <w:b/>
                  <w:bCs/>
                  <w:sz w:val="24"/>
                </w:rPr>
                <w:t>1.4.1 – 1.4.6</w:t>
              </w:r>
            </w:hyperlink>
            <w:r w:rsidRPr="002E1B0D">
              <w:rPr>
                <w:b/>
                <w:bCs/>
                <w:sz w:val="24"/>
              </w:rPr>
              <w:t xml:space="preserve"> </w:t>
            </w:r>
          </w:p>
        </w:tc>
        <w:tc>
          <w:tcPr>
            <w:tcW w:w="1843" w:type="dxa"/>
            <w:shd w:val="clear" w:color="auto" w:fill="auto"/>
          </w:tcPr>
          <w:p w:rsidR="00B80646" w:rsidRDefault="00B80646" w:rsidP="00847255">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r w:rsidR="00B80646" w:rsidTr="00B80646">
        <w:trPr>
          <w:cantSplit/>
        </w:trPr>
        <w:tc>
          <w:tcPr>
            <w:tcW w:w="2609" w:type="dxa"/>
            <w:shd w:val="clear" w:color="auto" w:fill="auto"/>
          </w:tcPr>
          <w:p w:rsidR="00B80646" w:rsidRPr="002E1B0D" w:rsidRDefault="00B80646" w:rsidP="00847255">
            <w:pPr>
              <w:pStyle w:val="GDGtabletext"/>
              <w:rPr>
                <w:b/>
                <w:bCs/>
                <w:sz w:val="24"/>
              </w:rPr>
            </w:pPr>
            <w:r w:rsidRPr="002E1B0D">
              <w:rPr>
                <w:b/>
                <w:bCs/>
                <w:sz w:val="24"/>
              </w:rPr>
              <w:lastRenderedPageBreak/>
              <w:t>Enabling patients to actively participate in care</w:t>
            </w:r>
          </w:p>
          <w:p w:rsidR="00B80646" w:rsidRPr="002E1B0D" w:rsidRDefault="00B80646" w:rsidP="00847255">
            <w:pPr>
              <w:pStyle w:val="GDGtabletext"/>
              <w:rPr>
                <w:b/>
                <w:bCs/>
                <w:sz w:val="24"/>
              </w:rPr>
            </w:pPr>
            <w:r w:rsidRPr="002E1B0D">
              <w:rPr>
                <w:b/>
                <w:bCs/>
                <w:sz w:val="24"/>
              </w:rPr>
              <w:t xml:space="preserve">Recommendations </w:t>
            </w:r>
            <w:hyperlink r:id="rId15" w:anchor="enabling-patients-to-actively-participate-in-their-care" w:history="1">
              <w:r w:rsidRPr="002E1B0D">
                <w:rPr>
                  <w:rStyle w:val="Hyperlink"/>
                  <w:b/>
                  <w:bCs/>
                  <w:sz w:val="24"/>
                </w:rPr>
                <w:t>1.5.1 – 1.5.29</w:t>
              </w:r>
            </w:hyperlink>
            <w:r w:rsidRPr="002E1B0D">
              <w:rPr>
                <w:b/>
                <w:bCs/>
                <w:sz w:val="24"/>
              </w:rPr>
              <w:t xml:space="preserve"> </w:t>
            </w:r>
          </w:p>
        </w:tc>
        <w:tc>
          <w:tcPr>
            <w:tcW w:w="1843" w:type="dxa"/>
            <w:shd w:val="clear" w:color="auto" w:fill="auto"/>
          </w:tcPr>
          <w:p w:rsidR="00B80646" w:rsidRDefault="00B80646" w:rsidP="00847255">
            <w:r w:rsidRPr="002E1B0D">
              <w:rPr>
                <w:sz w:val="24"/>
              </w:rPr>
              <w:fldChar w:fldCharType="begin">
                <w:ffData>
                  <w:name w:val=""/>
                  <w:enabled/>
                  <w:calcOnExit w:val="0"/>
                  <w:textInput>
                    <w:default w:val="[Yes / No]"/>
                  </w:textInput>
                </w:ffData>
              </w:fldChar>
            </w:r>
            <w:r w:rsidRPr="002E1B0D">
              <w:rPr>
                <w:sz w:val="24"/>
              </w:rPr>
              <w:instrText xml:space="preserve"> FORMTEXT </w:instrText>
            </w:r>
            <w:r w:rsidRPr="002E1B0D">
              <w:rPr>
                <w:sz w:val="24"/>
              </w:rPr>
            </w:r>
            <w:r w:rsidRPr="002E1B0D">
              <w:rPr>
                <w:sz w:val="24"/>
              </w:rPr>
              <w:fldChar w:fldCharType="separate"/>
            </w:r>
            <w:r w:rsidRPr="002E1B0D">
              <w:rPr>
                <w:noProof/>
                <w:sz w:val="24"/>
              </w:rPr>
              <w:t>[Yes / No]</w:t>
            </w:r>
            <w:r w:rsidRPr="002E1B0D">
              <w:rPr>
                <w:sz w:val="24"/>
              </w:rPr>
              <w:fldChar w:fldCharType="end"/>
            </w:r>
          </w:p>
        </w:tc>
        <w:tc>
          <w:tcPr>
            <w:tcW w:w="10773"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If yes, please provide the full reference and indicate how it will impact on recommendations]"/>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[If yes, please provide the full reference and indicate how it will impact on recommendations]</w:t>
            </w:r>
            <w:r>
              <w:rPr>
                <w:sz w:val="24"/>
                <w:lang w:val="en-GB"/>
              </w:rPr>
              <w:fldChar w:fldCharType="end"/>
            </w:r>
          </w:p>
        </w:tc>
      </w:tr>
    </w:tbl>
    <w:p w:rsidR="00B80646" w:rsidRDefault="00B80646"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6"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2F45EE">
        <w:rPr>
          <w:b/>
          <w:sz w:val="24"/>
          <w:szCs w:val="24"/>
        </w:rPr>
        <w:t>5pm 10 May 2016</w:t>
      </w:r>
      <w:bookmarkStart w:id="0" w:name="_GoBack"/>
      <w:bookmarkEnd w:id="0"/>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F45E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45EE">
              <w:rPr>
                <w:b/>
                <w:bCs/>
                <w:noProof/>
              </w:rPr>
              <w:t>4</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A7EC0"/>
    <w:rsid w:val="00256D21"/>
    <w:rsid w:val="002F45EE"/>
    <w:rsid w:val="002F6CA2"/>
    <w:rsid w:val="0030159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680395"/>
    <w:rsid w:val="00707586"/>
    <w:rsid w:val="007429E1"/>
    <w:rsid w:val="00752DC1"/>
    <w:rsid w:val="007814FE"/>
    <w:rsid w:val="007A6F39"/>
    <w:rsid w:val="007B3816"/>
    <w:rsid w:val="009816A4"/>
    <w:rsid w:val="00990D42"/>
    <w:rsid w:val="009A3324"/>
    <w:rsid w:val="009D1D12"/>
    <w:rsid w:val="00A13459"/>
    <w:rsid w:val="00A1730A"/>
    <w:rsid w:val="00A22182"/>
    <w:rsid w:val="00A22FB5"/>
    <w:rsid w:val="00A63151"/>
    <w:rsid w:val="00B356ED"/>
    <w:rsid w:val="00B65621"/>
    <w:rsid w:val="00B80646"/>
    <w:rsid w:val="00BA3358"/>
    <w:rsid w:val="00BF679A"/>
    <w:rsid w:val="00C03E79"/>
    <w:rsid w:val="00C27015"/>
    <w:rsid w:val="00C441AA"/>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hyperlink" Target="https://www.nice.org.uk/guidance/CG138/chapter/1-Guidanc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ice.org.uk/guidance/CG138/chapter/1-Guid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urveillance@nice.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ice.org.uk/guidance/CG138/chapter/1-Guidance" TargetMode="External"/><Relationship Id="rId5" Type="http://schemas.openxmlformats.org/officeDocument/2006/relationships/webSettings" Target="webSettings.xml"/><Relationship Id="rId15" Type="http://schemas.openxmlformats.org/officeDocument/2006/relationships/hyperlink" Target="https://www.nice.org.uk/guidance/CG138/chapter/1-Guidance" TargetMode="External"/><Relationship Id="rId10" Type="http://schemas.openxmlformats.org/officeDocument/2006/relationships/hyperlink" Target="https://www.nice.org.uk/Media/Default/About/what-we-do/our-programmes/developing-NICE-guidelines-the-manu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CG138/documents/stakeholder-list" TargetMode="External"/><Relationship Id="rId14" Type="http://schemas.openxmlformats.org/officeDocument/2006/relationships/hyperlink" Target="https://www.nice.org.uk/guidance/CG138/chapter/1-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918FD3FD</Template>
  <TotalTime>3</TotalTime>
  <Pages>4</Pages>
  <Words>443</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Michelle Whittaker</cp:lastModifiedBy>
  <cp:revision>4</cp:revision>
  <dcterms:created xsi:type="dcterms:W3CDTF">2016-04-07T14:38:00Z</dcterms:created>
  <dcterms:modified xsi:type="dcterms:W3CDTF">2016-04-25T10:40:00Z</dcterms:modified>
</cp:coreProperties>
</file>