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D2" w:rsidRPr="00B80646" w:rsidRDefault="00590FD2" w:rsidP="004B7469">
      <w:pPr>
        <w:pStyle w:val="Header"/>
        <w:ind w:left="426"/>
        <w:jc w:val="center"/>
        <w:rPr>
          <w:b/>
          <w:sz w:val="36"/>
          <w:szCs w:val="36"/>
        </w:rPr>
      </w:pPr>
      <w:r w:rsidRPr="00B80646">
        <w:rPr>
          <w:b/>
          <w:sz w:val="36"/>
          <w:szCs w:val="36"/>
        </w:rPr>
        <w:t xml:space="preserve">National Institute for Health and </w:t>
      </w:r>
      <w:r w:rsidR="002F6CA2" w:rsidRPr="00B80646">
        <w:rPr>
          <w:b/>
          <w:sz w:val="36"/>
          <w:szCs w:val="36"/>
        </w:rPr>
        <w:t>Care</w:t>
      </w:r>
      <w:r w:rsidRPr="00B80646">
        <w:rPr>
          <w:b/>
          <w:sz w:val="36"/>
          <w:szCs w:val="36"/>
        </w:rPr>
        <w:t xml:space="preserve"> Excellence </w:t>
      </w:r>
    </w:p>
    <w:p w:rsidR="00A63151" w:rsidRPr="00B80646" w:rsidRDefault="00A63151" w:rsidP="004B7469">
      <w:pPr>
        <w:ind w:left="426"/>
        <w:jc w:val="center"/>
        <w:rPr>
          <w:b/>
          <w:sz w:val="36"/>
          <w:szCs w:val="36"/>
        </w:rPr>
      </w:pPr>
    </w:p>
    <w:p w:rsidR="00C441AA" w:rsidRPr="00B80646" w:rsidRDefault="002F6CA2" w:rsidP="004B7469">
      <w:pPr>
        <w:pStyle w:val="Heading3"/>
        <w:spacing w:after="120"/>
        <w:ind w:left="426"/>
        <w:rPr>
          <w:sz w:val="36"/>
          <w:szCs w:val="36"/>
        </w:rPr>
      </w:pPr>
      <w:r w:rsidRPr="00B80646">
        <w:rPr>
          <w:sz w:val="36"/>
          <w:szCs w:val="36"/>
        </w:rPr>
        <w:t xml:space="preserve">Surveillance Review of </w:t>
      </w:r>
      <w:r w:rsidR="00EC755D" w:rsidRPr="00B80646">
        <w:rPr>
          <w:sz w:val="36"/>
          <w:szCs w:val="36"/>
        </w:rPr>
        <w:t>CG</w:t>
      </w:r>
      <w:r w:rsidR="00770FC8">
        <w:rPr>
          <w:sz w:val="36"/>
          <w:szCs w:val="36"/>
        </w:rPr>
        <w:t>170</w:t>
      </w:r>
      <w:r w:rsidR="001826CC">
        <w:rPr>
          <w:sz w:val="36"/>
          <w:szCs w:val="36"/>
        </w:rPr>
        <w:t xml:space="preserve"> </w:t>
      </w:r>
      <w:r w:rsidR="00770FC8" w:rsidRPr="00770FC8">
        <w:rPr>
          <w:sz w:val="36"/>
          <w:szCs w:val="36"/>
        </w:rPr>
        <w:t>Autism spectrum disorder in under 19s: support and management</w:t>
      </w:r>
    </w:p>
    <w:p w:rsidR="00590FD2" w:rsidRDefault="00590FD2" w:rsidP="004B7469">
      <w:pPr>
        <w:pStyle w:val="Heading3"/>
        <w:ind w:left="426"/>
        <w:rPr>
          <w:b w:val="0"/>
          <w:sz w:val="32"/>
          <w:szCs w:val="32"/>
        </w:rPr>
      </w:pPr>
      <w:r w:rsidRPr="00590FD2">
        <w:rPr>
          <w:b w:val="0"/>
        </w:rPr>
        <w:t xml:space="preserve">  </w:t>
      </w:r>
      <w:r w:rsidR="00EC755D" w:rsidRPr="00B80646">
        <w:rPr>
          <w:b w:val="0"/>
          <w:sz w:val="32"/>
          <w:szCs w:val="32"/>
        </w:rPr>
        <w:t>Stakeholder Comments Form</w:t>
      </w:r>
    </w:p>
    <w:p w:rsidR="00B80646" w:rsidRDefault="00B80646" w:rsidP="00B80646"/>
    <w:p w:rsidR="00B80646" w:rsidRPr="00B80646" w:rsidRDefault="00B80646" w:rsidP="00B80646"/>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8"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9" w:history="1">
              <w:r w:rsidRPr="0070328B">
                <w:rPr>
                  <w:rStyle w:val="Hyperlink"/>
                  <w:rFonts w:eastAsiaTheme="majorEastAsia"/>
                  <w:b/>
                  <w:sz w:val="24"/>
                  <w:szCs w:val="24"/>
                </w:rPr>
                <w:t>registered stakeholder organisation</w:t>
              </w:r>
            </w:hyperlink>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B80646" w:rsidRDefault="004401A2" w:rsidP="004B7469">
      <w:pPr>
        <w:ind w:left="426"/>
        <w:jc w:val="center"/>
        <w:rPr>
          <w:b/>
          <w:sz w:val="24"/>
          <w:szCs w:val="24"/>
        </w:rPr>
      </w:pPr>
      <w:r w:rsidRPr="00B80646">
        <w:rPr>
          <w:b/>
          <w:i/>
          <w:sz w:val="24"/>
          <w:szCs w:val="24"/>
        </w:rPr>
        <w:t>Please note an overview of the process for reviewing NICE publishe</w:t>
      </w:r>
      <w:bookmarkStart w:id="0" w:name="_GoBack"/>
      <w:bookmarkEnd w:id="0"/>
      <w:r w:rsidRPr="00B80646">
        <w:rPr>
          <w:b/>
          <w:i/>
          <w:sz w:val="24"/>
          <w:szCs w:val="24"/>
        </w:rPr>
        <w:t>d clinical guidelines can be found</w:t>
      </w:r>
      <w:r w:rsidRPr="00B80646">
        <w:rPr>
          <w:rStyle w:val="Hyperlink"/>
          <w:bCs/>
          <w:sz w:val="24"/>
          <w:szCs w:val="24"/>
        </w:rPr>
        <w:t xml:space="preserve"> </w:t>
      </w:r>
      <w:hyperlink r:id="rId10" w:history="1">
        <w:r w:rsidR="00A22FB5" w:rsidRPr="00B80646">
          <w:rPr>
            <w:rStyle w:val="Hyperlink"/>
            <w:b/>
            <w:bCs/>
            <w:sz w:val="24"/>
            <w:szCs w:val="24"/>
          </w:rPr>
          <w:t>here</w:t>
        </w:r>
      </w:hyperlink>
    </w:p>
    <w:p w:rsidR="00A22FB5" w:rsidRDefault="00A22FB5" w:rsidP="004B7469">
      <w:pPr>
        <w:ind w:left="426"/>
      </w:pPr>
    </w:p>
    <w:p w:rsidR="00B80646" w:rsidRDefault="00B80646">
      <w:pPr>
        <w:rPr>
          <w:rFonts w:cs="Arial"/>
          <w:b/>
          <w:sz w:val="28"/>
          <w:szCs w:val="28"/>
          <w:u w:val="single"/>
        </w:rPr>
      </w:pPr>
    </w:p>
    <w:p w:rsidR="00B80646" w:rsidRDefault="00B80646">
      <w:pPr>
        <w:rPr>
          <w:rFonts w:cs="Arial"/>
          <w:b/>
          <w:sz w:val="28"/>
          <w:szCs w:val="28"/>
          <w:u w:val="single"/>
        </w:rPr>
      </w:pPr>
    </w:p>
    <w:p w:rsidR="00B80646" w:rsidRPr="00B80646" w:rsidRDefault="00B80646">
      <w:pPr>
        <w:rPr>
          <w:rFonts w:cs="Arial"/>
          <w:b/>
          <w:sz w:val="28"/>
          <w:szCs w:val="28"/>
        </w:rPr>
      </w:pPr>
      <w:r w:rsidRPr="00B80646">
        <w:rPr>
          <w:rFonts w:cs="Arial"/>
          <w:b/>
          <w:sz w:val="28"/>
          <w:szCs w:val="28"/>
        </w:rPr>
        <w:t>Contents:</w:t>
      </w:r>
    </w:p>
    <w:p w:rsidR="00B80646" w:rsidRPr="00B80646" w:rsidRDefault="00680395" w:rsidP="00B80646">
      <w:pPr>
        <w:pStyle w:val="ListParagraph"/>
        <w:numPr>
          <w:ilvl w:val="0"/>
          <w:numId w:val="2"/>
        </w:numPr>
        <w:rPr>
          <w:rFonts w:cs="Arial"/>
          <w:sz w:val="28"/>
          <w:szCs w:val="28"/>
        </w:rPr>
      </w:pPr>
      <w:r>
        <w:rPr>
          <w:rFonts w:cs="Arial"/>
          <w:sz w:val="28"/>
          <w:szCs w:val="28"/>
        </w:rPr>
        <w:t>Comments on p</w:t>
      </w:r>
      <w:r w:rsidR="00B80646" w:rsidRPr="00B80646">
        <w:rPr>
          <w:rFonts w:cs="Arial"/>
          <w:sz w:val="28"/>
          <w:szCs w:val="28"/>
        </w:rPr>
        <w:t>roposal not to update the guideline – page 2</w:t>
      </w:r>
    </w:p>
    <w:p w:rsidR="00C51BC4" w:rsidRDefault="00C51BC4" w:rsidP="00B80646">
      <w:pPr>
        <w:pStyle w:val="ListParagraph"/>
        <w:numPr>
          <w:ilvl w:val="0"/>
          <w:numId w:val="2"/>
        </w:numPr>
        <w:rPr>
          <w:rFonts w:cs="Arial"/>
          <w:sz w:val="28"/>
          <w:szCs w:val="28"/>
        </w:rPr>
      </w:pPr>
      <w:r>
        <w:rPr>
          <w:rFonts w:cs="Arial"/>
          <w:sz w:val="28"/>
          <w:szCs w:val="28"/>
        </w:rPr>
        <w:t>Comments on the proposal to remove research recommendations from the NICE version of the guideline and the NICE research r</w:t>
      </w:r>
      <w:r w:rsidR="008C4B7D">
        <w:rPr>
          <w:rFonts w:cs="Arial"/>
          <w:sz w:val="28"/>
          <w:szCs w:val="28"/>
        </w:rPr>
        <w:t>ecommendations database – page 2</w:t>
      </w:r>
    </w:p>
    <w:p w:rsidR="00B80646" w:rsidRPr="00B80646" w:rsidRDefault="00B80646" w:rsidP="00B80646">
      <w:pPr>
        <w:pStyle w:val="ListParagraph"/>
        <w:numPr>
          <w:ilvl w:val="0"/>
          <w:numId w:val="2"/>
        </w:numPr>
        <w:rPr>
          <w:rFonts w:cs="Arial"/>
          <w:sz w:val="28"/>
          <w:szCs w:val="28"/>
        </w:rPr>
      </w:pPr>
      <w:r w:rsidRPr="00B80646">
        <w:rPr>
          <w:rFonts w:cs="Arial"/>
          <w:sz w:val="28"/>
          <w:szCs w:val="28"/>
        </w:rPr>
        <w:t>Comments on equality issues or areas excluded f</w:t>
      </w:r>
      <w:r w:rsidR="00770FC8">
        <w:rPr>
          <w:rFonts w:cs="Arial"/>
          <w:sz w:val="28"/>
          <w:szCs w:val="28"/>
        </w:rPr>
        <w:t xml:space="preserve">rom the guideline scope – page </w:t>
      </w:r>
      <w:r w:rsidR="001F643F">
        <w:rPr>
          <w:rFonts w:cs="Arial"/>
          <w:sz w:val="28"/>
          <w:szCs w:val="28"/>
        </w:rPr>
        <w:t>3</w:t>
      </w:r>
    </w:p>
    <w:p w:rsidR="00B80646" w:rsidRDefault="00B80646">
      <w:pPr>
        <w:rPr>
          <w:rFonts w:cs="Arial"/>
          <w:b/>
          <w:sz w:val="28"/>
          <w:szCs w:val="28"/>
          <w:u w:val="single"/>
        </w:rPr>
      </w:pPr>
    </w:p>
    <w:p w:rsidR="00B80646" w:rsidRDefault="00B80646">
      <w:pPr>
        <w:rPr>
          <w:rFonts w:cs="Arial"/>
          <w:b/>
          <w:sz w:val="28"/>
          <w:szCs w:val="28"/>
          <w:u w:val="single"/>
        </w:rPr>
      </w:pPr>
      <w:r>
        <w:rPr>
          <w:rFonts w:cs="Arial"/>
          <w:b/>
          <w:sz w:val="28"/>
          <w:szCs w:val="28"/>
          <w:u w:val="single"/>
        </w:rPr>
        <w:br w:type="page"/>
      </w:r>
    </w:p>
    <w:p w:rsidR="00B80646" w:rsidRPr="00B80646" w:rsidRDefault="00B80646" w:rsidP="00552430">
      <w:pPr>
        <w:ind w:left="426"/>
        <w:rPr>
          <w:rFonts w:cs="Arial"/>
          <w:b/>
          <w:sz w:val="28"/>
          <w:szCs w:val="28"/>
          <w:u w:val="single"/>
        </w:rPr>
      </w:pPr>
      <w:r w:rsidRPr="00B80646">
        <w:rPr>
          <w:rFonts w:cs="Arial"/>
          <w:b/>
          <w:sz w:val="28"/>
          <w:szCs w:val="28"/>
          <w:u w:val="single"/>
        </w:rPr>
        <w:lastRenderedPageBreak/>
        <w:t>Proposal not to update the guideline</w:t>
      </w:r>
    </w:p>
    <w:p w:rsidR="00B80646" w:rsidRDefault="00B80646" w:rsidP="00552430">
      <w:pPr>
        <w:ind w:left="426"/>
        <w:rPr>
          <w:rFonts w:cs="Arial"/>
        </w:rPr>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C51BC4" w:rsidRPr="00BA3358" w:rsidRDefault="00C51BC4" w:rsidP="009100FA">
      <w:pPr>
        <w:pStyle w:val="ListParagraph"/>
        <w:numPr>
          <w:ilvl w:val="0"/>
          <w:numId w:val="1"/>
        </w:numPr>
        <w:ind w:left="1440"/>
        <w:rPr>
          <w:rFonts w:cs="Arial"/>
        </w:rPr>
      </w:pPr>
      <w:r>
        <w:rPr>
          <w:rFonts w:cs="Arial"/>
        </w:rPr>
        <w:t>Do you agree with our proposal to remove the listed research recommendations from the NICE version of the guideline and the NICE research recommendation database?</w:t>
      </w:r>
    </w:p>
    <w:p w:rsidR="00552430" w:rsidRDefault="00552430" w:rsidP="00552430">
      <w:pPr>
        <w:ind w:left="426"/>
      </w:pPr>
    </w:p>
    <w:p w:rsidR="00552430" w:rsidRPr="00B80646" w:rsidRDefault="00552430" w:rsidP="00B80646">
      <w:pPr>
        <w:ind w:left="426"/>
        <w:rPr>
          <w:sz w:val="18"/>
        </w:rPr>
      </w:pPr>
      <w:r w:rsidRPr="00F07568">
        <w:rPr>
          <w:rFonts w:cs="Arial"/>
          <w:szCs w:val="22"/>
        </w:rPr>
        <w:t xml:space="preserve">If a stakeholder wishes to draw our attention to published literature, please supply the full </w:t>
      </w:r>
      <w:r w:rsidRPr="00B80646">
        <w:rPr>
          <w:rFonts w:cs="Arial"/>
          <w:szCs w:val="22"/>
        </w:rPr>
        <w:t>reference.</w:t>
      </w:r>
      <w:r w:rsidR="00B80646" w:rsidRPr="00B80646">
        <w:rPr>
          <w:rFonts w:cs="Arial"/>
          <w:szCs w:val="22"/>
        </w:rPr>
        <w:t xml:space="preserve"> </w:t>
      </w:r>
      <w:r w:rsidR="00B80646" w:rsidRPr="00B80646">
        <w:rPr>
          <w:szCs w:val="22"/>
        </w:rPr>
        <w:t>Please add extra rows as needed</w:t>
      </w:r>
    </w:p>
    <w:p w:rsidR="00590D59" w:rsidRDefault="00590D59" w:rsidP="00B80646">
      <w:pPr>
        <w:rPr>
          <w:sz w:val="18"/>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B80646" w:rsidTr="00C51BC4">
        <w:trPr>
          <w:cantSplit/>
          <w:tblHeader/>
        </w:trPr>
        <w:tc>
          <w:tcPr>
            <w:tcW w:w="2551" w:type="dxa"/>
            <w:shd w:val="clear" w:color="auto" w:fill="C6D9F1"/>
          </w:tcPr>
          <w:p w:rsidR="00B80646" w:rsidRPr="002E1B0D" w:rsidRDefault="00B80646" w:rsidP="00847255">
            <w:pPr>
              <w:pStyle w:val="GDGtabletext"/>
              <w:rPr>
                <w:sz w:val="24"/>
              </w:rPr>
            </w:pPr>
            <w:r>
              <w:rPr>
                <w:b/>
                <w:sz w:val="24"/>
              </w:rPr>
              <w:t>1. Do you agree the guideline should not be updated?</w:t>
            </w:r>
          </w:p>
        </w:tc>
        <w:tc>
          <w:tcPr>
            <w:tcW w:w="11765" w:type="dxa"/>
            <w:shd w:val="clear" w:color="auto" w:fill="C6D9F1"/>
          </w:tcPr>
          <w:p w:rsidR="00B80646" w:rsidRDefault="00B80646" w:rsidP="00847255">
            <w:pPr>
              <w:pStyle w:val="GDGtabletext"/>
              <w:rPr>
                <w:b/>
                <w:sz w:val="24"/>
              </w:rPr>
            </w:pPr>
            <w:r>
              <w:rPr>
                <w:b/>
                <w:sz w:val="24"/>
              </w:rPr>
              <w:t>Comments</w:t>
            </w:r>
          </w:p>
          <w:p w:rsidR="00B80646" w:rsidRDefault="00B80646" w:rsidP="00847255">
            <w:pPr>
              <w:pStyle w:val="GDGtabletext"/>
              <w:rPr>
                <w:b/>
                <w:sz w:val="24"/>
              </w:rPr>
            </w:pPr>
          </w:p>
          <w:p w:rsidR="00B80646" w:rsidRPr="002E1B0D" w:rsidRDefault="00B80646" w:rsidP="00847255">
            <w:pPr>
              <w:pStyle w:val="GDGtabletext"/>
              <w:rPr>
                <w:sz w:val="24"/>
              </w:rPr>
            </w:pPr>
            <w:r>
              <w:rPr>
                <w:b/>
                <w:sz w:val="24"/>
              </w:rPr>
              <w:t>If you disagree, please explain why</w:t>
            </w:r>
          </w:p>
        </w:tc>
      </w:tr>
      <w:tr w:rsidR="00B80646" w:rsidTr="00C51BC4">
        <w:trPr>
          <w:cantSplit/>
        </w:trPr>
        <w:tc>
          <w:tcPr>
            <w:tcW w:w="2551" w:type="dxa"/>
            <w:shd w:val="clear" w:color="auto" w:fill="auto"/>
          </w:tcPr>
          <w:p w:rsidR="00B80646" w:rsidRPr="002E1B0D" w:rsidRDefault="00B80646" w:rsidP="0084725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1765"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Comments on proposal not to update the guidelin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not to update the guideline</w:t>
            </w:r>
            <w:r>
              <w:rPr>
                <w:sz w:val="24"/>
                <w:lang w:val="en-GB"/>
              </w:rPr>
              <w:fldChar w:fldCharType="end"/>
            </w:r>
          </w:p>
        </w:tc>
      </w:tr>
      <w:tr w:rsidR="008C4B7D" w:rsidTr="00C51BC4">
        <w:trPr>
          <w:cantSplit/>
        </w:trPr>
        <w:tc>
          <w:tcPr>
            <w:tcW w:w="2551" w:type="dxa"/>
            <w:shd w:val="clear" w:color="auto" w:fill="auto"/>
          </w:tcPr>
          <w:p w:rsidR="008C4B7D" w:rsidRDefault="008C4B7D" w:rsidP="00847255">
            <w:pPr>
              <w:pStyle w:val="GDGtabletext"/>
              <w:rPr>
                <w:sz w:val="24"/>
              </w:rPr>
            </w:pPr>
          </w:p>
        </w:tc>
        <w:tc>
          <w:tcPr>
            <w:tcW w:w="11765" w:type="dxa"/>
            <w:shd w:val="clear" w:color="auto" w:fill="auto"/>
          </w:tcPr>
          <w:p w:rsidR="008C4B7D" w:rsidRDefault="008C4B7D" w:rsidP="00847255">
            <w:pPr>
              <w:pStyle w:val="GDGtabletext"/>
              <w:rPr>
                <w:sz w:val="24"/>
                <w:lang w:val="en-GB"/>
              </w:rPr>
            </w:pPr>
          </w:p>
        </w:tc>
      </w:tr>
    </w:tbl>
    <w:p w:rsidR="00C51BC4" w:rsidRDefault="00C51BC4" w:rsidP="00C51BC4"/>
    <w:tbl>
      <w:tblPr>
        <w:tblW w:w="4615" w:type="pct"/>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6944"/>
        <w:gridCol w:w="1701"/>
        <w:gridCol w:w="5673"/>
      </w:tblGrid>
      <w:tr w:rsidR="00C51BC4" w:rsidTr="001F643F">
        <w:trPr>
          <w:cantSplit/>
        </w:trPr>
        <w:tc>
          <w:tcPr>
            <w:tcW w:w="3019" w:type="pct"/>
            <w:gridSpan w:val="2"/>
            <w:shd w:val="clear" w:color="auto" w:fill="C6D9F1"/>
          </w:tcPr>
          <w:p w:rsidR="00C51BC4" w:rsidRDefault="00C51BC4" w:rsidP="00E37183">
            <w:pPr>
              <w:pStyle w:val="GDGtabletext"/>
              <w:rPr>
                <w:b/>
                <w:sz w:val="24"/>
              </w:rPr>
            </w:pPr>
            <w:r>
              <w:rPr>
                <w:b/>
                <w:sz w:val="24"/>
              </w:rPr>
              <w:t>2. Do you agree with the proposal to remove these research recommendations from the NICE version and research database?</w:t>
            </w:r>
          </w:p>
        </w:tc>
        <w:tc>
          <w:tcPr>
            <w:tcW w:w="1981" w:type="pct"/>
            <w:shd w:val="clear" w:color="auto" w:fill="C6D9F1"/>
          </w:tcPr>
          <w:p w:rsidR="00C51BC4" w:rsidRDefault="00C51BC4" w:rsidP="00E37183">
            <w:pPr>
              <w:pStyle w:val="GDGtabletext"/>
              <w:rPr>
                <w:b/>
                <w:sz w:val="24"/>
              </w:rPr>
            </w:pPr>
            <w:r>
              <w:rPr>
                <w:b/>
                <w:sz w:val="24"/>
              </w:rPr>
              <w:t>Comments</w:t>
            </w:r>
          </w:p>
          <w:p w:rsidR="00C51BC4" w:rsidRDefault="00C51BC4" w:rsidP="00C51BC4">
            <w:pPr>
              <w:pStyle w:val="GDGtabletext"/>
              <w:tabs>
                <w:tab w:val="left" w:pos="13650"/>
              </w:tabs>
              <w:rPr>
                <w:b/>
                <w:sz w:val="24"/>
              </w:rPr>
            </w:pPr>
            <w:r>
              <w:rPr>
                <w:b/>
                <w:sz w:val="24"/>
              </w:rPr>
              <w:tab/>
            </w:r>
          </w:p>
          <w:p w:rsidR="00C51BC4" w:rsidRPr="002E1B0D" w:rsidRDefault="00C51BC4" w:rsidP="00E37183">
            <w:pPr>
              <w:pStyle w:val="GDGtabletext"/>
              <w:rPr>
                <w:sz w:val="24"/>
              </w:rPr>
            </w:pPr>
            <w:r>
              <w:rPr>
                <w:b/>
                <w:sz w:val="24"/>
              </w:rPr>
              <w:t>If you disagree, please explain why</w:t>
            </w:r>
          </w:p>
        </w:tc>
      </w:tr>
      <w:tr w:rsidR="00C51BC4" w:rsidTr="001F643F">
        <w:trPr>
          <w:cantSplit/>
        </w:trPr>
        <w:tc>
          <w:tcPr>
            <w:tcW w:w="2425" w:type="pct"/>
            <w:shd w:val="clear" w:color="auto" w:fill="auto"/>
          </w:tcPr>
          <w:p w:rsidR="00C51BC4" w:rsidRPr="00770FC8" w:rsidRDefault="00770FC8" w:rsidP="00770FC8">
            <w:pPr>
              <w:pStyle w:val="Bulletleft1"/>
              <w:numPr>
                <w:ilvl w:val="0"/>
                <w:numId w:val="0"/>
              </w:numPr>
            </w:pPr>
            <w:r w:rsidRPr="007C0E32">
              <w:t>What is the value of a key worker approach (defined by protocol and delivered in addition to usual care) for children and young people with autism in terms of parental satisfaction, functioning and stress and child psychopathology?</w:t>
            </w:r>
          </w:p>
        </w:tc>
        <w:tc>
          <w:tcPr>
            <w:tcW w:w="594" w:type="pct"/>
          </w:tcPr>
          <w:p w:rsidR="00C51BC4" w:rsidRDefault="00C51BC4" w:rsidP="00E37183">
            <w:pPr>
              <w:pStyle w:val="GDGtabletext"/>
              <w:rPr>
                <w:sz w:val="24"/>
                <w:lang w:val="en-GB"/>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981" w:type="pct"/>
            <w:shd w:val="clear" w:color="auto" w:fill="auto"/>
          </w:tcPr>
          <w:p w:rsidR="00C51BC4" w:rsidRPr="002E1B0D" w:rsidRDefault="00770FC8" w:rsidP="00E37183">
            <w:pPr>
              <w:pStyle w:val="GDGtabletext"/>
              <w:rPr>
                <w:sz w:val="24"/>
              </w:rPr>
            </w:pPr>
            <w:r>
              <w:rPr>
                <w:sz w:val="24"/>
                <w:lang w:val="en-GB"/>
              </w:rPr>
              <w:fldChar w:fldCharType="begin">
                <w:ffData>
                  <w:name w:val=""/>
                  <w:enabled/>
                  <w:calcOnExit w:val="0"/>
                  <w:textInput>
                    <w:default w:val="Comments on proposal toremove these research recommendations from the NICE version and research databas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toremove these research recommendations from the NICE version and research database</w:t>
            </w:r>
            <w:r>
              <w:rPr>
                <w:sz w:val="24"/>
                <w:lang w:val="en-GB"/>
              </w:rPr>
              <w:fldChar w:fldCharType="end"/>
            </w:r>
          </w:p>
        </w:tc>
      </w:tr>
      <w:tr w:rsidR="00C51BC4" w:rsidTr="001F643F">
        <w:trPr>
          <w:cantSplit/>
        </w:trPr>
        <w:tc>
          <w:tcPr>
            <w:tcW w:w="2425" w:type="pct"/>
            <w:shd w:val="clear" w:color="auto" w:fill="auto"/>
          </w:tcPr>
          <w:p w:rsidR="00C51BC4" w:rsidRPr="002E1B0D" w:rsidRDefault="00770FC8" w:rsidP="00770FC8">
            <w:pPr>
              <w:pStyle w:val="Bulletleft1"/>
              <w:numPr>
                <w:ilvl w:val="0"/>
                <w:numId w:val="0"/>
              </w:numPr>
            </w:pPr>
            <w:r w:rsidRPr="007C0E32">
              <w:lastRenderedPageBreak/>
              <w:t>Is a sleep hygiene intervention or melatonin clinically and cost effective in the management of sleep onset, night waking and reduced total sleep in children (aged 4–10 years) with autism?</w:t>
            </w:r>
          </w:p>
        </w:tc>
        <w:tc>
          <w:tcPr>
            <w:tcW w:w="594" w:type="pct"/>
          </w:tcPr>
          <w:p w:rsidR="00C51BC4" w:rsidRDefault="00C51BC4" w:rsidP="00E37183">
            <w:pPr>
              <w:pStyle w:val="GDGtabletext"/>
              <w:rPr>
                <w:sz w:val="24"/>
              </w:rPr>
            </w:pPr>
          </w:p>
        </w:tc>
        <w:tc>
          <w:tcPr>
            <w:tcW w:w="1981" w:type="pct"/>
            <w:shd w:val="clear" w:color="auto" w:fill="auto"/>
          </w:tcPr>
          <w:p w:rsidR="00C51BC4" w:rsidRDefault="00C51BC4" w:rsidP="00E37183">
            <w:pPr>
              <w:pStyle w:val="GDGtabletext"/>
              <w:rPr>
                <w:sz w:val="24"/>
                <w:lang w:val="en-GB"/>
              </w:rPr>
            </w:pPr>
          </w:p>
        </w:tc>
      </w:tr>
      <w:tr w:rsidR="00770FC8" w:rsidTr="001F643F">
        <w:trPr>
          <w:cantSplit/>
        </w:trPr>
        <w:tc>
          <w:tcPr>
            <w:tcW w:w="2425" w:type="pct"/>
            <w:shd w:val="clear" w:color="auto" w:fill="auto"/>
          </w:tcPr>
          <w:p w:rsidR="00770FC8" w:rsidRPr="007C0E32" w:rsidRDefault="00770FC8" w:rsidP="00770FC8">
            <w:pPr>
              <w:pStyle w:val="Bulletleft1"/>
              <w:numPr>
                <w:ilvl w:val="0"/>
                <w:numId w:val="0"/>
              </w:numPr>
            </w:pPr>
            <w:r w:rsidRPr="007C0E32">
              <w:t>What is the comparative clinical and cost effectiveness of pharmacological and psychosocial interventions for anxiety disorders in children and young people with autism</w:t>
            </w:r>
            <w:r>
              <w:t>?</w:t>
            </w:r>
          </w:p>
        </w:tc>
        <w:tc>
          <w:tcPr>
            <w:tcW w:w="594" w:type="pct"/>
          </w:tcPr>
          <w:p w:rsidR="00770FC8" w:rsidRDefault="00770FC8" w:rsidP="00E37183">
            <w:pPr>
              <w:pStyle w:val="GDGtabletext"/>
              <w:rPr>
                <w:sz w:val="24"/>
              </w:rPr>
            </w:pPr>
          </w:p>
        </w:tc>
        <w:tc>
          <w:tcPr>
            <w:tcW w:w="1981" w:type="pct"/>
            <w:shd w:val="clear" w:color="auto" w:fill="auto"/>
          </w:tcPr>
          <w:p w:rsidR="00770FC8" w:rsidRDefault="00770FC8" w:rsidP="00E37183">
            <w:pPr>
              <w:pStyle w:val="GDGtabletext"/>
              <w:rPr>
                <w:sz w:val="24"/>
                <w:lang w:val="en-GB"/>
              </w:rPr>
            </w:pPr>
          </w:p>
        </w:tc>
      </w:tr>
      <w:tr w:rsidR="00770FC8" w:rsidTr="001F643F">
        <w:trPr>
          <w:cantSplit/>
        </w:trPr>
        <w:tc>
          <w:tcPr>
            <w:tcW w:w="2425" w:type="pct"/>
            <w:shd w:val="clear" w:color="auto" w:fill="auto"/>
          </w:tcPr>
          <w:p w:rsidR="00770FC8" w:rsidRPr="007C0E32" w:rsidRDefault="00770FC8" w:rsidP="00770FC8">
            <w:pPr>
              <w:pStyle w:val="Bulletleft1"/>
              <w:numPr>
                <w:ilvl w:val="0"/>
                <w:numId w:val="0"/>
              </w:numPr>
            </w:pPr>
            <w:r w:rsidRPr="007C0E32">
              <w:t xml:space="preserve">Are comprehensive early interventions that combine multiple elements and are delivered by parents and teachers (for example, the Learning Experiences – an Alternative Program for Preschoolers and their Parents [LEAP] model) effective in managing the core symptoms of autism and coexisting difficulties (such as adaptive </w:t>
            </w:r>
            <w:proofErr w:type="spellStart"/>
            <w:r w:rsidRPr="007C0E32">
              <w:t>behaviour</w:t>
            </w:r>
            <w:proofErr w:type="spellEnd"/>
            <w:r w:rsidRPr="007C0E32">
              <w:t xml:space="preserve"> and developmental skills) in pre-school children?</w:t>
            </w:r>
          </w:p>
        </w:tc>
        <w:tc>
          <w:tcPr>
            <w:tcW w:w="594" w:type="pct"/>
          </w:tcPr>
          <w:p w:rsidR="00770FC8" w:rsidRDefault="00770FC8" w:rsidP="00E37183">
            <w:pPr>
              <w:pStyle w:val="GDGtabletext"/>
              <w:rPr>
                <w:sz w:val="24"/>
              </w:rPr>
            </w:pPr>
          </w:p>
        </w:tc>
        <w:tc>
          <w:tcPr>
            <w:tcW w:w="1981" w:type="pct"/>
            <w:shd w:val="clear" w:color="auto" w:fill="auto"/>
          </w:tcPr>
          <w:p w:rsidR="00770FC8" w:rsidRDefault="00770FC8" w:rsidP="00E37183">
            <w:pPr>
              <w:pStyle w:val="GDGtabletext"/>
              <w:rPr>
                <w:sz w:val="24"/>
                <w:lang w:val="en-GB"/>
              </w:rPr>
            </w:pPr>
          </w:p>
        </w:tc>
      </w:tr>
    </w:tbl>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t>Do you have any comments on equality issues or areas excluded from the original scope?</w:t>
      </w:r>
    </w:p>
    <w:p w:rsidR="00590D59" w:rsidRDefault="00590D59" w:rsidP="00590D59">
      <w:pPr>
        <w:ind w:left="426"/>
      </w:pPr>
    </w:p>
    <w:p w:rsidR="00590D59" w:rsidRDefault="00590D59" w:rsidP="004B7469">
      <w:pPr>
        <w:ind w:left="426"/>
        <w:rPr>
          <w:sz w:val="18"/>
        </w:rPr>
      </w:pPr>
    </w:p>
    <w:tbl>
      <w:tblPr>
        <w:tblW w:w="14316"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316"/>
      </w:tblGrid>
      <w:tr w:rsidR="00590D59" w:rsidRPr="00590FD2" w:rsidTr="001F643F">
        <w:tc>
          <w:tcPr>
            <w:tcW w:w="14316"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D59" w:rsidRDefault="00590D59" w:rsidP="004B7469">
      <w:pPr>
        <w:ind w:left="426"/>
        <w:rPr>
          <w:sz w:val="18"/>
        </w:rPr>
      </w:pPr>
    </w:p>
    <w:p w:rsidR="00590FD2" w:rsidRDefault="00590FD2" w:rsidP="004B7469">
      <w:pPr>
        <w:ind w:left="426"/>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11" w:history="1">
        <w:r w:rsidR="00EC755D" w:rsidRPr="003060A7">
          <w:rPr>
            <w:rStyle w:val="Hyperlink"/>
            <w:b/>
            <w:sz w:val="24"/>
            <w:szCs w:val="24"/>
          </w:rPr>
          <w:t>surveillance@nice.org.uk</w:t>
        </w:r>
      </w:hyperlink>
      <w:r w:rsidR="00EC755D">
        <w:rPr>
          <w:b/>
          <w:color w:val="99CCFF"/>
          <w:sz w:val="24"/>
          <w:szCs w:val="24"/>
        </w:rPr>
        <w:t xml:space="preserve"> </w:t>
      </w:r>
    </w:p>
    <w:p w:rsidR="00B80646" w:rsidRDefault="00B80646" w:rsidP="004B7469">
      <w:pPr>
        <w:ind w:left="426"/>
        <w:rPr>
          <w:b/>
          <w:sz w:val="24"/>
          <w:szCs w:val="24"/>
        </w:rPr>
      </w:pPr>
    </w:p>
    <w:p w:rsidR="00590FD2" w:rsidRDefault="00590FD2" w:rsidP="004B7469">
      <w:pPr>
        <w:ind w:left="426"/>
        <w:rPr>
          <w:b/>
          <w:sz w:val="24"/>
          <w:szCs w:val="24"/>
        </w:rPr>
      </w:pPr>
      <w:r>
        <w:rPr>
          <w:b/>
          <w:sz w:val="24"/>
          <w:szCs w:val="24"/>
        </w:rPr>
        <w:t xml:space="preserve">Closing date: </w:t>
      </w:r>
      <w:r w:rsidR="009A3122">
        <w:rPr>
          <w:b/>
          <w:sz w:val="24"/>
          <w:szCs w:val="24"/>
        </w:rPr>
        <w:t>5:00pm 1 June 2016</w:t>
      </w:r>
    </w:p>
    <w:p w:rsidR="00590FD2" w:rsidRDefault="00590FD2" w:rsidP="004B7469">
      <w:pPr>
        <w:ind w:left="426"/>
        <w:rPr>
          <w:b/>
          <w:color w:val="99CCFF"/>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46" w:rsidRDefault="00B80646" w:rsidP="00B80646">
      <w:r>
        <w:separator/>
      </w:r>
    </w:p>
  </w:endnote>
  <w:endnote w:type="continuationSeparator" w:id="0">
    <w:p w:rsidR="00B80646" w:rsidRDefault="00B80646" w:rsidP="00B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10687"/>
      <w:docPartObj>
        <w:docPartGallery w:val="Page Numbers (Bottom of Page)"/>
        <w:docPartUnique/>
      </w:docPartObj>
    </w:sdtPr>
    <w:sdtEndPr/>
    <w:sdtContent>
      <w:sdt>
        <w:sdtPr>
          <w:id w:val="-1669238322"/>
          <w:docPartObj>
            <w:docPartGallery w:val="Page Numbers (Top of Page)"/>
            <w:docPartUnique/>
          </w:docPartObj>
        </w:sdtPr>
        <w:sdtEndPr/>
        <w:sdtContent>
          <w:p w:rsidR="00B80646" w:rsidRDefault="00B80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0328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328B">
              <w:rPr>
                <w:b/>
                <w:bCs/>
                <w:noProof/>
              </w:rPr>
              <w:t>3</w:t>
            </w:r>
            <w:r>
              <w:rPr>
                <w:b/>
                <w:bCs/>
                <w:sz w:val="24"/>
                <w:szCs w:val="24"/>
              </w:rPr>
              <w:fldChar w:fldCharType="end"/>
            </w:r>
          </w:p>
        </w:sdtContent>
      </w:sdt>
    </w:sdtContent>
  </w:sdt>
  <w:p w:rsidR="00B80646" w:rsidRDefault="00B8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46" w:rsidRDefault="00B80646" w:rsidP="00B80646">
      <w:r>
        <w:separator/>
      </w:r>
    </w:p>
  </w:footnote>
  <w:footnote w:type="continuationSeparator" w:id="0">
    <w:p w:rsidR="00B80646" w:rsidRDefault="00B80646" w:rsidP="00B80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DA0DF6"/>
    <w:multiLevelType w:val="hybridMultilevel"/>
    <w:tmpl w:val="817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D2"/>
    <w:rsid w:val="000C620D"/>
    <w:rsid w:val="0012043E"/>
    <w:rsid w:val="00164DB4"/>
    <w:rsid w:val="00174B95"/>
    <w:rsid w:val="001826CC"/>
    <w:rsid w:val="001A7EC0"/>
    <w:rsid w:val="001D61D1"/>
    <w:rsid w:val="001F643F"/>
    <w:rsid w:val="00256D21"/>
    <w:rsid w:val="002F6CA2"/>
    <w:rsid w:val="0030159C"/>
    <w:rsid w:val="00364185"/>
    <w:rsid w:val="003C1C9C"/>
    <w:rsid w:val="003D6BC1"/>
    <w:rsid w:val="004401A2"/>
    <w:rsid w:val="00441442"/>
    <w:rsid w:val="0045070A"/>
    <w:rsid w:val="0047628F"/>
    <w:rsid w:val="004A6750"/>
    <w:rsid w:val="004B7469"/>
    <w:rsid w:val="004D5990"/>
    <w:rsid w:val="00552430"/>
    <w:rsid w:val="00576811"/>
    <w:rsid w:val="00590D59"/>
    <w:rsid w:val="00590FD2"/>
    <w:rsid w:val="006040E9"/>
    <w:rsid w:val="00680395"/>
    <w:rsid w:val="0070328B"/>
    <w:rsid w:val="00707586"/>
    <w:rsid w:val="007429E1"/>
    <w:rsid w:val="00752DC1"/>
    <w:rsid w:val="00770FC8"/>
    <w:rsid w:val="007814FE"/>
    <w:rsid w:val="007A6F39"/>
    <w:rsid w:val="007B3816"/>
    <w:rsid w:val="00892A7B"/>
    <w:rsid w:val="008C4B7D"/>
    <w:rsid w:val="009100FA"/>
    <w:rsid w:val="009816A4"/>
    <w:rsid w:val="00990D42"/>
    <w:rsid w:val="009A3122"/>
    <w:rsid w:val="009D1D12"/>
    <w:rsid w:val="00A13459"/>
    <w:rsid w:val="00A1730A"/>
    <w:rsid w:val="00A22182"/>
    <w:rsid w:val="00A22FB5"/>
    <w:rsid w:val="00A63151"/>
    <w:rsid w:val="00B356ED"/>
    <w:rsid w:val="00B65621"/>
    <w:rsid w:val="00B80646"/>
    <w:rsid w:val="00BA3358"/>
    <w:rsid w:val="00BF679A"/>
    <w:rsid w:val="00C27015"/>
    <w:rsid w:val="00C441AA"/>
    <w:rsid w:val="00C51BC4"/>
    <w:rsid w:val="00D0414E"/>
    <w:rsid w:val="00DB1645"/>
    <w:rsid w:val="00E40E31"/>
    <w:rsid w:val="00E510BA"/>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 w:type="paragraph" w:customStyle="1" w:styleId="Bulletleft1">
    <w:name w:val="Bullet left 1"/>
    <w:basedOn w:val="Normal"/>
    <w:rsid w:val="00770FC8"/>
    <w:pPr>
      <w:numPr>
        <w:numId w:val="3"/>
      </w:numPr>
      <w:spacing w:line="360" w:lineRule="auto"/>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 w:type="paragraph" w:customStyle="1" w:styleId="Bulletleft1">
    <w:name w:val="Bullet left 1"/>
    <w:basedOn w:val="Normal"/>
    <w:rsid w:val="00770FC8"/>
    <w:pPr>
      <w:numPr>
        <w:numId w:val="3"/>
      </w:numPr>
      <w:spacing w:line="36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et-involved/stakeholder-registr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rveillance@nice.org.uk" TargetMode="External"/><Relationship Id="rId5" Type="http://schemas.openxmlformats.org/officeDocument/2006/relationships/webSettings" Target="webSettings.xml"/><Relationship Id="rId10" Type="http://schemas.openxmlformats.org/officeDocument/2006/relationships/hyperlink" Target="https://www.nice.org.uk/Media/Default/About/what-we-do/our-programmes/developing-NICE-guidelines-the-manual.pdf" TargetMode="External"/><Relationship Id="rId4" Type="http://schemas.openxmlformats.org/officeDocument/2006/relationships/settings" Target="settings.xml"/><Relationship Id="rId9" Type="http://schemas.openxmlformats.org/officeDocument/2006/relationships/hyperlink" Target="https://www.nice.org.uk/guidance/CG170/documents/stakeholder-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5809E50D</Template>
  <TotalTime>9</TotalTime>
  <Pages>3</Pages>
  <Words>512</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Debra Hunter</cp:lastModifiedBy>
  <cp:revision>5</cp:revision>
  <dcterms:created xsi:type="dcterms:W3CDTF">2016-05-16T09:40:00Z</dcterms:created>
  <dcterms:modified xsi:type="dcterms:W3CDTF">2016-05-16T14:19:00Z</dcterms:modified>
</cp:coreProperties>
</file>