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We would like to hear your views on the draft recommendations</w:t>
            </w:r>
            <w:bookmarkStart w:id="0" w:name="_GoBack"/>
            <w:r w:rsidRPr="00E911D0">
              <w:rPr>
                <w:rFonts w:cs="Arial"/>
                <w:bCs/>
                <w:sz w:val="24"/>
                <w:szCs w:val="24"/>
                <w:lang w:val="en"/>
              </w:rPr>
              <w:t xml:space="preserve"> </w:t>
            </w:r>
            <w:bookmarkEnd w:id="0"/>
            <w:r w:rsidRPr="00E911D0">
              <w:rPr>
                <w:rFonts w:cs="Arial"/>
                <w:bCs/>
                <w:sz w:val="24"/>
                <w:szCs w:val="24"/>
                <w:lang w:val="en"/>
              </w:rPr>
              <w:t xml:space="preserve">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lastRenderedPageBreak/>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BD" w:rsidRDefault="005A03BD">
      <w:r>
        <w:separator/>
      </w:r>
    </w:p>
  </w:endnote>
  <w:endnote w:type="continuationSeparator" w:id="0">
    <w:p w:rsidR="005A03BD" w:rsidRDefault="005A03BD">
      <w:r>
        <w:continuationSeparator/>
      </w:r>
    </w:p>
  </w:endnote>
  <w:endnote w:type="continuationNotice" w:id="1">
    <w:p w:rsidR="005A03BD" w:rsidRDefault="005A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5A03BD" w:rsidRPr="00570D3B">
        <w:rPr>
          <w:rStyle w:val="Hyperlink"/>
        </w:rPr>
        <w:t>IPCHighRisk@nice.org.uk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BD" w:rsidRDefault="005A03BD">
      <w:r>
        <w:separator/>
      </w:r>
    </w:p>
  </w:footnote>
  <w:footnote w:type="continuationSeparator" w:id="0">
    <w:p w:rsidR="005A03BD" w:rsidRDefault="005A03BD">
      <w:r>
        <w:continuationSeparator/>
      </w:r>
    </w:p>
  </w:footnote>
  <w:footnote w:type="continuationNotice" w:id="1">
    <w:p w:rsidR="005A03BD" w:rsidRDefault="005A03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5A03BD"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simplePos x="0" y="0"/>
          <wp:positionH relativeFrom="column">
            <wp:posOffset>6979041</wp:posOffset>
          </wp:positionH>
          <wp:positionV relativeFrom="paragraph">
            <wp:posOffset>-457786</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3BD">
      <w:rPr>
        <w:bCs w:val="0"/>
        <w:szCs w:val="28"/>
      </w:rPr>
      <w:t>Intrapartum care for women with existing medical conditions or obstetric complications and their babies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9B30B1">
      <w:t>:</w:t>
    </w:r>
    <w:r w:rsidR="001E1D2C">
      <w:t xml:space="preserve"> </w:t>
    </w:r>
    <w:r w:rsidR="005A03BD">
      <w:t>5pm</w:t>
    </w:r>
    <w:r w:rsidR="001E1D2C">
      <w:t xml:space="preserve"> </w:t>
    </w:r>
    <w:r w:rsidR="00FA4108">
      <w:rPr>
        <w:bCs w:val="0"/>
      </w:rPr>
      <w:t xml:space="preserve">on </w:t>
    </w:r>
    <w:r w:rsidR="005A03BD">
      <w:rPr>
        <w:bCs w:val="0"/>
      </w:rPr>
      <w:t>23/10/2018</w:t>
    </w:r>
    <w:r w:rsidR="009B30B1">
      <w:rPr>
        <w:bCs w:val="0"/>
      </w:rPr>
      <w:t>,</w:t>
    </w:r>
    <w:r w:rsidR="005A03BD">
      <w:rPr>
        <w:bCs w:val="0"/>
      </w:rPr>
      <w:t xml:space="preserve"> </w:t>
    </w:r>
    <w:r w:rsidR="007334BB" w:rsidRPr="00F506DC">
      <w:rPr>
        <w:bCs w:val="0"/>
      </w:rPr>
      <w:t>email:</w:t>
    </w:r>
    <w:r w:rsidR="007334BB" w:rsidRPr="00F506DC">
      <w:rPr>
        <w:b w:val="0"/>
        <w:bCs w:val="0"/>
      </w:rPr>
      <w:t xml:space="preserve"> </w:t>
    </w:r>
    <w:hyperlink r:id="rId2" w:history="1">
      <w:r w:rsidR="005A03BD" w:rsidRPr="00570D3B">
        <w:rPr>
          <w:rStyle w:val="Hyperlink"/>
        </w:rPr>
        <w:t>IPCHighRisk@nice.org.uk</w:t>
      </w:r>
    </w:hyperlink>
    <w:r w:rsidR="005A03BD">
      <w:t xml:space="preserve"> </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D"/>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3BD"/>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30B1"/>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B71C72-7798-4C99-8A48-A2F75AF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PCHighRisk@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PCHighRisk@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F7F9-2431-4842-9CED-BC82A01F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2</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Oyindamola Adebanji</dc:creator>
  <cp:keywords/>
  <cp:lastModifiedBy>Oyindamola Adebanji</cp:lastModifiedBy>
  <cp:revision>2</cp:revision>
  <cp:lastPrinted>2005-11-01T09:30:00Z</cp:lastPrinted>
  <dcterms:created xsi:type="dcterms:W3CDTF">2018-09-10T14:16:00Z</dcterms:created>
  <dcterms:modified xsi:type="dcterms:W3CDTF">2018-09-10T14:18:00Z</dcterms:modified>
</cp:coreProperties>
</file>