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6C3F5" w14:textId="72C29E2E" w:rsidR="009F4837" w:rsidRDefault="009F4837" w:rsidP="009F4837"/>
    <w:p w14:paraId="25747F2C" w14:textId="6E11A728" w:rsidR="002C296A" w:rsidRPr="00582451" w:rsidRDefault="002C296A" w:rsidP="00582451">
      <w:pPr>
        <w:pStyle w:val="Title"/>
      </w:pPr>
      <w:bookmarkStart w:id="0" w:name="_Toc357694770"/>
      <w:bookmarkStart w:id="1" w:name="_Toc365024196"/>
      <w:bookmarkStart w:id="2" w:name="_Toc432164921"/>
      <w:bookmarkStart w:id="3" w:name="_Toc467141962"/>
      <w:bookmarkStart w:id="4" w:name="_Toc66781443"/>
      <w:bookmarkStart w:id="5" w:name="_Toc71289372"/>
      <w:bookmarkStart w:id="6" w:name="_Toc71289580"/>
      <w:bookmarkStart w:id="7" w:name="_Toc71289679"/>
      <w:bookmarkStart w:id="8" w:name="_Toc71290372"/>
      <w:bookmarkStart w:id="9" w:name="_Toc71542837"/>
      <w:bookmarkStart w:id="10" w:name="_Toc73111488"/>
      <w:bookmarkStart w:id="11" w:name="_Toc78371486"/>
      <w:r w:rsidRPr="00582451">
        <w:t xml:space="preserve">NATIONAL INSTITUTE FOR HEALTH AND </w:t>
      </w:r>
      <w:r w:rsidR="00582451" w:rsidRPr="00582451">
        <w:br/>
      </w:r>
      <w:r w:rsidRPr="00582451">
        <w:t>C</w:t>
      </w:r>
      <w:r w:rsidR="00B96A88" w:rsidRPr="00582451">
        <w:t>ARE</w:t>
      </w:r>
      <w:r w:rsidRPr="00582451">
        <w:t xml:space="preserve"> EXCELLENCE</w:t>
      </w:r>
      <w:bookmarkEnd w:id="0"/>
      <w:bookmarkEnd w:id="1"/>
      <w:bookmarkEnd w:id="2"/>
      <w:bookmarkEnd w:id="3"/>
      <w:bookmarkEnd w:id="4"/>
      <w:bookmarkEnd w:id="5"/>
      <w:bookmarkEnd w:id="6"/>
      <w:bookmarkEnd w:id="7"/>
      <w:bookmarkEnd w:id="8"/>
      <w:bookmarkEnd w:id="9"/>
      <w:bookmarkEnd w:id="10"/>
      <w:bookmarkEnd w:id="11"/>
    </w:p>
    <w:p w14:paraId="013F8DDC" w14:textId="77777777" w:rsidR="002C296A" w:rsidRPr="0067455E" w:rsidRDefault="002C296A" w:rsidP="00CE4759">
      <w:pPr>
        <w:pStyle w:val="Title"/>
      </w:pPr>
      <w:bookmarkStart w:id="12" w:name="_Toc66781445"/>
      <w:bookmarkStart w:id="13" w:name="_Toc71289373"/>
      <w:bookmarkStart w:id="14" w:name="_Toc71289581"/>
      <w:bookmarkStart w:id="15" w:name="_Toc71289680"/>
      <w:bookmarkStart w:id="16" w:name="_Toc71290373"/>
      <w:bookmarkStart w:id="17" w:name="_Toc71542838"/>
      <w:bookmarkStart w:id="18" w:name="_Toc73111489"/>
      <w:bookmarkStart w:id="19" w:name="_Toc78371487"/>
      <w:bookmarkStart w:id="20" w:name="_Toc357694772"/>
      <w:bookmarkStart w:id="21" w:name="_Toc365024198"/>
      <w:bookmarkStart w:id="22" w:name="_Toc432164923"/>
      <w:bookmarkStart w:id="23" w:name="_Toc467141964"/>
      <w:r w:rsidRPr="0067455E">
        <w:t>Quality standards</w:t>
      </w:r>
      <w:bookmarkEnd w:id="12"/>
      <w:bookmarkEnd w:id="13"/>
      <w:bookmarkEnd w:id="14"/>
      <w:bookmarkEnd w:id="15"/>
      <w:bookmarkEnd w:id="16"/>
      <w:bookmarkEnd w:id="17"/>
      <w:bookmarkEnd w:id="18"/>
      <w:bookmarkEnd w:id="19"/>
      <w:r w:rsidRPr="0067455E">
        <w:t xml:space="preserve"> </w:t>
      </w:r>
      <w:bookmarkEnd w:id="20"/>
      <w:bookmarkEnd w:id="21"/>
      <w:bookmarkEnd w:id="22"/>
      <w:bookmarkEnd w:id="23"/>
    </w:p>
    <w:p w14:paraId="7E31EEBC" w14:textId="442F6007" w:rsidR="002C296A" w:rsidRPr="0067455E" w:rsidRDefault="002C296A" w:rsidP="00CE4759">
      <w:pPr>
        <w:pStyle w:val="Title"/>
      </w:pPr>
      <w:bookmarkStart w:id="24" w:name="_Toc357694773"/>
      <w:bookmarkStart w:id="25" w:name="_Toc365024199"/>
      <w:bookmarkStart w:id="26" w:name="_Toc432164924"/>
      <w:bookmarkStart w:id="27" w:name="_Toc467141965"/>
      <w:bookmarkStart w:id="28" w:name="_Toc66781446"/>
      <w:bookmarkStart w:id="29" w:name="_Toc71289374"/>
      <w:bookmarkStart w:id="30" w:name="_Toc71289582"/>
      <w:bookmarkStart w:id="31" w:name="_Toc71289681"/>
      <w:bookmarkStart w:id="32" w:name="_Toc71290374"/>
      <w:bookmarkStart w:id="33" w:name="_Toc71542839"/>
      <w:bookmarkStart w:id="34" w:name="_Toc73111490"/>
      <w:bookmarkStart w:id="35" w:name="_Toc78371488"/>
      <w:r w:rsidRPr="0067455E">
        <w:t>Briefing paper</w:t>
      </w:r>
      <w:bookmarkEnd w:id="24"/>
      <w:bookmarkEnd w:id="25"/>
      <w:bookmarkEnd w:id="26"/>
      <w:bookmarkEnd w:id="27"/>
      <w:bookmarkEnd w:id="28"/>
      <w:r w:rsidR="008148A2">
        <w:t xml:space="preserve">: </w:t>
      </w:r>
      <w:bookmarkEnd w:id="29"/>
      <w:bookmarkEnd w:id="30"/>
      <w:bookmarkEnd w:id="31"/>
      <w:bookmarkEnd w:id="32"/>
      <w:bookmarkEnd w:id="33"/>
      <w:r w:rsidR="0065314E">
        <w:t>Brain tumours and brain metastases in adults</w:t>
      </w:r>
      <w:bookmarkEnd w:id="34"/>
      <w:bookmarkEnd w:id="35"/>
    </w:p>
    <w:p w14:paraId="5CA09CE1" w14:textId="74563322" w:rsidR="008A6367" w:rsidRDefault="00DD1BFE" w:rsidP="00DD1BFE">
      <w:pPr>
        <w:pStyle w:val="Paragraph"/>
      </w:pPr>
      <w:r w:rsidRPr="00582451">
        <w:rPr>
          <w:b/>
          <w:bCs/>
        </w:rPr>
        <w:t>Quality Standards Advisory Committee meeting</w:t>
      </w:r>
      <w:r w:rsidRPr="000D48CF">
        <w:rPr>
          <w:rStyle w:val="Addbold"/>
        </w:rPr>
        <w:t>:</w:t>
      </w:r>
      <w:r w:rsidRPr="005A61AD">
        <w:t xml:space="preserve"> </w:t>
      </w:r>
      <w:r w:rsidR="0065314E">
        <w:t>16</w:t>
      </w:r>
      <w:r w:rsidR="0065314E" w:rsidRPr="0065314E">
        <w:rPr>
          <w:vertAlign w:val="superscript"/>
        </w:rPr>
        <w:t>th</w:t>
      </w:r>
      <w:r w:rsidR="0065314E">
        <w:t xml:space="preserve"> June 2021</w:t>
      </w:r>
      <w:r w:rsidR="00414915">
        <w:t xml:space="preserve"> </w:t>
      </w:r>
    </w:p>
    <w:p w14:paraId="6FBF98B7" w14:textId="77777777" w:rsidR="00C0406F" w:rsidRDefault="002C296A" w:rsidP="00702177">
      <w:pPr>
        <w:pStyle w:val="Heading1"/>
        <w:rPr>
          <w:noProof/>
        </w:rPr>
      </w:pPr>
      <w:bookmarkStart w:id="36" w:name="_Toc365024200"/>
      <w:bookmarkStart w:id="37" w:name="_Toc432164925"/>
      <w:bookmarkStart w:id="38" w:name="_Toc467141966"/>
      <w:bookmarkStart w:id="39" w:name="_Toc66781447"/>
      <w:bookmarkStart w:id="40" w:name="_Toc71289375"/>
      <w:bookmarkStart w:id="41" w:name="_Toc71289583"/>
      <w:bookmarkStart w:id="42" w:name="_Toc71289682"/>
      <w:bookmarkStart w:id="43" w:name="_Toc71290375"/>
      <w:bookmarkStart w:id="44" w:name="_Toc71542840"/>
      <w:bookmarkStart w:id="45" w:name="_Toc73111491"/>
      <w:bookmarkStart w:id="46" w:name="_Toc78371489"/>
      <w:r w:rsidRPr="0067455E">
        <w:t>Contents</w:t>
      </w:r>
      <w:bookmarkEnd w:id="36"/>
      <w:bookmarkEnd w:id="37"/>
      <w:bookmarkEnd w:id="38"/>
      <w:bookmarkEnd w:id="39"/>
      <w:bookmarkEnd w:id="40"/>
      <w:bookmarkEnd w:id="41"/>
      <w:bookmarkEnd w:id="42"/>
      <w:bookmarkEnd w:id="43"/>
      <w:bookmarkEnd w:id="44"/>
      <w:bookmarkEnd w:id="45"/>
      <w:bookmarkEnd w:id="46"/>
      <w:r w:rsidR="00702177">
        <w:fldChar w:fldCharType="begin"/>
      </w:r>
      <w:r w:rsidR="00702177">
        <w:instrText xml:space="preserve"> TOC \o "1-2" \h \z \u </w:instrText>
      </w:r>
      <w:r w:rsidR="00702177">
        <w:fldChar w:fldCharType="separate"/>
      </w:r>
    </w:p>
    <w:p w14:paraId="49768E78" w14:textId="7D1559BA" w:rsidR="00C0406F" w:rsidRPr="004C5EDA" w:rsidRDefault="001517CD">
      <w:pPr>
        <w:pStyle w:val="TOC1"/>
        <w:rPr>
          <w:rFonts w:asciiTheme="minorHAnsi" w:eastAsiaTheme="minorEastAsia" w:hAnsiTheme="minorHAnsi" w:cstheme="minorBidi"/>
          <w:sz w:val="22"/>
          <w:szCs w:val="22"/>
          <w:lang w:eastAsia="en-GB"/>
        </w:rPr>
      </w:pPr>
      <w:hyperlink w:anchor="_Toc78371490" w:history="1">
        <w:r w:rsidR="00C0406F" w:rsidRPr="004C5EDA">
          <w:rPr>
            <w:rStyle w:val="Hyperlink"/>
          </w:rPr>
          <w:t>1</w:t>
        </w:r>
        <w:r w:rsidR="00C0406F" w:rsidRPr="004C5EDA">
          <w:rPr>
            <w:rFonts w:asciiTheme="minorHAnsi" w:eastAsiaTheme="minorEastAsia" w:hAnsiTheme="minorHAnsi" w:cstheme="minorBidi"/>
            <w:sz w:val="22"/>
            <w:szCs w:val="22"/>
            <w:lang w:eastAsia="en-GB"/>
          </w:rPr>
          <w:tab/>
        </w:r>
        <w:r w:rsidR="00C0406F" w:rsidRPr="004C5EDA">
          <w:rPr>
            <w:rStyle w:val="Hyperlink"/>
          </w:rPr>
          <w:t>Introduction</w:t>
        </w:r>
        <w:r w:rsidR="00C0406F" w:rsidRPr="004C5EDA">
          <w:rPr>
            <w:webHidden/>
          </w:rPr>
          <w:tab/>
        </w:r>
        <w:r w:rsidR="00C0406F" w:rsidRPr="004C5EDA">
          <w:rPr>
            <w:webHidden/>
          </w:rPr>
          <w:fldChar w:fldCharType="begin"/>
        </w:r>
        <w:r w:rsidR="00C0406F" w:rsidRPr="004C5EDA">
          <w:rPr>
            <w:webHidden/>
          </w:rPr>
          <w:instrText xml:space="preserve"> PAGEREF _Toc78371490 \h </w:instrText>
        </w:r>
        <w:r w:rsidR="00C0406F" w:rsidRPr="004C5EDA">
          <w:rPr>
            <w:webHidden/>
          </w:rPr>
        </w:r>
        <w:r w:rsidR="00C0406F" w:rsidRPr="004C5EDA">
          <w:rPr>
            <w:webHidden/>
          </w:rPr>
          <w:fldChar w:fldCharType="separate"/>
        </w:r>
        <w:r w:rsidR="00C0406F" w:rsidRPr="004C5EDA">
          <w:rPr>
            <w:webHidden/>
          </w:rPr>
          <w:t>3</w:t>
        </w:r>
        <w:r w:rsidR="00C0406F" w:rsidRPr="004C5EDA">
          <w:rPr>
            <w:webHidden/>
          </w:rPr>
          <w:fldChar w:fldCharType="end"/>
        </w:r>
      </w:hyperlink>
    </w:p>
    <w:p w14:paraId="323BB795" w14:textId="66E1AEF7" w:rsidR="00C0406F" w:rsidRPr="004C5EDA" w:rsidRDefault="001517CD">
      <w:pPr>
        <w:pStyle w:val="TOC1"/>
        <w:rPr>
          <w:rFonts w:asciiTheme="minorHAnsi" w:eastAsiaTheme="minorEastAsia" w:hAnsiTheme="minorHAnsi" w:cstheme="minorBidi"/>
          <w:sz w:val="22"/>
          <w:szCs w:val="22"/>
          <w:lang w:eastAsia="en-GB"/>
        </w:rPr>
      </w:pPr>
      <w:hyperlink w:anchor="_Toc78371492" w:history="1">
        <w:r w:rsidR="00C0406F" w:rsidRPr="004C5EDA">
          <w:rPr>
            <w:rStyle w:val="Hyperlink"/>
          </w:rPr>
          <w:t>2</w:t>
        </w:r>
        <w:r w:rsidR="00C0406F" w:rsidRPr="004C5EDA">
          <w:rPr>
            <w:rFonts w:asciiTheme="minorHAnsi" w:eastAsiaTheme="minorEastAsia" w:hAnsiTheme="minorHAnsi" w:cstheme="minorBidi"/>
            <w:sz w:val="22"/>
            <w:szCs w:val="22"/>
            <w:lang w:eastAsia="en-GB"/>
          </w:rPr>
          <w:tab/>
        </w:r>
        <w:r w:rsidR="00C0406F" w:rsidRPr="004C5EDA">
          <w:rPr>
            <w:rStyle w:val="Hyperlink"/>
          </w:rPr>
          <w:t>Overview</w:t>
        </w:r>
        <w:r w:rsidR="00C0406F" w:rsidRPr="004C5EDA">
          <w:rPr>
            <w:webHidden/>
          </w:rPr>
          <w:tab/>
        </w:r>
        <w:r w:rsidR="00C0406F" w:rsidRPr="004C5EDA">
          <w:rPr>
            <w:webHidden/>
          </w:rPr>
          <w:fldChar w:fldCharType="begin"/>
        </w:r>
        <w:r w:rsidR="00C0406F" w:rsidRPr="004C5EDA">
          <w:rPr>
            <w:webHidden/>
          </w:rPr>
          <w:instrText xml:space="preserve"> PAGEREF _Toc78371492 \h </w:instrText>
        </w:r>
        <w:r w:rsidR="00C0406F" w:rsidRPr="004C5EDA">
          <w:rPr>
            <w:webHidden/>
          </w:rPr>
        </w:r>
        <w:r w:rsidR="00C0406F" w:rsidRPr="004C5EDA">
          <w:rPr>
            <w:webHidden/>
          </w:rPr>
          <w:fldChar w:fldCharType="separate"/>
        </w:r>
        <w:r w:rsidR="00C0406F" w:rsidRPr="004C5EDA">
          <w:rPr>
            <w:webHidden/>
          </w:rPr>
          <w:t>3</w:t>
        </w:r>
        <w:r w:rsidR="00C0406F" w:rsidRPr="004C5EDA">
          <w:rPr>
            <w:webHidden/>
          </w:rPr>
          <w:fldChar w:fldCharType="end"/>
        </w:r>
      </w:hyperlink>
    </w:p>
    <w:p w14:paraId="582F7235" w14:textId="543CCC76" w:rsidR="00C0406F" w:rsidRPr="004C5EDA" w:rsidRDefault="001517CD">
      <w:pPr>
        <w:pStyle w:val="TOC1"/>
        <w:rPr>
          <w:rFonts w:asciiTheme="minorHAnsi" w:eastAsiaTheme="minorEastAsia" w:hAnsiTheme="minorHAnsi" w:cstheme="minorBidi"/>
          <w:sz w:val="22"/>
          <w:szCs w:val="22"/>
          <w:lang w:eastAsia="en-GB"/>
        </w:rPr>
      </w:pPr>
      <w:hyperlink w:anchor="_Toc78371498" w:history="1">
        <w:r w:rsidR="00C0406F" w:rsidRPr="004C5EDA">
          <w:rPr>
            <w:rStyle w:val="Hyperlink"/>
          </w:rPr>
          <w:t>3</w:t>
        </w:r>
        <w:r w:rsidR="00C0406F" w:rsidRPr="004C5EDA">
          <w:rPr>
            <w:rFonts w:asciiTheme="minorHAnsi" w:eastAsiaTheme="minorEastAsia" w:hAnsiTheme="minorHAnsi" w:cstheme="minorBidi"/>
            <w:sz w:val="22"/>
            <w:szCs w:val="22"/>
            <w:lang w:eastAsia="en-GB"/>
          </w:rPr>
          <w:tab/>
        </w:r>
        <w:r w:rsidR="00C0406F" w:rsidRPr="004C5EDA">
          <w:rPr>
            <w:rStyle w:val="Hyperlink"/>
          </w:rPr>
          <w:t>Summary of suggestions</w:t>
        </w:r>
        <w:r w:rsidR="00C0406F" w:rsidRPr="004C5EDA">
          <w:rPr>
            <w:webHidden/>
          </w:rPr>
          <w:tab/>
        </w:r>
        <w:r w:rsidR="00C0406F" w:rsidRPr="004C5EDA">
          <w:rPr>
            <w:webHidden/>
          </w:rPr>
          <w:fldChar w:fldCharType="begin"/>
        </w:r>
        <w:r w:rsidR="00C0406F" w:rsidRPr="004C5EDA">
          <w:rPr>
            <w:webHidden/>
          </w:rPr>
          <w:instrText xml:space="preserve"> PAGEREF _Toc78371498 \h </w:instrText>
        </w:r>
        <w:r w:rsidR="00C0406F" w:rsidRPr="004C5EDA">
          <w:rPr>
            <w:webHidden/>
          </w:rPr>
        </w:r>
        <w:r w:rsidR="00C0406F" w:rsidRPr="004C5EDA">
          <w:rPr>
            <w:webHidden/>
          </w:rPr>
          <w:fldChar w:fldCharType="separate"/>
        </w:r>
        <w:r w:rsidR="00C0406F" w:rsidRPr="004C5EDA">
          <w:rPr>
            <w:webHidden/>
          </w:rPr>
          <w:t>6</w:t>
        </w:r>
        <w:r w:rsidR="00C0406F" w:rsidRPr="004C5EDA">
          <w:rPr>
            <w:webHidden/>
          </w:rPr>
          <w:fldChar w:fldCharType="end"/>
        </w:r>
      </w:hyperlink>
    </w:p>
    <w:p w14:paraId="081B6DAB" w14:textId="3241CA58" w:rsidR="00C0406F" w:rsidRPr="004C5EDA" w:rsidRDefault="001517CD">
      <w:pPr>
        <w:pStyle w:val="TOC1"/>
        <w:rPr>
          <w:rFonts w:asciiTheme="minorHAnsi" w:eastAsiaTheme="minorEastAsia" w:hAnsiTheme="minorHAnsi" w:cstheme="minorBidi"/>
          <w:sz w:val="22"/>
          <w:szCs w:val="22"/>
          <w:lang w:eastAsia="en-GB"/>
        </w:rPr>
      </w:pPr>
      <w:hyperlink w:anchor="_Toc78371501" w:history="1">
        <w:r w:rsidR="00C0406F" w:rsidRPr="004C5EDA">
          <w:rPr>
            <w:rStyle w:val="Hyperlink"/>
          </w:rPr>
          <w:t>4</w:t>
        </w:r>
        <w:r w:rsidR="00C0406F" w:rsidRPr="004C5EDA">
          <w:rPr>
            <w:rFonts w:asciiTheme="minorHAnsi" w:eastAsiaTheme="minorEastAsia" w:hAnsiTheme="minorHAnsi" w:cstheme="minorBidi"/>
            <w:sz w:val="22"/>
            <w:szCs w:val="22"/>
            <w:lang w:eastAsia="en-GB"/>
          </w:rPr>
          <w:tab/>
        </w:r>
        <w:r w:rsidR="00C0406F" w:rsidRPr="004C5EDA">
          <w:rPr>
            <w:rStyle w:val="Hyperlink"/>
          </w:rPr>
          <w:t>Suggested improvement areas</w:t>
        </w:r>
        <w:r w:rsidR="00C0406F" w:rsidRPr="004C5EDA">
          <w:rPr>
            <w:webHidden/>
          </w:rPr>
          <w:tab/>
        </w:r>
        <w:r w:rsidR="00C0406F" w:rsidRPr="004C5EDA">
          <w:rPr>
            <w:webHidden/>
          </w:rPr>
          <w:fldChar w:fldCharType="begin"/>
        </w:r>
        <w:r w:rsidR="00C0406F" w:rsidRPr="004C5EDA">
          <w:rPr>
            <w:webHidden/>
          </w:rPr>
          <w:instrText xml:space="preserve"> PAGEREF _Toc78371501 \h </w:instrText>
        </w:r>
        <w:r w:rsidR="00C0406F" w:rsidRPr="004C5EDA">
          <w:rPr>
            <w:webHidden/>
          </w:rPr>
        </w:r>
        <w:r w:rsidR="00C0406F" w:rsidRPr="004C5EDA">
          <w:rPr>
            <w:webHidden/>
          </w:rPr>
          <w:fldChar w:fldCharType="separate"/>
        </w:r>
        <w:r w:rsidR="00C0406F" w:rsidRPr="004C5EDA">
          <w:rPr>
            <w:webHidden/>
          </w:rPr>
          <w:t>9</w:t>
        </w:r>
        <w:r w:rsidR="00C0406F" w:rsidRPr="004C5EDA">
          <w:rPr>
            <w:webHidden/>
          </w:rPr>
          <w:fldChar w:fldCharType="end"/>
        </w:r>
      </w:hyperlink>
    </w:p>
    <w:p w14:paraId="1F4AFEA8" w14:textId="000CC0A9" w:rsidR="00C0406F" w:rsidRPr="004C5EDA" w:rsidRDefault="001517CD">
      <w:pPr>
        <w:pStyle w:val="TOC2"/>
        <w:tabs>
          <w:tab w:val="left" w:pos="1276"/>
          <w:tab w:val="right" w:leader="dot" w:pos="9016"/>
        </w:tabs>
        <w:rPr>
          <w:rFonts w:asciiTheme="minorHAnsi" w:eastAsiaTheme="minorEastAsia" w:hAnsiTheme="minorHAnsi" w:cstheme="minorBidi"/>
          <w:noProof/>
          <w:sz w:val="22"/>
          <w:szCs w:val="22"/>
        </w:rPr>
      </w:pPr>
      <w:hyperlink w:anchor="_Toc78371502" w:history="1">
        <w:r w:rsidR="00C0406F" w:rsidRPr="004C5EDA">
          <w:rPr>
            <w:rStyle w:val="Hyperlink"/>
            <w:noProof/>
          </w:rPr>
          <w:t>4.1</w:t>
        </w:r>
        <w:r w:rsidR="00C0406F" w:rsidRPr="004C5EDA">
          <w:rPr>
            <w:rFonts w:asciiTheme="minorHAnsi" w:eastAsiaTheme="minorEastAsia" w:hAnsiTheme="minorHAnsi" w:cstheme="minorBidi"/>
            <w:noProof/>
            <w:sz w:val="22"/>
            <w:szCs w:val="22"/>
          </w:rPr>
          <w:tab/>
        </w:r>
        <w:r w:rsidR="00C0406F" w:rsidRPr="004C5EDA">
          <w:rPr>
            <w:rStyle w:val="Hyperlink"/>
            <w:noProof/>
          </w:rPr>
          <w:t>Investigations</w:t>
        </w:r>
        <w:r w:rsidR="00C0406F" w:rsidRPr="004C5EDA">
          <w:rPr>
            <w:noProof/>
            <w:webHidden/>
          </w:rPr>
          <w:tab/>
        </w:r>
        <w:r w:rsidR="00C0406F" w:rsidRPr="004C5EDA">
          <w:rPr>
            <w:noProof/>
            <w:webHidden/>
          </w:rPr>
          <w:fldChar w:fldCharType="begin"/>
        </w:r>
        <w:r w:rsidR="00C0406F" w:rsidRPr="004C5EDA">
          <w:rPr>
            <w:noProof/>
            <w:webHidden/>
          </w:rPr>
          <w:instrText xml:space="preserve"> PAGEREF _Toc78371502 \h </w:instrText>
        </w:r>
        <w:r w:rsidR="00C0406F" w:rsidRPr="004C5EDA">
          <w:rPr>
            <w:noProof/>
            <w:webHidden/>
          </w:rPr>
        </w:r>
        <w:r w:rsidR="00C0406F" w:rsidRPr="004C5EDA">
          <w:rPr>
            <w:noProof/>
            <w:webHidden/>
          </w:rPr>
          <w:fldChar w:fldCharType="separate"/>
        </w:r>
        <w:r w:rsidR="00C0406F" w:rsidRPr="004C5EDA">
          <w:rPr>
            <w:noProof/>
            <w:webHidden/>
          </w:rPr>
          <w:t>9</w:t>
        </w:r>
        <w:r w:rsidR="00C0406F" w:rsidRPr="004C5EDA">
          <w:rPr>
            <w:noProof/>
            <w:webHidden/>
          </w:rPr>
          <w:fldChar w:fldCharType="end"/>
        </w:r>
      </w:hyperlink>
    </w:p>
    <w:p w14:paraId="1B183C17" w14:textId="601900C5" w:rsidR="00C0406F" w:rsidRDefault="001517CD">
      <w:pPr>
        <w:pStyle w:val="TOC2"/>
        <w:tabs>
          <w:tab w:val="left" w:pos="1276"/>
          <w:tab w:val="right" w:leader="dot" w:pos="9016"/>
        </w:tabs>
        <w:rPr>
          <w:rFonts w:asciiTheme="minorHAnsi" w:eastAsiaTheme="minorEastAsia" w:hAnsiTheme="minorHAnsi" w:cstheme="minorBidi"/>
          <w:noProof/>
          <w:sz w:val="22"/>
          <w:szCs w:val="22"/>
        </w:rPr>
      </w:pPr>
      <w:hyperlink w:anchor="_Toc78371503" w:history="1">
        <w:r w:rsidR="00C0406F" w:rsidRPr="004C5EDA">
          <w:rPr>
            <w:rStyle w:val="Hyperlink"/>
            <w:noProof/>
          </w:rPr>
          <w:t>4.2</w:t>
        </w:r>
        <w:r w:rsidR="00C0406F" w:rsidRPr="004C5EDA">
          <w:rPr>
            <w:rFonts w:asciiTheme="minorHAnsi" w:eastAsiaTheme="minorEastAsia" w:hAnsiTheme="minorHAnsi" w:cstheme="minorBidi"/>
            <w:noProof/>
            <w:sz w:val="22"/>
            <w:szCs w:val="22"/>
          </w:rPr>
          <w:tab/>
        </w:r>
        <w:r w:rsidR="00C0406F" w:rsidRPr="004C5EDA">
          <w:rPr>
            <w:rStyle w:val="Hyperlink"/>
            <w:noProof/>
          </w:rPr>
          <w:t>Management/treatment</w:t>
        </w:r>
        <w:r w:rsidR="00C0406F" w:rsidRPr="004C5EDA">
          <w:rPr>
            <w:noProof/>
            <w:webHidden/>
          </w:rPr>
          <w:tab/>
        </w:r>
        <w:r w:rsidR="00C0406F" w:rsidRPr="004C5EDA">
          <w:rPr>
            <w:noProof/>
            <w:webHidden/>
          </w:rPr>
          <w:fldChar w:fldCharType="begin"/>
        </w:r>
        <w:r w:rsidR="00C0406F" w:rsidRPr="004C5EDA">
          <w:rPr>
            <w:noProof/>
            <w:webHidden/>
          </w:rPr>
          <w:instrText xml:space="preserve"> PAGEREF _Toc78371503 \h </w:instrText>
        </w:r>
        <w:r w:rsidR="00C0406F" w:rsidRPr="004C5EDA">
          <w:rPr>
            <w:noProof/>
            <w:webHidden/>
          </w:rPr>
        </w:r>
        <w:r w:rsidR="00C0406F" w:rsidRPr="004C5EDA">
          <w:rPr>
            <w:noProof/>
            <w:webHidden/>
          </w:rPr>
          <w:fldChar w:fldCharType="separate"/>
        </w:r>
        <w:r w:rsidR="00C0406F" w:rsidRPr="004C5EDA">
          <w:rPr>
            <w:noProof/>
            <w:webHidden/>
          </w:rPr>
          <w:t>12</w:t>
        </w:r>
        <w:r w:rsidR="00C0406F" w:rsidRPr="004C5EDA">
          <w:rPr>
            <w:noProof/>
            <w:webHidden/>
          </w:rPr>
          <w:fldChar w:fldCharType="end"/>
        </w:r>
      </w:hyperlink>
    </w:p>
    <w:p w14:paraId="0BC5F5A8" w14:textId="0213F2AC" w:rsidR="00C0406F" w:rsidRDefault="001517CD">
      <w:pPr>
        <w:pStyle w:val="TOC2"/>
        <w:tabs>
          <w:tab w:val="left" w:pos="1276"/>
          <w:tab w:val="right" w:leader="dot" w:pos="9016"/>
        </w:tabs>
        <w:rPr>
          <w:rFonts w:asciiTheme="minorHAnsi" w:eastAsiaTheme="minorEastAsia" w:hAnsiTheme="minorHAnsi" w:cstheme="minorBidi"/>
          <w:noProof/>
          <w:sz w:val="22"/>
          <w:szCs w:val="22"/>
        </w:rPr>
      </w:pPr>
      <w:hyperlink w:anchor="_Toc78371504" w:history="1">
        <w:r w:rsidR="00C0406F" w:rsidRPr="00741A48">
          <w:rPr>
            <w:rStyle w:val="Hyperlink"/>
            <w:noProof/>
          </w:rPr>
          <w:t>4.3</w:t>
        </w:r>
        <w:r w:rsidR="00C0406F">
          <w:rPr>
            <w:rFonts w:asciiTheme="minorHAnsi" w:eastAsiaTheme="minorEastAsia" w:hAnsiTheme="minorHAnsi" w:cstheme="minorBidi"/>
            <w:noProof/>
            <w:sz w:val="22"/>
            <w:szCs w:val="22"/>
          </w:rPr>
          <w:tab/>
        </w:r>
        <w:r w:rsidR="00C0406F" w:rsidRPr="00741A48">
          <w:rPr>
            <w:rStyle w:val="Hyperlink"/>
            <w:noProof/>
          </w:rPr>
          <w:t>Follow-up</w:t>
        </w:r>
        <w:r w:rsidR="00C0406F">
          <w:rPr>
            <w:noProof/>
            <w:webHidden/>
          </w:rPr>
          <w:tab/>
        </w:r>
        <w:r w:rsidR="00C0406F">
          <w:rPr>
            <w:noProof/>
            <w:webHidden/>
          </w:rPr>
          <w:fldChar w:fldCharType="begin"/>
        </w:r>
        <w:r w:rsidR="00C0406F">
          <w:rPr>
            <w:noProof/>
            <w:webHidden/>
          </w:rPr>
          <w:instrText xml:space="preserve"> PAGEREF _Toc78371504 \h </w:instrText>
        </w:r>
        <w:r w:rsidR="00C0406F">
          <w:rPr>
            <w:noProof/>
            <w:webHidden/>
          </w:rPr>
        </w:r>
        <w:r w:rsidR="00C0406F">
          <w:rPr>
            <w:noProof/>
            <w:webHidden/>
          </w:rPr>
          <w:fldChar w:fldCharType="separate"/>
        </w:r>
        <w:r w:rsidR="00C0406F">
          <w:rPr>
            <w:noProof/>
            <w:webHidden/>
          </w:rPr>
          <w:t>17</w:t>
        </w:r>
        <w:r w:rsidR="00C0406F">
          <w:rPr>
            <w:noProof/>
            <w:webHidden/>
          </w:rPr>
          <w:fldChar w:fldCharType="end"/>
        </w:r>
      </w:hyperlink>
    </w:p>
    <w:p w14:paraId="446DE375" w14:textId="4C208C75" w:rsidR="00C0406F" w:rsidRDefault="001517CD">
      <w:pPr>
        <w:pStyle w:val="TOC2"/>
        <w:tabs>
          <w:tab w:val="left" w:pos="1276"/>
          <w:tab w:val="right" w:leader="dot" w:pos="9016"/>
        </w:tabs>
        <w:rPr>
          <w:rFonts w:asciiTheme="minorHAnsi" w:eastAsiaTheme="minorEastAsia" w:hAnsiTheme="minorHAnsi" w:cstheme="minorBidi"/>
          <w:noProof/>
          <w:sz w:val="22"/>
          <w:szCs w:val="22"/>
        </w:rPr>
      </w:pPr>
      <w:hyperlink w:anchor="_Toc78371505" w:history="1">
        <w:r w:rsidR="00C0406F" w:rsidRPr="00741A48">
          <w:rPr>
            <w:rStyle w:val="Hyperlink"/>
            <w:noProof/>
          </w:rPr>
          <w:t>4.4</w:t>
        </w:r>
        <w:r w:rsidR="00C0406F">
          <w:rPr>
            <w:rFonts w:asciiTheme="minorHAnsi" w:eastAsiaTheme="minorEastAsia" w:hAnsiTheme="minorHAnsi" w:cstheme="minorBidi"/>
            <w:noProof/>
            <w:sz w:val="22"/>
            <w:szCs w:val="22"/>
          </w:rPr>
          <w:tab/>
        </w:r>
        <w:r w:rsidR="00C0406F" w:rsidRPr="00741A48">
          <w:rPr>
            <w:rStyle w:val="Hyperlink"/>
            <w:noProof/>
          </w:rPr>
          <w:t>Care needs of people with brain tumours</w:t>
        </w:r>
        <w:r w:rsidR="00C0406F">
          <w:rPr>
            <w:noProof/>
            <w:webHidden/>
          </w:rPr>
          <w:tab/>
        </w:r>
        <w:r w:rsidR="00C0406F">
          <w:rPr>
            <w:noProof/>
            <w:webHidden/>
          </w:rPr>
          <w:fldChar w:fldCharType="begin"/>
        </w:r>
        <w:r w:rsidR="00C0406F">
          <w:rPr>
            <w:noProof/>
            <w:webHidden/>
          </w:rPr>
          <w:instrText xml:space="preserve"> PAGEREF _Toc78371505 \h </w:instrText>
        </w:r>
        <w:r w:rsidR="00C0406F">
          <w:rPr>
            <w:noProof/>
            <w:webHidden/>
          </w:rPr>
        </w:r>
        <w:r w:rsidR="00C0406F">
          <w:rPr>
            <w:noProof/>
            <w:webHidden/>
          </w:rPr>
          <w:fldChar w:fldCharType="separate"/>
        </w:r>
        <w:r w:rsidR="00C0406F">
          <w:rPr>
            <w:noProof/>
            <w:webHidden/>
          </w:rPr>
          <w:t>22</w:t>
        </w:r>
        <w:r w:rsidR="00C0406F">
          <w:rPr>
            <w:noProof/>
            <w:webHidden/>
          </w:rPr>
          <w:fldChar w:fldCharType="end"/>
        </w:r>
      </w:hyperlink>
    </w:p>
    <w:p w14:paraId="46BBC689" w14:textId="2B624F06" w:rsidR="00C0406F" w:rsidRDefault="001517CD">
      <w:pPr>
        <w:pStyle w:val="TOC2"/>
        <w:tabs>
          <w:tab w:val="left" w:pos="1276"/>
          <w:tab w:val="right" w:leader="dot" w:pos="9016"/>
        </w:tabs>
        <w:rPr>
          <w:rFonts w:asciiTheme="minorHAnsi" w:eastAsiaTheme="minorEastAsia" w:hAnsiTheme="minorHAnsi" w:cstheme="minorBidi"/>
          <w:noProof/>
          <w:sz w:val="22"/>
          <w:szCs w:val="22"/>
        </w:rPr>
      </w:pPr>
      <w:hyperlink w:anchor="_Toc78371506" w:history="1">
        <w:r w:rsidR="00C0406F" w:rsidRPr="00741A48">
          <w:rPr>
            <w:rStyle w:val="Hyperlink"/>
            <w:noProof/>
          </w:rPr>
          <w:t>4.5</w:t>
        </w:r>
        <w:r w:rsidR="00C0406F">
          <w:rPr>
            <w:rFonts w:asciiTheme="minorHAnsi" w:eastAsiaTheme="minorEastAsia" w:hAnsiTheme="minorHAnsi" w:cstheme="minorBidi"/>
            <w:noProof/>
            <w:sz w:val="22"/>
            <w:szCs w:val="22"/>
          </w:rPr>
          <w:tab/>
        </w:r>
        <w:r w:rsidR="00C0406F" w:rsidRPr="00741A48">
          <w:rPr>
            <w:rStyle w:val="Hyperlink"/>
            <w:noProof/>
          </w:rPr>
          <w:t>Neurorehabilitation</w:t>
        </w:r>
        <w:r w:rsidR="00C0406F">
          <w:rPr>
            <w:noProof/>
            <w:webHidden/>
          </w:rPr>
          <w:tab/>
        </w:r>
        <w:r w:rsidR="00C0406F">
          <w:rPr>
            <w:noProof/>
            <w:webHidden/>
          </w:rPr>
          <w:fldChar w:fldCharType="begin"/>
        </w:r>
        <w:r w:rsidR="00C0406F">
          <w:rPr>
            <w:noProof/>
            <w:webHidden/>
          </w:rPr>
          <w:instrText xml:space="preserve"> PAGEREF _Toc78371506 \h </w:instrText>
        </w:r>
        <w:r w:rsidR="00C0406F">
          <w:rPr>
            <w:noProof/>
            <w:webHidden/>
          </w:rPr>
        </w:r>
        <w:r w:rsidR="00C0406F">
          <w:rPr>
            <w:noProof/>
            <w:webHidden/>
          </w:rPr>
          <w:fldChar w:fldCharType="separate"/>
        </w:r>
        <w:r w:rsidR="00C0406F">
          <w:rPr>
            <w:noProof/>
            <w:webHidden/>
          </w:rPr>
          <w:t>27</w:t>
        </w:r>
        <w:r w:rsidR="00C0406F">
          <w:rPr>
            <w:noProof/>
            <w:webHidden/>
          </w:rPr>
          <w:fldChar w:fldCharType="end"/>
        </w:r>
      </w:hyperlink>
    </w:p>
    <w:p w14:paraId="2CBC571A" w14:textId="7B30B06E" w:rsidR="00C0406F" w:rsidRDefault="001517CD">
      <w:pPr>
        <w:pStyle w:val="TOC2"/>
        <w:tabs>
          <w:tab w:val="left" w:pos="1276"/>
          <w:tab w:val="right" w:leader="dot" w:pos="9016"/>
        </w:tabs>
        <w:rPr>
          <w:rFonts w:asciiTheme="minorHAnsi" w:eastAsiaTheme="minorEastAsia" w:hAnsiTheme="minorHAnsi" w:cstheme="minorBidi"/>
          <w:noProof/>
          <w:sz w:val="22"/>
          <w:szCs w:val="22"/>
        </w:rPr>
      </w:pPr>
      <w:hyperlink w:anchor="_Toc78371507" w:history="1">
        <w:r w:rsidR="00C0406F" w:rsidRPr="00741A48">
          <w:rPr>
            <w:rStyle w:val="Hyperlink"/>
            <w:noProof/>
          </w:rPr>
          <w:t>4.6</w:t>
        </w:r>
        <w:r w:rsidR="00C0406F">
          <w:rPr>
            <w:rFonts w:asciiTheme="minorHAnsi" w:eastAsiaTheme="minorEastAsia" w:hAnsiTheme="minorHAnsi" w:cstheme="minorBidi"/>
            <w:noProof/>
            <w:sz w:val="22"/>
            <w:szCs w:val="22"/>
          </w:rPr>
          <w:tab/>
        </w:r>
        <w:r w:rsidR="00C0406F" w:rsidRPr="00741A48">
          <w:rPr>
            <w:rStyle w:val="Hyperlink"/>
            <w:noProof/>
          </w:rPr>
          <w:t>Surveillance for late-onset side effects of treatment</w:t>
        </w:r>
        <w:r w:rsidR="00C0406F">
          <w:rPr>
            <w:noProof/>
            <w:webHidden/>
          </w:rPr>
          <w:tab/>
        </w:r>
        <w:r w:rsidR="00C0406F">
          <w:rPr>
            <w:noProof/>
            <w:webHidden/>
          </w:rPr>
          <w:fldChar w:fldCharType="begin"/>
        </w:r>
        <w:r w:rsidR="00C0406F">
          <w:rPr>
            <w:noProof/>
            <w:webHidden/>
          </w:rPr>
          <w:instrText xml:space="preserve"> PAGEREF _Toc78371507 \h </w:instrText>
        </w:r>
        <w:r w:rsidR="00C0406F">
          <w:rPr>
            <w:noProof/>
            <w:webHidden/>
          </w:rPr>
        </w:r>
        <w:r w:rsidR="00C0406F">
          <w:rPr>
            <w:noProof/>
            <w:webHidden/>
          </w:rPr>
          <w:fldChar w:fldCharType="separate"/>
        </w:r>
        <w:r w:rsidR="00C0406F">
          <w:rPr>
            <w:noProof/>
            <w:webHidden/>
          </w:rPr>
          <w:t>30</w:t>
        </w:r>
        <w:r w:rsidR="00C0406F">
          <w:rPr>
            <w:noProof/>
            <w:webHidden/>
          </w:rPr>
          <w:fldChar w:fldCharType="end"/>
        </w:r>
      </w:hyperlink>
    </w:p>
    <w:p w14:paraId="50665869" w14:textId="62DF9125" w:rsidR="00C0406F" w:rsidRDefault="001517CD">
      <w:pPr>
        <w:pStyle w:val="TOC2"/>
        <w:tabs>
          <w:tab w:val="left" w:pos="1276"/>
          <w:tab w:val="right" w:leader="dot" w:pos="9016"/>
        </w:tabs>
        <w:rPr>
          <w:rFonts w:asciiTheme="minorHAnsi" w:eastAsiaTheme="minorEastAsia" w:hAnsiTheme="minorHAnsi" w:cstheme="minorBidi"/>
          <w:noProof/>
          <w:sz w:val="22"/>
          <w:szCs w:val="22"/>
        </w:rPr>
      </w:pPr>
      <w:hyperlink w:anchor="_Toc78371508" w:history="1">
        <w:r w:rsidR="00C0406F" w:rsidRPr="00741A48">
          <w:rPr>
            <w:rStyle w:val="Hyperlink"/>
            <w:noProof/>
          </w:rPr>
          <w:t>4.7</w:t>
        </w:r>
        <w:r w:rsidR="00C0406F">
          <w:rPr>
            <w:rFonts w:asciiTheme="minorHAnsi" w:eastAsiaTheme="minorEastAsia" w:hAnsiTheme="minorHAnsi" w:cstheme="minorBidi"/>
            <w:noProof/>
            <w:sz w:val="22"/>
            <w:szCs w:val="22"/>
          </w:rPr>
          <w:tab/>
        </w:r>
        <w:r w:rsidR="00C0406F" w:rsidRPr="00741A48">
          <w:rPr>
            <w:rStyle w:val="Hyperlink"/>
            <w:noProof/>
          </w:rPr>
          <w:t>Additional areas</w:t>
        </w:r>
        <w:r w:rsidR="00C0406F">
          <w:rPr>
            <w:noProof/>
            <w:webHidden/>
          </w:rPr>
          <w:tab/>
        </w:r>
        <w:r w:rsidR="00C0406F">
          <w:rPr>
            <w:noProof/>
            <w:webHidden/>
          </w:rPr>
          <w:fldChar w:fldCharType="begin"/>
        </w:r>
        <w:r w:rsidR="00C0406F">
          <w:rPr>
            <w:noProof/>
            <w:webHidden/>
          </w:rPr>
          <w:instrText xml:space="preserve"> PAGEREF _Toc78371508 \h </w:instrText>
        </w:r>
        <w:r w:rsidR="00C0406F">
          <w:rPr>
            <w:noProof/>
            <w:webHidden/>
          </w:rPr>
        </w:r>
        <w:r w:rsidR="00C0406F">
          <w:rPr>
            <w:noProof/>
            <w:webHidden/>
          </w:rPr>
          <w:fldChar w:fldCharType="separate"/>
        </w:r>
        <w:r w:rsidR="00C0406F">
          <w:rPr>
            <w:noProof/>
            <w:webHidden/>
          </w:rPr>
          <w:t>32</w:t>
        </w:r>
        <w:r w:rsidR="00C0406F">
          <w:rPr>
            <w:noProof/>
            <w:webHidden/>
          </w:rPr>
          <w:fldChar w:fldCharType="end"/>
        </w:r>
      </w:hyperlink>
    </w:p>
    <w:p w14:paraId="015A976E" w14:textId="30F8F369" w:rsidR="00C0406F" w:rsidRDefault="001517CD">
      <w:pPr>
        <w:pStyle w:val="TOC1"/>
        <w:rPr>
          <w:rFonts w:asciiTheme="minorHAnsi" w:eastAsiaTheme="minorEastAsia" w:hAnsiTheme="minorHAnsi" w:cstheme="minorBidi"/>
          <w:sz w:val="22"/>
          <w:szCs w:val="22"/>
          <w:lang w:eastAsia="en-GB"/>
        </w:rPr>
      </w:pPr>
      <w:hyperlink w:anchor="_Toc78371509" w:history="1">
        <w:r w:rsidR="00C0406F" w:rsidRPr="00741A48">
          <w:rPr>
            <w:rStyle w:val="Hyperlink"/>
          </w:rPr>
          <w:t>Appendix 1: Brain tumours (primary) and brain metastases: management options for people with newly diagnosed grade IV glioma (glioblastoma)</w:t>
        </w:r>
        <w:r w:rsidR="00C0406F">
          <w:rPr>
            <w:webHidden/>
          </w:rPr>
          <w:tab/>
        </w:r>
        <w:r w:rsidR="00C0406F">
          <w:rPr>
            <w:webHidden/>
          </w:rPr>
          <w:fldChar w:fldCharType="begin"/>
        </w:r>
        <w:r w:rsidR="00C0406F">
          <w:rPr>
            <w:webHidden/>
          </w:rPr>
          <w:instrText xml:space="preserve"> PAGEREF _Toc78371509 \h </w:instrText>
        </w:r>
        <w:r w:rsidR="00C0406F">
          <w:rPr>
            <w:webHidden/>
          </w:rPr>
        </w:r>
        <w:r w:rsidR="00C0406F">
          <w:rPr>
            <w:webHidden/>
          </w:rPr>
          <w:fldChar w:fldCharType="separate"/>
        </w:r>
        <w:r w:rsidR="00C0406F">
          <w:rPr>
            <w:webHidden/>
          </w:rPr>
          <w:t>34</w:t>
        </w:r>
        <w:r w:rsidR="00C0406F">
          <w:rPr>
            <w:webHidden/>
          </w:rPr>
          <w:fldChar w:fldCharType="end"/>
        </w:r>
      </w:hyperlink>
    </w:p>
    <w:p w14:paraId="0B6FFDED" w14:textId="48958068" w:rsidR="00C0406F" w:rsidRDefault="001517CD">
      <w:pPr>
        <w:pStyle w:val="TOC1"/>
        <w:rPr>
          <w:rFonts w:asciiTheme="minorHAnsi" w:eastAsiaTheme="minorEastAsia" w:hAnsiTheme="minorHAnsi" w:cstheme="minorBidi"/>
          <w:sz w:val="22"/>
          <w:szCs w:val="22"/>
          <w:lang w:eastAsia="en-GB"/>
        </w:rPr>
      </w:pPr>
      <w:hyperlink w:anchor="_Toc78371510" w:history="1">
        <w:r w:rsidR="00C0406F" w:rsidRPr="00741A48">
          <w:rPr>
            <w:rStyle w:val="Hyperlink"/>
          </w:rPr>
          <w:t>Appendix 2: Suggestions from registered stakeholders</w:t>
        </w:r>
        <w:r w:rsidR="00C0406F">
          <w:rPr>
            <w:webHidden/>
          </w:rPr>
          <w:tab/>
        </w:r>
        <w:r w:rsidR="00C0406F">
          <w:rPr>
            <w:webHidden/>
          </w:rPr>
          <w:fldChar w:fldCharType="begin"/>
        </w:r>
        <w:r w:rsidR="00C0406F">
          <w:rPr>
            <w:webHidden/>
          </w:rPr>
          <w:instrText xml:space="preserve"> PAGEREF _Toc78371510 \h </w:instrText>
        </w:r>
        <w:r w:rsidR="00C0406F">
          <w:rPr>
            <w:webHidden/>
          </w:rPr>
        </w:r>
        <w:r w:rsidR="00C0406F">
          <w:rPr>
            <w:webHidden/>
          </w:rPr>
          <w:fldChar w:fldCharType="separate"/>
        </w:r>
        <w:r w:rsidR="00C0406F">
          <w:rPr>
            <w:webHidden/>
          </w:rPr>
          <w:t>35</w:t>
        </w:r>
        <w:r w:rsidR="00C0406F">
          <w:rPr>
            <w:webHidden/>
          </w:rPr>
          <w:fldChar w:fldCharType="end"/>
        </w:r>
      </w:hyperlink>
    </w:p>
    <w:p w14:paraId="162896A5" w14:textId="2035F7B2" w:rsidR="002C0C14" w:rsidRDefault="00702177" w:rsidP="00A673EB">
      <w:pPr>
        <w:pStyle w:val="NICEnormal"/>
      </w:pPr>
      <w:r>
        <w:fldChar w:fldCharType="end"/>
      </w:r>
    </w:p>
    <w:p w14:paraId="516C27E0" w14:textId="77777777" w:rsidR="002C0C14" w:rsidRDefault="002C0C14">
      <w:pPr>
        <w:rPr>
          <w:rFonts w:ascii="Arial" w:hAnsi="Arial"/>
        </w:rPr>
      </w:pPr>
      <w:r>
        <w:br w:type="page"/>
      </w:r>
    </w:p>
    <w:p w14:paraId="4D2E91A7" w14:textId="77777777" w:rsidR="002C296A" w:rsidRDefault="002C296A" w:rsidP="00A673EB">
      <w:pPr>
        <w:pStyle w:val="Numberedheading1"/>
      </w:pPr>
      <w:bookmarkStart w:id="47" w:name="_Toc78371490"/>
      <w:r w:rsidRPr="00A673EB">
        <w:lastRenderedPageBreak/>
        <w:t>Introduction</w:t>
      </w:r>
      <w:bookmarkEnd w:id="47"/>
    </w:p>
    <w:p w14:paraId="0E969E38" w14:textId="1772A611" w:rsidR="002C296A" w:rsidRPr="00E10156" w:rsidRDefault="002C296A" w:rsidP="00BB4634">
      <w:pPr>
        <w:pStyle w:val="Paragraph"/>
      </w:pPr>
      <w:r w:rsidRPr="00623619">
        <w:t xml:space="preserve">This briefing paper presents a structured </w:t>
      </w:r>
      <w:r>
        <w:t xml:space="preserve">overview of potential quality improvement areas for </w:t>
      </w:r>
      <w:r w:rsidR="003D7CAA" w:rsidRPr="003D7CAA">
        <w:t>brain tumours (primary) and brain metastases in adults</w:t>
      </w:r>
      <w:r w:rsidRPr="00D16D6B">
        <w:t>.</w:t>
      </w:r>
      <w:r>
        <w:t xml:space="preserve"> </w:t>
      </w:r>
      <w:r w:rsidRPr="00E10156">
        <w:t xml:space="preserve">It provides the </w:t>
      </w:r>
      <w:r w:rsidR="00307AD6">
        <w:t>c</w:t>
      </w:r>
      <w:r w:rsidRPr="00E10156">
        <w:t>ommittee with a basis for discussi</w:t>
      </w:r>
      <w:r w:rsidR="00EC6922">
        <w:t>ng</w:t>
      </w:r>
      <w:r w:rsidRPr="00E10156">
        <w:t xml:space="preserve"> and prioritising quality improvement areas </w:t>
      </w:r>
      <w:r w:rsidR="00FA127D">
        <w:t>for</w:t>
      </w:r>
      <w:r w:rsidRPr="00E10156">
        <w:t xml:space="preserve"> </w:t>
      </w:r>
      <w:r w:rsidR="00EC6922">
        <w:t>develop</w:t>
      </w:r>
      <w:r w:rsidR="00FA127D">
        <w:t>ment into</w:t>
      </w:r>
      <w:r w:rsidR="00EC6922">
        <w:t xml:space="preserve"> draft</w:t>
      </w:r>
      <w:r w:rsidR="00EC6922" w:rsidRPr="00E10156">
        <w:t xml:space="preserve"> </w:t>
      </w:r>
      <w:r w:rsidRPr="00E10156">
        <w:t>quality statements and measures for public consultation.</w:t>
      </w:r>
    </w:p>
    <w:p w14:paraId="4340890F" w14:textId="77777777" w:rsidR="002C296A" w:rsidRDefault="00D862D3" w:rsidP="00BB4634">
      <w:pPr>
        <w:pStyle w:val="Paragraph"/>
      </w:pPr>
      <w:r>
        <w:t>T</w:t>
      </w:r>
      <w:r w:rsidR="001753FE">
        <w:t>his briefing paper</w:t>
      </w:r>
      <w:r w:rsidR="002C296A">
        <w:t xml:space="preserve"> includes a brief </w:t>
      </w:r>
      <w:r w:rsidR="00FA127D">
        <w:t xml:space="preserve">description </w:t>
      </w:r>
      <w:r w:rsidR="002C296A">
        <w:t>of the topic</w:t>
      </w:r>
      <w:r>
        <w:t>,</w:t>
      </w:r>
      <w:r w:rsidR="002C296A">
        <w:t xml:space="preserve"> a summary of each of the suggested quality improvement areas </w:t>
      </w:r>
      <w:r>
        <w:t xml:space="preserve">and </w:t>
      </w:r>
      <w:r w:rsidR="002C296A">
        <w:t>supporting information.</w:t>
      </w:r>
    </w:p>
    <w:p w14:paraId="1DD6DF90" w14:textId="24599B5E" w:rsidR="002C296A" w:rsidRDefault="006F5EAB" w:rsidP="00BB4634">
      <w:pPr>
        <w:pStyle w:val="Paragraph"/>
      </w:pPr>
      <w:r>
        <w:t>R</w:t>
      </w:r>
      <w:r w:rsidR="002C296A" w:rsidRPr="00E10156">
        <w:t xml:space="preserve">ecommendations </w:t>
      </w:r>
      <w:r w:rsidR="002C296A">
        <w:t xml:space="preserve">selected </w:t>
      </w:r>
      <w:r w:rsidR="002C296A" w:rsidRPr="00E10156">
        <w:t>from the key development source</w:t>
      </w:r>
      <w:r w:rsidR="003D7CAA">
        <w:t>s</w:t>
      </w:r>
      <w:r w:rsidR="002C296A" w:rsidRPr="00E10156">
        <w:t xml:space="preserve"> </w:t>
      </w:r>
      <w:r w:rsidR="002C296A">
        <w:t>are</w:t>
      </w:r>
      <w:r w:rsidR="002C296A" w:rsidRPr="00E10156">
        <w:t xml:space="preserve"> </w:t>
      </w:r>
      <w:r w:rsidR="00FA127D">
        <w:t>included</w:t>
      </w:r>
      <w:r w:rsidR="00FA127D" w:rsidRPr="00E10156">
        <w:t xml:space="preserve"> </w:t>
      </w:r>
      <w:r w:rsidR="002C296A">
        <w:t xml:space="preserve">to </w:t>
      </w:r>
      <w:r w:rsidR="00FA127D">
        <w:t xml:space="preserve">help </w:t>
      </w:r>
      <w:r w:rsidR="002C296A">
        <w:t xml:space="preserve">the </w:t>
      </w:r>
      <w:r w:rsidR="00307AD6">
        <w:t>c</w:t>
      </w:r>
      <w:r w:rsidR="002C296A">
        <w:t>ommittee</w:t>
      </w:r>
      <w:r w:rsidR="002C296A" w:rsidRPr="00E10156">
        <w:t xml:space="preserve"> </w:t>
      </w:r>
      <w:r w:rsidR="004B62C1">
        <w:t>in</w:t>
      </w:r>
      <w:r w:rsidR="00FA127D">
        <w:t xml:space="preserve"> </w:t>
      </w:r>
      <w:r w:rsidR="002C296A">
        <w:t>considering</w:t>
      </w:r>
      <w:r w:rsidR="002C296A" w:rsidRPr="00E10156">
        <w:t xml:space="preserve"> </w:t>
      </w:r>
      <w:r w:rsidR="004B62C1">
        <w:t>potential</w:t>
      </w:r>
      <w:r w:rsidR="002C296A" w:rsidRPr="00E10156">
        <w:t xml:space="preserve"> statements and measures</w:t>
      </w:r>
      <w:r w:rsidR="002C296A">
        <w:t>.</w:t>
      </w:r>
    </w:p>
    <w:p w14:paraId="574B6C5B" w14:textId="77777777" w:rsidR="00C22DED" w:rsidRPr="00D862D3" w:rsidRDefault="000750FD" w:rsidP="00D862D3">
      <w:pPr>
        <w:pStyle w:val="Numberedheading2"/>
      </w:pPr>
      <w:bookmarkStart w:id="48" w:name="_Toc71289585"/>
      <w:bookmarkStart w:id="49" w:name="_Toc71289684"/>
      <w:bookmarkStart w:id="50" w:name="_Toc71290377"/>
      <w:bookmarkStart w:id="51" w:name="_Toc71542842"/>
      <w:bookmarkStart w:id="52" w:name="_Toc73111493"/>
      <w:bookmarkStart w:id="53" w:name="_Toc78371491"/>
      <w:r w:rsidRPr="00D862D3">
        <w:t>D</w:t>
      </w:r>
      <w:r w:rsidR="00C22DED" w:rsidRPr="00D862D3">
        <w:t>evelopment source</w:t>
      </w:r>
      <w:bookmarkEnd w:id="48"/>
      <w:bookmarkEnd w:id="49"/>
      <w:bookmarkEnd w:id="50"/>
      <w:bookmarkEnd w:id="51"/>
      <w:bookmarkEnd w:id="52"/>
      <w:bookmarkEnd w:id="53"/>
    </w:p>
    <w:p w14:paraId="0388BF1F" w14:textId="597D0F45" w:rsidR="00C22DED" w:rsidRPr="008C3D03" w:rsidRDefault="003B6DDC" w:rsidP="002C296A">
      <w:pPr>
        <w:pStyle w:val="Paragraph"/>
      </w:pPr>
      <w:r w:rsidRPr="008C3D03">
        <w:t>T</w:t>
      </w:r>
      <w:r w:rsidR="00C22DED" w:rsidRPr="008C3D03">
        <w:t xml:space="preserve">he key development </w:t>
      </w:r>
      <w:r w:rsidR="00427135" w:rsidRPr="008C3D03">
        <w:t>sources</w:t>
      </w:r>
      <w:r w:rsidR="00C22DED" w:rsidRPr="008C3D03">
        <w:t xml:space="preserve"> referenced in this briefing paper</w:t>
      </w:r>
      <w:r w:rsidR="00766AE9" w:rsidRPr="008C3D03">
        <w:t xml:space="preserve"> </w:t>
      </w:r>
      <w:r w:rsidR="00FA6FCE" w:rsidRPr="008C3D03">
        <w:t>are</w:t>
      </w:r>
      <w:r w:rsidR="00C22DED" w:rsidRPr="008C3D03">
        <w:t>:</w:t>
      </w:r>
    </w:p>
    <w:p w14:paraId="4E3D6A18" w14:textId="7E971A0A" w:rsidR="008C3D03" w:rsidRDefault="001517CD" w:rsidP="008C3D03">
      <w:pPr>
        <w:pStyle w:val="Bulletleft1"/>
      </w:pPr>
      <w:hyperlink r:id="rId8" w:history="1">
        <w:r w:rsidR="008C3D03" w:rsidRPr="00932266">
          <w:rPr>
            <w:rStyle w:val="Hyperlink"/>
          </w:rPr>
          <w:t>Brain tumours (primary) and brain metastases in adults. NICE guideline NG99</w:t>
        </w:r>
      </w:hyperlink>
      <w:r w:rsidR="008C3D03">
        <w:t xml:space="preserve"> (2018). </w:t>
      </w:r>
    </w:p>
    <w:p w14:paraId="4A53E51E" w14:textId="29109CDB" w:rsidR="008C3D03" w:rsidRDefault="001517CD" w:rsidP="008C3D03">
      <w:pPr>
        <w:pStyle w:val="Bulletleft1"/>
      </w:pPr>
      <w:hyperlink r:id="rId9" w:history="1">
        <w:r w:rsidR="008C3D03" w:rsidRPr="00932266">
          <w:rPr>
            <w:rStyle w:val="Hyperlink"/>
          </w:rPr>
          <w:t>Suspected cancer: recognition and referral. NICE guideline NG12</w:t>
        </w:r>
      </w:hyperlink>
      <w:r w:rsidR="008C3D03">
        <w:t xml:space="preserve"> (2015).</w:t>
      </w:r>
    </w:p>
    <w:p w14:paraId="30113C9A" w14:textId="2EED2B39" w:rsidR="008C3D03" w:rsidRPr="008C3D03" w:rsidRDefault="001517CD" w:rsidP="008C3D03">
      <w:pPr>
        <w:pStyle w:val="Bulletleft1"/>
      </w:pPr>
      <w:hyperlink r:id="rId10" w:history="1">
        <w:r w:rsidR="008C3D03" w:rsidRPr="00932266">
          <w:rPr>
            <w:rStyle w:val="Hyperlink"/>
          </w:rPr>
          <w:t>Improving outcomes for people with brain and other central nervous system tumours</w:t>
        </w:r>
        <w:r w:rsidR="00932266" w:rsidRPr="00932266">
          <w:rPr>
            <w:rStyle w:val="Hyperlink"/>
          </w:rPr>
          <w:t>. NICE cancer service guideline CSG10</w:t>
        </w:r>
      </w:hyperlink>
      <w:r w:rsidR="00932266">
        <w:t xml:space="preserve"> (2006). </w:t>
      </w:r>
      <w:r w:rsidR="00275C4B">
        <w:t>The guideline is available on the NICE website. The website indicates that r</w:t>
      </w:r>
      <w:r w:rsidR="00932266">
        <w:t xml:space="preserve">ecommendations </w:t>
      </w:r>
      <w:r w:rsidR="00275C4B">
        <w:t>will be</w:t>
      </w:r>
      <w:r w:rsidR="00932266">
        <w:t xml:space="preserve"> updated and incorporated into the guideline on brain tumours (primary) and brain metastases in adults.</w:t>
      </w:r>
    </w:p>
    <w:p w14:paraId="4B3DA019" w14:textId="77777777" w:rsidR="002C296A" w:rsidRDefault="002C296A" w:rsidP="002C296A">
      <w:pPr>
        <w:pStyle w:val="Numberedheading1"/>
      </w:pPr>
      <w:bookmarkStart w:id="54" w:name="_Toc78371492"/>
      <w:r>
        <w:t>Overview</w:t>
      </w:r>
      <w:bookmarkEnd w:id="54"/>
    </w:p>
    <w:p w14:paraId="1633BB52" w14:textId="77777777" w:rsidR="002C296A" w:rsidRDefault="002C296A" w:rsidP="002C296A">
      <w:pPr>
        <w:pStyle w:val="Numberedheading2"/>
      </w:pPr>
      <w:bookmarkStart w:id="55" w:name="_Toc71289587"/>
      <w:bookmarkStart w:id="56" w:name="_Toc71289686"/>
      <w:bookmarkStart w:id="57" w:name="_Toc71290379"/>
      <w:bookmarkStart w:id="58" w:name="_Toc71542844"/>
      <w:bookmarkStart w:id="59" w:name="_Toc73111495"/>
      <w:bookmarkStart w:id="60" w:name="_Toc78371493"/>
      <w:r>
        <w:t>Focus of quality standard</w:t>
      </w:r>
      <w:bookmarkEnd w:id="55"/>
      <w:bookmarkEnd w:id="56"/>
      <w:bookmarkEnd w:id="57"/>
      <w:bookmarkEnd w:id="58"/>
      <w:bookmarkEnd w:id="59"/>
      <w:bookmarkEnd w:id="60"/>
    </w:p>
    <w:p w14:paraId="07EF3B5C" w14:textId="7D3F1F74" w:rsidR="00381592" w:rsidRPr="00277952" w:rsidRDefault="00F46A78" w:rsidP="00F46A78">
      <w:pPr>
        <w:pStyle w:val="Heading3"/>
        <w:rPr>
          <w:highlight w:val="cyan"/>
        </w:rPr>
      </w:pPr>
      <w:r w:rsidRPr="00F46A78">
        <w:rPr>
          <w:rFonts w:cs="Times New Roman"/>
          <w:b w:val="0"/>
          <w:bCs w:val="0"/>
          <w:sz w:val="24"/>
        </w:rPr>
        <w:t xml:space="preserve">This quality standard will cover diagnosing, monitoring and managing any type of primary brain tumour or brain metastases in people aged 16 or over. </w:t>
      </w:r>
    </w:p>
    <w:p w14:paraId="7FC4DD82" w14:textId="77777777" w:rsidR="002C296A" w:rsidRDefault="002C296A" w:rsidP="00BF70EA">
      <w:pPr>
        <w:pStyle w:val="Numberedheading2"/>
      </w:pPr>
      <w:bookmarkStart w:id="61" w:name="_Toc71289588"/>
      <w:bookmarkStart w:id="62" w:name="_Toc71289687"/>
      <w:bookmarkStart w:id="63" w:name="_Toc71290380"/>
      <w:bookmarkStart w:id="64" w:name="_Toc71542845"/>
      <w:bookmarkStart w:id="65" w:name="_Toc73111496"/>
      <w:bookmarkStart w:id="66" w:name="_Toc78371494"/>
      <w:r>
        <w:t>Definition</w:t>
      </w:r>
      <w:bookmarkEnd w:id="61"/>
      <w:bookmarkEnd w:id="62"/>
      <w:bookmarkEnd w:id="63"/>
      <w:bookmarkEnd w:id="64"/>
      <w:bookmarkEnd w:id="65"/>
      <w:bookmarkEnd w:id="66"/>
    </w:p>
    <w:p w14:paraId="425187EE" w14:textId="51534F71" w:rsidR="002578E4" w:rsidRDefault="00F46A78" w:rsidP="00933944">
      <w:pPr>
        <w:pStyle w:val="Paragraph"/>
      </w:pPr>
      <w:r w:rsidRPr="00F46A78">
        <w:t xml:space="preserve">Primary brain tumours come from the brain tissue or its coverings – the meninges. Malignant high-grade gliomas (anaplastic gliomas and glioblastomas) and pre-malignant low-grade gliomas come from the brain tissue glial cells and make up over 60% of primary brain tumours. Meningiomas make up a further 30%. Although often thought benign, meningiomas can have an acute presentation and are associated with significant long-term neurological morbidity. Because of this, they can behave in a malignant fashion in terms of recurrence and impact. </w:t>
      </w:r>
      <w:r w:rsidR="00A813F7">
        <w:t xml:space="preserve"> </w:t>
      </w:r>
    </w:p>
    <w:p w14:paraId="041B8183" w14:textId="38148E84" w:rsidR="00475572" w:rsidRDefault="00475572" w:rsidP="00933944">
      <w:pPr>
        <w:pStyle w:val="Paragraph"/>
      </w:pPr>
      <w:r w:rsidRPr="00475572">
        <w:lastRenderedPageBreak/>
        <w:t>Cancers that have spread to the brain from somewhere else in the body are called secondary brain tumours, or brain metastases. Many different cancer types can spread to the brain, with lung and breast cancers being the most common.</w:t>
      </w:r>
    </w:p>
    <w:p w14:paraId="07AC2EA8" w14:textId="4955513C" w:rsidR="00400944" w:rsidRDefault="00400944" w:rsidP="00933944">
      <w:pPr>
        <w:pStyle w:val="Paragraph"/>
      </w:pPr>
      <w:r w:rsidRPr="00400944">
        <w:t>There are many different types of brain tumour and they can cause a wide range of symptoms depending on the kind of tumour, where it is, where it has come from, if it is a metastasis and how quickly it is growing.</w:t>
      </w:r>
    </w:p>
    <w:p w14:paraId="4CD8919F" w14:textId="77777777" w:rsidR="002C296A" w:rsidRPr="00FF20A8" w:rsidRDefault="002C296A" w:rsidP="002C296A">
      <w:pPr>
        <w:pStyle w:val="Numberedheading2"/>
      </w:pPr>
      <w:bookmarkStart w:id="67" w:name="_Toc71289589"/>
      <w:bookmarkStart w:id="68" w:name="_Toc71289688"/>
      <w:bookmarkStart w:id="69" w:name="_Toc71290381"/>
      <w:bookmarkStart w:id="70" w:name="_Toc71542846"/>
      <w:bookmarkStart w:id="71" w:name="_Toc73111497"/>
      <w:bookmarkStart w:id="72" w:name="_Toc78371495"/>
      <w:r>
        <w:t>Incidence and prevalence</w:t>
      </w:r>
      <w:bookmarkEnd w:id="67"/>
      <w:bookmarkEnd w:id="68"/>
      <w:bookmarkEnd w:id="69"/>
      <w:bookmarkEnd w:id="70"/>
      <w:bookmarkEnd w:id="71"/>
      <w:bookmarkEnd w:id="72"/>
    </w:p>
    <w:p w14:paraId="13617A01" w14:textId="79C04A80" w:rsidR="00955573" w:rsidRDefault="00955573" w:rsidP="00933944">
      <w:pPr>
        <w:pStyle w:val="Paragraph"/>
        <w:rPr>
          <w:highlight w:val="cyan"/>
        </w:rPr>
      </w:pPr>
      <w:r>
        <w:t>I</w:t>
      </w:r>
      <w:r w:rsidRPr="00955573">
        <w:t>t is estimated there are around 10,000 new cases of primary brain tumours per year.</w:t>
      </w:r>
      <w:r w:rsidR="008D69AF">
        <w:t xml:space="preserve"> </w:t>
      </w:r>
      <w:r w:rsidR="00524EEF" w:rsidRPr="00524EEF">
        <w:t>The peak age of presentation of brain cancer is between 65 and 69</w:t>
      </w:r>
      <w:r w:rsidR="00524EEF">
        <w:t xml:space="preserve">. </w:t>
      </w:r>
      <w:r w:rsidR="008D69AF" w:rsidRPr="008D69AF">
        <w:t xml:space="preserve">Although primary malignant brain tumours represent only 3% of all cancers, they result in the most life-years </w:t>
      </w:r>
      <w:proofErr w:type="spellStart"/>
      <w:r w:rsidR="008D69AF" w:rsidRPr="008D69AF">
        <w:t>lost</w:t>
      </w:r>
      <w:proofErr w:type="spellEnd"/>
      <w:r w:rsidR="008D69AF" w:rsidRPr="008D69AF">
        <w:t xml:space="preserve"> of any cancer. There is concern that the true incidence of these tumours is rising.</w:t>
      </w:r>
    </w:p>
    <w:p w14:paraId="758DF742" w14:textId="6DF786E2" w:rsidR="00280E14" w:rsidRDefault="00280E14" w:rsidP="00280E14">
      <w:pPr>
        <w:pStyle w:val="Paragraph"/>
      </w:pPr>
      <w:r w:rsidRPr="00280E14">
        <w:t>More people with systemic cancers are surviving longer and are referred to neuroscience multidisciplinary teams for management of their brain metastases. The number of people needing assessment for cranial treatment is now over 10,000 per year in the UK and rising.</w:t>
      </w:r>
    </w:p>
    <w:p w14:paraId="0D9152CC" w14:textId="647DA2DD" w:rsidR="00955573" w:rsidRDefault="00361D7D" w:rsidP="00933944">
      <w:pPr>
        <w:pStyle w:val="Paragraph"/>
      </w:pPr>
      <w:r w:rsidRPr="00361D7D">
        <w:t>The singular effects of brain tumours on mental performance (both psychological state and cognitive decline) are a particular challenge to carers and professionals alike, especially in delivering support to people at home.</w:t>
      </w:r>
    </w:p>
    <w:p w14:paraId="55310026" w14:textId="77777777" w:rsidR="002C296A" w:rsidRDefault="00D44D8A" w:rsidP="002C296A">
      <w:pPr>
        <w:pStyle w:val="Numberedheading2"/>
      </w:pPr>
      <w:bookmarkStart w:id="73" w:name="_Toc71289590"/>
      <w:bookmarkStart w:id="74" w:name="_Toc71289689"/>
      <w:bookmarkStart w:id="75" w:name="_Toc71290382"/>
      <w:bookmarkStart w:id="76" w:name="_Toc71542847"/>
      <w:bookmarkStart w:id="77" w:name="_Toc73111498"/>
      <w:bookmarkStart w:id="78" w:name="_Toc78371496"/>
      <w:r>
        <w:t>Current service delivery and management</w:t>
      </w:r>
      <w:bookmarkEnd w:id="73"/>
      <w:bookmarkEnd w:id="74"/>
      <w:bookmarkEnd w:id="75"/>
      <w:bookmarkEnd w:id="76"/>
      <w:bookmarkEnd w:id="77"/>
      <w:bookmarkEnd w:id="78"/>
    </w:p>
    <w:p w14:paraId="0A73E2C7" w14:textId="3A487327" w:rsidR="00955573" w:rsidRDefault="00955573" w:rsidP="00833514">
      <w:pPr>
        <w:pStyle w:val="Paragraph"/>
      </w:pPr>
      <w:r w:rsidRPr="00955573">
        <w:t>Over 60% of people with primary brain tumours present at, and are diagnosed by, accident and emergency services rather than from conventional GP or specialist referral. This causes a significant demand on these services.</w:t>
      </w:r>
    </w:p>
    <w:p w14:paraId="33F139B2" w14:textId="570B12C9" w:rsidR="00361D7D" w:rsidRDefault="00361D7D" w:rsidP="00833514">
      <w:pPr>
        <w:pStyle w:val="Paragraph"/>
      </w:pPr>
      <w:r w:rsidRPr="00361D7D">
        <w:t>The specialist nature of neuro-imaging and the need for complex diagnostic and reductive surgery emphasises the importance of well-organised service delivery by dedicated units.</w:t>
      </w:r>
      <w:r w:rsidR="009C6DDF">
        <w:t xml:space="preserve"> </w:t>
      </w:r>
      <w:r>
        <w:t>T</w:t>
      </w:r>
      <w:r w:rsidRPr="00361D7D">
        <w:t>here are concerns that delivery of all services to older people is suboptimal. There are also concerns that the transition from paediatric to adult units could create a care gap.</w:t>
      </w:r>
    </w:p>
    <w:p w14:paraId="668E7154" w14:textId="4CBFF36D" w:rsidR="004407E3" w:rsidRDefault="004407E3" w:rsidP="00361D7D">
      <w:pPr>
        <w:pStyle w:val="Paragraph"/>
      </w:pPr>
      <w:r w:rsidRPr="004407E3">
        <w:t>Survival with malignant brain tumours has remained poor despite some</w:t>
      </w:r>
      <w:r w:rsidR="002C0C14">
        <w:t xml:space="preserve"> </w:t>
      </w:r>
      <w:r w:rsidR="00524EEF">
        <w:t>i</w:t>
      </w:r>
      <w:r w:rsidRPr="004407E3">
        <w:t>mprovements in surgery, radiotherapy and chemotherapy, and a greater understanding of molecular classification.</w:t>
      </w:r>
    </w:p>
    <w:p w14:paraId="43DC2284" w14:textId="1A3B0DD5" w:rsidR="00361D7D" w:rsidRDefault="00361D7D" w:rsidP="00361D7D">
      <w:pPr>
        <w:pStyle w:val="Paragraph"/>
      </w:pPr>
      <w:r>
        <w:t>The management of a low-grade glioma that is likely to transform to high grade remains controversial and presents issues for ongoing care. Follow</w:t>
      </w:r>
      <w:r>
        <w:rPr>
          <w:rFonts w:ascii="Cambria Math" w:hAnsi="Cambria Math" w:cs="Cambria Math"/>
        </w:rPr>
        <w:t>‑</w:t>
      </w:r>
      <w:r>
        <w:t>up for people with meningiomas after primary treatment is often long term, and there is variation in both follow</w:t>
      </w:r>
      <w:r>
        <w:rPr>
          <w:rFonts w:ascii="Cambria Math" w:hAnsi="Cambria Math" w:cs="Cambria Math"/>
        </w:rPr>
        <w:t>‑</w:t>
      </w:r>
      <w:r>
        <w:t>up and treatments for recurrence.</w:t>
      </w:r>
    </w:p>
    <w:p w14:paraId="615D0C1C" w14:textId="3E34030F" w:rsidR="00361D7D" w:rsidRDefault="00361D7D" w:rsidP="00361D7D">
      <w:pPr>
        <w:pStyle w:val="Paragraph"/>
      </w:pPr>
      <w:r>
        <w:lastRenderedPageBreak/>
        <w:t>Conventional whole-brain irradiation as optimal therapy for brain metastases is being challenged by concerns about its effectiveness and toxicity, as well as the availability and immediacy of surgery and stereotactic radiotherapy.</w:t>
      </w:r>
    </w:p>
    <w:p w14:paraId="6C661C48" w14:textId="0C67E76A" w:rsidR="00492164" w:rsidRDefault="00492164" w:rsidP="00492164">
      <w:pPr>
        <w:pStyle w:val="Paragraph"/>
      </w:pPr>
      <w:r>
        <w:t>Neuro-oncology services are commissioned by NHS England. Providers are NHS hospital trusts.</w:t>
      </w:r>
    </w:p>
    <w:p w14:paraId="49DC837D" w14:textId="03FB721A" w:rsidR="001C217D" w:rsidRDefault="001C217D" w:rsidP="00833514">
      <w:pPr>
        <w:pStyle w:val="Paragraph"/>
      </w:pPr>
      <w:r w:rsidRPr="007453FD">
        <w:t xml:space="preserve">See </w:t>
      </w:r>
      <w:hyperlink w:anchor="_Appendix_1:_Additional" w:history="1">
        <w:r w:rsidR="007B49F8">
          <w:rPr>
            <w:rStyle w:val="Hyperlink"/>
          </w:rPr>
          <w:t>appendix 1</w:t>
        </w:r>
      </w:hyperlink>
      <w:r w:rsidR="003B6DDC">
        <w:t xml:space="preserve"> for </w:t>
      </w:r>
      <w:r w:rsidR="0031416A">
        <w:t xml:space="preserve">the </w:t>
      </w:r>
      <w:r w:rsidR="00E35EA1">
        <w:t>visual summary for glioblastoma management</w:t>
      </w:r>
      <w:r w:rsidR="0029335E">
        <w:t xml:space="preserve"> </w:t>
      </w:r>
      <w:r w:rsidR="007453FD" w:rsidRPr="007453FD">
        <w:t>from NICE</w:t>
      </w:r>
      <w:r w:rsidR="00933924">
        <w:t>’s</w:t>
      </w:r>
      <w:r w:rsidR="007453FD" w:rsidRPr="007453FD">
        <w:t xml:space="preserve"> guideline </w:t>
      </w:r>
      <w:r w:rsidR="00933924">
        <w:t xml:space="preserve">on </w:t>
      </w:r>
      <w:r w:rsidR="00E35EA1">
        <w:t>b</w:t>
      </w:r>
      <w:r w:rsidR="00E35EA1" w:rsidRPr="00E35EA1">
        <w:t>rain tumours (primary) and brain metastases in adults</w:t>
      </w:r>
      <w:r w:rsidRPr="007453FD">
        <w:t>.</w:t>
      </w:r>
      <w:r w:rsidR="003F70B8">
        <w:t xml:space="preserve"> </w:t>
      </w:r>
      <w:r w:rsidR="006A5EF3">
        <w:t xml:space="preserve"> </w:t>
      </w:r>
    </w:p>
    <w:p w14:paraId="2BAD2FFF" w14:textId="77777777" w:rsidR="000C135B" w:rsidRPr="003F70B8" w:rsidRDefault="00466B16" w:rsidP="00466B16">
      <w:pPr>
        <w:pStyle w:val="Numberedheading2"/>
      </w:pPr>
      <w:bookmarkStart w:id="79" w:name="_Toc340835232"/>
      <w:bookmarkStart w:id="80" w:name="_Toc71289591"/>
      <w:bookmarkStart w:id="81" w:name="_Toc71289690"/>
      <w:bookmarkStart w:id="82" w:name="_Toc71290383"/>
      <w:bookmarkStart w:id="83" w:name="_Toc71542848"/>
      <w:bookmarkStart w:id="84" w:name="_Toc73111499"/>
      <w:bookmarkStart w:id="85" w:name="_Toc78371497"/>
      <w:bookmarkEnd w:id="79"/>
      <w:r>
        <w:t>Resource impact</w:t>
      </w:r>
      <w:bookmarkEnd w:id="80"/>
      <w:bookmarkEnd w:id="81"/>
      <w:bookmarkEnd w:id="82"/>
      <w:bookmarkEnd w:id="83"/>
      <w:bookmarkEnd w:id="84"/>
      <w:bookmarkEnd w:id="85"/>
    </w:p>
    <w:p w14:paraId="44D22E3C" w14:textId="77777777" w:rsidR="00FD5E53" w:rsidRDefault="00327026" w:rsidP="00FD5E53">
      <w:pPr>
        <w:pStyle w:val="Paragraph"/>
      </w:pPr>
      <w:r w:rsidRPr="00327026">
        <w:t>We do not expect this quality standard to have a significant impact on NHS resource use.  When the NICE guideline on Brain tumours (primary) and brain metastases in adults (NG99) was in development, the resource impact of the recommendations was assessed and it was anticipated that only one recommendation would have a significant resource impact, this was recommendation 1.2.36 on 5-ALA fluoroscopy guided resection.  We do not anticipate that the resource impact of the quality standard will exceed the costs discussed when the resource impact tools were developed for that guideline.</w:t>
      </w:r>
    </w:p>
    <w:p w14:paraId="67B15A6F" w14:textId="3E36511A" w:rsidR="002C296A" w:rsidRDefault="00381592" w:rsidP="00FD5E53">
      <w:pPr>
        <w:pStyle w:val="Numberedheading1"/>
      </w:pPr>
      <w:r>
        <w:br w:type="page"/>
      </w:r>
      <w:bookmarkStart w:id="86" w:name="_Toc78371498"/>
      <w:r w:rsidR="002C296A">
        <w:lastRenderedPageBreak/>
        <w:t xml:space="preserve">Summary of </w:t>
      </w:r>
      <w:r w:rsidR="002C296A" w:rsidRPr="00FD5E53">
        <w:t>suggestions</w:t>
      </w:r>
      <w:bookmarkEnd w:id="86"/>
    </w:p>
    <w:p w14:paraId="19E74997" w14:textId="77777777" w:rsidR="002C296A" w:rsidRPr="007D4B1A" w:rsidRDefault="002C296A" w:rsidP="002C296A">
      <w:pPr>
        <w:pStyle w:val="Numberedheading2"/>
      </w:pPr>
      <w:bookmarkStart w:id="87" w:name="_Toc71289593"/>
      <w:bookmarkStart w:id="88" w:name="_Toc71289692"/>
      <w:bookmarkStart w:id="89" w:name="_Toc71290385"/>
      <w:bookmarkStart w:id="90" w:name="_Toc71542850"/>
      <w:bookmarkStart w:id="91" w:name="_Toc73111501"/>
      <w:bookmarkStart w:id="92" w:name="_Toc78371499"/>
      <w:r>
        <w:t>Responses</w:t>
      </w:r>
      <w:bookmarkEnd w:id="87"/>
      <w:bookmarkEnd w:id="88"/>
      <w:bookmarkEnd w:id="89"/>
      <w:bookmarkEnd w:id="90"/>
      <w:bookmarkEnd w:id="91"/>
      <w:bookmarkEnd w:id="92"/>
    </w:p>
    <w:p w14:paraId="58FEE398" w14:textId="2B4E739A" w:rsidR="00F6784F" w:rsidRDefault="00F6784F" w:rsidP="00F6784F">
      <w:pPr>
        <w:pStyle w:val="Paragraph"/>
      </w:pPr>
      <w:r>
        <w:t xml:space="preserve">In total </w:t>
      </w:r>
      <w:bookmarkStart w:id="93" w:name="_Hlk64289010"/>
      <w:r w:rsidR="00C2373D">
        <w:t>1</w:t>
      </w:r>
      <w:r w:rsidR="00475BA0">
        <w:t>2</w:t>
      </w:r>
      <w:r>
        <w:t xml:space="preserve"> </w:t>
      </w:r>
      <w:bookmarkEnd w:id="93"/>
      <w:r>
        <w:t>registered stakeholders responded to the 2-week engagement exercise.</w:t>
      </w:r>
    </w:p>
    <w:p w14:paraId="456E31D5" w14:textId="585AD312" w:rsidR="00F6784F" w:rsidRDefault="00AA37E4" w:rsidP="00F6784F">
      <w:pPr>
        <w:pStyle w:val="Bulletparagraph"/>
      </w:pPr>
      <w:r>
        <w:t>1</w:t>
      </w:r>
      <w:r w:rsidR="00475BA0">
        <w:t>2</w:t>
      </w:r>
      <w:r w:rsidR="00BA6B0E">
        <w:t xml:space="preserve"> </w:t>
      </w:r>
      <w:r w:rsidR="00313385">
        <w:t xml:space="preserve">registered </w:t>
      </w:r>
      <w:r w:rsidR="00F6784F">
        <w:t>stakeholders suggested areas</w:t>
      </w:r>
    </w:p>
    <w:p w14:paraId="0DD7CE0B" w14:textId="200600AD" w:rsidR="00F6784F" w:rsidRDefault="00C2373D" w:rsidP="00F6784F">
      <w:pPr>
        <w:pStyle w:val="Bulletparagraphlast"/>
      </w:pPr>
      <w:r>
        <w:t>6</w:t>
      </w:r>
      <w:r w:rsidR="00BA6B0E">
        <w:t xml:space="preserve"> </w:t>
      </w:r>
      <w:r w:rsidR="00F6784F">
        <w:t>specialist committee members suggested areas</w:t>
      </w:r>
    </w:p>
    <w:p w14:paraId="2B0831A5" w14:textId="2E15817E" w:rsidR="00F6784F" w:rsidRDefault="00F6784F" w:rsidP="00F6784F">
      <w:pPr>
        <w:pStyle w:val="Paragraph"/>
      </w:pPr>
      <w:r w:rsidRPr="00F6784F">
        <w:t xml:space="preserve">The responses have been summarised in table </w:t>
      </w:r>
      <w:r w:rsidR="00AD2236">
        <w:t>1</w:t>
      </w:r>
      <w:r w:rsidRPr="00F6784F">
        <w:t xml:space="preserve"> for further consideration by the committee.</w:t>
      </w:r>
    </w:p>
    <w:p w14:paraId="53D4B284" w14:textId="77777777" w:rsidR="006B080F" w:rsidRDefault="006B080F" w:rsidP="006B080F">
      <w:pPr>
        <w:pStyle w:val="Numberedheading2"/>
      </w:pPr>
      <w:bookmarkStart w:id="94" w:name="_Toc340835234"/>
      <w:bookmarkStart w:id="95" w:name="_Toc71289594"/>
      <w:bookmarkStart w:id="96" w:name="_Toc71289693"/>
      <w:bookmarkStart w:id="97" w:name="_Toc71290386"/>
      <w:bookmarkStart w:id="98" w:name="_Toc71542851"/>
      <w:bookmarkStart w:id="99" w:name="_Toc73111502"/>
      <w:bookmarkStart w:id="100" w:name="_Toc78371500"/>
      <w:bookmarkEnd w:id="94"/>
      <w:r w:rsidRPr="006B080F">
        <w:t>Priorities for committee discussion</w:t>
      </w:r>
      <w:bookmarkEnd w:id="95"/>
      <w:bookmarkEnd w:id="96"/>
      <w:bookmarkEnd w:id="97"/>
      <w:bookmarkEnd w:id="98"/>
      <w:bookmarkEnd w:id="99"/>
      <w:bookmarkEnd w:id="100"/>
    </w:p>
    <w:p w14:paraId="21D15A2E" w14:textId="2B60A43D" w:rsidR="006B080F" w:rsidRDefault="006B080F" w:rsidP="00B65D9F">
      <w:pPr>
        <w:pStyle w:val="Caption"/>
      </w:pPr>
      <w:r>
        <w:t xml:space="preserve">Table </w:t>
      </w:r>
      <w:r w:rsidR="00E75C79">
        <w:t>1</w:t>
      </w:r>
      <w:r>
        <w:t xml:space="preserve"> </w:t>
      </w:r>
      <w:r w:rsidRPr="006B080F">
        <w:t>Summary of information available for suggested areas for improvement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Caption w:val="Summary of information available for suggested areas for improvement"/>
        <w:tblDescription w:val="Information about quality improvement areas that were identified by stakeholders during the stakeholder engagement exercise, such as whether the areas are in scope, supported by guideline recommendations, current practice and covered by existing quality standard statements. A decision on the priority to discuss is also given."/>
      </w:tblPr>
      <w:tblGrid>
        <w:gridCol w:w="2526"/>
        <w:gridCol w:w="1635"/>
        <w:gridCol w:w="692"/>
        <w:gridCol w:w="1059"/>
        <w:gridCol w:w="998"/>
        <w:gridCol w:w="1096"/>
        <w:gridCol w:w="1010"/>
      </w:tblGrid>
      <w:tr w:rsidR="002C0C14" w:rsidRPr="00910B42" w14:paraId="47445342" w14:textId="77777777" w:rsidTr="00A1488B">
        <w:trPr>
          <w:tblHeader/>
        </w:trPr>
        <w:tc>
          <w:tcPr>
            <w:tcW w:w="1255" w:type="pct"/>
            <w:shd w:val="clear" w:color="auto" w:fill="auto"/>
          </w:tcPr>
          <w:p w14:paraId="777D6396" w14:textId="77777777" w:rsidR="006B080F" w:rsidRPr="000F2B40" w:rsidRDefault="006B080F" w:rsidP="00B65D9F">
            <w:pPr>
              <w:pStyle w:val="Tabletitle"/>
            </w:pPr>
            <w:bookmarkStart w:id="101" w:name="_Hlk58398339"/>
            <w:r w:rsidRPr="000F2B40">
              <w:t>Suggested area for improvement</w:t>
            </w:r>
          </w:p>
        </w:tc>
        <w:tc>
          <w:tcPr>
            <w:tcW w:w="1053" w:type="pct"/>
          </w:tcPr>
          <w:p w14:paraId="20625945" w14:textId="77777777" w:rsidR="006B080F" w:rsidRPr="00B65D9F" w:rsidRDefault="006B080F" w:rsidP="00B65D9F">
            <w:pPr>
              <w:pStyle w:val="Tabletitle"/>
              <w:rPr>
                <w:b w:val="0"/>
              </w:rPr>
            </w:pPr>
            <w:r w:rsidRPr="003A57C1">
              <w:t xml:space="preserve">Stakeholder </w:t>
            </w:r>
          </w:p>
        </w:tc>
        <w:tc>
          <w:tcPr>
            <w:tcW w:w="384" w:type="pct"/>
          </w:tcPr>
          <w:p w14:paraId="78077591" w14:textId="77777777" w:rsidR="006B080F" w:rsidRPr="00B65D9F" w:rsidRDefault="006B080F" w:rsidP="00B65D9F">
            <w:pPr>
              <w:pStyle w:val="Tabletitle"/>
              <w:rPr>
                <w:b w:val="0"/>
              </w:rPr>
            </w:pPr>
            <w:r w:rsidRPr="003A57C1">
              <w:t>In scope</w:t>
            </w:r>
          </w:p>
        </w:tc>
        <w:tc>
          <w:tcPr>
            <w:tcW w:w="587" w:type="pct"/>
          </w:tcPr>
          <w:p w14:paraId="51364325" w14:textId="77777777" w:rsidR="006B080F" w:rsidRPr="00B65D9F" w:rsidRDefault="006B080F" w:rsidP="00B65D9F">
            <w:pPr>
              <w:pStyle w:val="Tabletitle"/>
              <w:rPr>
                <w:b w:val="0"/>
              </w:rPr>
            </w:pPr>
            <w:r w:rsidRPr="003A57C1">
              <w:t>Guideline recs</w:t>
            </w:r>
          </w:p>
        </w:tc>
        <w:tc>
          <w:tcPr>
            <w:tcW w:w="553" w:type="pct"/>
          </w:tcPr>
          <w:p w14:paraId="29BACBDE" w14:textId="77777777" w:rsidR="006B080F" w:rsidRPr="00B65D9F" w:rsidRDefault="006B080F" w:rsidP="00B65D9F">
            <w:pPr>
              <w:pStyle w:val="Tabletitle"/>
              <w:rPr>
                <w:b w:val="0"/>
              </w:rPr>
            </w:pPr>
            <w:r w:rsidRPr="003A57C1">
              <w:t xml:space="preserve">Current practice evidence  </w:t>
            </w:r>
          </w:p>
        </w:tc>
        <w:tc>
          <w:tcPr>
            <w:tcW w:w="608" w:type="pct"/>
          </w:tcPr>
          <w:p w14:paraId="7E2BCCED" w14:textId="77777777" w:rsidR="006B080F" w:rsidRPr="00B65D9F" w:rsidRDefault="006B080F" w:rsidP="00B65D9F">
            <w:pPr>
              <w:pStyle w:val="Tabletitle"/>
              <w:rPr>
                <w:b w:val="0"/>
              </w:rPr>
            </w:pPr>
            <w:r w:rsidRPr="003A57C1">
              <w:t>Existing QS statement</w:t>
            </w:r>
          </w:p>
        </w:tc>
        <w:tc>
          <w:tcPr>
            <w:tcW w:w="560" w:type="pct"/>
          </w:tcPr>
          <w:p w14:paraId="716192A9" w14:textId="77777777" w:rsidR="006B080F" w:rsidRPr="00B65D9F" w:rsidRDefault="006B080F" w:rsidP="00B65D9F">
            <w:pPr>
              <w:pStyle w:val="Tabletitle"/>
              <w:rPr>
                <w:b w:val="0"/>
              </w:rPr>
            </w:pPr>
            <w:r w:rsidRPr="003A57C1">
              <w:t>Priority to discuss?</w:t>
            </w:r>
          </w:p>
        </w:tc>
      </w:tr>
      <w:tr w:rsidR="002C0C14" w:rsidRPr="00910B42" w14:paraId="22B904E0" w14:textId="77777777" w:rsidTr="00A1488B">
        <w:trPr>
          <w:trHeight w:val="382"/>
        </w:trPr>
        <w:tc>
          <w:tcPr>
            <w:tcW w:w="1255" w:type="pct"/>
            <w:tcBorders>
              <w:top w:val="single" w:sz="4" w:space="0" w:color="auto"/>
              <w:left w:val="single" w:sz="4" w:space="0" w:color="auto"/>
              <w:right w:val="single" w:sz="4" w:space="0" w:color="auto"/>
            </w:tcBorders>
            <w:shd w:val="clear" w:color="auto" w:fill="auto"/>
          </w:tcPr>
          <w:p w14:paraId="1E20D341" w14:textId="77777777" w:rsidR="00114681" w:rsidRPr="004E13B1" w:rsidRDefault="00114681" w:rsidP="00114681">
            <w:pPr>
              <w:pStyle w:val="Tabletext"/>
              <w:spacing w:after="0"/>
              <w:rPr>
                <w:b/>
                <w:bCs/>
              </w:rPr>
            </w:pPr>
            <w:r w:rsidRPr="004E13B1">
              <w:rPr>
                <w:b/>
                <w:bCs/>
              </w:rPr>
              <w:t>Investigations</w:t>
            </w:r>
          </w:p>
          <w:p w14:paraId="6C5539CE" w14:textId="3495853B" w:rsidR="00114681" w:rsidRDefault="00114681" w:rsidP="00114681">
            <w:pPr>
              <w:pStyle w:val="Bulletstable"/>
            </w:pPr>
            <w:r>
              <w:t>Rapid access to MRI</w:t>
            </w:r>
          </w:p>
          <w:p w14:paraId="6724F815" w14:textId="104E1AB1" w:rsidR="00114681" w:rsidRDefault="00114681" w:rsidP="00114681">
            <w:pPr>
              <w:pStyle w:val="Bulletstable"/>
              <w:numPr>
                <w:ilvl w:val="0"/>
                <w:numId w:val="0"/>
              </w:numPr>
              <w:ind w:left="284" w:hanging="284"/>
            </w:pPr>
          </w:p>
          <w:p w14:paraId="1F62C2B5" w14:textId="7AEA8904" w:rsidR="00114681" w:rsidRDefault="00114681" w:rsidP="00114681">
            <w:pPr>
              <w:pStyle w:val="Bulletstable"/>
              <w:numPr>
                <w:ilvl w:val="0"/>
                <w:numId w:val="0"/>
              </w:numPr>
              <w:ind w:left="284" w:hanging="284"/>
            </w:pPr>
          </w:p>
          <w:p w14:paraId="1297584A" w14:textId="77777777" w:rsidR="002C0C14" w:rsidRPr="004E13B1" w:rsidRDefault="002C0C14" w:rsidP="00114681">
            <w:pPr>
              <w:pStyle w:val="Bulletstable"/>
              <w:numPr>
                <w:ilvl w:val="0"/>
                <w:numId w:val="0"/>
              </w:numPr>
              <w:ind w:left="284" w:hanging="284"/>
            </w:pPr>
          </w:p>
          <w:p w14:paraId="23D0C9F7" w14:textId="1C9781D5" w:rsidR="006B080F" w:rsidRPr="00910B42" w:rsidRDefault="00114681" w:rsidP="00114681">
            <w:pPr>
              <w:pStyle w:val="Bulletstable"/>
            </w:pPr>
            <w:r>
              <w:t>Additional imaging/testing</w:t>
            </w:r>
          </w:p>
        </w:tc>
        <w:tc>
          <w:tcPr>
            <w:tcW w:w="1053" w:type="pct"/>
          </w:tcPr>
          <w:p w14:paraId="7EE50FA1" w14:textId="77777777" w:rsidR="00114681" w:rsidRDefault="00114681" w:rsidP="00114681">
            <w:pPr>
              <w:pStyle w:val="Tabletext"/>
              <w:spacing w:after="0"/>
            </w:pPr>
          </w:p>
          <w:p w14:paraId="72948117" w14:textId="4303ABDD" w:rsidR="00114681" w:rsidRDefault="00114681" w:rsidP="00114681">
            <w:pPr>
              <w:pStyle w:val="Bulletstable"/>
            </w:pPr>
            <w:r>
              <w:t>BTR, BSNR, NHSE&amp;I, P-CNS, RCN, SCMs, SCR</w:t>
            </w:r>
          </w:p>
          <w:p w14:paraId="1BE0C580" w14:textId="4629575A" w:rsidR="006B080F" w:rsidRPr="00910B42" w:rsidRDefault="00114681" w:rsidP="00114681">
            <w:pPr>
              <w:pStyle w:val="Bulletstable"/>
            </w:pPr>
            <w:r>
              <w:t>SCMs</w:t>
            </w:r>
          </w:p>
        </w:tc>
        <w:tc>
          <w:tcPr>
            <w:tcW w:w="384" w:type="pct"/>
          </w:tcPr>
          <w:p w14:paraId="50D6AC74" w14:textId="77777777" w:rsidR="006B080F" w:rsidRPr="00114681" w:rsidRDefault="006B080F" w:rsidP="00114681">
            <w:pPr>
              <w:pStyle w:val="Tabletext"/>
              <w:spacing w:after="0"/>
            </w:pPr>
          </w:p>
          <w:p w14:paraId="3B0E52C0" w14:textId="2726C7B2" w:rsidR="00114681" w:rsidRDefault="00114681" w:rsidP="00114681">
            <w:pPr>
              <w:pStyle w:val="Tabletext"/>
              <w:spacing w:after="0"/>
            </w:pPr>
            <w:r w:rsidRPr="00114681">
              <w:t>Yes</w:t>
            </w:r>
          </w:p>
          <w:p w14:paraId="15C7CE82" w14:textId="2D4A18B6" w:rsidR="00114681" w:rsidRDefault="00114681" w:rsidP="00114681">
            <w:pPr>
              <w:pStyle w:val="Tabletext"/>
              <w:spacing w:after="0"/>
            </w:pPr>
          </w:p>
          <w:p w14:paraId="0EA2BC89" w14:textId="5322CFD8" w:rsidR="00114681" w:rsidRDefault="00114681" w:rsidP="00114681">
            <w:pPr>
              <w:pStyle w:val="Tabletext"/>
              <w:spacing w:after="0"/>
            </w:pPr>
          </w:p>
          <w:p w14:paraId="798C7DD0" w14:textId="77777777" w:rsidR="002C0C14" w:rsidRDefault="002C0C14" w:rsidP="00114681">
            <w:pPr>
              <w:pStyle w:val="Tabletext"/>
              <w:spacing w:after="0"/>
            </w:pPr>
          </w:p>
          <w:p w14:paraId="19057EE4" w14:textId="0D95339A" w:rsidR="00114681" w:rsidRPr="00114681" w:rsidRDefault="00114681" w:rsidP="00114681">
            <w:pPr>
              <w:pStyle w:val="Tabletext"/>
              <w:spacing w:after="0"/>
            </w:pPr>
            <w:r>
              <w:t>Yes</w:t>
            </w:r>
          </w:p>
        </w:tc>
        <w:tc>
          <w:tcPr>
            <w:tcW w:w="587" w:type="pct"/>
          </w:tcPr>
          <w:p w14:paraId="220C594D" w14:textId="77777777" w:rsidR="006B080F" w:rsidRPr="00114681" w:rsidRDefault="006B080F" w:rsidP="00114681">
            <w:pPr>
              <w:pStyle w:val="Tabletext"/>
              <w:spacing w:after="0"/>
            </w:pPr>
          </w:p>
          <w:p w14:paraId="266DF09E" w14:textId="77777777" w:rsidR="00114681" w:rsidRDefault="00114681" w:rsidP="00114681">
            <w:pPr>
              <w:pStyle w:val="Tabletext"/>
              <w:spacing w:after="0"/>
            </w:pPr>
            <w:r w:rsidRPr="00114681">
              <w:t>Yes</w:t>
            </w:r>
          </w:p>
          <w:p w14:paraId="44C7ABCE" w14:textId="77777777" w:rsidR="00114681" w:rsidRDefault="00114681" w:rsidP="00114681">
            <w:pPr>
              <w:pStyle w:val="Tabletext"/>
              <w:spacing w:after="0"/>
            </w:pPr>
          </w:p>
          <w:p w14:paraId="76349B54" w14:textId="1DC3876E" w:rsidR="00114681" w:rsidRDefault="00114681" w:rsidP="00114681">
            <w:pPr>
              <w:pStyle w:val="Tabletext"/>
              <w:spacing w:after="0"/>
            </w:pPr>
          </w:p>
          <w:p w14:paraId="712F4BF8" w14:textId="77777777" w:rsidR="002C0C14" w:rsidRDefault="002C0C14" w:rsidP="00114681">
            <w:pPr>
              <w:pStyle w:val="Tabletext"/>
              <w:spacing w:after="0"/>
            </w:pPr>
          </w:p>
          <w:p w14:paraId="02E1BDEF" w14:textId="361816A4" w:rsidR="00114681" w:rsidRPr="00BA6B0E" w:rsidRDefault="00114681" w:rsidP="00114681">
            <w:pPr>
              <w:pStyle w:val="Tabletext"/>
              <w:spacing w:after="0"/>
              <w:rPr>
                <w:highlight w:val="lightGray"/>
              </w:rPr>
            </w:pPr>
            <w:r>
              <w:t>Yes</w:t>
            </w:r>
          </w:p>
        </w:tc>
        <w:tc>
          <w:tcPr>
            <w:tcW w:w="553" w:type="pct"/>
          </w:tcPr>
          <w:p w14:paraId="1B8DA3A5" w14:textId="77777777" w:rsidR="006B080F" w:rsidRDefault="006B080F" w:rsidP="00E75C79">
            <w:pPr>
              <w:pStyle w:val="Tabletext"/>
              <w:spacing w:after="0"/>
            </w:pPr>
          </w:p>
          <w:p w14:paraId="2E0BF9A7" w14:textId="77777777" w:rsidR="00E75C79" w:rsidRDefault="00E75C79" w:rsidP="00E75C79">
            <w:pPr>
              <w:pStyle w:val="Tabletext"/>
              <w:spacing w:after="0"/>
            </w:pPr>
            <w:r>
              <w:t>Yes</w:t>
            </w:r>
          </w:p>
          <w:p w14:paraId="5BF0F2D0" w14:textId="77777777" w:rsidR="00E75C79" w:rsidRDefault="00E75C79" w:rsidP="00E75C79">
            <w:pPr>
              <w:pStyle w:val="Tabletext"/>
              <w:spacing w:after="0"/>
            </w:pPr>
          </w:p>
          <w:p w14:paraId="24178F70" w14:textId="3E824E19" w:rsidR="00E75C79" w:rsidRDefault="00E75C79" w:rsidP="00E75C79">
            <w:pPr>
              <w:pStyle w:val="Tabletext"/>
              <w:spacing w:after="0"/>
            </w:pPr>
          </w:p>
          <w:p w14:paraId="27FAE93A" w14:textId="77777777" w:rsidR="002C0C14" w:rsidRDefault="002C0C14" w:rsidP="00E75C79">
            <w:pPr>
              <w:pStyle w:val="Tabletext"/>
              <w:spacing w:after="0"/>
            </w:pPr>
          </w:p>
          <w:p w14:paraId="294029C8" w14:textId="08377C13" w:rsidR="00E75C79" w:rsidRPr="00E75C79" w:rsidRDefault="00E75C79" w:rsidP="00E75C79">
            <w:pPr>
              <w:pStyle w:val="Tabletext"/>
              <w:spacing w:after="0"/>
            </w:pPr>
            <w:r>
              <w:t>Yes</w:t>
            </w:r>
          </w:p>
        </w:tc>
        <w:tc>
          <w:tcPr>
            <w:tcW w:w="608" w:type="pct"/>
          </w:tcPr>
          <w:p w14:paraId="4A7E8CEC" w14:textId="77777777" w:rsidR="006B080F" w:rsidRDefault="006B080F" w:rsidP="00E75C79">
            <w:pPr>
              <w:pStyle w:val="Tabletext"/>
              <w:spacing w:after="0"/>
            </w:pPr>
          </w:p>
          <w:p w14:paraId="1539FDFC" w14:textId="77777777" w:rsidR="00E75C79" w:rsidRDefault="00E75C79" w:rsidP="00E75C79">
            <w:pPr>
              <w:pStyle w:val="Tabletext"/>
              <w:spacing w:after="0"/>
            </w:pPr>
            <w:r>
              <w:t>Yes</w:t>
            </w:r>
          </w:p>
          <w:p w14:paraId="3A0C98F1" w14:textId="77777777" w:rsidR="00E75C79" w:rsidRDefault="00E75C79" w:rsidP="00E75C79">
            <w:pPr>
              <w:pStyle w:val="Tabletext"/>
              <w:spacing w:after="0"/>
            </w:pPr>
          </w:p>
          <w:p w14:paraId="0A7C8C0E" w14:textId="5FD22F3C" w:rsidR="00E75C79" w:rsidRDefault="00E75C79" w:rsidP="00E75C79">
            <w:pPr>
              <w:pStyle w:val="Tabletext"/>
              <w:spacing w:after="0"/>
            </w:pPr>
          </w:p>
          <w:p w14:paraId="1D6AF07C" w14:textId="77777777" w:rsidR="002C0C14" w:rsidRDefault="002C0C14" w:rsidP="00E75C79">
            <w:pPr>
              <w:pStyle w:val="Tabletext"/>
              <w:spacing w:after="0"/>
            </w:pPr>
          </w:p>
          <w:p w14:paraId="1D8F9ABA" w14:textId="428F0967" w:rsidR="00E75C79" w:rsidRPr="00E75C79" w:rsidRDefault="00E75C79" w:rsidP="00E75C79">
            <w:pPr>
              <w:pStyle w:val="Tabletext"/>
              <w:spacing w:after="0"/>
            </w:pPr>
            <w:r>
              <w:t>No</w:t>
            </w:r>
          </w:p>
        </w:tc>
        <w:tc>
          <w:tcPr>
            <w:tcW w:w="560" w:type="pct"/>
          </w:tcPr>
          <w:p w14:paraId="5CA28208" w14:textId="77777777" w:rsidR="006B080F" w:rsidRDefault="006B080F" w:rsidP="00E75C79">
            <w:pPr>
              <w:pStyle w:val="Tabletext"/>
              <w:spacing w:after="0"/>
              <w:rPr>
                <w:b/>
                <w:bCs/>
              </w:rPr>
            </w:pPr>
          </w:p>
          <w:p w14:paraId="67F1CE33" w14:textId="77777777" w:rsidR="00E75C79" w:rsidRDefault="00E75C79" w:rsidP="00E75C79">
            <w:pPr>
              <w:pStyle w:val="Tabletext"/>
              <w:spacing w:after="0"/>
              <w:rPr>
                <w:b/>
                <w:bCs/>
              </w:rPr>
            </w:pPr>
            <w:r>
              <w:rPr>
                <w:b/>
                <w:bCs/>
              </w:rPr>
              <w:t>Yes</w:t>
            </w:r>
          </w:p>
          <w:p w14:paraId="533988E7" w14:textId="77777777" w:rsidR="00E75C79" w:rsidRDefault="00E75C79" w:rsidP="00E75C79">
            <w:pPr>
              <w:pStyle w:val="Tabletext"/>
              <w:spacing w:after="0"/>
              <w:rPr>
                <w:b/>
                <w:bCs/>
              </w:rPr>
            </w:pPr>
          </w:p>
          <w:p w14:paraId="508EE82F" w14:textId="2A9876CD" w:rsidR="00E75C79" w:rsidRDefault="00E75C79" w:rsidP="00E75C79">
            <w:pPr>
              <w:pStyle w:val="Tabletext"/>
              <w:spacing w:after="0"/>
              <w:rPr>
                <w:b/>
                <w:bCs/>
              </w:rPr>
            </w:pPr>
          </w:p>
          <w:p w14:paraId="36126154" w14:textId="77777777" w:rsidR="002C0C14" w:rsidRDefault="002C0C14" w:rsidP="00E75C79">
            <w:pPr>
              <w:pStyle w:val="Tabletext"/>
              <w:spacing w:after="0"/>
              <w:rPr>
                <w:b/>
                <w:bCs/>
              </w:rPr>
            </w:pPr>
          </w:p>
          <w:p w14:paraId="292F9D79" w14:textId="7BA04F20" w:rsidR="00E75C79" w:rsidRPr="00E75C79" w:rsidRDefault="00E75C79" w:rsidP="00E75C79">
            <w:pPr>
              <w:pStyle w:val="Tabletext"/>
              <w:spacing w:after="0"/>
              <w:rPr>
                <w:b/>
                <w:bCs/>
              </w:rPr>
            </w:pPr>
            <w:r>
              <w:rPr>
                <w:b/>
                <w:bCs/>
              </w:rPr>
              <w:t>Yes</w:t>
            </w:r>
          </w:p>
        </w:tc>
      </w:tr>
      <w:tr w:rsidR="002C0C14" w:rsidRPr="00910B42" w14:paraId="57BBCE98" w14:textId="77777777" w:rsidTr="00A1488B">
        <w:trPr>
          <w:trHeight w:val="382"/>
        </w:trPr>
        <w:tc>
          <w:tcPr>
            <w:tcW w:w="1255" w:type="pct"/>
            <w:tcBorders>
              <w:top w:val="single" w:sz="4" w:space="0" w:color="auto"/>
              <w:left w:val="single" w:sz="4" w:space="0" w:color="auto"/>
              <w:right w:val="single" w:sz="4" w:space="0" w:color="auto"/>
            </w:tcBorders>
            <w:shd w:val="clear" w:color="auto" w:fill="auto"/>
          </w:tcPr>
          <w:p w14:paraId="2178A672" w14:textId="77777777" w:rsidR="000E1776" w:rsidRPr="00B61015" w:rsidRDefault="000E1776" w:rsidP="002C0C14">
            <w:pPr>
              <w:pStyle w:val="Bulletstable"/>
              <w:numPr>
                <w:ilvl w:val="0"/>
                <w:numId w:val="0"/>
              </w:numPr>
              <w:ind w:left="284" w:hanging="284"/>
              <w:rPr>
                <w:b/>
                <w:bCs/>
              </w:rPr>
            </w:pPr>
            <w:r w:rsidRPr="00B61015">
              <w:rPr>
                <w:b/>
                <w:bCs/>
              </w:rPr>
              <w:t>Management/Treatment</w:t>
            </w:r>
          </w:p>
          <w:p w14:paraId="2C962D4C" w14:textId="7F93943A" w:rsidR="000E1776" w:rsidRDefault="000E1776" w:rsidP="002C0C14">
            <w:pPr>
              <w:pStyle w:val="Bulletstable"/>
            </w:pPr>
            <w:r>
              <w:t>Multidisciplinary team</w:t>
            </w:r>
          </w:p>
          <w:p w14:paraId="5BAA66CF" w14:textId="6DBD9B47" w:rsidR="008A6F61" w:rsidRDefault="008A6F61" w:rsidP="002C0C14">
            <w:pPr>
              <w:pStyle w:val="Bulletstable"/>
              <w:numPr>
                <w:ilvl w:val="0"/>
                <w:numId w:val="0"/>
              </w:numPr>
              <w:ind w:left="284"/>
            </w:pPr>
          </w:p>
          <w:p w14:paraId="1DFADADF" w14:textId="3BAB5C07" w:rsidR="002C0C14" w:rsidRDefault="002C0C14" w:rsidP="002C0C14">
            <w:pPr>
              <w:pStyle w:val="Bulletstable"/>
              <w:numPr>
                <w:ilvl w:val="0"/>
                <w:numId w:val="0"/>
              </w:numPr>
              <w:ind w:left="284"/>
            </w:pPr>
          </w:p>
          <w:p w14:paraId="37F6492B" w14:textId="77777777" w:rsidR="002C0C14" w:rsidRDefault="002C0C14" w:rsidP="002C0C14">
            <w:pPr>
              <w:pStyle w:val="Bulletstable"/>
              <w:numPr>
                <w:ilvl w:val="0"/>
                <w:numId w:val="0"/>
              </w:numPr>
              <w:ind w:left="284"/>
            </w:pPr>
          </w:p>
          <w:p w14:paraId="18547F56" w14:textId="77777777" w:rsidR="000E1776" w:rsidRDefault="000E1776" w:rsidP="002C0C14">
            <w:pPr>
              <w:pStyle w:val="Bulletstable"/>
            </w:pPr>
            <w:r w:rsidRPr="00C747EA">
              <w:t>Treatment pathway</w:t>
            </w:r>
          </w:p>
          <w:p w14:paraId="7CA5C358" w14:textId="7E61BB2D" w:rsidR="000E1776" w:rsidRDefault="000E1776" w:rsidP="002C0C14">
            <w:pPr>
              <w:pStyle w:val="Bulletstable"/>
            </w:pPr>
            <w:r>
              <w:t>Maximal safe surgical resection</w:t>
            </w:r>
          </w:p>
          <w:p w14:paraId="0656B545" w14:textId="77777777" w:rsidR="002C0C14" w:rsidRDefault="002C0C14" w:rsidP="002C0C14">
            <w:pPr>
              <w:pStyle w:val="Bulletstable"/>
              <w:numPr>
                <w:ilvl w:val="0"/>
                <w:numId w:val="0"/>
              </w:numPr>
              <w:ind w:left="284"/>
            </w:pPr>
          </w:p>
          <w:p w14:paraId="2EFCB7A7" w14:textId="7E43F8E5" w:rsidR="006B080F" w:rsidRPr="00910B42" w:rsidRDefault="000E1776" w:rsidP="002C0C14">
            <w:pPr>
              <w:pStyle w:val="Bulletstable"/>
            </w:pPr>
            <w:r w:rsidRPr="00AA0555">
              <w:t xml:space="preserve">Stereotactic radiosurgery for </w:t>
            </w:r>
            <w:r>
              <w:t xml:space="preserve">multiple </w:t>
            </w:r>
            <w:r w:rsidRPr="00AA0555">
              <w:t>brain metastases</w:t>
            </w:r>
          </w:p>
        </w:tc>
        <w:tc>
          <w:tcPr>
            <w:tcW w:w="1053" w:type="pct"/>
          </w:tcPr>
          <w:p w14:paraId="1A6EE647" w14:textId="77777777" w:rsidR="008A6F61" w:rsidRDefault="008A6F61" w:rsidP="002C0C14">
            <w:pPr>
              <w:pStyle w:val="Tabletext"/>
              <w:spacing w:after="0"/>
            </w:pPr>
          </w:p>
          <w:p w14:paraId="70272CE5" w14:textId="5E8B209C" w:rsidR="008A6F61" w:rsidRDefault="008A6F61" w:rsidP="002C0C14">
            <w:pPr>
              <w:pStyle w:val="Bulletstable"/>
            </w:pPr>
            <w:r>
              <w:t>BTC, NCRI-ACP-RCP, NHSE&amp;I, SANON</w:t>
            </w:r>
          </w:p>
          <w:p w14:paraId="29F23BB6" w14:textId="77777777" w:rsidR="008A6F61" w:rsidRDefault="008A6F61" w:rsidP="002C0C14">
            <w:pPr>
              <w:pStyle w:val="Bulletstable"/>
            </w:pPr>
            <w:r w:rsidRPr="00C747EA">
              <w:t>SCM, SBNS</w:t>
            </w:r>
          </w:p>
          <w:p w14:paraId="4CE98BF5" w14:textId="77777777" w:rsidR="008A6F61" w:rsidRDefault="008A6F61" w:rsidP="002C0C14">
            <w:pPr>
              <w:pStyle w:val="Bulletstable"/>
            </w:pPr>
            <w:r>
              <w:t>SCM, SANON, SBNS</w:t>
            </w:r>
          </w:p>
          <w:p w14:paraId="301E56F0" w14:textId="36AB23DA" w:rsidR="006B080F" w:rsidRPr="00910B42" w:rsidRDefault="008A6F61" w:rsidP="002C0C14">
            <w:pPr>
              <w:pStyle w:val="Bulletstable"/>
            </w:pPr>
            <w:r>
              <w:t>SCM</w:t>
            </w:r>
          </w:p>
        </w:tc>
        <w:tc>
          <w:tcPr>
            <w:tcW w:w="384" w:type="pct"/>
          </w:tcPr>
          <w:p w14:paraId="37F9A74A" w14:textId="77777777" w:rsidR="006B080F" w:rsidRDefault="006B080F" w:rsidP="002C0C14">
            <w:pPr>
              <w:pStyle w:val="Tabletext"/>
              <w:spacing w:after="0"/>
            </w:pPr>
          </w:p>
          <w:p w14:paraId="5C072C9A" w14:textId="77777777" w:rsidR="008A6F61" w:rsidRDefault="008A6F61" w:rsidP="002C0C14">
            <w:pPr>
              <w:pStyle w:val="Tabletext"/>
              <w:spacing w:after="0"/>
            </w:pPr>
            <w:r>
              <w:t>Yes</w:t>
            </w:r>
          </w:p>
          <w:p w14:paraId="3177682B" w14:textId="4774DEB9" w:rsidR="008A6F61" w:rsidRDefault="008A6F61" w:rsidP="002C0C14">
            <w:pPr>
              <w:pStyle w:val="Tabletext"/>
              <w:spacing w:after="0"/>
            </w:pPr>
          </w:p>
          <w:p w14:paraId="6991440F" w14:textId="04ECE006" w:rsidR="002C0C14" w:rsidRDefault="002C0C14" w:rsidP="002C0C14">
            <w:pPr>
              <w:pStyle w:val="Tabletext"/>
              <w:spacing w:after="0"/>
            </w:pPr>
          </w:p>
          <w:p w14:paraId="0E5B013A" w14:textId="77777777" w:rsidR="002C0C14" w:rsidRDefault="002C0C14" w:rsidP="002C0C14">
            <w:pPr>
              <w:pStyle w:val="Tabletext"/>
              <w:spacing w:after="0"/>
            </w:pPr>
          </w:p>
          <w:p w14:paraId="58955B70" w14:textId="77777777" w:rsidR="008A6F61" w:rsidRDefault="008A6F61" w:rsidP="002C0C14">
            <w:pPr>
              <w:pStyle w:val="Tabletext"/>
              <w:spacing w:after="0"/>
            </w:pPr>
            <w:r>
              <w:t>Yes</w:t>
            </w:r>
          </w:p>
          <w:p w14:paraId="30C73306" w14:textId="544AC6A4" w:rsidR="008A6F61" w:rsidRDefault="008A6F61" w:rsidP="002C0C14">
            <w:pPr>
              <w:pStyle w:val="Tabletext"/>
              <w:spacing w:after="0"/>
            </w:pPr>
            <w:r>
              <w:t>Yes</w:t>
            </w:r>
          </w:p>
          <w:p w14:paraId="53B360BC" w14:textId="2393005D" w:rsidR="002C0C14" w:rsidRDefault="002C0C14" w:rsidP="002C0C14">
            <w:pPr>
              <w:pStyle w:val="Tabletext"/>
              <w:spacing w:after="0"/>
            </w:pPr>
          </w:p>
          <w:p w14:paraId="5981B11F" w14:textId="5F74DB16" w:rsidR="002C0C14" w:rsidRDefault="002C0C14" w:rsidP="002C0C14">
            <w:pPr>
              <w:pStyle w:val="Tabletext"/>
              <w:spacing w:after="0"/>
            </w:pPr>
          </w:p>
          <w:p w14:paraId="16FA03CA" w14:textId="77700589" w:rsidR="008A6F61" w:rsidRPr="00910B42" w:rsidRDefault="008A6F61" w:rsidP="002C0C14">
            <w:pPr>
              <w:pStyle w:val="Tabletext"/>
              <w:spacing w:after="0"/>
            </w:pPr>
            <w:r>
              <w:t>Yes</w:t>
            </w:r>
          </w:p>
        </w:tc>
        <w:tc>
          <w:tcPr>
            <w:tcW w:w="587" w:type="pct"/>
          </w:tcPr>
          <w:p w14:paraId="22B3A0CD" w14:textId="77777777" w:rsidR="006B080F" w:rsidRDefault="006B080F" w:rsidP="002C0C14">
            <w:pPr>
              <w:pStyle w:val="Tabletext"/>
              <w:spacing w:after="0"/>
            </w:pPr>
          </w:p>
          <w:p w14:paraId="0C9C2B37" w14:textId="77777777" w:rsidR="008A6F61" w:rsidRDefault="008A6F61" w:rsidP="002C0C14">
            <w:pPr>
              <w:pStyle w:val="Tabletext"/>
              <w:spacing w:after="0"/>
            </w:pPr>
            <w:r>
              <w:t>Yes</w:t>
            </w:r>
          </w:p>
          <w:p w14:paraId="57328F46" w14:textId="0F3B92A4" w:rsidR="008A6F61" w:rsidRDefault="008A6F61" w:rsidP="002C0C14">
            <w:pPr>
              <w:pStyle w:val="Tabletext"/>
              <w:spacing w:after="0"/>
            </w:pPr>
          </w:p>
          <w:p w14:paraId="7B756103" w14:textId="1BD65BF0" w:rsidR="002C0C14" w:rsidRDefault="002C0C14" w:rsidP="002C0C14">
            <w:pPr>
              <w:pStyle w:val="Tabletext"/>
              <w:spacing w:after="0"/>
            </w:pPr>
          </w:p>
          <w:p w14:paraId="0991B89E" w14:textId="77777777" w:rsidR="002C0C14" w:rsidRDefault="002C0C14" w:rsidP="002C0C14">
            <w:pPr>
              <w:pStyle w:val="Tabletext"/>
              <w:spacing w:after="0"/>
            </w:pPr>
          </w:p>
          <w:p w14:paraId="6BDDF9DC" w14:textId="77777777" w:rsidR="008A6F61" w:rsidRDefault="008A6F61" w:rsidP="002C0C14">
            <w:pPr>
              <w:pStyle w:val="Tabletext"/>
              <w:spacing w:after="0"/>
            </w:pPr>
            <w:r>
              <w:t>No</w:t>
            </w:r>
          </w:p>
          <w:p w14:paraId="7D11AACE" w14:textId="3664423E" w:rsidR="008A6F61" w:rsidRDefault="008A6F61" w:rsidP="002C0C14">
            <w:pPr>
              <w:pStyle w:val="Tabletext"/>
              <w:spacing w:after="0"/>
            </w:pPr>
            <w:r>
              <w:t>Yes</w:t>
            </w:r>
          </w:p>
          <w:p w14:paraId="3F4E0AE2" w14:textId="30044915" w:rsidR="002C0C14" w:rsidRDefault="002C0C14" w:rsidP="002C0C14">
            <w:pPr>
              <w:pStyle w:val="Tabletext"/>
              <w:spacing w:after="0"/>
            </w:pPr>
          </w:p>
          <w:p w14:paraId="2F748153" w14:textId="77777777" w:rsidR="002C0C14" w:rsidRDefault="002C0C14" w:rsidP="002C0C14">
            <w:pPr>
              <w:pStyle w:val="Tabletext"/>
              <w:spacing w:after="0"/>
            </w:pPr>
          </w:p>
          <w:p w14:paraId="1070249E" w14:textId="307BC1E1" w:rsidR="008A6F61" w:rsidRPr="00910B42" w:rsidRDefault="008A6F61" w:rsidP="002C0C14">
            <w:pPr>
              <w:pStyle w:val="Tabletext"/>
              <w:spacing w:after="0"/>
            </w:pPr>
            <w:r>
              <w:t>Yes (consider)</w:t>
            </w:r>
          </w:p>
        </w:tc>
        <w:tc>
          <w:tcPr>
            <w:tcW w:w="553" w:type="pct"/>
          </w:tcPr>
          <w:p w14:paraId="4BE30CB4" w14:textId="77777777" w:rsidR="006B080F" w:rsidRDefault="006B080F" w:rsidP="002C0C14">
            <w:pPr>
              <w:pStyle w:val="Tabletext"/>
              <w:spacing w:after="0"/>
            </w:pPr>
          </w:p>
          <w:p w14:paraId="309BAF0F" w14:textId="77777777" w:rsidR="008A6F61" w:rsidRDefault="008A6F61" w:rsidP="002C0C14">
            <w:pPr>
              <w:pStyle w:val="Tabletext"/>
              <w:spacing w:after="0"/>
            </w:pPr>
            <w:r>
              <w:t>Yes</w:t>
            </w:r>
          </w:p>
          <w:p w14:paraId="57B99010" w14:textId="239206B3" w:rsidR="008A6F61" w:rsidRDefault="008A6F61" w:rsidP="002C0C14">
            <w:pPr>
              <w:pStyle w:val="Tabletext"/>
              <w:spacing w:after="0"/>
            </w:pPr>
          </w:p>
          <w:p w14:paraId="3417C7B0" w14:textId="0F54696E" w:rsidR="002C0C14" w:rsidRDefault="002C0C14" w:rsidP="002C0C14">
            <w:pPr>
              <w:pStyle w:val="Tabletext"/>
              <w:spacing w:after="0"/>
            </w:pPr>
          </w:p>
          <w:p w14:paraId="345D672B" w14:textId="77777777" w:rsidR="002C0C14" w:rsidRDefault="002C0C14" w:rsidP="002C0C14">
            <w:pPr>
              <w:pStyle w:val="Tabletext"/>
              <w:spacing w:after="0"/>
            </w:pPr>
          </w:p>
          <w:p w14:paraId="6DDA2DBA" w14:textId="77777777" w:rsidR="008A6F61" w:rsidRDefault="008A6F61" w:rsidP="002C0C14">
            <w:pPr>
              <w:pStyle w:val="Tabletext"/>
              <w:spacing w:after="0"/>
            </w:pPr>
            <w:r>
              <w:t>Yes</w:t>
            </w:r>
          </w:p>
          <w:p w14:paraId="12AD4068" w14:textId="7E4BBE06" w:rsidR="008A6F61" w:rsidRDefault="008A6F61" w:rsidP="002C0C14">
            <w:pPr>
              <w:pStyle w:val="Tabletext"/>
              <w:spacing w:after="0"/>
            </w:pPr>
            <w:r>
              <w:t>Yes</w:t>
            </w:r>
          </w:p>
          <w:p w14:paraId="3AC5F17A" w14:textId="56CDB48E" w:rsidR="002C0C14" w:rsidRDefault="002C0C14" w:rsidP="002C0C14">
            <w:pPr>
              <w:pStyle w:val="Tabletext"/>
              <w:spacing w:after="0"/>
            </w:pPr>
          </w:p>
          <w:p w14:paraId="2C948042" w14:textId="77777777" w:rsidR="002C0C14" w:rsidRDefault="002C0C14" w:rsidP="002C0C14">
            <w:pPr>
              <w:pStyle w:val="Tabletext"/>
              <w:spacing w:after="0"/>
            </w:pPr>
          </w:p>
          <w:p w14:paraId="393978C5" w14:textId="7008D5C1" w:rsidR="008A6F61" w:rsidRPr="00910B42" w:rsidRDefault="008A6F61" w:rsidP="002C0C14">
            <w:pPr>
              <w:pStyle w:val="Tabletext"/>
              <w:spacing w:after="0"/>
            </w:pPr>
            <w:r>
              <w:t>Yes</w:t>
            </w:r>
          </w:p>
        </w:tc>
        <w:tc>
          <w:tcPr>
            <w:tcW w:w="608" w:type="pct"/>
          </w:tcPr>
          <w:p w14:paraId="17BA4320" w14:textId="77777777" w:rsidR="006B080F" w:rsidRDefault="006B080F" w:rsidP="002C0C14">
            <w:pPr>
              <w:pStyle w:val="Tabletext"/>
              <w:spacing w:after="0"/>
            </w:pPr>
          </w:p>
          <w:p w14:paraId="799C8584" w14:textId="77777777" w:rsidR="008A6F61" w:rsidRDefault="008A6F61" w:rsidP="002C0C14">
            <w:pPr>
              <w:pStyle w:val="Tabletext"/>
              <w:spacing w:after="0"/>
            </w:pPr>
            <w:r>
              <w:t>No</w:t>
            </w:r>
          </w:p>
          <w:p w14:paraId="173CD6AA" w14:textId="58092131" w:rsidR="008A6F61" w:rsidRDefault="008A6F61" w:rsidP="002C0C14">
            <w:pPr>
              <w:pStyle w:val="Tabletext"/>
              <w:spacing w:after="0"/>
            </w:pPr>
          </w:p>
          <w:p w14:paraId="714B3DFF" w14:textId="6E9660BC" w:rsidR="002C0C14" w:rsidRDefault="002C0C14" w:rsidP="002C0C14">
            <w:pPr>
              <w:pStyle w:val="Tabletext"/>
              <w:spacing w:after="0"/>
            </w:pPr>
          </w:p>
          <w:p w14:paraId="1A0A0B4E" w14:textId="77777777" w:rsidR="002C0C14" w:rsidRDefault="002C0C14" w:rsidP="002C0C14">
            <w:pPr>
              <w:pStyle w:val="Tabletext"/>
              <w:spacing w:after="0"/>
            </w:pPr>
          </w:p>
          <w:p w14:paraId="60C86511" w14:textId="77777777" w:rsidR="008A6F61" w:rsidRDefault="008A6F61" w:rsidP="002C0C14">
            <w:pPr>
              <w:pStyle w:val="Tabletext"/>
              <w:spacing w:after="0"/>
            </w:pPr>
            <w:r>
              <w:t>No</w:t>
            </w:r>
          </w:p>
          <w:p w14:paraId="256A1CE8" w14:textId="0E605E52" w:rsidR="008A6F61" w:rsidRDefault="008A6F61" w:rsidP="002C0C14">
            <w:pPr>
              <w:pStyle w:val="Tabletext"/>
              <w:spacing w:after="0"/>
            </w:pPr>
            <w:r>
              <w:t>No</w:t>
            </w:r>
          </w:p>
          <w:p w14:paraId="220F1EFF" w14:textId="3924E0BF" w:rsidR="002C0C14" w:rsidRDefault="002C0C14" w:rsidP="002C0C14">
            <w:pPr>
              <w:pStyle w:val="Tabletext"/>
              <w:spacing w:after="0"/>
            </w:pPr>
          </w:p>
          <w:p w14:paraId="56CEDD7F" w14:textId="77777777" w:rsidR="002C0C14" w:rsidRDefault="002C0C14" w:rsidP="002C0C14">
            <w:pPr>
              <w:pStyle w:val="Tabletext"/>
              <w:spacing w:after="0"/>
            </w:pPr>
          </w:p>
          <w:p w14:paraId="6CDB0052" w14:textId="2286D5B8" w:rsidR="008A6F61" w:rsidRPr="00910B42" w:rsidRDefault="008A6F61" w:rsidP="002C0C14">
            <w:pPr>
              <w:pStyle w:val="Tabletext"/>
              <w:spacing w:after="0"/>
            </w:pPr>
            <w:r>
              <w:t>No</w:t>
            </w:r>
          </w:p>
        </w:tc>
        <w:tc>
          <w:tcPr>
            <w:tcW w:w="560" w:type="pct"/>
          </w:tcPr>
          <w:p w14:paraId="07FA26E9" w14:textId="77777777" w:rsidR="006B080F" w:rsidRDefault="006B080F" w:rsidP="002C0C14">
            <w:pPr>
              <w:pStyle w:val="Tabletext"/>
              <w:spacing w:after="0"/>
              <w:rPr>
                <w:b/>
                <w:bCs/>
              </w:rPr>
            </w:pPr>
          </w:p>
          <w:p w14:paraId="2D1024F1" w14:textId="77777777" w:rsidR="008A6F61" w:rsidRDefault="008A6F61" w:rsidP="002C0C14">
            <w:pPr>
              <w:pStyle w:val="Tabletext"/>
              <w:spacing w:after="0"/>
              <w:rPr>
                <w:b/>
                <w:bCs/>
              </w:rPr>
            </w:pPr>
            <w:r>
              <w:rPr>
                <w:b/>
                <w:bCs/>
              </w:rPr>
              <w:t>Yes</w:t>
            </w:r>
          </w:p>
          <w:p w14:paraId="680F35AA" w14:textId="5914305F" w:rsidR="008A6F61" w:rsidRDefault="008A6F61" w:rsidP="002C0C14">
            <w:pPr>
              <w:pStyle w:val="Tabletext"/>
              <w:spacing w:after="0"/>
              <w:rPr>
                <w:b/>
                <w:bCs/>
              </w:rPr>
            </w:pPr>
          </w:p>
          <w:p w14:paraId="7690812D" w14:textId="20B8A54B" w:rsidR="002C0C14" w:rsidRDefault="002C0C14" w:rsidP="002C0C14">
            <w:pPr>
              <w:pStyle w:val="Tabletext"/>
              <w:spacing w:after="0"/>
              <w:rPr>
                <w:b/>
                <w:bCs/>
              </w:rPr>
            </w:pPr>
          </w:p>
          <w:p w14:paraId="66A9F128" w14:textId="77777777" w:rsidR="002C0C14" w:rsidRDefault="002C0C14" w:rsidP="002C0C14">
            <w:pPr>
              <w:pStyle w:val="Tabletext"/>
              <w:spacing w:after="0"/>
              <w:rPr>
                <w:b/>
                <w:bCs/>
              </w:rPr>
            </w:pPr>
          </w:p>
          <w:p w14:paraId="4E666DDA" w14:textId="77777777" w:rsidR="008A6F61" w:rsidRDefault="008A6F61" w:rsidP="002C0C14">
            <w:pPr>
              <w:pStyle w:val="Tabletext"/>
              <w:spacing w:after="0"/>
              <w:rPr>
                <w:b/>
                <w:bCs/>
              </w:rPr>
            </w:pPr>
            <w:r>
              <w:rPr>
                <w:b/>
                <w:bCs/>
              </w:rPr>
              <w:t>No</w:t>
            </w:r>
          </w:p>
          <w:p w14:paraId="573D9771" w14:textId="20956D3D" w:rsidR="008A6F61" w:rsidRDefault="008A6F61" w:rsidP="002C0C14">
            <w:pPr>
              <w:pStyle w:val="Tabletext"/>
              <w:spacing w:after="0"/>
              <w:rPr>
                <w:b/>
                <w:bCs/>
              </w:rPr>
            </w:pPr>
            <w:r>
              <w:rPr>
                <w:b/>
                <w:bCs/>
              </w:rPr>
              <w:t>Yes</w:t>
            </w:r>
          </w:p>
          <w:p w14:paraId="1F8C919B" w14:textId="6EBAB5FB" w:rsidR="002C0C14" w:rsidRDefault="002C0C14" w:rsidP="002C0C14">
            <w:pPr>
              <w:pStyle w:val="Tabletext"/>
              <w:spacing w:after="0"/>
              <w:rPr>
                <w:b/>
                <w:bCs/>
              </w:rPr>
            </w:pPr>
          </w:p>
          <w:p w14:paraId="0BE453C0" w14:textId="77777777" w:rsidR="002C0C14" w:rsidRDefault="002C0C14" w:rsidP="002C0C14">
            <w:pPr>
              <w:pStyle w:val="Tabletext"/>
              <w:spacing w:after="0"/>
              <w:rPr>
                <w:b/>
                <w:bCs/>
              </w:rPr>
            </w:pPr>
          </w:p>
          <w:p w14:paraId="28A83311" w14:textId="58918346" w:rsidR="008A6F61" w:rsidRPr="00910B42" w:rsidRDefault="00B53D24" w:rsidP="002C0C14">
            <w:pPr>
              <w:pStyle w:val="Tabletext"/>
              <w:spacing w:after="0"/>
              <w:rPr>
                <w:b/>
                <w:bCs/>
              </w:rPr>
            </w:pPr>
            <w:r>
              <w:rPr>
                <w:b/>
                <w:bCs/>
              </w:rPr>
              <w:t>No</w:t>
            </w:r>
          </w:p>
        </w:tc>
      </w:tr>
      <w:tr w:rsidR="00E764BD" w:rsidRPr="00910B42" w14:paraId="778770C2" w14:textId="77777777" w:rsidTr="00A1488B">
        <w:trPr>
          <w:trHeight w:val="382"/>
        </w:trPr>
        <w:tc>
          <w:tcPr>
            <w:tcW w:w="1255" w:type="pct"/>
            <w:tcBorders>
              <w:top w:val="single" w:sz="4" w:space="0" w:color="auto"/>
              <w:left w:val="single" w:sz="4" w:space="0" w:color="auto"/>
              <w:bottom w:val="single" w:sz="4" w:space="0" w:color="auto"/>
              <w:right w:val="single" w:sz="4" w:space="0" w:color="auto"/>
            </w:tcBorders>
            <w:shd w:val="clear" w:color="auto" w:fill="auto"/>
          </w:tcPr>
          <w:p w14:paraId="04A1F952" w14:textId="77777777" w:rsidR="003726AE" w:rsidRPr="00F917FB" w:rsidRDefault="003726AE" w:rsidP="008E2ABD">
            <w:pPr>
              <w:pStyle w:val="Bulletstable"/>
              <w:numPr>
                <w:ilvl w:val="0"/>
                <w:numId w:val="0"/>
              </w:numPr>
              <w:ind w:left="284" w:hanging="284"/>
              <w:rPr>
                <w:b/>
                <w:bCs/>
              </w:rPr>
            </w:pPr>
            <w:r w:rsidRPr="00F917FB">
              <w:rPr>
                <w:b/>
                <w:bCs/>
              </w:rPr>
              <w:t>Follow-up</w:t>
            </w:r>
          </w:p>
          <w:p w14:paraId="54E663A7" w14:textId="7503F035" w:rsidR="003726AE" w:rsidRDefault="003726AE" w:rsidP="008E2ABD">
            <w:pPr>
              <w:pStyle w:val="Bulletstable"/>
            </w:pPr>
            <w:r>
              <w:t xml:space="preserve">Imaging </w:t>
            </w:r>
          </w:p>
          <w:p w14:paraId="33232833" w14:textId="77777777" w:rsidR="002C0C14" w:rsidRDefault="002C0C14" w:rsidP="002C0C14">
            <w:pPr>
              <w:pStyle w:val="Bulletstable"/>
              <w:numPr>
                <w:ilvl w:val="0"/>
                <w:numId w:val="0"/>
              </w:numPr>
              <w:ind w:left="284"/>
            </w:pPr>
          </w:p>
          <w:p w14:paraId="5AF178A1" w14:textId="2589E598" w:rsidR="006B080F" w:rsidRPr="00910B42" w:rsidRDefault="003726AE" w:rsidP="008E2ABD">
            <w:pPr>
              <w:pStyle w:val="Bulletstable"/>
            </w:pPr>
            <w:r>
              <w:t>Advanced imaging</w:t>
            </w:r>
          </w:p>
        </w:tc>
        <w:tc>
          <w:tcPr>
            <w:tcW w:w="1053" w:type="pct"/>
          </w:tcPr>
          <w:p w14:paraId="0207344D" w14:textId="77777777" w:rsidR="003726AE" w:rsidRDefault="003726AE" w:rsidP="008E2ABD">
            <w:pPr>
              <w:pStyle w:val="Tabletext"/>
              <w:spacing w:after="0"/>
              <w:rPr>
                <w:szCs w:val="22"/>
              </w:rPr>
            </w:pPr>
          </w:p>
          <w:p w14:paraId="2F3D4BC8" w14:textId="4D10367D" w:rsidR="003726AE" w:rsidRDefault="003726AE" w:rsidP="008E2ABD">
            <w:pPr>
              <w:pStyle w:val="Bulletstable"/>
            </w:pPr>
            <w:r>
              <w:t>BTR, BSNR, SCM</w:t>
            </w:r>
          </w:p>
          <w:p w14:paraId="7CADA967" w14:textId="5D9111B8" w:rsidR="006B080F" w:rsidRPr="00910B42" w:rsidRDefault="003726AE" w:rsidP="008E2ABD">
            <w:pPr>
              <w:pStyle w:val="Bulletstable"/>
            </w:pPr>
            <w:r>
              <w:t>BSNR, SCM</w:t>
            </w:r>
          </w:p>
        </w:tc>
        <w:tc>
          <w:tcPr>
            <w:tcW w:w="384" w:type="pct"/>
          </w:tcPr>
          <w:p w14:paraId="0811B9E9" w14:textId="77777777" w:rsidR="006B080F" w:rsidRDefault="006B080F" w:rsidP="008E2ABD">
            <w:pPr>
              <w:pStyle w:val="Tabletext"/>
              <w:spacing w:after="0"/>
            </w:pPr>
          </w:p>
          <w:p w14:paraId="2AF429E7" w14:textId="516DA013" w:rsidR="003726AE" w:rsidRDefault="008E2ABD" w:rsidP="008E2ABD">
            <w:pPr>
              <w:pStyle w:val="Tabletext"/>
              <w:spacing w:after="0"/>
            </w:pPr>
            <w:r>
              <w:t>Yes</w:t>
            </w:r>
          </w:p>
          <w:p w14:paraId="75A2E2FF" w14:textId="77777777" w:rsidR="002C0C14" w:rsidRDefault="002C0C14" w:rsidP="008E2ABD">
            <w:pPr>
              <w:pStyle w:val="Tabletext"/>
              <w:spacing w:after="0"/>
            </w:pPr>
          </w:p>
          <w:p w14:paraId="2D48CA5B" w14:textId="149B7055" w:rsidR="008E2ABD" w:rsidRPr="00910B42" w:rsidRDefault="008E2ABD" w:rsidP="008E2ABD">
            <w:pPr>
              <w:pStyle w:val="Tabletext"/>
              <w:spacing w:after="0"/>
            </w:pPr>
            <w:r>
              <w:t>Yes</w:t>
            </w:r>
          </w:p>
        </w:tc>
        <w:tc>
          <w:tcPr>
            <w:tcW w:w="587" w:type="pct"/>
          </w:tcPr>
          <w:p w14:paraId="336D5A9A" w14:textId="77777777" w:rsidR="006B080F" w:rsidRDefault="006B080F" w:rsidP="003726AE">
            <w:pPr>
              <w:pStyle w:val="Tabletext"/>
              <w:spacing w:after="0"/>
            </w:pPr>
          </w:p>
          <w:p w14:paraId="4E55C250" w14:textId="77777777" w:rsidR="008E2ABD" w:rsidRDefault="008E2ABD" w:rsidP="003726AE">
            <w:pPr>
              <w:pStyle w:val="Tabletext"/>
              <w:spacing w:after="0"/>
            </w:pPr>
            <w:r>
              <w:t>Yes (consider)</w:t>
            </w:r>
          </w:p>
          <w:p w14:paraId="5C87DB4D" w14:textId="6C6C7B2A" w:rsidR="008E2ABD" w:rsidRPr="00910B42" w:rsidRDefault="008E2ABD" w:rsidP="003726AE">
            <w:pPr>
              <w:pStyle w:val="Tabletext"/>
              <w:spacing w:after="0"/>
            </w:pPr>
            <w:r>
              <w:t>Yes (consider)</w:t>
            </w:r>
          </w:p>
        </w:tc>
        <w:tc>
          <w:tcPr>
            <w:tcW w:w="553" w:type="pct"/>
          </w:tcPr>
          <w:p w14:paraId="465BEACC" w14:textId="77777777" w:rsidR="006B080F" w:rsidRDefault="006B080F" w:rsidP="003726AE">
            <w:pPr>
              <w:pStyle w:val="Tabletext"/>
              <w:spacing w:after="0"/>
            </w:pPr>
          </w:p>
          <w:p w14:paraId="74EBDA94" w14:textId="04EB58A3" w:rsidR="008E2ABD" w:rsidRDefault="008E2ABD" w:rsidP="003726AE">
            <w:pPr>
              <w:pStyle w:val="Tabletext"/>
              <w:spacing w:after="0"/>
            </w:pPr>
            <w:r>
              <w:t>Yes</w:t>
            </w:r>
          </w:p>
          <w:p w14:paraId="53B40C67" w14:textId="77777777" w:rsidR="002C0C14" w:rsidRDefault="002C0C14" w:rsidP="003726AE">
            <w:pPr>
              <w:pStyle w:val="Tabletext"/>
              <w:spacing w:after="0"/>
            </w:pPr>
          </w:p>
          <w:p w14:paraId="62F4F56F" w14:textId="5F3CF124" w:rsidR="008E2ABD" w:rsidRPr="00910B42" w:rsidRDefault="008E2ABD" w:rsidP="003726AE">
            <w:pPr>
              <w:pStyle w:val="Tabletext"/>
              <w:spacing w:after="0"/>
            </w:pPr>
            <w:r>
              <w:t>Yes</w:t>
            </w:r>
          </w:p>
        </w:tc>
        <w:tc>
          <w:tcPr>
            <w:tcW w:w="608" w:type="pct"/>
          </w:tcPr>
          <w:p w14:paraId="3AFB7A56" w14:textId="77777777" w:rsidR="006B080F" w:rsidRDefault="006B080F" w:rsidP="003726AE">
            <w:pPr>
              <w:pStyle w:val="Tabletext"/>
              <w:spacing w:after="0"/>
            </w:pPr>
          </w:p>
          <w:p w14:paraId="7A830687" w14:textId="3D4CA52F" w:rsidR="008E2ABD" w:rsidRDefault="008E2ABD" w:rsidP="003726AE">
            <w:pPr>
              <w:pStyle w:val="Tabletext"/>
              <w:spacing w:after="0"/>
            </w:pPr>
            <w:r>
              <w:t>No</w:t>
            </w:r>
          </w:p>
          <w:p w14:paraId="4069C6C7" w14:textId="77777777" w:rsidR="002C0C14" w:rsidRDefault="002C0C14" w:rsidP="003726AE">
            <w:pPr>
              <w:pStyle w:val="Tabletext"/>
              <w:spacing w:after="0"/>
            </w:pPr>
          </w:p>
          <w:p w14:paraId="6A7882B5" w14:textId="4C8018E4" w:rsidR="008E2ABD" w:rsidRPr="00910B42" w:rsidRDefault="008E2ABD" w:rsidP="003726AE">
            <w:pPr>
              <w:pStyle w:val="Tabletext"/>
              <w:spacing w:after="0"/>
            </w:pPr>
            <w:r>
              <w:t>No</w:t>
            </w:r>
          </w:p>
        </w:tc>
        <w:tc>
          <w:tcPr>
            <w:tcW w:w="560" w:type="pct"/>
          </w:tcPr>
          <w:p w14:paraId="7FADA2D5" w14:textId="77777777" w:rsidR="006B080F" w:rsidRDefault="006B080F" w:rsidP="003726AE">
            <w:pPr>
              <w:pStyle w:val="Tabletext"/>
              <w:spacing w:after="0"/>
              <w:rPr>
                <w:b/>
                <w:bCs/>
              </w:rPr>
            </w:pPr>
          </w:p>
          <w:p w14:paraId="463FD876" w14:textId="34FB9DCE" w:rsidR="008E2ABD" w:rsidRDefault="008E2ABD" w:rsidP="003726AE">
            <w:pPr>
              <w:pStyle w:val="Tabletext"/>
              <w:spacing w:after="0"/>
              <w:rPr>
                <w:b/>
                <w:bCs/>
              </w:rPr>
            </w:pPr>
            <w:r>
              <w:rPr>
                <w:b/>
                <w:bCs/>
              </w:rPr>
              <w:t>No</w:t>
            </w:r>
          </w:p>
          <w:p w14:paraId="33E1B5B0" w14:textId="77777777" w:rsidR="002C0C14" w:rsidRDefault="002C0C14" w:rsidP="003726AE">
            <w:pPr>
              <w:pStyle w:val="Tabletext"/>
              <w:spacing w:after="0"/>
              <w:rPr>
                <w:b/>
                <w:bCs/>
              </w:rPr>
            </w:pPr>
          </w:p>
          <w:p w14:paraId="2C3B3C5C" w14:textId="6D58F055" w:rsidR="008E2ABD" w:rsidRPr="00910B42" w:rsidRDefault="008E2ABD" w:rsidP="003726AE">
            <w:pPr>
              <w:pStyle w:val="Tabletext"/>
              <w:spacing w:after="0"/>
              <w:rPr>
                <w:b/>
                <w:bCs/>
              </w:rPr>
            </w:pPr>
            <w:r>
              <w:rPr>
                <w:b/>
                <w:bCs/>
              </w:rPr>
              <w:t>No</w:t>
            </w:r>
          </w:p>
        </w:tc>
      </w:tr>
      <w:tr w:rsidR="00FA7DDA" w:rsidRPr="00910B42" w14:paraId="0EE00D5C" w14:textId="77777777" w:rsidTr="00A1488B">
        <w:trPr>
          <w:trHeight w:val="382"/>
        </w:trPr>
        <w:tc>
          <w:tcPr>
            <w:tcW w:w="1255" w:type="pct"/>
            <w:tcBorders>
              <w:top w:val="single" w:sz="4" w:space="0" w:color="auto"/>
              <w:left w:val="single" w:sz="4" w:space="0" w:color="auto"/>
              <w:bottom w:val="single" w:sz="4" w:space="0" w:color="auto"/>
              <w:right w:val="single" w:sz="4" w:space="0" w:color="auto"/>
            </w:tcBorders>
            <w:shd w:val="clear" w:color="auto" w:fill="auto"/>
          </w:tcPr>
          <w:p w14:paraId="4F81D9B8" w14:textId="77777777" w:rsidR="00FA7DDA" w:rsidRDefault="00FA7DDA" w:rsidP="001613A8">
            <w:pPr>
              <w:pStyle w:val="Bulletstable"/>
              <w:numPr>
                <w:ilvl w:val="0"/>
                <w:numId w:val="0"/>
              </w:numPr>
              <w:rPr>
                <w:b/>
                <w:bCs/>
              </w:rPr>
            </w:pPr>
            <w:r>
              <w:rPr>
                <w:b/>
                <w:bCs/>
              </w:rPr>
              <w:t>Care needs of people with brain tumours</w:t>
            </w:r>
          </w:p>
          <w:p w14:paraId="438A3A0B" w14:textId="1A4CBA06" w:rsidR="00FA7DDA" w:rsidRDefault="00FA7DDA" w:rsidP="001613A8">
            <w:pPr>
              <w:pStyle w:val="Bulletstable"/>
            </w:pPr>
            <w:r>
              <w:t>Holistic needs assessment</w:t>
            </w:r>
          </w:p>
          <w:p w14:paraId="0C893A0C" w14:textId="77777777" w:rsidR="00FA7DDA" w:rsidRDefault="00FA7DDA" w:rsidP="001613A8">
            <w:pPr>
              <w:pStyle w:val="Bulletstable"/>
              <w:numPr>
                <w:ilvl w:val="0"/>
                <w:numId w:val="0"/>
              </w:numPr>
              <w:ind w:left="284"/>
            </w:pPr>
          </w:p>
          <w:p w14:paraId="2ACF4C7B" w14:textId="77777777" w:rsidR="00706E90" w:rsidRDefault="00706E90" w:rsidP="001613A8">
            <w:pPr>
              <w:pStyle w:val="Bulletstable"/>
              <w:numPr>
                <w:ilvl w:val="0"/>
                <w:numId w:val="0"/>
              </w:numPr>
              <w:ind w:left="284"/>
            </w:pPr>
          </w:p>
          <w:p w14:paraId="6DB5E50B" w14:textId="77777777" w:rsidR="00706E90" w:rsidRDefault="00706E90" w:rsidP="001613A8">
            <w:pPr>
              <w:pStyle w:val="ListParagraph"/>
            </w:pPr>
          </w:p>
          <w:p w14:paraId="28E18C71" w14:textId="7620D971" w:rsidR="00FA7DDA" w:rsidRDefault="00FA7DDA" w:rsidP="001613A8">
            <w:pPr>
              <w:pStyle w:val="Bulletstable"/>
            </w:pPr>
            <w:r>
              <w:t>Named healthcare professional</w:t>
            </w:r>
          </w:p>
          <w:p w14:paraId="6542CD64" w14:textId="77777777" w:rsidR="00706E90" w:rsidRDefault="00706E90" w:rsidP="001613A8">
            <w:pPr>
              <w:pStyle w:val="Bulletstable"/>
              <w:numPr>
                <w:ilvl w:val="0"/>
                <w:numId w:val="0"/>
              </w:numPr>
              <w:ind w:left="284"/>
            </w:pPr>
          </w:p>
          <w:p w14:paraId="232FFC11" w14:textId="6FD599B9" w:rsidR="00FA7DDA" w:rsidRPr="00F917FB" w:rsidRDefault="00FA7DDA" w:rsidP="001613A8">
            <w:pPr>
              <w:pStyle w:val="Bulletstable"/>
              <w:rPr>
                <w:b/>
                <w:bCs/>
              </w:rPr>
            </w:pPr>
            <w:r>
              <w:t>Specific support</w:t>
            </w:r>
          </w:p>
        </w:tc>
        <w:tc>
          <w:tcPr>
            <w:tcW w:w="1053" w:type="pct"/>
          </w:tcPr>
          <w:p w14:paraId="24A5F7BF" w14:textId="77777777" w:rsidR="00FA7DDA" w:rsidRDefault="00FA7DDA" w:rsidP="001613A8">
            <w:pPr>
              <w:pStyle w:val="Tabletext"/>
              <w:spacing w:after="0"/>
              <w:rPr>
                <w:szCs w:val="22"/>
              </w:rPr>
            </w:pPr>
          </w:p>
          <w:p w14:paraId="37678B03" w14:textId="77777777" w:rsidR="00FA7DDA" w:rsidRDefault="00FA7DDA" w:rsidP="001613A8">
            <w:pPr>
              <w:pStyle w:val="Tabletext"/>
              <w:spacing w:after="0"/>
              <w:rPr>
                <w:szCs w:val="22"/>
              </w:rPr>
            </w:pPr>
          </w:p>
          <w:p w14:paraId="1D8F2367" w14:textId="0E1E31C2" w:rsidR="00FA7DDA" w:rsidRPr="00FA7DDA" w:rsidRDefault="00FA7DDA" w:rsidP="001613A8">
            <w:pPr>
              <w:pStyle w:val="Bulletstable"/>
            </w:pPr>
            <w:r w:rsidRPr="00FA7DDA">
              <w:t>BT, BTC, NCRI-ACP-RCP, NHSE&amp;I, P-CNS, SBNS</w:t>
            </w:r>
          </w:p>
          <w:p w14:paraId="174DE6B6" w14:textId="4CBD8083" w:rsidR="00FA7DDA" w:rsidRDefault="00FA7DDA" w:rsidP="001613A8">
            <w:pPr>
              <w:pStyle w:val="Bulletstable"/>
            </w:pPr>
            <w:r w:rsidRPr="00FA7DDA">
              <w:t>BT, BTC, NHSE&amp;I, SCMs</w:t>
            </w:r>
          </w:p>
          <w:p w14:paraId="02E5CD61" w14:textId="229881C0" w:rsidR="00FA7DDA" w:rsidRDefault="00FA7DDA" w:rsidP="001613A8">
            <w:pPr>
              <w:pStyle w:val="Bulletstable"/>
            </w:pPr>
            <w:r w:rsidRPr="00FA7DDA">
              <w:t>BTC, NCRI-ACP-RCP, NHSE&amp;I, SCM, SANON</w:t>
            </w:r>
          </w:p>
        </w:tc>
        <w:tc>
          <w:tcPr>
            <w:tcW w:w="384" w:type="pct"/>
          </w:tcPr>
          <w:p w14:paraId="34BE5EE8" w14:textId="77777777" w:rsidR="00FA7DDA" w:rsidRDefault="00FA7DDA" w:rsidP="001613A8">
            <w:pPr>
              <w:pStyle w:val="Tabletext"/>
              <w:spacing w:after="0"/>
            </w:pPr>
          </w:p>
          <w:p w14:paraId="1FD8972A" w14:textId="77777777" w:rsidR="00CF263B" w:rsidRDefault="00CF263B" w:rsidP="001613A8">
            <w:pPr>
              <w:pStyle w:val="Tabletext"/>
              <w:spacing w:after="0"/>
            </w:pPr>
          </w:p>
          <w:p w14:paraId="02F4AA74" w14:textId="77777777" w:rsidR="00CF263B" w:rsidRDefault="00CF263B" w:rsidP="001613A8">
            <w:pPr>
              <w:pStyle w:val="Tabletext"/>
              <w:spacing w:after="0"/>
            </w:pPr>
            <w:r>
              <w:t>Yes</w:t>
            </w:r>
          </w:p>
          <w:p w14:paraId="34D74511" w14:textId="4ECE7395" w:rsidR="00CF263B" w:rsidRDefault="00CF263B" w:rsidP="001613A8">
            <w:pPr>
              <w:pStyle w:val="Tabletext"/>
              <w:spacing w:after="0"/>
            </w:pPr>
          </w:p>
          <w:p w14:paraId="6134F770" w14:textId="48057B7F" w:rsidR="00706E90" w:rsidRDefault="00706E90" w:rsidP="001613A8">
            <w:pPr>
              <w:pStyle w:val="Tabletext"/>
              <w:spacing w:after="0"/>
            </w:pPr>
          </w:p>
          <w:p w14:paraId="155FA1FD" w14:textId="10D61B23" w:rsidR="00706E90" w:rsidRDefault="00706E90" w:rsidP="001613A8">
            <w:pPr>
              <w:pStyle w:val="Tabletext"/>
              <w:spacing w:after="0"/>
            </w:pPr>
          </w:p>
          <w:p w14:paraId="00DBD859" w14:textId="77777777" w:rsidR="00706E90" w:rsidRDefault="00706E90" w:rsidP="001613A8">
            <w:pPr>
              <w:pStyle w:val="Tabletext"/>
              <w:spacing w:after="0"/>
            </w:pPr>
          </w:p>
          <w:p w14:paraId="39EFEFD4" w14:textId="0D077E84" w:rsidR="00CF263B" w:rsidRDefault="00CF263B" w:rsidP="001613A8">
            <w:pPr>
              <w:pStyle w:val="Tabletext"/>
              <w:spacing w:after="0"/>
            </w:pPr>
            <w:r>
              <w:t>Yes</w:t>
            </w:r>
          </w:p>
          <w:p w14:paraId="738D398F" w14:textId="0BE623B8" w:rsidR="00706E90" w:rsidRDefault="00706E90" w:rsidP="001613A8">
            <w:pPr>
              <w:pStyle w:val="Tabletext"/>
              <w:spacing w:after="0"/>
            </w:pPr>
          </w:p>
          <w:p w14:paraId="16F4EFFC" w14:textId="77777777" w:rsidR="00706E90" w:rsidRDefault="00706E90" w:rsidP="001613A8">
            <w:pPr>
              <w:pStyle w:val="Tabletext"/>
              <w:spacing w:after="0"/>
            </w:pPr>
          </w:p>
          <w:p w14:paraId="4504B45E" w14:textId="2188CD2C" w:rsidR="00CF263B" w:rsidRDefault="00CF263B" w:rsidP="001613A8">
            <w:pPr>
              <w:pStyle w:val="Tabletext"/>
              <w:spacing w:after="0"/>
            </w:pPr>
            <w:r>
              <w:t>Yes</w:t>
            </w:r>
          </w:p>
        </w:tc>
        <w:tc>
          <w:tcPr>
            <w:tcW w:w="587" w:type="pct"/>
          </w:tcPr>
          <w:p w14:paraId="17BC553F" w14:textId="77777777" w:rsidR="00FA7DDA" w:rsidRDefault="00FA7DDA" w:rsidP="001613A8">
            <w:pPr>
              <w:pStyle w:val="Tabletext"/>
              <w:spacing w:after="0"/>
            </w:pPr>
          </w:p>
          <w:p w14:paraId="541212F9" w14:textId="77777777" w:rsidR="00CF263B" w:rsidRDefault="00CF263B" w:rsidP="001613A8">
            <w:pPr>
              <w:pStyle w:val="Tabletext"/>
              <w:spacing w:after="0"/>
            </w:pPr>
          </w:p>
          <w:p w14:paraId="71727C6D" w14:textId="4DA75B7B" w:rsidR="00CF263B" w:rsidRDefault="009B55EF" w:rsidP="001613A8">
            <w:pPr>
              <w:pStyle w:val="Tabletext"/>
              <w:spacing w:after="0"/>
            </w:pPr>
            <w:r>
              <w:t>Yes</w:t>
            </w:r>
          </w:p>
          <w:p w14:paraId="286D5BB8" w14:textId="06647A1D" w:rsidR="00706E90" w:rsidRDefault="00706E90" w:rsidP="001613A8">
            <w:pPr>
              <w:pStyle w:val="Tabletext"/>
              <w:spacing w:after="0"/>
            </w:pPr>
          </w:p>
          <w:p w14:paraId="57AD5CF6" w14:textId="30D42C93" w:rsidR="00706E90" w:rsidRDefault="00706E90" w:rsidP="001613A8">
            <w:pPr>
              <w:pStyle w:val="Tabletext"/>
              <w:spacing w:after="0"/>
            </w:pPr>
          </w:p>
          <w:p w14:paraId="56BEC9C2" w14:textId="77777777" w:rsidR="00706E90" w:rsidRDefault="00706E90" w:rsidP="001613A8">
            <w:pPr>
              <w:pStyle w:val="Tabletext"/>
              <w:spacing w:after="0"/>
            </w:pPr>
          </w:p>
          <w:p w14:paraId="69FDDCF2" w14:textId="77777777" w:rsidR="009B55EF" w:rsidRDefault="009B55EF" w:rsidP="001613A8">
            <w:pPr>
              <w:pStyle w:val="Tabletext"/>
              <w:spacing w:after="0"/>
            </w:pPr>
          </w:p>
          <w:p w14:paraId="3C584E4C" w14:textId="3593ACDB" w:rsidR="009B55EF" w:rsidRDefault="009B55EF" w:rsidP="001613A8">
            <w:pPr>
              <w:pStyle w:val="Tabletext"/>
              <w:spacing w:after="0"/>
            </w:pPr>
            <w:r>
              <w:t>Yes</w:t>
            </w:r>
          </w:p>
          <w:p w14:paraId="7D5B17E2" w14:textId="2AB04080" w:rsidR="001613A8" w:rsidRDefault="001613A8" w:rsidP="001613A8">
            <w:pPr>
              <w:pStyle w:val="Tabletext"/>
              <w:spacing w:after="0"/>
            </w:pPr>
          </w:p>
          <w:p w14:paraId="46A72AAB" w14:textId="77777777" w:rsidR="001613A8" w:rsidRDefault="001613A8" w:rsidP="001613A8">
            <w:pPr>
              <w:pStyle w:val="Tabletext"/>
              <w:spacing w:after="0"/>
            </w:pPr>
          </w:p>
          <w:p w14:paraId="6088417B" w14:textId="6C05D3E7" w:rsidR="009B55EF" w:rsidRDefault="009B55EF" w:rsidP="001613A8">
            <w:pPr>
              <w:pStyle w:val="Tabletext"/>
              <w:spacing w:after="0"/>
            </w:pPr>
            <w:r>
              <w:t>Yes</w:t>
            </w:r>
          </w:p>
        </w:tc>
        <w:tc>
          <w:tcPr>
            <w:tcW w:w="553" w:type="pct"/>
          </w:tcPr>
          <w:p w14:paraId="653C08A7" w14:textId="77777777" w:rsidR="00FA7DDA" w:rsidRDefault="00FA7DDA" w:rsidP="001613A8">
            <w:pPr>
              <w:pStyle w:val="Tabletext"/>
              <w:spacing w:after="0"/>
            </w:pPr>
          </w:p>
          <w:p w14:paraId="57B404C1" w14:textId="77777777" w:rsidR="009B55EF" w:rsidRDefault="009B55EF" w:rsidP="001613A8">
            <w:pPr>
              <w:pStyle w:val="Tabletext"/>
              <w:spacing w:after="0"/>
            </w:pPr>
          </w:p>
          <w:p w14:paraId="0B5819A8" w14:textId="161CB67E" w:rsidR="009B55EF" w:rsidRDefault="009B55EF" w:rsidP="001613A8">
            <w:pPr>
              <w:pStyle w:val="Tabletext"/>
              <w:spacing w:after="0"/>
            </w:pPr>
            <w:r>
              <w:t>Yes</w:t>
            </w:r>
          </w:p>
          <w:p w14:paraId="6691C77A" w14:textId="019E8D02" w:rsidR="001613A8" w:rsidRDefault="001613A8" w:rsidP="001613A8">
            <w:pPr>
              <w:pStyle w:val="Tabletext"/>
              <w:spacing w:after="0"/>
            </w:pPr>
          </w:p>
          <w:p w14:paraId="3A94389B" w14:textId="634C5299" w:rsidR="001613A8" w:rsidRDefault="001613A8" w:rsidP="001613A8">
            <w:pPr>
              <w:pStyle w:val="Tabletext"/>
              <w:spacing w:after="0"/>
            </w:pPr>
          </w:p>
          <w:p w14:paraId="0209970B" w14:textId="77777777" w:rsidR="001613A8" w:rsidRDefault="001613A8" w:rsidP="001613A8">
            <w:pPr>
              <w:pStyle w:val="Tabletext"/>
              <w:spacing w:after="0"/>
            </w:pPr>
          </w:p>
          <w:p w14:paraId="33866E16" w14:textId="77777777" w:rsidR="009B55EF" w:rsidRDefault="009B55EF" w:rsidP="001613A8">
            <w:pPr>
              <w:pStyle w:val="Tabletext"/>
              <w:spacing w:after="0"/>
            </w:pPr>
          </w:p>
          <w:p w14:paraId="385B47F0" w14:textId="44F44435" w:rsidR="009B55EF" w:rsidRDefault="009B55EF" w:rsidP="001613A8">
            <w:pPr>
              <w:pStyle w:val="Tabletext"/>
              <w:spacing w:after="0"/>
            </w:pPr>
            <w:r>
              <w:t>Yes</w:t>
            </w:r>
          </w:p>
          <w:p w14:paraId="69E97C78" w14:textId="3D5908EC" w:rsidR="001613A8" w:rsidRDefault="001613A8" w:rsidP="001613A8">
            <w:pPr>
              <w:pStyle w:val="Tabletext"/>
              <w:spacing w:after="0"/>
            </w:pPr>
          </w:p>
          <w:p w14:paraId="1BB80CD8" w14:textId="77777777" w:rsidR="001613A8" w:rsidRDefault="001613A8" w:rsidP="001613A8">
            <w:pPr>
              <w:pStyle w:val="Tabletext"/>
              <w:spacing w:after="0"/>
            </w:pPr>
          </w:p>
          <w:p w14:paraId="6644F987" w14:textId="7A13E21A" w:rsidR="009B55EF" w:rsidRDefault="009B55EF" w:rsidP="001613A8">
            <w:pPr>
              <w:pStyle w:val="Tabletext"/>
              <w:spacing w:after="0"/>
            </w:pPr>
            <w:r>
              <w:t>Yes</w:t>
            </w:r>
          </w:p>
        </w:tc>
        <w:tc>
          <w:tcPr>
            <w:tcW w:w="608" w:type="pct"/>
          </w:tcPr>
          <w:p w14:paraId="14987944" w14:textId="77777777" w:rsidR="00FA7DDA" w:rsidRDefault="00FA7DDA" w:rsidP="001613A8">
            <w:pPr>
              <w:pStyle w:val="Tabletext"/>
              <w:spacing w:after="0"/>
            </w:pPr>
          </w:p>
          <w:p w14:paraId="5DB59AF5" w14:textId="77777777" w:rsidR="009B55EF" w:rsidRDefault="009B55EF" w:rsidP="001613A8">
            <w:pPr>
              <w:pStyle w:val="Tabletext"/>
              <w:spacing w:after="0"/>
            </w:pPr>
          </w:p>
          <w:p w14:paraId="3351FDB6" w14:textId="7ED17C67" w:rsidR="009B55EF" w:rsidRDefault="009B55EF" w:rsidP="001613A8">
            <w:pPr>
              <w:pStyle w:val="Tabletext"/>
              <w:spacing w:after="0"/>
            </w:pPr>
            <w:r>
              <w:t>No</w:t>
            </w:r>
          </w:p>
          <w:p w14:paraId="459E75A0" w14:textId="6B135EDA" w:rsidR="001613A8" w:rsidRDefault="001613A8" w:rsidP="001613A8">
            <w:pPr>
              <w:pStyle w:val="Tabletext"/>
              <w:spacing w:after="0"/>
            </w:pPr>
          </w:p>
          <w:p w14:paraId="612AC854" w14:textId="41543786" w:rsidR="001613A8" w:rsidRDefault="001613A8" w:rsidP="001613A8">
            <w:pPr>
              <w:pStyle w:val="Tabletext"/>
              <w:spacing w:after="0"/>
            </w:pPr>
          </w:p>
          <w:p w14:paraId="56E2F6EE" w14:textId="77777777" w:rsidR="001613A8" w:rsidRDefault="001613A8" w:rsidP="001613A8">
            <w:pPr>
              <w:pStyle w:val="Tabletext"/>
              <w:spacing w:after="0"/>
            </w:pPr>
          </w:p>
          <w:p w14:paraId="0000D94A" w14:textId="77777777" w:rsidR="009B55EF" w:rsidRDefault="009B55EF" w:rsidP="001613A8">
            <w:pPr>
              <w:pStyle w:val="Tabletext"/>
              <w:spacing w:after="0"/>
            </w:pPr>
          </w:p>
          <w:p w14:paraId="2CB40368" w14:textId="5C27EDD6" w:rsidR="009B55EF" w:rsidRDefault="009B55EF" w:rsidP="001613A8">
            <w:pPr>
              <w:pStyle w:val="Tabletext"/>
              <w:spacing w:after="0"/>
            </w:pPr>
            <w:r>
              <w:t>No</w:t>
            </w:r>
          </w:p>
          <w:p w14:paraId="02DC21BB" w14:textId="5206C77E" w:rsidR="001613A8" w:rsidRDefault="001613A8" w:rsidP="001613A8">
            <w:pPr>
              <w:pStyle w:val="Tabletext"/>
              <w:spacing w:after="0"/>
            </w:pPr>
          </w:p>
          <w:p w14:paraId="69200E55" w14:textId="77777777" w:rsidR="001613A8" w:rsidRDefault="001613A8" w:rsidP="001613A8">
            <w:pPr>
              <w:pStyle w:val="Tabletext"/>
              <w:spacing w:after="0"/>
            </w:pPr>
          </w:p>
          <w:p w14:paraId="7F2594D1" w14:textId="65F9BC0A" w:rsidR="009B55EF" w:rsidRDefault="009B55EF" w:rsidP="001613A8">
            <w:pPr>
              <w:pStyle w:val="Tabletext"/>
              <w:spacing w:after="0"/>
            </w:pPr>
            <w:r>
              <w:t>No</w:t>
            </w:r>
          </w:p>
        </w:tc>
        <w:tc>
          <w:tcPr>
            <w:tcW w:w="560" w:type="pct"/>
          </w:tcPr>
          <w:p w14:paraId="498DB509" w14:textId="77777777" w:rsidR="00FA7DDA" w:rsidRDefault="00FA7DDA" w:rsidP="001613A8">
            <w:pPr>
              <w:pStyle w:val="Tabletext"/>
              <w:spacing w:after="0"/>
              <w:rPr>
                <w:b/>
                <w:bCs/>
              </w:rPr>
            </w:pPr>
          </w:p>
          <w:p w14:paraId="19BB2FAC" w14:textId="77777777" w:rsidR="009B55EF" w:rsidRDefault="009B55EF" w:rsidP="001613A8">
            <w:pPr>
              <w:pStyle w:val="Tabletext"/>
              <w:spacing w:after="0"/>
              <w:rPr>
                <w:b/>
                <w:bCs/>
              </w:rPr>
            </w:pPr>
          </w:p>
          <w:p w14:paraId="37CE39B5" w14:textId="0DD2B065" w:rsidR="009B55EF" w:rsidRDefault="009B55EF" w:rsidP="001613A8">
            <w:pPr>
              <w:pStyle w:val="Tabletext"/>
              <w:spacing w:after="0"/>
              <w:rPr>
                <w:b/>
                <w:bCs/>
              </w:rPr>
            </w:pPr>
            <w:r>
              <w:rPr>
                <w:b/>
                <w:bCs/>
              </w:rPr>
              <w:t>Yes</w:t>
            </w:r>
          </w:p>
          <w:p w14:paraId="66C5BA2D" w14:textId="4A8445FC" w:rsidR="001613A8" w:rsidRDefault="001613A8" w:rsidP="001613A8">
            <w:pPr>
              <w:pStyle w:val="Tabletext"/>
              <w:spacing w:after="0"/>
              <w:rPr>
                <w:b/>
                <w:bCs/>
              </w:rPr>
            </w:pPr>
          </w:p>
          <w:p w14:paraId="4F7DB521" w14:textId="249A9200" w:rsidR="001613A8" w:rsidRDefault="001613A8" w:rsidP="001613A8">
            <w:pPr>
              <w:pStyle w:val="Tabletext"/>
              <w:spacing w:after="0"/>
              <w:rPr>
                <w:b/>
                <w:bCs/>
              </w:rPr>
            </w:pPr>
          </w:p>
          <w:p w14:paraId="58DFC9C3" w14:textId="77777777" w:rsidR="001613A8" w:rsidRDefault="001613A8" w:rsidP="001613A8">
            <w:pPr>
              <w:pStyle w:val="Tabletext"/>
              <w:spacing w:after="0"/>
              <w:rPr>
                <w:b/>
                <w:bCs/>
              </w:rPr>
            </w:pPr>
          </w:p>
          <w:p w14:paraId="7F797091" w14:textId="77777777" w:rsidR="009B55EF" w:rsidRDefault="009B55EF" w:rsidP="001613A8">
            <w:pPr>
              <w:pStyle w:val="Tabletext"/>
              <w:spacing w:after="0"/>
              <w:rPr>
                <w:b/>
                <w:bCs/>
              </w:rPr>
            </w:pPr>
          </w:p>
          <w:p w14:paraId="0928446B" w14:textId="1C4C2DC9" w:rsidR="009B55EF" w:rsidRDefault="009B55EF" w:rsidP="001613A8">
            <w:pPr>
              <w:pStyle w:val="Tabletext"/>
              <w:spacing w:after="0"/>
              <w:rPr>
                <w:b/>
                <w:bCs/>
              </w:rPr>
            </w:pPr>
            <w:r>
              <w:rPr>
                <w:b/>
                <w:bCs/>
              </w:rPr>
              <w:t>Yes</w:t>
            </w:r>
          </w:p>
          <w:p w14:paraId="318539BC" w14:textId="5F04A03C" w:rsidR="001613A8" w:rsidRDefault="001613A8" w:rsidP="001613A8">
            <w:pPr>
              <w:pStyle w:val="Tabletext"/>
              <w:spacing w:after="0"/>
              <w:rPr>
                <w:b/>
                <w:bCs/>
              </w:rPr>
            </w:pPr>
          </w:p>
          <w:p w14:paraId="4F840DD0" w14:textId="77777777" w:rsidR="001613A8" w:rsidRDefault="001613A8" w:rsidP="001613A8">
            <w:pPr>
              <w:pStyle w:val="Tabletext"/>
              <w:spacing w:after="0"/>
              <w:rPr>
                <w:b/>
                <w:bCs/>
              </w:rPr>
            </w:pPr>
          </w:p>
          <w:p w14:paraId="5FCB21E4" w14:textId="2F0FFA12" w:rsidR="009B55EF" w:rsidRDefault="009B55EF" w:rsidP="001613A8">
            <w:pPr>
              <w:pStyle w:val="Tabletext"/>
              <w:spacing w:after="0"/>
              <w:rPr>
                <w:b/>
                <w:bCs/>
              </w:rPr>
            </w:pPr>
            <w:r>
              <w:rPr>
                <w:b/>
                <w:bCs/>
              </w:rPr>
              <w:t>Yes</w:t>
            </w:r>
          </w:p>
        </w:tc>
      </w:tr>
      <w:tr w:rsidR="00B91E67" w:rsidRPr="00910B42" w14:paraId="1E6C8590" w14:textId="77777777" w:rsidTr="00A1488B">
        <w:trPr>
          <w:trHeight w:val="382"/>
        </w:trPr>
        <w:tc>
          <w:tcPr>
            <w:tcW w:w="1255" w:type="pct"/>
            <w:tcBorders>
              <w:top w:val="single" w:sz="4" w:space="0" w:color="auto"/>
              <w:left w:val="single" w:sz="4" w:space="0" w:color="auto"/>
              <w:bottom w:val="single" w:sz="4" w:space="0" w:color="auto"/>
              <w:right w:val="single" w:sz="4" w:space="0" w:color="auto"/>
            </w:tcBorders>
            <w:shd w:val="clear" w:color="auto" w:fill="auto"/>
          </w:tcPr>
          <w:p w14:paraId="38591B16" w14:textId="77777777" w:rsidR="00B91E67" w:rsidRDefault="00B91E67" w:rsidP="00B91E67">
            <w:pPr>
              <w:pStyle w:val="Bulletstable"/>
              <w:numPr>
                <w:ilvl w:val="0"/>
                <w:numId w:val="0"/>
              </w:numPr>
              <w:ind w:left="284" w:hanging="284"/>
              <w:rPr>
                <w:b/>
                <w:bCs/>
              </w:rPr>
            </w:pPr>
            <w:r>
              <w:rPr>
                <w:b/>
                <w:bCs/>
              </w:rPr>
              <w:t>Neurorehabilitation</w:t>
            </w:r>
          </w:p>
          <w:p w14:paraId="4D70EDA3" w14:textId="77777777" w:rsidR="00B91E67" w:rsidRDefault="00B91E67" w:rsidP="00B91E67">
            <w:pPr>
              <w:pStyle w:val="Bulletstable"/>
            </w:pPr>
            <w:r>
              <w:t>Assessment for neurorehabilitation</w:t>
            </w:r>
          </w:p>
          <w:p w14:paraId="43F0A0BF" w14:textId="00596D78" w:rsidR="00B91E67" w:rsidRDefault="00B91E67" w:rsidP="00B91E67">
            <w:pPr>
              <w:pStyle w:val="Bulletstable"/>
              <w:rPr>
                <w:b/>
                <w:bCs/>
              </w:rPr>
            </w:pPr>
            <w:r>
              <w:t>Access to neurorehabilitation services</w:t>
            </w:r>
          </w:p>
        </w:tc>
        <w:tc>
          <w:tcPr>
            <w:tcW w:w="1053" w:type="pct"/>
          </w:tcPr>
          <w:p w14:paraId="2DB4D3FE" w14:textId="77777777" w:rsidR="00B91E67" w:rsidRDefault="00B91E67" w:rsidP="00FA7DDA">
            <w:pPr>
              <w:pStyle w:val="Tabletext"/>
              <w:spacing w:after="0"/>
              <w:rPr>
                <w:szCs w:val="22"/>
              </w:rPr>
            </w:pPr>
          </w:p>
          <w:p w14:paraId="0D358221" w14:textId="4E6B4736" w:rsidR="00B91E67" w:rsidRDefault="00B91E67" w:rsidP="00B91E67">
            <w:pPr>
              <w:pStyle w:val="Bulletstable"/>
            </w:pPr>
            <w:r>
              <w:t>SCMs</w:t>
            </w:r>
          </w:p>
          <w:p w14:paraId="0497D4E3" w14:textId="77777777" w:rsidR="001613A8" w:rsidRDefault="001613A8" w:rsidP="001613A8">
            <w:pPr>
              <w:pStyle w:val="Bulletstable"/>
              <w:numPr>
                <w:ilvl w:val="0"/>
                <w:numId w:val="0"/>
              </w:numPr>
              <w:ind w:left="284"/>
            </w:pPr>
          </w:p>
          <w:p w14:paraId="01538573" w14:textId="58CDF112" w:rsidR="00B91E67" w:rsidRDefault="00B91E67" w:rsidP="00B91E67">
            <w:pPr>
              <w:pStyle w:val="Bulletstable"/>
            </w:pPr>
            <w:r>
              <w:t>BT, NHSE&amp;I, SBNS</w:t>
            </w:r>
          </w:p>
        </w:tc>
        <w:tc>
          <w:tcPr>
            <w:tcW w:w="384" w:type="pct"/>
          </w:tcPr>
          <w:p w14:paraId="7429BAFC" w14:textId="77777777" w:rsidR="00B91E67" w:rsidRDefault="00B91E67" w:rsidP="008E2ABD">
            <w:pPr>
              <w:pStyle w:val="Tabletext"/>
              <w:spacing w:after="0"/>
            </w:pPr>
          </w:p>
          <w:p w14:paraId="22B385A3" w14:textId="7BFC73FC" w:rsidR="00B91E67" w:rsidRDefault="00B91E67" w:rsidP="008E2ABD">
            <w:pPr>
              <w:pStyle w:val="Tabletext"/>
              <w:spacing w:after="0"/>
            </w:pPr>
            <w:r>
              <w:t>Yes</w:t>
            </w:r>
          </w:p>
          <w:p w14:paraId="1EFA7F83" w14:textId="77777777" w:rsidR="001613A8" w:rsidRDefault="001613A8" w:rsidP="008E2ABD">
            <w:pPr>
              <w:pStyle w:val="Tabletext"/>
              <w:spacing w:after="0"/>
            </w:pPr>
          </w:p>
          <w:p w14:paraId="7C3339E1" w14:textId="56B8E0B6" w:rsidR="00E764BD" w:rsidRDefault="00E764BD" w:rsidP="008E2ABD">
            <w:pPr>
              <w:pStyle w:val="Tabletext"/>
              <w:spacing w:after="0"/>
            </w:pPr>
            <w:r>
              <w:t>Yes</w:t>
            </w:r>
          </w:p>
        </w:tc>
        <w:tc>
          <w:tcPr>
            <w:tcW w:w="587" w:type="pct"/>
          </w:tcPr>
          <w:p w14:paraId="243C90C7" w14:textId="77777777" w:rsidR="00B91E67" w:rsidRDefault="00B91E67" w:rsidP="003726AE">
            <w:pPr>
              <w:pStyle w:val="Tabletext"/>
              <w:spacing w:after="0"/>
            </w:pPr>
          </w:p>
          <w:p w14:paraId="6E24B74C" w14:textId="0AFA8CE6" w:rsidR="00E764BD" w:rsidRDefault="00E764BD" w:rsidP="003726AE">
            <w:pPr>
              <w:pStyle w:val="Tabletext"/>
              <w:spacing w:after="0"/>
            </w:pPr>
            <w:r>
              <w:t>Yes</w:t>
            </w:r>
          </w:p>
          <w:p w14:paraId="48FC11E5" w14:textId="77777777" w:rsidR="001613A8" w:rsidRDefault="001613A8" w:rsidP="003726AE">
            <w:pPr>
              <w:pStyle w:val="Tabletext"/>
              <w:spacing w:after="0"/>
            </w:pPr>
          </w:p>
          <w:p w14:paraId="54407A47" w14:textId="59006A30" w:rsidR="00E764BD" w:rsidRDefault="00E764BD" w:rsidP="003726AE">
            <w:pPr>
              <w:pStyle w:val="Tabletext"/>
              <w:spacing w:after="0"/>
            </w:pPr>
            <w:r>
              <w:t>Yes</w:t>
            </w:r>
          </w:p>
        </w:tc>
        <w:tc>
          <w:tcPr>
            <w:tcW w:w="553" w:type="pct"/>
          </w:tcPr>
          <w:p w14:paraId="42BCA8FB" w14:textId="77777777" w:rsidR="00B91E67" w:rsidRDefault="00B91E67" w:rsidP="003726AE">
            <w:pPr>
              <w:pStyle w:val="Tabletext"/>
              <w:spacing w:after="0"/>
            </w:pPr>
          </w:p>
          <w:p w14:paraId="1E082240" w14:textId="09475CD4" w:rsidR="00E764BD" w:rsidRDefault="00E764BD" w:rsidP="003726AE">
            <w:pPr>
              <w:pStyle w:val="Tabletext"/>
              <w:spacing w:after="0"/>
            </w:pPr>
            <w:r>
              <w:t>Yes</w:t>
            </w:r>
          </w:p>
          <w:p w14:paraId="11C0F44E" w14:textId="77777777" w:rsidR="001613A8" w:rsidRDefault="001613A8" w:rsidP="003726AE">
            <w:pPr>
              <w:pStyle w:val="Tabletext"/>
              <w:spacing w:after="0"/>
            </w:pPr>
          </w:p>
          <w:p w14:paraId="489FDFD1" w14:textId="628FDA14" w:rsidR="00E764BD" w:rsidRDefault="00E764BD" w:rsidP="003726AE">
            <w:pPr>
              <w:pStyle w:val="Tabletext"/>
              <w:spacing w:after="0"/>
            </w:pPr>
            <w:r>
              <w:t>Yes</w:t>
            </w:r>
          </w:p>
        </w:tc>
        <w:tc>
          <w:tcPr>
            <w:tcW w:w="608" w:type="pct"/>
          </w:tcPr>
          <w:p w14:paraId="0984DE9C" w14:textId="77777777" w:rsidR="00B91E67" w:rsidRDefault="00B91E67" w:rsidP="003726AE">
            <w:pPr>
              <w:pStyle w:val="Tabletext"/>
              <w:spacing w:after="0"/>
            </w:pPr>
          </w:p>
          <w:p w14:paraId="11447064" w14:textId="32690C29" w:rsidR="00E764BD" w:rsidRDefault="00E764BD" w:rsidP="003726AE">
            <w:pPr>
              <w:pStyle w:val="Tabletext"/>
              <w:spacing w:after="0"/>
            </w:pPr>
            <w:r>
              <w:t>No</w:t>
            </w:r>
          </w:p>
          <w:p w14:paraId="030440BD" w14:textId="77777777" w:rsidR="001613A8" w:rsidRDefault="001613A8" w:rsidP="003726AE">
            <w:pPr>
              <w:pStyle w:val="Tabletext"/>
              <w:spacing w:after="0"/>
            </w:pPr>
          </w:p>
          <w:p w14:paraId="385A2F97" w14:textId="384974DC" w:rsidR="00E764BD" w:rsidRDefault="00E764BD" w:rsidP="003726AE">
            <w:pPr>
              <w:pStyle w:val="Tabletext"/>
              <w:spacing w:after="0"/>
            </w:pPr>
            <w:r>
              <w:t>No</w:t>
            </w:r>
          </w:p>
        </w:tc>
        <w:tc>
          <w:tcPr>
            <w:tcW w:w="560" w:type="pct"/>
          </w:tcPr>
          <w:p w14:paraId="3D704AAE" w14:textId="77777777" w:rsidR="00B91E67" w:rsidRDefault="00B91E67" w:rsidP="003726AE">
            <w:pPr>
              <w:pStyle w:val="Tabletext"/>
              <w:spacing w:after="0"/>
              <w:rPr>
                <w:b/>
                <w:bCs/>
              </w:rPr>
            </w:pPr>
          </w:p>
          <w:p w14:paraId="590146F0" w14:textId="55343CD8" w:rsidR="00E764BD" w:rsidRDefault="00E764BD" w:rsidP="003726AE">
            <w:pPr>
              <w:pStyle w:val="Tabletext"/>
              <w:spacing w:after="0"/>
              <w:rPr>
                <w:b/>
                <w:bCs/>
              </w:rPr>
            </w:pPr>
            <w:r>
              <w:rPr>
                <w:b/>
                <w:bCs/>
              </w:rPr>
              <w:t>Yes</w:t>
            </w:r>
          </w:p>
          <w:p w14:paraId="500F0E6D" w14:textId="77777777" w:rsidR="001613A8" w:rsidRDefault="001613A8" w:rsidP="003726AE">
            <w:pPr>
              <w:pStyle w:val="Tabletext"/>
              <w:spacing w:after="0"/>
              <w:rPr>
                <w:b/>
                <w:bCs/>
              </w:rPr>
            </w:pPr>
          </w:p>
          <w:p w14:paraId="76E08573" w14:textId="753FA08C" w:rsidR="00E764BD" w:rsidRDefault="00E764BD" w:rsidP="003726AE">
            <w:pPr>
              <w:pStyle w:val="Tabletext"/>
              <w:spacing w:after="0"/>
              <w:rPr>
                <w:b/>
                <w:bCs/>
              </w:rPr>
            </w:pPr>
            <w:r>
              <w:rPr>
                <w:b/>
                <w:bCs/>
              </w:rPr>
              <w:t>Yes</w:t>
            </w:r>
          </w:p>
        </w:tc>
      </w:tr>
      <w:tr w:rsidR="00E764BD" w:rsidRPr="00910B42" w14:paraId="308CBD2B" w14:textId="77777777" w:rsidTr="00A1488B">
        <w:trPr>
          <w:trHeight w:val="382"/>
        </w:trPr>
        <w:tc>
          <w:tcPr>
            <w:tcW w:w="1255" w:type="pct"/>
            <w:tcBorders>
              <w:top w:val="single" w:sz="4" w:space="0" w:color="auto"/>
              <w:left w:val="single" w:sz="4" w:space="0" w:color="auto"/>
              <w:bottom w:val="single" w:sz="4" w:space="0" w:color="auto"/>
              <w:right w:val="single" w:sz="4" w:space="0" w:color="auto"/>
            </w:tcBorders>
            <w:shd w:val="clear" w:color="auto" w:fill="auto"/>
          </w:tcPr>
          <w:p w14:paraId="784E8623" w14:textId="49CCE9A3" w:rsidR="00E764BD" w:rsidRDefault="00E764BD" w:rsidP="00E764BD">
            <w:pPr>
              <w:pStyle w:val="Bulletstable"/>
              <w:numPr>
                <w:ilvl w:val="0"/>
                <w:numId w:val="0"/>
              </w:numPr>
              <w:rPr>
                <w:b/>
                <w:bCs/>
              </w:rPr>
            </w:pPr>
            <w:r w:rsidRPr="00B3200F">
              <w:rPr>
                <w:b/>
                <w:bCs/>
              </w:rPr>
              <w:t>Surveillance for late-onset side effects of treatment</w:t>
            </w:r>
          </w:p>
        </w:tc>
        <w:tc>
          <w:tcPr>
            <w:tcW w:w="1053" w:type="pct"/>
          </w:tcPr>
          <w:p w14:paraId="777CEF3D" w14:textId="31677BC5" w:rsidR="00E764BD" w:rsidRDefault="00E764BD" w:rsidP="00E764BD">
            <w:pPr>
              <w:pStyle w:val="Bulletstable"/>
            </w:pPr>
            <w:r w:rsidRPr="00E764BD">
              <w:t>NHSE&amp;I, SCMs</w:t>
            </w:r>
          </w:p>
        </w:tc>
        <w:tc>
          <w:tcPr>
            <w:tcW w:w="384" w:type="pct"/>
          </w:tcPr>
          <w:p w14:paraId="0EF2E130" w14:textId="025F3C6C" w:rsidR="00E764BD" w:rsidRDefault="00E764BD" w:rsidP="008E2ABD">
            <w:pPr>
              <w:pStyle w:val="Tabletext"/>
              <w:spacing w:after="0"/>
            </w:pPr>
            <w:r>
              <w:t>Yes</w:t>
            </w:r>
          </w:p>
        </w:tc>
        <w:tc>
          <w:tcPr>
            <w:tcW w:w="587" w:type="pct"/>
          </w:tcPr>
          <w:p w14:paraId="16B5A2D1" w14:textId="058F644F" w:rsidR="00E764BD" w:rsidRDefault="00E764BD" w:rsidP="003726AE">
            <w:pPr>
              <w:pStyle w:val="Tabletext"/>
              <w:spacing w:after="0"/>
            </w:pPr>
            <w:r>
              <w:t>Yes</w:t>
            </w:r>
          </w:p>
        </w:tc>
        <w:tc>
          <w:tcPr>
            <w:tcW w:w="553" w:type="pct"/>
          </w:tcPr>
          <w:p w14:paraId="5133DE21" w14:textId="677ABC36" w:rsidR="00E764BD" w:rsidRDefault="00E764BD" w:rsidP="003726AE">
            <w:pPr>
              <w:pStyle w:val="Tabletext"/>
              <w:spacing w:after="0"/>
            </w:pPr>
            <w:r>
              <w:t>No</w:t>
            </w:r>
          </w:p>
        </w:tc>
        <w:tc>
          <w:tcPr>
            <w:tcW w:w="608" w:type="pct"/>
          </w:tcPr>
          <w:p w14:paraId="4DDD664A" w14:textId="32461A94" w:rsidR="00E764BD" w:rsidRDefault="00E87207" w:rsidP="003726AE">
            <w:pPr>
              <w:pStyle w:val="Tabletext"/>
              <w:spacing w:after="0"/>
            </w:pPr>
            <w:r>
              <w:t>No</w:t>
            </w:r>
          </w:p>
        </w:tc>
        <w:tc>
          <w:tcPr>
            <w:tcW w:w="560" w:type="pct"/>
          </w:tcPr>
          <w:p w14:paraId="41A9F79B" w14:textId="1A14CB9C" w:rsidR="00E764BD" w:rsidRDefault="00E87207" w:rsidP="003726AE">
            <w:pPr>
              <w:pStyle w:val="Tabletext"/>
              <w:spacing w:after="0"/>
              <w:rPr>
                <w:b/>
                <w:bCs/>
              </w:rPr>
            </w:pPr>
            <w:r>
              <w:rPr>
                <w:b/>
                <w:bCs/>
              </w:rPr>
              <w:t>Yes</w:t>
            </w:r>
          </w:p>
        </w:tc>
      </w:tr>
      <w:tr w:rsidR="00E87207" w:rsidRPr="00910B42" w14:paraId="6F0EB163" w14:textId="77777777" w:rsidTr="00A1488B">
        <w:trPr>
          <w:trHeight w:val="382"/>
        </w:trPr>
        <w:tc>
          <w:tcPr>
            <w:tcW w:w="1255" w:type="pct"/>
            <w:tcBorders>
              <w:top w:val="single" w:sz="4" w:space="0" w:color="auto"/>
              <w:left w:val="single" w:sz="4" w:space="0" w:color="auto"/>
              <w:right w:val="single" w:sz="4" w:space="0" w:color="auto"/>
            </w:tcBorders>
            <w:shd w:val="clear" w:color="auto" w:fill="auto"/>
          </w:tcPr>
          <w:p w14:paraId="024F9D62" w14:textId="77777777" w:rsidR="00E87207" w:rsidRPr="00463600" w:rsidRDefault="00E87207" w:rsidP="00E87207">
            <w:pPr>
              <w:pStyle w:val="Tabletext"/>
              <w:spacing w:after="0"/>
              <w:rPr>
                <w:bCs/>
              </w:rPr>
            </w:pPr>
            <w:r w:rsidRPr="00463600">
              <w:rPr>
                <w:b/>
                <w:bCs/>
              </w:rPr>
              <w:t>Additional areas</w:t>
            </w:r>
          </w:p>
          <w:p w14:paraId="4355578C" w14:textId="2C54660D" w:rsidR="00E87207" w:rsidRDefault="00E87207" w:rsidP="00E87207">
            <w:pPr>
              <w:pStyle w:val="Bulletstable"/>
            </w:pPr>
            <w:r>
              <w:t>Clinical trials/research</w:t>
            </w:r>
          </w:p>
          <w:p w14:paraId="3CDBCD99" w14:textId="6CA941EA" w:rsidR="00E87207" w:rsidRDefault="00E87207" w:rsidP="00E87207">
            <w:pPr>
              <w:pStyle w:val="Bulletstable"/>
              <w:numPr>
                <w:ilvl w:val="0"/>
                <w:numId w:val="0"/>
              </w:numPr>
              <w:ind w:left="284"/>
            </w:pPr>
          </w:p>
          <w:p w14:paraId="34529170" w14:textId="5EA25106" w:rsidR="001613A8" w:rsidRDefault="001613A8" w:rsidP="00E87207">
            <w:pPr>
              <w:pStyle w:val="Bulletstable"/>
              <w:numPr>
                <w:ilvl w:val="0"/>
                <w:numId w:val="0"/>
              </w:numPr>
              <w:ind w:left="284"/>
            </w:pPr>
          </w:p>
          <w:p w14:paraId="140B3D22" w14:textId="0E34EEB0" w:rsidR="001613A8" w:rsidRDefault="001613A8" w:rsidP="00E87207">
            <w:pPr>
              <w:pStyle w:val="Bulletstable"/>
              <w:numPr>
                <w:ilvl w:val="0"/>
                <w:numId w:val="0"/>
              </w:numPr>
              <w:ind w:left="284"/>
            </w:pPr>
          </w:p>
          <w:p w14:paraId="1FB5854B" w14:textId="77777777" w:rsidR="001613A8" w:rsidRPr="00463600" w:rsidRDefault="001613A8" w:rsidP="00E87207">
            <w:pPr>
              <w:pStyle w:val="Bulletstable"/>
              <w:numPr>
                <w:ilvl w:val="0"/>
                <w:numId w:val="0"/>
              </w:numPr>
              <w:ind w:left="284"/>
            </w:pPr>
          </w:p>
          <w:p w14:paraId="3C0C7060" w14:textId="77777777" w:rsidR="00E87207" w:rsidRDefault="00E87207" w:rsidP="00E87207">
            <w:pPr>
              <w:pStyle w:val="Bulletstable"/>
            </w:pPr>
            <w:r>
              <w:t>End of life care</w:t>
            </w:r>
          </w:p>
          <w:p w14:paraId="443FED8A" w14:textId="77777777" w:rsidR="00E87207" w:rsidRDefault="00E87207" w:rsidP="00E87207">
            <w:pPr>
              <w:pStyle w:val="Bulletstable"/>
            </w:pPr>
            <w:r>
              <w:t>Employment support</w:t>
            </w:r>
          </w:p>
          <w:p w14:paraId="124DAF99" w14:textId="638898BA" w:rsidR="00E87207" w:rsidRPr="00B3200F" w:rsidRDefault="00E87207" w:rsidP="00E87207">
            <w:pPr>
              <w:pStyle w:val="Bulletstable"/>
              <w:rPr>
                <w:b/>
                <w:bCs/>
              </w:rPr>
            </w:pPr>
            <w:r>
              <w:t>Quality of life questionnaires</w:t>
            </w:r>
          </w:p>
        </w:tc>
        <w:tc>
          <w:tcPr>
            <w:tcW w:w="1053" w:type="pct"/>
          </w:tcPr>
          <w:p w14:paraId="407D91EF" w14:textId="77777777" w:rsidR="00E87207" w:rsidRDefault="00E87207" w:rsidP="00E87207">
            <w:pPr>
              <w:pStyle w:val="Tabletext"/>
              <w:spacing w:after="0"/>
            </w:pPr>
          </w:p>
          <w:p w14:paraId="5DA069E4" w14:textId="6E0B3F05" w:rsidR="00E87207" w:rsidRDefault="00E87207" w:rsidP="00E87207">
            <w:pPr>
              <w:pStyle w:val="Bulletstable"/>
            </w:pPr>
            <w:r>
              <w:t>BSNR, BTC, NCRI-ACP-RCP, NHSE&amp;I, SANON</w:t>
            </w:r>
          </w:p>
          <w:p w14:paraId="07B858C1" w14:textId="77777777" w:rsidR="00E87207" w:rsidRDefault="00E87207" w:rsidP="00E87207">
            <w:pPr>
              <w:pStyle w:val="Bulletstable"/>
            </w:pPr>
            <w:r>
              <w:t xml:space="preserve">BT, </w:t>
            </w:r>
            <w:proofErr w:type="spellStart"/>
            <w:r>
              <w:t>CiD</w:t>
            </w:r>
            <w:proofErr w:type="spellEnd"/>
          </w:p>
          <w:p w14:paraId="4631AB38" w14:textId="77777777" w:rsidR="00E87207" w:rsidRDefault="00E87207" w:rsidP="00E87207">
            <w:pPr>
              <w:pStyle w:val="Bulletstable"/>
            </w:pPr>
            <w:r>
              <w:t>SCM</w:t>
            </w:r>
          </w:p>
          <w:p w14:paraId="4956455E" w14:textId="7A826BA4" w:rsidR="00E87207" w:rsidRPr="00E764BD" w:rsidRDefault="00E87207" w:rsidP="00E87207">
            <w:pPr>
              <w:pStyle w:val="Bulletstable"/>
            </w:pPr>
            <w:r>
              <w:t>SCM</w:t>
            </w:r>
          </w:p>
        </w:tc>
        <w:tc>
          <w:tcPr>
            <w:tcW w:w="384" w:type="pct"/>
          </w:tcPr>
          <w:p w14:paraId="2EB77532" w14:textId="77777777" w:rsidR="00E87207" w:rsidRDefault="00E87207" w:rsidP="008E2ABD">
            <w:pPr>
              <w:pStyle w:val="Tabletext"/>
              <w:spacing w:after="0"/>
            </w:pPr>
          </w:p>
          <w:p w14:paraId="0B6B676B" w14:textId="11C7604C" w:rsidR="00E87207" w:rsidRDefault="00E87207" w:rsidP="008E2ABD">
            <w:pPr>
              <w:pStyle w:val="Tabletext"/>
              <w:spacing w:after="0"/>
            </w:pPr>
            <w:r>
              <w:t>No</w:t>
            </w:r>
          </w:p>
          <w:p w14:paraId="28C5F31E" w14:textId="4D0C7F85" w:rsidR="001613A8" w:rsidRDefault="001613A8" w:rsidP="008E2ABD">
            <w:pPr>
              <w:pStyle w:val="Tabletext"/>
              <w:spacing w:after="0"/>
            </w:pPr>
          </w:p>
          <w:p w14:paraId="7384DEF0" w14:textId="4B69A448" w:rsidR="001613A8" w:rsidRDefault="001613A8" w:rsidP="008E2ABD">
            <w:pPr>
              <w:pStyle w:val="Tabletext"/>
              <w:spacing w:after="0"/>
            </w:pPr>
          </w:p>
          <w:p w14:paraId="2ED04B2E" w14:textId="77777777" w:rsidR="001613A8" w:rsidRDefault="001613A8" w:rsidP="008E2ABD">
            <w:pPr>
              <w:pStyle w:val="Tabletext"/>
              <w:spacing w:after="0"/>
            </w:pPr>
          </w:p>
          <w:p w14:paraId="537B16E2" w14:textId="77777777" w:rsidR="00E87207" w:rsidRDefault="00E87207" w:rsidP="008E2ABD">
            <w:pPr>
              <w:pStyle w:val="Tabletext"/>
              <w:spacing w:after="0"/>
            </w:pPr>
          </w:p>
          <w:p w14:paraId="200A6FB8" w14:textId="77777777" w:rsidR="00E87207" w:rsidRDefault="00E87207" w:rsidP="008E2ABD">
            <w:pPr>
              <w:pStyle w:val="Tabletext"/>
              <w:spacing w:after="0"/>
            </w:pPr>
            <w:r>
              <w:t>Yes</w:t>
            </w:r>
          </w:p>
          <w:p w14:paraId="1DD59DDE" w14:textId="77777777" w:rsidR="00E87207" w:rsidRDefault="00E87207" w:rsidP="008E2ABD">
            <w:pPr>
              <w:pStyle w:val="Tabletext"/>
              <w:spacing w:after="0"/>
            </w:pPr>
            <w:r>
              <w:t>Yes</w:t>
            </w:r>
          </w:p>
          <w:p w14:paraId="0DAFF740" w14:textId="13248F91" w:rsidR="00E87207" w:rsidRDefault="00E87207" w:rsidP="008E2ABD">
            <w:pPr>
              <w:pStyle w:val="Tabletext"/>
              <w:spacing w:after="0"/>
            </w:pPr>
            <w:r>
              <w:t>No</w:t>
            </w:r>
          </w:p>
        </w:tc>
        <w:tc>
          <w:tcPr>
            <w:tcW w:w="587" w:type="pct"/>
          </w:tcPr>
          <w:p w14:paraId="6E77C97C" w14:textId="77777777" w:rsidR="00E87207" w:rsidRDefault="00E87207" w:rsidP="003726AE">
            <w:pPr>
              <w:pStyle w:val="Tabletext"/>
              <w:spacing w:after="0"/>
            </w:pPr>
          </w:p>
          <w:p w14:paraId="1910AB4E" w14:textId="07E0E234" w:rsidR="00E87207" w:rsidRDefault="00E87207" w:rsidP="003726AE">
            <w:pPr>
              <w:pStyle w:val="Tabletext"/>
              <w:spacing w:after="0"/>
            </w:pPr>
            <w:r>
              <w:t>No</w:t>
            </w:r>
          </w:p>
          <w:p w14:paraId="5952AB19" w14:textId="537ABF7D" w:rsidR="001613A8" w:rsidRDefault="001613A8" w:rsidP="003726AE">
            <w:pPr>
              <w:pStyle w:val="Tabletext"/>
              <w:spacing w:after="0"/>
            </w:pPr>
          </w:p>
          <w:p w14:paraId="2710FD59" w14:textId="51D3F820" w:rsidR="001613A8" w:rsidRDefault="001613A8" w:rsidP="003726AE">
            <w:pPr>
              <w:pStyle w:val="Tabletext"/>
              <w:spacing w:after="0"/>
            </w:pPr>
          </w:p>
          <w:p w14:paraId="4BE2D7B0" w14:textId="77777777" w:rsidR="001613A8" w:rsidRDefault="001613A8" w:rsidP="003726AE">
            <w:pPr>
              <w:pStyle w:val="Tabletext"/>
              <w:spacing w:after="0"/>
            </w:pPr>
          </w:p>
          <w:p w14:paraId="26AFAD77" w14:textId="77777777" w:rsidR="00E87207" w:rsidRDefault="00E87207" w:rsidP="003726AE">
            <w:pPr>
              <w:pStyle w:val="Tabletext"/>
              <w:spacing w:after="0"/>
            </w:pPr>
          </w:p>
          <w:p w14:paraId="7F74C33B" w14:textId="77777777" w:rsidR="00E87207" w:rsidRDefault="00E87207" w:rsidP="003726AE">
            <w:pPr>
              <w:pStyle w:val="Tabletext"/>
              <w:spacing w:after="0"/>
            </w:pPr>
            <w:r>
              <w:t>Yes</w:t>
            </w:r>
          </w:p>
          <w:p w14:paraId="499A420E" w14:textId="77777777" w:rsidR="00E87207" w:rsidRDefault="00E87207" w:rsidP="003726AE">
            <w:pPr>
              <w:pStyle w:val="Tabletext"/>
              <w:spacing w:after="0"/>
            </w:pPr>
            <w:r>
              <w:t>No</w:t>
            </w:r>
          </w:p>
          <w:p w14:paraId="32AD0C65" w14:textId="127910BD" w:rsidR="00E87207" w:rsidRDefault="00E87207" w:rsidP="003726AE">
            <w:pPr>
              <w:pStyle w:val="Tabletext"/>
              <w:spacing w:after="0"/>
            </w:pPr>
            <w:r>
              <w:t>No</w:t>
            </w:r>
          </w:p>
        </w:tc>
        <w:tc>
          <w:tcPr>
            <w:tcW w:w="553" w:type="pct"/>
          </w:tcPr>
          <w:p w14:paraId="2217BF1D" w14:textId="77777777" w:rsidR="00E87207" w:rsidRDefault="00E87207" w:rsidP="003726AE">
            <w:pPr>
              <w:pStyle w:val="Tabletext"/>
              <w:spacing w:after="0"/>
            </w:pPr>
          </w:p>
          <w:p w14:paraId="3BAF4086" w14:textId="2A8BE851" w:rsidR="00E87207" w:rsidRDefault="00E87207" w:rsidP="003726AE">
            <w:pPr>
              <w:pStyle w:val="Tabletext"/>
              <w:spacing w:after="0"/>
            </w:pPr>
            <w:r>
              <w:t>N</w:t>
            </w:r>
            <w:r w:rsidR="00A76846">
              <w:t>/A</w:t>
            </w:r>
          </w:p>
          <w:p w14:paraId="43C9F00A" w14:textId="350A8DE5" w:rsidR="001613A8" w:rsidRDefault="001613A8" w:rsidP="003726AE">
            <w:pPr>
              <w:pStyle w:val="Tabletext"/>
              <w:spacing w:after="0"/>
            </w:pPr>
          </w:p>
          <w:p w14:paraId="70F250FF" w14:textId="1B1A396E" w:rsidR="001613A8" w:rsidRDefault="001613A8" w:rsidP="003726AE">
            <w:pPr>
              <w:pStyle w:val="Tabletext"/>
              <w:spacing w:after="0"/>
            </w:pPr>
          </w:p>
          <w:p w14:paraId="5819EEED" w14:textId="77777777" w:rsidR="001613A8" w:rsidRDefault="001613A8" w:rsidP="003726AE">
            <w:pPr>
              <w:pStyle w:val="Tabletext"/>
              <w:spacing w:after="0"/>
            </w:pPr>
          </w:p>
          <w:p w14:paraId="3D236ABB" w14:textId="12C25EA1" w:rsidR="00E87207" w:rsidRDefault="00E87207" w:rsidP="003726AE">
            <w:pPr>
              <w:pStyle w:val="Tabletext"/>
              <w:spacing w:after="0"/>
            </w:pPr>
          </w:p>
          <w:p w14:paraId="45B50008" w14:textId="14E23DD8" w:rsidR="00E87207" w:rsidRDefault="008462E5" w:rsidP="003726AE">
            <w:pPr>
              <w:pStyle w:val="Tabletext"/>
              <w:spacing w:after="0"/>
            </w:pPr>
            <w:r>
              <w:t>N/A</w:t>
            </w:r>
          </w:p>
          <w:p w14:paraId="5710E3D3" w14:textId="65AC0DEC" w:rsidR="00E87207" w:rsidRDefault="008462E5" w:rsidP="003726AE">
            <w:pPr>
              <w:pStyle w:val="Tabletext"/>
              <w:spacing w:after="0"/>
            </w:pPr>
            <w:r>
              <w:t>N/A</w:t>
            </w:r>
          </w:p>
          <w:p w14:paraId="149F1644" w14:textId="7764A48F" w:rsidR="008462E5" w:rsidRDefault="008462E5" w:rsidP="003726AE">
            <w:pPr>
              <w:pStyle w:val="Tabletext"/>
              <w:spacing w:after="0"/>
            </w:pPr>
            <w:r>
              <w:t>N/A</w:t>
            </w:r>
          </w:p>
          <w:p w14:paraId="33C156BC" w14:textId="4D4B2680" w:rsidR="00E87207" w:rsidRDefault="00E87207" w:rsidP="003726AE">
            <w:pPr>
              <w:pStyle w:val="Tabletext"/>
              <w:spacing w:after="0"/>
            </w:pPr>
          </w:p>
        </w:tc>
        <w:tc>
          <w:tcPr>
            <w:tcW w:w="608" w:type="pct"/>
          </w:tcPr>
          <w:p w14:paraId="2DA58E4A" w14:textId="77777777" w:rsidR="00E87207" w:rsidRDefault="00E87207" w:rsidP="003726AE">
            <w:pPr>
              <w:pStyle w:val="Tabletext"/>
              <w:spacing w:after="0"/>
            </w:pPr>
          </w:p>
          <w:p w14:paraId="47B68680" w14:textId="75EFDC40" w:rsidR="00E87207" w:rsidRDefault="00E87207" w:rsidP="003726AE">
            <w:pPr>
              <w:pStyle w:val="Tabletext"/>
              <w:spacing w:after="0"/>
            </w:pPr>
            <w:r>
              <w:t>No</w:t>
            </w:r>
          </w:p>
          <w:p w14:paraId="0DE18182" w14:textId="1F320E41" w:rsidR="001613A8" w:rsidRDefault="001613A8" w:rsidP="003726AE">
            <w:pPr>
              <w:pStyle w:val="Tabletext"/>
              <w:spacing w:after="0"/>
            </w:pPr>
          </w:p>
          <w:p w14:paraId="5E5985AA" w14:textId="2B69B17C" w:rsidR="001613A8" w:rsidRDefault="001613A8" w:rsidP="003726AE">
            <w:pPr>
              <w:pStyle w:val="Tabletext"/>
              <w:spacing w:after="0"/>
            </w:pPr>
          </w:p>
          <w:p w14:paraId="10CABD03" w14:textId="77777777" w:rsidR="001613A8" w:rsidRDefault="001613A8" w:rsidP="003726AE">
            <w:pPr>
              <w:pStyle w:val="Tabletext"/>
              <w:spacing w:after="0"/>
            </w:pPr>
          </w:p>
          <w:p w14:paraId="42C7BB25" w14:textId="77777777" w:rsidR="00E87207" w:rsidRDefault="00E87207" w:rsidP="003726AE">
            <w:pPr>
              <w:pStyle w:val="Tabletext"/>
              <w:spacing w:after="0"/>
            </w:pPr>
          </w:p>
          <w:p w14:paraId="5A984A1B" w14:textId="77777777" w:rsidR="00E87207" w:rsidRDefault="00E87207" w:rsidP="003726AE">
            <w:pPr>
              <w:pStyle w:val="Tabletext"/>
              <w:spacing w:after="0"/>
            </w:pPr>
            <w:r>
              <w:t>Yes</w:t>
            </w:r>
          </w:p>
          <w:p w14:paraId="56D2273B" w14:textId="77777777" w:rsidR="00E87207" w:rsidRDefault="00E87207" w:rsidP="003726AE">
            <w:pPr>
              <w:pStyle w:val="Tabletext"/>
              <w:spacing w:after="0"/>
            </w:pPr>
            <w:r>
              <w:t>Yes</w:t>
            </w:r>
          </w:p>
          <w:p w14:paraId="1B292E2F" w14:textId="17602034" w:rsidR="00E87207" w:rsidRDefault="00E87207" w:rsidP="003726AE">
            <w:pPr>
              <w:pStyle w:val="Tabletext"/>
              <w:spacing w:after="0"/>
            </w:pPr>
            <w:r>
              <w:t>No</w:t>
            </w:r>
          </w:p>
        </w:tc>
        <w:tc>
          <w:tcPr>
            <w:tcW w:w="560" w:type="pct"/>
          </w:tcPr>
          <w:p w14:paraId="7186B083" w14:textId="77777777" w:rsidR="00E87207" w:rsidRDefault="00E87207" w:rsidP="003726AE">
            <w:pPr>
              <w:pStyle w:val="Tabletext"/>
              <w:spacing w:after="0"/>
              <w:rPr>
                <w:b/>
                <w:bCs/>
              </w:rPr>
            </w:pPr>
          </w:p>
          <w:p w14:paraId="54EAE73D" w14:textId="4CC1E332" w:rsidR="00E87207" w:rsidRDefault="00E87207" w:rsidP="003726AE">
            <w:pPr>
              <w:pStyle w:val="Tabletext"/>
              <w:spacing w:after="0"/>
              <w:rPr>
                <w:b/>
                <w:bCs/>
              </w:rPr>
            </w:pPr>
            <w:r>
              <w:rPr>
                <w:b/>
                <w:bCs/>
              </w:rPr>
              <w:t>No</w:t>
            </w:r>
          </w:p>
          <w:p w14:paraId="4535DD77" w14:textId="3E7DF213" w:rsidR="001613A8" w:rsidRDefault="001613A8" w:rsidP="003726AE">
            <w:pPr>
              <w:pStyle w:val="Tabletext"/>
              <w:spacing w:after="0"/>
              <w:rPr>
                <w:b/>
                <w:bCs/>
              </w:rPr>
            </w:pPr>
          </w:p>
          <w:p w14:paraId="00BCA690" w14:textId="604E85C0" w:rsidR="001613A8" w:rsidRDefault="001613A8" w:rsidP="003726AE">
            <w:pPr>
              <w:pStyle w:val="Tabletext"/>
              <w:spacing w:after="0"/>
              <w:rPr>
                <w:b/>
                <w:bCs/>
              </w:rPr>
            </w:pPr>
          </w:p>
          <w:p w14:paraId="3F6E13BB" w14:textId="77777777" w:rsidR="001613A8" w:rsidRDefault="001613A8" w:rsidP="003726AE">
            <w:pPr>
              <w:pStyle w:val="Tabletext"/>
              <w:spacing w:after="0"/>
              <w:rPr>
                <w:b/>
                <w:bCs/>
              </w:rPr>
            </w:pPr>
          </w:p>
          <w:p w14:paraId="287BEDE1" w14:textId="77777777" w:rsidR="00E87207" w:rsidRDefault="00E87207" w:rsidP="003726AE">
            <w:pPr>
              <w:pStyle w:val="Tabletext"/>
              <w:spacing w:after="0"/>
              <w:rPr>
                <w:b/>
                <w:bCs/>
              </w:rPr>
            </w:pPr>
          </w:p>
          <w:p w14:paraId="7AA83C9A" w14:textId="77777777" w:rsidR="00E87207" w:rsidRDefault="00E87207" w:rsidP="003726AE">
            <w:pPr>
              <w:pStyle w:val="Tabletext"/>
              <w:spacing w:after="0"/>
              <w:rPr>
                <w:b/>
                <w:bCs/>
              </w:rPr>
            </w:pPr>
            <w:r>
              <w:rPr>
                <w:b/>
                <w:bCs/>
              </w:rPr>
              <w:t>No</w:t>
            </w:r>
          </w:p>
          <w:p w14:paraId="320E6325" w14:textId="77777777" w:rsidR="00E87207" w:rsidRDefault="00E87207" w:rsidP="003726AE">
            <w:pPr>
              <w:pStyle w:val="Tabletext"/>
              <w:spacing w:after="0"/>
              <w:rPr>
                <w:b/>
                <w:bCs/>
              </w:rPr>
            </w:pPr>
            <w:r>
              <w:rPr>
                <w:b/>
                <w:bCs/>
              </w:rPr>
              <w:t>No</w:t>
            </w:r>
          </w:p>
          <w:p w14:paraId="15DD8A48" w14:textId="7280A659" w:rsidR="00E87207" w:rsidRDefault="00E87207" w:rsidP="003726AE">
            <w:pPr>
              <w:pStyle w:val="Tabletext"/>
              <w:spacing w:after="0"/>
              <w:rPr>
                <w:b/>
                <w:bCs/>
              </w:rPr>
            </w:pPr>
            <w:r>
              <w:rPr>
                <w:b/>
                <w:bCs/>
              </w:rPr>
              <w:t>No</w:t>
            </w:r>
          </w:p>
        </w:tc>
      </w:tr>
    </w:tbl>
    <w:bookmarkEnd w:id="101"/>
    <w:p w14:paraId="547B2D11" w14:textId="75276C72" w:rsidR="00114681" w:rsidRPr="004E13B1" w:rsidRDefault="00114681" w:rsidP="00114681">
      <w:pPr>
        <w:pStyle w:val="Paragraph"/>
      </w:pPr>
      <w:r w:rsidRPr="00463600">
        <w:t>Ab</w:t>
      </w:r>
      <w:r w:rsidRPr="004E13B1">
        <w:t xml:space="preserve">breviations: </w:t>
      </w:r>
    </w:p>
    <w:p w14:paraId="147CD6B2" w14:textId="77777777" w:rsidR="00114681" w:rsidRDefault="00114681" w:rsidP="00114681">
      <w:pPr>
        <w:pStyle w:val="Bulletleft1"/>
      </w:pPr>
      <w:r>
        <w:t>BT, Braintrust</w:t>
      </w:r>
    </w:p>
    <w:p w14:paraId="14452543" w14:textId="77777777" w:rsidR="00114681" w:rsidRDefault="00114681" w:rsidP="00114681">
      <w:pPr>
        <w:pStyle w:val="Bulletleft1"/>
      </w:pPr>
      <w:r>
        <w:t>BTC, The Brain Tumour Charity</w:t>
      </w:r>
    </w:p>
    <w:p w14:paraId="3BB33077" w14:textId="77777777" w:rsidR="00114681" w:rsidRDefault="00114681" w:rsidP="00114681">
      <w:pPr>
        <w:pStyle w:val="Bulletleft1"/>
      </w:pPr>
      <w:r>
        <w:t>BTR</w:t>
      </w:r>
      <w:r w:rsidRPr="004E13B1">
        <w:t xml:space="preserve">, </w:t>
      </w:r>
      <w:r>
        <w:t>Brain Tumour Research</w:t>
      </w:r>
    </w:p>
    <w:p w14:paraId="645716C0" w14:textId="77777777" w:rsidR="00114681" w:rsidRDefault="00114681" w:rsidP="00114681">
      <w:pPr>
        <w:pStyle w:val="Bulletleft1"/>
      </w:pPr>
      <w:r>
        <w:t>BSNR, British Society of Neuroradiologists</w:t>
      </w:r>
    </w:p>
    <w:p w14:paraId="7C10B590" w14:textId="77777777" w:rsidR="00114681" w:rsidRDefault="00114681" w:rsidP="00114681">
      <w:pPr>
        <w:pStyle w:val="Bulletleft1"/>
      </w:pPr>
      <w:proofErr w:type="spellStart"/>
      <w:r>
        <w:t>CiD</w:t>
      </w:r>
      <w:proofErr w:type="spellEnd"/>
      <w:r>
        <w:t>, Compassion in Dying</w:t>
      </w:r>
    </w:p>
    <w:p w14:paraId="28125225" w14:textId="77777777" w:rsidR="00114681" w:rsidRDefault="00114681" w:rsidP="00114681">
      <w:pPr>
        <w:pStyle w:val="Bulletleft1"/>
      </w:pPr>
      <w:r>
        <w:t>NCRI-ACP-RCP, National Cancer Research Institute, Association of Cancer Physicians, Royal College of Physicians</w:t>
      </w:r>
    </w:p>
    <w:p w14:paraId="61E62098" w14:textId="77777777" w:rsidR="00114681" w:rsidRDefault="00114681" w:rsidP="00114681">
      <w:pPr>
        <w:pStyle w:val="Bulletleft1"/>
      </w:pPr>
      <w:r>
        <w:t>NHSE&amp;I, NHS England and NHS Improvement</w:t>
      </w:r>
    </w:p>
    <w:p w14:paraId="547D482D" w14:textId="77777777" w:rsidR="00114681" w:rsidRDefault="00114681" w:rsidP="00114681">
      <w:pPr>
        <w:pStyle w:val="Bulletleft1"/>
      </w:pPr>
      <w:r>
        <w:t>P-CNS, Primary Care and Community Neurology Society</w:t>
      </w:r>
    </w:p>
    <w:p w14:paraId="6546C1D5" w14:textId="77777777" w:rsidR="00114681" w:rsidRDefault="00114681" w:rsidP="00114681">
      <w:pPr>
        <w:pStyle w:val="Bulletleft1"/>
      </w:pPr>
      <w:r>
        <w:t>RCN, Royal College of Nursing</w:t>
      </w:r>
    </w:p>
    <w:p w14:paraId="66870043" w14:textId="77777777" w:rsidR="00114681" w:rsidRDefault="00114681" w:rsidP="00114681">
      <w:pPr>
        <w:pStyle w:val="Bulletleft1"/>
      </w:pPr>
      <w:r>
        <w:t xml:space="preserve">SANON, </w:t>
      </w:r>
      <w:r w:rsidRPr="00E456CF">
        <w:t>Scottish Adult Neuro-oncology Network</w:t>
      </w:r>
    </w:p>
    <w:p w14:paraId="6421FC27" w14:textId="77777777" w:rsidR="00114681" w:rsidRPr="004E13B1" w:rsidRDefault="00114681" w:rsidP="00114681">
      <w:pPr>
        <w:pStyle w:val="Bulletleft1"/>
      </w:pPr>
      <w:r>
        <w:t>SBNS, Society of British Neurological Surgeons</w:t>
      </w:r>
    </w:p>
    <w:p w14:paraId="06D36101" w14:textId="77777777" w:rsidR="00114681" w:rsidRDefault="00114681" w:rsidP="00114681">
      <w:pPr>
        <w:pStyle w:val="Bulletleft1"/>
      </w:pPr>
      <w:r w:rsidRPr="00C91BD7">
        <w:t>SCM, Specialist Committee Member</w:t>
      </w:r>
    </w:p>
    <w:p w14:paraId="763D0800" w14:textId="389B5055" w:rsidR="00114681" w:rsidRPr="00114681" w:rsidRDefault="00114681" w:rsidP="00114681">
      <w:pPr>
        <w:pStyle w:val="Bulletleft1last"/>
      </w:pPr>
      <w:r>
        <w:rPr>
          <w:lang w:val="en-GB"/>
        </w:rPr>
        <w:t>SCR, Society and College of Radiographers</w:t>
      </w:r>
    </w:p>
    <w:p w14:paraId="0A5DE22B" w14:textId="77777777" w:rsidR="00114681" w:rsidRDefault="00114681" w:rsidP="00114681">
      <w:pPr>
        <w:pStyle w:val="Paragraph"/>
      </w:pPr>
      <w:r>
        <w:t>F</w:t>
      </w:r>
      <w:r w:rsidRPr="00E12A17">
        <w:t>ull detail</w:t>
      </w:r>
      <w:r>
        <w:t>s</w:t>
      </w:r>
      <w:r w:rsidRPr="00E12A17">
        <w:t xml:space="preserve"> o</w:t>
      </w:r>
      <w:r>
        <w:t>f all</w:t>
      </w:r>
      <w:r w:rsidRPr="00E12A17">
        <w:t xml:space="preserve"> the suggestions </w:t>
      </w:r>
      <w:r>
        <w:t>provided are given in appendix 3</w:t>
      </w:r>
      <w:r w:rsidRPr="00E12A17">
        <w:t xml:space="preserve"> for information.</w:t>
      </w:r>
    </w:p>
    <w:p w14:paraId="39659DA7" w14:textId="77777777" w:rsidR="00114681" w:rsidRDefault="00114681" w:rsidP="00114681">
      <w:pPr>
        <w:pStyle w:val="Bulletleft1last"/>
        <w:numPr>
          <w:ilvl w:val="0"/>
          <w:numId w:val="0"/>
        </w:numPr>
        <w:ind w:left="284" w:hanging="284"/>
      </w:pPr>
    </w:p>
    <w:p w14:paraId="2751460A" w14:textId="77777777" w:rsidR="003B6DDC" w:rsidRDefault="003B6DDC" w:rsidP="003116A1">
      <w:pPr>
        <w:pStyle w:val="Numberedheading1"/>
      </w:pPr>
      <w:r>
        <w:br w:type="page"/>
      </w:r>
      <w:bookmarkStart w:id="102" w:name="_Toc78371501"/>
      <w:r w:rsidR="002C296A">
        <w:t>Suggested improvement area</w:t>
      </w:r>
      <w:r>
        <w:t>s</w:t>
      </w:r>
      <w:bookmarkEnd w:id="102"/>
    </w:p>
    <w:p w14:paraId="73F8A467" w14:textId="77777777" w:rsidR="003116A1" w:rsidRPr="003116A1" w:rsidRDefault="003116A1" w:rsidP="003116A1">
      <w:pPr>
        <w:pStyle w:val="Paragraph"/>
      </w:pPr>
      <w:r w:rsidRPr="003116A1">
        <w:t xml:space="preserve">Section 4 presents a summary of the suggested </w:t>
      </w:r>
      <w:r w:rsidR="003A57C1">
        <w:t xml:space="preserve">improvement </w:t>
      </w:r>
      <w:r w:rsidRPr="003116A1">
        <w:t xml:space="preserve">areas, </w:t>
      </w:r>
      <w:r w:rsidR="006A5EF3">
        <w:t xml:space="preserve">with </w:t>
      </w:r>
      <w:r w:rsidR="006F0D0C" w:rsidRPr="003116A1">
        <w:t xml:space="preserve">provisional </w:t>
      </w:r>
      <w:r w:rsidRPr="003116A1">
        <w:t xml:space="preserve">recommendations that may support statement development and </w:t>
      </w:r>
      <w:r w:rsidR="006A5EF3">
        <w:t xml:space="preserve">information on </w:t>
      </w:r>
      <w:r w:rsidRPr="003116A1">
        <w:t xml:space="preserve">current </w:t>
      </w:r>
      <w:r w:rsidR="006F0D0C">
        <w:t xml:space="preserve">UK </w:t>
      </w:r>
      <w:r w:rsidRPr="003116A1">
        <w:t>practice.</w:t>
      </w:r>
    </w:p>
    <w:p w14:paraId="24C7FB28" w14:textId="05A326B7" w:rsidR="002C296A" w:rsidRPr="00433117" w:rsidRDefault="00B33A8A" w:rsidP="003B6DDC">
      <w:pPr>
        <w:pStyle w:val="Numberedheading2"/>
      </w:pPr>
      <w:bookmarkStart w:id="103" w:name="_Toc78371502"/>
      <w:r>
        <w:t>Investigations</w:t>
      </w:r>
      <w:bookmarkEnd w:id="103"/>
    </w:p>
    <w:p w14:paraId="2529FCD6" w14:textId="1C0BE80F" w:rsidR="00B33A8A" w:rsidRDefault="00B33A8A" w:rsidP="00B33A8A">
      <w:pPr>
        <w:pStyle w:val="Heading3"/>
      </w:pPr>
      <w:r w:rsidRPr="00B33A8A">
        <w:t xml:space="preserve">Rapid access to </w:t>
      </w:r>
      <w:r w:rsidR="002B418E">
        <w:t>Magnetic Resonance Imaging (</w:t>
      </w:r>
      <w:r w:rsidRPr="00B33A8A">
        <w:t>MRI</w:t>
      </w:r>
      <w:r w:rsidR="002B418E">
        <w:t>)</w:t>
      </w:r>
    </w:p>
    <w:p w14:paraId="5BE2E421" w14:textId="52CB7460" w:rsidR="00B33A8A" w:rsidRPr="00D61049" w:rsidRDefault="00D61049" w:rsidP="00D61049">
      <w:pPr>
        <w:pStyle w:val="Paragraphnonumbers"/>
      </w:pPr>
      <w:r w:rsidRPr="00D61049">
        <w:t>Stak</w:t>
      </w:r>
      <w:r>
        <w:t xml:space="preserve">eholders indicated that diagnosis of a brain tumour is often late following presentation </w:t>
      </w:r>
      <w:r w:rsidR="005D5B8B">
        <w:t>in</w:t>
      </w:r>
      <w:r>
        <w:t xml:space="preserve"> an emergency setting</w:t>
      </w:r>
      <w:r w:rsidR="002B418E">
        <w:t>. It is therefore important to improve access to neuroimaging from primary care to support earlier diagnosis</w:t>
      </w:r>
      <w:r w:rsidR="006A27BC">
        <w:t xml:space="preserve"> as some people attend primary care multiple times</w:t>
      </w:r>
      <w:r w:rsidR="002B418E">
        <w:t xml:space="preserve">. </w:t>
      </w:r>
      <w:r w:rsidR="004427DC">
        <w:t>Stakeholders indicated that there needs to be better recognition of the key signs and symptoms in primary care to support earlier referral</w:t>
      </w:r>
      <w:r w:rsidR="006A27BC">
        <w:t xml:space="preserve"> for imaging. </w:t>
      </w:r>
      <w:r w:rsidR="002B418E">
        <w:t>It is important that people with a suspected brain tumour have contrast enhanced MRI</w:t>
      </w:r>
      <w:r w:rsidR="006A27BC">
        <w:t xml:space="preserve"> before referral to the multi-disciplinary team</w:t>
      </w:r>
      <w:r w:rsidR="00F8771E">
        <w:t>, however, some people attend the 2 week wait clinics without an MRI scan.</w:t>
      </w:r>
      <w:r w:rsidR="002B418E">
        <w:t xml:space="preserve"> </w:t>
      </w:r>
      <w:r w:rsidR="00F8771E">
        <w:t>I</w:t>
      </w:r>
      <w:r w:rsidR="002B418E">
        <w:t xml:space="preserve">t was </w:t>
      </w:r>
      <w:r w:rsidR="00483F6A">
        <w:t>noted</w:t>
      </w:r>
      <w:r w:rsidR="002B418E">
        <w:t xml:space="preserve"> that </w:t>
      </w:r>
      <w:r w:rsidR="00F8771E">
        <w:t xml:space="preserve">some </w:t>
      </w:r>
      <w:r w:rsidR="002B418E">
        <w:t>people may have Computed Tomography (CT) initially</w:t>
      </w:r>
      <w:r w:rsidR="00D25F89">
        <w:t xml:space="preserve"> which results in unnecessary radiation</w:t>
      </w:r>
      <w:r w:rsidR="002B418E">
        <w:t>.</w:t>
      </w:r>
      <w:r w:rsidR="006A27BC">
        <w:t xml:space="preserve"> It was suggested that there is currently considerable variation in speed of access to imaging and the imaging modality available. </w:t>
      </w:r>
    </w:p>
    <w:p w14:paraId="28D3F293" w14:textId="77777777" w:rsidR="00491FE4" w:rsidRPr="007B1C0E" w:rsidRDefault="00491FE4" w:rsidP="00B65D9F">
      <w:pPr>
        <w:pStyle w:val="Heading4"/>
      </w:pPr>
      <w:r>
        <w:t>S</w:t>
      </w:r>
      <w:r w:rsidRPr="00CD3D03">
        <w:t xml:space="preserve">elected recommendations </w:t>
      </w:r>
    </w:p>
    <w:p w14:paraId="1DCA3AFF" w14:textId="3C8AC37C" w:rsidR="00886DF4" w:rsidRDefault="00886DF4" w:rsidP="00B65D9F">
      <w:pPr>
        <w:pStyle w:val="Paragraph"/>
      </w:pPr>
      <w:r w:rsidRPr="00886DF4">
        <w:t xml:space="preserve">NICE’s </w:t>
      </w:r>
      <w:r>
        <w:t>guideline on suspected cancer (NG12):</w:t>
      </w:r>
    </w:p>
    <w:p w14:paraId="327A425E" w14:textId="697737B1" w:rsidR="00886DF4" w:rsidRPr="00886DF4" w:rsidRDefault="0020047A" w:rsidP="00B65D9F">
      <w:pPr>
        <w:pStyle w:val="Paragraph"/>
      </w:pPr>
      <w:r>
        <w:t xml:space="preserve">1.9.1 </w:t>
      </w:r>
      <w:r w:rsidRPr="0020047A">
        <w:t>Consider an urgent direct access MRI scan of the brain (or CT scan if MRI is contraindicated) (to be performed within 2 weeks) to assess for brain or central nervous system cancer in adults with progressive, sub</w:t>
      </w:r>
      <w:r w:rsidRPr="0020047A">
        <w:rPr>
          <w:rFonts w:ascii="Cambria Math" w:hAnsi="Cambria Math" w:cs="Cambria Math"/>
        </w:rPr>
        <w:t>‑</w:t>
      </w:r>
      <w:r w:rsidRPr="0020047A">
        <w:t>acute loss of central neurological function.</w:t>
      </w:r>
    </w:p>
    <w:p w14:paraId="302AD3D5" w14:textId="7A167D08" w:rsidR="0020047A" w:rsidRDefault="0020047A" w:rsidP="00B65D9F">
      <w:pPr>
        <w:pStyle w:val="Paragraph"/>
      </w:pPr>
      <w:r w:rsidRPr="0020047A">
        <w:t>N</w:t>
      </w:r>
      <w:r>
        <w:t>ICE’s guideline on b</w:t>
      </w:r>
      <w:r w:rsidRPr="0020047A">
        <w:t>rain tumours (primary) and brain metastases in adults</w:t>
      </w:r>
      <w:r>
        <w:t xml:space="preserve"> (NG99):</w:t>
      </w:r>
    </w:p>
    <w:p w14:paraId="4BC78914" w14:textId="46F7DA93" w:rsidR="0020047A" w:rsidRDefault="007C6722" w:rsidP="007C6722">
      <w:pPr>
        <w:pStyle w:val="Paragraph"/>
      </w:pPr>
      <w:r>
        <w:t xml:space="preserve">1.1.1 </w:t>
      </w:r>
      <w:r w:rsidR="0020047A" w:rsidRPr="0020047A">
        <w:t>Offer standard structural MRI (defined as T2 weighted, FLAIR, DWI series and T1 pre- and post-contrast volume) as the initial diagnostic test for suspected glioma, unless MRI is contraindicated.</w:t>
      </w:r>
    </w:p>
    <w:p w14:paraId="0F5436F7" w14:textId="2333DC56" w:rsidR="0020047A" w:rsidRDefault="007C6722" w:rsidP="0020047A">
      <w:pPr>
        <w:pStyle w:val="Paragraph"/>
      </w:pPr>
      <w:r>
        <w:t xml:space="preserve">1.4.1 </w:t>
      </w:r>
      <w:r w:rsidRPr="007C6722">
        <w:t>Offer standard structural MRI (defined as T2 weighted, FLAIR, DWI series and T1 pre- and post-contrast volume) as the initial diagnostic test for suspected meningioma, unless MRI is contraindicated.</w:t>
      </w:r>
    </w:p>
    <w:p w14:paraId="1798A663" w14:textId="598A1CD1" w:rsidR="007C6722" w:rsidRPr="0020047A" w:rsidRDefault="007C6722" w:rsidP="0020047A">
      <w:pPr>
        <w:pStyle w:val="Paragraph"/>
      </w:pPr>
      <w:r>
        <w:t xml:space="preserve">1.6.1 </w:t>
      </w:r>
      <w:r w:rsidRPr="007C6722">
        <w:t>Offer standard structural MRI (defined as T2 weighted, FLAIR, DWI series and T1 pre- and post-contrast volume) as the initial diagnostic test for suspected brain metastases, unless MRI is contraindicated.</w:t>
      </w:r>
    </w:p>
    <w:p w14:paraId="1F0BC04E" w14:textId="77777777" w:rsidR="001E6B97" w:rsidRDefault="001E6B97" w:rsidP="001E6B97">
      <w:pPr>
        <w:pStyle w:val="Heading4"/>
      </w:pPr>
      <w:r>
        <w:t>Statements in existing quality standards</w:t>
      </w:r>
    </w:p>
    <w:p w14:paraId="20DD4335" w14:textId="56F1E9E3" w:rsidR="001E6B97" w:rsidRDefault="001E6B97" w:rsidP="001E6B97">
      <w:pPr>
        <w:pStyle w:val="Paragraph"/>
      </w:pPr>
      <w:r>
        <w:t>NICE’s quality standard on suspected cancer (QS124)</w:t>
      </w:r>
      <w:r w:rsidR="00A1488B">
        <w:t>,</w:t>
      </w:r>
      <w:r>
        <w:t xml:space="preserve"> statement 1:</w:t>
      </w:r>
    </w:p>
    <w:p w14:paraId="63681E0C" w14:textId="77777777" w:rsidR="001E6B97" w:rsidRPr="00CC11B1" w:rsidRDefault="001E6B97" w:rsidP="001E6B97">
      <w:pPr>
        <w:pStyle w:val="Paragraph"/>
      </w:pPr>
      <w:r w:rsidRPr="00CC11B1">
        <w:t>GPs have direct access to diagnostic endoscopy, ultrasound, MRI, X-ray and CT for people with suspected cancer.</w:t>
      </w:r>
    </w:p>
    <w:p w14:paraId="7B9A518A" w14:textId="77777777" w:rsidR="007B1C0E" w:rsidRPr="00B0030E" w:rsidRDefault="002C296A" w:rsidP="00B65D9F">
      <w:pPr>
        <w:pStyle w:val="Heading4"/>
      </w:pPr>
      <w:r w:rsidRPr="00B0030E">
        <w:t>Current UK practice</w:t>
      </w:r>
    </w:p>
    <w:p w14:paraId="7BFCBAB0" w14:textId="66464C2C" w:rsidR="000E6CEA" w:rsidRDefault="00B478F4" w:rsidP="00F2333B">
      <w:pPr>
        <w:pStyle w:val="Paragraph"/>
      </w:pPr>
      <w:r>
        <w:t xml:space="preserve">The </w:t>
      </w:r>
      <w:hyperlink r:id="rId11" w:history="1">
        <w:r w:rsidRPr="00B478F4">
          <w:rPr>
            <w:rStyle w:val="Hyperlink"/>
          </w:rPr>
          <w:t>Diagnostic Imaging Dataset Annual Statistical Release 2019/20</w:t>
        </w:r>
      </w:hyperlink>
      <w:r>
        <w:t xml:space="preserve"> </w:t>
      </w:r>
      <w:r w:rsidR="00EE24C1">
        <w:t xml:space="preserve">indicated that GP direct referrals for </w:t>
      </w:r>
      <w:r w:rsidR="00931D80">
        <w:t>b</w:t>
      </w:r>
      <w:r w:rsidR="00EE24C1">
        <w:t>rain MRI increased from 31,035</w:t>
      </w:r>
      <w:r>
        <w:t xml:space="preserve"> </w:t>
      </w:r>
      <w:r w:rsidR="00EE24C1">
        <w:t>in 2012-13 to 90,970 in 2019-20. The</w:t>
      </w:r>
      <w:r w:rsidR="00931D80">
        <w:t>re was growth of 4.2% in the number of GP direct referrals for brain MRI between 2018-9 and 2019-20. In 2019-20 GP direct referrals were 11.3% of all referrals for brain MRI</w:t>
      </w:r>
      <w:r w:rsidR="007A6F8B">
        <w:t>.</w:t>
      </w:r>
      <w:r w:rsidR="007376EA">
        <w:t xml:space="preserve"> </w:t>
      </w:r>
    </w:p>
    <w:p w14:paraId="066092D9" w14:textId="1677D982" w:rsidR="00856096" w:rsidRDefault="001517CD" w:rsidP="00F2333B">
      <w:pPr>
        <w:pStyle w:val="Paragraph"/>
      </w:pPr>
      <w:hyperlink r:id="rId12" w:history="1">
        <w:r w:rsidR="00856096" w:rsidRPr="00856096">
          <w:rPr>
            <w:rStyle w:val="Hyperlink"/>
          </w:rPr>
          <w:t>NHS England’s National Cancer Patient Experience Survey 2019</w:t>
        </w:r>
      </w:hyperlink>
      <w:r w:rsidR="00856096">
        <w:t xml:space="preserve"> indicated that 44% of people with brain/central nervous system cancer (sample=299) went straight to hospital about their cancer, 20% saw their GP once before being referred to hospital and 20% saw their GP 3 or more times before being referred.</w:t>
      </w:r>
    </w:p>
    <w:p w14:paraId="72BB56C1" w14:textId="4F3D980C" w:rsidR="00615710" w:rsidRDefault="00C23ACA" w:rsidP="00F2333B">
      <w:pPr>
        <w:pStyle w:val="Paragraph"/>
      </w:pPr>
      <w:r w:rsidRPr="00C23ACA">
        <w:t xml:space="preserve">A </w:t>
      </w:r>
      <w:r>
        <w:t xml:space="preserve">British Journal of General Practice (2018) </w:t>
      </w:r>
      <w:r w:rsidRPr="00C23ACA">
        <w:t xml:space="preserve">report </w:t>
      </w:r>
      <w:r>
        <w:t xml:space="preserve">on </w:t>
      </w:r>
      <w:hyperlink r:id="rId13" w:history="1">
        <w:r w:rsidR="0097125A">
          <w:rPr>
            <w:rStyle w:val="Hyperlink"/>
          </w:rPr>
          <w:t>D</w:t>
        </w:r>
        <w:r w:rsidRPr="00C23ACA">
          <w:rPr>
            <w:rStyle w:val="Hyperlink"/>
          </w:rPr>
          <w:t>iagnosing cancer in primary care: results from the National Cancer Diagnosis Audit</w:t>
        </w:r>
      </w:hyperlink>
      <w:r>
        <w:t xml:space="preserve"> indicated that in 2014</w:t>
      </w:r>
      <w:r w:rsidR="00041443">
        <w:t>,</w:t>
      </w:r>
      <w:r>
        <w:t xml:space="preserve"> </w:t>
      </w:r>
      <w:r w:rsidR="009A1A3B">
        <w:t xml:space="preserve">9% of people </w:t>
      </w:r>
      <w:r w:rsidR="005131FC">
        <w:t xml:space="preserve">diagnosed </w:t>
      </w:r>
      <w:r w:rsidR="009A1A3B">
        <w:t xml:space="preserve">with brain cancer </w:t>
      </w:r>
      <w:r w:rsidR="002B115E">
        <w:t xml:space="preserve">(sample=265) </w:t>
      </w:r>
      <w:r w:rsidR="009A1A3B">
        <w:t xml:space="preserve">were referred through the two week wait route and </w:t>
      </w:r>
      <w:r>
        <w:t>6</w:t>
      </w:r>
      <w:r w:rsidR="00761B24">
        <w:t>5</w:t>
      </w:r>
      <w:r>
        <w:t>%</w:t>
      </w:r>
      <w:r w:rsidR="00761B24">
        <w:t xml:space="preserve"> </w:t>
      </w:r>
      <w:r>
        <w:t xml:space="preserve">were diagnosed following an emergency referral. </w:t>
      </w:r>
      <w:r w:rsidR="00041443">
        <w:t>The report indicated that there was an avoidable delay in diagnosis in 17% of people with brain cancer</w:t>
      </w:r>
      <w:r w:rsidR="00394143">
        <w:t>. 9.3% of patients with brain cancer had primary-care led imaging as part of the diagnostic assessment prior to referral.</w:t>
      </w:r>
    </w:p>
    <w:p w14:paraId="57E88587" w14:textId="1C41279E" w:rsidR="005D5B8B" w:rsidRDefault="00D70D0B" w:rsidP="00B65D9F">
      <w:pPr>
        <w:pStyle w:val="Heading3"/>
      </w:pPr>
      <w:r>
        <w:t>Additional imaging/testing</w:t>
      </w:r>
    </w:p>
    <w:p w14:paraId="42F8251B" w14:textId="49828CE6" w:rsidR="00054842" w:rsidRDefault="00054842" w:rsidP="00D70D0B">
      <w:pPr>
        <w:pStyle w:val="Paragraphnonumbers"/>
      </w:pPr>
      <w:r>
        <w:t xml:space="preserve">Stakeholders suggested that there is a need to ensure that additional </w:t>
      </w:r>
      <w:r w:rsidR="003C02EE">
        <w:t xml:space="preserve">imaging and </w:t>
      </w:r>
      <w:r>
        <w:t>testing is carried out as follows:</w:t>
      </w:r>
    </w:p>
    <w:p w14:paraId="3420A7E6" w14:textId="73923B14" w:rsidR="00B5026F" w:rsidRDefault="00054842" w:rsidP="00054842">
      <w:pPr>
        <w:pStyle w:val="Bulletleft1"/>
      </w:pPr>
      <w:r>
        <w:t>G</w:t>
      </w:r>
      <w:r w:rsidR="00B5026F">
        <w:t xml:space="preserve">ood molecular marker testing </w:t>
      </w:r>
      <w:r>
        <w:t>can</w:t>
      </w:r>
      <w:r w:rsidR="00B5026F">
        <w:t xml:space="preserve"> improve outcomes for people with glioma. This is a new and emerging </w:t>
      </w:r>
      <w:r w:rsidR="00230E10">
        <w:t>area,</w:t>
      </w:r>
      <w:r w:rsidR="00B5026F">
        <w:t xml:space="preserve"> and it is important to highlight best practice to clinicians.</w:t>
      </w:r>
    </w:p>
    <w:p w14:paraId="0A99A41E" w14:textId="5AF75748" w:rsidR="00D70D0B" w:rsidRDefault="00054842" w:rsidP="00054842">
      <w:pPr>
        <w:pStyle w:val="Bulletleft1last"/>
      </w:pPr>
      <w:r>
        <w:rPr>
          <w:lang w:val="en-GB"/>
        </w:rPr>
        <w:t>E</w:t>
      </w:r>
      <w:proofErr w:type="spellStart"/>
      <w:r w:rsidR="00B5026F">
        <w:t>xtracranial</w:t>
      </w:r>
      <w:proofErr w:type="spellEnd"/>
      <w:r w:rsidR="00B5026F">
        <w:t xml:space="preserve"> imaging </w:t>
      </w:r>
      <w:r>
        <w:rPr>
          <w:lang w:val="en-GB"/>
        </w:rPr>
        <w:t>should be</w:t>
      </w:r>
      <w:r w:rsidR="00B5026F">
        <w:t xml:space="preserve"> undertaken for people with metastases that is suitable for focal treatment to support decision making at the </w:t>
      </w:r>
      <w:r w:rsidR="00685B47">
        <w:rPr>
          <w:lang w:val="en-GB"/>
        </w:rPr>
        <w:t>multidisciplinary team</w:t>
      </w:r>
      <w:r w:rsidR="00B5026F">
        <w:t>.</w:t>
      </w:r>
      <w:r w:rsidR="00D70D0B">
        <w:t xml:space="preserve"> </w:t>
      </w:r>
    </w:p>
    <w:p w14:paraId="6945E690" w14:textId="2081F075" w:rsidR="003D6849" w:rsidRDefault="003D6849" w:rsidP="003D6849">
      <w:pPr>
        <w:pStyle w:val="Heading4"/>
      </w:pPr>
      <w:r>
        <w:t>Selected recommendations</w:t>
      </w:r>
    </w:p>
    <w:p w14:paraId="0E8DE405" w14:textId="77777777" w:rsidR="006C6E52" w:rsidRDefault="006C6E52" w:rsidP="006C6E52">
      <w:pPr>
        <w:pStyle w:val="Paragraph"/>
      </w:pPr>
      <w:r w:rsidRPr="0020047A">
        <w:t>N</w:t>
      </w:r>
      <w:r>
        <w:t>ICE’s guideline on b</w:t>
      </w:r>
      <w:r w:rsidRPr="0020047A">
        <w:t>rain tumours (primary) and brain metastases in adults</w:t>
      </w:r>
      <w:r>
        <w:t xml:space="preserve"> (NG99):</w:t>
      </w:r>
    </w:p>
    <w:p w14:paraId="07395719" w14:textId="4EEEC1EB" w:rsidR="006C6E52" w:rsidRPr="006C6E52" w:rsidRDefault="006C6E52" w:rsidP="006C6E52">
      <w:pPr>
        <w:rPr>
          <w:rFonts w:ascii="Arial" w:hAnsi="Arial"/>
        </w:rPr>
      </w:pPr>
      <w:r>
        <w:rPr>
          <w:rFonts w:ascii="Arial" w:hAnsi="Arial"/>
        </w:rPr>
        <w:t xml:space="preserve">1.1.4 </w:t>
      </w:r>
      <w:r w:rsidRPr="006C6E52">
        <w:rPr>
          <w:rFonts w:ascii="Arial" w:hAnsi="Arial"/>
        </w:rPr>
        <w:t xml:space="preserve">Report all glioma specimens according to the latest version of the World Health Organization (WHO) classification of </w:t>
      </w:r>
      <w:proofErr w:type="spellStart"/>
      <w:r w:rsidRPr="006C6E52">
        <w:rPr>
          <w:rFonts w:ascii="Arial" w:hAnsi="Arial"/>
        </w:rPr>
        <w:t>tumors</w:t>
      </w:r>
      <w:proofErr w:type="spellEnd"/>
      <w:r w:rsidRPr="006C6E52">
        <w:rPr>
          <w:rFonts w:ascii="Arial" w:hAnsi="Arial"/>
        </w:rPr>
        <w:t xml:space="preserve"> of the central nervous system. As well as histopathological assessment, include molecular markers such as:</w:t>
      </w:r>
    </w:p>
    <w:p w14:paraId="3DCF1D85" w14:textId="77777777" w:rsidR="006C6E52" w:rsidRPr="006C6E52" w:rsidRDefault="006C6E52" w:rsidP="006C6E52">
      <w:pPr>
        <w:rPr>
          <w:rFonts w:ascii="Arial" w:hAnsi="Arial"/>
        </w:rPr>
      </w:pPr>
    </w:p>
    <w:p w14:paraId="4DAC3D13" w14:textId="77777777" w:rsidR="006C6E52" w:rsidRPr="006C6E52" w:rsidRDefault="006C6E52" w:rsidP="006C6E52">
      <w:pPr>
        <w:pStyle w:val="Bulletleft1"/>
      </w:pPr>
      <w:r w:rsidRPr="006C6E52">
        <w:t>IDH1 and IDH2 mutations</w:t>
      </w:r>
    </w:p>
    <w:p w14:paraId="63AFDFDC" w14:textId="77777777" w:rsidR="006C6E52" w:rsidRPr="006C6E52" w:rsidRDefault="006C6E52" w:rsidP="006C6E52">
      <w:pPr>
        <w:rPr>
          <w:rFonts w:ascii="Arial" w:hAnsi="Arial"/>
        </w:rPr>
      </w:pPr>
    </w:p>
    <w:p w14:paraId="6D2BF294" w14:textId="77777777" w:rsidR="006C6E52" w:rsidRPr="006C6E52" w:rsidRDefault="006C6E52" w:rsidP="006C6E52">
      <w:pPr>
        <w:pStyle w:val="Bulletleft1"/>
      </w:pPr>
      <w:r w:rsidRPr="006C6E52">
        <w:t xml:space="preserve">ATRX mutations to identify IDH mutant </w:t>
      </w:r>
      <w:proofErr w:type="spellStart"/>
      <w:r w:rsidRPr="006C6E52">
        <w:t>astrocytomas</w:t>
      </w:r>
      <w:proofErr w:type="spellEnd"/>
      <w:r w:rsidRPr="006C6E52">
        <w:t xml:space="preserve"> and glioblastomas</w:t>
      </w:r>
    </w:p>
    <w:p w14:paraId="4A061B0A" w14:textId="77777777" w:rsidR="006C6E52" w:rsidRPr="006C6E52" w:rsidRDefault="006C6E52" w:rsidP="006C6E52">
      <w:pPr>
        <w:rPr>
          <w:rFonts w:ascii="Arial" w:hAnsi="Arial"/>
        </w:rPr>
      </w:pPr>
    </w:p>
    <w:p w14:paraId="67483176" w14:textId="77777777" w:rsidR="006C6E52" w:rsidRPr="006C6E52" w:rsidRDefault="006C6E52" w:rsidP="006C6E52">
      <w:pPr>
        <w:pStyle w:val="Bulletleft1"/>
      </w:pPr>
      <w:r w:rsidRPr="006C6E52">
        <w:t>1p/19q codeletion to identify oligodendrogliomas</w:t>
      </w:r>
    </w:p>
    <w:p w14:paraId="579E6C1C" w14:textId="77777777" w:rsidR="006C6E52" w:rsidRPr="006C6E52" w:rsidRDefault="006C6E52" w:rsidP="006C6E52">
      <w:pPr>
        <w:rPr>
          <w:rFonts w:ascii="Arial" w:hAnsi="Arial"/>
        </w:rPr>
      </w:pPr>
    </w:p>
    <w:p w14:paraId="73A64BC1" w14:textId="77777777" w:rsidR="006C6E52" w:rsidRPr="006C6E52" w:rsidRDefault="006C6E52" w:rsidP="006C6E52">
      <w:pPr>
        <w:pStyle w:val="Bulletleft1"/>
      </w:pPr>
      <w:r w:rsidRPr="006C6E52">
        <w:t>histone H3.3 K27M mutations in midline gliomas</w:t>
      </w:r>
    </w:p>
    <w:p w14:paraId="4DB5264B" w14:textId="77777777" w:rsidR="006C6E52" w:rsidRPr="006C6E52" w:rsidRDefault="006C6E52" w:rsidP="006C6E52">
      <w:pPr>
        <w:rPr>
          <w:rFonts w:ascii="Arial" w:hAnsi="Arial"/>
        </w:rPr>
      </w:pPr>
    </w:p>
    <w:p w14:paraId="33F28874" w14:textId="469D2C46" w:rsidR="003D6849" w:rsidRDefault="006C6E52" w:rsidP="006C6E52">
      <w:pPr>
        <w:pStyle w:val="Bulletleft1"/>
      </w:pPr>
      <w:r w:rsidRPr="006C6E52">
        <w:t>BRAF fusion and gene mutation to identify pilocytic astrocytoma.</w:t>
      </w:r>
    </w:p>
    <w:p w14:paraId="3A399A66" w14:textId="77777777" w:rsidR="006C6E52" w:rsidRDefault="006C6E52" w:rsidP="006C6E52">
      <w:pPr>
        <w:pStyle w:val="ListParagraph"/>
      </w:pPr>
    </w:p>
    <w:p w14:paraId="16B85FA2" w14:textId="758A7BC3" w:rsidR="006C6E52" w:rsidRDefault="006C6E52" w:rsidP="006C6E52">
      <w:pPr>
        <w:pStyle w:val="Paragraphnonumbers"/>
      </w:pPr>
      <w:r>
        <w:t xml:space="preserve">1.1.5 </w:t>
      </w:r>
      <w:r w:rsidRPr="006C6E52">
        <w:t>Test all high-grade glioma specimens for MGMT promoter methylation to inform prognosis and guide treatment.</w:t>
      </w:r>
    </w:p>
    <w:p w14:paraId="5CBAD037" w14:textId="29FC3BA2" w:rsidR="006C6E52" w:rsidRDefault="006C6E52" w:rsidP="006C6E52">
      <w:pPr>
        <w:pStyle w:val="Paragraphnonumbers"/>
      </w:pPr>
      <w:r>
        <w:t xml:space="preserve">1.1.6 </w:t>
      </w:r>
      <w:r w:rsidRPr="006C6E52">
        <w:t>Consider testing IDH-wildtype glioma specimens for TERT promoter mutations to inform prognosis.</w:t>
      </w:r>
    </w:p>
    <w:p w14:paraId="4C888367" w14:textId="771BDD68" w:rsidR="00230E10" w:rsidRDefault="00230E10" w:rsidP="006C6E52">
      <w:pPr>
        <w:pStyle w:val="Paragraphnonumbers"/>
      </w:pPr>
      <w:r>
        <w:t xml:space="preserve">1.6.2 </w:t>
      </w:r>
      <w:r w:rsidRPr="00230E10">
        <w:t>To help establish current disease status, offer extracranial imaging (appropriate to the primary tumour type) to people with any radiologically suspected brain metastases that may be suitable for focal treatment.</w:t>
      </w:r>
    </w:p>
    <w:p w14:paraId="0309D266" w14:textId="69755C27" w:rsidR="00CE6F1A" w:rsidRDefault="00CE6F1A" w:rsidP="00CE6F1A">
      <w:pPr>
        <w:pStyle w:val="Heading4"/>
      </w:pPr>
      <w:r>
        <w:t>Current UK practice</w:t>
      </w:r>
    </w:p>
    <w:p w14:paraId="13359F91" w14:textId="68C97D74" w:rsidR="00572404" w:rsidRDefault="00572404" w:rsidP="000026C0">
      <w:pPr>
        <w:pStyle w:val="Paragraphnonumbers"/>
      </w:pPr>
      <w:r w:rsidRPr="00332CF2">
        <w:t xml:space="preserve">The </w:t>
      </w:r>
      <w:hyperlink r:id="rId14" w:history="1">
        <w:r w:rsidRPr="00332CF2">
          <w:rPr>
            <w:rStyle w:val="Hyperlink"/>
          </w:rPr>
          <w:t>Scottish Adult Neuro Oncology Network report of the 2019 clinical audit data for brain and central nervous system cancers</w:t>
        </w:r>
      </w:hyperlink>
      <w:r>
        <w:t xml:space="preserve"> indicated that 48% of patients with biopsied or resected gliomas in Scotland underwent 1p/19q molecular analysis of tumour tissue within 21 days of surgery. This compared with 55% in 2018.</w:t>
      </w:r>
      <w:r w:rsidR="000026C0">
        <w:t xml:space="preserve"> Additionally, 84% of patients with biopsied or resected gliomas in Scotland in 2019 underwent MGMT promoter hypermethylation status testing within 21 days of surgery. This compared with 80% </w:t>
      </w:r>
      <w:r w:rsidR="005671DF">
        <w:t>in 2018.</w:t>
      </w:r>
    </w:p>
    <w:p w14:paraId="008480A5" w14:textId="055D0A19" w:rsidR="0067426A" w:rsidRDefault="0067426A" w:rsidP="00B65D9F">
      <w:pPr>
        <w:pStyle w:val="Heading3"/>
      </w:pPr>
      <w:bookmarkStart w:id="104" w:name="_Hlk61966644"/>
      <w:r w:rsidRPr="0067426A">
        <w:t>Issues for consideration</w:t>
      </w:r>
    </w:p>
    <w:bookmarkEnd w:id="104"/>
    <w:p w14:paraId="7647DA3C" w14:textId="77777777" w:rsidR="00414915" w:rsidRPr="00CC11B1" w:rsidRDefault="00414915" w:rsidP="00414915">
      <w:pPr>
        <w:pStyle w:val="Paragraph"/>
        <w:rPr>
          <w:b/>
          <w:bCs/>
        </w:rPr>
      </w:pPr>
      <w:r w:rsidRPr="00CC11B1">
        <w:rPr>
          <w:b/>
          <w:bCs/>
        </w:rPr>
        <w:t>For discussion:</w:t>
      </w:r>
    </w:p>
    <w:p w14:paraId="432520A3" w14:textId="50B12BB4" w:rsidR="0038006A" w:rsidRDefault="0038006A" w:rsidP="00414915">
      <w:pPr>
        <w:pStyle w:val="Panelbullet1"/>
        <w:spacing w:after="240"/>
      </w:pPr>
      <w:r>
        <w:t xml:space="preserve">Can we add anything to </w:t>
      </w:r>
      <w:r w:rsidR="00D73E37">
        <w:t>the existing quality statement on direct access to diagnostic tests in QS124?</w:t>
      </w:r>
    </w:p>
    <w:p w14:paraId="3D8C14A7" w14:textId="499A6518" w:rsidR="00414915" w:rsidRDefault="00414915" w:rsidP="00414915">
      <w:pPr>
        <w:pStyle w:val="Panelbullet1"/>
        <w:spacing w:after="240"/>
      </w:pPr>
      <w:r w:rsidRPr="00CC11B1">
        <w:t>What is the priority for improvement?</w:t>
      </w:r>
    </w:p>
    <w:p w14:paraId="42011C6A" w14:textId="77777777" w:rsidR="00414915" w:rsidRPr="00CC11B1" w:rsidRDefault="00414915" w:rsidP="00414915">
      <w:pPr>
        <w:pStyle w:val="Panelbullet1"/>
        <w:spacing w:after="240"/>
      </w:pPr>
      <w:r w:rsidRPr="00CC11B1">
        <w:t>What is the key action that will lead to improvement?</w:t>
      </w:r>
    </w:p>
    <w:p w14:paraId="41F784C1" w14:textId="77777777" w:rsidR="00414915" w:rsidRPr="00CC11B1" w:rsidRDefault="00414915" w:rsidP="00414915">
      <w:pPr>
        <w:pStyle w:val="Panelbullet1"/>
        <w:spacing w:after="240"/>
      </w:pPr>
      <w:r w:rsidRPr="00CC11B1">
        <w:t>Can we develop a specific, measurable statement?</w:t>
      </w:r>
    </w:p>
    <w:p w14:paraId="4FACAC3D" w14:textId="77777777" w:rsidR="00414915" w:rsidRPr="00A6218A" w:rsidRDefault="00414915" w:rsidP="00414915">
      <w:pPr>
        <w:pStyle w:val="Paragraph"/>
        <w:rPr>
          <w:b/>
          <w:bCs/>
        </w:rPr>
      </w:pPr>
      <w:r w:rsidRPr="00A6218A">
        <w:rPr>
          <w:b/>
          <w:bCs/>
        </w:rPr>
        <w:t>For decision:</w:t>
      </w:r>
    </w:p>
    <w:p w14:paraId="1671FF77" w14:textId="0C84E950" w:rsidR="00910C02" w:rsidRDefault="00414915" w:rsidP="00241343">
      <w:pPr>
        <w:pStyle w:val="Bulletleft1"/>
      </w:pPr>
      <w:r w:rsidRPr="00624810">
        <w:t>Should this area be prioritised for inclusion in the quality standard?</w:t>
      </w:r>
    </w:p>
    <w:p w14:paraId="2E622843" w14:textId="7E22B0CD" w:rsidR="004510E0" w:rsidRPr="00433117" w:rsidRDefault="003D03CB" w:rsidP="00910C02">
      <w:pPr>
        <w:pStyle w:val="Numberedheading2"/>
      </w:pPr>
      <w:bookmarkStart w:id="105" w:name="_Toc78371503"/>
      <w:r>
        <w:t>Management/treatment</w:t>
      </w:r>
      <w:bookmarkEnd w:id="105"/>
    </w:p>
    <w:p w14:paraId="06AF5661" w14:textId="6507A042" w:rsidR="004510E0" w:rsidRDefault="001222C5" w:rsidP="00C90D08">
      <w:pPr>
        <w:pStyle w:val="Heading3"/>
      </w:pPr>
      <w:r>
        <w:t>Multidisciplinary team</w:t>
      </w:r>
      <w:r w:rsidR="005C2A64">
        <w:t xml:space="preserve"> (MDT)</w:t>
      </w:r>
    </w:p>
    <w:p w14:paraId="0F917805" w14:textId="75F7E495" w:rsidR="00CE4759" w:rsidRPr="00675BD5" w:rsidRDefault="00675BD5" w:rsidP="009920D7">
      <w:pPr>
        <w:pStyle w:val="Paragraph"/>
      </w:pPr>
      <w:r w:rsidRPr="00675BD5">
        <w:t>S</w:t>
      </w:r>
      <w:r>
        <w:t xml:space="preserve">takeholders suggested that it is important that the treatment and care for people with brain </w:t>
      </w:r>
      <w:r w:rsidR="00FA5D62">
        <w:t>cancer is managed by a multidisciplinary team as this can improve patient outcomes and satisfaction</w:t>
      </w:r>
      <w:r w:rsidR="00400640">
        <w:t xml:space="preserve"> and reduce costs</w:t>
      </w:r>
      <w:r w:rsidR="00FA5D62">
        <w:t xml:space="preserve">. It was suggested that the team should include </w:t>
      </w:r>
      <w:r w:rsidR="00400640">
        <w:t>specialists</w:t>
      </w:r>
      <w:r w:rsidR="0068117E">
        <w:t xml:space="preserve"> and</w:t>
      </w:r>
      <w:r w:rsidR="00400640">
        <w:t xml:space="preserve"> </w:t>
      </w:r>
      <w:r w:rsidR="00FA5D62">
        <w:t>allied health professionals</w:t>
      </w:r>
      <w:r w:rsidR="00400640">
        <w:t xml:space="preserve"> and that single consultant clinics/services should be avoided</w:t>
      </w:r>
      <w:r w:rsidR="00FA5D62">
        <w:t>.</w:t>
      </w:r>
      <w:r w:rsidR="00400640">
        <w:t xml:space="preserve"> </w:t>
      </w:r>
      <w:r w:rsidR="0068117E">
        <w:t>Monitoring of treatment related morbidity and mortality was felt to be important to ensure that treatment is undertaken in people who can benefit from it.</w:t>
      </w:r>
    </w:p>
    <w:p w14:paraId="5AB614CF" w14:textId="77777777" w:rsidR="004510E0" w:rsidRPr="00F45FBA" w:rsidRDefault="004510E0" w:rsidP="00A673EB">
      <w:pPr>
        <w:pStyle w:val="Heading4"/>
      </w:pPr>
      <w:r>
        <w:t>S</w:t>
      </w:r>
      <w:r w:rsidRPr="00CD3D03">
        <w:t xml:space="preserve">elected recommendations </w:t>
      </w:r>
    </w:p>
    <w:p w14:paraId="419F73EB" w14:textId="77777777" w:rsidR="0068117E" w:rsidRDefault="0068117E" w:rsidP="00A673EB">
      <w:pPr>
        <w:pStyle w:val="Paragraph"/>
      </w:pPr>
      <w:r w:rsidRPr="0068117E">
        <w:t>NICE’s guideline on brain tumours (primary) and brain metastases in adults (NG99):</w:t>
      </w:r>
    </w:p>
    <w:p w14:paraId="293200E7" w14:textId="0A1594E7" w:rsidR="0068117E" w:rsidRDefault="00324C6A" w:rsidP="00A673EB">
      <w:pPr>
        <w:pStyle w:val="Paragraph"/>
      </w:pPr>
      <w:r>
        <w:t xml:space="preserve">1.1.2 </w:t>
      </w:r>
      <w:r w:rsidRPr="00324C6A">
        <w:t>Refer people with a suspected glioma to a specialist multidisciplinary team at first radiological diagnosis for management of their tumour.</w:t>
      </w:r>
    </w:p>
    <w:p w14:paraId="61CBEA4F" w14:textId="77777777" w:rsidR="00DA44A9" w:rsidRDefault="00DA44A9" w:rsidP="00DA44A9">
      <w:pPr>
        <w:pStyle w:val="Paragraph"/>
      </w:pPr>
      <w:r>
        <w:t>1.2.1 The surgical expertise in the multidisciplinary team should include:</w:t>
      </w:r>
    </w:p>
    <w:p w14:paraId="08808506" w14:textId="77777777" w:rsidR="00DA44A9" w:rsidRDefault="00DA44A9" w:rsidP="00DA44A9">
      <w:pPr>
        <w:pStyle w:val="Bulletleft1"/>
      </w:pPr>
      <w:r>
        <w:t>access to awake craniotomy with language and other appropriate functional monitoring and</w:t>
      </w:r>
    </w:p>
    <w:p w14:paraId="3DFA1FCC" w14:textId="77777777" w:rsidR="00DA44A9" w:rsidRDefault="00DA44A9" w:rsidP="00DA44A9">
      <w:pPr>
        <w:pStyle w:val="Bulletleft1"/>
      </w:pPr>
      <w:r>
        <w:t>expertise in intraoperative neurophysiological monitoring and</w:t>
      </w:r>
    </w:p>
    <w:p w14:paraId="607A424D" w14:textId="77777777" w:rsidR="00DA44A9" w:rsidRDefault="00DA44A9" w:rsidP="00DA44A9">
      <w:pPr>
        <w:pStyle w:val="Bulletleft1"/>
      </w:pPr>
      <w:r>
        <w:t>access to neuroradiological support and</w:t>
      </w:r>
    </w:p>
    <w:p w14:paraId="78FE1817" w14:textId="526366E1" w:rsidR="00324C6A" w:rsidRDefault="00DA44A9" w:rsidP="00DA44A9">
      <w:pPr>
        <w:pStyle w:val="Bulletleft1"/>
      </w:pPr>
      <w:r>
        <w:t>access to intraoperative image guidance.</w:t>
      </w:r>
    </w:p>
    <w:p w14:paraId="46202543" w14:textId="01471349" w:rsidR="00DA44A9" w:rsidRDefault="00033BBD" w:rsidP="00033BBD">
      <w:pPr>
        <w:pStyle w:val="Paragraph"/>
      </w:pPr>
      <w:r>
        <w:t>NICE’s guidance on cancer services: improving outcomes for people with brain and other CNS tumours (CSG10, key recommendations):</w:t>
      </w:r>
    </w:p>
    <w:p w14:paraId="5A1EA3BE" w14:textId="6887AB72" w:rsidR="00033BBD" w:rsidRDefault="00033BBD" w:rsidP="00033BBD">
      <w:pPr>
        <w:pStyle w:val="Paragraphnonumbers"/>
        <w:rPr>
          <w:lang w:eastAsia="en-US"/>
        </w:rPr>
      </w:pPr>
      <w:r>
        <w:rPr>
          <w:lang w:eastAsia="en-US"/>
        </w:rPr>
        <w:t>The care of all patients with brain and other central nervous system (CNS) tumours should be coordinated through a specific model of multidisciplinary assessment and care:</w:t>
      </w:r>
    </w:p>
    <w:p w14:paraId="647C8A29" w14:textId="7E76EE72" w:rsidR="00033BBD" w:rsidRDefault="00033BBD" w:rsidP="00033BBD">
      <w:pPr>
        <w:pStyle w:val="Bulletleft1"/>
      </w:pPr>
      <w:r>
        <w:t xml:space="preserve">a designated lead in every acute trust (see </w:t>
      </w:r>
      <w:hyperlink r:id="rId15" w:history="1">
        <w:r w:rsidRPr="003D56A2">
          <w:rPr>
            <w:rStyle w:val="Hyperlink"/>
          </w:rPr>
          <w:t>Table 6</w:t>
        </w:r>
      </w:hyperlink>
      <w:r>
        <w:t>)</w:t>
      </w:r>
    </w:p>
    <w:p w14:paraId="22A8D5BB" w14:textId="14EBD430" w:rsidR="00033BBD" w:rsidRDefault="00033BBD" w:rsidP="00521F8A">
      <w:pPr>
        <w:pStyle w:val="Bulletleft1"/>
      </w:pPr>
      <w:r>
        <w:t>a neuroscience brain and other CNS tumours</w:t>
      </w:r>
      <w:r w:rsidR="00ED5C1C">
        <w:t xml:space="preserve"> </w:t>
      </w:r>
      <w:r>
        <w:t xml:space="preserve">multidisciplinary team (MDT), usually based at a neuroscience centre (see </w:t>
      </w:r>
      <w:hyperlink r:id="rId16" w:history="1">
        <w:r w:rsidRPr="003D56A2">
          <w:rPr>
            <w:rStyle w:val="Hyperlink"/>
          </w:rPr>
          <w:t>Tables 7 and 8)</w:t>
        </w:r>
      </w:hyperlink>
    </w:p>
    <w:p w14:paraId="4CB4EE3A" w14:textId="005EE2C9" w:rsidR="00033BBD" w:rsidRDefault="00033BBD" w:rsidP="00033BBD">
      <w:pPr>
        <w:pStyle w:val="Bulletleft1"/>
      </w:pPr>
      <w:r>
        <w:t xml:space="preserve">a cancer network brain and other CNS tumours MDT (see Tables </w:t>
      </w:r>
      <w:hyperlink r:id="rId17" w:history="1">
        <w:r w:rsidRPr="003D56A2">
          <w:rPr>
            <w:rStyle w:val="Hyperlink"/>
          </w:rPr>
          <w:t>9 and 10</w:t>
        </w:r>
      </w:hyperlink>
      <w:r>
        <w:t>)</w:t>
      </w:r>
    </w:p>
    <w:p w14:paraId="3FEB4350" w14:textId="19A68C39" w:rsidR="00033BBD" w:rsidRDefault="00033BBD" w:rsidP="00033BBD">
      <w:pPr>
        <w:pStyle w:val="Bulletleft1last"/>
      </w:pPr>
      <w:r>
        <w:t>a key worker</w:t>
      </w:r>
    </w:p>
    <w:p w14:paraId="4E298BCA" w14:textId="78894B71" w:rsidR="004510E0" w:rsidRDefault="004510E0" w:rsidP="00A673EB">
      <w:pPr>
        <w:pStyle w:val="Heading4"/>
      </w:pPr>
      <w:bookmarkStart w:id="106" w:name="_Hlk72243743"/>
      <w:r>
        <w:t>Current UK practice</w:t>
      </w:r>
    </w:p>
    <w:bookmarkEnd w:id="106"/>
    <w:p w14:paraId="57F2A387" w14:textId="62E1110D" w:rsidR="00332CF2" w:rsidRPr="00332CF2" w:rsidRDefault="00332CF2" w:rsidP="00CE4759">
      <w:pPr>
        <w:pStyle w:val="Paragraph"/>
      </w:pPr>
      <w:r w:rsidRPr="00332CF2">
        <w:t xml:space="preserve">The </w:t>
      </w:r>
      <w:hyperlink r:id="rId18" w:history="1">
        <w:r w:rsidRPr="00332CF2">
          <w:rPr>
            <w:rStyle w:val="Hyperlink"/>
          </w:rPr>
          <w:t>Scottish Adult Neuro Oncology Network report of the 2019 clinical audit data for brain and central nervous system cancers</w:t>
        </w:r>
      </w:hyperlink>
      <w:r>
        <w:t xml:space="preserve"> indicated that 74% of patients with brain/CNS cancer in Scotland were discussed at MDT meeting before surgery. This compared to 77% in 2018.</w:t>
      </w:r>
    </w:p>
    <w:p w14:paraId="43617917" w14:textId="7496C126" w:rsidR="00C90D08" w:rsidRDefault="00C90D08" w:rsidP="00C90D08">
      <w:pPr>
        <w:pStyle w:val="Heading3"/>
      </w:pPr>
      <w:r>
        <w:t>Treatment pathway</w:t>
      </w:r>
    </w:p>
    <w:p w14:paraId="567CB1B6" w14:textId="7C192968" w:rsidR="00C90D08" w:rsidRDefault="00BB1AC7" w:rsidP="00BB1AC7">
      <w:pPr>
        <w:pStyle w:val="Paragraph"/>
      </w:pPr>
      <w:r>
        <w:t xml:space="preserve">Stakeholders suggested </w:t>
      </w:r>
      <w:r w:rsidR="00415095">
        <w:t>changes</w:t>
      </w:r>
      <w:r>
        <w:t xml:space="preserve"> to the treatment pathway </w:t>
      </w:r>
      <w:r w:rsidR="00D52ED9">
        <w:t xml:space="preserve">to improve outcomes for </w:t>
      </w:r>
      <w:r>
        <w:t>people with brain cancer as follows:</w:t>
      </w:r>
    </w:p>
    <w:p w14:paraId="46082D1E" w14:textId="6C5676DC" w:rsidR="00BB1AC7" w:rsidRDefault="00BB1AC7" w:rsidP="00BB1AC7">
      <w:pPr>
        <w:pStyle w:val="Bulletleft1"/>
      </w:pPr>
      <w:r>
        <w:t xml:space="preserve">Include </w:t>
      </w:r>
      <w:proofErr w:type="spellStart"/>
      <w:r>
        <w:t>prehabilitation</w:t>
      </w:r>
      <w:proofErr w:type="spellEnd"/>
      <w:r>
        <w:t xml:space="preserve"> to improve treatment effectiveness and survival</w:t>
      </w:r>
    </w:p>
    <w:p w14:paraId="60F71863" w14:textId="4B88CB75" w:rsidR="00BB1AC7" w:rsidRDefault="00BB1AC7" w:rsidP="00BB1AC7">
      <w:pPr>
        <w:pStyle w:val="Bulletleft1"/>
      </w:pPr>
      <w:r>
        <w:t>Schedule elective</w:t>
      </w:r>
      <w:r w:rsidR="00D52ED9">
        <w:t xml:space="preserve"> rather than emergency </w:t>
      </w:r>
      <w:r>
        <w:t>admission for surgery and plan discharge 24-48 hours post-surgery</w:t>
      </w:r>
    </w:p>
    <w:p w14:paraId="05E9B867" w14:textId="25DB4159" w:rsidR="00BB1AC7" w:rsidRDefault="00D52ED9" w:rsidP="00BB1AC7">
      <w:pPr>
        <w:pStyle w:val="Bulletleft1"/>
      </w:pPr>
      <w:r>
        <w:t>Reduce the time from MDT discussion to surgical clinic pathway to 1 week</w:t>
      </w:r>
    </w:p>
    <w:p w14:paraId="6766BD22" w14:textId="20792EC6" w:rsidR="00D52ED9" w:rsidRDefault="00D52ED9" w:rsidP="00BB1AC7">
      <w:pPr>
        <w:pStyle w:val="Bulletleft1"/>
      </w:pPr>
      <w:r>
        <w:t>Reduce the pathway from decision for surgery to surgery from 31 to 14 days</w:t>
      </w:r>
    </w:p>
    <w:p w14:paraId="64042E48" w14:textId="70815696" w:rsidR="00D52ED9" w:rsidRPr="00C90D08" w:rsidRDefault="00D52ED9" w:rsidP="00BB1AC7">
      <w:pPr>
        <w:pStyle w:val="Bulletleft1"/>
      </w:pPr>
      <w:r>
        <w:t>Reduce the post-surgery to radiotherapy pathway for primary brain cancer to 4 weeks</w:t>
      </w:r>
    </w:p>
    <w:p w14:paraId="3C0F47F7" w14:textId="27072CE4" w:rsidR="00D52ED9" w:rsidRDefault="00D52ED9" w:rsidP="00D52ED9">
      <w:pPr>
        <w:pStyle w:val="Heading4"/>
      </w:pPr>
      <w:r w:rsidRPr="00D52ED9">
        <w:t>Selected recommendations</w:t>
      </w:r>
    </w:p>
    <w:p w14:paraId="12565C4E" w14:textId="42B7DF0F" w:rsidR="00AE3E52" w:rsidRPr="00D52ED9" w:rsidRDefault="00AE3E52" w:rsidP="00AE3E52">
      <w:pPr>
        <w:pStyle w:val="Paragraph"/>
      </w:pPr>
      <w:r>
        <w:t>This area is n</w:t>
      </w:r>
      <w:r w:rsidRPr="00AE3E52">
        <w:t xml:space="preserve">ot directly covered in </w:t>
      </w:r>
      <w:r>
        <w:t>NICE guidelines</w:t>
      </w:r>
      <w:r w:rsidRPr="00AE3E52">
        <w:t xml:space="preserve"> and no recommendations are presented</w:t>
      </w:r>
      <w:r>
        <w:t>.</w:t>
      </w:r>
    </w:p>
    <w:p w14:paraId="44180C29" w14:textId="1C240674" w:rsidR="00D52ED9" w:rsidRDefault="00D52ED9" w:rsidP="00D52ED9">
      <w:pPr>
        <w:pStyle w:val="Heading4"/>
      </w:pPr>
      <w:r w:rsidRPr="00D52ED9">
        <w:t>Current UK practice</w:t>
      </w:r>
    </w:p>
    <w:p w14:paraId="2D185DD8" w14:textId="6571E58E" w:rsidR="00F361FE" w:rsidRDefault="00ED6C03" w:rsidP="00ED6C03">
      <w:pPr>
        <w:pStyle w:val="Paragraph"/>
      </w:pPr>
      <w:r w:rsidRPr="00B37AAF">
        <w:t xml:space="preserve">The 2018 </w:t>
      </w:r>
      <w:hyperlink r:id="rId19" w:history="1">
        <w:r w:rsidRPr="00B37AAF">
          <w:rPr>
            <w:rStyle w:val="Hyperlink"/>
          </w:rPr>
          <w:t>Getting it Right First Time (GIRFT) report on cranial neurosurgery</w:t>
        </w:r>
      </w:hyperlink>
      <w:r w:rsidRPr="00B37AAF">
        <w:t xml:space="preserve"> </w:t>
      </w:r>
      <w:r w:rsidR="00B37AAF" w:rsidRPr="00B37AAF">
        <w:t xml:space="preserve">indicated </w:t>
      </w:r>
      <w:r w:rsidRPr="00B37AAF">
        <w:t>that several providers stated that they admit patients diagnosed with high-grade glioma on the point of referral. Once in the hospital, the patients are placed on the non-elective list for emergency surgery – theoretically providing the quickest route to removal. However, emergency surgery then proves hard to schedule. Glioma patients are invariably pushed down that list when other patients are admitted with more urgent conditions. This in turn means the glioma patients may find themselves in hospital for some days before they are operated on. On average, glioma patients admitted on referral waited three days in hospital before surgery. However, 18% of patients didn’t have surgery until six or more days after admission. The report</w:t>
      </w:r>
      <w:r>
        <w:t xml:space="preserve"> </w:t>
      </w:r>
      <w:r w:rsidR="00EF6EAF">
        <w:t>recommended that there should be an urgent elective pathway for glioma as patients are managed more effectively via the elective stream with average length of stay of 6.4 days compared to 13.4 days for those admitted non-electively.</w:t>
      </w:r>
    </w:p>
    <w:p w14:paraId="74F40FA8" w14:textId="3AED1FB3" w:rsidR="00F361FE" w:rsidRDefault="00F361FE" w:rsidP="00F361FE">
      <w:pPr>
        <w:pStyle w:val="Heading3"/>
      </w:pPr>
      <w:r>
        <w:t>Maximal safe surgical resection</w:t>
      </w:r>
    </w:p>
    <w:p w14:paraId="35E5F3FD" w14:textId="6853DB59" w:rsidR="00F361FE" w:rsidRPr="00F361FE" w:rsidRDefault="00A90133" w:rsidP="00A90133">
      <w:pPr>
        <w:pStyle w:val="Paragraph"/>
      </w:pPr>
      <w:r>
        <w:t xml:space="preserve">Stakeholders highlighted the importance of maximal safe surgical resection for high grade glioma </w:t>
      </w:r>
      <w:r w:rsidR="002F06B0">
        <w:t>to</w:t>
      </w:r>
      <w:r>
        <w:t xml:space="preserve"> improve </w:t>
      </w:r>
      <w:r w:rsidR="00803A9D">
        <w:t xml:space="preserve">prognosis and </w:t>
      </w:r>
      <w:r>
        <w:t>survival. Usage of 5ALA guidance can help to achieve this. Altho</w:t>
      </w:r>
      <w:r w:rsidR="00803A9D">
        <w:t>ugh all UK neurosurgery units now have access to 5ALA</w:t>
      </w:r>
      <w:r w:rsidR="002F06B0">
        <w:t>,</w:t>
      </w:r>
      <w:r w:rsidR="00803A9D">
        <w:t xml:space="preserve"> rates of usage vary. A stakeholder also emphasised the importance of ensuring that surgical neuro-oncologists are up to date with the latest technology </w:t>
      </w:r>
      <w:r w:rsidR="00A60F25">
        <w:t xml:space="preserve">and </w:t>
      </w:r>
      <w:r w:rsidR="00803A9D">
        <w:t>the use of intraoperative ultrasound or MRI</w:t>
      </w:r>
      <w:r w:rsidR="00A60F25">
        <w:t xml:space="preserve"> was also recommended</w:t>
      </w:r>
      <w:r w:rsidR="00803A9D">
        <w:t>.</w:t>
      </w:r>
      <w:r w:rsidR="008E76CD">
        <w:t xml:space="preserve"> It was suggested that access to intra-operative imaging varies.</w:t>
      </w:r>
    </w:p>
    <w:p w14:paraId="16D4AFFF" w14:textId="600FF4B8" w:rsidR="00F361FE" w:rsidRDefault="00F361FE" w:rsidP="00F361FE">
      <w:pPr>
        <w:pStyle w:val="Heading4"/>
      </w:pPr>
      <w:r>
        <w:t>Selected recommendations</w:t>
      </w:r>
    </w:p>
    <w:p w14:paraId="3C2DD127" w14:textId="77777777" w:rsidR="002F06B0" w:rsidRDefault="002F06B0" w:rsidP="002F06B0">
      <w:pPr>
        <w:pStyle w:val="Paragraph"/>
      </w:pPr>
      <w:r w:rsidRPr="0068117E">
        <w:t>NICE’s guideline on brain tumours (primary) and brain metastases in adults (NG99):</w:t>
      </w:r>
    </w:p>
    <w:p w14:paraId="5F2C20A4" w14:textId="6712BD8B" w:rsidR="00F361FE" w:rsidRDefault="002F06B0" w:rsidP="002F06B0">
      <w:pPr>
        <w:pStyle w:val="Paragraph"/>
      </w:pPr>
      <w:r>
        <w:t xml:space="preserve">1.2.36 </w:t>
      </w:r>
      <w:r w:rsidRPr="002F06B0">
        <w:t>If a person has a radiologically enhancing suspected high-grade glioma and the multidisciplinary team thinks that surgical resection of all enhancing tumour is possible, offer 5</w:t>
      </w:r>
      <w:r w:rsidRPr="002F06B0">
        <w:rPr>
          <w:rFonts w:ascii="Cambria Math" w:hAnsi="Cambria Math" w:cs="Cambria Math"/>
        </w:rPr>
        <w:t>‑</w:t>
      </w:r>
      <w:r w:rsidRPr="002F06B0">
        <w:t>aminolevulinic acid (5</w:t>
      </w:r>
      <w:r w:rsidRPr="002F06B0">
        <w:rPr>
          <w:rFonts w:ascii="Cambria Math" w:hAnsi="Cambria Math" w:cs="Cambria Math"/>
        </w:rPr>
        <w:t>‑</w:t>
      </w:r>
      <w:r w:rsidRPr="002F06B0">
        <w:t>ALA)-guided resection as an adjunct to maximise resection at initial surgery.</w:t>
      </w:r>
    </w:p>
    <w:p w14:paraId="54FE7083" w14:textId="6B8EEAC3" w:rsidR="002F06B0" w:rsidRDefault="002F06B0" w:rsidP="002F06B0">
      <w:pPr>
        <w:pStyle w:val="Paragraph"/>
      </w:pPr>
      <w:r>
        <w:t xml:space="preserve">1.2.37 </w:t>
      </w:r>
      <w:r w:rsidRPr="002F06B0">
        <w:t>Consider intraoperative MRI to help achieve surgical resection of both low-grade and high-grade glioma while preserving neurological function</w:t>
      </w:r>
      <w:r w:rsidR="002171A1">
        <w:t>,</w:t>
      </w:r>
      <w:r w:rsidRPr="002F06B0">
        <w:t xml:space="preserve"> unless MRI is contraindicated.</w:t>
      </w:r>
    </w:p>
    <w:p w14:paraId="639C0EBC" w14:textId="5795CD79" w:rsidR="002F06B0" w:rsidRDefault="002F06B0" w:rsidP="002F06B0">
      <w:pPr>
        <w:pStyle w:val="Paragraph"/>
      </w:pPr>
      <w:r>
        <w:t xml:space="preserve">1.2.38 </w:t>
      </w:r>
      <w:r w:rsidRPr="002F06B0">
        <w:t>Consider intraoperative ultrasound to help achieve surgical resection of both low-grade and high-grade glioma.</w:t>
      </w:r>
    </w:p>
    <w:p w14:paraId="52411D20" w14:textId="5B14A674" w:rsidR="00D52ED9" w:rsidRDefault="00F361FE" w:rsidP="00F361FE">
      <w:pPr>
        <w:pStyle w:val="Heading4"/>
      </w:pPr>
      <w:r>
        <w:t>Current UK practice</w:t>
      </w:r>
    </w:p>
    <w:p w14:paraId="42428C9A" w14:textId="272A7D81" w:rsidR="00B9558A" w:rsidRDefault="00BF2A1D" w:rsidP="00BF2A1D">
      <w:pPr>
        <w:pStyle w:val="Paragraph"/>
      </w:pPr>
      <w:r w:rsidRPr="00332CF2">
        <w:t xml:space="preserve">The </w:t>
      </w:r>
      <w:hyperlink r:id="rId20" w:history="1">
        <w:r w:rsidRPr="00332CF2">
          <w:rPr>
            <w:rStyle w:val="Hyperlink"/>
          </w:rPr>
          <w:t>Scottish Adult Neuro Oncology Network report of the 2019 clinical audit data for brain and central nervous system cancers</w:t>
        </w:r>
      </w:hyperlink>
      <w:r>
        <w:t xml:space="preserve"> indicated that 75% of patients in Scotland with malignant glioma (with enhancing component on preoperative imaging) underwent surgical resection where 90% or greater reduction in tumour volume was achieved provided it was considered consistent with safe outcome. This compared with 59% in 2018.</w:t>
      </w:r>
    </w:p>
    <w:p w14:paraId="241D7683" w14:textId="7F1E579F" w:rsidR="007E1B8E" w:rsidRPr="00B9558A" w:rsidRDefault="007E1B8E" w:rsidP="00BF2A1D">
      <w:pPr>
        <w:pStyle w:val="Paragraph"/>
      </w:pPr>
      <w:r>
        <w:t xml:space="preserve">The </w:t>
      </w:r>
      <w:hyperlink r:id="rId21" w:history="1">
        <w:r w:rsidRPr="007E1B8E">
          <w:rPr>
            <w:rStyle w:val="Hyperlink"/>
          </w:rPr>
          <w:t>2019/20 annual report for The Brain Tumour Charity</w:t>
        </w:r>
      </w:hyperlink>
      <w:r>
        <w:t xml:space="preserve"> indicated that 5-ALA is now available in all treatment centres across the UK.</w:t>
      </w:r>
    </w:p>
    <w:p w14:paraId="49A4B122" w14:textId="346888A2" w:rsidR="00F361FE" w:rsidRDefault="00026612" w:rsidP="00B9558A">
      <w:pPr>
        <w:pStyle w:val="Heading3"/>
      </w:pPr>
      <w:r>
        <w:t>Ster</w:t>
      </w:r>
      <w:r w:rsidR="00B9558A">
        <w:t xml:space="preserve">eotactic radiosurgery for </w:t>
      </w:r>
      <w:r w:rsidR="003F1920">
        <w:t xml:space="preserve">multiple </w:t>
      </w:r>
      <w:r w:rsidR="00B9558A">
        <w:t>brain metastases</w:t>
      </w:r>
    </w:p>
    <w:p w14:paraId="3BD3A18F" w14:textId="74420178" w:rsidR="003F1920" w:rsidRPr="003F1920" w:rsidRDefault="003F1920" w:rsidP="003F1920">
      <w:pPr>
        <w:pStyle w:val="Paragraph"/>
      </w:pPr>
      <w:r>
        <w:t>It was suggested that focal treatment for brain metastases can provide lasting control without further neurocognitive impact.</w:t>
      </w:r>
      <w:r w:rsidR="005849D5">
        <w:t xml:space="preserve"> Stereotactic radiosurgery (SRS) can help people with multiple brain metastases, good performance status and controlled/controllable extra-cranial disease. </w:t>
      </w:r>
      <w:r w:rsidR="005C2A64">
        <w:t>It was reported that c</w:t>
      </w:r>
      <w:r w:rsidR="005849D5">
        <w:t>urrently the number of centres offering SRS is limited and people may have to be referred to a centre outside their region which can be a barrier to accessing treatment.</w:t>
      </w:r>
    </w:p>
    <w:p w14:paraId="3BABB72A" w14:textId="3E9EB0E0" w:rsidR="00952B08" w:rsidRDefault="00952B08" w:rsidP="00952B08">
      <w:pPr>
        <w:pStyle w:val="Heading4"/>
      </w:pPr>
      <w:r>
        <w:t>Selected recommendations</w:t>
      </w:r>
    </w:p>
    <w:p w14:paraId="19934AE4" w14:textId="502F3841" w:rsidR="003010F3" w:rsidRDefault="003010F3" w:rsidP="00233EC3">
      <w:pPr>
        <w:pStyle w:val="Paragraph"/>
      </w:pPr>
      <w:r w:rsidRPr="003010F3">
        <w:t>NICE’s guideline on brain tumours (primary) and brain metastases in adults (NG99):</w:t>
      </w:r>
    </w:p>
    <w:p w14:paraId="68F44F13" w14:textId="21567C8C" w:rsidR="00952B08" w:rsidRDefault="00233EC3" w:rsidP="00233EC3">
      <w:pPr>
        <w:pStyle w:val="Paragraph"/>
      </w:pPr>
      <w:r>
        <w:t xml:space="preserve">1.7.6 </w:t>
      </w:r>
      <w:r w:rsidRPr="00233EC3">
        <w:t xml:space="preserve">See </w:t>
      </w:r>
      <w:bookmarkStart w:id="107" w:name="_Hlk72834850"/>
      <w:r w:rsidR="009A2AAA">
        <w:fldChar w:fldCharType="begin"/>
      </w:r>
      <w:r w:rsidR="009A2AAA">
        <w:instrText xml:space="preserve"> HYPERLINK "https://www.england.nhs.uk/publication/clinical-commissioning-policy-stereotactic-radiosurgery-srs-and-stereotactic-radiotherapy-srt-to-the-surgical-cavity-following-resection-of-cerebral-metastases-all-ages/" </w:instrText>
      </w:r>
      <w:r w:rsidR="009A2AAA">
        <w:fldChar w:fldCharType="separate"/>
      </w:r>
      <w:r w:rsidRPr="009A2AAA">
        <w:rPr>
          <w:rStyle w:val="Hyperlink"/>
        </w:rPr>
        <w:t>NHS England's clinical commissioning policy on stereotactic radiosurgery and stereotactic radiotherapy to the surgical cavity following resection of cerebral metastases</w:t>
      </w:r>
      <w:r w:rsidR="009A2AAA">
        <w:fldChar w:fldCharType="end"/>
      </w:r>
      <w:bookmarkEnd w:id="107"/>
      <w:r w:rsidRPr="00233EC3">
        <w:t>.</w:t>
      </w:r>
    </w:p>
    <w:p w14:paraId="6FE7B96A" w14:textId="4242F175" w:rsidR="00233EC3" w:rsidRPr="00952B08" w:rsidRDefault="00233EC3" w:rsidP="00233EC3">
      <w:pPr>
        <w:pStyle w:val="Paragraph"/>
      </w:pPr>
      <w:r>
        <w:t xml:space="preserve">1.7.7 </w:t>
      </w:r>
      <w:r w:rsidRPr="00233EC3">
        <w:t xml:space="preserve">Consider stereotactic radiosurgery/radiotherapy for people with multiple brain metastases who have controlled or controllable extracranial disease and </w:t>
      </w:r>
      <w:proofErr w:type="spellStart"/>
      <w:r w:rsidRPr="00233EC3">
        <w:t>Karnofsky</w:t>
      </w:r>
      <w:proofErr w:type="spellEnd"/>
      <w:r w:rsidRPr="00233EC3">
        <w:t xml:space="preserve"> performance status of 70 or more. Take into account the number and total volume of metastases.</w:t>
      </w:r>
    </w:p>
    <w:p w14:paraId="7045BE33" w14:textId="77777777" w:rsidR="00952B08" w:rsidRDefault="00952B08" w:rsidP="00952B08">
      <w:pPr>
        <w:pStyle w:val="Heading4"/>
      </w:pPr>
      <w:r>
        <w:t>Current UK practice</w:t>
      </w:r>
    </w:p>
    <w:p w14:paraId="6D792693" w14:textId="351BD1A5" w:rsidR="009A2AAA" w:rsidRDefault="00562450" w:rsidP="00D47CAD">
      <w:pPr>
        <w:pStyle w:val="Paragraph"/>
      </w:pPr>
      <w:r>
        <w:t xml:space="preserve">Stereotactic radiosurgery (SRS) or stereotactic radiotherapy (SRT), is often the primary treatment for cerebral metastases. In some cases, the cerebral metastasis is too large for SRS / SRT and surgical removal is the alternative treatment option. In most cases, surgery will result in the metastasis being completely removed. Where it is not possible to completely remove the metastasis with surgery (incomplete surgical removal), the standard practice is to offer SRS / SRT shortly after surgery, in accordance with </w:t>
      </w:r>
      <w:hyperlink r:id="rId22" w:history="1">
        <w:r w:rsidRPr="00562450">
          <w:rPr>
            <w:rStyle w:val="Hyperlink"/>
          </w:rPr>
          <w:t>NHS England’s clinical commissioning policy on SRS / SRT for Cerebral Metastases</w:t>
        </w:r>
      </w:hyperlink>
      <w:r>
        <w:t>.</w:t>
      </w:r>
      <w:r w:rsidR="00673BB1">
        <w:t xml:space="preserve"> Some centres offered SRS/SRT to the surgical cavity shortly following complete surgical removal of a metastasis, however, </w:t>
      </w:r>
      <w:hyperlink r:id="rId23" w:history="1">
        <w:r w:rsidR="00D47CAD" w:rsidRPr="009A2AAA">
          <w:rPr>
            <w:rStyle w:val="Hyperlink"/>
          </w:rPr>
          <w:t>NHS England's clinical commissioning policy on stereotactic radiosurgery and stereotactic radiotherapy to the surgical cavity following resection of cerebral metastases</w:t>
        </w:r>
      </w:hyperlink>
      <w:r w:rsidR="009A2AAA">
        <w:t xml:space="preserve"> </w:t>
      </w:r>
      <w:r w:rsidR="00D47CAD">
        <w:t xml:space="preserve">(2021) </w:t>
      </w:r>
      <w:r w:rsidR="009A2AAA">
        <w:t xml:space="preserve">indicates that SRS and </w:t>
      </w:r>
      <w:r w:rsidR="00207ABE">
        <w:t>S</w:t>
      </w:r>
      <w:r w:rsidR="009A2AAA">
        <w:t>RT is not recommended to be available as a treatment option through routine commissioning for the treatment of the surgical cavity following resection of cerebral metastases (all ages).</w:t>
      </w:r>
      <w:r w:rsidR="00D47CAD">
        <w:t xml:space="preserve"> </w:t>
      </w:r>
    </w:p>
    <w:p w14:paraId="07AEE1AF" w14:textId="52DC6E1D" w:rsidR="00B9558A" w:rsidRPr="00D52ED9" w:rsidRDefault="00080EDE" w:rsidP="00F361FE">
      <w:pPr>
        <w:pStyle w:val="Paragraph"/>
      </w:pPr>
      <w:r>
        <w:t xml:space="preserve">The 2018 </w:t>
      </w:r>
      <w:hyperlink r:id="rId24" w:history="1">
        <w:r w:rsidRPr="00CB0CE2">
          <w:rPr>
            <w:rStyle w:val="Hyperlink"/>
          </w:rPr>
          <w:t>G</w:t>
        </w:r>
        <w:r w:rsidR="00CB0CE2">
          <w:rPr>
            <w:rStyle w:val="Hyperlink"/>
          </w:rPr>
          <w:t>etting it Right First Time (GIRFT)</w:t>
        </w:r>
        <w:r w:rsidRPr="00CB0CE2">
          <w:rPr>
            <w:rStyle w:val="Hyperlink"/>
          </w:rPr>
          <w:t xml:space="preserve"> report on cranial neurosurgery</w:t>
        </w:r>
      </w:hyperlink>
      <w:r>
        <w:t xml:space="preserve"> noted that based on Hospital Episode Statistics </w:t>
      </w:r>
      <w:r w:rsidR="00CB0CE2">
        <w:t xml:space="preserve">(HES) </w:t>
      </w:r>
      <w:r>
        <w:t xml:space="preserve">only 4 out of 24 </w:t>
      </w:r>
      <w:r w:rsidR="00B1031F">
        <w:t xml:space="preserve">cranial neurosurgery </w:t>
      </w:r>
      <w:r>
        <w:t xml:space="preserve">providers were undertaking a significant volume of stereotactic radiosurgery. The GIRFT review found that this is misleading </w:t>
      </w:r>
      <w:r w:rsidR="00CB0CE2">
        <w:t>as the procedure is conducted regularly by the majority of providers but many record stereotactic radiosurgery in HES as an oncology procedure rather than cranial neurosurgery.</w:t>
      </w:r>
    </w:p>
    <w:p w14:paraId="2C3826EB" w14:textId="6FC38D43" w:rsidR="00491211" w:rsidRPr="004612EA" w:rsidRDefault="00491211" w:rsidP="00D52ED9">
      <w:pPr>
        <w:pStyle w:val="Heading3"/>
      </w:pPr>
      <w:r w:rsidRPr="004612EA">
        <w:t>Resource impact</w:t>
      </w:r>
    </w:p>
    <w:p w14:paraId="0139D0AE" w14:textId="51E9E51C" w:rsidR="00491211" w:rsidRDefault="003B67F6" w:rsidP="00491211">
      <w:pPr>
        <w:pStyle w:val="Paragraph"/>
      </w:pPr>
      <w:r w:rsidRPr="003B67F6">
        <w:t xml:space="preserve">During development of NG99, recommendation 1.2.36 was highlighted as a significant change in practice with the use of 5-ALA guided resection expected to double following publication of the guidance. The increased costs associated with this procedure were weighed against an expected increase in the number of complete resections and consequent reduction in the number of follow-up surgeries.  The net cost </w:t>
      </w:r>
      <w:r>
        <w:t>to</w:t>
      </w:r>
      <w:r w:rsidRPr="003B67F6">
        <w:t xml:space="preserve"> the NHS of this recommendation was expected to be £2.58m per year for England.</w:t>
      </w:r>
    </w:p>
    <w:p w14:paraId="22074561" w14:textId="77777777" w:rsidR="00624810" w:rsidRPr="0067426A" w:rsidRDefault="00624810" w:rsidP="00D52ED9">
      <w:pPr>
        <w:pStyle w:val="Heading3"/>
      </w:pPr>
      <w:r w:rsidRPr="0067426A">
        <w:t>Issues for consideration</w:t>
      </w:r>
    </w:p>
    <w:p w14:paraId="0BFD6D7D" w14:textId="77777777" w:rsidR="00A673EB" w:rsidRPr="001C1775" w:rsidRDefault="00A673EB" w:rsidP="00A673EB">
      <w:pPr>
        <w:pStyle w:val="Paragraph"/>
        <w:rPr>
          <w:b/>
          <w:bCs/>
        </w:rPr>
      </w:pPr>
      <w:r w:rsidRPr="001C1775">
        <w:rPr>
          <w:b/>
          <w:bCs/>
        </w:rPr>
        <w:t>For discussion:</w:t>
      </w:r>
    </w:p>
    <w:p w14:paraId="6837B39F" w14:textId="76CEA55A" w:rsidR="00B75DD7" w:rsidRDefault="00B75DD7" w:rsidP="00B75DD7">
      <w:pPr>
        <w:pStyle w:val="Panelbullet1"/>
        <w:spacing w:after="240"/>
      </w:pPr>
      <w:bookmarkStart w:id="108" w:name="_Hlk73102960"/>
      <w:r>
        <w:t>Do you agree with our suggestion that treatment pathways and s</w:t>
      </w:r>
      <w:r w:rsidRPr="005420D0">
        <w:t>tereotactic radiosurgery for multiple brain metastases</w:t>
      </w:r>
      <w:r>
        <w:t xml:space="preserve"> do not need to be discussed during the meeting</w:t>
      </w:r>
      <w:r w:rsidR="00B531DB">
        <w:t xml:space="preserve"> given the recommendations available</w:t>
      </w:r>
      <w:r>
        <w:t>?</w:t>
      </w:r>
      <w:bookmarkEnd w:id="108"/>
    </w:p>
    <w:p w14:paraId="391ED839" w14:textId="102DF984" w:rsidR="00114681" w:rsidRDefault="00114681" w:rsidP="00A673EB">
      <w:pPr>
        <w:pStyle w:val="Panelbullet1"/>
        <w:spacing w:after="240"/>
      </w:pPr>
      <w:r>
        <w:t xml:space="preserve">What are the specific issues in relation to access to a multidisciplinary team e.g., </w:t>
      </w:r>
      <w:r w:rsidR="00B75DD7">
        <w:t xml:space="preserve">access, </w:t>
      </w:r>
      <w:r>
        <w:t>membership, responsibilities?</w:t>
      </w:r>
    </w:p>
    <w:p w14:paraId="4EC9E7E3" w14:textId="1C6C9FEF" w:rsidR="00DF2A8F" w:rsidRDefault="00B531DB" w:rsidP="00A673EB">
      <w:pPr>
        <w:pStyle w:val="Panelbullet1"/>
        <w:spacing w:after="240"/>
      </w:pPr>
      <w:r>
        <w:t>Are there concerns about the resource impact of 5-ALA?</w:t>
      </w:r>
    </w:p>
    <w:p w14:paraId="145E0BD3" w14:textId="7784B4F3" w:rsidR="00A673EB" w:rsidRPr="001C1775" w:rsidRDefault="00A673EB" w:rsidP="00A673EB">
      <w:pPr>
        <w:pStyle w:val="Panelbullet1"/>
        <w:spacing w:after="240"/>
      </w:pPr>
      <w:r w:rsidRPr="001C1775">
        <w:t>What is the priority for improvement?</w:t>
      </w:r>
    </w:p>
    <w:p w14:paraId="76F84A58" w14:textId="77777777" w:rsidR="00A673EB" w:rsidRPr="001C1775" w:rsidRDefault="00A673EB" w:rsidP="00A673EB">
      <w:pPr>
        <w:pStyle w:val="Panelbullet1"/>
        <w:spacing w:after="240"/>
      </w:pPr>
      <w:r w:rsidRPr="001C1775">
        <w:t>What is the key action that will lead to improvement?</w:t>
      </w:r>
    </w:p>
    <w:p w14:paraId="0A791D2D" w14:textId="07552CC9" w:rsidR="00DF2A8F" w:rsidRPr="001C1775" w:rsidRDefault="00A673EB" w:rsidP="00DF2A8F">
      <w:pPr>
        <w:pStyle w:val="Panelbullet1"/>
        <w:spacing w:after="240"/>
      </w:pPr>
      <w:r w:rsidRPr="001C1775">
        <w:t>Can we develop a specific, measurable statement?</w:t>
      </w:r>
    </w:p>
    <w:p w14:paraId="2822AED5" w14:textId="77777777" w:rsidR="00A673EB" w:rsidRPr="00A6218A" w:rsidRDefault="00A673EB" w:rsidP="00A673EB">
      <w:pPr>
        <w:pStyle w:val="Paragraph"/>
        <w:rPr>
          <w:b/>
          <w:bCs/>
        </w:rPr>
      </w:pPr>
      <w:r w:rsidRPr="00A6218A">
        <w:rPr>
          <w:b/>
          <w:bCs/>
        </w:rPr>
        <w:t>For decision:</w:t>
      </w:r>
    </w:p>
    <w:p w14:paraId="5599E3B1" w14:textId="74A997AE" w:rsidR="00A673EB" w:rsidRDefault="00A673EB" w:rsidP="00A673EB">
      <w:pPr>
        <w:pStyle w:val="Bulletleft1"/>
      </w:pPr>
      <w:r w:rsidRPr="00624810">
        <w:t>Should this area be prioritised for inclusion in the quality standard?</w:t>
      </w:r>
    </w:p>
    <w:p w14:paraId="292CE353" w14:textId="1F607EE8" w:rsidR="0004772E" w:rsidRDefault="0004772E">
      <w:pPr>
        <w:rPr>
          <w:rFonts w:ascii="Arial" w:hAnsi="Arial"/>
        </w:rPr>
      </w:pPr>
      <w:r>
        <w:br w:type="page"/>
      </w:r>
    </w:p>
    <w:p w14:paraId="65BCD0E4" w14:textId="7BB854A8" w:rsidR="00675BD5" w:rsidRDefault="00675BD5" w:rsidP="00675BD5">
      <w:pPr>
        <w:pStyle w:val="Numberedheading2"/>
      </w:pPr>
      <w:bookmarkStart w:id="109" w:name="_Toc78371504"/>
      <w:r>
        <w:t>Follow-up</w:t>
      </w:r>
      <w:bookmarkEnd w:id="109"/>
    </w:p>
    <w:p w14:paraId="6782EBBB" w14:textId="2B02435F" w:rsidR="00F535C7" w:rsidRDefault="00C23855" w:rsidP="00F535C7">
      <w:pPr>
        <w:pStyle w:val="Heading3"/>
      </w:pPr>
      <w:r>
        <w:t>I</w:t>
      </w:r>
      <w:r w:rsidR="00C747EA">
        <w:t>maging</w:t>
      </w:r>
      <w:r w:rsidR="00B82835">
        <w:t xml:space="preserve"> </w:t>
      </w:r>
    </w:p>
    <w:p w14:paraId="33F8B71E" w14:textId="53FE5B11" w:rsidR="00B40F99" w:rsidRDefault="00C17DF4" w:rsidP="00C17DF4">
      <w:pPr>
        <w:pStyle w:val="Paragraph"/>
      </w:pPr>
      <w:r>
        <w:t xml:space="preserve">Stakeholders emphasised the importance of improving the quality </w:t>
      </w:r>
      <w:r w:rsidR="00B40F99">
        <w:t xml:space="preserve">of </w:t>
      </w:r>
      <w:r>
        <w:t xml:space="preserve">and access to </w:t>
      </w:r>
      <w:r w:rsidR="00B40F99">
        <w:t>imaging to inform clinical management. The priorities highlighted were:</w:t>
      </w:r>
    </w:p>
    <w:p w14:paraId="465C8B7B" w14:textId="77777777" w:rsidR="00C23855" w:rsidRDefault="00C23855" w:rsidP="00B40F99">
      <w:pPr>
        <w:pStyle w:val="Bulletleft1"/>
      </w:pPr>
      <w:r>
        <w:t>Standardisation of MRI imaging protocols to improve accuracy in assessment of brain tumours</w:t>
      </w:r>
    </w:p>
    <w:p w14:paraId="17DB51CB" w14:textId="77777777" w:rsidR="00496AAC" w:rsidRDefault="00496AAC" w:rsidP="00B40F99">
      <w:pPr>
        <w:pStyle w:val="Bulletleft1"/>
      </w:pPr>
      <w:r>
        <w:t>Consistent imaging schedules during treatment and surveillance</w:t>
      </w:r>
    </w:p>
    <w:p w14:paraId="6379E910" w14:textId="4982DAC7" w:rsidR="00297176" w:rsidRDefault="00496AAC" w:rsidP="00B40F99">
      <w:pPr>
        <w:pStyle w:val="Bulletleft1"/>
      </w:pPr>
      <w:r>
        <w:t xml:space="preserve">Improve clinical information on requests for imaging </w:t>
      </w:r>
      <w:r w:rsidR="00CA1A89">
        <w:t>e.g.,</w:t>
      </w:r>
      <w:r w:rsidR="0085020D">
        <w:t xml:space="preserve"> </w:t>
      </w:r>
      <w:r>
        <w:t>via an electronic referral system</w:t>
      </w:r>
    </w:p>
    <w:p w14:paraId="55E13659" w14:textId="200D4B70" w:rsidR="00B40F99" w:rsidRDefault="00B40F99" w:rsidP="003010F3">
      <w:pPr>
        <w:pStyle w:val="Bulletleft1last"/>
      </w:pPr>
      <w:r>
        <w:t>Ensur</w:t>
      </w:r>
      <w:r w:rsidR="00297176">
        <w:t>e</w:t>
      </w:r>
      <w:r>
        <w:t xml:space="preserve"> that imaging, reporting and consultation are carried out in one hospital visit</w:t>
      </w:r>
      <w:r w:rsidR="00C23855">
        <w:t xml:space="preserve"> to reduce delays</w:t>
      </w:r>
    </w:p>
    <w:p w14:paraId="60F38B21" w14:textId="7A2D6041" w:rsidR="00F535C7" w:rsidRDefault="00F535C7" w:rsidP="00F535C7">
      <w:pPr>
        <w:pStyle w:val="Heading4"/>
      </w:pPr>
      <w:r>
        <w:t>S</w:t>
      </w:r>
      <w:r w:rsidRPr="00CD3D03">
        <w:t xml:space="preserve">elected recommendations </w:t>
      </w:r>
    </w:p>
    <w:p w14:paraId="39D293B3" w14:textId="124C34C7" w:rsidR="00F535C7" w:rsidRDefault="003010F3" w:rsidP="003010F3">
      <w:pPr>
        <w:pStyle w:val="Paragraph"/>
      </w:pPr>
      <w:r w:rsidRPr="003010F3">
        <w:t>NICE’s guideline on brain tumours (primary) and brain metastases in adults (NG99):</w:t>
      </w:r>
    </w:p>
    <w:p w14:paraId="10916B7F" w14:textId="4624C4D3" w:rsidR="003010F3" w:rsidRDefault="003010F3" w:rsidP="003010F3">
      <w:pPr>
        <w:pStyle w:val="Paragraph"/>
      </w:pPr>
      <w:r>
        <w:t xml:space="preserve">1.3.3 </w:t>
      </w:r>
      <w:r w:rsidRPr="003010F3">
        <w:t>Consider the follow</w:t>
      </w:r>
      <w:r w:rsidRPr="003010F3">
        <w:rPr>
          <w:rFonts w:ascii="Cambria Math" w:hAnsi="Cambria Math" w:cs="Cambria Math"/>
        </w:rPr>
        <w:t>‑</w:t>
      </w:r>
      <w:r w:rsidRPr="003010F3">
        <w:t>up schedule given in table 3 for people with glioma.</w:t>
      </w:r>
    </w:p>
    <w:p w14:paraId="0C171050" w14:textId="77777777" w:rsidR="00C268AF" w:rsidRDefault="00C268AF">
      <w:pPr>
        <w:rPr>
          <w:rFonts w:ascii="Arial" w:hAnsi="Arial"/>
          <w:b/>
          <w:bCs/>
        </w:rPr>
      </w:pPr>
      <w:r>
        <w:rPr>
          <w:b/>
          <w:bCs/>
        </w:rPr>
        <w:br w:type="page"/>
      </w:r>
    </w:p>
    <w:p w14:paraId="133AB50D" w14:textId="56A17BCB" w:rsidR="003A03C0" w:rsidRPr="003A03C0" w:rsidRDefault="003A03C0" w:rsidP="006F0465">
      <w:pPr>
        <w:pStyle w:val="Tabletitle"/>
      </w:pPr>
      <w:bookmarkStart w:id="110" w:name="_Hlk72337091"/>
      <w:r w:rsidRPr="003A03C0">
        <w:t>Table 3 Possible regular clinical review schedule for people with glioma depending on grade of tumour</w:t>
      </w:r>
    </w:p>
    <w:tbl>
      <w:tblPr>
        <w:tblStyle w:val="TableGrid"/>
        <w:tblW w:w="0" w:type="auto"/>
        <w:tblLook w:val="04A0" w:firstRow="1" w:lastRow="0" w:firstColumn="1" w:lastColumn="0" w:noHBand="0" w:noVBand="1"/>
      </w:tblPr>
      <w:tblGrid>
        <w:gridCol w:w="3260"/>
        <w:gridCol w:w="5756"/>
      </w:tblGrid>
      <w:tr w:rsidR="003A03C0" w:rsidRPr="003A03C0" w14:paraId="6143DAF8" w14:textId="77777777" w:rsidTr="002E658A">
        <w:tc>
          <w:tcPr>
            <w:tcW w:w="4815" w:type="dxa"/>
          </w:tcPr>
          <w:p w14:paraId="35C1ACCA" w14:textId="00056001" w:rsidR="003A03C0" w:rsidRPr="002E658A" w:rsidRDefault="003A03C0" w:rsidP="002E658A">
            <w:pPr>
              <w:pStyle w:val="Tabletext"/>
              <w:rPr>
                <w:b/>
                <w:bCs/>
              </w:rPr>
            </w:pPr>
            <w:r w:rsidRPr="002E658A">
              <w:rPr>
                <w:b/>
                <w:bCs/>
              </w:rPr>
              <w:t>Grade of tumour</w:t>
            </w:r>
          </w:p>
        </w:tc>
        <w:tc>
          <w:tcPr>
            <w:tcW w:w="9853" w:type="dxa"/>
          </w:tcPr>
          <w:p w14:paraId="620E7FA5" w14:textId="732C088C" w:rsidR="003A03C0" w:rsidRPr="002E658A" w:rsidRDefault="003A03C0" w:rsidP="002E658A">
            <w:pPr>
              <w:pStyle w:val="Tabletext"/>
              <w:rPr>
                <w:b/>
                <w:bCs/>
              </w:rPr>
            </w:pPr>
            <w:r w:rsidRPr="002E658A">
              <w:rPr>
                <w:b/>
                <w:bCs/>
              </w:rPr>
              <w:t>Clinical review schedule</w:t>
            </w:r>
          </w:p>
        </w:tc>
      </w:tr>
      <w:tr w:rsidR="003A03C0" w14:paraId="631F5F71" w14:textId="77777777" w:rsidTr="002E658A">
        <w:tc>
          <w:tcPr>
            <w:tcW w:w="4815" w:type="dxa"/>
          </w:tcPr>
          <w:p w14:paraId="033449DE" w14:textId="56FBB828" w:rsidR="003A03C0" w:rsidRPr="002C765D" w:rsidRDefault="003A03C0" w:rsidP="003A03C0">
            <w:pPr>
              <w:pStyle w:val="Tabletext"/>
              <w:rPr>
                <w:b/>
                <w:bCs/>
              </w:rPr>
            </w:pPr>
            <w:r w:rsidRPr="002C765D">
              <w:rPr>
                <w:b/>
                <w:bCs/>
              </w:rPr>
              <w:t>Grade I</w:t>
            </w:r>
          </w:p>
        </w:tc>
        <w:tc>
          <w:tcPr>
            <w:tcW w:w="9853" w:type="dxa"/>
          </w:tcPr>
          <w:p w14:paraId="5C83F208" w14:textId="77777777" w:rsidR="003A03C0" w:rsidRDefault="003A03C0" w:rsidP="003A03C0">
            <w:pPr>
              <w:pStyle w:val="Tabletext"/>
            </w:pPr>
            <w:r>
              <w:t>Scan at 12 months, then:</w:t>
            </w:r>
          </w:p>
          <w:p w14:paraId="2259F786" w14:textId="77777777" w:rsidR="003A03C0" w:rsidRDefault="003A03C0" w:rsidP="003A03C0">
            <w:pPr>
              <w:pStyle w:val="Bulletstable"/>
            </w:pPr>
            <w:r>
              <w:t>consider discharge if no tumour visible on imaging unless completely-resected pilocytic astrocytoma</w:t>
            </w:r>
          </w:p>
          <w:p w14:paraId="032D4A3D" w14:textId="77777777" w:rsidR="003A03C0" w:rsidRDefault="003A03C0" w:rsidP="003A03C0">
            <w:pPr>
              <w:pStyle w:val="Bulletstable"/>
            </w:pPr>
            <w:r>
              <w:t>consider ongoing imaging at increasing intervals for 15 years for completely-resected pilocytic astrocytoma</w:t>
            </w:r>
          </w:p>
          <w:p w14:paraId="08028119" w14:textId="53C7F88B" w:rsidR="003A03C0" w:rsidRDefault="003A03C0" w:rsidP="003A03C0">
            <w:pPr>
              <w:pStyle w:val="Bulletstable"/>
            </w:pPr>
            <w:r>
              <w:t>consider if ongoing imaging is needed at a rate of once every 1 to 3 years for the rest of the person's life if the tumour is visible on imaging.</w:t>
            </w:r>
          </w:p>
        </w:tc>
      </w:tr>
      <w:tr w:rsidR="003A03C0" w14:paraId="6EA8079F" w14:textId="77777777" w:rsidTr="002E658A">
        <w:tc>
          <w:tcPr>
            <w:tcW w:w="4815" w:type="dxa"/>
          </w:tcPr>
          <w:p w14:paraId="5B649B52" w14:textId="77777777" w:rsidR="009D5D5F" w:rsidRPr="002C765D" w:rsidRDefault="009D5D5F" w:rsidP="009D5D5F">
            <w:pPr>
              <w:pStyle w:val="Tabletext"/>
              <w:rPr>
                <w:b/>
                <w:bCs/>
              </w:rPr>
            </w:pPr>
            <w:r w:rsidRPr="002C765D">
              <w:rPr>
                <w:b/>
                <w:bCs/>
              </w:rPr>
              <w:t>Grade II 1p/19q non-</w:t>
            </w:r>
            <w:proofErr w:type="spellStart"/>
            <w:r w:rsidRPr="002C765D">
              <w:rPr>
                <w:b/>
                <w:bCs/>
              </w:rPr>
              <w:t>codeleted</w:t>
            </w:r>
            <w:proofErr w:type="spellEnd"/>
            <w:r w:rsidRPr="002C765D">
              <w:rPr>
                <w:b/>
                <w:bCs/>
              </w:rPr>
              <w:t>, IDH mutated</w:t>
            </w:r>
          </w:p>
          <w:p w14:paraId="3DA7849D" w14:textId="77777777" w:rsidR="009D5D5F" w:rsidRPr="002C765D" w:rsidRDefault="009D5D5F" w:rsidP="009D5D5F">
            <w:pPr>
              <w:pStyle w:val="Tabletext"/>
              <w:rPr>
                <w:b/>
                <w:bCs/>
              </w:rPr>
            </w:pPr>
          </w:p>
          <w:p w14:paraId="5E973D1F" w14:textId="77777777" w:rsidR="009D5D5F" w:rsidRPr="002C765D" w:rsidRDefault="009D5D5F" w:rsidP="009D5D5F">
            <w:pPr>
              <w:pStyle w:val="Tabletext"/>
              <w:rPr>
                <w:b/>
                <w:bCs/>
              </w:rPr>
            </w:pPr>
            <w:r w:rsidRPr="002C765D">
              <w:rPr>
                <w:b/>
                <w:bCs/>
              </w:rPr>
              <w:t xml:space="preserve">Grade II 1p/19q </w:t>
            </w:r>
            <w:proofErr w:type="spellStart"/>
            <w:r w:rsidRPr="002C765D">
              <w:rPr>
                <w:b/>
                <w:bCs/>
              </w:rPr>
              <w:t>codeleted</w:t>
            </w:r>
            <w:proofErr w:type="spellEnd"/>
          </w:p>
          <w:p w14:paraId="6B10B00A" w14:textId="77777777" w:rsidR="009D5D5F" w:rsidRPr="002C765D" w:rsidRDefault="009D5D5F" w:rsidP="009D5D5F">
            <w:pPr>
              <w:pStyle w:val="Tabletext"/>
              <w:rPr>
                <w:b/>
                <w:bCs/>
              </w:rPr>
            </w:pPr>
          </w:p>
          <w:p w14:paraId="459D6E33" w14:textId="7A3E7168" w:rsidR="003A03C0" w:rsidRPr="002C765D" w:rsidRDefault="009D5D5F" w:rsidP="009D5D5F">
            <w:pPr>
              <w:pStyle w:val="Tabletext"/>
              <w:rPr>
                <w:b/>
                <w:bCs/>
              </w:rPr>
            </w:pPr>
            <w:r w:rsidRPr="002C765D">
              <w:rPr>
                <w:b/>
                <w:bCs/>
              </w:rPr>
              <w:t xml:space="preserve">Grade III 1p/19q </w:t>
            </w:r>
            <w:proofErr w:type="spellStart"/>
            <w:r w:rsidRPr="002C765D">
              <w:rPr>
                <w:b/>
                <w:bCs/>
              </w:rPr>
              <w:t>codeleted</w:t>
            </w:r>
            <w:proofErr w:type="spellEnd"/>
          </w:p>
        </w:tc>
        <w:tc>
          <w:tcPr>
            <w:tcW w:w="9853" w:type="dxa"/>
          </w:tcPr>
          <w:p w14:paraId="300E8E93" w14:textId="77777777" w:rsidR="009D5D5F" w:rsidRDefault="009D5D5F" w:rsidP="009D5D5F">
            <w:pPr>
              <w:pStyle w:val="Bulletstable"/>
            </w:pPr>
            <w:r>
              <w:t>From 0 to 2 years, scan at 3 months, then every 6 months</w:t>
            </w:r>
          </w:p>
          <w:p w14:paraId="11069037" w14:textId="77777777" w:rsidR="009D5D5F" w:rsidRDefault="009D5D5F" w:rsidP="009D5D5F">
            <w:pPr>
              <w:pStyle w:val="Bulletstable"/>
            </w:pPr>
            <w:r>
              <w:t>From 2 to 4 years, review annually</w:t>
            </w:r>
          </w:p>
          <w:p w14:paraId="350AEAC3" w14:textId="77777777" w:rsidR="009D5D5F" w:rsidRDefault="009D5D5F" w:rsidP="009D5D5F">
            <w:pPr>
              <w:pStyle w:val="Bulletstable"/>
            </w:pPr>
            <w:r>
              <w:t>From 5 to 10 years, review every 1 to 2 years</w:t>
            </w:r>
          </w:p>
          <w:p w14:paraId="43996442" w14:textId="0091FE5B" w:rsidR="003A03C0" w:rsidRDefault="009D5D5F" w:rsidP="009D5D5F">
            <w:pPr>
              <w:pStyle w:val="Bulletstable"/>
            </w:pPr>
            <w:r>
              <w:t>For more than 10 years and for the rest of life consider ongoing imaging every 1 to 2 years.</w:t>
            </w:r>
          </w:p>
        </w:tc>
      </w:tr>
      <w:tr w:rsidR="003A03C0" w14:paraId="081F00DA" w14:textId="77777777" w:rsidTr="002E658A">
        <w:tc>
          <w:tcPr>
            <w:tcW w:w="4815" w:type="dxa"/>
          </w:tcPr>
          <w:p w14:paraId="00A5BD44" w14:textId="77777777" w:rsidR="009D5D5F" w:rsidRPr="002C765D" w:rsidRDefault="009D5D5F" w:rsidP="009D5D5F">
            <w:pPr>
              <w:pStyle w:val="Tabletext"/>
              <w:rPr>
                <w:b/>
                <w:bCs/>
              </w:rPr>
            </w:pPr>
            <w:r w:rsidRPr="002C765D">
              <w:rPr>
                <w:b/>
                <w:bCs/>
              </w:rPr>
              <w:t>Grade II IDH wildtype</w:t>
            </w:r>
          </w:p>
          <w:p w14:paraId="715A8BE7" w14:textId="77777777" w:rsidR="009D5D5F" w:rsidRPr="002C765D" w:rsidRDefault="009D5D5F" w:rsidP="009D5D5F">
            <w:pPr>
              <w:pStyle w:val="Tabletext"/>
              <w:rPr>
                <w:b/>
                <w:bCs/>
              </w:rPr>
            </w:pPr>
          </w:p>
          <w:p w14:paraId="39B61195" w14:textId="77777777" w:rsidR="009D5D5F" w:rsidRPr="002C765D" w:rsidRDefault="009D5D5F" w:rsidP="009D5D5F">
            <w:pPr>
              <w:pStyle w:val="Tabletext"/>
              <w:rPr>
                <w:b/>
                <w:bCs/>
              </w:rPr>
            </w:pPr>
            <w:r w:rsidRPr="002C765D">
              <w:rPr>
                <w:b/>
                <w:bCs/>
              </w:rPr>
              <w:t>Grade III 1p/19q non-</w:t>
            </w:r>
            <w:proofErr w:type="spellStart"/>
            <w:r w:rsidRPr="002C765D">
              <w:rPr>
                <w:b/>
                <w:bCs/>
              </w:rPr>
              <w:t>codeleted</w:t>
            </w:r>
            <w:proofErr w:type="spellEnd"/>
          </w:p>
          <w:p w14:paraId="18CD5F77" w14:textId="77777777" w:rsidR="009D5D5F" w:rsidRPr="002C765D" w:rsidRDefault="009D5D5F" w:rsidP="009D5D5F">
            <w:pPr>
              <w:pStyle w:val="Tabletext"/>
              <w:rPr>
                <w:b/>
                <w:bCs/>
              </w:rPr>
            </w:pPr>
          </w:p>
          <w:p w14:paraId="3F396230" w14:textId="19D42602" w:rsidR="003A03C0" w:rsidRPr="002C765D" w:rsidRDefault="009D5D5F" w:rsidP="009D5D5F">
            <w:pPr>
              <w:pStyle w:val="Tabletext"/>
              <w:rPr>
                <w:b/>
                <w:bCs/>
              </w:rPr>
            </w:pPr>
            <w:r w:rsidRPr="002C765D">
              <w:rPr>
                <w:b/>
                <w:bCs/>
              </w:rPr>
              <w:t>Grade IV (glioblastoma)</w:t>
            </w:r>
          </w:p>
        </w:tc>
        <w:tc>
          <w:tcPr>
            <w:tcW w:w="9853" w:type="dxa"/>
          </w:tcPr>
          <w:p w14:paraId="17B4FB2A" w14:textId="77777777" w:rsidR="009D5D5F" w:rsidRDefault="009D5D5F" w:rsidP="009D5D5F">
            <w:pPr>
              <w:pStyle w:val="Bulletstable"/>
            </w:pPr>
            <w:r>
              <w:t>From 0 to 2 years, review every 3 to 6 months</w:t>
            </w:r>
          </w:p>
          <w:p w14:paraId="43B8051F" w14:textId="77777777" w:rsidR="009D5D5F" w:rsidRDefault="009D5D5F" w:rsidP="009D5D5F">
            <w:pPr>
              <w:pStyle w:val="Bulletstable"/>
            </w:pPr>
            <w:r>
              <w:t>From 2 to 4 years, review every 6 to 12 months</w:t>
            </w:r>
          </w:p>
          <w:p w14:paraId="4C643C41" w14:textId="77777777" w:rsidR="009D5D5F" w:rsidRDefault="009D5D5F" w:rsidP="009D5D5F">
            <w:pPr>
              <w:pStyle w:val="Bulletstable"/>
            </w:pPr>
            <w:r>
              <w:t>From 5 to 10 years, review annually</w:t>
            </w:r>
          </w:p>
          <w:p w14:paraId="177895FE" w14:textId="0B886D25" w:rsidR="003A03C0" w:rsidRDefault="009D5D5F" w:rsidP="009D5D5F">
            <w:pPr>
              <w:pStyle w:val="Bulletstable"/>
            </w:pPr>
            <w:r>
              <w:t>For more than 10 years and for the rest of life - consider ongoing imaging every 1 to 2 years.</w:t>
            </w:r>
          </w:p>
        </w:tc>
      </w:tr>
    </w:tbl>
    <w:bookmarkEnd w:id="110"/>
    <w:p w14:paraId="6A2F11EB" w14:textId="12665B19" w:rsidR="003A03C0" w:rsidRDefault="00C268AF" w:rsidP="003010F3">
      <w:pPr>
        <w:pStyle w:val="Paragraph"/>
      </w:pPr>
      <w:r>
        <w:t xml:space="preserve">1.3.4 </w:t>
      </w:r>
      <w:r w:rsidRPr="00C268AF">
        <w:t>Consider standard structural MRI (defined as T2 weighted, FLAIR, DWI series and T1 pre- and post-contrast volume) as part of regular clinical review for people with glioma, to assess for progression or recurrence, unless MRI is contraindicated.</w:t>
      </w:r>
    </w:p>
    <w:p w14:paraId="6F94A11E" w14:textId="76EBC12D" w:rsidR="003A03C0" w:rsidRDefault="00C268AF" w:rsidP="003010F3">
      <w:pPr>
        <w:pStyle w:val="Paragraph"/>
      </w:pPr>
      <w:r>
        <w:t xml:space="preserve">1.3.7 </w:t>
      </w:r>
      <w:r w:rsidRPr="00C268AF">
        <w:t>Consider a baseline MRI scan within 72 hours of surgical resection for all types of glioma.</w:t>
      </w:r>
    </w:p>
    <w:p w14:paraId="4D5EE105" w14:textId="3E408E75" w:rsidR="00C268AF" w:rsidRDefault="00C268AF" w:rsidP="003010F3">
      <w:pPr>
        <w:pStyle w:val="Paragraph"/>
      </w:pPr>
      <w:r>
        <w:t xml:space="preserve">1.3.8 </w:t>
      </w:r>
      <w:r w:rsidRPr="00C268AF">
        <w:t>Consider a baseline MRI scan 3 months after the completion of radiotherapy for all types of glioma.</w:t>
      </w:r>
    </w:p>
    <w:p w14:paraId="4DA5E3F6" w14:textId="7746BD5B" w:rsidR="00C268AF" w:rsidRPr="00F535C7" w:rsidRDefault="00C268AF" w:rsidP="003010F3">
      <w:pPr>
        <w:pStyle w:val="Paragraph"/>
      </w:pPr>
      <w:r>
        <w:t xml:space="preserve">1.5.3 </w:t>
      </w:r>
      <w:r w:rsidRPr="00C268AF">
        <w:t>Consider the follow</w:t>
      </w:r>
      <w:r w:rsidRPr="00C268AF">
        <w:rPr>
          <w:rFonts w:ascii="Cambria Math" w:hAnsi="Cambria Math" w:cs="Cambria Math"/>
        </w:rPr>
        <w:t>‑</w:t>
      </w:r>
      <w:r w:rsidRPr="00C268AF">
        <w:t>up schedule given in table 7 for people with meningioma.</w:t>
      </w:r>
    </w:p>
    <w:p w14:paraId="37288FC7" w14:textId="46FBB5D0" w:rsidR="001F37EF" w:rsidRPr="003A03C0" w:rsidRDefault="001F37EF" w:rsidP="006F0465">
      <w:pPr>
        <w:pStyle w:val="Tabletitle"/>
      </w:pPr>
      <w:r w:rsidRPr="003A03C0">
        <w:t xml:space="preserve">Table </w:t>
      </w:r>
      <w:r>
        <w:t>7</w:t>
      </w:r>
      <w:r w:rsidRPr="003A03C0">
        <w:t xml:space="preserve"> </w:t>
      </w:r>
      <w:r w:rsidR="00FA185B" w:rsidRPr="00FA185B">
        <w:t>Possible regular clinical review schedule by years after end of treatment for people with meningioma depending on grade of tumour</w:t>
      </w:r>
    </w:p>
    <w:tbl>
      <w:tblPr>
        <w:tblStyle w:val="TableGrid"/>
        <w:tblW w:w="0" w:type="auto"/>
        <w:tblLook w:val="04A0" w:firstRow="1" w:lastRow="0" w:firstColumn="1" w:lastColumn="0" w:noHBand="0" w:noVBand="1"/>
      </w:tblPr>
      <w:tblGrid>
        <w:gridCol w:w="1115"/>
        <w:gridCol w:w="1506"/>
        <w:gridCol w:w="1545"/>
        <w:gridCol w:w="1783"/>
        <w:gridCol w:w="1583"/>
        <w:gridCol w:w="1484"/>
      </w:tblGrid>
      <w:tr w:rsidR="00E82880" w14:paraId="6CF7CD30" w14:textId="77777777" w:rsidTr="00E1512C">
        <w:tc>
          <w:tcPr>
            <w:tcW w:w="1980" w:type="dxa"/>
          </w:tcPr>
          <w:p w14:paraId="345F09D1" w14:textId="77777777" w:rsidR="00E82880" w:rsidRDefault="00E82880" w:rsidP="00B65A80">
            <w:pPr>
              <w:pStyle w:val="Heading4"/>
              <w:keepLines/>
              <w:spacing w:before="120" w:after="0"/>
            </w:pPr>
          </w:p>
        </w:tc>
        <w:tc>
          <w:tcPr>
            <w:tcW w:w="2410" w:type="dxa"/>
          </w:tcPr>
          <w:p w14:paraId="3D0875C9" w14:textId="566805BA" w:rsidR="00E82880" w:rsidRPr="002E658A" w:rsidRDefault="00E82880" w:rsidP="002E658A">
            <w:pPr>
              <w:pStyle w:val="Tabletext"/>
              <w:rPr>
                <w:b/>
                <w:bCs/>
              </w:rPr>
            </w:pPr>
            <w:r w:rsidRPr="002E658A">
              <w:rPr>
                <w:b/>
                <w:bCs/>
              </w:rPr>
              <w:t>Grade I: no residual tumour</w:t>
            </w:r>
          </w:p>
        </w:tc>
        <w:tc>
          <w:tcPr>
            <w:tcW w:w="2551" w:type="dxa"/>
          </w:tcPr>
          <w:p w14:paraId="089B7837" w14:textId="7AF7C712" w:rsidR="00E82880" w:rsidRPr="002E658A" w:rsidRDefault="00E82880" w:rsidP="002E658A">
            <w:pPr>
              <w:pStyle w:val="Tabletext"/>
              <w:rPr>
                <w:b/>
                <w:bCs/>
              </w:rPr>
            </w:pPr>
            <w:r w:rsidRPr="002E658A">
              <w:rPr>
                <w:b/>
                <w:bCs/>
              </w:rPr>
              <w:t>Grade I: residual tumour</w:t>
            </w:r>
          </w:p>
        </w:tc>
        <w:tc>
          <w:tcPr>
            <w:tcW w:w="2410" w:type="dxa"/>
          </w:tcPr>
          <w:p w14:paraId="4F5F8170" w14:textId="387F0F3E" w:rsidR="00E82880" w:rsidRPr="002E658A" w:rsidRDefault="00E82880" w:rsidP="002E658A">
            <w:pPr>
              <w:pStyle w:val="Tabletext"/>
              <w:rPr>
                <w:b/>
                <w:bCs/>
              </w:rPr>
            </w:pPr>
            <w:r w:rsidRPr="002E658A">
              <w:rPr>
                <w:b/>
                <w:bCs/>
              </w:rPr>
              <w:t>Grade I: after radiotherapy</w:t>
            </w:r>
          </w:p>
        </w:tc>
        <w:tc>
          <w:tcPr>
            <w:tcW w:w="2693" w:type="dxa"/>
          </w:tcPr>
          <w:p w14:paraId="1DF58D04" w14:textId="6053D361" w:rsidR="00E82880" w:rsidRPr="002E658A" w:rsidRDefault="00E82880" w:rsidP="002E658A">
            <w:pPr>
              <w:pStyle w:val="Tabletext"/>
              <w:rPr>
                <w:b/>
                <w:bCs/>
              </w:rPr>
            </w:pPr>
            <w:r w:rsidRPr="002E658A">
              <w:rPr>
                <w:b/>
                <w:bCs/>
              </w:rPr>
              <w:t>Grade II</w:t>
            </w:r>
          </w:p>
        </w:tc>
        <w:tc>
          <w:tcPr>
            <w:tcW w:w="2624" w:type="dxa"/>
          </w:tcPr>
          <w:p w14:paraId="702F986F" w14:textId="35B91DA0" w:rsidR="00E82880" w:rsidRPr="002E658A" w:rsidRDefault="00E82880" w:rsidP="002E658A">
            <w:pPr>
              <w:pStyle w:val="Tabletext"/>
              <w:rPr>
                <w:b/>
                <w:bCs/>
              </w:rPr>
            </w:pPr>
            <w:r w:rsidRPr="002E658A">
              <w:rPr>
                <w:b/>
                <w:bCs/>
              </w:rPr>
              <w:t>Grade III</w:t>
            </w:r>
          </w:p>
        </w:tc>
      </w:tr>
      <w:tr w:rsidR="00FA185B" w14:paraId="426A6199" w14:textId="77777777" w:rsidTr="00E1512C">
        <w:tc>
          <w:tcPr>
            <w:tcW w:w="1980" w:type="dxa"/>
          </w:tcPr>
          <w:p w14:paraId="798795CE" w14:textId="6D3020E8" w:rsidR="00FA185B" w:rsidRPr="002E658A" w:rsidRDefault="00E82880" w:rsidP="002E658A">
            <w:pPr>
              <w:pStyle w:val="Tabletext"/>
              <w:rPr>
                <w:b/>
                <w:bCs/>
              </w:rPr>
            </w:pPr>
            <w:r w:rsidRPr="002E658A">
              <w:rPr>
                <w:b/>
                <w:bCs/>
              </w:rPr>
              <w:t>0 to 1 years</w:t>
            </w:r>
          </w:p>
        </w:tc>
        <w:tc>
          <w:tcPr>
            <w:tcW w:w="2410" w:type="dxa"/>
          </w:tcPr>
          <w:p w14:paraId="618B0B47" w14:textId="23291325" w:rsidR="00FA185B" w:rsidRPr="002E658A" w:rsidRDefault="00E82880" w:rsidP="002E658A">
            <w:pPr>
              <w:pStyle w:val="Tabletext"/>
            </w:pPr>
            <w:r w:rsidRPr="002E658A">
              <w:t>Scan at 3 months</w:t>
            </w:r>
          </w:p>
        </w:tc>
        <w:tc>
          <w:tcPr>
            <w:tcW w:w="2551" w:type="dxa"/>
          </w:tcPr>
          <w:p w14:paraId="2E3C7DFB" w14:textId="5A2E8731" w:rsidR="00FA185B" w:rsidRPr="00E82880" w:rsidRDefault="00E82880" w:rsidP="002E658A">
            <w:pPr>
              <w:pStyle w:val="Tabletext"/>
              <w:rPr>
                <w:b/>
                <w:bCs/>
              </w:rPr>
            </w:pPr>
            <w:r w:rsidRPr="00E82880">
              <w:t>Scan at 3 months</w:t>
            </w:r>
          </w:p>
        </w:tc>
        <w:tc>
          <w:tcPr>
            <w:tcW w:w="2410" w:type="dxa"/>
          </w:tcPr>
          <w:p w14:paraId="61B9E232" w14:textId="084FBAA8" w:rsidR="00FA185B" w:rsidRPr="00E82880" w:rsidRDefault="00E82880" w:rsidP="002E658A">
            <w:pPr>
              <w:pStyle w:val="Tabletext"/>
              <w:rPr>
                <w:b/>
                <w:bCs/>
              </w:rPr>
            </w:pPr>
            <w:r w:rsidRPr="00E82880">
              <w:t>Scan 6 months after radiotherapy</w:t>
            </w:r>
          </w:p>
        </w:tc>
        <w:tc>
          <w:tcPr>
            <w:tcW w:w="2693" w:type="dxa"/>
          </w:tcPr>
          <w:p w14:paraId="3327741A" w14:textId="1768EC0C" w:rsidR="00FA185B" w:rsidRPr="00E82880" w:rsidRDefault="00E82880" w:rsidP="002E658A">
            <w:pPr>
              <w:pStyle w:val="Tabletext"/>
              <w:rPr>
                <w:b/>
                <w:bCs/>
              </w:rPr>
            </w:pPr>
            <w:r w:rsidRPr="00E82880">
              <w:t>Scan at 3 months, then 6 to 12 months later</w:t>
            </w:r>
          </w:p>
        </w:tc>
        <w:tc>
          <w:tcPr>
            <w:tcW w:w="2624" w:type="dxa"/>
          </w:tcPr>
          <w:p w14:paraId="0B9DDE6B" w14:textId="3575CB4B" w:rsidR="00FA185B" w:rsidRPr="00E82880" w:rsidRDefault="00E82880" w:rsidP="002E658A">
            <w:pPr>
              <w:pStyle w:val="Tabletext"/>
              <w:rPr>
                <w:b/>
                <w:bCs/>
              </w:rPr>
            </w:pPr>
            <w:r w:rsidRPr="00E82880">
              <w:t>Every 3 to 6 months</w:t>
            </w:r>
          </w:p>
        </w:tc>
      </w:tr>
      <w:tr w:rsidR="00FA185B" w14:paraId="1FE6F47A" w14:textId="77777777" w:rsidTr="00E1512C">
        <w:tc>
          <w:tcPr>
            <w:tcW w:w="1980" w:type="dxa"/>
          </w:tcPr>
          <w:p w14:paraId="062F034D" w14:textId="59DA7BB6" w:rsidR="00FA185B" w:rsidRPr="002E658A" w:rsidRDefault="00E82880" w:rsidP="002E658A">
            <w:pPr>
              <w:pStyle w:val="Tabletext"/>
              <w:rPr>
                <w:b/>
                <w:bCs/>
              </w:rPr>
            </w:pPr>
            <w:r w:rsidRPr="002E658A">
              <w:rPr>
                <w:b/>
                <w:bCs/>
              </w:rPr>
              <w:t>1 to 2 years</w:t>
            </w:r>
          </w:p>
        </w:tc>
        <w:tc>
          <w:tcPr>
            <w:tcW w:w="2410" w:type="dxa"/>
          </w:tcPr>
          <w:p w14:paraId="549E56D8" w14:textId="43AB20DE" w:rsidR="00FA185B" w:rsidRPr="00E82880" w:rsidRDefault="00E82880" w:rsidP="002E658A">
            <w:pPr>
              <w:pStyle w:val="Tabletext"/>
              <w:rPr>
                <w:b/>
                <w:bCs/>
              </w:rPr>
            </w:pPr>
            <w:r w:rsidRPr="00E82880">
              <w:t>Annually</w:t>
            </w:r>
          </w:p>
        </w:tc>
        <w:tc>
          <w:tcPr>
            <w:tcW w:w="2551" w:type="dxa"/>
          </w:tcPr>
          <w:p w14:paraId="59768D4F" w14:textId="7DC387C8" w:rsidR="00FA185B" w:rsidRPr="00E82880" w:rsidRDefault="00E82880" w:rsidP="002E658A">
            <w:pPr>
              <w:pStyle w:val="Tabletext"/>
              <w:rPr>
                <w:b/>
                <w:bCs/>
              </w:rPr>
            </w:pPr>
            <w:r w:rsidRPr="00E82880">
              <w:t>Annually</w:t>
            </w:r>
          </w:p>
        </w:tc>
        <w:tc>
          <w:tcPr>
            <w:tcW w:w="2410" w:type="dxa"/>
          </w:tcPr>
          <w:p w14:paraId="3417FEAB" w14:textId="52A2FF1F" w:rsidR="00FA185B" w:rsidRPr="00E82880" w:rsidRDefault="00E82880" w:rsidP="002E658A">
            <w:pPr>
              <w:pStyle w:val="Tabletext"/>
              <w:rPr>
                <w:b/>
                <w:bCs/>
              </w:rPr>
            </w:pPr>
            <w:r w:rsidRPr="00E82880">
              <w:t>Annually</w:t>
            </w:r>
          </w:p>
        </w:tc>
        <w:tc>
          <w:tcPr>
            <w:tcW w:w="2693" w:type="dxa"/>
          </w:tcPr>
          <w:p w14:paraId="1791C056" w14:textId="4FC75930" w:rsidR="00FA185B" w:rsidRPr="00E82880" w:rsidRDefault="00E82880" w:rsidP="002E658A">
            <w:pPr>
              <w:pStyle w:val="Tabletext"/>
              <w:rPr>
                <w:b/>
                <w:bCs/>
              </w:rPr>
            </w:pPr>
            <w:r w:rsidRPr="00E82880">
              <w:t>Annually</w:t>
            </w:r>
          </w:p>
        </w:tc>
        <w:tc>
          <w:tcPr>
            <w:tcW w:w="2624" w:type="dxa"/>
          </w:tcPr>
          <w:p w14:paraId="4D8C7164" w14:textId="1A9E408A" w:rsidR="00FA185B" w:rsidRPr="00E82880" w:rsidRDefault="00E82880" w:rsidP="002E658A">
            <w:pPr>
              <w:pStyle w:val="Tabletext"/>
              <w:rPr>
                <w:b/>
                <w:bCs/>
              </w:rPr>
            </w:pPr>
            <w:r w:rsidRPr="00E82880">
              <w:t>Every 3 to 6 months</w:t>
            </w:r>
          </w:p>
        </w:tc>
      </w:tr>
      <w:tr w:rsidR="00FA185B" w14:paraId="6BA01E2B" w14:textId="77777777" w:rsidTr="00E1512C">
        <w:tc>
          <w:tcPr>
            <w:tcW w:w="1980" w:type="dxa"/>
          </w:tcPr>
          <w:p w14:paraId="7A3DBC6A" w14:textId="396C895B" w:rsidR="00FA185B" w:rsidRPr="002E658A" w:rsidRDefault="00E82880" w:rsidP="002E658A">
            <w:pPr>
              <w:pStyle w:val="Tabletext"/>
              <w:rPr>
                <w:b/>
                <w:bCs/>
              </w:rPr>
            </w:pPr>
            <w:r w:rsidRPr="002E658A">
              <w:rPr>
                <w:b/>
                <w:bCs/>
              </w:rPr>
              <w:t>2 to 3 years</w:t>
            </w:r>
          </w:p>
        </w:tc>
        <w:tc>
          <w:tcPr>
            <w:tcW w:w="2410" w:type="dxa"/>
          </w:tcPr>
          <w:p w14:paraId="2D723561" w14:textId="7A337178" w:rsidR="00FA185B" w:rsidRPr="00E82880" w:rsidRDefault="00E82880" w:rsidP="002E658A">
            <w:pPr>
              <w:pStyle w:val="Tabletext"/>
              <w:rPr>
                <w:b/>
                <w:bCs/>
              </w:rPr>
            </w:pPr>
            <w:r w:rsidRPr="00E82880">
              <w:t>Annually</w:t>
            </w:r>
          </w:p>
        </w:tc>
        <w:tc>
          <w:tcPr>
            <w:tcW w:w="2551" w:type="dxa"/>
          </w:tcPr>
          <w:p w14:paraId="1176A248" w14:textId="3E2487D5" w:rsidR="00FA185B" w:rsidRPr="00E82880" w:rsidRDefault="00E82880" w:rsidP="002E658A">
            <w:pPr>
              <w:pStyle w:val="Tabletext"/>
              <w:rPr>
                <w:b/>
                <w:bCs/>
              </w:rPr>
            </w:pPr>
            <w:r w:rsidRPr="00E82880">
              <w:t>Annually</w:t>
            </w:r>
          </w:p>
        </w:tc>
        <w:tc>
          <w:tcPr>
            <w:tcW w:w="2410" w:type="dxa"/>
          </w:tcPr>
          <w:p w14:paraId="0F3C680B" w14:textId="1E5EBB3B" w:rsidR="00FA185B" w:rsidRPr="00E82880" w:rsidRDefault="00E82880" w:rsidP="002E658A">
            <w:pPr>
              <w:pStyle w:val="Tabletext"/>
              <w:rPr>
                <w:b/>
                <w:bCs/>
              </w:rPr>
            </w:pPr>
            <w:r w:rsidRPr="00E82880">
              <w:t>Annually</w:t>
            </w:r>
          </w:p>
        </w:tc>
        <w:tc>
          <w:tcPr>
            <w:tcW w:w="2693" w:type="dxa"/>
          </w:tcPr>
          <w:p w14:paraId="1B703734" w14:textId="154C7242" w:rsidR="00FA185B" w:rsidRPr="00E82880" w:rsidRDefault="00E82880" w:rsidP="002E658A">
            <w:pPr>
              <w:pStyle w:val="Tabletext"/>
              <w:rPr>
                <w:b/>
                <w:bCs/>
              </w:rPr>
            </w:pPr>
            <w:r w:rsidRPr="00E82880">
              <w:t>Annually</w:t>
            </w:r>
          </w:p>
        </w:tc>
        <w:tc>
          <w:tcPr>
            <w:tcW w:w="2624" w:type="dxa"/>
          </w:tcPr>
          <w:p w14:paraId="3B028B20" w14:textId="53A1E762" w:rsidR="00FA185B" w:rsidRPr="00E82880" w:rsidRDefault="00E82880" w:rsidP="002E658A">
            <w:pPr>
              <w:pStyle w:val="Tabletext"/>
              <w:rPr>
                <w:b/>
                <w:bCs/>
              </w:rPr>
            </w:pPr>
            <w:r w:rsidRPr="00E82880">
              <w:t>Every 6 to 12 months</w:t>
            </w:r>
          </w:p>
        </w:tc>
      </w:tr>
      <w:tr w:rsidR="00FA185B" w14:paraId="5A1C83CF" w14:textId="77777777" w:rsidTr="00E1512C">
        <w:tc>
          <w:tcPr>
            <w:tcW w:w="1980" w:type="dxa"/>
          </w:tcPr>
          <w:p w14:paraId="78B245C3" w14:textId="40F5C10F" w:rsidR="00FA185B" w:rsidRPr="002E658A" w:rsidRDefault="00E82880" w:rsidP="002E658A">
            <w:pPr>
              <w:pStyle w:val="Tabletext"/>
              <w:rPr>
                <w:b/>
                <w:bCs/>
              </w:rPr>
            </w:pPr>
            <w:r w:rsidRPr="002E658A">
              <w:rPr>
                <w:b/>
                <w:bCs/>
              </w:rPr>
              <w:t>3 to 4 years</w:t>
            </w:r>
          </w:p>
        </w:tc>
        <w:tc>
          <w:tcPr>
            <w:tcW w:w="2410" w:type="dxa"/>
          </w:tcPr>
          <w:p w14:paraId="6A2B4AA4" w14:textId="360CCC55" w:rsidR="00FA185B" w:rsidRPr="00E82880" w:rsidRDefault="00E82880" w:rsidP="002E658A">
            <w:pPr>
              <w:pStyle w:val="Tabletext"/>
              <w:rPr>
                <w:b/>
                <w:bCs/>
              </w:rPr>
            </w:pPr>
            <w:r w:rsidRPr="00E82880">
              <w:t>Once every 2 years</w:t>
            </w:r>
          </w:p>
        </w:tc>
        <w:tc>
          <w:tcPr>
            <w:tcW w:w="2551" w:type="dxa"/>
          </w:tcPr>
          <w:p w14:paraId="19DB58B6" w14:textId="1E5AAA32" w:rsidR="00FA185B" w:rsidRPr="00E82880" w:rsidRDefault="00E82880" w:rsidP="002E658A">
            <w:pPr>
              <w:pStyle w:val="Tabletext"/>
              <w:rPr>
                <w:b/>
                <w:bCs/>
              </w:rPr>
            </w:pPr>
            <w:r w:rsidRPr="00E82880">
              <w:t>Annually</w:t>
            </w:r>
          </w:p>
        </w:tc>
        <w:tc>
          <w:tcPr>
            <w:tcW w:w="2410" w:type="dxa"/>
          </w:tcPr>
          <w:p w14:paraId="0EE6FD83" w14:textId="4EDA0049" w:rsidR="00FA185B" w:rsidRPr="00E82880" w:rsidRDefault="00E82880" w:rsidP="002E658A">
            <w:pPr>
              <w:pStyle w:val="Tabletext"/>
              <w:rPr>
                <w:b/>
                <w:bCs/>
              </w:rPr>
            </w:pPr>
            <w:r w:rsidRPr="00E82880">
              <w:t>Once every 2 years</w:t>
            </w:r>
          </w:p>
        </w:tc>
        <w:tc>
          <w:tcPr>
            <w:tcW w:w="2693" w:type="dxa"/>
          </w:tcPr>
          <w:p w14:paraId="4E983154" w14:textId="3A36DAF5" w:rsidR="00FA185B" w:rsidRPr="00E82880" w:rsidRDefault="00E82880" w:rsidP="002E658A">
            <w:pPr>
              <w:pStyle w:val="Tabletext"/>
              <w:rPr>
                <w:b/>
                <w:bCs/>
              </w:rPr>
            </w:pPr>
            <w:r w:rsidRPr="00E82880">
              <w:t>Annually</w:t>
            </w:r>
          </w:p>
        </w:tc>
        <w:tc>
          <w:tcPr>
            <w:tcW w:w="2624" w:type="dxa"/>
          </w:tcPr>
          <w:p w14:paraId="3FA939D5" w14:textId="32E3861E" w:rsidR="00FA185B" w:rsidRPr="00E82880" w:rsidRDefault="00E82880" w:rsidP="002E658A">
            <w:pPr>
              <w:pStyle w:val="Tabletext"/>
              <w:rPr>
                <w:b/>
                <w:bCs/>
              </w:rPr>
            </w:pPr>
            <w:r w:rsidRPr="00E82880">
              <w:t>Every 6 to 12 months</w:t>
            </w:r>
          </w:p>
        </w:tc>
      </w:tr>
      <w:tr w:rsidR="00FA185B" w14:paraId="23D3F229" w14:textId="77777777" w:rsidTr="00E1512C">
        <w:tc>
          <w:tcPr>
            <w:tcW w:w="1980" w:type="dxa"/>
          </w:tcPr>
          <w:p w14:paraId="12F97777" w14:textId="47CA3707" w:rsidR="00FA185B" w:rsidRPr="002E658A" w:rsidRDefault="00E1512C" w:rsidP="002E658A">
            <w:pPr>
              <w:pStyle w:val="Tabletext"/>
              <w:rPr>
                <w:b/>
                <w:bCs/>
              </w:rPr>
            </w:pPr>
            <w:r w:rsidRPr="002E658A">
              <w:rPr>
                <w:b/>
                <w:bCs/>
              </w:rPr>
              <w:t>4 to 5 years</w:t>
            </w:r>
          </w:p>
        </w:tc>
        <w:tc>
          <w:tcPr>
            <w:tcW w:w="2410" w:type="dxa"/>
          </w:tcPr>
          <w:p w14:paraId="0768CCDA" w14:textId="066CD871" w:rsidR="00FA185B" w:rsidRPr="00E82880" w:rsidRDefault="00E1512C" w:rsidP="002E658A">
            <w:pPr>
              <w:pStyle w:val="Tabletext"/>
              <w:rPr>
                <w:b/>
                <w:bCs/>
              </w:rPr>
            </w:pPr>
            <w:r w:rsidRPr="00E1512C">
              <w:t>Once every 2 years</w:t>
            </w:r>
          </w:p>
        </w:tc>
        <w:tc>
          <w:tcPr>
            <w:tcW w:w="2551" w:type="dxa"/>
          </w:tcPr>
          <w:p w14:paraId="5A8778A6" w14:textId="6E0794B2" w:rsidR="00FA185B" w:rsidRPr="00E82880" w:rsidRDefault="00E1512C" w:rsidP="002E658A">
            <w:pPr>
              <w:pStyle w:val="Tabletext"/>
              <w:rPr>
                <w:b/>
                <w:bCs/>
              </w:rPr>
            </w:pPr>
            <w:r w:rsidRPr="00E1512C">
              <w:t>Annually</w:t>
            </w:r>
          </w:p>
        </w:tc>
        <w:tc>
          <w:tcPr>
            <w:tcW w:w="2410" w:type="dxa"/>
          </w:tcPr>
          <w:p w14:paraId="1A2C4DA7" w14:textId="5FE8A836" w:rsidR="00FA185B" w:rsidRPr="00E82880" w:rsidRDefault="00E1512C" w:rsidP="002E658A">
            <w:pPr>
              <w:pStyle w:val="Tabletext"/>
              <w:rPr>
                <w:b/>
                <w:bCs/>
              </w:rPr>
            </w:pPr>
            <w:r w:rsidRPr="00E1512C">
              <w:t>Once every 2 years</w:t>
            </w:r>
          </w:p>
        </w:tc>
        <w:tc>
          <w:tcPr>
            <w:tcW w:w="2693" w:type="dxa"/>
          </w:tcPr>
          <w:p w14:paraId="30ABAEE0" w14:textId="018D4DC5" w:rsidR="00FA185B" w:rsidRPr="00E82880" w:rsidRDefault="00E1512C" w:rsidP="002E658A">
            <w:pPr>
              <w:pStyle w:val="Tabletext"/>
              <w:rPr>
                <w:b/>
                <w:bCs/>
              </w:rPr>
            </w:pPr>
            <w:r w:rsidRPr="00E1512C">
              <w:t>Annually</w:t>
            </w:r>
          </w:p>
        </w:tc>
        <w:tc>
          <w:tcPr>
            <w:tcW w:w="2624" w:type="dxa"/>
          </w:tcPr>
          <w:p w14:paraId="45608B7C" w14:textId="6C2DBCAF" w:rsidR="00FA185B" w:rsidRPr="00E82880" w:rsidRDefault="00E1512C" w:rsidP="002E658A">
            <w:pPr>
              <w:pStyle w:val="Tabletext"/>
              <w:rPr>
                <w:b/>
                <w:bCs/>
              </w:rPr>
            </w:pPr>
            <w:r w:rsidRPr="00E1512C">
              <w:t>Every 6 to 12 months</w:t>
            </w:r>
          </w:p>
        </w:tc>
      </w:tr>
      <w:tr w:rsidR="00FA185B" w14:paraId="33B93EA5" w14:textId="77777777" w:rsidTr="00E1512C">
        <w:tc>
          <w:tcPr>
            <w:tcW w:w="1980" w:type="dxa"/>
          </w:tcPr>
          <w:p w14:paraId="14FDC7C5" w14:textId="3FD2B471" w:rsidR="00FA185B" w:rsidRPr="002E658A" w:rsidRDefault="00E1512C" w:rsidP="002E658A">
            <w:pPr>
              <w:pStyle w:val="Tabletext"/>
              <w:rPr>
                <w:b/>
                <w:bCs/>
              </w:rPr>
            </w:pPr>
            <w:r w:rsidRPr="002E658A">
              <w:rPr>
                <w:b/>
                <w:bCs/>
              </w:rPr>
              <w:t>5 to 6 years</w:t>
            </w:r>
          </w:p>
        </w:tc>
        <w:tc>
          <w:tcPr>
            <w:tcW w:w="2410" w:type="dxa"/>
          </w:tcPr>
          <w:p w14:paraId="66E57EDF" w14:textId="69F7871A" w:rsidR="00FA185B" w:rsidRPr="00E82880" w:rsidRDefault="00E1512C" w:rsidP="002E658A">
            <w:pPr>
              <w:pStyle w:val="Tabletext"/>
              <w:rPr>
                <w:b/>
                <w:bCs/>
              </w:rPr>
            </w:pPr>
            <w:r w:rsidRPr="00E1512C">
              <w:t>Once every 2 years</w:t>
            </w:r>
          </w:p>
        </w:tc>
        <w:tc>
          <w:tcPr>
            <w:tcW w:w="2551" w:type="dxa"/>
          </w:tcPr>
          <w:p w14:paraId="0D411498" w14:textId="4D7D12F1" w:rsidR="00FA185B" w:rsidRPr="00E82880" w:rsidRDefault="00E1512C" w:rsidP="002E658A">
            <w:pPr>
              <w:pStyle w:val="Tabletext"/>
              <w:rPr>
                <w:b/>
                <w:bCs/>
              </w:rPr>
            </w:pPr>
            <w:r w:rsidRPr="00E1512C">
              <w:t>Once every 2 years</w:t>
            </w:r>
          </w:p>
        </w:tc>
        <w:tc>
          <w:tcPr>
            <w:tcW w:w="2410" w:type="dxa"/>
          </w:tcPr>
          <w:p w14:paraId="14BFCE0F" w14:textId="73E68A4E" w:rsidR="00FA185B" w:rsidRPr="00E82880" w:rsidRDefault="00E1512C" w:rsidP="002E658A">
            <w:pPr>
              <w:pStyle w:val="Tabletext"/>
              <w:rPr>
                <w:b/>
                <w:bCs/>
              </w:rPr>
            </w:pPr>
            <w:r w:rsidRPr="00E1512C">
              <w:t>Once every 2 years</w:t>
            </w:r>
          </w:p>
        </w:tc>
        <w:tc>
          <w:tcPr>
            <w:tcW w:w="2693" w:type="dxa"/>
          </w:tcPr>
          <w:p w14:paraId="1D50C9D4" w14:textId="06EB6A90" w:rsidR="00FA185B" w:rsidRPr="00E82880" w:rsidRDefault="00E1512C" w:rsidP="002E658A">
            <w:pPr>
              <w:pStyle w:val="Tabletext"/>
              <w:rPr>
                <w:b/>
                <w:bCs/>
              </w:rPr>
            </w:pPr>
            <w:r w:rsidRPr="00E1512C">
              <w:t>Once every 2 years</w:t>
            </w:r>
          </w:p>
        </w:tc>
        <w:tc>
          <w:tcPr>
            <w:tcW w:w="2624" w:type="dxa"/>
          </w:tcPr>
          <w:p w14:paraId="3F5B7C38" w14:textId="5298FD48" w:rsidR="00FA185B" w:rsidRPr="00E82880" w:rsidRDefault="00E1512C" w:rsidP="002E658A">
            <w:pPr>
              <w:pStyle w:val="Tabletext"/>
              <w:rPr>
                <w:b/>
                <w:bCs/>
              </w:rPr>
            </w:pPr>
            <w:r w:rsidRPr="00E1512C">
              <w:t>Annually</w:t>
            </w:r>
          </w:p>
        </w:tc>
      </w:tr>
      <w:tr w:rsidR="00FA185B" w14:paraId="2B6027FF" w14:textId="77777777" w:rsidTr="00E1512C">
        <w:tc>
          <w:tcPr>
            <w:tcW w:w="1980" w:type="dxa"/>
          </w:tcPr>
          <w:p w14:paraId="64A512A9" w14:textId="603DE753" w:rsidR="00FA185B" w:rsidRPr="002E658A" w:rsidRDefault="00E1512C" w:rsidP="002E658A">
            <w:pPr>
              <w:pStyle w:val="Tabletext"/>
              <w:rPr>
                <w:b/>
                <w:bCs/>
              </w:rPr>
            </w:pPr>
            <w:r w:rsidRPr="002E658A">
              <w:rPr>
                <w:b/>
                <w:bCs/>
              </w:rPr>
              <w:t>6 to 7 years</w:t>
            </w:r>
          </w:p>
        </w:tc>
        <w:tc>
          <w:tcPr>
            <w:tcW w:w="2410" w:type="dxa"/>
          </w:tcPr>
          <w:p w14:paraId="2BC9CB9E" w14:textId="0F8ADB54" w:rsidR="00FA185B" w:rsidRPr="00E82880" w:rsidRDefault="00E1512C" w:rsidP="002E658A">
            <w:pPr>
              <w:pStyle w:val="Tabletext"/>
              <w:rPr>
                <w:b/>
                <w:bCs/>
              </w:rPr>
            </w:pPr>
            <w:r w:rsidRPr="00E1512C">
              <w:t>Once every 2 years</w:t>
            </w:r>
          </w:p>
        </w:tc>
        <w:tc>
          <w:tcPr>
            <w:tcW w:w="2551" w:type="dxa"/>
          </w:tcPr>
          <w:p w14:paraId="7795274A" w14:textId="436CDE18" w:rsidR="00FA185B" w:rsidRPr="00E82880" w:rsidRDefault="00E1512C" w:rsidP="002E658A">
            <w:pPr>
              <w:pStyle w:val="Tabletext"/>
              <w:rPr>
                <w:b/>
                <w:bCs/>
              </w:rPr>
            </w:pPr>
            <w:r w:rsidRPr="00E1512C">
              <w:t>Once every 2 years</w:t>
            </w:r>
          </w:p>
        </w:tc>
        <w:tc>
          <w:tcPr>
            <w:tcW w:w="2410" w:type="dxa"/>
          </w:tcPr>
          <w:p w14:paraId="3011393F" w14:textId="0B537671" w:rsidR="00FA185B" w:rsidRPr="00E82880" w:rsidRDefault="00E1512C" w:rsidP="002E658A">
            <w:pPr>
              <w:pStyle w:val="Tabletext"/>
              <w:rPr>
                <w:b/>
                <w:bCs/>
              </w:rPr>
            </w:pPr>
            <w:r w:rsidRPr="00E1512C">
              <w:t>Once every 2 years</w:t>
            </w:r>
          </w:p>
        </w:tc>
        <w:tc>
          <w:tcPr>
            <w:tcW w:w="2693" w:type="dxa"/>
          </w:tcPr>
          <w:p w14:paraId="1FCDE700" w14:textId="4471ED2E" w:rsidR="00FA185B" w:rsidRPr="00E82880" w:rsidRDefault="00E1512C" w:rsidP="002E658A">
            <w:pPr>
              <w:pStyle w:val="Tabletext"/>
              <w:rPr>
                <w:b/>
                <w:bCs/>
              </w:rPr>
            </w:pPr>
            <w:r w:rsidRPr="00E1512C">
              <w:t>Once every 2 years</w:t>
            </w:r>
          </w:p>
        </w:tc>
        <w:tc>
          <w:tcPr>
            <w:tcW w:w="2624" w:type="dxa"/>
          </w:tcPr>
          <w:p w14:paraId="3923BEEC" w14:textId="51C88D1F" w:rsidR="00FA185B" w:rsidRPr="00E82880" w:rsidRDefault="00E1512C" w:rsidP="002E658A">
            <w:pPr>
              <w:pStyle w:val="Tabletext"/>
              <w:rPr>
                <w:b/>
                <w:bCs/>
              </w:rPr>
            </w:pPr>
            <w:r w:rsidRPr="00E1512C">
              <w:t>Annually</w:t>
            </w:r>
          </w:p>
        </w:tc>
      </w:tr>
      <w:tr w:rsidR="00FA185B" w14:paraId="7EB30DAF" w14:textId="77777777" w:rsidTr="00E1512C">
        <w:tc>
          <w:tcPr>
            <w:tcW w:w="1980" w:type="dxa"/>
          </w:tcPr>
          <w:p w14:paraId="22EB2752" w14:textId="6B423349" w:rsidR="00FA185B" w:rsidRPr="002E658A" w:rsidRDefault="00E1512C" w:rsidP="002E658A">
            <w:pPr>
              <w:pStyle w:val="Tabletext"/>
              <w:rPr>
                <w:b/>
                <w:bCs/>
              </w:rPr>
            </w:pPr>
            <w:r w:rsidRPr="002E658A">
              <w:rPr>
                <w:b/>
                <w:bCs/>
              </w:rPr>
              <w:t>7 to 8 years</w:t>
            </w:r>
          </w:p>
        </w:tc>
        <w:tc>
          <w:tcPr>
            <w:tcW w:w="2410" w:type="dxa"/>
          </w:tcPr>
          <w:p w14:paraId="32504BC8" w14:textId="12A4D533" w:rsidR="00FA185B" w:rsidRPr="00E82880" w:rsidRDefault="00E1512C" w:rsidP="002E658A">
            <w:pPr>
              <w:pStyle w:val="Tabletext"/>
              <w:rPr>
                <w:b/>
                <w:bCs/>
              </w:rPr>
            </w:pPr>
            <w:r w:rsidRPr="00E1512C">
              <w:t>Once every 2 years</w:t>
            </w:r>
          </w:p>
        </w:tc>
        <w:tc>
          <w:tcPr>
            <w:tcW w:w="2551" w:type="dxa"/>
          </w:tcPr>
          <w:p w14:paraId="4D780D13" w14:textId="230F3F65" w:rsidR="00FA185B" w:rsidRPr="00E82880" w:rsidRDefault="00E1512C" w:rsidP="002E658A">
            <w:pPr>
              <w:pStyle w:val="Tabletext"/>
              <w:rPr>
                <w:b/>
                <w:bCs/>
              </w:rPr>
            </w:pPr>
            <w:r w:rsidRPr="00E1512C">
              <w:t>Once every 2 years</w:t>
            </w:r>
          </w:p>
        </w:tc>
        <w:tc>
          <w:tcPr>
            <w:tcW w:w="2410" w:type="dxa"/>
          </w:tcPr>
          <w:p w14:paraId="119A6E71" w14:textId="04F1E1B5" w:rsidR="00FA185B" w:rsidRPr="00E82880" w:rsidRDefault="00E1512C" w:rsidP="002E658A">
            <w:pPr>
              <w:pStyle w:val="Tabletext"/>
              <w:rPr>
                <w:b/>
                <w:bCs/>
              </w:rPr>
            </w:pPr>
            <w:r w:rsidRPr="00E1512C">
              <w:t>Once every 2 years</w:t>
            </w:r>
          </w:p>
        </w:tc>
        <w:tc>
          <w:tcPr>
            <w:tcW w:w="2693" w:type="dxa"/>
          </w:tcPr>
          <w:p w14:paraId="6C8BA50A" w14:textId="3BE46751" w:rsidR="00FA185B" w:rsidRPr="00E82880" w:rsidRDefault="00E1512C" w:rsidP="002E658A">
            <w:pPr>
              <w:pStyle w:val="Tabletext"/>
              <w:rPr>
                <w:b/>
                <w:bCs/>
              </w:rPr>
            </w:pPr>
            <w:r w:rsidRPr="00E1512C">
              <w:t>Once every 2 years</w:t>
            </w:r>
          </w:p>
        </w:tc>
        <w:tc>
          <w:tcPr>
            <w:tcW w:w="2624" w:type="dxa"/>
          </w:tcPr>
          <w:p w14:paraId="44474F1E" w14:textId="51D1435E" w:rsidR="00FA185B" w:rsidRPr="00E82880" w:rsidRDefault="00E1512C" w:rsidP="002E658A">
            <w:pPr>
              <w:pStyle w:val="Tabletext"/>
              <w:rPr>
                <w:b/>
                <w:bCs/>
              </w:rPr>
            </w:pPr>
            <w:r w:rsidRPr="00E1512C">
              <w:t>Annually</w:t>
            </w:r>
          </w:p>
        </w:tc>
      </w:tr>
      <w:tr w:rsidR="00FA185B" w14:paraId="425706FC" w14:textId="77777777" w:rsidTr="00E1512C">
        <w:tc>
          <w:tcPr>
            <w:tcW w:w="1980" w:type="dxa"/>
          </w:tcPr>
          <w:p w14:paraId="3620DFF8" w14:textId="6D5E63FC" w:rsidR="00FA185B" w:rsidRPr="002E658A" w:rsidRDefault="00E1512C" w:rsidP="002E658A">
            <w:pPr>
              <w:pStyle w:val="Tabletext"/>
              <w:rPr>
                <w:b/>
                <w:bCs/>
              </w:rPr>
            </w:pPr>
            <w:r w:rsidRPr="002E658A">
              <w:rPr>
                <w:b/>
                <w:bCs/>
              </w:rPr>
              <w:t>8 to 9 years</w:t>
            </w:r>
          </w:p>
        </w:tc>
        <w:tc>
          <w:tcPr>
            <w:tcW w:w="2410" w:type="dxa"/>
          </w:tcPr>
          <w:p w14:paraId="263D0E6D" w14:textId="6C2F1B79" w:rsidR="00FA185B" w:rsidRPr="00E82880" w:rsidRDefault="00E1512C" w:rsidP="002E658A">
            <w:pPr>
              <w:pStyle w:val="Tabletext"/>
              <w:rPr>
                <w:b/>
                <w:bCs/>
              </w:rPr>
            </w:pPr>
            <w:r w:rsidRPr="00E1512C">
              <w:t>Once every 2 years</w:t>
            </w:r>
          </w:p>
        </w:tc>
        <w:tc>
          <w:tcPr>
            <w:tcW w:w="2551" w:type="dxa"/>
          </w:tcPr>
          <w:p w14:paraId="0F5F4391" w14:textId="42BA1096" w:rsidR="00FA185B" w:rsidRPr="00E82880" w:rsidRDefault="00E1512C" w:rsidP="002E658A">
            <w:pPr>
              <w:pStyle w:val="Tabletext"/>
              <w:rPr>
                <w:b/>
                <w:bCs/>
              </w:rPr>
            </w:pPr>
            <w:r w:rsidRPr="00E1512C">
              <w:t>Once every 2 years</w:t>
            </w:r>
          </w:p>
        </w:tc>
        <w:tc>
          <w:tcPr>
            <w:tcW w:w="2410" w:type="dxa"/>
          </w:tcPr>
          <w:p w14:paraId="54AFCE97" w14:textId="75B74BA6" w:rsidR="00FA185B" w:rsidRPr="00E82880" w:rsidRDefault="00E1512C" w:rsidP="002E658A">
            <w:pPr>
              <w:pStyle w:val="Tabletext"/>
              <w:rPr>
                <w:b/>
                <w:bCs/>
              </w:rPr>
            </w:pPr>
            <w:r w:rsidRPr="00E1512C">
              <w:t>Once every 2 years</w:t>
            </w:r>
          </w:p>
        </w:tc>
        <w:tc>
          <w:tcPr>
            <w:tcW w:w="2693" w:type="dxa"/>
          </w:tcPr>
          <w:p w14:paraId="77956A8B" w14:textId="70A2F625" w:rsidR="00FA185B" w:rsidRPr="00E82880" w:rsidRDefault="00E1512C" w:rsidP="002E658A">
            <w:pPr>
              <w:pStyle w:val="Tabletext"/>
              <w:rPr>
                <w:b/>
                <w:bCs/>
              </w:rPr>
            </w:pPr>
            <w:r w:rsidRPr="00E1512C">
              <w:t>Once every 2 years</w:t>
            </w:r>
          </w:p>
        </w:tc>
        <w:tc>
          <w:tcPr>
            <w:tcW w:w="2624" w:type="dxa"/>
          </w:tcPr>
          <w:p w14:paraId="3A2541B8" w14:textId="374B715E" w:rsidR="00FA185B" w:rsidRPr="00E82880" w:rsidRDefault="00E1512C" w:rsidP="002E658A">
            <w:pPr>
              <w:pStyle w:val="Tabletext"/>
              <w:rPr>
                <w:b/>
                <w:bCs/>
              </w:rPr>
            </w:pPr>
            <w:r w:rsidRPr="00E1512C">
              <w:t>Annually</w:t>
            </w:r>
          </w:p>
        </w:tc>
      </w:tr>
      <w:tr w:rsidR="00FA185B" w14:paraId="775CA887" w14:textId="77777777" w:rsidTr="00E1512C">
        <w:tc>
          <w:tcPr>
            <w:tcW w:w="1980" w:type="dxa"/>
          </w:tcPr>
          <w:p w14:paraId="1FB3D4E7" w14:textId="5448C92C" w:rsidR="00FA185B" w:rsidRPr="002E658A" w:rsidRDefault="00E1512C" w:rsidP="002E658A">
            <w:pPr>
              <w:pStyle w:val="Tabletext"/>
              <w:rPr>
                <w:b/>
                <w:bCs/>
              </w:rPr>
            </w:pPr>
            <w:r w:rsidRPr="002E658A">
              <w:rPr>
                <w:b/>
                <w:bCs/>
              </w:rPr>
              <w:t>&gt;9 years (for the rest of life)</w:t>
            </w:r>
          </w:p>
        </w:tc>
        <w:tc>
          <w:tcPr>
            <w:tcW w:w="2410" w:type="dxa"/>
          </w:tcPr>
          <w:p w14:paraId="50FB7636" w14:textId="20199AF3" w:rsidR="00FA185B" w:rsidRPr="00E82880" w:rsidRDefault="00E1512C" w:rsidP="002E658A">
            <w:pPr>
              <w:pStyle w:val="Tabletext"/>
              <w:rPr>
                <w:b/>
                <w:bCs/>
              </w:rPr>
            </w:pPr>
            <w:r w:rsidRPr="00E1512C">
              <w:t>Consider discharge</w:t>
            </w:r>
          </w:p>
        </w:tc>
        <w:tc>
          <w:tcPr>
            <w:tcW w:w="2551" w:type="dxa"/>
          </w:tcPr>
          <w:p w14:paraId="59F2DCB8" w14:textId="13582741" w:rsidR="00FA185B" w:rsidRPr="00E82880" w:rsidRDefault="00E1512C" w:rsidP="002E658A">
            <w:pPr>
              <w:pStyle w:val="Tabletext"/>
              <w:rPr>
                <w:b/>
                <w:bCs/>
              </w:rPr>
            </w:pPr>
            <w:r w:rsidRPr="00E1512C">
              <w:t>Consider discharge</w:t>
            </w:r>
          </w:p>
        </w:tc>
        <w:tc>
          <w:tcPr>
            <w:tcW w:w="2410" w:type="dxa"/>
          </w:tcPr>
          <w:p w14:paraId="550A5649" w14:textId="0A42BDE2" w:rsidR="00FA185B" w:rsidRPr="00E82880" w:rsidRDefault="00E1512C" w:rsidP="002E658A">
            <w:pPr>
              <w:pStyle w:val="Tabletext"/>
              <w:rPr>
                <w:b/>
                <w:bCs/>
              </w:rPr>
            </w:pPr>
            <w:r w:rsidRPr="00E1512C">
              <w:t>Consider discharge</w:t>
            </w:r>
          </w:p>
        </w:tc>
        <w:tc>
          <w:tcPr>
            <w:tcW w:w="2693" w:type="dxa"/>
          </w:tcPr>
          <w:p w14:paraId="089D0763" w14:textId="0B2FD2A2" w:rsidR="00FA185B" w:rsidRPr="00E82880" w:rsidRDefault="00E1512C" w:rsidP="002E658A">
            <w:pPr>
              <w:pStyle w:val="Tabletext"/>
              <w:rPr>
                <w:b/>
                <w:bCs/>
              </w:rPr>
            </w:pPr>
            <w:r w:rsidRPr="00E1512C">
              <w:t>Consider discharge</w:t>
            </w:r>
          </w:p>
        </w:tc>
        <w:tc>
          <w:tcPr>
            <w:tcW w:w="2624" w:type="dxa"/>
          </w:tcPr>
          <w:p w14:paraId="0B3124C7" w14:textId="07522A75" w:rsidR="00FA185B" w:rsidRPr="00E82880" w:rsidRDefault="00E1512C" w:rsidP="002E658A">
            <w:pPr>
              <w:pStyle w:val="Tabletext"/>
              <w:rPr>
                <w:b/>
                <w:bCs/>
              </w:rPr>
            </w:pPr>
            <w:r w:rsidRPr="00E1512C">
              <w:t>Annually</w:t>
            </w:r>
          </w:p>
        </w:tc>
      </w:tr>
    </w:tbl>
    <w:p w14:paraId="621F3D4F" w14:textId="77777777" w:rsidR="008D7E87" w:rsidRPr="008D7E87" w:rsidRDefault="008D7E87" w:rsidP="008D7E87">
      <w:pPr>
        <w:pStyle w:val="Heading4"/>
        <w:rPr>
          <w:b w:val="0"/>
          <w:bCs w:val="0"/>
        </w:rPr>
      </w:pPr>
      <w:r w:rsidRPr="008D7E87">
        <w:rPr>
          <w:b w:val="0"/>
          <w:bCs w:val="0"/>
        </w:rPr>
        <w:t>For asymptomatic incidental meningioma: scan at 12 months and if no change, consider discharge or scan at 5 years.</w:t>
      </w:r>
    </w:p>
    <w:p w14:paraId="1E13E16A" w14:textId="320A8846" w:rsidR="001F37EF" w:rsidRDefault="008D7E87" w:rsidP="008D7E87">
      <w:pPr>
        <w:pStyle w:val="Heading4"/>
        <w:rPr>
          <w:b w:val="0"/>
          <w:bCs w:val="0"/>
        </w:rPr>
      </w:pPr>
      <w:r w:rsidRPr="008D7E87">
        <w:rPr>
          <w:b w:val="0"/>
          <w:bCs w:val="0"/>
        </w:rPr>
        <w:t>Note: the presence of any residual tumour can only be established after the first scan at 3 months.</w:t>
      </w:r>
    </w:p>
    <w:p w14:paraId="591AACE9" w14:textId="38761B47" w:rsidR="00771EA4" w:rsidRDefault="00771EA4" w:rsidP="00771EA4">
      <w:pPr>
        <w:pStyle w:val="Paragraph"/>
      </w:pPr>
      <w:r>
        <w:t xml:space="preserve">1.5.4 </w:t>
      </w:r>
      <w:r w:rsidRPr="00771EA4">
        <w:t>Consider standard structural MRI (defined as T2 weighted, FLAIR, DWI series and T1 pre- and post-contrast volume) as part of regular clinical review for people with meningioma, to assess for progression or recurrence, unless MRI is contraindicated.</w:t>
      </w:r>
    </w:p>
    <w:p w14:paraId="26015626" w14:textId="61504E49" w:rsidR="00771EA4" w:rsidRDefault="006F0465" w:rsidP="00771EA4">
      <w:pPr>
        <w:pStyle w:val="Paragraph"/>
      </w:pPr>
      <w:r>
        <w:t xml:space="preserve">1.8.3 </w:t>
      </w:r>
      <w:r w:rsidRPr="006F0465">
        <w:t>Consider the follow</w:t>
      </w:r>
      <w:r w:rsidRPr="006F0465">
        <w:rPr>
          <w:rFonts w:ascii="Cambria Math" w:hAnsi="Cambria Math" w:cs="Cambria Math"/>
        </w:rPr>
        <w:t>‑</w:t>
      </w:r>
      <w:r w:rsidRPr="006F0465">
        <w:t>up schedule given in table 11 for people with brain metastases.</w:t>
      </w:r>
    </w:p>
    <w:p w14:paraId="56B62CC9" w14:textId="77777777" w:rsidR="002C765D" w:rsidRDefault="002C765D">
      <w:pPr>
        <w:rPr>
          <w:rFonts w:ascii="Arial" w:hAnsi="Arial"/>
          <w:b/>
          <w:sz w:val="22"/>
        </w:rPr>
      </w:pPr>
      <w:r>
        <w:br w:type="page"/>
      </w:r>
    </w:p>
    <w:p w14:paraId="60D82BBF" w14:textId="1DA4CF6C" w:rsidR="006F0465" w:rsidRDefault="006F0465" w:rsidP="008E0D8D">
      <w:pPr>
        <w:pStyle w:val="Tabletitle"/>
      </w:pPr>
      <w:r w:rsidRPr="006F0465">
        <w:t>Table 11 Possible regular clinical review schedule for people with brain metastases</w:t>
      </w:r>
    </w:p>
    <w:tbl>
      <w:tblPr>
        <w:tblStyle w:val="TableGrid"/>
        <w:tblW w:w="0" w:type="auto"/>
        <w:tblLook w:val="04A0" w:firstRow="1" w:lastRow="0" w:firstColumn="1" w:lastColumn="0" w:noHBand="0" w:noVBand="1"/>
      </w:tblPr>
      <w:tblGrid>
        <w:gridCol w:w="4519"/>
        <w:gridCol w:w="4497"/>
      </w:tblGrid>
      <w:tr w:rsidR="00C23866" w14:paraId="1C823739" w14:textId="77777777" w:rsidTr="008E0D8D">
        <w:tc>
          <w:tcPr>
            <w:tcW w:w="7334" w:type="dxa"/>
          </w:tcPr>
          <w:p w14:paraId="78716948" w14:textId="0075FD80" w:rsidR="00C23866" w:rsidRPr="002C765D" w:rsidRDefault="00C23866" w:rsidP="002C765D">
            <w:pPr>
              <w:pStyle w:val="Tabletext"/>
              <w:rPr>
                <w:b/>
                <w:bCs/>
              </w:rPr>
            </w:pPr>
            <w:r w:rsidRPr="002C765D">
              <w:rPr>
                <w:b/>
                <w:bCs/>
              </w:rPr>
              <w:t>Years after end of treatment</w:t>
            </w:r>
          </w:p>
        </w:tc>
        <w:tc>
          <w:tcPr>
            <w:tcW w:w="7334" w:type="dxa"/>
          </w:tcPr>
          <w:p w14:paraId="31E0EA1D" w14:textId="4DF89685" w:rsidR="00C23866" w:rsidRPr="002C765D" w:rsidRDefault="00C23866" w:rsidP="002C765D">
            <w:pPr>
              <w:pStyle w:val="Tabletext"/>
              <w:rPr>
                <w:b/>
                <w:bCs/>
              </w:rPr>
            </w:pPr>
            <w:r w:rsidRPr="002C765D">
              <w:rPr>
                <w:b/>
                <w:bCs/>
              </w:rPr>
              <w:t>Clinical review schedule</w:t>
            </w:r>
          </w:p>
        </w:tc>
      </w:tr>
      <w:tr w:rsidR="008E0D8D" w14:paraId="4617292E" w14:textId="77777777" w:rsidTr="008E0D8D">
        <w:tc>
          <w:tcPr>
            <w:tcW w:w="7334" w:type="dxa"/>
          </w:tcPr>
          <w:p w14:paraId="4A8D53A2" w14:textId="2C9750B3" w:rsidR="008E0D8D" w:rsidRDefault="00C23866" w:rsidP="002C765D">
            <w:pPr>
              <w:pStyle w:val="Tabletext"/>
            </w:pPr>
            <w:r w:rsidRPr="00C23866">
              <w:t>0 to 1 years</w:t>
            </w:r>
          </w:p>
        </w:tc>
        <w:tc>
          <w:tcPr>
            <w:tcW w:w="7334" w:type="dxa"/>
          </w:tcPr>
          <w:p w14:paraId="2ACE4418" w14:textId="35379511" w:rsidR="008E0D8D" w:rsidRDefault="00C23866" w:rsidP="002C765D">
            <w:pPr>
              <w:pStyle w:val="Tabletext"/>
            </w:pPr>
            <w:r w:rsidRPr="00C23866">
              <w:t>Every 3 months</w:t>
            </w:r>
          </w:p>
        </w:tc>
      </w:tr>
      <w:tr w:rsidR="008E0D8D" w14:paraId="3A0CAB7E" w14:textId="77777777" w:rsidTr="008E0D8D">
        <w:tc>
          <w:tcPr>
            <w:tcW w:w="7334" w:type="dxa"/>
          </w:tcPr>
          <w:p w14:paraId="0193A919" w14:textId="36607B80" w:rsidR="008E0D8D" w:rsidRDefault="00C23866" w:rsidP="002C765D">
            <w:pPr>
              <w:pStyle w:val="Tabletext"/>
            </w:pPr>
            <w:r w:rsidRPr="00C23866">
              <w:t>1 to 2 years</w:t>
            </w:r>
          </w:p>
        </w:tc>
        <w:tc>
          <w:tcPr>
            <w:tcW w:w="7334" w:type="dxa"/>
          </w:tcPr>
          <w:p w14:paraId="18CAE054" w14:textId="680A8D41" w:rsidR="008E0D8D" w:rsidRDefault="00C23866" w:rsidP="002C765D">
            <w:pPr>
              <w:pStyle w:val="Tabletext"/>
            </w:pPr>
            <w:r w:rsidRPr="00C23866">
              <w:t>Every 4 to 6 months</w:t>
            </w:r>
          </w:p>
        </w:tc>
      </w:tr>
      <w:tr w:rsidR="008E0D8D" w14:paraId="42C24FE6" w14:textId="77777777" w:rsidTr="008E0D8D">
        <w:tc>
          <w:tcPr>
            <w:tcW w:w="7334" w:type="dxa"/>
          </w:tcPr>
          <w:p w14:paraId="131BCFDD" w14:textId="1F279780" w:rsidR="008E0D8D" w:rsidRDefault="00C23866" w:rsidP="002C765D">
            <w:pPr>
              <w:pStyle w:val="Tabletext"/>
            </w:pPr>
            <w:r w:rsidRPr="00C23866">
              <w:t>2 years and onwards</w:t>
            </w:r>
          </w:p>
        </w:tc>
        <w:tc>
          <w:tcPr>
            <w:tcW w:w="7334" w:type="dxa"/>
          </w:tcPr>
          <w:p w14:paraId="2D020D3B" w14:textId="31D799C6" w:rsidR="008E0D8D" w:rsidRDefault="00C23866" w:rsidP="002C765D">
            <w:pPr>
              <w:pStyle w:val="Tabletext"/>
            </w:pPr>
            <w:r w:rsidRPr="00C23866">
              <w:t>Annually</w:t>
            </w:r>
          </w:p>
        </w:tc>
      </w:tr>
    </w:tbl>
    <w:p w14:paraId="584A6CFB" w14:textId="77E15178" w:rsidR="006F0465" w:rsidRPr="00771EA4" w:rsidRDefault="00650C0D" w:rsidP="00771EA4">
      <w:pPr>
        <w:pStyle w:val="Paragraph"/>
      </w:pPr>
      <w:r>
        <w:t xml:space="preserve">1.8.4 </w:t>
      </w:r>
      <w:r w:rsidRPr="00650C0D">
        <w:t>Consider standard structural MRI (defined as T2 weighted, FLAIR, DWI series and T1 pre- and post-contrast volume) as part of regular clinical review for people with brain metastases, to assess for progression or recurrence, unless MRI is contraindicated.</w:t>
      </w:r>
    </w:p>
    <w:p w14:paraId="4E94AA83" w14:textId="56BFFB2D" w:rsidR="00F535C7" w:rsidRDefault="00F535C7" w:rsidP="00F535C7">
      <w:pPr>
        <w:pStyle w:val="Heading4"/>
      </w:pPr>
      <w:r>
        <w:t>Current UK practice</w:t>
      </w:r>
    </w:p>
    <w:p w14:paraId="44200537" w14:textId="45E6B15B" w:rsidR="00C53471" w:rsidRDefault="00C53471" w:rsidP="00817AAE">
      <w:pPr>
        <w:pStyle w:val="Paragraph"/>
      </w:pPr>
      <w:r>
        <w:t>A study of current imaging practices amongst UK neuro-oncology centres (</w:t>
      </w:r>
      <w:hyperlink r:id="rId25" w:history="1">
        <w:r w:rsidRPr="00C53471">
          <w:rPr>
            <w:rStyle w:val="Hyperlink"/>
          </w:rPr>
          <w:t>Booth et al Glioblastoma post-operative imaging in neuro-oncology: current UK practice (GIN CUP study)</w:t>
        </w:r>
      </w:hyperlink>
      <w:r>
        <w:t>) found that m</w:t>
      </w:r>
      <w:r w:rsidRPr="00C53471">
        <w:t xml:space="preserve">ost centres routinely performed an early post-operative MRI (87%, 27/31), whereas only a third performed a pre-radiotherapy MRI (32%, 10/31). The number and timing of scans routinely performed during adjuvant TMZ treatment varied widely between centres. At the end of the adjuvant period, most centres performed an MRI (71%, 22/31), followed by monitoring scans at 3 monthly intervals (81%, 25/31). Additional short-interval imaging was carried out in cases of possible </w:t>
      </w:r>
      <w:proofErr w:type="spellStart"/>
      <w:r w:rsidRPr="00C53471">
        <w:t>pseudoprogression</w:t>
      </w:r>
      <w:proofErr w:type="spellEnd"/>
      <w:r w:rsidRPr="00C53471">
        <w:t xml:space="preserve"> in most centres (71%, 22/31)</w:t>
      </w:r>
      <w:r>
        <w:t>.</w:t>
      </w:r>
    </w:p>
    <w:p w14:paraId="201032E7" w14:textId="031E7FF8" w:rsidR="00817AAE" w:rsidRDefault="00817AAE" w:rsidP="00817AAE">
      <w:pPr>
        <w:pStyle w:val="Paragraph"/>
      </w:pPr>
      <w:r w:rsidRPr="00332CF2">
        <w:t xml:space="preserve">The </w:t>
      </w:r>
      <w:hyperlink r:id="rId26" w:history="1">
        <w:r w:rsidRPr="00332CF2">
          <w:rPr>
            <w:rStyle w:val="Hyperlink"/>
          </w:rPr>
          <w:t>Scottish Adult Neuro Oncology Network report of the 2019 clinical audit data for brain and central nervous system cancers</w:t>
        </w:r>
      </w:hyperlink>
      <w:r>
        <w:t xml:space="preserve"> indicated that 95% of patients in Scotland with malignant glioma (with enhancing component on pre-operative imaging) received early post-operative imaging with MRI within 3 days (72 hours) of surgical resection. This compared with 92% in 2018 and 90% in 2017.</w:t>
      </w:r>
    </w:p>
    <w:p w14:paraId="5061074A" w14:textId="3C0FEF84" w:rsidR="00FC6701" w:rsidRDefault="001517CD" w:rsidP="00FC6701">
      <w:pPr>
        <w:pStyle w:val="Paragraph"/>
      </w:pPr>
      <w:hyperlink r:id="rId27" w:history="1">
        <w:r w:rsidR="00FC6701" w:rsidRPr="00846FF4">
          <w:rPr>
            <w:rStyle w:val="Hyperlink"/>
          </w:rPr>
          <w:t xml:space="preserve">The Brain Tumour Charity report </w:t>
        </w:r>
        <w:r w:rsidR="00FC6701">
          <w:rPr>
            <w:rStyle w:val="Hyperlink"/>
          </w:rPr>
          <w:t>F</w:t>
        </w:r>
        <w:r w:rsidR="00FC6701" w:rsidRPr="00846FF4">
          <w:rPr>
            <w:rStyle w:val="Hyperlink"/>
          </w:rPr>
          <w:t>inding myself in your hands, the reality of brain tumour treatment and care</w:t>
        </w:r>
      </w:hyperlink>
      <w:r w:rsidR="00FC6701">
        <w:t xml:space="preserve"> reported that, based on a survey of 927 people with a brain tumour in 2015, one in four did not feel the amount of time they had to wait for the results of tests</w:t>
      </w:r>
      <w:r w:rsidR="00565C5B">
        <w:t xml:space="preserve"> or </w:t>
      </w:r>
      <w:r w:rsidR="00FC6701">
        <w:t xml:space="preserve">scans </w:t>
      </w:r>
      <w:r w:rsidR="00D114E5">
        <w:t>at</w:t>
      </w:r>
      <w:r w:rsidR="000A1B5E" w:rsidRPr="000A1B5E">
        <w:t xml:space="preserve"> review </w:t>
      </w:r>
      <w:r w:rsidR="00D0361A">
        <w:t>was</w:t>
      </w:r>
      <w:r w:rsidR="00FC6701">
        <w:t xml:space="preserve"> reasonable.</w:t>
      </w:r>
    </w:p>
    <w:p w14:paraId="5E19BDAD" w14:textId="42ABB58F" w:rsidR="00C17DF4" w:rsidRDefault="00C17DF4" w:rsidP="00FC6701">
      <w:pPr>
        <w:pStyle w:val="Heading3"/>
      </w:pPr>
      <w:r>
        <w:t>Advanced imaging</w:t>
      </w:r>
    </w:p>
    <w:p w14:paraId="1C8E8A24" w14:textId="0059F4B9" w:rsidR="00C17DF4" w:rsidRDefault="00A005EB" w:rsidP="006B435B">
      <w:pPr>
        <w:pStyle w:val="Paragraph"/>
      </w:pPr>
      <w:r>
        <w:t xml:space="preserve">There was a suggestion that a more consistent approach is needed to the application of advanced imaging techniques. Some advanced techniques are widely </w:t>
      </w:r>
      <w:r w:rsidR="00A23B9A">
        <w:t>available,</w:t>
      </w:r>
      <w:r>
        <w:t xml:space="preserve"> but their use may not be routine. Access </w:t>
      </w:r>
      <w:r w:rsidR="00A23B9A">
        <w:t>to other advanced techniques is more limited. It was suggested that it would be helpful to confirm the status of these techniques so that it is clear if they should be part of standard care. MR perfusion imaging was highlighted as a priority as there is variation in practice.</w:t>
      </w:r>
    </w:p>
    <w:p w14:paraId="235636F6" w14:textId="77777777" w:rsidR="00C17DF4" w:rsidRDefault="00C17DF4" w:rsidP="00C17DF4">
      <w:pPr>
        <w:pStyle w:val="Heading4"/>
      </w:pPr>
      <w:r>
        <w:t>S</w:t>
      </w:r>
      <w:r w:rsidRPr="00CD3D03">
        <w:t xml:space="preserve">elected recommendations </w:t>
      </w:r>
    </w:p>
    <w:p w14:paraId="498DC913" w14:textId="77777777" w:rsidR="002516E7" w:rsidRDefault="002516E7" w:rsidP="002516E7">
      <w:pPr>
        <w:pStyle w:val="Paragraph"/>
      </w:pPr>
      <w:r w:rsidRPr="003010F3">
        <w:t>NICE’s guideline on brain tumours (primary) and brain metastases in adults (NG99):</w:t>
      </w:r>
    </w:p>
    <w:p w14:paraId="2E467CDA" w14:textId="79486833" w:rsidR="00856FDC" w:rsidRDefault="00856FDC" w:rsidP="00A23B9A">
      <w:pPr>
        <w:pStyle w:val="Paragraph"/>
      </w:pPr>
      <w:r>
        <w:t xml:space="preserve">1.3.5 </w:t>
      </w:r>
      <w:r w:rsidRPr="00856FDC">
        <w:t>Consider advanced MRI techniques, such as MR perfusion, diffusion tensor imaging and MR spectroscopy, if findings from standard imaging are unclear about whether there is recurrence and early identification is potentially clinically useful.</w:t>
      </w:r>
    </w:p>
    <w:p w14:paraId="3D873177" w14:textId="0C7CE414" w:rsidR="00C17DF4" w:rsidRPr="00F535C7" w:rsidRDefault="00A23B9A" w:rsidP="00A23B9A">
      <w:pPr>
        <w:pStyle w:val="Paragraph"/>
      </w:pPr>
      <w:r>
        <w:t xml:space="preserve">1.8.5 </w:t>
      </w:r>
      <w:r w:rsidRPr="00A23B9A">
        <w:t>Consider advanced MRI techniques, such as MR perfusion, diffusion tensor imaging and MR spectroscopy, if findings from standard imaging are unclear about whether there is recurrence and early identification is potentially clinically useful.</w:t>
      </w:r>
    </w:p>
    <w:p w14:paraId="0681819E" w14:textId="77777777" w:rsidR="00C17DF4" w:rsidRDefault="00C17DF4" w:rsidP="00C17DF4">
      <w:pPr>
        <w:pStyle w:val="Heading4"/>
      </w:pPr>
      <w:r>
        <w:t>Current UK practice</w:t>
      </w:r>
    </w:p>
    <w:p w14:paraId="33260573" w14:textId="211F2B2B" w:rsidR="00771AB7" w:rsidRDefault="00771AB7" w:rsidP="00995D94">
      <w:pPr>
        <w:pStyle w:val="Paragraph"/>
      </w:pPr>
      <w:r>
        <w:t>A study of current imaging practices amongst UK neuro-oncology centres (</w:t>
      </w:r>
      <w:hyperlink r:id="rId28" w:history="1">
        <w:r w:rsidRPr="00C53471">
          <w:rPr>
            <w:rStyle w:val="Hyperlink"/>
          </w:rPr>
          <w:t>Booth et al Glioblastoma post-operative imaging in neuro-oncology: current UK practice (GIN CUP study)</w:t>
        </w:r>
      </w:hyperlink>
      <w:r>
        <w:t>) found that r</w:t>
      </w:r>
      <w:r w:rsidRPr="00771AB7">
        <w:t>outine use of advanced imaging was infrequent; however, the addition of advanced sequences was the most popular suggestion for ideal imaging practice</w:t>
      </w:r>
      <w:r>
        <w:t>.</w:t>
      </w:r>
    </w:p>
    <w:p w14:paraId="076E34BD" w14:textId="77777777" w:rsidR="00F535C7" w:rsidRPr="0067426A" w:rsidRDefault="00F535C7" w:rsidP="00F535C7">
      <w:pPr>
        <w:pStyle w:val="Heading3"/>
      </w:pPr>
      <w:r w:rsidRPr="0067426A">
        <w:t>Issues for consideration</w:t>
      </w:r>
    </w:p>
    <w:p w14:paraId="29E9FC45" w14:textId="77777777" w:rsidR="00F535C7" w:rsidRPr="00DF2A8F" w:rsidRDefault="00F535C7" w:rsidP="00F535C7">
      <w:pPr>
        <w:pStyle w:val="Paragraph"/>
        <w:rPr>
          <w:b/>
          <w:bCs/>
        </w:rPr>
      </w:pPr>
      <w:r w:rsidRPr="00DF2A8F">
        <w:rPr>
          <w:b/>
          <w:bCs/>
        </w:rPr>
        <w:t>For discussion:</w:t>
      </w:r>
    </w:p>
    <w:p w14:paraId="20A59401" w14:textId="1876F581" w:rsidR="00DF2A8F" w:rsidRPr="00DF2A8F" w:rsidRDefault="00DF2A8F" w:rsidP="00F535C7">
      <w:pPr>
        <w:pStyle w:val="Panelbullet1"/>
        <w:spacing w:after="240"/>
      </w:pPr>
      <w:r w:rsidRPr="00DF2A8F">
        <w:t xml:space="preserve">Do you agree with our suggestion that </w:t>
      </w:r>
      <w:r>
        <w:t xml:space="preserve">these areas </w:t>
      </w:r>
      <w:r w:rsidRPr="00DF2A8F">
        <w:t>do not need to be discussed during the meeting</w:t>
      </w:r>
      <w:r>
        <w:t xml:space="preserve"> given the recommendations available</w:t>
      </w:r>
      <w:r w:rsidRPr="00DF2A8F">
        <w:t>?</w:t>
      </w:r>
    </w:p>
    <w:p w14:paraId="0BC0CDA1" w14:textId="75954B01" w:rsidR="00B86518" w:rsidRPr="00427135" w:rsidRDefault="00B86518" w:rsidP="00C747EA">
      <w:pPr>
        <w:pStyle w:val="Heading4"/>
      </w:pPr>
      <w:r w:rsidRPr="00427135">
        <w:br w:type="page"/>
      </w:r>
    </w:p>
    <w:p w14:paraId="3C44E34D" w14:textId="6622D751" w:rsidR="00095273" w:rsidRDefault="00095273" w:rsidP="00427135">
      <w:pPr>
        <w:pStyle w:val="Numberedheading2"/>
      </w:pPr>
      <w:bookmarkStart w:id="111" w:name="_Toc78371505"/>
      <w:r>
        <w:t>Care needs of people with brain tumours</w:t>
      </w:r>
      <w:bookmarkEnd w:id="111"/>
    </w:p>
    <w:p w14:paraId="6720032B" w14:textId="65606E33" w:rsidR="00095273" w:rsidRDefault="00095273" w:rsidP="00095273">
      <w:pPr>
        <w:pStyle w:val="Heading3"/>
      </w:pPr>
      <w:r>
        <w:t>Holistic needs assessment</w:t>
      </w:r>
    </w:p>
    <w:p w14:paraId="3F707710" w14:textId="69C897B3" w:rsidR="00095273" w:rsidRPr="00095273" w:rsidRDefault="003F6F0B" w:rsidP="003F6F0B">
      <w:pPr>
        <w:pStyle w:val="Paragraph"/>
      </w:pPr>
      <w:r>
        <w:t xml:space="preserve">Stakeholders suggested that people with brain tumours </w:t>
      </w:r>
      <w:r w:rsidR="007C370E">
        <w:t xml:space="preserve">and their carers </w:t>
      </w:r>
      <w:r>
        <w:t>should have holistic needs assessments following diagnosis and at transition points so that they can access the support they need to optimise their quality of life. The n</w:t>
      </w:r>
      <w:r w:rsidR="00311E56">
        <w:t xml:space="preserve">eeds assessments should inform a regularly refreshed </w:t>
      </w:r>
      <w:r w:rsidR="00FD006F">
        <w:t xml:space="preserve">personalised </w:t>
      </w:r>
      <w:r w:rsidR="00311E56">
        <w:t xml:space="preserve">care plan. </w:t>
      </w:r>
      <w:r w:rsidR="00A01100">
        <w:t xml:space="preserve">The importance of supporting shared decision making was emphasised. </w:t>
      </w:r>
      <w:r w:rsidR="00311E56">
        <w:t>For people at risk of cognitive decline th</w:t>
      </w:r>
      <w:r w:rsidR="00A01100">
        <w:t>e assessment</w:t>
      </w:r>
      <w:r w:rsidR="00311E56">
        <w:t xml:space="preserve"> should include neuropsychology assessments. It was highlighted that a completed needs assessment should be sent to the GP on completion of radiotherapy.</w:t>
      </w:r>
      <w:r w:rsidR="007C370E">
        <w:t xml:space="preserve"> It was suggested that it is a priority to ensure that people aged 16-25 years have holistic needs assessments to ensure they receive the </w:t>
      </w:r>
      <w:r w:rsidR="00FD006F">
        <w:t>long-term</w:t>
      </w:r>
      <w:r w:rsidR="007C370E">
        <w:t xml:space="preserve"> support they may need.</w:t>
      </w:r>
    </w:p>
    <w:p w14:paraId="63F26E9E" w14:textId="77777777" w:rsidR="00095273" w:rsidRDefault="00095273" w:rsidP="00095273">
      <w:pPr>
        <w:pStyle w:val="Heading4"/>
      </w:pPr>
      <w:r>
        <w:t>Selected recommendations</w:t>
      </w:r>
    </w:p>
    <w:p w14:paraId="3EDDD1FE" w14:textId="77777777" w:rsidR="0058770A" w:rsidRDefault="0058770A" w:rsidP="0058770A">
      <w:pPr>
        <w:pStyle w:val="Paragraph"/>
      </w:pPr>
      <w:r w:rsidRPr="003010F3">
        <w:t>NICE’s guideline on brain tumours (primary) and brain metastases in adults (NG99):</w:t>
      </w:r>
    </w:p>
    <w:p w14:paraId="4F8289EA" w14:textId="74A2C4D8" w:rsidR="0058770A" w:rsidRDefault="004A78C6" w:rsidP="0058770A">
      <w:pPr>
        <w:pStyle w:val="Paragraph"/>
      </w:pPr>
      <w:r>
        <w:t xml:space="preserve">1.9.2 </w:t>
      </w:r>
      <w:r w:rsidRPr="004A78C6">
        <w:t>Discuss health and social care support needs with the person with a brain tumour and their relatives and carers (as appropriate). Take into account the complex health and social care support needs people with any type of brain tumour and their relatives and carers may have (for example, psychological, cognitive, physical, spiritual, emotional).</w:t>
      </w:r>
    </w:p>
    <w:p w14:paraId="236688C8" w14:textId="366660BF" w:rsidR="004A78C6" w:rsidRDefault="004A78C6" w:rsidP="0058770A">
      <w:pPr>
        <w:pStyle w:val="Paragraph"/>
      </w:pPr>
      <w:r>
        <w:t xml:space="preserve">1.9.3 </w:t>
      </w:r>
      <w:r w:rsidRPr="004A78C6">
        <w:t>Set aside enough time to discuss the impact of the brain tumour on the person and their relatives and carers (as appropriate), and to elicit and discuss their health and social care support needs.</w:t>
      </w:r>
    </w:p>
    <w:p w14:paraId="6CADDF67" w14:textId="57468027" w:rsidR="00095273" w:rsidRDefault="00095273" w:rsidP="00095273">
      <w:pPr>
        <w:pStyle w:val="Heading4"/>
      </w:pPr>
      <w:r>
        <w:t>Current UK practice</w:t>
      </w:r>
    </w:p>
    <w:p w14:paraId="46AF3BBF" w14:textId="6F2D3CB1" w:rsidR="00095273" w:rsidRDefault="001517CD" w:rsidP="00005F5B">
      <w:pPr>
        <w:pStyle w:val="Paragraph"/>
      </w:pPr>
      <w:hyperlink r:id="rId29" w:history="1">
        <w:proofErr w:type="spellStart"/>
        <w:r w:rsidR="00005F5B" w:rsidRPr="00005F5B">
          <w:rPr>
            <w:rStyle w:val="Hyperlink"/>
          </w:rPr>
          <w:t>Brainstrust</w:t>
        </w:r>
        <w:proofErr w:type="spellEnd"/>
        <w:r w:rsidR="00005F5B" w:rsidRPr="00005F5B">
          <w:rPr>
            <w:rStyle w:val="Hyperlink"/>
          </w:rPr>
          <w:t xml:space="preserve"> summary of results from the national cancer patient survey 2019</w:t>
        </w:r>
      </w:hyperlink>
      <w:r w:rsidR="00005F5B">
        <w:t xml:space="preserve"> for people with brain tumours highlighted that 27.5% were given a care plan and this figure has been </w:t>
      </w:r>
      <w:r w:rsidR="002E6E57">
        <w:t>consistent</w:t>
      </w:r>
      <w:r w:rsidR="00005F5B">
        <w:t xml:space="preserve"> since 2014.</w:t>
      </w:r>
    </w:p>
    <w:p w14:paraId="068E103C" w14:textId="3722B1D4" w:rsidR="00095273" w:rsidRDefault="00095273" w:rsidP="00095273">
      <w:pPr>
        <w:pStyle w:val="Heading3"/>
      </w:pPr>
      <w:r>
        <w:t>Named healthcare professional</w:t>
      </w:r>
    </w:p>
    <w:p w14:paraId="490CE197" w14:textId="6841D906" w:rsidR="00095273" w:rsidRPr="00095273" w:rsidRDefault="00625E50" w:rsidP="00625E50">
      <w:pPr>
        <w:pStyle w:val="Paragraph"/>
      </w:pPr>
      <w:r>
        <w:t xml:space="preserve">A named healthcare professional, such as a clinical nurse specialist, was felt to be important </w:t>
      </w:r>
      <w:r w:rsidR="00245403">
        <w:t>to</w:t>
      </w:r>
      <w:r>
        <w:t xml:space="preserve"> coordinate health and social care support for people with brain tumours and their </w:t>
      </w:r>
      <w:proofErr w:type="spellStart"/>
      <w:r>
        <w:t>carers</w:t>
      </w:r>
      <w:proofErr w:type="spellEnd"/>
      <w:r>
        <w:t xml:space="preserve">. </w:t>
      </w:r>
      <w:r w:rsidR="00A35B2B">
        <w:t xml:space="preserve">This is </w:t>
      </w:r>
      <w:r w:rsidR="00245403">
        <w:t>a priority</w:t>
      </w:r>
      <w:r w:rsidR="00A35B2B">
        <w:t xml:space="preserve"> because </w:t>
      </w:r>
      <w:r w:rsidR="00245403">
        <w:t xml:space="preserve">individual </w:t>
      </w:r>
      <w:r w:rsidR="00A35B2B">
        <w:t>needs are complex</w:t>
      </w:r>
      <w:r w:rsidR="00762D85">
        <w:t xml:space="preserve">, </w:t>
      </w:r>
      <w:r w:rsidR="00245403">
        <w:t>care is provided across a number of services</w:t>
      </w:r>
      <w:r w:rsidR="00762D85">
        <w:t xml:space="preserve"> and it can improve patient experience. </w:t>
      </w:r>
      <w:r w:rsidR="00CD5C79">
        <w:t xml:space="preserve">It was suggested that the role could </w:t>
      </w:r>
      <w:r w:rsidR="002516E7">
        <w:t xml:space="preserve">also </w:t>
      </w:r>
      <w:r w:rsidR="00CD5C79">
        <w:t>be managed by allied healthcare professionals or therapeutic radiographers with an advanced practice role. T</w:t>
      </w:r>
      <w:r>
        <w:t xml:space="preserve">here is variation in access to a named healthcare professional </w:t>
      </w:r>
      <w:r w:rsidR="00245403">
        <w:t xml:space="preserve">and, </w:t>
      </w:r>
      <w:r w:rsidR="002516E7">
        <w:t xml:space="preserve">it was suggested that </w:t>
      </w:r>
      <w:r w:rsidR="00245403">
        <w:t>people</w:t>
      </w:r>
      <w:r>
        <w:t xml:space="preserve"> who are diagnosed following an emergency presentation are often left without this support. </w:t>
      </w:r>
      <w:r w:rsidR="00CD5C79">
        <w:t xml:space="preserve">In </w:t>
      </w:r>
      <w:r w:rsidR="002516E7">
        <w:t xml:space="preserve">addition, in </w:t>
      </w:r>
      <w:r w:rsidR="00CD5C79">
        <w:t>some hospitals</w:t>
      </w:r>
      <w:r w:rsidR="002516E7">
        <w:t>,</w:t>
      </w:r>
      <w:r w:rsidR="00CD5C79">
        <w:t xml:space="preserve"> people with a meningioma and other </w:t>
      </w:r>
      <w:r w:rsidR="00A35B2B">
        <w:t>low-grade</w:t>
      </w:r>
      <w:r w:rsidR="00CD5C79">
        <w:t xml:space="preserve"> tumours are also not offered a named healthcare professional.</w:t>
      </w:r>
    </w:p>
    <w:p w14:paraId="58298ED7" w14:textId="2BC859A4" w:rsidR="00095273" w:rsidRDefault="00095273" w:rsidP="00095273">
      <w:pPr>
        <w:pStyle w:val="Heading4"/>
      </w:pPr>
      <w:r>
        <w:t>Selected recommendations</w:t>
      </w:r>
    </w:p>
    <w:p w14:paraId="7B670F10" w14:textId="77777777" w:rsidR="002516E7" w:rsidRDefault="002516E7" w:rsidP="002516E7">
      <w:pPr>
        <w:pStyle w:val="Paragraph"/>
      </w:pPr>
      <w:r w:rsidRPr="003010F3">
        <w:t>NICE’s guideline on brain tumours (primary) and brain metastases in adults (NG99):</w:t>
      </w:r>
    </w:p>
    <w:p w14:paraId="4023C3FE" w14:textId="0FF80E9A" w:rsidR="00095273" w:rsidRDefault="002516E7" w:rsidP="002516E7">
      <w:pPr>
        <w:pStyle w:val="Paragraph"/>
      </w:pPr>
      <w:r>
        <w:t xml:space="preserve">1.9.5 </w:t>
      </w:r>
      <w:r w:rsidRPr="002516E7">
        <w:t>Provide a named healthcare professional with responsibility for coordinating health and social care support for people with brain tumours and their relatives and carers, for example, a key worker (often a clinical nurse specialist) as defined in NICE cancer service guidance on improving outcomes for people with brain and other central nervous system tumours.</w:t>
      </w:r>
    </w:p>
    <w:p w14:paraId="3A54ED88" w14:textId="7DB3330B" w:rsidR="002516E7" w:rsidRDefault="002516E7" w:rsidP="002516E7">
      <w:pPr>
        <w:pStyle w:val="Paragraph"/>
      </w:pPr>
      <w:bookmarkStart w:id="112" w:name="_Hlk72423811"/>
      <w:r>
        <w:t xml:space="preserve">NICE’s guidance on cancer services: improving outcomes for people with brain and other CNS tumours (CSG10, </w:t>
      </w:r>
      <w:r w:rsidR="008D751C">
        <w:t xml:space="preserve">Section 2 </w:t>
      </w:r>
      <w:r>
        <w:t>recommendations):</w:t>
      </w:r>
    </w:p>
    <w:bookmarkEnd w:id="112"/>
    <w:p w14:paraId="41D40373" w14:textId="54791AFB" w:rsidR="00BB0407" w:rsidRDefault="00BB0407" w:rsidP="00BB0407">
      <w:pPr>
        <w:pStyle w:val="Paragraph"/>
      </w:pPr>
      <w:r>
        <w:t>All patients should have a clearly identified key worker as nominated by the neuroscience or cancer network MDT.</w:t>
      </w:r>
    </w:p>
    <w:p w14:paraId="44A4A2AA" w14:textId="40EB47F3" w:rsidR="00BB0407" w:rsidRDefault="00BB0407" w:rsidP="00BB0407">
      <w:pPr>
        <w:pStyle w:val="Paragraph"/>
      </w:pPr>
      <w:r>
        <w:t>The key worker should promote continuity of care and manage transitions of care. This is achieved by assessing patients’ needs, ensuring care plans have been agreed with patients and that findings from assessments and care plans are communicated to others involved in a patient’s care. Coordination of care across the patient pathway should also include ensuring referral of patients to the appropriate multidisciplinary services at any time.</w:t>
      </w:r>
    </w:p>
    <w:p w14:paraId="3E422475" w14:textId="15A87EBF" w:rsidR="00BB0407" w:rsidRDefault="00BB0407" w:rsidP="00BB0407">
      <w:pPr>
        <w:pStyle w:val="Paragraph"/>
      </w:pPr>
      <w:r>
        <w:t>The key worker should ensure that patients, their relatives and carers know whom to contact when help and advice is needed. The key worker is likely to be the clinical nurse specialist or AHP most closely involved with a patient’s care.</w:t>
      </w:r>
    </w:p>
    <w:p w14:paraId="517DDEF4" w14:textId="0528C978" w:rsidR="00BB0407" w:rsidRDefault="00BB0407" w:rsidP="00BB0407">
      <w:pPr>
        <w:pStyle w:val="Paragraph"/>
      </w:pPr>
      <w:r>
        <w:t>The key worker role should be transferred to the most appropriate healthcare professional, for example a neurosurgeon, neurologist, GP, community nurse, AHP or palliative care team member, as the patient’s needs change, or at transitional points in the patient pathway, for example a neuroscience centre, oncology/radiotherapy centre or community.</w:t>
      </w:r>
    </w:p>
    <w:p w14:paraId="5297BE69" w14:textId="25A510AD" w:rsidR="00BB0407" w:rsidRPr="00095273" w:rsidRDefault="00BB0407" w:rsidP="00BB0407">
      <w:pPr>
        <w:pStyle w:val="Paragraph"/>
      </w:pPr>
      <w:r>
        <w:t>The patient, their relatives and carers, should be informed of who their key worker is and how their key worker may be contacted.</w:t>
      </w:r>
    </w:p>
    <w:p w14:paraId="063EA18D" w14:textId="77777777" w:rsidR="00095273" w:rsidRDefault="00095273" w:rsidP="00095273">
      <w:pPr>
        <w:pStyle w:val="Heading4"/>
      </w:pPr>
      <w:r>
        <w:t>Current UK practice</w:t>
      </w:r>
    </w:p>
    <w:p w14:paraId="5CDA1804" w14:textId="1E6A7B49" w:rsidR="00856096" w:rsidRDefault="001517CD" w:rsidP="00823F2E">
      <w:pPr>
        <w:pStyle w:val="Paragraph"/>
      </w:pPr>
      <w:hyperlink r:id="rId30" w:history="1">
        <w:r w:rsidR="00856096" w:rsidRPr="00856096">
          <w:rPr>
            <w:rStyle w:val="Hyperlink"/>
          </w:rPr>
          <w:t>NHS England’s National Cancer Patient Experience Survey 2019</w:t>
        </w:r>
      </w:hyperlink>
      <w:r w:rsidR="001B3B8D">
        <w:t xml:space="preserve"> indicated that 93% of people with a brain/central nervous system tumour </w:t>
      </w:r>
      <w:r w:rsidR="001B3B8D" w:rsidRPr="001B3B8D">
        <w:t xml:space="preserve">were given the name of a clinical nurse specialist who would support them through treatment. </w:t>
      </w:r>
      <w:hyperlink r:id="rId31" w:history="1">
        <w:proofErr w:type="spellStart"/>
        <w:r w:rsidR="001B3B8D" w:rsidRPr="00005F5B">
          <w:rPr>
            <w:rStyle w:val="Hyperlink"/>
          </w:rPr>
          <w:t>Brainstrust</w:t>
        </w:r>
        <w:proofErr w:type="spellEnd"/>
        <w:r w:rsidR="001B3B8D" w:rsidRPr="00005F5B">
          <w:rPr>
            <w:rStyle w:val="Hyperlink"/>
          </w:rPr>
          <w:t xml:space="preserve"> summary of results from the national cancer patient survey 2019</w:t>
        </w:r>
      </w:hyperlink>
      <w:r w:rsidR="001B3B8D">
        <w:t xml:space="preserve"> reported that</w:t>
      </w:r>
      <w:r w:rsidR="001B3B8D" w:rsidRPr="001B3B8D">
        <w:t xml:space="preserve"> 86% found it quite easy to contact their clinical nurse specialist.</w:t>
      </w:r>
    </w:p>
    <w:p w14:paraId="20B5DC1D" w14:textId="77777777" w:rsidR="00995D94" w:rsidRDefault="001517CD" w:rsidP="00995D94">
      <w:pPr>
        <w:pStyle w:val="Paragraph"/>
      </w:pPr>
      <w:hyperlink r:id="rId32" w:history="1">
        <w:r w:rsidR="00EF361B" w:rsidRPr="00846FF4">
          <w:rPr>
            <w:rStyle w:val="Hyperlink"/>
          </w:rPr>
          <w:t xml:space="preserve">The Brain Tumour Charity report </w:t>
        </w:r>
        <w:r w:rsidR="004E0F47">
          <w:rPr>
            <w:rStyle w:val="Hyperlink"/>
          </w:rPr>
          <w:t>F</w:t>
        </w:r>
        <w:r w:rsidR="00EF361B" w:rsidRPr="00846FF4">
          <w:rPr>
            <w:rStyle w:val="Hyperlink"/>
          </w:rPr>
          <w:t>inding myself in your hands, the reality of brain tumour treatment and care</w:t>
        </w:r>
      </w:hyperlink>
      <w:r w:rsidR="00EF361B">
        <w:t xml:space="preserve"> reported that, based on a survey of 927 people with a brain tumour in 2015, 58% had a single point of contact with their healthcare team, 32% did not, and the remainder were unsure.</w:t>
      </w:r>
      <w:r w:rsidR="00823F2E">
        <w:t xml:space="preserve"> 76% of respondents with a </w:t>
      </w:r>
      <w:r w:rsidR="00FC6701">
        <w:t>high-grade</w:t>
      </w:r>
      <w:r w:rsidR="00823F2E">
        <w:t xml:space="preserve"> tumour said that they had a single point of contact, compared to 53% of those with a </w:t>
      </w:r>
      <w:r w:rsidR="00FC6701">
        <w:t>low-grade</w:t>
      </w:r>
      <w:r w:rsidR="00823F2E">
        <w:t xml:space="preserve"> </w:t>
      </w:r>
      <w:r w:rsidR="00823F2E" w:rsidRPr="00995D94">
        <w:t>tumour</w:t>
      </w:r>
      <w:r w:rsidR="00823F2E">
        <w:t>.</w:t>
      </w:r>
    </w:p>
    <w:p w14:paraId="76D0BFCD" w14:textId="5C078B13" w:rsidR="00095273" w:rsidRDefault="00995D94" w:rsidP="00995D94">
      <w:pPr>
        <w:pStyle w:val="Heading3"/>
      </w:pPr>
      <w:r>
        <w:t>S</w:t>
      </w:r>
      <w:r w:rsidR="00095273">
        <w:t>pecific support</w:t>
      </w:r>
    </w:p>
    <w:p w14:paraId="4E5CAB1E" w14:textId="21B70ECC" w:rsidR="00095273" w:rsidRDefault="009A06E7" w:rsidP="009A06E7">
      <w:pPr>
        <w:pStyle w:val="Paragraph"/>
      </w:pPr>
      <w:r>
        <w:t>Stakeholders highlighted the need to ensure that people with brain tumours are signposted</w:t>
      </w:r>
      <w:r w:rsidR="00A56633">
        <w:t>/referred</w:t>
      </w:r>
      <w:r>
        <w:t xml:space="preserve"> to </w:t>
      </w:r>
      <w:r w:rsidR="00303EF9">
        <w:t>the support they need following diagnosis and at key points in the treatment and care pathway. This should include:</w:t>
      </w:r>
    </w:p>
    <w:p w14:paraId="0C110EBC" w14:textId="1954494A" w:rsidR="00303EF9" w:rsidRDefault="007D0EC3" w:rsidP="007D0EC3">
      <w:pPr>
        <w:pStyle w:val="Bulletleft1"/>
      </w:pPr>
      <w:r>
        <w:t>Ensuring people presenting with seizures are seen by a neurologist/ epilepsy specialist nurse</w:t>
      </w:r>
      <w:r w:rsidR="00204BE7">
        <w:t xml:space="preserve"> for diagnosis of epilepsy</w:t>
      </w:r>
    </w:p>
    <w:p w14:paraId="2F02393B" w14:textId="63B443CB" w:rsidR="007D0EC3" w:rsidRDefault="007D0EC3" w:rsidP="007D0EC3">
      <w:pPr>
        <w:pStyle w:val="Bulletleft1"/>
      </w:pPr>
      <w:r>
        <w:t>Providing neuropsychology and clinical psychology support along the whole patient pathway</w:t>
      </w:r>
    </w:p>
    <w:p w14:paraId="1599B59D" w14:textId="14082C4D" w:rsidR="007D0EC3" w:rsidRDefault="007D0EC3" w:rsidP="007D0EC3">
      <w:pPr>
        <w:pStyle w:val="Bulletleft1"/>
      </w:pPr>
      <w:r>
        <w:t>Access to allied health professionals to support people through survivorship</w:t>
      </w:r>
      <w:r w:rsidR="00204BE7">
        <w:t xml:space="preserve"> e.g., physiotherapy, </w:t>
      </w:r>
      <w:r w:rsidR="00AC0ACB">
        <w:t xml:space="preserve">speech </w:t>
      </w:r>
      <w:r w:rsidR="00204BE7">
        <w:t>and language</w:t>
      </w:r>
    </w:p>
    <w:p w14:paraId="45F024FD" w14:textId="62871EC7" w:rsidR="007D0EC3" w:rsidRDefault="00204BE7" w:rsidP="007D0EC3">
      <w:pPr>
        <w:pStyle w:val="Bulletleft1"/>
      </w:pPr>
      <w:r>
        <w:t>Consistent advice on driving</w:t>
      </w:r>
    </w:p>
    <w:p w14:paraId="74B49979" w14:textId="7FBB5604" w:rsidR="00204BE7" w:rsidRPr="00095273" w:rsidRDefault="00A56633" w:rsidP="00A56633">
      <w:pPr>
        <w:pStyle w:val="Bulletleft1last"/>
      </w:pPr>
      <w:r>
        <w:t>Signposting to support groups and charities</w:t>
      </w:r>
    </w:p>
    <w:p w14:paraId="7FCA3ACA" w14:textId="3EAA3D4B" w:rsidR="00095273" w:rsidRDefault="00095273" w:rsidP="00095273">
      <w:pPr>
        <w:pStyle w:val="Heading4"/>
      </w:pPr>
      <w:r>
        <w:t>Selected recommendations</w:t>
      </w:r>
    </w:p>
    <w:p w14:paraId="2C332498" w14:textId="77777777" w:rsidR="00A56633" w:rsidRDefault="00A56633" w:rsidP="00A56633">
      <w:pPr>
        <w:pStyle w:val="Paragraph"/>
      </w:pPr>
      <w:r w:rsidRPr="003010F3">
        <w:t>NICE’s guideline on brain tumours (primary) and brain metastases in adults (NG99):</w:t>
      </w:r>
    </w:p>
    <w:p w14:paraId="2E446BDF" w14:textId="63C3CA4D" w:rsidR="00A56633" w:rsidRDefault="00A56633" w:rsidP="00A56633">
      <w:pPr>
        <w:pStyle w:val="Paragraph"/>
      </w:pPr>
      <w:r>
        <w:t>1.9.4 Health and social care professionals involved in the care of people with brain tumours should address additional complex needs during or at the end of treatment and throughout follow</w:t>
      </w:r>
      <w:r>
        <w:rPr>
          <w:rFonts w:ascii="Cambria Math" w:hAnsi="Cambria Math" w:cs="Cambria Math"/>
        </w:rPr>
        <w:t>‑</w:t>
      </w:r>
      <w:r>
        <w:t>up. These include:</w:t>
      </w:r>
    </w:p>
    <w:p w14:paraId="11EB2162" w14:textId="77777777" w:rsidR="00A56633" w:rsidRDefault="00A56633" w:rsidP="00A56633">
      <w:pPr>
        <w:pStyle w:val="Bulletleft1"/>
      </w:pPr>
      <w:r>
        <w:t>changes to cognitive functioning</w:t>
      </w:r>
    </w:p>
    <w:p w14:paraId="046C5824" w14:textId="77777777" w:rsidR="00A56633" w:rsidRDefault="00A56633" w:rsidP="00A56633">
      <w:pPr>
        <w:pStyle w:val="Bulletleft1"/>
      </w:pPr>
      <w:r>
        <w:t>fatigue</w:t>
      </w:r>
    </w:p>
    <w:p w14:paraId="4B7DFEA5" w14:textId="77777777" w:rsidR="00A56633" w:rsidRDefault="00A56633" w:rsidP="00A56633">
      <w:pPr>
        <w:pStyle w:val="Bulletleft1"/>
      </w:pPr>
      <w:r>
        <w:t>loss of personal identity</w:t>
      </w:r>
    </w:p>
    <w:p w14:paraId="3B9EE82B" w14:textId="77777777" w:rsidR="00A56633" w:rsidRDefault="00A56633" w:rsidP="00A56633">
      <w:pPr>
        <w:pStyle w:val="Bulletleft1"/>
      </w:pPr>
      <w:r>
        <w:t>loss of independence</w:t>
      </w:r>
    </w:p>
    <w:p w14:paraId="5A3D867F" w14:textId="77777777" w:rsidR="00A56633" w:rsidRDefault="00A56633" w:rsidP="00A56633">
      <w:pPr>
        <w:pStyle w:val="Bulletleft1"/>
      </w:pPr>
      <w:r>
        <w:t>maintaining a sense of hope</w:t>
      </w:r>
    </w:p>
    <w:p w14:paraId="055D9DEB" w14:textId="77777777" w:rsidR="00A56633" w:rsidRDefault="00A56633" w:rsidP="00A56633">
      <w:pPr>
        <w:pStyle w:val="Bulletleft1"/>
      </w:pPr>
      <w:r>
        <w:t>potential for change in personal and sexual relationships</w:t>
      </w:r>
    </w:p>
    <w:p w14:paraId="737FE36F" w14:textId="77777777" w:rsidR="00A56633" w:rsidRDefault="00A56633" w:rsidP="00A56633">
      <w:pPr>
        <w:pStyle w:val="Bulletleft1"/>
      </w:pPr>
      <w:r>
        <w:t>the challenges of living with uncertainty</w:t>
      </w:r>
    </w:p>
    <w:p w14:paraId="0C4519D4" w14:textId="77777777" w:rsidR="00A56633" w:rsidRDefault="00A56633" w:rsidP="00A56633">
      <w:pPr>
        <w:pStyle w:val="Bulletleft1last"/>
      </w:pPr>
      <w:r>
        <w:t>the impact of brain tumour-associated epilepsy on wellbeing (see the NICE guideline on epilepsies: diagnosis and management).</w:t>
      </w:r>
    </w:p>
    <w:p w14:paraId="23FE330D" w14:textId="5E71A324" w:rsidR="00095273" w:rsidRDefault="00A56633" w:rsidP="00A56633">
      <w:pPr>
        <w:pStyle w:val="Paragraph"/>
      </w:pPr>
      <w:r>
        <w:t xml:space="preserve">1.9.7 </w:t>
      </w:r>
      <w:r w:rsidRPr="00A56633">
        <w:t>Explain to the person that they have a legal obligation to notify the Driver and Vehicle Licensing Agency (DVLA) if they have a brain tumour, and that this may have implications for their driving.</w:t>
      </w:r>
    </w:p>
    <w:p w14:paraId="488C85A7" w14:textId="092B9EBC" w:rsidR="009E362B" w:rsidRDefault="009E362B" w:rsidP="00A56633">
      <w:pPr>
        <w:pStyle w:val="Paragraph"/>
      </w:pPr>
      <w:r>
        <w:t xml:space="preserve">1.9.9 </w:t>
      </w:r>
      <w:r w:rsidRPr="009E362B">
        <w:t>Offer supportive care to people with brain tumours and their relatives and carers (as appropriate) throughout their treatment and care pathway</w:t>
      </w:r>
      <w:r>
        <w:t>.</w:t>
      </w:r>
    </w:p>
    <w:p w14:paraId="54EC845D" w14:textId="34CF1572" w:rsidR="006D4F75" w:rsidRDefault="006D4F75" w:rsidP="006D4F75">
      <w:pPr>
        <w:pStyle w:val="Paragraph"/>
      </w:pPr>
      <w:r>
        <w:t>NICE’s guidance on cancer services: improving outcomes for people with brain and other CNS tumours (CSG10, Section 8 recommendations):</w:t>
      </w:r>
    </w:p>
    <w:p w14:paraId="69754DDD" w14:textId="697B2EF2" w:rsidR="00213A5C" w:rsidRDefault="006D4F75" w:rsidP="006D4F75">
      <w:pPr>
        <w:pStyle w:val="Paragraph"/>
      </w:pPr>
      <w:r>
        <w:t>Psychological assessment and support should be an integral part of the MDT management of patients with brain and other CNS tumours.</w:t>
      </w:r>
    </w:p>
    <w:p w14:paraId="35C4D76D" w14:textId="0A33D66E" w:rsidR="006D4F75" w:rsidRDefault="006D4F75" w:rsidP="006D4F75">
      <w:pPr>
        <w:pStyle w:val="Paragraph"/>
      </w:pPr>
      <w:r>
        <w:t>Neuropsychology and neuropsychiatry services should be adequately resourced to enable referral of patients who require specialist intervention for cognitive, emotional or behavioural problems.</w:t>
      </w:r>
    </w:p>
    <w:p w14:paraId="01B5E9FE" w14:textId="4FF1AA6E" w:rsidR="006D4F75" w:rsidRDefault="006D4F75" w:rsidP="006D4F75">
      <w:pPr>
        <w:pStyle w:val="Paragraph"/>
      </w:pPr>
      <w:r>
        <w:t>The psychological and social well-being of the patient, their relatives and carers should be considered throughout the course of the illness.</w:t>
      </w:r>
    </w:p>
    <w:p w14:paraId="052417F4" w14:textId="22728AFA" w:rsidR="007A2FF4" w:rsidRPr="00095273" w:rsidRDefault="007A2FF4" w:rsidP="007A2FF4">
      <w:pPr>
        <w:pStyle w:val="Paragraph"/>
      </w:pPr>
      <w:r>
        <w:t>Needs for social support should be elicited as an integral component of routine assessment, ideally undertaken with or by a social care</w:t>
      </w:r>
      <w:r w:rsidR="001E7FC5">
        <w:t xml:space="preserve"> </w:t>
      </w:r>
      <w:r>
        <w:t>professional.</w:t>
      </w:r>
    </w:p>
    <w:p w14:paraId="0BC92557" w14:textId="77777777" w:rsidR="00095273" w:rsidRDefault="00095273" w:rsidP="00095273">
      <w:pPr>
        <w:pStyle w:val="Heading4"/>
      </w:pPr>
      <w:r>
        <w:t>Current UK practice</w:t>
      </w:r>
    </w:p>
    <w:p w14:paraId="0CCB6CA0" w14:textId="4F40CFD2" w:rsidR="00C05249" w:rsidRDefault="001517CD" w:rsidP="00C05249">
      <w:pPr>
        <w:pStyle w:val="Paragraph"/>
      </w:pPr>
      <w:hyperlink r:id="rId33" w:history="1">
        <w:r w:rsidR="008F199E" w:rsidRPr="00856096">
          <w:rPr>
            <w:rStyle w:val="Hyperlink"/>
          </w:rPr>
          <w:t>NHS England’s National Cancer Patient Experience Survey 2019</w:t>
        </w:r>
      </w:hyperlink>
      <w:r w:rsidR="008F199E">
        <w:t xml:space="preserve"> </w:t>
      </w:r>
      <w:r w:rsidR="00622B6C">
        <w:t>reported</w:t>
      </w:r>
      <w:r w:rsidR="008F199E">
        <w:t xml:space="preserve"> that 83% of people with a brain/central nervous system tumour</w:t>
      </w:r>
      <w:r w:rsidR="00622B6C">
        <w:t xml:space="preserve"> (sample=299)</w:t>
      </w:r>
      <w:r w:rsidR="008F199E">
        <w:t xml:space="preserve"> </w:t>
      </w:r>
      <w:r w:rsidR="00622B6C">
        <w:t>said</w:t>
      </w:r>
      <w:r w:rsidR="008F199E">
        <w:t xml:space="preserve"> </w:t>
      </w:r>
      <w:r w:rsidR="00C05249">
        <w:t xml:space="preserve">that hospital staff gave </w:t>
      </w:r>
      <w:r w:rsidR="008F199E">
        <w:t xml:space="preserve">them </w:t>
      </w:r>
      <w:r w:rsidR="00C05249">
        <w:t>information about support or self-help groups for people with cancer.</w:t>
      </w:r>
      <w:r w:rsidR="00622B6C">
        <w:t xml:space="preserve"> 14% said that they were not given enough care and support from health or social care services such as district nurse, home helps or physiotherapists during their treatment.</w:t>
      </w:r>
      <w:r w:rsidR="00E26366">
        <w:t xml:space="preserve"> 11% indicated that once their treatment </w:t>
      </w:r>
      <w:r w:rsidR="001E67FD">
        <w:t>finished,</w:t>
      </w:r>
      <w:r w:rsidR="00E26366">
        <w:t xml:space="preserve"> they were not given enough care and support from health or social services.</w:t>
      </w:r>
    </w:p>
    <w:p w14:paraId="04718DC0" w14:textId="765D33D5" w:rsidR="00385575" w:rsidRDefault="00385575" w:rsidP="00385575">
      <w:pPr>
        <w:pStyle w:val="Paragraph"/>
      </w:pPr>
      <w:r w:rsidRPr="00332CF2">
        <w:t xml:space="preserve">The </w:t>
      </w:r>
      <w:hyperlink r:id="rId34" w:history="1">
        <w:r w:rsidRPr="00332CF2">
          <w:rPr>
            <w:rStyle w:val="Hyperlink"/>
          </w:rPr>
          <w:t>Scottish Adult Neuro Oncology Network report of the 2019 clinical audit data for brain and central nervous system cancers</w:t>
        </w:r>
      </w:hyperlink>
      <w:r>
        <w:t xml:space="preserve"> indicated that 37% of patients with brain/CNS cancer presenting with seizures at diagnosis </w:t>
      </w:r>
      <w:r w:rsidR="00FF648E">
        <w:t>were</w:t>
      </w:r>
      <w:r>
        <w:t xml:space="preserve"> seen by a neurologist or a named epilepsy specialist nurse within four weeks of diagnosis. This compared with 39% in 2018 and 76% in 2017.</w:t>
      </w:r>
    </w:p>
    <w:p w14:paraId="10EDEACF" w14:textId="24B9F3D1" w:rsidR="00095273" w:rsidRPr="00095273" w:rsidRDefault="001517CD" w:rsidP="00CF0AB8">
      <w:pPr>
        <w:pStyle w:val="Paragraph"/>
      </w:pPr>
      <w:hyperlink r:id="rId35" w:history="1">
        <w:r w:rsidR="007C4E16" w:rsidRPr="00846FF4">
          <w:rPr>
            <w:rStyle w:val="Hyperlink"/>
          </w:rPr>
          <w:t xml:space="preserve">The Brain Tumour Charity report </w:t>
        </w:r>
        <w:r w:rsidR="007C4E16">
          <w:rPr>
            <w:rStyle w:val="Hyperlink"/>
          </w:rPr>
          <w:t>F</w:t>
        </w:r>
        <w:r w:rsidR="007C4E16" w:rsidRPr="00846FF4">
          <w:rPr>
            <w:rStyle w:val="Hyperlink"/>
          </w:rPr>
          <w:t>inding myself in your hands, the reality of brain tumour treatment and care</w:t>
        </w:r>
      </w:hyperlink>
      <w:r w:rsidR="007C4E16">
        <w:t xml:space="preserve"> reported that, based on a survey of 927 people with a brain tumour in 2015,</w:t>
      </w:r>
      <w:r w:rsidR="00463A41">
        <w:t xml:space="preserve"> 43% had not accessed support services, 30% had accessed physiotherapy, 29% occupational therapy, 25% a psychologist, 14% speech and language therapy, 11% dietitian and 12% other support.</w:t>
      </w:r>
      <w:r w:rsidR="00CF0AB8">
        <w:t xml:space="preserve"> The most common response amongst patients </w:t>
      </w:r>
      <w:r w:rsidR="001E7FC5">
        <w:t xml:space="preserve">with a low-grade tumour </w:t>
      </w:r>
      <w:r w:rsidR="00CF0AB8">
        <w:t>was to say that they had not accessed any support service at all</w:t>
      </w:r>
      <w:r w:rsidR="001E7FC5">
        <w:t>.</w:t>
      </w:r>
    </w:p>
    <w:p w14:paraId="09790BBF" w14:textId="77777777" w:rsidR="00095273" w:rsidRPr="0067426A" w:rsidRDefault="00095273" w:rsidP="00095273">
      <w:pPr>
        <w:pStyle w:val="Heading3"/>
      </w:pPr>
      <w:bookmarkStart w:id="113" w:name="_Hlk72424743"/>
      <w:r w:rsidRPr="0067426A">
        <w:t>Issues for consideration</w:t>
      </w:r>
    </w:p>
    <w:p w14:paraId="03C45B02" w14:textId="77777777" w:rsidR="00095273" w:rsidRPr="006C65A0" w:rsidRDefault="00095273" w:rsidP="00095273">
      <w:pPr>
        <w:pStyle w:val="Paragraph"/>
        <w:rPr>
          <w:b/>
          <w:bCs/>
        </w:rPr>
      </w:pPr>
      <w:r w:rsidRPr="006C65A0">
        <w:rPr>
          <w:b/>
          <w:bCs/>
        </w:rPr>
        <w:t>For discussion:</w:t>
      </w:r>
    </w:p>
    <w:p w14:paraId="1BDF8C05" w14:textId="6DE6767D" w:rsidR="006C65A0" w:rsidRDefault="006C65A0" w:rsidP="00CA1A89">
      <w:pPr>
        <w:pStyle w:val="Bulletleft1"/>
      </w:pPr>
      <w:r>
        <w:t>Is it significant that the guideline does not refer to needs assessments and care plans?</w:t>
      </w:r>
    </w:p>
    <w:p w14:paraId="3D5C933E" w14:textId="7540922D" w:rsidR="00194634" w:rsidRDefault="00194634" w:rsidP="00CA1A89">
      <w:pPr>
        <w:pStyle w:val="Bulletleft1"/>
      </w:pPr>
      <w:r>
        <w:t>What does supportive care mean in practice?</w:t>
      </w:r>
    </w:p>
    <w:p w14:paraId="1EE40D2E" w14:textId="080AA819" w:rsidR="00095273" w:rsidRPr="006C65A0" w:rsidRDefault="00095273" w:rsidP="00CA1A89">
      <w:pPr>
        <w:pStyle w:val="Bulletleft1"/>
      </w:pPr>
      <w:r w:rsidRPr="006C65A0">
        <w:t>What is the priority for improvement?</w:t>
      </w:r>
    </w:p>
    <w:p w14:paraId="2DDA730E" w14:textId="77777777" w:rsidR="00095273" w:rsidRPr="006C65A0" w:rsidRDefault="00095273" w:rsidP="00CA1A89">
      <w:pPr>
        <w:pStyle w:val="Bulletleft1"/>
      </w:pPr>
      <w:r w:rsidRPr="006C65A0">
        <w:t>What is the key action that will lead to improvement?</w:t>
      </w:r>
    </w:p>
    <w:p w14:paraId="3B51B224" w14:textId="77777777" w:rsidR="00095273" w:rsidRPr="006C65A0" w:rsidRDefault="00095273" w:rsidP="00CA1A89">
      <w:pPr>
        <w:pStyle w:val="Bulletleft1"/>
      </w:pPr>
      <w:r w:rsidRPr="006C65A0">
        <w:t>Can we develop a specific, measurable statement?</w:t>
      </w:r>
    </w:p>
    <w:p w14:paraId="482BED30" w14:textId="77777777" w:rsidR="00095273" w:rsidRPr="00A6218A" w:rsidRDefault="00095273" w:rsidP="00095273">
      <w:pPr>
        <w:pStyle w:val="Paragraph"/>
        <w:rPr>
          <w:b/>
          <w:bCs/>
        </w:rPr>
      </w:pPr>
      <w:r w:rsidRPr="00A6218A">
        <w:rPr>
          <w:b/>
          <w:bCs/>
        </w:rPr>
        <w:t>For decision:</w:t>
      </w:r>
    </w:p>
    <w:p w14:paraId="583729AC" w14:textId="4476A617" w:rsidR="00095273" w:rsidRDefault="00095273" w:rsidP="00095273">
      <w:pPr>
        <w:pStyle w:val="Bulletleft1"/>
      </w:pPr>
      <w:r w:rsidRPr="00624810">
        <w:t>Should this area be prioritised for inclusion in the quality standard?</w:t>
      </w:r>
    </w:p>
    <w:p w14:paraId="16CEA2D1" w14:textId="615656DD" w:rsidR="00416566" w:rsidRDefault="00416566">
      <w:pPr>
        <w:rPr>
          <w:rFonts w:ascii="Arial" w:hAnsi="Arial"/>
        </w:rPr>
      </w:pPr>
      <w:r>
        <w:br w:type="page"/>
      </w:r>
    </w:p>
    <w:p w14:paraId="1B6A166A" w14:textId="1801D122" w:rsidR="00463FEE" w:rsidRDefault="00463FEE" w:rsidP="00427135">
      <w:pPr>
        <w:pStyle w:val="Numberedheading2"/>
      </w:pPr>
      <w:bookmarkStart w:id="114" w:name="_Toc78371506"/>
      <w:bookmarkEnd w:id="113"/>
      <w:r>
        <w:t>Neurorehabilitation</w:t>
      </w:r>
      <w:bookmarkEnd w:id="114"/>
    </w:p>
    <w:p w14:paraId="248ABD18" w14:textId="61BAA316" w:rsidR="003A730E" w:rsidRDefault="003A730E" w:rsidP="003A730E">
      <w:pPr>
        <w:pStyle w:val="Heading3"/>
      </w:pPr>
      <w:r w:rsidRPr="003A730E">
        <w:t>Assessment for neurorehabilitation</w:t>
      </w:r>
    </w:p>
    <w:p w14:paraId="500F5DBB" w14:textId="3D4AB06F" w:rsidR="003A730E" w:rsidRPr="003A730E" w:rsidRDefault="001D0036" w:rsidP="003A730E">
      <w:pPr>
        <w:pStyle w:val="Paragraph"/>
      </w:pPr>
      <w:r>
        <w:t xml:space="preserve">As neurorehabilitation can improve function (cognition, mobility and neuroplasticity) in people with brain tumours it was suggested that assessment for rehabilitation should be considered at every stage of treatment and follow-up and information should be provided about how to get an assessment and the local neurological rehabilitation options. It was suggested that assessment for rehabilitation is </w:t>
      </w:r>
      <w:r w:rsidR="00D812F4">
        <w:t xml:space="preserve">currently </w:t>
      </w:r>
      <w:r>
        <w:t>limited and patchy.</w:t>
      </w:r>
    </w:p>
    <w:p w14:paraId="2B053A80" w14:textId="4D703E40" w:rsidR="003A730E" w:rsidRDefault="003A730E" w:rsidP="003A730E">
      <w:pPr>
        <w:pStyle w:val="Heading4"/>
      </w:pPr>
      <w:r>
        <w:t>Selected recommendations</w:t>
      </w:r>
    </w:p>
    <w:p w14:paraId="37117A6E" w14:textId="77777777" w:rsidR="001D0036" w:rsidRDefault="001D0036" w:rsidP="001D0036">
      <w:pPr>
        <w:pStyle w:val="Paragraph"/>
      </w:pPr>
      <w:r w:rsidRPr="003010F3">
        <w:t>NICE’s guideline on brain tumours (primary) and brain metastases in adults (NG99):</w:t>
      </w:r>
    </w:p>
    <w:p w14:paraId="66110C4B" w14:textId="154311ED" w:rsidR="001D0036" w:rsidRDefault="001D0036" w:rsidP="001D0036">
      <w:pPr>
        <w:pStyle w:val="Paragraph"/>
        <w:rPr>
          <w:shd w:val="clear" w:color="auto" w:fill="FAFAFB"/>
        </w:rPr>
      </w:pPr>
      <w:r>
        <w:rPr>
          <w:shd w:val="clear" w:color="auto" w:fill="FAFAFB"/>
        </w:rPr>
        <w:t>1.10.1 Consider referring the person with a brain tumour for a neurological rehabilitation assessment of physical, cognitive and emotional function at diagnosis and every stage of follow</w:t>
      </w:r>
      <w:r>
        <w:rPr>
          <w:shd w:val="clear" w:color="auto" w:fill="FAFAFB"/>
        </w:rPr>
        <w:noBreakHyphen/>
        <w:t>up.</w:t>
      </w:r>
    </w:p>
    <w:p w14:paraId="083B20C3" w14:textId="77777777" w:rsidR="001D0036" w:rsidRPr="001D0036" w:rsidRDefault="001D0036" w:rsidP="001D0036">
      <w:pPr>
        <w:pStyle w:val="Paragraph"/>
        <w:rPr>
          <w:shd w:val="clear" w:color="auto" w:fill="FAFAFB"/>
        </w:rPr>
      </w:pPr>
      <w:r>
        <w:rPr>
          <w:shd w:val="clear" w:color="auto" w:fill="FAFAFB"/>
        </w:rPr>
        <w:t xml:space="preserve">1.10.3 </w:t>
      </w:r>
      <w:r w:rsidRPr="001D0036">
        <w:rPr>
          <w:shd w:val="clear" w:color="auto" w:fill="FAFAFB"/>
        </w:rPr>
        <w:t>Give people with brain tumours and their relatives and carers (as appropriate) information on:</w:t>
      </w:r>
    </w:p>
    <w:p w14:paraId="30AF825B" w14:textId="77777777" w:rsidR="001D0036" w:rsidRPr="001D0036" w:rsidRDefault="001D0036" w:rsidP="001D0036">
      <w:pPr>
        <w:pStyle w:val="Bulletleft1"/>
        <w:rPr>
          <w:shd w:val="clear" w:color="auto" w:fill="FAFAFB"/>
        </w:rPr>
      </w:pPr>
      <w:r w:rsidRPr="001D0036">
        <w:rPr>
          <w:shd w:val="clear" w:color="auto" w:fill="FAFAFB"/>
        </w:rPr>
        <w:t>neurological rehabilitation options in the community, as an outpatient, or an inpatient and</w:t>
      </w:r>
    </w:p>
    <w:p w14:paraId="4B9E9534" w14:textId="77777777" w:rsidR="0035283E" w:rsidRPr="0035283E" w:rsidRDefault="001D0036" w:rsidP="003E6429">
      <w:pPr>
        <w:pStyle w:val="Bulletleft1last"/>
      </w:pPr>
      <w:r w:rsidRPr="0035283E">
        <w:rPr>
          <w:shd w:val="clear" w:color="auto" w:fill="FAFAFB"/>
        </w:rPr>
        <w:t>how to get a neurological rehabilitation assessment.</w:t>
      </w:r>
    </w:p>
    <w:p w14:paraId="1E5AFE7B" w14:textId="67994130" w:rsidR="003A730E" w:rsidRDefault="003A730E" w:rsidP="0035283E">
      <w:pPr>
        <w:pStyle w:val="Heading4"/>
      </w:pPr>
      <w:r>
        <w:t>Current UK practice</w:t>
      </w:r>
    </w:p>
    <w:p w14:paraId="1BE2C08D" w14:textId="3FDA362D" w:rsidR="005069C0" w:rsidRDefault="005069C0" w:rsidP="00F33BF0">
      <w:pPr>
        <w:pStyle w:val="Paragraphnonumbers"/>
      </w:pPr>
      <w:r>
        <w:t xml:space="preserve">The </w:t>
      </w:r>
      <w:hyperlink r:id="rId36" w:history="1">
        <w:r w:rsidRPr="00AB58F5">
          <w:rPr>
            <w:rStyle w:val="Hyperlink"/>
          </w:rPr>
          <w:t xml:space="preserve">NICE guideline </w:t>
        </w:r>
        <w:r w:rsidR="00995D94" w:rsidRPr="00AB58F5">
          <w:rPr>
            <w:rStyle w:val="Hyperlink"/>
          </w:rPr>
          <w:t>on brain tumours (primary</w:t>
        </w:r>
        <w:r w:rsidR="00AB58F5" w:rsidRPr="00AB58F5">
          <w:rPr>
            <w:rStyle w:val="Hyperlink"/>
          </w:rPr>
          <w:t>)</w:t>
        </w:r>
        <w:r w:rsidR="00995D94" w:rsidRPr="00AB58F5">
          <w:rPr>
            <w:rStyle w:val="Hyperlink"/>
          </w:rPr>
          <w:t xml:space="preserve"> and brain metastases</w:t>
        </w:r>
        <w:r w:rsidR="00AB58F5" w:rsidRPr="00AB58F5">
          <w:rPr>
            <w:rStyle w:val="Hyperlink"/>
          </w:rPr>
          <w:t xml:space="preserve"> in adults</w:t>
        </w:r>
      </w:hyperlink>
      <w:r w:rsidR="00995D94">
        <w:t xml:space="preserve"> </w:t>
      </w:r>
      <w:r>
        <w:t>indicate</w:t>
      </w:r>
      <w:r w:rsidR="00995D94">
        <w:t>s</w:t>
      </w:r>
      <w:r>
        <w:t xml:space="preserve"> that</w:t>
      </w:r>
      <w:r w:rsidR="00AB58F5">
        <w:t>,</w:t>
      </w:r>
      <w:r>
        <w:t xml:space="preserve"> </w:t>
      </w:r>
      <w:r w:rsidR="00AB58F5">
        <w:t xml:space="preserve">based on committee experience, </w:t>
      </w:r>
      <w:r>
        <w:t>t</w:t>
      </w:r>
      <w:r w:rsidRPr="005069C0">
        <w:t>here is currently variation in practice in assessing whether people with a brain tumour need neurological rehabilitation. Some of this reflects the availability of neurological rehabilitation services</w:t>
      </w:r>
      <w:r>
        <w:t>.</w:t>
      </w:r>
    </w:p>
    <w:p w14:paraId="2220ACBC" w14:textId="65FBBC53" w:rsidR="003A730E" w:rsidRDefault="003A730E" w:rsidP="003A730E">
      <w:pPr>
        <w:pStyle w:val="Heading3"/>
      </w:pPr>
      <w:r>
        <w:t>Access to neurorehabilitation services</w:t>
      </w:r>
    </w:p>
    <w:p w14:paraId="0574A98D" w14:textId="5A56E5A0" w:rsidR="00B705BD" w:rsidRPr="00B705BD" w:rsidRDefault="00EE4BD0" w:rsidP="00B705BD">
      <w:pPr>
        <w:pStyle w:val="Paragraph"/>
      </w:pPr>
      <w:r>
        <w:t xml:space="preserve">Stakeholders highlighted the importance of ensuring that people with brain tumours can access neurorehabilitation services to improve outcomes and quality of life. It was suggested that community-based services are important to reduce pressure on hospitals. The availability of rehabilitation </w:t>
      </w:r>
      <w:r w:rsidR="00AB58F5">
        <w:t>pre-</w:t>
      </w:r>
      <w:r>
        <w:t xml:space="preserve"> and post-surgery was highlighted as a priority.</w:t>
      </w:r>
    </w:p>
    <w:p w14:paraId="6358B5E0" w14:textId="675BD896" w:rsidR="003A730E" w:rsidRDefault="003A730E" w:rsidP="003A730E">
      <w:pPr>
        <w:pStyle w:val="Heading4"/>
      </w:pPr>
      <w:r>
        <w:t>Selected recommendations</w:t>
      </w:r>
    </w:p>
    <w:p w14:paraId="09A4DA97" w14:textId="77777777" w:rsidR="008E1530" w:rsidRDefault="008E1530" w:rsidP="008E1530">
      <w:pPr>
        <w:pStyle w:val="Paragraph"/>
      </w:pPr>
      <w:bookmarkStart w:id="115" w:name="_Hlk72498862"/>
      <w:r w:rsidRPr="003010F3">
        <w:t>NICE’s guideline on brain tumours (primary) and brain metastases in adults (NG99):</w:t>
      </w:r>
    </w:p>
    <w:bookmarkEnd w:id="115"/>
    <w:p w14:paraId="4990E428" w14:textId="07CA49A0" w:rsidR="00BB12FF" w:rsidRDefault="008E1530" w:rsidP="00BB12FF">
      <w:pPr>
        <w:pStyle w:val="Paragraph"/>
      </w:pPr>
      <w:r>
        <w:t xml:space="preserve">1.10.2 </w:t>
      </w:r>
      <w:r w:rsidRPr="008E1530">
        <w:t>Offer people with brain tumours and their relatives and carers (as appropriate) information on accessing neurological rehabilitation, and on what needs it can help address.</w:t>
      </w:r>
    </w:p>
    <w:p w14:paraId="767746E7" w14:textId="11085DEC" w:rsidR="003463D4" w:rsidRDefault="003463D4" w:rsidP="00BB12FF">
      <w:pPr>
        <w:pStyle w:val="Paragraph"/>
      </w:pPr>
      <w:r>
        <w:t xml:space="preserve">NB: </w:t>
      </w:r>
      <w:r w:rsidRPr="003463D4">
        <w:t xml:space="preserve">The scope of </w:t>
      </w:r>
      <w:r>
        <w:t xml:space="preserve">NICE </w:t>
      </w:r>
      <w:r w:rsidRPr="003463D4">
        <w:t xml:space="preserve">guideline </w:t>
      </w:r>
      <w:r>
        <w:t xml:space="preserve">NG99 </w:t>
      </w:r>
      <w:r w:rsidRPr="003463D4">
        <w:t>did not include neurorehabilitation services as this will be covered in the NICE guideline on rehabilitation for chronic neurological disorders including traumatic brain injury which is expected to publish in 2023</w:t>
      </w:r>
      <w:r>
        <w:t>.</w:t>
      </w:r>
      <w:r w:rsidR="00B91E67">
        <w:t xml:space="preserve"> We do not have a referral for a separate quality standard on this topic.</w:t>
      </w:r>
    </w:p>
    <w:p w14:paraId="7CB630F6" w14:textId="77777777" w:rsidR="008E1530" w:rsidRDefault="008E1530" w:rsidP="008E1530">
      <w:pPr>
        <w:pStyle w:val="Paragraph"/>
      </w:pPr>
      <w:r>
        <w:t>NICE’s guidance on cancer services: improving outcomes for people with brain and other CNS tumours (CSG10, Section 8 recommendations):</w:t>
      </w:r>
    </w:p>
    <w:p w14:paraId="7D8957A7" w14:textId="349957D2" w:rsidR="008E1530" w:rsidRDefault="008E1530" w:rsidP="008E1530">
      <w:pPr>
        <w:pStyle w:val="Paragraph"/>
      </w:pPr>
      <w:r>
        <w:t>There should be rapid access to AHP assessment and rehabilitation services, including specialist neurorehabilitation when appropriate, as a patient’s condition changes.</w:t>
      </w:r>
    </w:p>
    <w:p w14:paraId="79CAE8EE" w14:textId="714DE3CB" w:rsidR="008E1530" w:rsidRDefault="008E1530" w:rsidP="008E1530">
      <w:pPr>
        <w:pStyle w:val="Paragraph"/>
      </w:pPr>
      <w:r>
        <w:t>Multidisciplinary rehabilitation teams should be available for the continued management of patients with CNS tumours at home or in the community.</w:t>
      </w:r>
    </w:p>
    <w:p w14:paraId="5428D8FB" w14:textId="7F46ED9A" w:rsidR="00AD153D" w:rsidRPr="00BB12FF" w:rsidRDefault="00AD153D" w:rsidP="00AD153D">
      <w:pPr>
        <w:pStyle w:val="Paragraph"/>
      </w:pPr>
      <w:r>
        <w:t>Where it is not feasible for patients with CNS tumours to be cared for by the existing neurorehabilitation team(s), commissioners should ensure that an equivalent service is provided by a cancer network neuro-oncology rehabilitation team.</w:t>
      </w:r>
    </w:p>
    <w:p w14:paraId="5D4640BE" w14:textId="5A70328D" w:rsidR="003A730E" w:rsidRDefault="003A730E" w:rsidP="003A730E">
      <w:pPr>
        <w:pStyle w:val="Heading4"/>
      </w:pPr>
      <w:r>
        <w:t>Current UK practice</w:t>
      </w:r>
    </w:p>
    <w:p w14:paraId="1D50243D" w14:textId="1356F6AE" w:rsidR="00BB12FF" w:rsidRPr="00BB12FF" w:rsidRDefault="00BB12FF" w:rsidP="00BB12FF">
      <w:pPr>
        <w:pStyle w:val="Paragraph"/>
      </w:pPr>
      <w:r>
        <w:t xml:space="preserve">The </w:t>
      </w:r>
      <w:hyperlink r:id="rId37" w:history="1">
        <w:r w:rsidRPr="000334FE">
          <w:rPr>
            <w:rStyle w:val="Hyperlink"/>
          </w:rPr>
          <w:t xml:space="preserve">NICE evidence review </w:t>
        </w:r>
        <w:r w:rsidR="00FF13FA" w:rsidRPr="000334FE">
          <w:rPr>
            <w:rStyle w:val="Hyperlink"/>
          </w:rPr>
          <w:t>for NG99</w:t>
        </w:r>
        <w:r w:rsidR="000334FE" w:rsidRPr="000334FE">
          <w:rPr>
            <w:rStyle w:val="Hyperlink"/>
          </w:rPr>
          <w:t xml:space="preserve"> on supporting people living with a brain tumour</w:t>
        </w:r>
      </w:hyperlink>
      <w:r w:rsidR="00FF13FA">
        <w:t xml:space="preserve"> </w:t>
      </w:r>
      <w:r>
        <w:t xml:space="preserve">indicated that there is good provision of neurorehabilitation services across the UK as they are used extensively by those with other brain injuries. </w:t>
      </w:r>
      <w:r w:rsidR="007A6C4C">
        <w:t>However,</w:t>
      </w:r>
      <w:r>
        <w:t xml:space="preserve"> there is variation across the UK in whether people with brain tumours can access these </w:t>
      </w:r>
      <w:r w:rsidR="00FF13FA">
        <w:t>services since</w:t>
      </w:r>
      <w:r>
        <w:t xml:space="preserve"> many neurological rehabilitation centres do not accept referrals for people with brain tumours (or accept referrals only for certain kinds of brain tumour). There is also variation in how long and how intensively those diagnosed with a brain tumour can use services even in areas where brain tumour patients are accepted into neurological rehabilitation pathways</w:t>
      </w:r>
      <w:r w:rsidR="00FF13FA">
        <w:t>.</w:t>
      </w:r>
    </w:p>
    <w:p w14:paraId="11D624C9" w14:textId="77777777" w:rsidR="003A730E" w:rsidRPr="0067426A" w:rsidRDefault="003A730E" w:rsidP="003A730E">
      <w:pPr>
        <w:pStyle w:val="Heading3"/>
      </w:pPr>
      <w:r w:rsidRPr="0067426A">
        <w:t>Issues for consideration</w:t>
      </w:r>
    </w:p>
    <w:p w14:paraId="5F4DF747" w14:textId="77777777" w:rsidR="003A730E" w:rsidRPr="00B413F2" w:rsidRDefault="003A730E" w:rsidP="003A730E">
      <w:pPr>
        <w:pStyle w:val="Paragraph"/>
        <w:rPr>
          <w:b/>
          <w:bCs/>
        </w:rPr>
      </w:pPr>
      <w:r w:rsidRPr="00A6218A">
        <w:rPr>
          <w:b/>
          <w:bCs/>
        </w:rPr>
        <w:t>For discussion:</w:t>
      </w:r>
    </w:p>
    <w:p w14:paraId="10372C7E" w14:textId="2E382150" w:rsidR="008C7987" w:rsidRDefault="008C7987" w:rsidP="003A730E">
      <w:pPr>
        <w:pStyle w:val="Panelbullet1"/>
        <w:spacing w:after="240"/>
      </w:pPr>
      <w:r>
        <w:t>Are community-based neurorehabilitation services easier to access than specialist services?</w:t>
      </w:r>
    </w:p>
    <w:p w14:paraId="3A62CF1B" w14:textId="42878833" w:rsidR="00AA6FD6" w:rsidRDefault="00AA6FD6" w:rsidP="003A730E">
      <w:pPr>
        <w:pStyle w:val="Panelbullet1"/>
        <w:spacing w:after="240"/>
      </w:pPr>
      <w:r>
        <w:t>If someone has an assessment will they be able to access any support they may need?</w:t>
      </w:r>
    </w:p>
    <w:p w14:paraId="4D144AD7" w14:textId="411CFD88" w:rsidR="003A730E" w:rsidRPr="008C7987" w:rsidRDefault="003A730E" w:rsidP="003A730E">
      <w:pPr>
        <w:pStyle w:val="Panelbullet1"/>
        <w:spacing w:after="240"/>
      </w:pPr>
      <w:r w:rsidRPr="008C7987">
        <w:t>What is the priority for improvement?</w:t>
      </w:r>
    </w:p>
    <w:p w14:paraId="1E87F119" w14:textId="77777777" w:rsidR="003A730E" w:rsidRPr="008C7987" w:rsidRDefault="003A730E" w:rsidP="003A730E">
      <w:pPr>
        <w:pStyle w:val="Panelbullet1"/>
        <w:spacing w:after="240"/>
      </w:pPr>
      <w:r w:rsidRPr="008C7987">
        <w:t>What is the key action that will lead to improvement?</w:t>
      </w:r>
    </w:p>
    <w:p w14:paraId="0AC7080A" w14:textId="2FD2B150" w:rsidR="003A730E" w:rsidRPr="008C7987" w:rsidRDefault="003A730E" w:rsidP="003A730E">
      <w:pPr>
        <w:pStyle w:val="Panelbullet1"/>
        <w:spacing w:after="240"/>
      </w:pPr>
      <w:r w:rsidRPr="008C7987">
        <w:t>Can we develop a specific, measurable statement?</w:t>
      </w:r>
    </w:p>
    <w:p w14:paraId="108C27A0" w14:textId="77777777" w:rsidR="003A730E" w:rsidRPr="00A6218A" w:rsidRDefault="003A730E" w:rsidP="003A730E">
      <w:pPr>
        <w:pStyle w:val="Paragraph"/>
        <w:rPr>
          <w:b/>
          <w:bCs/>
        </w:rPr>
      </w:pPr>
      <w:r w:rsidRPr="00A6218A">
        <w:rPr>
          <w:b/>
          <w:bCs/>
        </w:rPr>
        <w:t>For decision:</w:t>
      </w:r>
    </w:p>
    <w:p w14:paraId="18C0D0F5" w14:textId="7414EC50" w:rsidR="003A730E" w:rsidRDefault="003A730E" w:rsidP="00A34E87">
      <w:pPr>
        <w:pStyle w:val="Bulletleft1"/>
      </w:pPr>
      <w:r w:rsidRPr="00624810">
        <w:t>Should this area be prioritised for inclusion in the quality standard?</w:t>
      </w:r>
      <w:r>
        <w:br w:type="page"/>
      </w:r>
    </w:p>
    <w:p w14:paraId="68231D8C" w14:textId="6A827F75" w:rsidR="003A730E" w:rsidRDefault="003A730E" w:rsidP="00427135">
      <w:pPr>
        <w:pStyle w:val="Numberedheading2"/>
      </w:pPr>
      <w:bookmarkStart w:id="116" w:name="_Toc78371507"/>
      <w:r>
        <w:t>Surveillance for late-onset side effects of treatment</w:t>
      </w:r>
      <w:bookmarkEnd w:id="116"/>
    </w:p>
    <w:p w14:paraId="2BB54FC0" w14:textId="2B8093BE" w:rsidR="007A6C4C" w:rsidRPr="007A6C4C" w:rsidRDefault="00F85801" w:rsidP="0040522D">
      <w:pPr>
        <w:pStyle w:val="Paragraph"/>
      </w:pPr>
      <w:r>
        <w:t xml:space="preserve">Access to </w:t>
      </w:r>
      <w:r w:rsidRPr="00865790">
        <w:t xml:space="preserve">late-effects clinics, neurological surveillance, </w:t>
      </w:r>
      <w:r>
        <w:t xml:space="preserve">and </w:t>
      </w:r>
      <w:r w:rsidRPr="00865790">
        <w:t>neuropsychology</w:t>
      </w:r>
      <w:r>
        <w:t xml:space="preserve"> were highlighted as priorities. </w:t>
      </w:r>
      <w:r w:rsidR="00DE4C1C">
        <w:t xml:space="preserve">As people with brain tumours can develop late effects of treatment months or years afterwards, </w:t>
      </w:r>
      <w:r w:rsidR="00E14FCE">
        <w:t xml:space="preserve">the </w:t>
      </w:r>
      <w:r w:rsidR="00DE4C1C">
        <w:t xml:space="preserve">individual </w:t>
      </w:r>
      <w:r w:rsidR="00E14FCE">
        <w:t>risk of</w:t>
      </w:r>
      <w:r w:rsidR="005548F0">
        <w:t xml:space="preserve"> late effects of treatment </w:t>
      </w:r>
      <w:r>
        <w:t>needs to be</w:t>
      </w:r>
      <w:r w:rsidR="00E14FCE">
        <w:t xml:space="preserve"> assessed </w:t>
      </w:r>
      <w:r w:rsidR="008E0C68">
        <w:t>and discuss</w:t>
      </w:r>
      <w:r w:rsidR="00E14FCE">
        <w:t>ed with</w:t>
      </w:r>
      <w:r w:rsidR="008E0C68">
        <w:t xml:space="preserve"> </w:t>
      </w:r>
      <w:r w:rsidR="00DE4C1C">
        <w:t>them</w:t>
      </w:r>
      <w:r w:rsidR="00E14FCE">
        <w:t xml:space="preserve">. This will support </w:t>
      </w:r>
      <w:r w:rsidR="00865790">
        <w:t xml:space="preserve">ongoing surveillance and </w:t>
      </w:r>
      <w:r w:rsidR="00E14FCE">
        <w:t>active management of these risks and will improve the quality of care provided</w:t>
      </w:r>
      <w:r w:rsidR="00865790">
        <w:t xml:space="preserve"> and patient quality of life. </w:t>
      </w:r>
    </w:p>
    <w:p w14:paraId="7CA3692B" w14:textId="65C132BE" w:rsidR="007A6C4C" w:rsidRDefault="007A6C4C" w:rsidP="007A6C4C">
      <w:pPr>
        <w:pStyle w:val="Heading4"/>
      </w:pPr>
      <w:r>
        <w:t>Selected recommendations</w:t>
      </w:r>
    </w:p>
    <w:p w14:paraId="3FC4937E" w14:textId="543B74D8" w:rsidR="007A6C4C" w:rsidRDefault="00502C17" w:rsidP="00502C17">
      <w:pPr>
        <w:pStyle w:val="Paragraph"/>
      </w:pPr>
      <w:r w:rsidRPr="00502C17">
        <w:t>NICE’s guideline on brain tumours (primary) and brain metastases in adults (NG99):</w:t>
      </w:r>
    </w:p>
    <w:p w14:paraId="07FE782F" w14:textId="29B45157" w:rsidR="00502C17" w:rsidRDefault="00502C17" w:rsidP="00502C17">
      <w:pPr>
        <w:pStyle w:val="Paragraph"/>
      </w:pPr>
      <w:r>
        <w:t xml:space="preserve">1.11.2 </w:t>
      </w:r>
      <w:r w:rsidRPr="00502C17">
        <w:t>Assess the person's individual risk of developing late effects when they finish treatment. Record these in their written treatment summary and explain them to the person (and their relatives and carers, as appropriate).</w:t>
      </w:r>
    </w:p>
    <w:p w14:paraId="05A14642" w14:textId="1FD87D6E" w:rsidR="005A6A81" w:rsidRDefault="005A6A81" w:rsidP="00502C17">
      <w:pPr>
        <w:pStyle w:val="Paragraph"/>
      </w:pPr>
      <w:r>
        <w:t xml:space="preserve">1.11.4 </w:t>
      </w:r>
      <w:r w:rsidRPr="005A6A81">
        <w:t>For people who are at risk of stroke, consider checking their blood pressure, HbA1c level and cholesterol profile regularly.</w:t>
      </w:r>
    </w:p>
    <w:p w14:paraId="4F509D88" w14:textId="297B36BF" w:rsidR="005A6A81" w:rsidRDefault="005A6A81" w:rsidP="00502C17">
      <w:pPr>
        <w:pStyle w:val="Paragraph"/>
      </w:pPr>
      <w:r>
        <w:t xml:space="preserve">1.11.5 </w:t>
      </w:r>
      <w:r w:rsidRPr="005A6A81">
        <w:t>Consider ongoing neuropsychology assessment for people at risk of cognitive decline.</w:t>
      </w:r>
    </w:p>
    <w:p w14:paraId="76F00F5C" w14:textId="6060467D" w:rsidR="005A6A81" w:rsidRDefault="005A6A81" w:rsidP="00502C17">
      <w:pPr>
        <w:pStyle w:val="Paragraph"/>
      </w:pPr>
      <w:r>
        <w:t xml:space="preserve">1.11.6 </w:t>
      </w:r>
      <w:r w:rsidRPr="005A6A81">
        <w:t>If a person has had a radiotherapy dose that might affect pituitary function, consider checking their endocrine function regularly after the end of treatment.</w:t>
      </w:r>
    </w:p>
    <w:p w14:paraId="0ECD6645" w14:textId="2BD3D8B1" w:rsidR="005A6A81" w:rsidRDefault="005A6A81" w:rsidP="00502C17">
      <w:pPr>
        <w:pStyle w:val="Paragraph"/>
      </w:pPr>
      <w:r>
        <w:t xml:space="preserve">1.11.7 </w:t>
      </w:r>
      <w:r w:rsidRPr="005A6A81">
        <w:t>Consider referring people who are at risk of visual impairment for an ophthalmological assessment.</w:t>
      </w:r>
    </w:p>
    <w:p w14:paraId="792CBD89" w14:textId="708FA6F3" w:rsidR="005A6A81" w:rsidRDefault="005A6A81" w:rsidP="00502C17">
      <w:pPr>
        <w:pStyle w:val="Paragraph"/>
      </w:pPr>
      <w:r>
        <w:t xml:space="preserve">1.11.8 </w:t>
      </w:r>
      <w:r w:rsidRPr="005A6A81">
        <w:t>Consider referring people who are at risk of hearing loss to audiology for a hearing test.</w:t>
      </w:r>
    </w:p>
    <w:p w14:paraId="5204B0D6" w14:textId="4902AD76" w:rsidR="005A6A81" w:rsidRPr="007A6C4C" w:rsidRDefault="005A6A81" w:rsidP="00502C17">
      <w:pPr>
        <w:pStyle w:val="Paragraph"/>
      </w:pPr>
      <w:r>
        <w:t xml:space="preserve">1.11.9 </w:t>
      </w:r>
      <w:r w:rsidRPr="005A6A81">
        <w:t>Consider referring the person to stroke services if an MRI during active monitoring identifies asymptomatic ischaemic stroke.</w:t>
      </w:r>
    </w:p>
    <w:p w14:paraId="083DAA61" w14:textId="77777777" w:rsidR="007A6C4C" w:rsidRDefault="007A6C4C" w:rsidP="007A6C4C">
      <w:pPr>
        <w:pStyle w:val="Heading4"/>
      </w:pPr>
      <w:r>
        <w:t>Current UK practice</w:t>
      </w:r>
    </w:p>
    <w:p w14:paraId="02D61CC5" w14:textId="77777777" w:rsidR="00995D94" w:rsidRPr="00B705BD" w:rsidRDefault="00995D94" w:rsidP="00995D94">
      <w:pPr>
        <w:pStyle w:val="Paragraphnonumbers"/>
      </w:pPr>
      <w:r w:rsidRPr="00ED7880">
        <w:t>No published studies on current practice were highlighted for th</w:t>
      </w:r>
      <w:r>
        <w:t>is</w:t>
      </w:r>
      <w:r w:rsidRPr="00ED7880">
        <w:t xml:space="preserve"> suggested area for quality improvement; </w:t>
      </w:r>
      <w:r>
        <w:t>this</w:t>
      </w:r>
      <w:r w:rsidRPr="00ED7880">
        <w:t xml:space="preserve"> area </w:t>
      </w:r>
      <w:r>
        <w:t>is</w:t>
      </w:r>
      <w:r w:rsidRPr="00ED7880">
        <w:t xml:space="preserve"> based on stakeholder’s knowledge and experience.</w:t>
      </w:r>
    </w:p>
    <w:p w14:paraId="17DFBE3C" w14:textId="77777777" w:rsidR="007A6C4C" w:rsidRPr="0067426A" w:rsidRDefault="007A6C4C" w:rsidP="007A6C4C">
      <w:pPr>
        <w:pStyle w:val="Heading3"/>
      </w:pPr>
      <w:r w:rsidRPr="0067426A">
        <w:t>Issues for consideration</w:t>
      </w:r>
    </w:p>
    <w:p w14:paraId="7D91D038" w14:textId="77777777" w:rsidR="007A6C4C" w:rsidRPr="00E764BD" w:rsidRDefault="007A6C4C" w:rsidP="007A6C4C">
      <w:pPr>
        <w:pStyle w:val="Paragraph"/>
        <w:rPr>
          <w:b/>
          <w:bCs/>
        </w:rPr>
      </w:pPr>
      <w:r w:rsidRPr="00E764BD">
        <w:rPr>
          <w:b/>
          <w:bCs/>
        </w:rPr>
        <w:t>For discussion:</w:t>
      </w:r>
    </w:p>
    <w:p w14:paraId="30F97D07" w14:textId="691D8C42" w:rsidR="00E764BD" w:rsidRDefault="001F67EC" w:rsidP="007A6C4C">
      <w:pPr>
        <w:pStyle w:val="Panelbullet1"/>
        <w:spacing w:after="240"/>
      </w:pPr>
      <w:r>
        <w:t xml:space="preserve">When </w:t>
      </w:r>
      <w:r w:rsidR="001B01D7">
        <w:t xml:space="preserve">is an assessment of </w:t>
      </w:r>
      <w:r>
        <w:t xml:space="preserve">the risk of </w:t>
      </w:r>
      <w:r w:rsidR="001B01D7">
        <w:t>late effects carried out</w:t>
      </w:r>
      <w:r>
        <w:t xml:space="preserve"> </w:t>
      </w:r>
      <w:r w:rsidR="008479C4">
        <w:t>after treatment e</w:t>
      </w:r>
      <w:r>
        <w:t>.g., at the first follow-up review</w:t>
      </w:r>
      <w:r w:rsidR="001B01D7">
        <w:t>?</w:t>
      </w:r>
    </w:p>
    <w:p w14:paraId="5DEDFF09" w14:textId="6A93538F" w:rsidR="007A6C4C" w:rsidRPr="00E764BD" w:rsidRDefault="007A6C4C" w:rsidP="007A6C4C">
      <w:pPr>
        <w:pStyle w:val="Panelbullet1"/>
        <w:spacing w:after="240"/>
      </w:pPr>
      <w:r w:rsidRPr="00E764BD">
        <w:t>What is the priority for improvement?</w:t>
      </w:r>
    </w:p>
    <w:p w14:paraId="0E5DDE81" w14:textId="77777777" w:rsidR="007A6C4C" w:rsidRPr="00E764BD" w:rsidRDefault="007A6C4C" w:rsidP="007A6C4C">
      <w:pPr>
        <w:pStyle w:val="Panelbullet1"/>
        <w:spacing w:after="240"/>
      </w:pPr>
      <w:r w:rsidRPr="00E764BD">
        <w:t>What is the key action that will lead to improvement?</w:t>
      </w:r>
    </w:p>
    <w:p w14:paraId="6E46A89C" w14:textId="77777777" w:rsidR="007A6C4C" w:rsidRPr="00E764BD" w:rsidRDefault="007A6C4C" w:rsidP="007A6C4C">
      <w:pPr>
        <w:pStyle w:val="Panelbullet1"/>
        <w:spacing w:after="240"/>
      </w:pPr>
      <w:r w:rsidRPr="00E764BD">
        <w:t>Can we develop a specific, measurable statement?</w:t>
      </w:r>
    </w:p>
    <w:p w14:paraId="73F398E2" w14:textId="77777777" w:rsidR="007A6C4C" w:rsidRPr="00A6218A" w:rsidRDefault="007A6C4C" w:rsidP="007A6C4C">
      <w:pPr>
        <w:pStyle w:val="Paragraph"/>
        <w:rPr>
          <w:b/>
          <w:bCs/>
        </w:rPr>
      </w:pPr>
      <w:r w:rsidRPr="00A6218A">
        <w:rPr>
          <w:b/>
          <w:bCs/>
        </w:rPr>
        <w:t>For decision:</w:t>
      </w:r>
    </w:p>
    <w:p w14:paraId="2E5AFBD7" w14:textId="633D0272" w:rsidR="003A730E" w:rsidRDefault="007A6C4C" w:rsidP="00BD5D4C">
      <w:pPr>
        <w:pStyle w:val="Bulletleft1"/>
      </w:pPr>
      <w:r w:rsidRPr="00624810">
        <w:t>Should this area be prioritised for inclusion in the quality standard?</w:t>
      </w:r>
      <w:r w:rsidR="003A730E">
        <w:br w:type="page"/>
      </w:r>
    </w:p>
    <w:p w14:paraId="7E9D422C" w14:textId="4D4809C9" w:rsidR="00626943" w:rsidRPr="00427135" w:rsidRDefault="00626943" w:rsidP="00427135">
      <w:pPr>
        <w:pStyle w:val="Numberedheading2"/>
      </w:pPr>
      <w:bookmarkStart w:id="117" w:name="_Toc78371508"/>
      <w:r w:rsidRPr="00427135">
        <w:t>Additional areas</w:t>
      </w:r>
      <w:bookmarkEnd w:id="117"/>
    </w:p>
    <w:p w14:paraId="72008406" w14:textId="77777777" w:rsidR="00626943" w:rsidRPr="00E80EE3" w:rsidRDefault="00626943" w:rsidP="00427135">
      <w:pPr>
        <w:pStyle w:val="Heading3"/>
      </w:pPr>
      <w:r w:rsidRPr="00E80EE3">
        <w:t>Summary of suggestions</w:t>
      </w:r>
    </w:p>
    <w:p w14:paraId="18D5C5B4" w14:textId="77777777" w:rsidR="00626943" w:rsidRPr="00E80EE3" w:rsidRDefault="00626943" w:rsidP="00427135">
      <w:pPr>
        <w:pStyle w:val="Paragraph"/>
      </w:pPr>
      <w:r w:rsidRPr="00E80EE3">
        <w:t>The improvement areas below were suggested as part of the stakeholder engagement exercise. However</w:t>
      </w:r>
      <w:r w:rsidR="00DD0BD8">
        <w:t>,</w:t>
      </w:r>
      <w:r w:rsidRPr="00E80EE3">
        <w:t xml:space="preserve"> they were felt to be</w:t>
      </w:r>
      <w:r>
        <w:t xml:space="preserve"> either unsuitable for development as quality statements, outside the remit of this</w:t>
      </w:r>
      <w:r w:rsidRPr="00E80EE3">
        <w:t xml:space="preserve"> </w:t>
      </w:r>
      <w:r>
        <w:t xml:space="preserve">particular </w:t>
      </w:r>
      <w:r w:rsidRPr="00E80EE3">
        <w:t xml:space="preserve">quality standard referral or </w:t>
      </w:r>
      <w:r w:rsidR="00DD0BD8">
        <w:t>need</w:t>
      </w:r>
      <w:r w:rsidRPr="00E80EE3">
        <w:t xml:space="preserve"> further discussion by the </w:t>
      </w:r>
      <w:r w:rsidR="00C92D69">
        <w:t>c</w:t>
      </w:r>
      <w:r w:rsidRPr="00E80EE3">
        <w:t xml:space="preserve">ommittee to establish potential for statement development. </w:t>
      </w:r>
    </w:p>
    <w:p w14:paraId="5C0E570A" w14:textId="77777777" w:rsidR="00626943" w:rsidRDefault="00626943" w:rsidP="00427135">
      <w:pPr>
        <w:pStyle w:val="Paragraph"/>
      </w:pPr>
      <w:r w:rsidRPr="00E80EE3">
        <w:t xml:space="preserve">There will be an opportunity for the </w:t>
      </w:r>
      <w:r w:rsidR="00C92D69">
        <w:t>committee</w:t>
      </w:r>
      <w:r w:rsidRPr="00E80EE3">
        <w:t xml:space="preserve"> to discuss these areas at the end of the </w:t>
      </w:r>
      <w:r w:rsidR="00F04347" w:rsidRPr="00C54EE8">
        <w:t>Advisory Committee meeting</w:t>
      </w:r>
      <w:r w:rsidRPr="00E80EE3">
        <w:t>.</w:t>
      </w:r>
    </w:p>
    <w:p w14:paraId="2D2E13DE" w14:textId="7B0FE896" w:rsidR="00910D5A" w:rsidRDefault="00910D5A" w:rsidP="00F04347">
      <w:pPr>
        <w:pStyle w:val="Caption"/>
      </w:pPr>
      <w:r w:rsidRPr="00B06230">
        <w:t xml:space="preserve">Table </w:t>
      </w:r>
      <w:r w:rsidR="00B06230">
        <w:t>2</w:t>
      </w:r>
      <w:r w:rsidR="00F96905" w:rsidRPr="00F96905">
        <w:t xml:space="preserve"> Summary of information available for </w:t>
      </w:r>
      <w:r w:rsidR="00F96905">
        <w:t>additional</w:t>
      </w:r>
      <w:r w:rsidR="00F96905" w:rsidRPr="00F96905">
        <w:t xml:space="preserve"> areas</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Caption w:val="Summary of information available for additional areas"/>
        <w:tblDescription w:val="Information about additional quality improvement areas identified by stakeholders during the stakeholder engagement exercise, such as whether the areas are in scope, supported by guideline recommendations, current practice and covered by existing quality standard statements.  "/>
      </w:tblPr>
      <w:tblGrid>
        <w:gridCol w:w="3670"/>
        <w:gridCol w:w="1275"/>
        <w:gridCol w:w="1282"/>
        <w:gridCol w:w="1275"/>
        <w:gridCol w:w="1281"/>
      </w:tblGrid>
      <w:tr w:rsidR="00910D5A" w:rsidRPr="00910B42" w14:paraId="068264F7" w14:textId="77777777" w:rsidTr="006A76E9">
        <w:trPr>
          <w:tblHeader/>
        </w:trPr>
        <w:tc>
          <w:tcPr>
            <w:tcW w:w="2089" w:type="pct"/>
            <w:shd w:val="clear" w:color="auto" w:fill="auto"/>
          </w:tcPr>
          <w:p w14:paraId="5BBD0171" w14:textId="77777777" w:rsidR="00910D5A" w:rsidRPr="00910B42" w:rsidRDefault="00910D5A" w:rsidP="00F04347">
            <w:pPr>
              <w:pStyle w:val="Tabletitle"/>
            </w:pPr>
            <w:r w:rsidRPr="5A137D12">
              <w:t>Suggested area for improvement</w:t>
            </w:r>
          </w:p>
        </w:tc>
        <w:tc>
          <w:tcPr>
            <w:tcW w:w="726" w:type="pct"/>
          </w:tcPr>
          <w:p w14:paraId="7CED2510" w14:textId="77777777" w:rsidR="00910D5A" w:rsidRPr="00910B42" w:rsidRDefault="00910D5A" w:rsidP="00F04347">
            <w:pPr>
              <w:pStyle w:val="Tabletitle"/>
            </w:pPr>
            <w:r>
              <w:t>Within remit of NICE QS</w:t>
            </w:r>
          </w:p>
        </w:tc>
        <w:tc>
          <w:tcPr>
            <w:tcW w:w="730" w:type="pct"/>
          </w:tcPr>
          <w:p w14:paraId="30B3CEEC" w14:textId="77777777" w:rsidR="00910D5A" w:rsidRDefault="00910D5A" w:rsidP="00F04347">
            <w:pPr>
              <w:pStyle w:val="Tabletitle"/>
            </w:pPr>
            <w:r w:rsidRPr="00910B42">
              <w:t>In scope</w:t>
            </w:r>
          </w:p>
          <w:p w14:paraId="7D16142A" w14:textId="77777777" w:rsidR="00910D5A" w:rsidRPr="00910B42" w:rsidRDefault="00910D5A" w:rsidP="00F04347">
            <w:pPr>
              <w:pStyle w:val="Tabletitle"/>
            </w:pPr>
          </w:p>
        </w:tc>
        <w:tc>
          <w:tcPr>
            <w:tcW w:w="726" w:type="pct"/>
          </w:tcPr>
          <w:p w14:paraId="531086B1" w14:textId="77777777" w:rsidR="00910D5A" w:rsidRPr="00910B42" w:rsidRDefault="00910D5A" w:rsidP="00F04347">
            <w:pPr>
              <w:pStyle w:val="Tabletitle"/>
            </w:pPr>
            <w:r w:rsidRPr="00910B42">
              <w:t>Guideline recs</w:t>
            </w:r>
          </w:p>
        </w:tc>
        <w:tc>
          <w:tcPr>
            <w:tcW w:w="729" w:type="pct"/>
          </w:tcPr>
          <w:p w14:paraId="3C0C22D2" w14:textId="77777777" w:rsidR="00910D5A" w:rsidRDefault="00910D5A" w:rsidP="00F04347">
            <w:pPr>
              <w:pStyle w:val="Tabletitle"/>
            </w:pPr>
            <w:r>
              <w:t xml:space="preserve">Relevant </w:t>
            </w:r>
          </w:p>
          <w:p w14:paraId="38A0A90F" w14:textId="77777777" w:rsidR="00910D5A" w:rsidRPr="00910B42" w:rsidRDefault="00910D5A" w:rsidP="00F04347">
            <w:pPr>
              <w:pStyle w:val="Tabletitle"/>
            </w:pPr>
            <w:r>
              <w:t>e</w:t>
            </w:r>
            <w:r w:rsidRPr="00910B42">
              <w:t xml:space="preserve">xisting QS </w:t>
            </w:r>
          </w:p>
        </w:tc>
      </w:tr>
      <w:tr w:rsidR="00910D5A" w:rsidRPr="00910B42" w14:paraId="6839C943" w14:textId="77777777" w:rsidTr="006A76E9">
        <w:trPr>
          <w:trHeight w:val="382"/>
        </w:trPr>
        <w:tc>
          <w:tcPr>
            <w:tcW w:w="2089" w:type="pct"/>
            <w:tcBorders>
              <w:top w:val="single" w:sz="4" w:space="0" w:color="auto"/>
              <w:left w:val="single" w:sz="4" w:space="0" w:color="auto"/>
              <w:right w:val="single" w:sz="4" w:space="0" w:color="auto"/>
            </w:tcBorders>
            <w:shd w:val="clear" w:color="auto" w:fill="auto"/>
          </w:tcPr>
          <w:p w14:paraId="53681A44" w14:textId="33F912EA" w:rsidR="00910D5A" w:rsidRPr="00910B42" w:rsidRDefault="00286836" w:rsidP="00F04347">
            <w:pPr>
              <w:pStyle w:val="Tabletext"/>
            </w:pPr>
            <w:r w:rsidRPr="00286836">
              <w:t>Participation in clinical trials/research</w:t>
            </w:r>
          </w:p>
        </w:tc>
        <w:tc>
          <w:tcPr>
            <w:tcW w:w="726" w:type="pct"/>
          </w:tcPr>
          <w:p w14:paraId="5BC487EE" w14:textId="5F5CF247" w:rsidR="00910D5A" w:rsidRPr="00910D5A" w:rsidRDefault="00286836" w:rsidP="00F04347">
            <w:pPr>
              <w:pStyle w:val="Tabletext"/>
              <w:rPr>
                <w:highlight w:val="lightGray"/>
              </w:rPr>
            </w:pPr>
            <w:r w:rsidRPr="00286836">
              <w:t>No</w:t>
            </w:r>
          </w:p>
        </w:tc>
        <w:tc>
          <w:tcPr>
            <w:tcW w:w="730" w:type="pct"/>
          </w:tcPr>
          <w:p w14:paraId="1D9F9E83" w14:textId="4DE7AFD8" w:rsidR="00910D5A" w:rsidRPr="00910D5A" w:rsidRDefault="00286836" w:rsidP="00F04347">
            <w:pPr>
              <w:pStyle w:val="Tabletext"/>
              <w:rPr>
                <w:highlight w:val="lightGray"/>
              </w:rPr>
            </w:pPr>
            <w:r w:rsidRPr="00286836">
              <w:t>No</w:t>
            </w:r>
          </w:p>
        </w:tc>
        <w:tc>
          <w:tcPr>
            <w:tcW w:w="726" w:type="pct"/>
          </w:tcPr>
          <w:p w14:paraId="0F90D465" w14:textId="7D90A609" w:rsidR="00910D5A" w:rsidRPr="00910D5A" w:rsidRDefault="00286836" w:rsidP="00F04347">
            <w:pPr>
              <w:pStyle w:val="Tabletext"/>
              <w:rPr>
                <w:highlight w:val="lightGray"/>
              </w:rPr>
            </w:pPr>
            <w:r w:rsidRPr="00286836">
              <w:t>No</w:t>
            </w:r>
          </w:p>
        </w:tc>
        <w:tc>
          <w:tcPr>
            <w:tcW w:w="729" w:type="pct"/>
          </w:tcPr>
          <w:p w14:paraId="4230E123" w14:textId="4727622F" w:rsidR="00910D5A" w:rsidRPr="00910D5A" w:rsidRDefault="00286836" w:rsidP="00F04347">
            <w:pPr>
              <w:pStyle w:val="Tabletext"/>
              <w:rPr>
                <w:highlight w:val="lightGray"/>
              </w:rPr>
            </w:pPr>
            <w:r w:rsidRPr="00286836">
              <w:t>No</w:t>
            </w:r>
          </w:p>
        </w:tc>
      </w:tr>
      <w:tr w:rsidR="00910D5A" w:rsidRPr="00910B42" w14:paraId="187729C9" w14:textId="77777777" w:rsidTr="006A76E9">
        <w:trPr>
          <w:trHeight w:val="382"/>
        </w:trPr>
        <w:tc>
          <w:tcPr>
            <w:tcW w:w="2089" w:type="pct"/>
            <w:tcBorders>
              <w:top w:val="single" w:sz="4" w:space="0" w:color="auto"/>
              <w:left w:val="single" w:sz="4" w:space="0" w:color="auto"/>
              <w:right w:val="single" w:sz="4" w:space="0" w:color="auto"/>
            </w:tcBorders>
            <w:shd w:val="clear" w:color="auto" w:fill="auto"/>
          </w:tcPr>
          <w:p w14:paraId="0BEB0F79" w14:textId="27298835" w:rsidR="00910D5A" w:rsidRPr="00910B42" w:rsidRDefault="00286836" w:rsidP="00F04347">
            <w:pPr>
              <w:pStyle w:val="Tabletext"/>
            </w:pPr>
            <w:r w:rsidRPr="00286836">
              <w:t>End of life care</w:t>
            </w:r>
          </w:p>
        </w:tc>
        <w:tc>
          <w:tcPr>
            <w:tcW w:w="726" w:type="pct"/>
          </w:tcPr>
          <w:p w14:paraId="53BD394C" w14:textId="1193D3B9" w:rsidR="00910D5A" w:rsidRPr="00910B42" w:rsidRDefault="00286836" w:rsidP="00F04347">
            <w:pPr>
              <w:pStyle w:val="Tabletext"/>
            </w:pPr>
            <w:r>
              <w:t>Yes</w:t>
            </w:r>
          </w:p>
        </w:tc>
        <w:tc>
          <w:tcPr>
            <w:tcW w:w="730" w:type="pct"/>
          </w:tcPr>
          <w:p w14:paraId="1D4BF61F" w14:textId="29A52ABE" w:rsidR="00910D5A" w:rsidRPr="00910B42" w:rsidRDefault="002D5403" w:rsidP="00F04347">
            <w:pPr>
              <w:pStyle w:val="Tabletext"/>
            </w:pPr>
            <w:r>
              <w:t>Yes</w:t>
            </w:r>
          </w:p>
        </w:tc>
        <w:tc>
          <w:tcPr>
            <w:tcW w:w="726" w:type="pct"/>
          </w:tcPr>
          <w:p w14:paraId="062DD11E" w14:textId="7FB8792B" w:rsidR="00910D5A" w:rsidRPr="00910B42" w:rsidRDefault="002D5403" w:rsidP="00F04347">
            <w:pPr>
              <w:pStyle w:val="Tabletext"/>
            </w:pPr>
            <w:r>
              <w:t>Yes</w:t>
            </w:r>
          </w:p>
        </w:tc>
        <w:tc>
          <w:tcPr>
            <w:tcW w:w="729" w:type="pct"/>
          </w:tcPr>
          <w:p w14:paraId="26BC14D0" w14:textId="3D9FE322" w:rsidR="00910D5A" w:rsidRPr="00910B42" w:rsidRDefault="002D5403" w:rsidP="00F04347">
            <w:pPr>
              <w:pStyle w:val="Tabletext"/>
            </w:pPr>
            <w:r>
              <w:t>Yes</w:t>
            </w:r>
          </w:p>
        </w:tc>
      </w:tr>
      <w:tr w:rsidR="00910D5A" w:rsidRPr="00910B42" w14:paraId="4D6B221F" w14:textId="77777777" w:rsidTr="00286836">
        <w:trPr>
          <w:trHeight w:val="382"/>
        </w:trPr>
        <w:tc>
          <w:tcPr>
            <w:tcW w:w="2089" w:type="pct"/>
            <w:tcBorders>
              <w:top w:val="single" w:sz="4" w:space="0" w:color="auto"/>
              <w:left w:val="single" w:sz="4" w:space="0" w:color="auto"/>
              <w:bottom w:val="single" w:sz="4" w:space="0" w:color="auto"/>
              <w:right w:val="single" w:sz="4" w:space="0" w:color="auto"/>
            </w:tcBorders>
            <w:shd w:val="clear" w:color="auto" w:fill="auto"/>
          </w:tcPr>
          <w:p w14:paraId="2E8ABCAB" w14:textId="312ABD3E" w:rsidR="00910D5A" w:rsidRPr="00286836" w:rsidRDefault="00286836" w:rsidP="00F04347">
            <w:pPr>
              <w:pStyle w:val="Tabletext"/>
            </w:pPr>
            <w:r w:rsidRPr="00286836">
              <w:t>Employment support</w:t>
            </w:r>
          </w:p>
        </w:tc>
        <w:tc>
          <w:tcPr>
            <w:tcW w:w="726" w:type="pct"/>
          </w:tcPr>
          <w:p w14:paraId="1B74ABE3" w14:textId="36E56FA0" w:rsidR="00910D5A" w:rsidRPr="00910B42" w:rsidRDefault="002D5403" w:rsidP="00F04347">
            <w:pPr>
              <w:pStyle w:val="Tabletext"/>
            </w:pPr>
            <w:r>
              <w:t>Yes</w:t>
            </w:r>
          </w:p>
        </w:tc>
        <w:tc>
          <w:tcPr>
            <w:tcW w:w="730" w:type="pct"/>
          </w:tcPr>
          <w:p w14:paraId="65F2ED0B" w14:textId="6FA3C229" w:rsidR="00910D5A" w:rsidRPr="00910B42" w:rsidRDefault="002D5403" w:rsidP="00F04347">
            <w:pPr>
              <w:pStyle w:val="Tabletext"/>
            </w:pPr>
            <w:r>
              <w:t>Yes</w:t>
            </w:r>
          </w:p>
        </w:tc>
        <w:tc>
          <w:tcPr>
            <w:tcW w:w="726" w:type="pct"/>
          </w:tcPr>
          <w:p w14:paraId="337CA713" w14:textId="11FA6EBB" w:rsidR="00910D5A" w:rsidRPr="00910B42" w:rsidRDefault="002D5403" w:rsidP="00F04347">
            <w:pPr>
              <w:pStyle w:val="Tabletext"/>
            </w:pPr>
            <w:r>
              <w:t>No</w:t>
            </w:r>
          </w:p>
        </w:tc>
        <w:tc>
          <w:tcPr>
            <w:tcW w:w="729" w:type="pct"/>
          </w:tcPr>
          <w:p w14:paraId="502242D7" w14:textId="7E78FE72" w:rsidR="00910D5A" w:rsidRPr="00910B42" w:rsidRDefault="002D5403" w:rsidP="00F04347">
            <w:pPr>
              <w:pStyle w:val="Tabletext"/>
            </w:pPr>
            <w:r>
              <w:t>Yes</w:t>
            </w:r>
          </w:p>
        </w:tc>
      </w:tr>
      <w:tr w:rsidR="00286836" w:rsidRPr="00910B42" w14:paraId="7E7D9F54" w14:textId="77777777" w:rsidTr="006A76E9">
        <w:trPr>
          <w:trHeight w:val="382"/>
        </w:trPr>
        <w:tc>
          <w:tcPr>
            <w:tcW w:w="2089" w:type="pct"/>
            <w:tcBorders>
              <w:top w:val="single" w:sz="4" w:space="0" w:color="auto"/>
              <w:left w:val="single" w:sz="4" w:space="0" w:color="auto"/>
              <w:bottom w:val="single" w:sz="4" w:space="0" w:color="auto"/>
              <w:right w:val="single" w:sz="4" w:space="0" w:color="auto"/>
            </w:tcBorders>
            <w:shd w:val="clear" w:color="auto" w:fill="auto"/>
          </w:tcPr>
          <w:p w14:paraId="42351FE3" w14:textId="1601F678" w:rsidR="00286836" w:rsidRPr="00286836" w:rsidRDefault="00286836" w:rsidP="00F04347">
            <w:pPr>
              <w:pStyle w:val="Tabletext"/>
            </w:pPr>
            <w:r w:rsidRPr="00286836">
              <w:t>Quality of life questionnaires</w:t>
            </w:r>
          </w:p>
        </w:tc>
        <w:tc>
          <w:tcPr>
            <w:tcW w:w="726" w:type="pct"/>
            <w:tcBorders>
              <w:bottom w:val="single" w:sz="4" w:space="0" w:color="auto"/>
            </w:tcBorders>
          </w:tcPr>
          <w:p w14:paraId="0B150D9A" w14:textId="104ADBD7" w:rsidR="00286836" w:rsidRPr="00910B42" w:rsidRDefault="002D5403" w:rsidP="00F04347">
            <w:pPr>
              <w:pStyle w:val="Tabletext"/>
            </w:pPr>
            <w:r>
              <w:t>No</w:t>
            </w:r>
          </w:p>
        </w:tc>
        <w:tc>
          <w:tcPr>
            <w:tcW w:w="730" w:type="pct"/>
            <w:tcBorders>
              <w:bottom w:val="single" w:sz="4" w:space="0" w:color="auto"/>
            </w:tcBorders>
          </w:tcPr>
          <w:p w14:paraId="41B78105" w14:textId="17E2B948" w:rsidR="00286836" w:rsidRPr="00910B42" w:rsidRDefault="002D5403" w:rsidP="00F04347">
            <w:pPr>
              <w:pStyle w:val="Tabletext"/>
            </w:pPr>
            <w:r>
              <w:t>No</w:t>
            </w:r>
          </w:p>
        </w:tc>
        <w:tc>
          <w:tcPr>
            <w:tcW w:w="726" w:type="pct"/>
            <w:tcBorders>
              <w:bottom w:val="single" w:sz="4" w:space="0" w:color="auto"/>
            </w:tcBorders>
          </w:tcPr>
          <w:p w14:paraId="37DD7FDF" w14:textId="1C6EA486" w:rsidR="00286836" w:rsidRPr="00910B42" w:rsidRDefault="002D5403" w:rsidP="00F04347">
            <w:pPr>
              <w:pStyle w:val="Tabletext"/>
            </w:pPr>
            <w:r>
              <w:t>No</w:t>
            </w:r>
          </w:p>
        </w:tc>
        <w:tc>
          <w:tcPr>
            <w:tcW w:w="729" w:type="pct"/>
            <w:tcBorders>
              <w:bottom w:val="single" w:sz="4" w:space="0" w:color="auto"/>
            </w:tcBorders>
          </w:tcPr>
          <w:p w14:paraId="477F6CCC" w14:textId="3205B78C" w:rsidR="00286836" w:rsidRPr="00910B42" w:rsidRDefault="002D5403" w:rsidP="00F04347">
            <w:pPr>
              <w:pStyle w:val="Tabletext"/>
            </w:pPr>
            <w:r>
              <w:t>No</w:t>
            </w:r>
          </w:p>
        </w:tc>
      </w:tr>
    </w:tbl>
    <w:p w14:paraId="3D6C37A9" w14:textId="1890DA95" w:rsidR="006A76E9" w:rsidRDefault="006A76E9" w:rsidP="006A76E9">
      <w:pPr>
        <w:pStyle w:val="Heading3"/>
      </w:pPr>
      <w:bookmarkStart w:id="118" w:name="_Toc404587491"/>
      <w:r>
        <w:t>Participation in clinical trials/research</w:t>
      </w:r>
    </w:p>
    <w:p w14:paraId="5817DA99" w14:textId="2249E785" w:rsidR="006A76E9" w:rsidRDefault="006A76E9" w:rsidP="006A76E9">
      <w:pPr>
        <w:pStyle w:val="Paragraph"/>
      </w:pPr>
      <w:r>
        <w:t>This suggestion has not been progressed. Increasing the opportunities for patients and the public to participate in research is within the remit of the National Institute for Health Research.</w:t>
      </w:r>
    </w:p>
    <w:p w14:paraId="08439B8F" w14:textId="1F3B9806" w:rsidR="006A76E9" w:rsidRDefault="006A76E9" w:rsidP="00722744">
      <w:pPr>
        <w:pStyle w:val="Heading3"/>
      </w:pPr>
      <w:r>
        <w:t>End of life care</w:t>
      </w:r>
    </w:p>
    <w:p w14:paraId="4C43F313" w14:textId="3B859436" w:rsidR="00722744" w:rsidRDefault="00722744" w:rsidP="006A76E9">
      <w:pPr>
        <w:pStyle w:val="Paragraph"/>
      </w:pPr>
      <w:r>
        <w:t>End of life care including advance care planning</w:t>
      </w:r>
      <w:r w:rsidRPr="00722744">
        <w:t xml:space="preserve"> </w:t>
      </w:r>
      <w:r>
        <w:t xml:space="preserve">for people with brain tumours </w:t>
      </w:r>
      <w:r w:rsidRPr="00722744">
        <w:t xml:space="preserve">was suggested as an area of quality improvement. This suggestion has not been progressed within this quality standard. </w:t>
      </w:r>
      <w:r>
        <w:t xml:space="preserve">There is an existing </w:t>
      </w:r>
      <w:r w:rsidRPr="00722744">
        <w:t xml:space="preserve">quality standard on </w:t>
      </w:r>
      <w:r w:rsidR="00B06230">
        <w:t>end-of-life</w:t>
      </w:r>
      <w:r>
        <w:t xml:space="preserve"> care</w:t>
      </w:r>
      <w:r w:rsidRPr="00722744">
        <w:t xml:space="preserve"> </w:t>
      </w:r>
      <w:r>
        <w:t xml:space="preserve">and an update is expected </w:t>
      </w:r>
      <w:r w:rsidRPr="00722744">
        <w:t>to publish in September 20</w:t>
      </w:r>
      <w:r>
        <w:t>21</w:t>
      </w:r>
      <w:r w:rsidRPr="00722744">
        <w:t>.</w:t>
      </w:r>
    </w:p>
    <w:p w14:paraId="757935A2" w14:textId="316BEB84" w:rsidR="00722744" w:rsidRPr="0001780A" w:rsidRDefault="0001780A" w:rsidP="006A76E9">
      <w:pPr>
        <w:pStyle w:val="Paragraph"/>
        <w:rPr>
          <w:rFonts w:cs="Arial"/>
          <w:b/>
          <w:bCs/>
          <w:sz w:val="26"/>
        </w:rPr>
      </w:pPr>
      <w:r w:rsidRPr="0001780A">
        <w:rPr>
          <w:rFonts w:cs="Arial"/>
          <w:b/>
          <w:bCs/>
          <w:sz w:val="26"/>
        </w:rPr>
        <w:t>Employment support</w:t>
      </w:r>
    </w:p>
    <w:p w14:paraId="1436F2EF" w14:textId="4AE07859" w:rsidR="0001780A" w:rsidRDefault="0001780A" w:rsidP="006A76E9">
      <w:pPr>
        <w:pStyle w:val="Paragraph"/>
      </w:pPr>
      <w:r>
        <w:t>Support for r</w:t>
      </w:r>
      <w:r w:rsidRPr="0001780A">
        <w:t>et</w:t>
      </w:r>
      <w:r>
        <w:t xml:space="preserve">urning to work after treatment with new disabilities for people with brain tumours was suggested as an area for quality improvement. </w:t>
      </w:r>
      <w:r w:rsidRPr="0001780A">
        <w:t xml:space="preserve">This suggestion has not been progressed within this quality standard. </w:t>
      </w:r>
      <w:r>
        <w:t xml:space="preserve">A </w:t>
      </w:r>
      <w:r w:rsidRPr="0001780A">
        <w:t xml:space="preserve">quality standard on </w:t>
      </w:r>
      <w:r>
        <w:t>w</w:t>
      </w:r>
      <w:r w:rsidRPr="0001780A">
        <w:t>orkplace health: long-term sickness absence and capability to work</w:t>
      </w:r>
      <w:r>
        <w:t xml:space="preserve"> </w:t>
      </w:r>
      <w:r w:rsidRPr="0001780A">
        <w:t xml:space="preserve">is </w:t>
      </w:r>
      <w:r>
        <w:t xml:space="preserve">in development and is </w:t>
      </w:r>
      <w:r w:rsidRPr="0001780A">
        <w:t>expected to publish in September 2021.</w:t>
      </w:r>
    </w:p>
    <w:p w14:paraId="2075D13E" w14:textId="34F92CC6" w:rsidR="0001780A" w:rsidRDefault="0001780A" w:rsidP="0001780A">
      <w:pPr>
        <w:pStyle w:val="Heading3"/>
      </w:pPr>
      <w:r>
        <w:t>Quality of life questionnaires</w:t>
      </w:r>
    </w:p>
    <w:p w14:paraId="563788D0" w14:textId="27E716A1" w:rsidR="0001780A" w:rsidRPr="0001780A" w:rsidRDefault="00A50CCB" w:rsidP="006A76E9">
      <w:pPr>
        <w:pStyle w:val="Paragraph"/>
      </w:pPr>
      <w:r>
        <w:t>It was suggested that s</w:t>
      </w:r>
      <w:r w:rsidRPr="00A50CCB">
        <w:t xml:space="preserve">pecific Quality of Life questionnaires for brain tumour patients </w:t>
      </w:r>
      <w:r>
        <w:t>are</w:t>
      </w:r>
      <w:r w:rsidRPr="00A50CCB">
        <w:t xml:space="preserve"> required to enable accurate data collection</w:t>
      </w:r>
      <w:r>
        <w:t>.</w:t>
      </w:r>
      <w:r w:rsidRPr="00A50CCB">
        <w:t xml:space="preserve"> This suggestion has not been progressed. Quality statements focus on actions that demonstrate high quality care or support, not the methods by which </w:t>
      </w:r>
      <w:r>
        <w:t>data</w:t>
      </w:r>
      <w:r w:rsidRPr="00A50CCB">
        <w:t xml:space="preserve"> is collated. However, suggested methods of data collection may be referred to in the data sources for quality measures.</w:t>
      </w:r>
    </w:p>
    <w:bookmarkEnd w:id="118"/>
    <w:p w14:paraId="1DF2DDB6" w14:textId="77777777" w:rsidR="00E9784F" w:rsidRPr="00A813F7" w:rsidRDefault="00E9784F" w:rsidP="00A813F7">
      <w:pPr>
        <w:pStyle w:val="Paragraph"/>
      </w:pPr>
    </w:p>
    <w:p w14:paraId="093051F5" w14:textId="3DA58AB6" w:rsidR="008D5584" w:rsidRPr="00E80EE3" w:rsidRDefault="008D5584" w:rsidP="00A813F7">
      <w:pPr>
        <w:pStyle w:val="Paragraph"/>
      </w:pPr>
      <w:r w:rsidRPr="00A813F7">
        <w:t xml:space="preserve">© NICE </w:t>
      </w:r>
      <w:r w:rsidR="00A50CCB">
        <w:t>2021</w:t>
      </w:r>
      <w:r w:rsidRPr="00A813F7">
        <w:t xml:space="preserve">. All rights reserved. </w:t>
      </w:r>
      <w:r w:rsidR="008A5E6E" w:rsidRPr="00A813F7">
        <w:t xml:space="preserve">Subject to </w:t>
      </w:r>
      <w:hyperlink r:id="rId38" w:anchor="notice-of-rights" w:history="1">
        <w:r w:rsidR="008A5E6E">
          <w:rPr>
            <w:rStyle w:val="Hyperlink"/>
            <w:rFonts w:cs="Arial"/>
          </w:rPr>
          <w:t>Notice of rights</w:t>
        </w:r>
      </w:hyperlink>
      <w:r w:rsidRPr="00A813F7">
        <w:t>.</w:t>
      </w:r>
    </w:p>
    <w:p w14:paraId="1DC4D862" w14:textId="7E3CCBA3" w:rsidR="00F20713" w:rsidRDefault="000E401D" w:rsidP="001173A9">
      <w:pPr>
        <w:pStyle w:val="Heading1"/>
      </w:pPr>
      <w:bookmarkStart w:id="119" w:name="_Appendix_1:_Additional"/>
      <w:bookmarkStart w:id="120" w:name="_Appendix_1:_Brain"/>
      <w:bookmarkEnd w:id="119"/>
      <w:bookmarkEnd w:id="120"/>
      <w:r>
        <w:br w:type="page"/>
      </w:r>
      <w:bookmarkStart w:id="121" w:name="_Toc78371509"/>
      <w:r w:rsidR="00F20713" w:rsidRPr="00F20713">
        <w:t>Appendix 1</w:t>
      </w:r>
      <w:r w:rsidR="0001392D">
        <w:t xml:space="preserve">: </w:t>
      </w:r>
      <w:r w:rsidR="001173A9">
        <w:t>Brain tumours (primary) and brain metastases: management options for people with newly diagnosed grade IV glioma (glioblastoma)</w:t>
      </w:r>
      <w:bookmarkEnd w:id="121"/>
    </w:p>
    <w:p w14:paraId="6956460C" w14:textId="614811C5" w:rsidR="00E93405" w:rsidRDefault="00D90C8C">
      <w:pPr>
        <w:rPr>
          <w:rFonts w:ascii="Arial" w:hAnsi="Arial" w:cs="Arial"/>
          <w:b/>
          <w:bCs/>
          <w:kern w:val="32"/>
          <w:sz w:val="32"/>
          <w:szCs w:val="32"/>
        </w:rPr>
      </w:pPr>
      <w:r>
        <w:rPr>
          <w:noProof/>
        </w:rPr>
        <w:drawing>
          <wp:inline distT="0" distB="0" distL="0" distR="0" wp14:anchorId="18078FE9" wp14:editId="7EC963F0">
            <wp:extent cx="6296660" cy="402907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6982" cy="4029281"/>
                    </a:xfrm>
                    <a:prstGeom prst="rect">
                      <a:avLst/>
                    </a:prstGeom>
                    <a:noFill/>
                    <a:ln>
                      <a:noFill/>
                    </a:ln>
                  </pic:spPr>
                </pic:pic>
              </a:graphicData>
            </a:graphic>
          </wp:inline>
        </w:drawing>
      </w:r>
      <w:r w:rsidR="00E93405">
        <w:br w:type="page"/>
      </w:r>
    </w:p>
    <w:p w14:paraId="1F0856EF" w14:textId="77777777" w:rsidR="00F85801" w:rsidRDefault="00F85801" w:rsidP="00FC11EC">
      <w:pPr>
        <w:pStyle w:val="Heading1"/>
        <w:sectPr w:rsidR="00F85801" w:rsidSect="002C0C14">
          <w:footerReference w:type="default" r:id="rId40"/>
          <w:footerReference w:type="first" r:id="rId41"/>
          <w:pgSz w:w="11906" w:h="16838"/>
          <w:pgMar w:top="1080" w:right="1440" w:bottom="1080" w:left="1440" w:header="708" w:footer="708" w:gutter="0"/>
          <w:cols w:space="708"/>
          <w:titlePg/>
          <w:docGrid w:linePitch="360"/>
        </w:sectPr>
      </w:pPr>
    </w:p>
    <w:p w14:paraId="07032985" w14:textId="173DB7FC" w:rsidR="002C296A" w:rsidRDefault="005C6F10" w:rsidP="00FC11EC">
      <w:pPr>
        <w:pStyle w:val="Heading1"/>
      </w:pPr>
      <w:bookmarkStart w:id="122" w:name="_Toc78371510"/>
      <w:r w:rsidRPr="00FC11EC">
        <w:t xml:space="preserve">Appendix </w:t>
      </w:r>
      <w:r w:rsidR="007D58AD">
        <w:t>2</w:t>
      </w:r>
      <w:r w:rsidR="00603263">
        <w:t xml:space="preserve">: </w:t>
      </w:r>
      <w:r w:rsidR="002C296A" w:rsidRPr="00FC11EC">
        <w:t xml:space="preserve">Suggestions from </w:t>
      </w:r>
      <w:r w:rsidR="00626943">
        <w:t>registered stakeholders</w:t>
      </w:r>
      <w:bookmarkEnd w:id="122"/>
    </w:p>
    <w:tbl>
      <w:tblPr>
        <w:tblW w:w="1502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675"/>
        <w:gridCol w:w="1701"/>
        <w:gridCol w:w="1701"/>
        <w:gridCol w:w="4678"/>
        <w:gridCol w:w="3119"/>
        <w:gridCol w:w="3151"/>
      </w:tblGrid>
      <w:tr w:rsidR="00DC3C60" w:rsidRPr="00DC3C60" w14:paraId="34280DC0" w14:textId="77777777" w:rsidTr="003635EE">
        <w:trPr>
          <w:tblHeader/>
        </w:trPr>
        <w:tc>
          <w:tcPr>
            <w:tcW w:w="675" w:type="dxa"/>
            <w:shd w:val="clear" w:color="auto" w:fill="E6E6E6"/>
          </w:tcPr>
          <w:p w14:paraId="59421C80" w14:textId="61D8B6E7" w:rsidR="00DC3C60" w:rsidRPr="00DC3C60" w:rsidRDefault="00DC3C60" w:rsidP="00DC3C60">
            <w:pPr>
              <w:keepNext/>
              <w:outlineLvl w:val="3"/>
              <w:rPr>
                <w:rFonts w:ascii="Arial" w:hAnsi="Arial" w:cs="Arial"/>
                <w:b/>
                <w:bCs/>
                <w:sz w:val="18"/>
                <w:szCs w:val="18"/>
              </w:rPr>
            </w:pPr>
            <w:r>
              <w:rPr>
                <w:rFonts w:ascii="Arial" w:hAnsi="Arial" w:cs="Arial"/>
                <w:b/>
                <w:bCs/>
                <w:sz w:val="18"/>
                <w:szCs w:val="18"/>
              </w:rPr>
              <w:t>ID</w:t>
            </w:r>
          </w:p>
        </w:tc>
        <w:tc>
          <w:tcPr>
            <w:tcW w:w="1701" w:type="dxa"/>
            <w:shd w:val="clear" w:color="auto" w:fill="E6E6E6"/>
          </w:tcPr>
          <w:p w14:paraId="584C4BA4" w14:textId="77777777" w:rsidR="00DC3C60" w:rsidRPr="00DC3C60" w:rsidRDefault="00DC3C60" w:rsidP="00DC3C60">
            <w:pPr>
              <w:keepNext/>
              <w:outlineLvl w:val="3"/>
              <w:rPr>
                <w:rFonts w:ascii="Arial" w:hAnsi="Arial" w:cs="Arial"/>
                <w:b/>
                <w:bCs/>
                <w:sz w:val="18"/>
                <w:szCs w:val="18"/>
              </w:rPr>
            </w:pPr>
            <w:r w:rsidRPr="00DC3C60">
              <w:rPr>
                <w:rFonts w:ascii="Arial" w:hAnsi="Arial" w:cs="Arial"/>
                <w:b/>
                <w:bCs/>
                <w:sz w:val="18"/>
                <w:szCs w:val="18"/>
              </w:rPr>
              <w:t>Stakeholder</w:t>
            </w:r>
          </w:p>
        </w:tc>
        <w:tc>
          <w:tcPr>
            <w:tcW w:w="1701" w:type="dxa"/>
            <w:shd w:val="clear" w:color="auto" w:fill="E6E6E6"/>
          </w:tcPr>
          <w:p w14:paraId="01FEB710" w14:textId="2D6651ED" w:rsidR="00DC3C60" w:rsidRPr="00DC3C60" w:rsidRDefault="00DC3C60" w:rsidP="00DC3C60">
            <w:pPr>
              <w:keepNext/>
              <w:outlineLvl w:val="3"/>
              <w:rPr>
                <w:rFonts w:ascii="Arial" w:hAnsi="Arial" w:cs="Arial"/>
                <w:b/>
                <w:bCs/>
                <w:sz w:val="18"/>
                <w:szCs w:val="18"/>
              </w:rPr>
            </w:pPr>
            <w:r>
              <w:rPr>
                <w:rFonts w:ascii="Arial" w:hAnsi="Arial" w:cs="Arial"/>
                <w:b/>
                <w:bCs/>
                <w:sz w:val="18"/>
                <w:szCs w:val="18"/>
              </w:rPr>
              <w:t>Suggested k</w:t>
            </w:r>
            <w:r w:rsidRPr="00DC3C60">
              <w:rPr>
                <w:rFonts w:ascii="Arial" w:hAnsi="Arial" w:cs="Arial"/>
                <w:b/>
                <w:bCs/>
                <w:sz w:val="18"/>
                <w:szCs w:val="18"/>
              </w:rPr>
              <w:t>ey area for quality improvement</w:t>
            </w:r>
          </w:p>
        </w:tc>
        <w:tc>
          <w:tcPr>
            <w:tcW w:w="4678" w:type="dxa"/>
            <w:shd w:val="clear" w:color="auto" w:fill="E6E6E6"/>
          </w:tcPr>
          <w:p w14:paraId="23C1842E" w14:textId="77777777" w:rsidR="00DC3C60" w:rsidRPr="00DC3C60" w:rsidRDefault="00DC3C60" w:rsidP="00DC3C60">
            <w:pPr>
              <w:keepNext/>
              <w:outlineLvl w:val="0"/>
              <w:rPr>
                <w:rFonts w:ascii="Arial" w:hAnsi="Arial" w:cs="Arial"/>
                <w:b/>
                <w:bCs/>
                <w:sz w:val="18"/>
                <w:szCs w:val="18"/>
              </w:rPr>
            </w:pPr>
            <w:bookmarkStart w:id="123" w:name="_Toc73111514"/>
            <w:bookmarkStart w:id="124" w:name="_Toc78371511"/>
            <w:r w:rsidRPr="00DC3C60">
              <w:rPr>
                <w:rFonts w:ascii="Arial" w:hAnsi="Arial" w:cs="Arial"/>
                <w:b/>
                <w:bCs/>
                <w:sz w:val="18"/>
                <w:szCs w:val="18"/>
              </w:rPr>
              <w:t>Why is this important?</w:t>
            </w:r>
            <w:bookmarkEnd w:id="123"/>
            <w:bookmarkEnd w:id="124"/>
          </w:p>
        </w:tc>
        <w:tc>
          <w:tcPr>
            <w:tcW w:w="3119" w:type="dxa"/>
            <w:shd w:val="clear" w:color="auto" w:fill="E6E6E6"/>
          </w:tcPr>
          <w:p w14:paraId="51F8A85C" w14:textId="77777777" w:rsidR="00DC3C60" w:rsidRPr="00DC3C60" w:rsidRDefault="00DC3C60" w:rsidP="00DC3C60">
            <w:pPr>
              <w:keepNext/>
              <w:outlineLvl w:val="0"/>
              <w:rPr>
                <w:rFonts w:ascii="Arial" w:hAnsi="Arial" w:cs="Arial"/>
                <w:b/>
                <w:bCs/>
                <w:sz w:val="18"/>
                <w:szCs w:val="18"/>
              </w:rPr>
            </w:pPr>
            <w:bookmarkStart w:id="125" w:name="_Toc73111515"/>
            <w:bookmarkStart w:id="126" w:name="_Toc78371512"/>
            <w:r w:rsidRPr="00DC3C60">
              <w:rPr>
                <w:rFonts w:ascii="Arial" w:hAnsi="Arial" w:cs="Arial"/>
                <w:b/>
                <w:bCs/>
                <w:sz w:val="18"/>
                <w:szCs w:val="18"/>
              </w:rPr>
              <w:t>Why is this a key area for quality improvement?</w:t>
            </w:r>
            <w:bookmarkEnd w:id="125"/>
            <w:bookmarkEnd w:id="126"/>
          </w:p>
        </w:tc>
        <w:tc>
          <w:tcPr>
            <w:tcW w:w="3151" w:type="dxa"/>
            <w:shd w:val="clear" w:color="auto" w:fill="E6E6E6"/>
          </w:tcPr>
          <w:p w14:paraId="4B5FC57C" w14:textId="77777777" w:rsidR="00DC3C60" w:rsidRPr="00DC3C60" w:rsidRDefault="00DC3C60" w:rsidP="00DC3C60">
            <w:pPr>
              <w:rPr>
                <w:rFonts w:ascii="Arial" w:hAnsi="Arial" w:cs="Arial"/>
                <w:b/>
                <w:sz w:val="18"/>
                <w:szCs w:val="18"/>
              </w:rPr>
            </w:pPr>
            <w:r w:rsidRPr="00DC3C60">
              <w:rPr>
                <w:rFonts w:ascii="Arial" w:hAnsi="Arial" w:cs="Arial"/>
                <w:b/>
                <w:sz w:val="18"/>
                <w:szCs w:val="18"/>
              </w:rPr>
              <w:t>Supporting information</w:t>
            </w:r>
          </w:p>
        </w:tc>
      </w:tr>
      <w:tr w:rsidR="00DC3C60" w:rsidRPr="00DC3C60" w14:paraId="5B6692E0" w14:textId="77777777" w:rsidTr="003635EE">
        <w:trPr>
          <w:trHeight w:val="282"/>
        </w:trPr>
        <w:tc>
          <w:tcPr>
            <w:tcW w:w="15025" w:type="dxa"/>
            <w:gridSpan w:val="6"/>
          </w:tcPr>
          <w:p w14:paraId="7FA44135" w14:textId="77777777" w:rsidR="00DC3C60" w:rsidRPr="00DC3C60" w:rsidRDefault="00DC3C60" w:rsidP="00DC3C60">
            <w:pPr>
              <w:contextualSpacing/>
              <w:rPr>
                <w:rFonts w:ascii="Arial" w:hAnsi="Arial" w:cs="Arial"/>
                <w:b/>
                <w:bCs/>
                <w:sz w:val="18"/>
                <w:szCs w:val="18"/>
                <w:lang w:eastAsia="en-GB"/>
              </w:rPr>
            </w:pPr>
            <w:r w:rsidRPr="00DC3C60">
              <w:rPr>
                <w:rFonts w:ascii="Arial" w:hAnsi="Arial" w:cs="Arial"/>
                <w:b/>
                <w:bCs/>
                <w:sz w:val="18"/>
                <w:szCs w:val="18"/>
                <w:lang w:eastAsia="en-GB"/>
              </w:rPr>
              <w:t>Investigations- Rapid access to MRI</w:t>
            </w:r>
          </w:p>
        </w:tc>
      </w:tr>
      <w:tr w:rsidR="00DC3C60" w:rsidRPr="00DC3C60" w14:paraId="6F00DFB4" w14:textId="77777777" w:rsidTr="003635EE">
        <w:trPr>
          <w:trHeight w:val="282"/>
        </w:trPr>
        <w:tc>
          <w:tcPr>
            <w:tcW w:w="675" w:type="dxa"/>
          </w:tcPr>
          <w:p w14:paraId="091D88B3" w14:textId="227CF796" w:rsidR="00DC3C60" w:rsidRPr="00DC3C60" w:rsidRDefault="00DC3C60" w:rsidP="00DC3C60">
            <w:pPr>
              <w:rPr>
                <w:rFonts w:ascii="Arial" w:hAnsi="Arial" w:cs="Arial"/>
                <w:sz w:val="18"/>
                <w:szCs w:val="18"/>
                <w:lang w:eastAsia="en-GB"/>
              </w:rPr>
            </w:pPr>
            <w:r>
              <w:rPr>
                <w:rFonts w:ascii="Arial" w:hAnsi="Arial" w:cs="Arial"/>
                <w:sz w:val="18"/>
                <w:szCs w:val="18"/>
                <w:lang w:eastAsia="en-GB"/>
              </w:rPr>
              <w:t>1</w:t>
            </w:r>
          </w:p>
        </w:tc>
        <w:tc>
          <w:tcPr>
            <w:tcW w:w="1701" w:type="dxa"/>
          </w:tcPr>
          <w:p w14:paraId="4D11EF0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Brain Tumour Research</w:t>
            </w:r>
          </w:p>
        </w:tc>
        <w:tc>
          <w:tcPr>
            <w:tcW w:w="1701" w:type="dxa"/>
          </w:tcPr>
          <w:p w14:paraId="440BBBA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Delay in Diagnosis </w:t>
            </w:r>
          </w:p>
          <w:p w14:paraId="1129F266" w14:textId="77777777" w:rsidR="00DC3C60" w:rsidRPr="00DC3C60" w:rsidRDefault="00DC3C60" w:rsidP="00DC3C60">
            <w:pPr>
              <w:rPr>
                <w:rFonts w:ascii="Arial" w:hAnsi="Arial" w:cs="Arial"/>
                <w:b/>
                <w:sz w:val="22"/>
                <w:lang w:eastAsia="en-GB"/>
              </w:rPr>
            </w:pPr>
          </w:p>
        </w:tc>
        <w:tc>
          <w:tcPr>
            <w:tcW w:w="4678" w:type="dxa"/>
          </w:tcPr>
          <w:p w14:paraId="1144DD8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There is evidence that a higher than expected number of Brain Tumour patients obtain their diagnosis (60-70%) from an emergency scan performed at an ultimate visit to A and E depts. This implies that such tumours are not well investigated in Primary Care and that patients are presenting to A and E late with evolution of symptoms that may prejudice their access to treatment and impact on their survival.</w:t>
            </w:r>
          </w:p>
        </w:tc>
        <w:tc>
          <w:tcPr>
            <w:tcW w:w="3119" w:type="dxa"/>
          </w:tcPr>
          <w:p w14:paraId="19F3D09A" w14:textId="77777777" w:rsidR="00DC3C60" w:rsidRPr="00DC3C60" w:rsidRDefault="00DC3C60" w:rsidP="00DC3C60">
            <w:pPr>
              <w:rPr>
                <w:rFonts w:ascii="Arial" w:hAnsi="Arial" w:cs="Arial"/>
                <w:sz w:val="22"/>
                <w:lang w:eastAsia="en-GB"/>
              </w:rPr>
            </w:pPr>
            <w:r w:rsidRPr="00DC3C60">
              <w:rPr>
                <w:rFonts w:ascii="Arial" w:hAnsi="Arial" w:cs="Arial"/>
                <w:sz w:val="18"/>
                <w:szCs w:val="18"/>
                <w:lang w:eastAsia="en-GB"/>
              </w:rPr>
              <w:t>There is a need for a new quality standard to reduce this delay in referral and hence reduce the negative impact on brain tumour patients and the inappropriate use of A and E services.</w:t>
            </w:r>
          </w:p>
        </w:tc>
        <w:tc>
          <w:tcPr>
            <w:tcW w:w="3151" w:type="dxa"/>
          </w:tcPr>
          <w:p w14:paraId="399652C7"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There is evidence that in the case of malignant high-grade tumours delay in diagnosis can seriously adversely affect timely diagnosis and outcome </w:t>
            </w:r>
          </w:p>
          <w:p w14:paraId="56F263EC"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The Diagnostic pathway in Primary Care for people with brain tumour symptoms was specifically excluded from the NICE guidance on Primary CNS brain tumours and metastases 2018. </w:t>
            </w:r>
            <w:r w:rsidRPr="00DC3C60">
              <w:rPr>
                <w:rFonts w:ascii="Arial" w:hAnsi="Arial" w:cs="Arial"/>
                <w:sz w:val="18"/>
                <w:szCs w:val="18"/>
                <w:lang w:eastAsia="en-GB"/>
              </w:rPr>
              <w:endnoteReference w:id="1"/>
            </w:r>
          </w:p>
          <w:p w14:paraId="2BF04773"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The current quality standard (as here) however implies that the whole clinical pathway maybe considered. </w:t>
            </w:r>
          </w:p>
          <w:p w14:paraId="3BF1E423"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There is evidence that there are a few patients with seizures or stroke like symptoms that present as acute cases to A and E depts as result of a sudden obvious deterioration in their CNS status. ~ 10-15%. Seizure may represent early symptoms. </w:t>
            </w:r>
          </w:p>
          <w:p w14:paraId="49C9F8FE"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Some patients may develop slowly progressing focal CNS symptoms or other non-specific symptoms that do not point to a specific diagnosis. This results in either multiple consultations and/or with more than one doctor leading to delay in referral diagnosis. The evidence that this is indeed the case comes from the very low number of brain tumour patients referred for ‘Two Week Wait’ assessment (9% of 17,000) </w:t>
            </w:r>
            <w:r w:rsidRPr="00DC3C60">
              <w:rPr>
                <w:rFonts w:ascii="Arial" w:hAnsi="Arial" w:cs="Arial"/>
                <w:sz w:val="18"/>
                <w:szCs w:val="18"/>
                <w:lang w:eastAsia="en-GB"/>
              </w:rPr>
              <w:endnoteReference w:id="2"/>
            </w:r>
            <w:r w:rsidRPr="00DC3C60">
              <w:rPr>
                <w:rFonts w:ascii="Arial" w:hAnsi="Arial" w:cs="Arial"/>
                <w:sz w:val="18"/>
                <w:szCs w:val="18"/>
                <w:lang w:eastAsia="en-GB"/>
              </w:rPr>
              <w:t xml:space="preserve"> Notably 44% of patient with cancer were included in the safety netting process of which a high proportion were those with brain tumours. However, this Primary Care study was insensitive to those patients whose primary symptom was unclassified, who had multiple visits and who ultimately self – referred to A and E. </w:t>
            </w:r>
          </w:p>
          <w:p w14:paraId="6461FFCA"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Relatively few patients develop headaches as their presenting symptom but more commonly as a late symptom indicating that the disease has grown to cause raised intracranial pressure. This is thus a late – too delayed symptom that impacts on the patient’s treatment.</w:t>
            </w:r>
          </w:p>
          <w:p w14:paraId="1E9EC838"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There is evidence that that funding for early cancer diagnosis especially where this requires MRI imaging (NICE 2018) is variable in the UK with CCT’s actively limiting budgets for such diagnostic procedures despite the NICE suspected Cancer advice to allow a change from a 5% diagnostic threshold to a 2% threshold.</w:t>
            </w:r>
          </w:p>
          <w:p w14:paraId="4C73CC08"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In addition, the existing guidelines to GP’s are unwieldy and complex (NICE Suspected Cancer: CNS. </w:t>
            </w:r>
            <w:r w:rsidRPr="00DC3C60">
              <w:rPr>
                <w:rFonts w:ascii="Arial" w:hAnsi="Arial" w:cs="Arial"/>
                <w:sz w:val="18"/>
                <w:szCs w:val="18"/>
                <w:lang w:eastAsia="en-GB"/>
              </w:rPr>
              <w:endnoteReference w:id="3"/>
            </w:r>
          </w:p>
          <w:p w14:paraId="116737E2" w14:textId="787BD9C6"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A new set of guidelines is required to help GP’s select patients for early imaging. One suggestion would be </w:t>
            </w:r>
            <w:r w:rsidR="0048142E">
              <w:rPr>
                <w:rFonts w:ascii="Arial" w:hAnsi="Arial" w:cs="Arial"/>
                <w:sz w:val="18"/>
                <w:szCs w:val="18"/>
                <w:lang w:eastAsia="en-GB"/>
              </w:rPr>
              <w:t>“</w:t>
            </w:r>
            <w:r w:rsidRPr="00DC3C60">
              <w:rPr>
                <w:rFonts w:ascii="Arial" w:hAnsi="Arial" w:cs="Arial"/>
                <w:sz w:val="18"/>
                <w:szCs w:val="18"/>
                <w:lang w:eastAsia="en-GB"/>
              </w:rPr>
              <w:t>a patient with more than one CNS symptom lasting longer than one week should have an MRI of the head within two weeks” This would form a useful and practical tool to identify a new quality standard for primary care diagnosis and should be considered. (Reference ii uses the measure DI as the time from first symptom to the diagnosis of cancer being given to the patient.)</w:t>
            </w:r>
          </w:p>
          <w:p w14:paraId="3FD79EEF" w14:textId="77777777" w:rsidR="00DC3C60" w:rsidRPr="00DC3C60" w:rsidRDefault="00DC3C60" w:rsidP="00DC3C60">
            <w:pPr>
              <w:numPr>
                <w:ilvl w:val="0"/>
                <w:numId w:val="19"/>
              </w:numPr>
              <w:contextualSpacing/>
              <w:rPr>
                <w:rFonts w:ascii="Arial" w:hAnsi="Arial" w:cs="Arial"/>
                <w:sz w:val="18"/>
                <w:szCs w:val="18"/>
                <w:lang w:eastAsia="en-GB"/>
              </w:rPr>
            </w:pPr>
            <w:r w:rsidRPr="00DC3C60">
              <w:rPr>
                <w:rFonts w:ascii="Arial" w:hAnsi="Arial" w:cs="Arial"/>
                <w:sz w:val="18"/>
                <w:szCs w:val="18"/>
                <w:lang w:eastAsia="en-GB"/>
              </w:rPr>
              <w:t xml:space="preserve">It is noted that the most recent Quality Standards on Suspected CNS disorders completely neglects patients with brain tumours </w:t>
            </w:r>
            <w:r w:rsidRPr="00DC3C60">
              <w:rPr>
                <w:rFonts w:ascii="Arial" w:hAnsi="Arial" w:cs="Arial"/>
                <w:sz w:val="18"/>
                <w:szCs w:val="18"/>
                <w:lang w:eastAsia="en-GB"/>
              </w:rPr>
              <w:endnoteReference w:id="4"/>
            </w:r>
          </w:p>
          <w:p w14:paraId="68AA884A" w14:textId="77777777" w:rsidR="00DC3C60" w:rsidRPr="00DC3C60" w:rsidRDefault="00DC3C60" w:rsidP="00DC3C60">
            <w:pPr>
              <w:spacing w:line="360" w:lineRule="auto"/>
              <w:ind w:left="284" w:hanging="284"/>
              <w:rPr>
                <w:rFonts w:ascii="Arial" w:hAnsi="Arial" w:cs="Arial"/>
                <w:sz w:val="18"/>
                <w:szCs w:val="18"/>
                <w:lang w:eastAsia="en-GB"/>
              </w:rPr>
            </w:pPr>
            <w:r w:rsidRPr="00DC3C60">
              <w:rPr>
                <w:rFonts w:ascii="Arial" w:hAnsi="Arial" w:cs="Arial"/>
                <w:sz w:val="18"/>
                <w:szCs w:val="18"/>
                <w:lang w:eastAsia="en-GB"/>
              </w:rPr>
              <w:footnoteRef/>
            </w:r>
            <w:r w:rsidRPr="00DC3C60">
              <w:rPr>
                <w:rFonts w:ascii="Arial" w:hAnsi="Arial" w:cs="Arial"/>
                <w:sz w:val="18"/>
                <w:szCs w:val="18"/>
                <w:lang w:eastAsia="en-GB"/>
              </w:rPr>
              <w:t xml:space="preserve"> </w:t>
            </w:r>
            <w:hyperlink r:id="rId42" w:history="1">
              <w:r w:rsidRPr="00DC3C60">
                <w:rPr>
                  <w:rFonts w:ascii="Arial" w:hAnsi="Arial" w:cs="Arial"/>
                  <w:sz w:val="18"/>
                  <w:szCs w:val="18"/>
                  <w:lang w:eastAsia="en-GB"/>
                </w:rPr>
                <w:t>Brain tumours (primary) and brain metastases in adults</w:t>
              </w:r>
            </w:hyperlink>
            <w:r w:rsidRPr="00DC3C60">
              <w:rPr>
                <w:rFonts w:ascii="Arial" w:hAnsi="Arial" w:cs="Arial"/>
                <w:sz w:val="18"/>
                <w:szCs w:val="18"/>
                <w:lang w:eastAsia="en-GB"/>
              </w:rPr>
              <w:t xml:space="preserve"> (2018) NICE guideline NG99</w:t>
            </w:r>
          </w:p>
          <w:p w14:paraId="713B5C2A" w14:textId="77777777" w:rsidR="00DC3C60" w:rsidRPr="00DC3C60" w:rsidRDefault="00DC3C60" w:rsidP="00DC3C60">
            <w:pPr>
              <w:numPr>
                <w:ilvl w:val="0"/>
                <w:numId w:val="18"/>
              </w:numPr>
              <w:ind w:left="0" w:firstLine="0"/>
              <w:rPr>
                <w:rFonts w:ascii="Arial" w:hAnsi="Arial" w:cs="Arial"/>
                <w:sz w:val="18"/>
                <w:szCs w:val="18"/>
                <w:lang w:eastAsia="en-GB"/>
              </w:rPr>
            </w:pPr>
            <w:r w:rsidRPr="00DC3C60">
              <w:rPr>
                <w:rFonts w:ascii="Arial" w:hAnsi="Arial" w:cs="Arial"/>
                <w:sz w:val="18"/>
                <w:szCs w:val="18"/>
                <w:lang w:eastAsia="en-GB"/>
              </w:rPr>
              <w:footnoteRef/>
            </w:r>
            <w:r w:rsidRPr="00DC3C60">
              <w:rPr>
                <w:rFonts w:ascii="Arial" w:hAnsi="Arial" w:cs="Arial"/>
                <w:sz w:val="18"/>
                <w:szCs w:val="18"/>
                <w:lang w:eastAsia="en-GB"/>
              </w:rPr>
              <w:t xml:space="preserve"> British Journal of General Practice (2018) </w:t>
            </w:r>
            <w:hyperlink r:id="rId43" w:history="1">
              <w:r w:rsidRPr="00DC3C60">
                <w:rPr>
                  <w:rFonts w:ascii="Arial" w:hAnsi="Arial" w:cs="Arial"/>
                  <w:sz w:val="18"/>
                  <w:szCs w:val="18"/>
                  <w:lang w:eastAsia="en-GB"/>
                </w:rPr>
                <w:t>Diagnosing cancer in primary care: results from the National Cancer Diagnosis Audit</w:t>
              </w:r>
            </w:hyperlink>
          </w:p>
          <w:p w14:paraId="0D4BBCEF" w14:textId="425E724C" w:rsidR="00DC3C60" w:rsidRPr="00DC3C60" w:rsidRDefault="00DC3C60" w:rsidP="0048142E">
            <w:pPr>
              <w:spacing w:after="240" w:line="360" w:lineRule="auto"/>
              <w:rPr>
                <w:rFonts w:ascii="Arial" w:hAnsi="Arial" w:cs="Arial"/>
                <w:sz w:val="18"/>
                <w:szCs w:val="18"/>
                <w:lang w:eastAsia="en-GB"/>
              </w:rPr>
            </w:pPr>
            <w:r w:rsidRPr="00DC3C60">
              <w:rPr>
                <w:rFonts w:ascii="Arial" w:hAnsi="Arial" w:cs="Arial"/>
                <w:sz w:val="18"/>
                <w:szCs w:val="18"/>
                <w:lang w:eastAsia="en-GB"/>
              </w:rPr>
              <w:footnoteRef/>
            </w:r>
            <w:hyperlink r:id="rId44" w:history="1">
              <w:r w:rsidRPr="00DC3C60">
                <w:rPr>
                  <w:rFonts w:ascii="Arial" w:hAnsi="Arial" w:cs="Arial"/>
                  <w:sz w:val="18"/>
                  <w:szCs w:val="18"/>
                  <w:lang w:eastAsia="en-GB"/>
                </w:rPr>
                <w:t>Suspected cancer: recognition and referral</w:t>
              </w:r>
            </w:hyperlink>
            <w:r w:rsidRPr="00DC3C60">
              <w:rPr>
                <w:rFonts w:ascii="Arial" w:hAnsi="Arial" w:cs="Arial"/>
                <w:sz w:val="18"/>
                <w:szCs w:val="18"/>
                <w:lang w:eastAsia="en-GB"/>
              </w:rPr>
              <w:t xml:space="preserve"> (2015, updated 2017) NICE guideline NG12</w:t>
            </w:r>
          </w:p>
          <w:p w14:paraId="2D9BD21A" w14:textId="77777777" w:rsidR="00DC3C60" w:rsidRPr="00DC3C60" w:rsidRDefault="00DC3C60" w:rsidP="00DC3C60">
            <w:pPr>
              <w:spacing w:line="360" w:lineRule="auto"/>
              <w:rPr>
                <w:rFonts w:ascii="Arial" w:hAnsi="Arial" w:cs="Arial"/>
                <w:sz w:val="18"/>
                <w:szCs w:val="18"/>
                <w:lang w:eastAsia="en-GB"/>
              </w:rPr>
            </w:pPr>
            <w:r w:rsidRPr="00DC3C60">
              <w:rPr>
                <w:rFonts w:ascii="Arial" w:hAnsi="Arial" w:cs="Arial"/>
                <w:sz w:val="18"/>
                <w:szCs w:val="18"/>
                <w:lang w:eastAsia="en-GB"/>
              </w:rPr>
              <w:footnoteRef/>
            </w:r>
            <w:r w:rsidRPr="00DC3C60">
              <w:rPr>
                <w:rFonts w:ascii="Arial" w:hAnsi="Arial" w:cs="Arial"/>
                <w:sz w:val="18"/>
                <w:szCs w:val="18"/>
                <w:lang w:eastAsia="en-GB"/>
              </w:rPr>
              <w:t xml:space="preserve"> </w:t>
            </w:r>
            <w:hyperlink r:id="rId45" w:history="1">
              <w:r w:rsidRPr="00DC3C60">
                <w:rPr>
                  <w:rFonts w:ascii="Arial" w:hAnsi="Arial" w:cs="Arial"/>
                  <w:sz w:val="18"/>
                  <w:szCs w:val="18"/>
                  <w:lang w:eastAsia="en-GB"/>
                </w:rPr>
                <w:t>Suspected neurological conditions</w:t>
              </w:r>
            </w:hyperlink>
            <w:r w:rsidRPr="00DC3C60">
              <w:rPr>
                <w:rFonts w:ascii="Arial" w:hAnsi="Arial" w:cs="Arial"/>
                <w:sz w:val="18"/>
                <w:szCs w:val="18"/>
                <w:lang w:eastAsia="en-GB"/>
              </w:rPr>
              <w:t xml:space="preserve"> (2021) NICE quality standard 198</w:t>
            </w:r>
          </w:p>
          <w:p w14:paraId="4DD7E88A" w14:textId="77777777" w:rsidR="00DC3C60" w:rsidRPr="00DC3C60" w:rsidRDefault="00DC3C60" w:rsidP="00DC3C60">
            <w:pPr>
              <w:rPr>
                <w:rFonts w:ascii="Arial" w:hAnsi="Arial" w:cs="Arial"/>
                <w:sz w:val="18"/>
                <w:szCs w:val="18"/>
                <w:lang w:eastAsia="en-GB"/>
              </w:rPr>
            </w:pPr>
          </w:p>
        </w:tc>
      </w:tr>
      <w:tr w:rsidR="00DC3C60" w:rsidRPr="00DC3C60" w14:paraId="13D15794" w14:textId="77777777" w:rsidTr="003635EE">
        <w:trPr>
          <w:trHeight w:val="282"/>
        </w:trPr>
        <w:tc>
          <w:tcPr>
            <w:tcW w:w="675" w:type="dxa"/>
          </w:tcPr>
          <w:p w14:paraId="0F92F9F9" w14:textId="4FEC5A95" w:rsidR="00DC3C60" w:rsidRPr="00DC3C60" w:rsidRDefault="00DC3C60" w:rsidP="00DC3C60">
            <w:pPr>
              <w:rPr>
                <w:rFonts w:ascii="Arial" w:hAnsi="Arial" w:cs="Arial"/>
                <w:sz w:val="18"/>
                <w:szCs w:val="18"/>
                <w:lang w:eastAsia="en-GB"/>
              </w:rPr>
            </w:pPr>
            <w:r>
              <w:rPr>
                <w:rFonts w:ascii="Arial" w:hAnsi="Arial" w:cs="Arial"/>
                <w:sz w:val="18"/>
                <w:szCs w:val="18"/>
                <w:lang w:eastAsia="en-GB"/>
              </w:rPr>
              <w:t>2</w:t>
            </w:r>
          </w:p>
        </w:tc>
        <w:tc>
          <w:tcPr>
            <w:tcW w:w="1701" w:type="dxa"/>
          </w:tcPr>
          <w:p w14:paraId="148C896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British Society of Neuroradiologists</w:t>
            </w:r>
          </w:p>
        </w:tc>
        <w:tc>
          <w:tcPr>
            <w:tcW w:w="1701" w:type="dxa"/>
          </w:tcPr>
          <w:p w14:paraId="6E809E0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Key area for quality improvement 4 – Early access to imaging for patients with a suspected brain tumour. </w:t>
            </w:r>
          </w:p>
        </w:tc>
        <w:tc>
          <w:tcPr>
            <w:tcW w:w="4678" w:type="dxa"/>
          </w:tcPr>
          <w:p w14:paraId="573BF37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Diagnosis of a brain tumour is frequently late and in an emergency setting, despite earlier presentations in primary care. Improving access to neuroimaging from primary care might promote earlier diagnosis. </w:t>
            </w:r>
          </w:p>
        </w:tc>
        <w:tc>
          <w:tcPr>
            <w:tcW w:w="3119" w:type="dxa"/>
          </w:tcPr>
          <w:p w14:paraId="31F83CF4" w14:textId="6F490416"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Access to neuroimaging from primary care is variable across the UK, with differing availability of imaging </w:t>
            </w:r>
            <w:r w:rsidR="0048142E">
              <w:rPr>
                <w:rFonts w:ascii="Arial" w:hAnsi="Arial" w:cs="Arial"/>
                <w:sz w:val="18"/>
                <w:szCs w:val="18"/>
                <w:lang w:eastAsia="en-GB"/>
              </w:rPr>
              <w:pgNum/>
            </w:r>
            <w:proofErr w:type="spellStart"/>
            <w:r w:rsidR="0048142E">
              <w:rPr>
                <w:rFonts w:ascii="Arial" w:hAnsi="Arial" w:cs="Arial"/>
                <w:sz w:val="18"/>
                <w:szCs w:val="18"/>
                <w:lang w:eastAsia="en-GB"/>
              </w:rPr>
              <w:t>odalities</w:t>
            </w:r>
            <w:proofErr w:type="spellEnd"/>
            <w:r w:rsidRPr="00DC3C60">
              <w:rPr>
                <w:rFonts w:ascii="Arial" w:hAnsi="Arial" w:cs="Arial"/>
                <w:sz w:val="18"/>
                <w:szCs w:val="18"/>
                <w:lang w:eastAsia="en-GB"/>
              </w:rPr>
              <w:t>. Guidance on urgent referral may help to achieve earlier diagnosis.</w:t>
            </w:r>
          </w:p>
        </w:tc>
        <w:tc>
          <w:tcPr>
            <w:tcW w:w="3151" w:type="dxa"/>
          </w:tcPr>
          <w:p w14:paraId="1B4727DF" w14:textId="30BAE1B9"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Direct access CT for suspicion of brain tumour: an analysis of referral pathways in a population-based patient group. </w:t>
            </w:r>
            <w:proofErr w:type="spellStart"/>
            <w:r w:rsidRPr="00DC3C60">
              <w:rPr>
                <w:rFonts w:ascii="Arial" w:hAnsi="Arial" w:cs="Arial"/>
                <w:sz w:val="18"/>
                <w:szCs w:val="18"/>
                <w:lang w:eastAsia="en-GB"/>
              </w:rPr>
              <w:t>Zienius</w:t>
            </w:r>
            <w:proofErr w:type="spellEnd"/>
            <w:r w:rsidRPr="00DC3C60">
              <w:rPr>
                <w:rFonts w:ascii="Arial" w:hAnsi="Arial" w:cs="Arial"/>
                <w:sz w:val="18"/>
                <w:szCs w:val="18"/>
                <w:lang w:eastAsia="en-GB"/>
              </w:rPr>
              <w:t xml:space="preserve"> K, </w:t>
            </w:r>
            <w:proofErr w:type="spellStart"/>
            <w:r w:rsidRPr="00DC3C60">
              <w:rPr>
                <w:rFonts w:ascii="Arial" w:hAnsi="Arial" w:cs="Arial"/>
                <w:sz w:val="18"/>
                <w:szCs w:val="18"/>
                <w:lang w:eastAsia="en-GB"/>
              </w:rPr>
              <w:t>Chak</w:t>
            </w:r>
            <w:proofErr w:type="spellEnd"/>
            <w:r w:rsidRPr="00DC3C60">
              <w:rPr>
                <w:rFonts w:ascii="Arial" w:hAnsi="Arial" w:cs="Arial"/>
                <w:sz w:val="18"/>
                <w:szCs w:val="18"/>
                <w:lang w:eastAsia="en-GB"/>
              </w:rPr>
              <w:t xml:space="preserve">-Lam I, Park J et al. BMC Fam </w:t>
            </w:r>
            <w:proofErr w:type="spellStart"/>
            <w:r w:rsidRPr="00DC3C60">
              <w:rPr>
                <w:rFonts w:ascii="Arial" w:hAnsi="Arial" w:cs="Arial"/>
                <w:sz w:val="18"/>
                <w:szCs w:val="18"/>
                <w:lang w:eastAsia="en-GB"/>
              </w:rPr>
              <w:t>Pract</w:t>
            </w:r>
            <w:proofErr w:type="spellEnd"/>
            <w:r w:rsidRPr="00DC3C60">
              <w:rPr>
                <w:rFonts w:ascii="Arial" w:hAnsi="Arial" w:cs="Arial"/>
                <w:sz w:val="18"/>
                <w:szCs w:val="18"/>
                <w:lang w:eastAsia="en-GB"/>
              </w:rPr>
              <w:t xml:space="preserve"> (2019) 20:18. </w:t>
            </w:r>
            <w:hyperlink r:id="rId46" w:history="1">
              <w:r w:rsidR="0048142E" w:rsidRPr="002D1D95">
                <w:rPr>
                  <w:rStyle w:val="Hyperlink"/>
                  <w:rFonts w:ascii="Arial" w:hAnsi="Arial" w:cs="Arial"/>
                  <w:sz w:val="18"/>
                  <w:szCs w:val="18"/>
                  <w:lang w:eastAsia="en-GB"/>
                </w:rPr>
                <w:t>https://doi.org/10.1186/s12875-019-1003-y</w:t>
              </w:r>
            </w:hyperlink>
          </w:p>
        </w:tc>
      </w:tr>
      <w:tr w:rsidR="00DC3C60" w:rsidRPr="00DC3C60" w14:paraId="587E0AF4" w14:textId="77777777" w:rsidTr="003635EE">
        <w:trPr>
          <w:trHeight w:val="282"/>
        </w:trPr>
        <w:tc>
          <w:tcPr>
            <w:tcW w:w="675" w:type="dxa"/>
          </w:tcPr>
          <w:p w14:paraId="611979C4" w14:textId="16BFC6D8" w:rsidR="00DC3C60" w:rsidRPr="00DC3C60" w:rsidRDefault="00DC3C60" w:rsidP="00DC3C60">
            <w:pPr>
              <w:rPr>
                <w:rFonts w:ascii="Arial" w:hAnsi="Arial" w:cs="Arial"/>
                <w:sz w:val="18"/>
                <w:szCs w:val="18"/>
                <w:lang w:eastAsia="en-GB"/>
              </w:rPr>
            </w:pPr>
            <w:r>
              <w:rPr>
                <w:rFonts w:ascii="Arial" w:hAnsi="Arial" w:cs="Arial"/>
                <w:sz w:val="18"/>
                <w:szCs w:val="18"/>
                <w:lang w:eastAsia="en-GB"/>
              </w:rPr>
              <w:t>3</w:t>
            </w:r>
          </w:p>
        </w:tc>
        <w:tc>
          <w:tcPr>
            <w:tcW w:w="1701" w:type="dxa"/>
          </w:tcPr>
          <w:p w14:paraId="29614C7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14BF392A"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(CAHPO)Key area for quality improvement 4</w:t>
            </w:r>
          </w:p>
          <w:p w14:paraId="0700C220"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Patients with a brain tumour should have contrast enhanced Magnetic Resonance Imaging (MRI) prior to treatment.</w:t>
            </w:r>
          </w:p>
        </w:tc>
        <w:tc>
          <w:tcPr>
            <w:tcW w:w="4678" w:type="dxa"/>
          </w:tcPr>
          <w:p w14:paraId="4323EC23"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MRI is the established investigation for patients with presumed low-grade tumours</w:t>
            </w:r>
          </w:p>
          <w:p w14:paraId="5426E27D" w14:textId="77777777" w:rsidR="00DC3C60" w:rsidRPr="00DC3C60" w:rsidRDefault="00DC3C60" w:rsidP="00DC3C60">
            <w:pPr>
              <w:rPr>
                <w:rFonts w:ascii="Arial" w:hAnsi="Arial" w:cs="Arial"/>
                <w:sz w:val="18"/>
                <w:szCs w:val="18"/>
                <w:lang w:eastAsia="en-GB"/>
              </w:rPr>
            </w:pPr>
          </w:p>
        </w:tc>
        <w:tc>
          <w:tcPr>
            <w:tcW w:w="3119" w:type="dxa"/>
          </w:tcPr>
          <w:p w14:paraId="72CBC533"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Although contrast enhanced Computed Tomography (CT) will often be the initial investigation suggesting the diagnosis of brain tumour, MRI provides additional information in many cases.</w:t>
            </w:r>
          </w:p>
          <w:p w14:paraId="0E593608" w14:textId="77777777" w:rsidR="00DC3C60" w:rsidRPr="00DC3C60" w:rsidRDefault="00DC3C60" w:rsidP="00DC3C60">
            <w:pPr>
              <w:rPr>
                <w:rFonts w:ascii="Arial" w:hAnsi="Arial" w:cs="Arial"/>
                <w:sz w:val="18"/>
                <w:szCs w:val="18"/>
                <w:lang w:eastAsia="en-GB"/>
              </w:rPr>
            </w:pPr>
          </w:p>
        </w:tc>
        <w:tc>
          <w:tcPr>
            <w:tcW w:w="3151" w:type="dxa"/>
          </w:tcPr>
          <w:p w14:paraId="0F7A982B" w14:textId="77777777" w:rsidR="00DC3C60" w:rsidRPr="00DC3C60" w:rsidRDefault="00DC3C60" w:rsidP="00DC3C60">
            <w:pPr>
              <w:spacing w:after="240" w:line="276" w:lineRule="auto"/>
              <w:rPr>
                <w:rFonts w:ascii="Arial" w:hAnsi="Arial" w:cs="Arial"/>
                <w:sz w:val="18"/>
                <w:szCs w:val="18"/>
                <w:lang w:eastAsia="en-GB"/>
              </w:rPr>
            </w:pPr>
            <w:proofErr w:type="spellStart"/>
            <w:r w:rsidRPr="00DC3C60">
              <w:rPr>
                <w:rFonts w:ascii="Arial" w:hAnsi="Arial" w:cs="Arial"/>
                <w:sz w:val="18"/>
                <w:szCs w:val="18"/>
                <w:lang w:eastAsia="en-GB"/>
              </w:rPr>
              <w:t>Soffietti</w:t>
            </w:r>
            <w:proofErr w:type="spellEnd"/>
            <w:r w:rsidRPr="00DC3C60">
              <w:rPr>
                <w:rFonts w:ascii="Arial" w:hAnsi="Arial" w:cs="Arial"/>
                <w:sz w:val="18"/>
                <w:szCs w:val="18"/>
                <w:lang w:eastAsia="en-GB"/>
              </w:rPr>
              <w:t xml:space="preserve"> R, Baumert BG, Bello L, von </w:t>
            </w:r>
            <w:proofErr w:type="spellStart"/>
            <w:r w:rsidRPr="00DC3C60">
              <w:rPr>
                <w:rFonts w:ascii="Arial" w:hAnsi="Arial" w:cs="Arial"/>
                <w:sz w:val="18"/>
                <w:szCs w:val="18"/>
                <w:lang w:eastAsia="en-GB"/>
              </w:rPr>
              <w:t>Deimling</w:t>
            </w:r>
            <w:proofErr w:type="spellEnd"/>
            <w:r w:rsidRPr="00DC3C60">
              <w:rPr>
                <w:rFonts w:ascii="Arial" w:hAnsi="Arial" w:cs="Arial"/>
                <w:sz w:val="18"/>
                <w:szCs w:val="18"/>
                <w:lang w:eastAsia="en-GB"/>
              </w:rPr>
              <w:t xml:space="preserve"> A et al (2010) Guidelines on management of low-grade gliomas: report of an EFNS-EANO Task Force. European Journal of Neurology 2010; 9: 1124-33.</w:t>
            </w:r>
          </w:p>
          <w:p w14:paraId="6D2C5321" w14:textId="77777777" w:rsidR="00DC3C60" w:rsidRPr="00DC3C60" w:rsidRDefault="00DC3C60" w:rsidP="00DC3C60">
            <w:pPr>
              <w:rPr>
                <w:rFonts w:ascii="Arial" w:hAnsi="Arial" w:cs="Arial"/>
                <w:sz w:val="18"/>
                <w:szCs w:val="18"/>
                <w:lang w:eastAsia="en-GB"/>
              </w:rPr>
            </w:pPr>
          </w:p>
        </w:tc>
      </w:tr>
      <w:tr w:rsidR="00DC3C60" w:rsidRPr="00DC3C60" w14:paraId="099AA13E" w14:textId="77777777" w:rsidTr="003635EE">
        <w:trPr>
          <w:trHeight w:val="282"/>
        </w:trPr>
        <w:tc>
          <w:tcPr>
            <w:tcW w:w="675" w:type="dxa"/>
          </w:tcPr>
          <w:p w14:paraId="7677171E" w14:textId="578050F4" w:rsidR="00DC3C60" w:rsidRPr="00DC3C60" w:rsidRDefault="00DC3C60" w:rsidP="00DC3C60">
            <w:pPr>
              <w:rPr>
                <w:rFonts w:ascii="Arial" w:hAnsi="Arial" w:cs="Arial"/>
                <w:sz w:val="18"/>
                <w:szCs w:val="18"/>
                <w:lang w:eastAsia="en-GB"/>
              </w:rPr>
            </w:pPr>
            <w:r>
              <w:rPr>
                <w:rFonts w:ascii="Arial" w:hAnsi="Arial" w:cs="Arial"/>
                <w:sz w:val="18"/>
                <w:szCs w:val="18"/>
                <w:lang w:eastAsia="en-GB"/>
              </w:rPr>
              <w:t>4</w:t>
            </w:r>
          </w:p>
        </w:tc>
        <w:tc>
          <w:tcPr>
            <w:tcW w:w="1701" w:type="dxa"/>
          </w:tcPr>
          <w:p w14:paraId="51BEC9F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Primary care and Community Neurology Society (P-CNS)</w:t>
            </w:r>
          </w:p>
        </w:tc>
        <w:tc>
          <w:tcPr>
            <w:tcW w:w="1701" w:type="dxa"/>
          </w:tcPr>
          <w:p w14:paraId="1F57E4ED"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1</w:t>
            </w:r>
          </w:p>
          <w:p w14:paraId="09F60EC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Appropriate and rapid referral to scanning services</w:t>
            </w:r>
          </w:p>
        </w:tc>
        <w:tc>
          <w:tcPr>
            <w:tcW w:w="4678" w:type="dxa"/>
          </w:tcPr>
          <w:p w14:paraId="3FA27283"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Linked to the existing NICE guidance, the P-CNS wishes to see improvement in appropriate and rapid referral to scanning services and therefore, improved recognition of the key signs and symptoms to ensure that prompt referral take place.</w:t>
            </w:r>
          </w:p>
          <w:p w14:paraId="560FF397" w14:textId="77777777" w:rsidR="00DC3C60" w:rsidRPr="00DC3C60" w:rsidRDefault="00DC3C60" w:rsidP="00DC3C60">
            <w:pPr>
              <w:spacing w:after="240" w:line="276" w:lineRule="auto"/>
              <w:rPr>
                <w:rFonts w:ascii="Arial" w:hAnsi="Arial" w:cs="Arial"/>
                <w:sz w:val="18"/>
                <w:szCs w:val="18"/>
                <w:lang w:eastAsia="en-GB"/>
              </w:rPr>
            </w:pPr>
          </w:p>
          <w:p w14:paraId="3D00C631" w14:textId="77777777" w:rsidR="00DC3C60" w:rsidRPr="00DC3C60" w:rsidRDefault="00DC3C60" w:rsidP="00DC3C60">
            <w:pPr>
              <w:rPr>
                <w:rFonts w:ascii="Arial" w:hAnsi="Arial" w:cs="Arial"/>
                <w:sz w:val="18"/>
                <w:szCs w:val="18"/>
                <w:lang w:eastAsia="en-GB"/>
              </w:rPr>
            </w:pPr>
          </w:p>
        </w:tc>
        <w:tc>
          <w:tcPr>
            <w:tcW w:w="3119" w:type="dxa"/>
          </w:tcPr>
          <w:p w14:paraId="61C0139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The person experiencing unusual and alarming signs and symptoms, (along with key family members) need to either receive reassurance that what they are experiencing is not of a sinister nature, or gain access to appropriate management asap to limit any of the damaging effects on the person’s health. </w:t>
            </w:r>
          </w:p>
        </w:tc>
        <w:tc>
          <w:tcPr>
            <w:tcW w:w="3151" w:type="dxa"/>
          </w:tcPr>
          <w:p w14:paraId="20BBDD13" w14:textId="77777777" w:rsidR="00DC3C60" w:rsidRPr="00DC3C60" w:rsidRDefault="00DC3C60" w:rsidP="00DC3C60">
            <w:pPr>
              <w:keepNext/>
              <w:spacing w:after="240"/>
              <w:outlineLvl w:val="0"/>
              <w:rPr>
                <w:rFonts w:ascii="Arial" w:hAnsi="Arial" w:cs="Arial"/>
                <w:b/>
                <w:bCs/>
                <w:sz w:val="18"/>
                <w:szCs w:val="18"/>
              </w:rPr>
            </w:pPr>
            <w:bookmarkStart w:id="127" w:name="_Toc73111516"/>
            <w:bookmarkStart w:id="128" w:name="_Toc78371513"/>
            <w:r w:rsidRPr="00DC3C60">
              <w:rPr>
                <w:rFonts w:ascii="Arial" w:hAnsi="Arial" w:cs="Arial"/>
                <w:sz w:val="18"/>
                <w:szCs w:val="18"/>
              </w:rPr>
              <w:t xml:space="preserve">Direct access CT for suspicion of brain tumour: an analysis of referral pathways in a population-based patient group, </w:t>
            </w:r>
            <w:proofErr w:type="spellStart"/>
            <w:r w:rsidRPr="00DC3C60">
              <w:rPr>
                <w:rFonts w:ascii="Arial" w:hAnsi="Arial" w:cs="Arial"/>
                <w:sz w:val="18"/>
                <w:szCs w:val="18"/>
              </w:rPr>
              <w:t>Zienius</w:t>
            </w:r>
            <w:proofErr w:type="spellEnd"/>
            <w:r w:rsidRPr="00DC3C60">
              <w:rPr>
                <w:rFonts w:ascii="Arial" w:hAnsi="Arial" w:cs="Arial"/>
                <w:sz w:val="18"/>
                <w:szCs w:val="18"/>
              </w:rPr>
              <w:t xml:space="preserve"> et al, BMC Family Practice, 2019</w:t>
            </w:r>
            <w:bookmarkEnd w:id="127"/>
            <w:bookmarkEnd w:id="128"/>
          </w:p>
          <w:p w14:paraId="621CE03E" w14:textId="77777777" w:rsidR="00DC3C60" w:rsidRPr="00DC3C60" w:rsidRDefault="001517CD" w:rsidP="00DC3C60">
            <w:pPr>
              <w:spacing w:after="240" w:line="276" w:lineRule="auto"/>
              <w:rPr>
                <w:rFonts w:ascii="Arial" w:hAnsi="Arial" w:cs="Arial"/>
                <w:sz w:val="18"/>
                <w:szCs w:val="18"/>
                <w:lang w:eastAsia="en-GB"/>
              </w:rPr>
            </w:pPr>
            <w:hyperlink r:id="rId47" w:history="1">
              <w:r w:rsidR="00DC3C60" w:rsidRPr="00DC3C60">
                <w:rPr>
                  <w:rFonts w:ascii="Arial" w:hAnsi="Arial" w:cs="Arial"/>
                  <w:color w:val="0000FF"/>
                  <w:sz w:val="18"/>
                  <w:szCs w:val="18"/>
                  <w:u w:val="single"/>
                  <w:lang w:eastAsia="en-GB"/>
                </w:rPr>
                <w:t>https://bmcfampract.biomedcentral.com/articles/10.1186/s12875-019-1003-y</w:t>
              </w:r>
            </w:hyperlink>
          </w:p>
          <w:p w14:paraId="08D38929"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Missed opportunities for diagnosing brain tumours in primary care: a qualitative study of patient experiences,</w:t>
            </w:r>
          </w:p>
          <w:p w14:paraId="3641AD2E" w14:textId="77777777" w:rsidR="00DC3C60" w:rsidRPr="00DC3C60" w:rsidRDefault="00DC3C60" w:rsidP="00DC3C60">
            <w:pPr>
              <w:spacing w:after="240" w:line="276" w:lineRule="auto"/>
              <w:rPr>
                <w:rFonts w:ascii="Arial" w:hAnsi="Arial" w:cs="Arial"/>
                <w:sz w:val="18"/>
                <w:szCs w:val="18"/>
                <w:lang w:eastAsia="en-GB"/>
              </w:rPr>
            </w:pPr>
            <w:r w:rsidRPr="00DC3C60">
              <w:rPr>
                <w:rFonts w:ascii="Helvetica Neue" w:hAnsi="Helvetica Neue"/>
                <w:color w:val="333333"/>
                <w:sz w:val="18"/>
                <w:szCs w:val="18"/>
                <w:bdr w:val="none" w:sz="0" w:space="0" w:color="auto" w:frame="1"/>
                <w:lang w:eastAsia="en-GB"/>
              </w:rPr>
              <w:t xml:space="preserve">Walter </w:t>
            </w:r>
            <w:r w:rsidRPr="00DC3C60">
              <w:rPr>
                <w:rFonts w:ascii="Arial" w:hAnsi="Arial" w:cs="Arial"/>
                <w:sz w:val="18"/>
                <w:szCs w:val="18"/>
                <w:lang w:eastAsia="en-GB"/>
              </w:rPr>
              <w:t>et al, BJGP, 2019</w:t>
            </w:r>
          </w:p>
          <w:p w14:paraId="09728666" w14:textId="3FFC87BD" w:rsidR="00DC3C60" w:rsidRPr="00DC3C60" w:rsidRDefault="001517CD" w:rsidP="00DC3C60">
            <w:pPr>
              <w:spacing w:after="240" w:line="276" w:lineRule="auto"/>
              <w:rPr>
                <w:rFonts w:ascii="Arial" w:hAnsi="Arial" w:cs="Arial"/>
                <w:sz w:val="18"/>
                <w:szCs w:val="18"/>
              </w:rPr>
            </w:pPr>
            <w:hyperlink r:id="rId48" w:history="1">
              <w:r w:rsidR="00DC3C60" w:rsidRPr="00DC3C60">
                <w:rPr>
                  <w:rFonts w:ascii="Arial" w:hAnsi="Arial" w:cs="Arial"/>
                  <w:color w:val="0000FF"/>
                  <w:sz w:val="18"/>
                  <w:szCs w:val="18"/>
                  <w:u w:val="single"/>
                  <w:lang w:eastAsia="en-GB"/>
                </w:rPr>
                <w:t>https://bjgp.org/content/69/681/e224</w:t>
              </w:r>
            </w:hyperlink>
          </w:p>
        </w:tc>
      </w:tr>
      <w:tr w:rsidR="00DC3C60" w:rsidRPr="00DC3C60" w14:paraId="0EA8601A" w14:textId="77777777" w:rsidTr="003635EE">
        <w:trPr>
          <w:trHeight w:val="282"/>
        </w:trPr>
        <w:tc>
          <w:tcPr>
            <w:tcW w:w="675" w:type="dxa"/>
          </w:tcPr>
          <w:p w14:paraId="0C28851E" w14:textId="745AC749" w:rsidR="00DC3C60" w:rsidRPr="00DC3C60" w:rsidRDefault="00DC3C60" w:rsidP="00DC3C60">
            <w:pPr>
              <w:rPr>
                <w:rFonts w:ascii="Arial" w:hAnsi="Arial" w:cs="Arial"/>
                <w:sz w:val="18"/>
                <w:szCs w:val="18"/>
                <w:lang w:eastAsia="en-GB"/>
              </w:rPr>
            </w:pPr>
            <w:r>
              <w:rPr>
                <w:rFonts w:ascii="Arial" w:hAnsi="Arial" w:cs="Arial"/>
                <w:sz w:val="18"/>
                <w:szCs w:val="18"/>
                <w:lang w:eastAsia="en-GB"/>
              </w:rPr>
              <w:t>5</w:t>
            </w:r>
          </w:p>
        </w:tc>
        <w:tc>
          <w:tcPr>
            <w:tcW w:w="1701" w:type="dxa"/>
          </w:tcPr>
          <w:p w14:paraId="09878F3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Royal College of Nursing </w:t>
            </w:r>
          </w:p>
        </w:tc>
        <w:tc>
          <w:tcPr>
            <w:tcW w:w="1701" w:type="dxa"/>
          </w:tcPr>
          <w:p w14:paraId="308DF71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1</w:t>
            </w:r>
          </w:p>
        </w:tc>
        <w:tc>
          <w:tcPr>
            <w:tcW w:w="4678" w:type="dxa"/>
          </w:tcPr>
          <w:p w14:paraId="514DEDF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Early detection – improved access for MRI/CT scanning</w:t>
            </w:r>
          </w:p>
        </w:tc>
        <w:tc>
          <w:tcPr>
            <w:tcW w:w="3119" w:type="dxa"/>
          </w:tcPr>
          <w:p w14:paraId="35AF4C8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Improved outcomes</w:t>
            </w:r>
          </w:p>
        </w:tc>
        <w:tc>
          <w:tcPr>
            <w:tcW w:w="3151" w:type="dxa"/>
          </w:tcPr>
          <w:p w14:paraId="21171C60" w14:textId="77777777" w:rsidR="00DC3C60" w:rsidRPr="00DC3C60" w:rsidRDefault="00DC3C60" w:rsidP="00DC3C60">
            <w:pPr>
              <w:rPr>
                <w:rFonts w:ascii="Arial" w:hAnsi="Arial" w:cs="Arial"/>
                <w:sz w:val="22"/>
                <w:szCs w:val="22"/>
              </w:rPr>
            </w:pPr>
          </w:p>
        </w:tc>
      </w:tr>
      <w:tr w:rsidR="00DC3C60" w:rsidRPr="00DC3C60" w14:paraId="7A5C13DE" w14:textId="77777777" w:rsidTr="003635EE">
        <w:trPr>
          <w:trHeight w:val="282"/>
        </w:trPr>
        <w:tc>
          <w:tcPr>
            <w:tcW w:w="675" w:type="dxa"/>
          </w:tcPr>
          <w:p w14:paraId="6C7B7506" w14:textId="5AEDEB78" w:rsidR="00DC3C60" w:rsidRPr="00DC3C60" w:rsidRDefault="00DC3C60" w:rsidP="00DC3C60">
            <w:pPr>
              <w:rPr>
                <w:rFonts w:ascii="Arial" w:hAnsi="Arial" w:cs="Arial"/>
                <w:sz w:val="18"/>
                <w:szCs w:val="18"/>
                <w:lang w:eastAsia="en-GB"/>
              </w:rPr>
            </w:pPr>
            <w:r>
              <w:rPr>
                <w:rFonts w:ascii="Arial" w:hAnsi="Arial" w:cs="Arial"/>
                <w:sz w:val="18"/>
                <w:szCs w:val="18"/>
                <w:lang w:eastAsia="en-GB"/>
              </w:rPr>
              <w:t>6</w:t>
            </w:r>
          </w:p>
        </w:tc>
        <w:tc>
          <w:tcPr>
            <w:tcW w:w="1701" w:type="dxa"/>
          </w:tcPr>
          <w:p w14:paraId="57454E2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SCM1 </w:t>
            </w:r>
          </w:p>
        </w:tc>
        <w:tc>
          <w:tcPr>
            <w:tcW w:w="1701" w:type="dxa"/>
          </w:tcPr>
          <w:p w14:paraId="18D3380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1</w:t>
            </w:r>
          </w:p>
          <w:p w14:paraId="7A186D67" w14:textId="77777777" w:rsidR="00DC3C60" w:rsidRPr="00DC3C60" w:rsidRDefault="00DC3C60" w:rsidP="00DC3C60">
            <w:pPr>
              <w:rPr>
                <w:rFonts w:ascii="Arial" w:hAnsi="Arial" w:cs="Arial"/>
                <w:sz w:val="18"/>
                <w:szCs w:val="18"/>
                <w:lang w:eastAsia="en-GB"/>
              </w:rPr>
            </w:pPr>
          </w:p>
          <w:p w14:paraId="162A0FF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All people with suspected brain tumours should have appropriate imaging as per NICE guidance</w:t>
            </w:r>
          </w:p>
        </w:tc>
        <w:tc>
          <w:tcPr>
            <w:tcW w:w="4678" w:type="dxa"/>
          </w:tcPr>
          <w:p w14:paraId="66B340D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rPr>
              <w:t>Within NICE guidance, all people with suspected glioma, meningioma and brain metastases should be offered a standard structural MRI scan (unless contraindicated) and those with metastases suitable for focal treatment should have appropriate extracranial imaging.  This enables timely decisions regarding diagnosis and potential treatments at the MDT.</w:t>
            </w:r>
          </w:p>
        </w:tc>
        <w:tc>
          <w:tcPr>
            <w:tcW w:w="3119" w:type="dxa"/>
          </w:tcPr>
          <w:p w14:paraId="05CB1DE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People who are referred to the MDT without this imaging have delays to their care whilst this imaging is obtained.  Despite publication of the NICE guidance, anecdotally there as still s significant proportion referred without this essential imaging.</w:t>
            </w:r>
          </w:p>
        </w:tc>
        <w:tc>
          <w:tcPr>
            <w:tcW w:w="3151" w:type="dxa"/>
          </w:tcPr>
          <w:p w14:paraId="5C45BC77" w14:textId="77777777" w:rsidR="00DC3C60" w:rsidRPr="00DC3C60" w:rsidRDefault="00DC3C60" w:rsidP="00DC3C60">
            <w:pPr>
              <w:rPr>
                <w:rFonts w:ascii="Arial" w:hAnsi="Arial" w:cs="Arial"/>
                <w:sz w:val="18"/>
                <w:szCs w:val="18"/>
                <w:lang w:eastAsia="en-GB"/>
              </w:rPr>
            </w:pPr>
          </w:p>
        </w:tc>
      </w:tr>
      <w:tr w:rsidR="00DC3C60" w:rsidRPr="00DC3C60" w14:paraId="702EB9FA" w14:textId="77777777" w:rsidTr="003635EE">
        <w:trPr>
          <w:trHeight w:val="282"/>
        </w:trPr>
        <w:tc>
          <w:tcPr>
            <w:tcW w:w="675" w:type="dxa"/>
          </w:tcPr>
          <w:p w14:paraId="39732868" w14:textId="6A076ED0" w:rsidR="00DC3C60" w:rsidRPr="00DC3C60" w:rsidRDefault="00DC3C60" w:rsidP="00DC3C60">
            <w:pPr>
              <w:rPr>
                <w:rFonts w:ascii="Arial" w:hAnsi="Arial" w:cs="Arial"/>
                <w:sz w:val="18"/>
                <w:szCs w:val="18"/>
                <w:lang w:eastAsia="en-GB"/>
              </w:rPr>
            </w:pPr>
            <w:r>
              <w:rPr>
                <w:rFonts w:ascii="Arial" w:hAnsi="Arial" w:cs="Arial"/>
                <w:sz w:val="18"/>
                <w:szCs w:val="18"/>
                <w:lang w:eastAsia="en-GB"/>
              </w:rPr>
              <w:t>7</w:t>
            </w:r>
          </w:p>
        </w:tc>
        <w:tc>
          <w:tcPr>
            <w:tcW w:w="1701" w:type="dxa"/>
          </w:tcPr>
          <w:p w14:paraId="11E1E1E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SCM3 </w:t>
            </w:r>
          </w:p>
        </w:tc>
        <w:tc>
          <w:tcPr>
            <w:tcW w:w="1701" w:type="dxa"/>
          </w:tcPr>
          <w:p w14:paraId="21A3C5F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Early imaging access</w:t>
            </w:r>
          </w:p>
        </w:tc>
        <w:tc>
          <w:tcPr>
            <w:tcW w:w="4678" w:type="dxa"/>
          </w:tcPr>
          <w:p w14:paraId="22ED676C" w14:textId="77777777" w:rsidR="00DC3C60" w:rsidRPr="00DC3C60" w:rsidRDefault="00DC3C60" w:rsidP="00DC3C60">
            <w:pPr>
              <w:rPr>
                <w:rFonts w:ascii="Arial" w:hAnsi="Arial" w:cs="Arial"/>
                <w:sz w:val="18"/>
                <w:szCs w:val="18"/>
              </w:rPr>
            </w:pPr>
            <w:r w:rsidRPr="00DC3C60">
              <w:rPr>
                <w:rFonts w:ascii="Arial" w:hAnsi="Arial" w:cs="Arial"/>
                <w:sz w:val="18"/>
                <w:szCs w:val="18"/>
              </w:rPr>
              <w:t>Brain tumours are often diagnosed late and in emergency care settings. Rapid access to neuroimaging via primary care may help in earlier tumour diagnosis</w:t>
            </w:r>
          </w:p>
        </w:tc>
        <w:tc>
          <w:tcPr>
            <w:tcW w:w="3119" w:type="dxa"/>
          </w:tcPr>
          <w:p w14:paraId="08A56EE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Access to neuroimaging particularly from primary care is heterogeneous across the UK, as is speed of access and imaging modality available (e.g. CT v MR). Consideration of standardised guidelines for urgent referral may improve early pick up rate and also improve patient-doctor trust – a significant proportion of patients attend primary care multiple times prior to diagnosis.</w:t>
            </w:r>
          </w:p>
        </w:tc>
        <w:tc>
          <w:tcPr>
            <w:tcW w:w="3151" w:type="dxa"/>
          </w:tcPr>
          <w:p w14:paraId="4D9C777F" w14:textId="77777777" w:rsidR="00DC3C60" w:rsidRPr="00DC3C60" w:rsidRDefault="00DC3C60" w:rsidP="00DC3C60">
            <w:pPr>
              <w:spacing w:before="100" w:beforeAutospacing="1" w:after="100" w:afterAutospacing="1"/>
              <w:rPr>
                <w:rFonts w:ascii="Arial" w:hAnsi="Arial" w:cs="Arial"/>
                <w:sz w:val="18"/>
                <w:szCs w:val="18"/>
                <w:lang w:eastAsia="en-GB"/>
              </w:rPr>
            </w:pPr>
            <w:r w:rsidRPr="00DC3C60">
              <w:rPr>
                <w:rFonts w:ascii="Arial" w:hAnsi="Arial" w:cs="Arial"/>
                <w:sz w:val="18"/>
                <w:szCs w:val="18"/>
                <w:lang w:eastAsia="en-GB"/>
              </w:rPr>
              <w:t xml:space="preserve">Walter FM, Penfold C, </w:t>
            </w:r>
            <w:proofErr w:type="spellStart"/>
            <w:r w:rsidRPr="00DC3C60">
              <w:rPr>
                <w:rFonts w:ascii="Arial" w:hAnsi="Arial" w:cs="Arial"/>
                <w:sz w:val="18"/>
                <w:szCs w:val="18"/>
                <w:lang w:eastAsia="en-GB"/>
              </w:rPr>
              <w:t>Joannides</w:t>
            </w:r>
            <w:proofErr w:type="spellEnd"/>
            <w:r w:rsidRPr="00DC3C60">
              <w:rPr>
                <w:rFonts w:ascii="Arial" w:hAnsi="Arial" w:cs="Arial"/>
                <w:sz w:val="18"/>
                <w:szCs w:val="18"/>
                <w:lang w:eastAsia="en-GB"/>
              </w:rPr>
              <w:t xml:space="preserve"> A et al. Missed opportunities for diagnosing brain tumours in primary care – a qualitative study of patient experiences. Brit J Gen Practice 2019; DOI: https://doi.org/10.3399/bjgp19X701861 </w:t>
            </w:r>
          </w:p>
          <w:p w14:paraId="06A12C57" w14:textId="1E859B3C" w:rsidR="00DC3C60" w:rsidRPr="00DC3C60" w:rsidRDefault="00DC3C60" w:rsidP="00DC3C60">
            <w:pPr>
              <w:rPr>
                <w:rFonts w:ascii="Arial" w:hAnsi="Arial" w:cs="Arial"/>
                <w:sz w:val="18"/>
                <w:szCs w:val="18"/>
                <w:lang w:eastAsia="en-GB"/>
              </w:rPr>
            </w:pPr>
            <w:proofErr w:type="spellStart"/>
            <w:r w:rsidRPr="00DC3C60">
              <w:rPr>
                <w:rFonts w:ascii="Arial" w:hAnsi="Arial" w:cs="Arial"/>
                <w:sz w:val="18"/>
                <w:szCs w:val="18"/>
                <w:lang w:eastAsia="en-GB"/>
              </w:rPr>
              <w:t>Zienius</w:t>
            </w:r>
            <w:proofErr w:type="spellEnd"/>
            <w:r w:rsidRPr="00DC3C60">
              <w:rPr>
                <w:rFonts w:ascii="Arial" w:hAnsi="Arial" w:cs="Arial"/>
                <w:sz w:val="18"/>
                <w:szCs w:val="18"/>
                <w:lang w:eastAsia="en-GB"/>
              </w:rPr>
              <w:t xml:space="preserve">, K., </w:t>
            </w:r>
            <w:proofErr w:type="spellStart"/>
            <w:r w:rsidRPr="00DC3C60">
              <w:rPr>
                <w:rFonts w:ascii="Arial" w:hAnsi="Arial" w:cs="Arial"/>
                <w:sz w:val="18"/>
                <w:szCs w:val="18"/>
                <w:lang w:eastAsia="en-GB"/>
              </w:rPr>
              <w:t>Chak</w:t>
            </w:r>
            <w:proofErr w:type="spellEnd"/>
            <w:r w:rsidRPr="00DC3C60">
              <w:rPr>
                <w:rFonts w:ascii="Arial" w:hAnsi="Arial" w:cs="Arial"/>
                <w:sz w:val="18"/>
                <w:szCs w:val="18"/>
                <w:lang w:eastAsia="en-GB"/>
              </w:rPr>
              <w:t xml:space="preserve">-Lam, I., Park, J. et al. Direct access CT for suspicion of brain tumour: an analysis of referral pathways in a population-based patient group. BMC Fam </w:t>
            </w:r>
            <w:proofErr w:type="spellStart"/>
            <w:r w:rsidRPr="00DC3C60">
              <w:rPr>
                <w:rFonts w:ascii="Arial" w:hAnsi="Arial" w:cs="Arial"/>
                <w:sz w:val="18"/>
                <w:szCs w:val="18"/>
                <w:lang w:eastAsia="en-GB"/>
              </w:rPr>
              <w:t>Pract</w:t>
            </w:r>
            <w:proofErr w:type="spellEnd"/>
            <w:r w:rsidRPr="00DC3C60">
              <w:rPr>
                <w:rFonts w:ascii="Arial" w:hAnsi="Arial" w:cs="Arial"/>
                <w:sz w:val="18"/>
                <w:szCs w:val="18"/>
                <w:lang w:eastAsia="en-GB"/>
              </w:rPr>
              <w:t xml:space="preserve"> 20, 118 (2019). </w:t>
            </w:r>
            <w:hyperlink r:id="rId49" w:history="1">
              <w:r w:rsidR="0048142E" w:rsidRPr="002D1D95">
                <w:rPr>
                  <w:rStyle w:val="Hyperlink"/>
                  <w:rFonts w:ascii="Arial" w:hAnsi="Arial" w:cs="Arial"/>
                  <w:sz w:val="18"/>
                  <w:szCs w:val="18"/>
                  <w:lang w:eastAsia="en-GB"/>
                </w:rPr>
                <w:t>https://doi.org/10.1186/s12875-019-1003-y</w:t>
              </w:r>
            </w:hyperlink>
          </w:p>
        </w:tc>
      </w:tr>
      <w:tr w:rsidR="00DC3C60" w:rsidRPr="00DC3C60" w14:paraId="67E71B8E" w14:textId="77777777" w:rsidTr="003635EE">
        <w:trPr>
          <w:trHeight w:val="282"/>
        </w:trPr>
        <w:tc>
          <w:tcPr>
            <w:tcW w:w="675" w:type="dxa"/>
          </w:tcPr>
          <w:p w14:paraId="4BA1AAC0" w14:textId="52FA1809" w:rsidR="00DC3C60" w:rsidRPr="00DC3C60" w:rsidRDefault="00DC3C60" w:rsidP="00DC3C60">
            <w:pPr>
              <w:rPr>
                <w:rFonts w:ascii="Arial" w:hAnsi="Arial" w:cs="Arial"/>
                <w:sz w:val="18"/>
                <w:szCs w:val="18"/>
                <w:lang w:eastAsia="en-GB"/>
              </w:rPr>
            </w:pPr>
            <w:r>
              <w:rPr>
                <w:rFonts w:ascii="Arial" w:hAnsi="Arial" w:cs="Arial"/>
                <w:sz w:val="18"/>
                <w:szCs w:val="18"/>
                <w:lang w:eastAsia="en-GB"/>
              </w:rPr>
              <w:t>8</w:t>
            </w:r>
          </w:p>
        </w:tc>
        <w:tc>
          <w:tcPr>
            <w:tcW w:w="1701" w:type="dxa"/>
          </w:tcPr>
          <w:p w14:paraId="1420563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SCM6</w:t>
            </w:r>
          </w:p>
        </w:tc>
        <w:tc>
          <w:tcPr>
            <w:tcW w:w="1701" w:type="dxa"/>
          </w:tcPr>
          <w:p w14:paraId="3797C33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Open access MRI scanning for patients with a suspected brain tumour</w:t>
            </w:r>
          </w:p>
        </w:tc>
        <w:tc>
          <w:tcPr>
            <w:tcW w:w="4678" w:type="dxa"/>
          </w:tcPr>
          <w:p w14:paraId="5427C80D" w14:textId="6A0D09AB"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NG12 recommends </w:t>
            </w:r>
            <w:r w:rsidR="0048142E">
              <w:rPr>
                <w:rFonts w:ascii="Arial" w:hAnsi="Arial" w:cs="Arial"/>
                <w:sz w:val="18"/>
                <w:szCs w:val="18"/>
                <w:lang w:eastAsia="en-GB"/>
              </w:rPr>
              <w:t>–</w:t>
            </w:r>
            <w:r w:rsidRPr="00DC3C60">
              <w:rPr>
                <w:rFonts w:ascii="Arial" w:hAnsi="Arial" w:cs="Arial"/>
                <w:sz w:val="18"/>
                <w:szCs w:val="18"/>
                <w:lang w:eastAsia="en-GB"/>
              </w:rPr>
              <w:t xml:space="preserve"> Consider an urgent direct access MRI scan of the brain (or CT scan if MRI is contraindicated) (to be performed within 2 weeks) to assess for brain or central nervous system cancer in adults with progressive, sub</w:t>
            </w:r>
            <w:r w:rsidRPr="00DC3C60">
              <w:rPr>
                <w:rFonts w:ascii="Arial" w:hAnsi="Arial" w:cs="Arial"/>
                <w:sz w:val="18"/>
                <w:szCs w:val="18"/>
                <w:lang w:eastAsia="en-GB"/>
              </w:rPr>
              <w:noBreakHyphen/>
              <w:t xml:space="preserve">acute loss of central neurological function. </w:t>
            </w:r>
            <w:r w:rsidRPr="00DC3C60">
              <w:rPr>
                <w:rFonts w:ascii="Arial" w:hAnsi="Arial" w:cs="Arial"/>
                <w:b/>
                <w:bCs/>
                <w:sz w:val="22"/>
                <w:szCs w:val="20"/>
                <w:lang w:eastAsia="en-GB"/>
              </w:rPr>
              <w:t>[2015]</w:t>
            </w:r>
          </w:p>
        </w:tc>
        <w:tc>
          <w:tcPr>
            <w:tcW w:w="3119" w:type="dxa"/>
          </w:tcPr>
          <w:p w14:paraId="15327CB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Although recommended, many patients are still seen in 2WW clinics rather than accessing MRI immediately. Almost inevitably these patients will need then to be referred for an MRI scan, incurring further delay. </w:t>
            </w:r>
          </w:p>
        </w:tc>
        <w:tc>
          <w:tcPr>
            <w:tcW w:w="3151" w:type="dxa"/>
          </w:tcPr>
          <w:p w14:paraId="4CE7DBE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NG12</w:t>
            </w:r>
          </w:p>
          <w:p w14:paraId="75EB780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NG99</w:t>
            </w:r>
          </w:p>
          <w:p w14:paraId="65682883" w14:textId="77777777" w:rsidR="00DC3C60" w:rsidRPr="00DC3C60" w:rsidRDefault="00DC3C60" w:rsidP="00DC3C60">
            <w:pPr>
              <w:rPr>
                <w:rFonts w:ascii="Arial" w:hAnsi="Arial" w:cs="Arial"/>
                <w:sz w:val="18"/>
                <w:szCs w:val="18"/>
                <w:lang w:eastAsia="en-GB"/>
              </w:rPr>
            </w:pPr>
            <w:proofErr w:type="spellStart"/>
            <w:r w:rsidRPr="00DC3C60">
              <w:rPr>
                <w:rFonts w:ascii="Arial" w:hAnsi="Arial" w:cs="Arial"/>
                <w:sz w:val="18"/>
                <w:szCs w:val="18"/>
                <w:lang w:eastAsia="en-GB"/>
              </w:rPr>
              <w:t>Headsmart</w:t>
            </w:r>
            <w:proofErr w:type="spellEnd"/>
            <w:r w:rsidRPr="00DC3C60">
              <w:rPr>
                <w:rFonts w:ascii="Arial" w:hAnsi="Arial" w:cs="Arial"/>
                <w:sz w:val="18"/>
                <w:szCs w:val="18"/>
                <w:lang w:eastAsia="en-GB"/>
              </w:rPr>
              <w:t xml:space="preserve"> campaign literature</w:t>
            </w:r>
          </w:p>
        </w:tc>
      </w:tr>
      <w:tr w:rsidR="00DC3C60" w:rsidRPr="00DC3C60" w14:paraId="5C9C17B5" w14:textId="77777777" w:rsidTr="003635EE">
        <w:trPr>
          <w:trHeight w:val="282"/>
        </w:trPr>
        <w:tc>
          <w:tcPr>
            <w:tcW w:w="675" w:type="dxa"/>
          </w:tcPr>
          <w:p w14:paraId="2818FAFE" w14:textId="3CEBE254" w:rsidR="00DC3C60" w:rsidRPr="00DC3C60" w:rsidRDefault="00DC3C60" w:rsidP="00DC3C60">
            <w:pPr>
              <w:rPr>
                <w:rFonts w:ascii="Arial" w:hAnsi="Arial" w:cs="Arial"/>
                <w:sz w:val="18"/>
                <w:szCs w:val="18"/>
                <w:lang w:eastAsia="en-GB"/>
              </w:rPr>
            </w:pPr>
            <w:r>
              <w:rPr>
                <w:rFonts w:ascii="Arial" w:hAnsi="Arial" w:cs="Arial"/>
                <w:sz w:val="18"/>
                <w:szCs w:val="18"/>
                <w:lang w:eastAsia="en-GB"/>
              </w:rPr>
              <w:t>9</w:t>
            </w:r>
          </w:p>
        </w:tc>
        <w:tc>
          <w:tcPr>
            <w:tcW w:w="1701" w:type="dxa"/>
          </w:tcPr>
          <w:p w14:paraId="6161A50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Society and College of Radiographers</w:t>
            </w:r>
          </w:p>
        </w:tc>
        <w:tc>
          <w:tcPr>
            <w:tcW w:w="1701" w:type="dxa"/>
          </w:tcPr>
          <w:p w14:paraId="7A051E0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1</w:t>
            </w:r>
          </w:p>
        </w:tc>
        <w:tc>
          <w:tcPr>
            <w:tcW w:w="4678" w:type="dxa"/>
          </w:tcPr>
          <w:p w14:paraId="315E4252" w14:textId="77777777" w:rsidR="00DC3C60" w:rsidRPr="00DC3C60" w:rsidRDefault="00DC3C60" w:rsidP="00DC3C60">
            <w:pPr>
              <w:rPr>
                <w:rFonts w:ascii="Arial" w:hAnsi="Arial" w:cs="Arial"/>
                <w:sz w:val="18"/>
                <w:szCs w:val="18"/>
                <w:lang w:eastAsia="en-GB"/>
              </w:rPr>
            </w:pPr>
          </w:p>
        </w:tc>
        <w:tc>
          <w:tcPr>
            <w:tcW w:w="3119" w:type="dxa"/>
          </w:tcPr>
          <w:p w14:paraId="082311CB" w14:textId="77777777" w:rsidR="00DC3C60" w:rsidRPr="00DC3C60" w:rsidRDefault="00DC3C60" w:rsidP="00DC3C60">
            <w:pPr>
              <w:rPr>
                <w:rFonts w:ascii="Arial" w:hAnsi="Arial" w:cs="Arial"/>
                <w:sz w:val="18"/>
                <w:szCs w:val="18"/>
                <w:lang w:eastAsia="en-GB"/>
              </w:rPr>
            </w:pPr>
          </w:p>
        </w:tc>
        <w:tc>
          <w:tcPr>
            <w:tcW w:w="3151" w:type="dxa"/>
          </w:tcPr>
          <w:p w14:paraId="446E4F9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Do these match the RCR </w:t>
            </w:r>
            <w:proofErr w:type="spellStart"/>
            <w:r w:rsidRPr="00DC3C60">
              <w:rPr>
                <w:rFonts w:ascii="Arial" w:hAnsi="Arial" w:cs="Arial"/>
                <w:sz w:val="18"/>
                <w:szCs w:val="18"/>
                <w:lang w:eastAsia="en-GB"/>
              </w:rPr>
              <w:t>iRefer</w:t>
            </w:r>
            <w:proofErr w:type="spellEnd"/>
            <w:r w:rsidRPr="00DC3C60">
              <w:rPr>
                <w:rFonts w:ascii="Arial" w:hAnsi="Arial" w:cs="Arial"/>
                <w:sz w:val="18"/>
                <w:szCs w:val="18"/>
                <w:lang w:eastAsia="en-GB"/>
              </w:rPr>
              <w:t xml:space="preserve"> guidelines in relation to MRI being the gold standard over CT? Some centres still perform post contrast CT which is largely inappropriate as MRI is always performed for possibility of tumour unless there are contraindications. This leads to an unnecessary radiation dose purely because of convenience/lack of education. </w:t>
            </w:r>
          </w:p>
          <w:p w14:paraId="56F0528F" w14:textId="77777777" w:rsidR="00DC3C60" w:rsidRPr="00DC3C60" w:rsidRDefault="00DC3C60" w:rsidP="00DC3C60">
            <w:pPr>
              <w:rPr>
                <w:rFonts w:ascii="Arial" w:hAnsi="Arial" w:cs="Arial"/>
                <w:sz w:val="18"/>
                <w:szCs w:val="18"/>
                <w:lang w:eastAsia="en-GB"/>
              </w:rPr>
            </w:pPr>
          </w:p>
        </w:tc>
      </w:tr>
      <w:tr w:rsidR="00DC3C60" w:rsidRPr="00DC3C60" w14:paraId="04F153D7" w14:textId="77777777" w:rsidTr="003635EE">
        <w:trPr>
          <w:trHeight w:val="282"/>
        </w:trPr>
        <w:tc>
          <w:tcPr>
            <w:tcW w:w="15025" w:type="dxa"/>
            <w:gridSpan w:val="6"/>
          </w:tcPr>
          <w:p w14:paraId="6B4659D6" w14:textId="77777777" w:rsidR="00DC3C60" w:rsidRPr="00DC3C60" w:rsidRDefault="00DC3C60" w:rsidP="00DC3C60">
            <w:pPr>
              <w:rPr>
                <w:rFonts w:ascii="Arial" w:hAnsi="Arial" w:cs="Arial"/>
                <w:b/>
                <w:bCs/>
                <w:sz w:val="18"/>
                <w:szCs w:val="18"/>
              </w:rPr>
            </w:pPr>
            <w:r w:rsidRPr="00DC3C60">
              <w:rPr>
                <w:rFonts w:ascii="Arial" w:hAnsi="Arial" w:cs="Arial"/>
                <w:b/>
                <w:bCs/>
                <w:sz w:val="18"/>
                <w:szCs w:val="18"/>
              </w:rPr>
              <w:t>Investigations- Additional imaging/testing</w:t>
            </w:r>
          </w:p>
        </w:tc>
      </w:tr>
      <w:tr w:rsidR="00DC3C60" w:rsidRPr="00DC3C60" w14:paraId="36E50DDE" w14:textId="77777777" w:rsidTr="003635EE">
        <w:trPr>
          <w:trHeight w:val="282"/>
        </w:trPr>
        <w:tc>
          <w:tcPr>
            <w:tcW w:w="675" w:type="dxa"/>
          </w:tcPr>
          <w:p w14:paraId="392A2491" w14:textId="64A7E208" w:rsidR="00DC3C60" w:rsidRPr="00DC3C60" w:rsidRDefault="00DC3C60" w:rsidP="00DC3C60">
            <w:pPr>
              <w:rPr>
                <w:rFonts w:ascii="Arial" w:hAnsi="Arial" w:cs="Arial"/>
                <w:sz w:val="18"/>
                <w:szCs w:val="18"/>
                <w:lang w:eastAsia="en-GB"/>
              </w:rPr>
            </w:pPr>
            <w:r>
              <w:rPr>
                <w:rFonts w:ascii="Arial" w:hAnsi="Arial" w:cs="Arial"/>
                <w:sz w:val="18"/>
                <w:szCs w:val="18"/>
                <w:lang w:eastAsia="en-GB"/>
              </w:rPr>
              <w:t>10</w:t>
            </w:r>
          </w:p>
        </w:tc>
        <w:tc>
          <w:tcPr>
            <w:tcW w:w="1701" w:type="dxa"/>
          </w:tcPr>
          <w:p w14:paraId="20C990C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SCM4</w:t>
            </w:r>
          </w:p>
        </w:tc>
        <w:tc>
          <w:tcPr>
            <w:tcW w:w="1701" w:type="dxa"/>
          </w:tcPr>
          <w:p w14:paraId="6FC36A9E"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Key area for quality improvement 4</w:t>
            </w:r>
          </w:p>
        </w:tc>
        <w:tc>
          <w:tcPr>
            <w:tcW w:w="4678" w:type="dxa"/>
          </w:tcPr>
          <w:p w14:paraId="36DE312D" w14:textId="77777777" w:rsidR="00DC3C60" w:rsidRPr="00DC3C60" w:rsidRDefault="00DC3C60" w:rsidP="00DC3C60">
            <w:pPr>
              <w:rPr>
                <w:rFonts w:ascii="Arial" w:hAnsi="Arial" w:cs="Arial"/>
                <w:sz w:val="18"/>
                <w:szCs w:val="18"/>
              </w:rPr>
            </w:pPr>
            <w:r w:rsidRPr="00DC3C60">
              <w:rPr>
                <w:rFonts w:ascii="Arial" w:hAnsi="Arial" w:cs="Arial"/>
                <w:b/>
                <w:sz w:val="18"/>
                <w:szCs w:val="18"/>
              </w:rPr>
              <w:t>Molecular marker testing</w:t>
            </w:r>
            <w:r w:rsidRPr="00DC3C60">
              <w:rPr>
                <w:rFonts w:ascii="Arial" w:hAnsi="Arial" w:cs="Arial"/>
                <w:sz w:val="18"/>
                <w:szCs w:val="18"/>
              </w:rPr>
              <w:t xml:space="preserve"> and analysis for glioma patients is still relatively new, hence practice is not very cohesive. Evidence suggests some markers such as MGMT and TERT promoter mutations integration shows significant benefits if tested. </w:t>
            </w:r>
          </w:p>
        </w:tc>
        <w:tc>
          <w:tcPr>
            <w:tcW w:w="3119" w:type="dxa"/>
          </w:tcPr>
          <w:p w14:paraId="051155E8" w14:textId="77777777" w:rsidR="00DC3C60" w:rsidRPr="00DC3C60" w:rsidRDefault="00DC3C60" w:rsidP="00DC3C60">
            <w:pPr>
              <w:jc w:val="center"/>
              <w:rPr>
                <w:rFonts w:ascii="Arial" w:hAnsi="Arial"/>
                <w:sz w:val="18"/>
                <w:szCs w:val="18"/>
                <w:lang w:eastAsia="en-GB"/>
              </w:rPr>
            </w:pPr>
            <w:r w:rsidRPr="00DC3C60">
              <w:rPr>
                <w:rFonts w:ascii="Arial" w:hAnsi="Arial" w:cs="Arial"/>
                <w:sz w:val="18"/>
                <w:szCs w:val="18"/>
              </w:rPr>
              <w:t>Molecular markers are a new and emerging area in the treatment of brain tumours, and so guidance is needed to bring best practice to the attention of clinicians. It is thought that good molecular profiling can help to improve outcomes for people with tumours, but to perform molecular profiling well is difficult.</w:t>
            </w:r>
          </w:p>
        </w:tc>
        <w:tc>
          <w:tcPr>
            <w:tcW w:w="3151" w:type="dxa"/>
          </w:tcPr>
          <w:p w14:paraId="05194E7F" w14:textId="77777777" w:rsidR="00DC3C60" w:rsidRPr="00DC3C60" w:rsidRDefault="001517CD" w:rsidP="00DC3C60">
            <w:pPr>
              <w:rPr>
                <w:rFonts w:ascii="Arial" w:hAnsi="Arial" w:cs="Arial"/>
                <w:sz w:val="18"/>
                <w:szCs w:val="18"/>
              </w:rPr>
            </w:pPr>
            <w:hyperlink r:id="rId50" w:history="1">
              <w:r w:rsidR="00DC3C60" w:rsidRPr="00DC3C60">
                <w:rPr>
                  <w:rFonts w:ascii="Arial" w:hAnsi="Arial" w:cs="Arial"/>
                  <w:color w:val="0000FF"/>
                  <w:sz w:val="18"/>
                  <w:szCs w:val="18"/>
                  <w:u w:val="single"/>
                </w:rPr>
                <w:t>https://www.nice.org.uk/guidance/ng99/evidence/a-investigation-management-and-followup-of-glioma-pdf-4903134734</w:t>
              </w:r>
            </w:hyperlink>
            <w:r w:rsidR="00DC3C60" w:rsidRPr="00DC3C60">
              <w:rPr>
                <w:rFonts w:ascii="Arial" w:hAnsi="Arial" w:cs="Arial"/>
                <w:sz w:val="18"/>
                <w:szCs w:val="18"/>
              </w:rPr>
              <w:t xml:space="preserve"> </w:t>
            </w:r>
          </w:p>
        </w:tc>
      </w:tr>
      <w:tr w:rsidR="00DC3C60" w:rsidRPr="00DC3C60" w14:paraId="39129B9C" w14:textId="77777777" w:rsidTr="003635EE">
        <w:trPr>
          <w:trHeight w:val="282"/>
        </w:trPr>
        <w:tc>
          <w:tcPr>
            <w:tcW w:w="15025" w:type="dxa"/>
            <w:gridSpan w:val="6"/>
          </w:tcPr>
          <w:p w14:paraId="0C51CC2D"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Management/treatment- Multidisciplinary team</w:t>
            </w:r>
          </w:p>
        </w:tc>
      </w:tr>
      <w:tr w:rsidR="00DC3C60" w:rsidRPr="00DC3C60" w14:paraId="69FE3690" w14:textId="77777777" w:rsidTr="003635EE">
        <w:trPr>
          <w:trHeight w:val="282"/>
        </w:trPr>
        <w:tc>
          <w:tcPr>
            <w:tcW w:w="675" w:type="dxa"/>
          </w:tcPr>
          <w:p w14:paraId="19E89188" w14:textId="35A7CE65" w:rsidR="00DC3C60" w:rsidRPr="00DC3C60" w:rsidRDefault="00DC3C60" w:rsidP="00DC3C60">
            <w:pPr>
              <w:rPr>
                <w:rFonts w:ascii="Arial" w:hAnsi="Arial" w:cs="Arial"/>
                <w:sz w:val="18"/>
                <w:szCs w:val="18"/>
                <w:lang w:eastAsia="en-GB"/>
              </w:rPr>
            </w:pPr>
            <w:r>
              <w:rPr>
                <w:rFonts w:ascii="Arial" w:hAnsi="Arial" w:cs="Arial"/>
                <w:sz w:val="18"/>
                <w:szCs w:val="18"/>
                <w:lang w:eastAsia="en-GB"/>
              </w:rPr>
              <w:t>11</w:t>
            </w:r>
          </w:p>
        </w:tc>
        <w:tc>
          <w:tcPr>
            <w:tcW w:w="1701" w:type="dxa"/>
          </w:tcPr>
          <w:p w14:paraId="0A23CA6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NCRI-ACP-RCP</w:t>
            </w:r>
          </w:p>
        </w:tc>
        <w:tc>
          <w:tcPr>
            <w:tcW w:w="1701" w:type="dxa"/>
          </w:tcPr>
          <w:p w14:paraId="1A197E0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2</w:t>
            </w:r>
          </w:p>
        </w:tc>
        <w:tc>
          <w:tcPr>
            <w:tcW w:w="4678" w:type="dxa"/>
          </w:tcPr>
          <w:p w14:paraId="7C76D0B1" w14:textId="77777777" w:rsidR="00DC3C60" w:rsidRDefault="00DC3C60" w:rsidP="00DC3C60">
            <w:pPr>
              <w:rPr>
                <w:rFonts w:ascii="Arial" w:hAnsi="Arial" w:cs="Arial"/>
                <w:sz w:val="18"/>
                <w:szCs w:val="18"/>
                <w:lang w:eastAsia="en-GB"/>
              </w:rPr>
            </w:pPr>
            <w:r w:rsidRPr="00DC3C60">
              <w:rPr>
                <w:rFonts w:ascii="Arial" w:hAnsi="Arial" w:cs="Arial"/>
                <w:noProof/>
                <w:sz w:val="18"/>
                <w:szCs w:val="18"/>
                <w:lang w:eastAsia="en-GB"/>
              </w:rPr>
              <w:drawing>
                <wp:inline distT="0" distB="0" distL="0" distR="0" wp14:anchorId="4BF36F7D" wp14:editId="6A4AEAEE">
                  <wp:extent cx="2840710" cy="3781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3344" cy="3811554"/>
                          </a:xfrm>
                          <a:prstGeom prst="rect">
                            <a:avLst/>
                          </a:prstGeom>
                          <a:noFill/>
                        </pic:spPr>
                      </pic:pic>
                    </a:graphicData>
                  </a:graphic>
                </wp:inline>
              </w:drawing>
            </w:r>
          </w:p>
          <w:p w14:paraId="78DFB1AC" w14:textId="77777777" w:rsidR="00DC3C60" w:rsidRDefault="00DC3C60" w:rsidP="00DC3C60">
            <w:pPr>
              <w:rPr>
                <w:rFonts w:ascii="Arial" w:hAnsi="Arial" w:cs="Arial"/>
                <w:sz w:val="18"/>
                <w:szCs w:val="18"/>
                <w:lang w:eastAsia="en-GB"/>
              </w:rPr>
            </w:pPr>
          </w:p>
          <w:p w14:paraId="5F04C8DA" w14:textId="1ADF67F2" w:rsidR="00DC3C60" w:rsidRPr="00DC3C60" w:rsidRDefault="00DC3C60" w:rsidP="00DC3C60">
            <w:pPr>
              <w:rPr>
                <w:rFonts w:ascii="Arial" w:hAnsi="Arial" w:cs="Arial"/>
                <w:sz w:val="18"/>
                <w:szCs w:val="18"/>
                <w:lang w:eastAsia="en-GB"/>
              </w:rPr>
            </w:pPr>
          </w:p>
        </w:tc>
        <w:tc>
          <w:tcPr>
            <w:tcW w:w="3119" w:type="dxa"/>
          </w:tcPr>
          <w:p w14:paraId="559A4C21" w14:textId="77777777" w:rsidR="00DC3C60" w:rsidRPr="00DC3C60" w:rsidRDefault="00DC3C60" w:rsidP="00DC3C60">
            <w:pPr>
              <w:rPr>
                <w:rFonts w:ascii="Arial" w:hAnsi="Arial" w:cs="Arial"/>
                <w:sz w:val="18"/>
                <w:szCs w:val="18"/>
                <w:lang w:eastAsia="en-GB"/>
              </w:rPr>
            </w:pPr>
          </w:p>
        </w:tc>
        <w:tc>
          <w:tcPr>
            <w:tcW w:w="3151" w:type="dxa"/>
          </w:tcPr>
          <w:p w14:paraId="1B676E46" w14:textId="77777777" w:rsidR="00DC3C60" w:rsidRPr="00DC3C60" w:rsidRDefault="00DC3C60" w:rsidP="00DC3C60">
            <w:pPr>
              <w:rPr>
                <w:rFonts w:ascii="Arial" w:hAnsi="Arial" w:cs="Arial"/>
                <w:sz w:val="18"/>
                <w:szCs w:val="18"/>
                <w:lang w:eastAsia="en-GB"/>
              </w:rPr>
            </w:pPr>
          </w:p>
        </w:tc>
      </w:tr>
      <w:tr w:rsidR="00DC3C60" w:rsidRPr="00DC3C60" w14:paraId="5D97235D" w14:textId="77777777" w:rsidTr="003635EE">
        <w:trPr>
          <w:trHeight w:val="282"/>
        </w:trPr>
        <w:tc>
          <w:tcPr>
            <w:tcW w:w="675" w:type="dxa"/>
          </w:tcPr>
          <w:p w14:paraId="588028EC" w14:textId="05D4B15A" w:rsidR="00DC3C60" w:rsidRPr="00DC3C60" w:rsidRDefault="00DC3C60" w:rsidP="00DC3C60">
            <w:pPr>
              <w:rPr>
                <w:rFonts w:ascii="Arial" w:hAnsi="Arial" w:cs="Arial"/>
                <w:sz w:val="18"/>
                <w:szCs w:val="18"/>
                <w:lang w:eastAsia="en-GB"/>
              </w:rPr>
            </w:pPr>
            <w:r>
              <w:rPr>
                <w:rFonts w:ascii="Arial" w:hAnsi="Arial" w:cs="Arial"/>
                <w:sz w:val="18"/>
                <w:szCs w:val="18"/>
                <w:lang w:eastAsia="en-GB"/>
              </w:rPr>
              <w:t>12</w:t>
            </w:r>
          </w:p>
        </w:tc>
        <w:tc>
          <w:tcPr>
            <w:tcW w:w="1701" w:type="dxa"/>
          </w:tcPr>
          <w:p w14:paraId="47AED42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NCRI-ACP-RCP</w:t>
            </w:r>
          </w:p>
        </w:tc>
        <w:tc>
          <w:tcPr>
            <w:tcW w:w="1701" w:type="dxa"/>
          </w:tcPr>
          <w:p w14:paraId="190EB88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3</w:t>
            </w:r>
          </w:p>
        </w:tc>
        <w:tc>
          <w:tcPr>
            <w:tcW w:w="4678" w:type="dxa"/>
          </w:tcPr>
          <w:p w14:paraId="0DE8EFD7" w14:textId="77777777" w:rsidR="00DC3C60" w:rsidRDefault="00DC3C60" w:rsidP="00DC3C60">
            <w:pPr>
              <w:rPr>
                <w:rFonts w:ascii="Arial" w:hAnsi="Arial" w:cs="Arial"/>
                <w:sz w:val="18"/>
                <w:szCs w:val="18"/>
                <w:lang w:eastAsia="en-GB"/>
              </w:rPr>
            </w:pPr>
            <w:r w:rsidRPr="00DC3C60">
              <w:rPr>
                <w:rFonts w:ascii="Arial" w:hAnsi="Arial" w:cs="Arial"/>
                <w:noProof/>
                <w:sz w:val="18"/>
                <w:szCs w:val="18"/>
                <w:lang w:eastAsia="en-GB"/>
              </w:rPr>
              <w:drawing>
                <wp:inline distT="0" distB="0" distL="0" distR="0" wp14:anchorId="5508E95F" wp14:editId="7427E63F">
                  <wp:extent cx="2840355" cy="435644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0674" cy="4372276"/>
                          </a:xfrm>
                          <a:prstGeom prst="rect">
                            <a:avLst/>
                          </a:prstGeom>
                          <a:noFill/>
                        </pic:spPr>
                      </pic:pic>
                    </a:graphicData>
                  </a:graphic>
                </wp:inline>
              </w:drawing>
            </w:r>
          </w:p>
          <w:p w14:paraId="5A820DBD" w14:textId="77777777" w:rsidR="00DC3C60" w:rsidRDefault="00DC3C60" w:rsidP="00DC3C60">
            <w:pPr>
              <w:rPr>
                <w:rFonts w:ascii="Arial" w:hAnsi="Arial" w:cs="Arial"/>
                <w:sz w:val="18"/>
                <w:szCs w:val="18"/>
                <w:lang w:eastAsia="en-GB"/>
              </w:rPr>
            </w:pPr>
          </w:p>
          <w:p w14:paraId="64C93E39" w14:textId="6F1F950C" w:rsidR="00DC3C60" w:rsidRPr="00DC3C60" w:rsidRDefault="00DC3C60" w:rsidP="00DC3C60">
            <w:pPr>
              <w:rPr>
                <w:rFonts w:ascii="Arial" w:hAnsi="Arial" w:cs="Arial"/>
                <w:sz w:val="18"/>
                <w:szCs w:val="18"/>
                <w:lang w:eastAsia="en-GB"/>
              </w:rPr>
            </w:pPr>
          </w:p>
        </w:tc>
        <w:tc>
          <w:tcPr>
            <w:tcW w:w="3119" w:type="dxa"/>
          </w:tcPr>
          <w:p w14:paraId="1764F93C" w14:textId="77777777" w:rsidR="00DC3C60" w:rsidRPr="00DC3C60" w:rsidRDefault="00DC3C60" w:rsidP="00DC3C60">
            <w:pPr>
              <w:rPr>
                <w:rFonts w:ascii="Arial" w:hAnsi="Arial" w:cs="Arial"/>
                <w:sz w:val="18"/>
                <w:szCs w:val="18"/>
                <w:lang w:eastAsia="en-GB"/>
              </w:rPr>
            </w:pPr>
          </w:p>
        </w:tc>
        <w:tc>
          <w:tcPr>
            <w:tcW w:w="3151" w:type="dxa"/>
          </w:tcPr>
          <w:p w14:paraId="17BA3530" w14:textId="77777777" w:rsidR="00DC3C60" w:rsidRPr="00DC3C60" w:rsidRDefault="00DC3C60" w:rsidP="00DC3C60">
            <w:pPr>
              <w:rPr>
                <w:rFonts w:ascii="Arial" w:hAnsi="Arial" w:cs="Arial"/>
                <w:sz w:val="18"/>
                <w:szCs w:val="18"/>
                <w:lang w:eastAsia="en-GB"/>
              </w:rPr>
            </w:pPr>
          </w:p>
        </w:tc>
      </w:tr>
      <w:tr w:rsidR="00DC3C60" w:rsidRPr="00DC3C60" w14:paraId="15A45FCB" w14:textId="77777777" w:rsidTr="003635EE">
        <w:trPr>
          <w:trHeight w:val="282"/>
        </w:trPr>
        <w:tc>
          <w:tcPr>
            <w:tcW w:w="675" w:type="dxa"/>
          </w:tcPr>
          <w:p w14:paraId="0A349815" w14:textId="315CE313" w:rsidR="00DC3C60" w:rsidRPr="00DC3C60" w:rsidRDefault="00DC3C60" w:rsidP="00DC3C60">
            <w:pPr>
              <w:rPr>
                <w:rFonts w:ascii="Arial" w:hAnsi="Arial" w:cs="Arial"/>
                <w:sz w:val="18"/>
                <w:szCs w:val="18"/>
                <w:lang w:eastAsia="en-GB"/>
              </w:rPr>
            </w:pPr>
            <w:r>
              <w:rPr>
                <w:rFonts w:ascii="Arial" w:hAnsi="Arial" w:cs="Arial"/>
                <w:sz w:val="18"/>
                <w:szCs w:val="18"/>
                <w:lang w:eastAsia="en-GB"/>
              </w:rPr>
              <w:t>13</w:t>
            </w:r>
          </w:p>
        </w:tc>
        <w:tc>
          <w:tcPr>
            <w:tcW w:w="1701" w:type="dxa"/>
          </w:tcPr>
          <w:p w14:paraId="1EBB035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077B2248"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(CAHPO)Key area for quality improvement 2</w:t>
            </w:r>
          </w:p>
          <w:p w14:paraId="19DECE3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Patients with brain/CNS cancer should be discussed by a multidisciplinary (MDT) team prior to any surgical procedures.</w:t>
            </w:r>
          </w:p>
        </w:tc>
        <w:tc>
          <w:tcPr>
            <w:tcW w:w="4678" w:type="dxa"/>
          </w:tcPr>
          <w:p w14:paraId="139903D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Evidence suggests that patients with cancer managed by a multi-disciplinary team have a better outcome. We propose this team also includes Allied Health Professionals (AHPs)</w:t>
            </w:r>
          </w:p>
          <w:p w14:paraId="703456D8" w14:textId="77777777" w:rsidR="00DC3C60" w:rsidRPr="00DC3C60" w:rsidRDefault="00DC3C60" w:rsidP="00DC3C60">
            <w:pPr>
              <w:rPr>
                <w:rFonts w:ascii="Arial" w:hAnsi="Arial" w:cs="Arial"/>
                <w:sz w:val="18"/>
                <w:szCs w:val="18"/>
                <w:lang w:eastAsia="en-GB"/>
              </w:rPr>
            </w:pPr>
          </w:p>
        </w:tc>
        <w:tc>
          <w:tcPr>
            <w:tcW w:w="3119" w:type="dxa"/>
          </w:tcPr>
          <w:p w14:paraId="22F48838"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There is also evidence that the multidisciplinary management of patients increases their overall satisfaction with their care.</w:t>
            </w:r>
          </w:p>
          <w:p w14:paraId="1A1A879D" w14:textId="77777777" w:rsidR="00DC3C60" w:rsidRPr="00DC3C60" w:rsidRDefault="00DC3C60" w:rsidP="00DC3C60">
            <w:pPr>
              <w:rPr>
                <w:rFonts w:ascii="Arial" w:hAnsi="Arial" w:cs="Arial"/>
                <w:sz w:val="18"/>
                <w:szCs w:val="18"/>
                <w:lang w:eastAsia="en-GB"/>
              </w:rPr>
            </w:pPr>
          </w:p>
        </w:tc>
        <w:tc>
          <w:tcPr>
            <w:tcW w:w="3151" w:type="dxa"/>
          </w:tcPr>
          <w:p w14:paraId="06D15F84" w14:textId="4BC0157C" w:rsidR="00DC3C60" w:rsidRPr="00DC3C60" w:rsidRDefault="001517CD" w:rsidP="00DC3C60">
            <w:pPr>
              <w:spacing w:after="240" w:line="276" w:lineRule="auto"/>
              <w:rPr>
                <w:rFonts w:ascii="Arial" w:eastAsia="Arial" w:hAnsi="Arial" w:cs="Arial"/>
                <w:color w:val="000000"/>
                <w:sz w:val="18"/>
                <w:szCs w:val="18"/>
              </w:rPr>
            </w:pPr>
            <w:hyperlink r:id="rId53">
              <w:r w:rsidR="00DC3C60" w:rsidRPr="00DC3C60">
                <w:rPr>
                  <w:rFonts w:ascii="Arial" w:eastAsia="Arial" w:hAnsi="Arial" w:cs="Arial"/>
                  <w:color w:val="0000FF"/>
                  <w:sz w:val="18"/>
                  <w:szCs w:val="18"/>
                  <w:u w:val="single"/>
                </w:rPr>
                <w:t xml:space="preserve">The Value and Future Developments of Multidisciplinary Team Cancer Care </w:t>
              </w:r>
              <w:r w:rsidR="0048142E">
                <w:rPr>
                  <w:rFonts w:ascii="Arial" w:eastAsia="Arial" w:hAnsi="Arial" w:cs="Arial"/>
                  <w:color w:val="0000FF"/>
                  <w:sz w:val="18"/>
                  <w:szCs w:val="18"/>
                  <w:u w:val="single"/>
                </w:rPr>
                <w:t>–</w:t>
              </w:r>
              <w:r w:rsidR="00DC3C60" w:rsidRPr="00DC3C60">
                <w:rPr>
                  <w:rFonts w:ascii="Arial" w:eastAsia="Arial" w:hAnsi="Arial" w:cs="Arial"/>
                  <w:color w:val="0000FF"/>
                  <w:sz w:val="18"/>
                  <w:szCs w:val="18"/>
                  <w:u w:val="single"/>
                </w:rPr>
                <w:t xml:space="preserve"> PubMed (nih.gov)</w:t>
              </w:r>
            </w:hyperlink>
          </w:p>
          <w:p w14:paraId="2949F763" w14:textId="77777777" w:rsidR="00DC3C60" w:rsidRPr="00DC3C60" w:rsidRDefault="00DC3C60" w:rsidP="00DC3C60">
            <w:pPr>
              <w:rPr>
                <w:rFonts w:ascii="Arial" w:hAnsi="Arial" w:cs="Arial"/>
                <w:sz w:val="18"/>
                <w:szCs w:val="18"/>
              </w:rPr>
            </w:pPr>
          </w:p>
        </w:tc>
      </w:tr>
      <w:tr w:rsidR="00DC3C60" w:rsidRPr="00DC3C60" w14:paraId="7E24A52D" w14:textId="77777777" w:rsidTr="003635EE">
        <w:trPr>
          <w:trHeight w:val="282"/>
        </w:trPr>
        <w:tc>
          <w:tcPr>
            <w:tcW w:w="675" w:type="dxa"/>
          </w:tcPr>
          <w:p w14:paraId="5DFBA584" w14:textId="79378B2A" w:rsidR="00DC3C60" w:rsidRPr="00DC3C60" w:rsidRDefault="00DC3C60" w:rsidP="00DC3C60">
            <w:pPr>
              <w:rPr>
                <w:rFonts w:ascii="Arial" w:hAnsi="Arial" w:cs="Arial"/>
                <w:sz w:val="18"/>
                <w:szCs w:val="18"/>
                <w:lang w:eastAsia="en-GB"/>
              </w:rPr>
            </w:pPr>
            <w:r>
              <w:rPr>
                <w:rFonts w:ascii="Arial" w:hAnsi="Arial" w:cs="Arial"/>
                <w:sz w:val="18"/>
                <w:szCs w:val="18"/>
                <w:lang w:eastAsia="en-GB"/>
              </w:rPr>
              <w:t>14</w:t>
            </w:r>
          </w:p>
        </w:tc>
        <w:tc>
          <w:tcPr>
            <w:tcW w:w="1701" w:type="dxa"/>
          </w:tcPr>
          <w:p w14:paraId="1A09B0B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00CC33D2" w14:textId="77777777" w:rsidR="00DC3C60" w:rsidRPr="00DC3C60" w:rsidRDefault="00DC3C60" w:rsidP="00DC3C60">
            <w:pPr>
              <w:rPr>
                <w:rFonts w:ascii="Arial" w:hAnsi="Arial" w:cs="Arial"/>
                <w:b/>
                <w:sz w:val="18"/>
                <w:szCs w:val="18"/>
                <w:lang w:eastAsia="en-GB"/>
              </w:rPr>
            </w:pPr>
            <w:r w:rsidRPr="00DC3C60">
              <w:rPr>
                <w:rFonts w:ascii="Arial" w:hAnsi="Arial" w:cs="Arial"/>
                <w:b/>
                <w:bCs/>
                <w:color w:val="000000"/>
                <w:sz w:val="18"/>
                <w:szCs w:val="18"/>
                <w:lang w:eastAsia="en-GB"/>
              </w:rPr>
              <w:t>(Spec Comm)</w:t>
            </w:r>
            <w:r w:rsidRPr="00DC3C60">
              <w:rPr>
                <w:rFonts w:ascii="Arial" w:hAnsi="Arial" w:cs="Arial"/>
                <w:color w:val="000000"/>
                <w:sz w:val="18"/>
                <w:szCs w:val="18"/>
                <w:lang w:eastAsia="en-GB"/>
              </w:rPr>
              <w:t xml:space="preserve"> </w:t>
            </w:r>
            <w:r w:rsidRPr="00DC3C60">
              <w:rPr>
                <w:rFonts w:ascii="Arial" w:hAnsi="Arial" w:cs="Arial"/>
                <w:sz w:val="18"/>
                <w:szCs w:val="18"/>
                <w:lang w:eastAsia="en-GB"/>
              </w:rPr>
              <w:t xml:space="preserve"> Maintenance of specialisation &amp; resilience in the care pathway with emphasis on multidisciplinary working, expansion of CNS role &amp; avoidance of single consultant clinics/service provision</w:t>
            </w:r>
          </w:p>
        </w:tc>
        <w:tc>
          <w:tcPr>
            <w:tcW w:w="4678" w:type="dxa"/>
          </w:tcPr>
          <w:p w14:paraId="34ECB7A3" w14:textId="77777777" w:rsidR="00DC3C60" w:rsidRPr="00DC3C60" w:rsidRDefault="00DC3C60" w:rsidP="00DC3C60">
            <w:pPr>
              <w:rPr>
                <w:rFonts w:ascii="Arial" w:hAnsi="Arial" w:cs="Arial"/>
                <w:sz w:val="18"/>
                <w:szCs w:val="18"/>
              </w:rPr>
            </w:pPr>
            <w:r w:rsidRPr="00DC3C60">
              <w:rPr>
                <w:rFonts w:ascii="Arial" w:hAnsi="Arial" w:cs="Arial"/>
                <w:sz w:val="18"/>
                <w:szCs w:val="18"/>
              </w:rPr>
              <w:t>Dedicated specialist care pathways improve clinical outcomes, reduces morbidity and drives down costs to the NHS</w:t>
            </w:r>
          </w:p>
        </w:tc>
        <w:tc>
          <w:tcPr>
            <w:tcW w:w="3119" w:type="dxa"/>
          </w:tcPr>
          <w:p w14:paraId="784DB278" w14:textId="77777777" w:rsidR="00DC3C60" w:rsidRPr="00DC3C60" w:rsidRDefault="00DC3C60" w:rsidP="00DC3C60">
            <w:pPr>
              <w:rPr>
                <w:rFonts w:ascii="Arial" w:hAnsi="Arial" w:cs="Arial"/>
                <w:sz w:val="18"/>
                <w:szCs w:val="18"/>
                <w:lang w:eastAsia="en-GB"/>
              </w:rPr>
            </w:pPr>
          </w:p>
        </w:tc>
        <w:tc>
          <w:tcPr>
            <w:tcW w:w="3151" w:type="dxa"/>
          </w:tcPr>
          <w:p w14:paraId="57C48B28"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NICE NG99 Sections 1.2, 1.4 &amp; 1.7</w:t>
            </w:r>
          </w:p>
          <w:p w14:paraId="2A1B72CC"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NHSE MDT guidelines updated 2018: </w:t>
            </w:r>
            <w:hyperlink r:id="rId54" w:history="1">
              <w:r w:rsidRPr="00DC3C60">
                <w:rPr>
                  <w:rFonts w:ascii="Arial" w:hAnsi="Arial" w:cs="Arial"/>
                  <w:color w:val="0000FF"/>
                  <w:sz w:val="18"/>
                  <w:szCs w:val="18"/>
                  <w:u w:val="single"/>
                  <w:lang w:eastAsia="en-GB"/>
                </w:rPr>
                <w:t>https://www.england.nhs.uk/publication/making-it-happen-multi-disciplinary-team-mdt-working/</w:t>
              </w:r>
            </w:hyperlink>
            <w:r w:rsidRPr="00DC3C60">
              <w:rPr>
                <w:rFonts w:ascii="Arial" w:hAnsi="Arial" w:cs="Arial"/>
                <w:sz w:val="18"/>
                <w:szCs w:val="18"/>
                <w:lang w:eastAsia="en-GB"/>
              </w:rPr>
              <w:t xml:space="preserve"> </w:t>
            </w:r>
          </w:p>
          <w:p w14:paraId="7A0FB9D9"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GIRFT: </w:t>
            </w:r>
            <w:hyperlink r:id="rId55" w:history="1">
              <w:r w:rsidRPr="00DC3C60">
                <w:rPr>
                  <w:rFonts w:ascii="Arial" w:hAnsi="Arial" w:cs="Arial"/>
                  <w:color w:val="0000FF"/>
                  <w:sz w:val="18"/>
                  <w:szCs w:val="18"/>
                  <w:u w:val="single"/>
                  <w:lang w:eastAsia="en-GB"/>
                </w:rPr>
                <w:t>https://www.gettingitrightfirsttime.co.uk</w:t>
              </w:r>
            </w:hyperlink>
            <w:r w:rsidRPr="00DC3C60">
              <w:rPr>
                <w:rFonts w:ascii="Arial" w:hAnsi="Arial" w:cs="Arial"/>
                <w:sz w:val="18"/>
                <w:szCs w:val="18"/>
                <w:lang w:eastAsia="en-GB"/>
              </w:rPr>
              <w:t xml:space="preserve"> </w:t>
            </w:r>
          </w:p>
          <w:p w14:paraId="4859AD7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National Neurosurgery Audit Programme: </w:t>
            </w:r>
            <w:hyperlink r:id="rId56" w:history="1">
              <w:r w:rsidRPr="00DC3C60">
                <w:rPr>
                  <w:rFonts w:ascii="Arial" w:hAnsi="Arial" w:cs="Arial"/>
                  <w:color w:val="0000FF"/>
                  <w:sz w:val="18"/>
                  <w:szCs w:val="18"/>
                  <w:u w:val="single"/>
                  <w:lang w:eastAsia="en-GB"/>
                </w:rPr>
                <w:t>https://www.nnap.org.uk</w:t>
              </w:r>
            </w:hyperlink>
            <w:r w:rsidRPr="00DC3C60">
              <w:rPr>
                <w:rFonts w:ascii="Arial" w:hAnsi="Arial" w:cs="Arial"/>
                <w:sz w:val="18"/>
                <w:szCs w:val="18"/>
                <w:lang w:eastAsia="en-GB"/>
              </w:rPr>
              <w:t xml:space="preserve"> </w:t>
            </w:r>
          </w:p>
          <w:p w14:paraId="335FD2BF" w14:textId="77777777" w:rsidR="00DC3C60" w:rsidRPr="00DC3C60" w:rsidRDefault="001517CD" w:rsidP="00DC3C60">
            <w:pPr>
              <w:spacing w:after="240" w:line="276" w:lineRule="auto"/>
              <w:rPr>
                <w:rFonts w:ascii="Arial" w:hAnsi="Arial" w:cs="Arial"/>
                <w:sz w:val="18"/>
                <w:szCs w:val="18"/>
                <w:lang w:eastAsia="en-GB"/>
              </w:rPr>
            </w:pPr>
            <w:hyperlink r:id="rId57" w:history="1">
              <w:r w:rsidR="00DC3C60" w:rsidRPr="00DC3C60">
                <w:rPr>
                  <w:rFonts w:ascii="Arial" w:hAnsi="Arial" w:cs="Arial"/>
                  <w:color w:val="0000FF"/>
                  <w:sz w:val="18"/>
                  <w:szCs w:val="18"/>
                  <w:u w:val="single"/>
                  <w:lang w:eastAsia="en-GB"/>
                </w:rPr>
                <w:t>https://www.sbns.org.uk/index.php/policies-and-publications/</w:t>
              </w:r>
            </w:hyperlink>
            <w:r w:rsidR="00DC3C60" w:rsidRPr="00DC3C60">
              <w:rPr>
                <w:rFonts w:ascii="Arial" w:hAnsi="Arial" w:cs="Arial"/>
                <w:sz w:val="18"/>
                <w:szCs w:val="18"/>
                <w:lang w:eastAsia="en-GB"/>
              </w:rPr>
              <w:t xml:space="preserve"> </w:t>
            </w:r>
          </w:p>
        </w:tc>
      </w:tr>
      <w:tr w:rsidR="00DC3C60" w:rsidRPr="00DC3C60" w14:paraId="01E99755" w14:textId="77777777" w:rsidTr="003635EE">
        <w:trPr>
          <w:trHeight w:val="282"/>
        </w:trPr>
        <w:tc>
          <w:tcPr>
            <w:tcW w:w="675" w:type="dxa"/>
          </w:tcPr>
          <w:p w14:paraId="5EE1AD9A" w14:textId="1875E0DC" w:rsidR="00DC3C60" w:rsidRPr="00DC3C60" w:rsidRDefault="00DC3C60" w:rsidP="00DC3C60">
            <w:pPr>
              <w:rPr>
                <w:rFonts w:ascii="Arial" w:hAnsi="Arial" w:cs="Arial"/>
                <w:sz w:val="18"/>
                <w:szCs w:val="18"/>
                <w:lang w:eastAsia="en-GB"/>
              </w:rPr>
            </w:pPr>
            <w:r>
              <w:rPr>
                <w:rFonts w:ascii="Arial" w:hAnsi="Arial" w:cs="Arial"/>
                <w:sz w:val="18"/>
                <w:szCs w:val="18"/>
                <w:lang w:eastAsia="en-GB"/>
              </w:rPr>
              <w:t>15</w:t>
            </w:r>
          </w:p>
        </w:tc>
        <w:tc>
          <w:tcPr>
            <w:tcW w:w="1701" w:type="dxa"/>
          </w:tcPr>
          <w:p w14:paraId="12CDC95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Scottish Adult Neuro-oncology Network </w:t>
            </w:r>
          </w:p>
        </w:tc>
        <w:tc>
          <w:tcPr>
            <w:tcW w:w="1701" w:type="dxa"/>
          </w:tcPr>
          <w:p w14:paraId="7BB19A4A"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2</w:t>
            </w:r>
          </w:p>
          <w:p w14:paraId="677915F9" w14:textId="77777777" w:rsidR="00DC3C60" w:rsidRPr="00DC3C60" w:rsidRDefault="00DC3C60" w:rsidP="00DC3C60">
            <w:pPr>
              <w:rPr>
                <w:rFonts w:ascii="Arial" w:hAnsi="Arial" w:cs="Arial"/>
                <w:b/>
                <w:sz w:val="18"/>
                <w:szCs w:val="18"/>
                <w:lang w:eastAsia="en-GB"/>
              </w:rPr>
            </w:pPr>
            <w:r w:rsidRPr="00DC3C60">
              <w:rPr>
                <w:rFonts w:ascii="Arial" w:hAnsi="Arial"/>
                <w:sz w:val="18"/>
                <w:szCs w:val="18"/>
                <w:lang w:eastAsia="en-GB"/>
              </w:rPr>
              <w:t>30 day mortality following treatment for brain / CNS cancer.</w:t>
            </w:r>
          </w:p>
        </w:tc>
        <w:tc>
          <w:tcPr>
            <w:tcW w:w="4678" w:type="dxa"/>
          </w:tcPr>
          <w:p w14:paraId="2B4CCC7F" w14:textId="77777777" w:rsidR="00DC3C60" w:rsidRPr="00DC3C60" w:rsidRDefault="00DC3C60" w:rsidP="00DC3C60">
            <w:pPr>
              <w:rPr>
                <w:rFonts w:ascii="Arial" w:hAnsi="Arial" w:cs="Arial"/>
                <w:sz w:val="18"/>
                <w:szCs w:val="18"/>
              </w:rPr>
            </w:pPr>
            <w:r w:rsidRPr="00DC3C60">
              <w:rPr>
                <w:rFonts w:ascii="Arial" w:hAnsi="Arial"/>
                <w:sz w:val="18"/>
                <w:szCs w:val="18"/>
              </w:rPr>
              <w:t xml:space="preserve">Treatment related mortality is a marker of the quality and safety of the whole service provided by the </w:t>
            </w:r>
            <w:proofErr w:type="spellStart"/>
            <w:r w:rsidRPr="00DC3C60">
              <w:rPr>
                <w:rFonts w:ascii="Arial" w:hAnsi="Arial"/>
                <w:sz w:val="18"/>
                <w:szCs w:val="18"/>
              </w:rPr>
              <w:t>Multi Disciplinary</w:t>
            </w:r>
            <w:proofErr w:type="spellEnd"/>
            <w:r w:rsidRPr="00DC3C60">
              <w:rPr>
                <w:rFonts w:ascii="Arial" w:hAnsi="Arial"/>
                <w:sz w:val="18"/>
                <w:szCs w:val="18"/>
              </w:rPr>
              <w:t xml:space="preserve"> Team (MDT)3.</w:t>
            </w:r>
          </w:p>
        </w:tc>
        <w:tc>
          <w:tcPr>
            <w:tcW w:w="3119" w:type="dxa"/>
          </w:tcPr>
          <w:p w14:paraId="3C4DF236" w14:textId="77777777" w:rsidR="00DC3C60" w:rsidRPr="00DC3C60" w:rsidRDefault="00DC3C60" w:rsidP="00DC3C60">
            <w:pPr>
              <w:rPr>
                <w:rFonts w:ascii="Arial" w:hAnsi="Arial" w:cs="Arial"/>
                <w:sz w:val="18"/>
                <w:szCs w:val="18"/>
                <w:lang w:eastAsia="en-GB"/>
              </w:rPr>
            </w:pPr>
            <w:r w:rsidRPr="00DC3C60">
              <w:rPr>
                <w:rFonts w:ascii="Arial" w:hAnsi="Arial"/>
                <w:sz w:val="18"/>
                <w:szCs w:val="18"/>
                <w:lang w:eastAsia="en-GB"/>
              </w:rPr>
              <w:t xml:space="preserve">Outcomes of treatment, including treatment related morbidity and mortality should be regularly assessed. Treatment should only be undertaken in individuals that may benefit from that treatment, that is, treatments should not be undertaken in futile situations. This QPI is </w:t>
            </w:r>
            <w:proofErr w:type="spellStart"/>
            <w:r w:rsidRPr="00DC3C60">
              <w:rPr>
                <w:rFonts w:ascii="Arial" w:hAnsi="Arial"/>
                <w:sz w:val="18"/>
                <w:szCs w:val="18"/>
                <w:lang w:eastAsia="en-GB"/>
              </w:rPr>
              <w:t>intented</w:t>
            </w:r>
            <w:proofErr w:type="spellEnd"/>
            <w:r w:rsidRPr="00DC3C60">
              <w:rPr>
                <w:rFonts w:ascii="Arial" w:hAnsi="Arial"/>
                <w:sz w:val="18"/>
                <w:szCs w:val="18"/>
                <w:lang w:eastAsia="en-GB"/>
              </w:rPr>
              <w:t xml:space="preserve"> to ensure treatment is given appropriately, and the outcome reported on and reviewed.</w:t>
            </w:r>
          </w:p>
        </w:tc>
        <w:tc>
          <w:tcPr>
            <w:tcW w:w="3151" w:type="dxa"/>
          </w:tcPr>
          <w:p w14:paraId="1551E5CD" w14:textId="77777777" w:rsidR="00DC3C60" w:rsidRPr="00DC3C60" w:rsidRDefault="00DC3C60" w:rsidP="00DC3C60">
            <w:pPr>
              <w:rPr>
                <w:rFonts w:ascii="Arial" w:hAnsi="Arial" w:cs="Arial"/>
                <w:sz w:val="18"/>
                <w:szCs w:val="18"/>
              </w:rPr>
            </w:pPr>
            <w:r w:rsidRPr="00DC3C60">
              <w:rPr>
                <w:rFonts w:ascii="Arial" w:hAnsi="Arial"/>
                <w:sz w:val="18"/>
                <w:szCs w:val="18"/>
              </w:rPr>
              <w:t>NICE (2006) Improving outcomes for people with brain and other CNS tumours – the manual (accessed on: 23</w:t>
            </w:r>
            <w:r w:rsidRPr="0048142E">
              <w:rPr>
                <w:rFonts w:ascii="Arial" w:hAnsi="Arial"/>
                <w:sz w:val="18"/>
                <w:szCs w:val="18"/>
                <w:vertAlign w:val="superscript"/>
              </w:rPr>
              <w:t>rd</w:t>
            </w:r>
            <w:r w:rsidRPr="00DC3C60">
              <w:rPr>
                <w:rFonts w:ascii="Arial" w:hAnsi="Arial"/>
                <w:sz w:val="18"/>
                <w:szCs w:val="18"/>
              </w:rPr>
              <w:t xml:space="preserve"> August 2013); Update available from: https://www.nice.org.uk/guidance/csg10/resources/improving-outcomes-for-people-withbrain-and-other-central-nervous-system-tumours-update-pdf-27841361437 (accessed July 2017) 3. NHS Quality Improvement Scotland (2008) Clinical standards for the management of bowel cancer. Available from: http://www.healthcareimprovementscotland.org/programmes/cancer_care_improvement/ca </w:t>
            </w:r>
            <w:proofErr w:type="spellStart"/>
            <w:r w:rsidRPr="00DC3C60">
              <w:rPr>
                <w:rFonts w:ascii="Arial" w:hAnsi="Arial"/>
                <w:sz w:val="18"/>
                <w:szCs w:val="18"/>
              </w:rPr>
              <w:t>ncer_resources</w:t>
            </w:r>
            <w:proofErr w:type="spellEnd"/>
            <w:r w:rsidRPr="00DC3C60">
              <w:rPr>
                <w:rFonts w:ascii="Arial" w:hAnsi="Arial"/>
                <w:sz w:val="18"/>
                <w:szCs w:val="18"/>
              </w:rPr>
              <w:t>/standards_for_cancer_services.aspx (accessed 3</w:t>
            </w:r>
            <w:r w:rsidRPr="0048142E">
              <w:rPr>
                <w:rFonts w:ascii="Arial" w:hAnsi="Arial"/>
                <w:sz w:val="18"/>
                <w:szCs w:val="18"/>
                <w:vertAlign w:val="superscript"/>
              </w:rPr>
              <w:t>rd</w:t>
            </w:r>
            <w:r w:rsidRPr="00DC3C60">
              <w:rPr>
                <w:rFonts w:ascii="Arial" w:hAnsi="Arial"/>
                <w:sz w:val="18"/>
                <w:szCs w:val="18"/>
              </w:rPr>
              <w:t xml:space="preserve"> June 2013)</w:t>
            </w:r>
          </w:p>
        </w:tc>
      </w:tr>
      <w:tr w:rsidR="00DC3C60" w:rsidRPr="00DC3C60" w14:paraId="79081AA4" w14:textId="77777777" w:rsidTr="003635EE">
        <w:trPr>
          <w:trHeight w:val="282"/>
        </w:trPr>
        <w:tc>
          <w:tcPr>
            <w:tcW w:w="675" w:type="dxa"/>
          </w:tcPr>
          <w:p w14:paraId="795F51A5" w14:textId="37BA5E6C" w:rsidR="00DC3C60" w:rsidRPr="00DC3C60" w:rsidRDefault="00DC3C60" w:rsidP="00DC3C60">
            <w:pPr>
              <w:rPr>
                <w:rFonts w:ascii="Arial" w:hAnsi="Arial" w:cs="Arial"/>
                <w:sz w:val="18"/>
                <w:szCs w:val="18"/>
                <w:lang w:eastAsia="en-GB"/>
              </w:rPr>
            </w:pPr>
            <w:r>
              <w:rPr>
                <w:rFonts w:ascii="Arial" w:hAnsi="Arial" w:cs="Arial"/>
                <w:sz w:val="18"/>
                <w:szCs w:val="18"/>
                <w:lang w:eastAsia="en-GB"/>
              </w:rPr>
              <w:t>16</w:t>
            </w:r>
          </w:p>
        </w:tc>
        <w:tc>
          <w:tcPr>
            <w:tcW w:w="1701" w:type="dxa"/>
          </w:tcPr>
          <w:p w14:paraId="58CC28D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Brain Tumour Charity</w:t>
            </w:r>
          </w:p>
        </w:tc>
        <w:tc>
          <w:tcPr>
            <w:tcW w:w="1701" w:type="dxa"/>
          </w:tcPr>
          <w:p w14:paraId="2B48BC38"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4</w:t>
            </w:r>
          </w:p>
          <w:p w14:paraId="20697594"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 xml:space="preserve">The treatment and care of all patients diagnosed with a brain tumour is reviewed and managed by an MDT </w:t>
            </w:r>
          </w:p>
        </w:tc>
        <w:tc>
          <w:tcPr>
            <w:tcW w:w="4678" w:type="dxa"/>
          </w:tcPr>
          <w:p w14:paraId="08D08250"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Increasingly, multidisciplinary teams (MDTs) have been established and utilised for the care and treatment of brain tumours. The use of MDTs was one of the key recommendations of the Cancer service guidelines CSG10, highlighted due to its importance in driving improvements in patient care. </w:t>
            </w:r>
          </w:p>
          <w:p w14:paraId="4223FED8" w14:textId="77777777" w:rsidR="00DC3C60" w:rsidRPr="00DC3C60" w:rsidRDefault="00DC3C60" w:rsidP="00DC3C60">
            <w:pPr>
              <w:spacing w:after="240" w:line="276" w:lineRule="auto"/>
              <w:rPr>
                <w:rFonts w:ascii="Arial" w:hAnsi="Arial" w:cs="Arial"/>
                <w:sz w:val="18"/>
                <w:szCs w:val="18"/>
                <w:lang w:eastAsia="en-GB"/>
              </w:rPr>
            </w:pPr>
          </w:p>
          <w:p w14:paraId="79F47EC1" w14:textId="77777777" w:rsidR="00DC3C60" w:rsidRPr="00DC3C60" w:rsidRDefault="00DC3C60" w:rsidP="00DC3C60">
            <w:pPr>
              <w:rPr>
                <w:rFonts w:ascii="Arial" w:hAnsi="Arial" w:cs="Arial"/>
                <w:sz w:val="18"/>
                <w:szCs w:val="18"/>
              </w:rPr>
            </w:pPr>
          </w:p>
        </w:tc>
        <w:tc>
          <w:tcPr>
            <w:tcW w:w="3119" w:type="dxa"/>
          </w:tcPr>
          <w:p w14:paraId="33AFAD99"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The availability of MDTs to discuss treatment and care options for people living with a brain tumour has increased significantly in recent years, with a report from the Commission for Health Improvement citing widespread use as far back as 2003. </w:t>
            </w:r>
          </w:p>
          <w:p w14:paraId="75A3873E"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However, their implementation across the UK varies and MDTs still may not include certain healthcare professionals who play an active role in patient treatment and care, such as Allied Health Professional or Palliative Care Specialist, where appropriate. </w:t>
            </w:r>
          </w:p>
          <w:p w14:paraId="1D884C5D" w14:textId="77777777" w:rsidR="00DC3C60" w:rsidRPr="00DC3C60" w:rsidRDefault="00DC3C60" w:rsidP="00DC3C60">
            <w:pPr>
              <w:rPr>
                <w:rFonts w:ascii="Arial" w:hAnsi="Arial" w:cs="Arial"/>
                <w:sz w:val="18"/>
                <w:szCs w:val="18"/>
                <w:lang w:eastAsia="en-GB"/>
              </w:rPr>
            </w:pPr>
          </w:p>
        </w:tc>
        <w:tc>
          <w:tcPr>
            <w:tcW w:w="3151" w:type="dxa"/>
          </w:tcPr>
          <w:p w14:paraId="10E64290"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As outlined in the </w:t>
            </w:r>
            <w:hyperlink r:id="rId58" w:history="1">
              <w:r w:rsidRPr="00DC3C60">
                <w:rPr>
                  <w:rFonts w:ascii="Arial" w:hAnsi="Arial" w:cs="Arial"/>
                  <w:color w:val="0000FF"/>
                  <w:sz w:val="18"/>
                  <w:szCs w:val="18"/>
                  <w:u w:val="single"/>
                  <w:lang w:eastAsia="en-GB"/>
                </w:rPr>
                <w:t>Tessa Jowell Centre of Excellence Designation of Standards</w:t>
              </w:r>
            </w:hyperlink>
            <w:r w:rsidRPr="00DC3C60">
              <w:rPr>
                <w:rFonts w:ascii="Arial" w:hAnsi="Arial" w:cs="Arial"/>
                <w:sz w:val="18"/>
                <w:szCs w:val="18"/>
                <w:lang w:eastAsia="en-GB"/>
              </w:rPr>
              <w:t>.</w:t>
            </w:r>
          </w:p>
          <w:p w14:paraId="6C94395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The MDT should include relevant specialists, including: </w:t>
            </w:r>
          </w:p>
          <w:p w14:paraId="0D67E2AC"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Neurosurgeon</w:t>
            </w:r>
          </w:p>
          <w:p w14:paraId="656F98E7"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Diagnostic Neuroradiologist</w:t>
            </w:r>
          </w:p>
          <w:p w14:paraId="0549CD82"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Neuropathologist</w:t>
            </w:r>
          </w:p>
          <w:p w14:paraId="7B5DA3CE"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Clinical Oncologist</w:t>
            </w:r>
          </w:p>
          <w:p w14:paraId="5261FCC9"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Medical Oncologist (optional)</w:t>
            </w:r>
          </w:p>
          <w:p w14:paraId="142B9B0A"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Neurologist</w:t>
            </w:r>
          </w:p>
          <w:p w14:paraId="67E79750"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Neuropsychologist</w:t>
            </w:r>
          </w:p>
          <w:p w14:paraId="3AA4B93F"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Neuro-oncology Nurse</w:t>
            </w:r>
          </w:p>
          <w:p w14:paraId="5C636FEA"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Palliative Care Specialist*</w:t>
            </w:r>
          </w:p>
          <w:p w14:paraId="6DC94F87"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Allied Health Professional (e.g. neuro-oncology physiotherapist, Occupational Therapist, Speech and Language Therapist)</w:t>
            </w:r>
          </w:p>
          <w:p w14:paraId="5EFCE0FB"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Geneticist (desired, or access when relevant)</w:t>
            </w:r>
          </w:p>
          <w:p w14:paraId="264FEF9A"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Consultant in Rehabilitation (desired, or access when relevant)</w:t>
            </w:r>
          </w:p>
          <w:p w14:paraId="63A7A86E" w14:textId="77777777" w:rsidR="00DC3C60" w:rsidRPr="00DC3C60" w:rsidRDefault="00DC3C60" w:rsidP="00DC3C60">
            <w:pPr>
              <w:numPr>
                <w:ilvl w:val="0"/>
                <w:numId w:val="17"/>
              </w:numPr>
              <w:ind w:left="714" w:hanging="357"/>
              <w:rPr>
                <w:rFonts w:ascii="Arial" w:hAnsi="Arial" w:cs="Arial"/>
                <w:sz w:val="18"/>
                <w:szCs w:val="18"/>
                <w:lang w:eastAsia="en-GB"/>
              </w:rPr>
            </w:pPr>
            <w:r w:rsidRPr="00DC3C60">
              <w:rPr>
                <w:rFonts w:ascii="Arial" w:hAnsi="Arial" w:cs="Arial"/>
                <w:sz w:val="18"/>
                <w:szCs w:val="18"/>
                <w:lang w:eastAsia="en-GB"/>
              </w:rPr>
              <w:t>MDT Coordinator</w:t>
            </w:r>
          </w:p>
          <w:p w14:paraId="31F57AB9" w14:textId="77777777" w:rsidR="00DC3C60" w:rsidRPr="00DC3C60" w:rsidRDefault="00DC3C60" w:rsidP="00DC3C60">
            <w:pPr>
              <w:spacing w:after="240" w:line="276" w:lineRule="auto"/>
              <w:rPr>
                <w:rFonts w:ascii="Arial" w:hAnsi="Arial" w:cs="Arial"/>
                <w:sz w:val="18"/>
                <w:szCs w:val="18"/>
                <w:lang w:eastAsia="en-GB"/>
              </w:rPr>
            </w:pPr>
          </w:p>
          <w:p w14:paraId="3171E13A"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*An MDT may include a Palliative Care Specialist who will provide the option to discuss palliative care from the point of diagnosis, if appropriate for the stage and aggressiveness of their tumour. </w:t>
            </w:r>
          </w:p>
          <w:p w14:paraId="78DA35A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If such conversations take place in the early stages of the patient pathway, it is more likely that a person with a terminal diagnosis will have the choice and control to exercise important decisions in care.</w:t>
            </w:r>
          </w:p>
          <w:p w14:paraId="664826DF" w14:textId="77777777" w:rsidR="00DC3C60" w:rsidRPr="00DC3C60" w:rsidRDefault="00DC3C60" w:rsidP="00DC3C60">
            <w:pPr>
              <w:rPr>
                <w:rFonts w:ascii="Arial" w:hAnsi="Arial" w:cs="Arial"/>
                <w:sz w:val="18"/>
                <w:szCs w:val="18"/>
              </w:rPr>
            </w:pPr>
          </w:p>
        </w:tc>
      </w:tr>
      <w:tr w:rsidR="00DC3C60" w:rsidRPr="00DC3C60" w14:paraId="725750D0" w14:textId="77777777" w:rsidTr="003635EE">
        <w:trPr>
          <w:trHeight w:val="282"/>
        </w:trPr>
        <w:tc>
          <w:tcPr>
            <w:tcW w:w="15025" w:type="dxa"/>
            <w:gridSpan w:val="6"/>
            <w:tcBorders>
              <w:top w:val="single" w:sz="4" w:space="0" w:color="999999"/>
              <w:left w:val="single" w:sz="4" w:space="0" w:color="999999"/>
              <w:bottom w:val="single" w:sz="4" w:space="0" w:color="999999"/>
              <w:right w:val="single" w:sz="4" w:space="0" w:color="999999"/>
            </w:tcBorders>
          </w:tcPr>
          <w:p w14:paraId="46F2F96B"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Management/treatment – Treatment pathway</w:t>
            </w:r>
          </w:p>
        </w:tc>
      </w:tr>
      <w:tr w:rsidR="00DC3C60" w:rsidRPr="00DC3C60" w14:paraId="63D156B3" w14:textId="77777777" w:rsidTr="003635EE">
        <w:trPr>
          <w:trHeight w:val="282"/>
        </w:trPr>
        <w:tc>
          <w:tcPr>
            <w:tcW w:w="675" w:type="dxa"/>
            <w:tcBorders>
              <w:top w:val="single" w:sz="4" w:space="0" w:color="999999"/>
              <w:left w:val="single" w:sz="4" w:space="0" w:color="999999"/>
              <w:bottom w:val="single" w:sz="4" w:space="0" w:color="999999"/>
              <w:right w:val="single" w:sz="4" w:space="0" w:color="999999"/>
            </w:tcBorders>
          </w:tcPr>
          <w:p w14:paraId="1AC43EB1" w14:textId="07962DF4" w:rsidR="00DC3C60" w:rsidRPr="00DC3C60" w:rsidRDefault="00DC3C60" w:rsidP="00DC3C60">
            <w:pPr>
              <w:rPr>
                <w:rFonts w:ascii="Arial" w:hAnsi="Arial" w:cs="Arial"/>
                <w:sz w:val="18"/>
                <w:szCs w:val="18"/>
                <w:lang w:eastAsia="en-GB"/>
              </w:rPr>
            </w:pPr>
            <w:r>
              <w:rPr>
                <w:rFonts w:ascii="Arial" w:hAnsi="Arial" w:cs="Arial"/>
                <w:sz w:val="18"/>
                <w:szCs w:val="18"/>
                <w:lang w:eastAsia="en-GB"/>
              </w:rPr>
              <w:t>17</w:t>
            </w:r>
          </w:p>
        </w:tc>
        <w:tc>
          <w:tcPr>
            <w:tcW w:w="1701" w:type="dxa"/>
            <w:tcBorders>
              <w:top w:val="single" w:sz="4" w:space="0" w:color="999999"/>
              <w:left w:val="single" w:sz="4" w:space="0" w:color="999999"/>
              <w:bottom w:val="single" w:sz="4" w:space="0" w:color="999999"/>
              <w:right w:val="single" w:sz="4" w:space="0" w:color="999999"/>
            </w:tcBorders>
          </w:tcPr>
          <w:p w14:paraId="75A5BAF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SCM4</w:t>
            </w:r>
          </w:p>
        </w:tc>
        <w:tc>
          <w:tcPr>
            <w:tcW w:w="1701" w:type="dxa"/>
            <w:tcBorders>
              <w:top w:val="single" w:sz="4" w:space="0" w:color="999999"/>
              <w:left w:val="single" w:sz="4" w:space="0" w:color="999999"/>
              <w:bottom w:val="single" w:sz="4" w:space="0" w:color="999999"/>
              <w:right w:val="single" w:sz="4" w:space="0" w:color="999999"/>
            </w:tcBorders>
          </w:tcPr>
          <w:p w14:paraId="72030F3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3</w:t>
            </w:r>
          </w:p>
        </w:tc>
        <w:tc>
          <w:tcPr>
            <w:tcW w:w="4678" w:type="dxa"/>
            <w:tcBorders>
              <w:top w:val="single" w:sz="4" w:space="0" w:color="999999"/>
              <w:left w:val="single" w:sz="4" w:space="0" w:color="999999"/>
              <w:bottom w:val="single" w:sz="4" w:space="0" w:color="999999"/>
              <w:right w:val="single" w:sz="4" w:space="0" w:color="999999"/>
            </w:tcBorders>
          </w:tcPr>
          <w:p w14:paraId="7A6C9244" w14:textId="12F797E2" w:rsidR="00DC3C60" w:rsidRPr="00DC3C60" w:rsidRDefault="00DC3C60" w:rsidP="00DC3C60">
            <w:pPr>
              <w:rPr>
                <w:rFonts w:ascii="Arial" w:hAnsi="Arial" w:cs="Arial"/>
                <w:sz w:val="18"/>
                <w:szCs w:val="18"/>
                <w:lang w:eastAsia="en-GB"/>
              </w:rPr>
            </w:pPr>
            <w:proofErr w:type="spellStart"/>
            <w:r w:rsidRPr="00DC3C60">
              <w:rPr>
                <w:rFonts w:ascii="Arial" w:hAnsi="Arial" w:cs="Arial"/>
                <w:sz w:val="18"/>
                <w:szCs w:val="18"/>
                <w:lang w:eastAsia="en-GB"/>
              </w:rPr>
              <w:t>Prehabilitation</w:t>
            </w:r>
            <w:proofErr w:type="spellEnd"/>
            <w:r w:rsidRPr="00DC3C60">
              <w:rPr>
                <w:rFonts w:ascii="Arial" w:hAnsi="Arial" w:cs="Arial"/>
                <w:sz w:val="18"/>
                <w:szCs w:val="18"/>
                <w:lang w:eastAsia="en-GB"/>
              </w:rPr>
              <w:t xml:space="preserve"> aims at optimising patient’s physical and mental health through exercise, nutrition, and psychological interventions based on individual needs. It aims to improve treatment effectiveness and cancer survival. </w:t>
            </w:r>
            <w:r w:rsidR="0048142E" w:rsidRPr="00DC3C60">
              <w:rPr>
                <w:rFonts w:ascii="Arial" w:hAnsi="Arial" w:cs="Arial"/>
                <w:sz w:val="18"/>
                <w:szCs w:val="18"/>
                <w:lang w:eastAsia="en-GB"/>
              </w:rPr>
              <w:t>C</w:t>
            </w:r>
            <w:r w:rsidRPr="00DC3C60">
              <w:rPr>
                <w:rFonts w:ascii="Arial" w:hAnsi="Arial" w:cs="Arial"/>
                <w:sz w:val="18"/>
                <w:szCs w:val="18"/>
                <w:lang w:eastAsia="en-GB"/>
              </w:rPr>
              <w:t xml:space="preserve">linics with neuro specific OT / Physio </w:t>
            </w:r>
          </w:p>
        </w:tc>
        <w:tc>
          <w:tcPr>
            <w:tcW w:w="3119" w:type="dxa"/>
            <w:tcBorders>
              <w:top w:val="single" w:sz="4" w:space="0" w:color="999999"/>
              <w:left w:val="single" w:sz="4" w:space="0" w:color="999999"/>
              <w:bottom w:val="single" w:sz="4" w:space="0" w:color="999999"/>
              <w:right w:val="single" w:sz="4" w:space="0" w:color="999999"/>
            </w:tcBorders>
          </w:tcPr>
          <w:p w14:paraId="3234255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Macmillan suggests that </w:t>
            </w:r>
            <w:proofErr w:type="spellStart"/>
            <w:r w:rsidRPr="00DC3C60">
              <w:rPr>
                <w:rFonts w:ascii="Arial" w:hAnsi="Arial" w:cs="Arial"/>
                <w:sz w:val="18"/>
                <w:szCs w:val="18"/>
                <w:lang w:eastAsia="en-GB"/>
              </w:rPr>
              <w:t>prehabilitation</w:t>
            </w:r>
            <w:proofErr w:type="spellEnd"/>
            <w:r w:rsidRPr="00DC3C60">
              <w:rPr>
                <w:rFonts w:ascii="Arial" w:hAnsi="Arial" w:cs="Arial"/>
                <w:sz w:val="18"/>
                <w:szCs w:val="18"/>
                <w:lang w:eastAsia="en-GB"/>
              </w:rPr>
              <w:t xml:space="preserve"> should underpin the whole cancer pathway. Any intervention that seeks to reduce harm, improve emotional and physical resilience, and improve long term health should be welcomed. </w:t>
            </w:r>
          </w:p>
          <w:p w14:paraId="1588CD47" w14:textId="77777777" w:rsidR="00DC3C60" w:rsidRPr="00DC3C60" w:rsidRDefault="00DC3C60" w:rsidP="00DC3C60">
            <w:pPr>
              <w:rPr>
                <w:rFonts w:ascii="Arial" w:hAnsi="Arial" w:cs="Arial"/>
                <w:sz w:val="18"/>
                <w:szCs w:val="18"/>
                <w:lang w:eastAsia="en-GB"/>
              </w:rPr>
            </w:pPr>
          </w:p>
          <w:p w14:paraId="3C37D46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principles and guidance will help you to:</w:t>
            </w:r>
          </w:p>
          <w:p w14:paraId="44DBD1A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•advance cancer care provision</w:t>
            </w:r>
          </w:p>
          <w:p w14:paraId="4005C40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•include </w:t>
            </w:r>
            <w:proofErr w:type="spellStart"/>
            <w:r w:rsidRPr="00DC3C60">
              <w:rPr>
                <w:rFonts w:ascii="Arial" w:hAnsi="Arial" w:cs="Arial"/>
                <w:sz w:val="18"/>
                <w:szCs w:val="18"/>
                <w:lang w:eastAsia="en-GB"/>
              </w:rPr>
              <w:t>prehabilitation</w:t>
            </w:r>
            <w:proofErr w:type="spellEnd"/>
            <w:r w:rsidRPr="00DC3C60">
              <w:rPr>
                <w:rFonts w:ascii="Arial" w:hAnsi="Arial" w:cs="Arial"/>
                <w:sz w:val="18"/>
                <w:szCs w:val="18"/>
                <w:lang w:eastAsia="en-GB"/>
              </w:rPr>
              <w:t xml:space="preserve"> in the cancer pathway.</w:t>
            </w:r>
          </w:p>
          <w:p w14:paraId="383E701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•inform service provision and development</w:t>
            </w:r>
          </w:p>
          <w:p w14:paraId="4E5F5F5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•inform and support a change policy.</w:t>
            </w:r>
          </w:p>
        </w:tc>
        <w:tc>
          <w:tcPr>
            <w:tcW w:w="3151" w:type="dxa"/>
            <w:tcBorders>
              <w:top w:val="single" w:sz="4" w:space="0" w:color="999999"/>
              <w:left w:val="single" w:sz="4" w:space="0" w:color="999999"/>
              <w:bottom w:val="single" w:sz="4" w:space="0" w:color="999999"/>
              <w:right w:val="single" w:sz="4" w:space="0" w:color="999999"/>
            </w:tcBorders>
          </w:tcPr>
          <w:p w14:paraId="3BD8D0BD" w14:textId="77777777" w:rsidR="00DC3C60" w:rsidRPr="00DC3C60" w:rsidRDefault="001517CD" w:rsidP="00DC3C60">
            <w:pPr>
              <w:rPr>
                <w:rFonts w:ascii="Arial" w:hAnsi="Arial" w:cs="Arial"/>
                <w:sz w:val="18"/>
                <w:szCs w:val="18"/>
                <w:lang w:eastAsia="en-GB"/>
              </w:rPr>
            </w:pPr>
            <w:hyperlink r:id="rId59" w:history="1">
              <w:r w:rsidR="00DC3C60" w:rsidRPr="00DC3C60">
                <w:rPr>
                  <w:rFonts w:ascii="Arial" w:hAnsi="Arial" w:cs="Arial"/>
                  <w:color w:val="0000FF"/>
                  <w:sz w:val="18"/>
                  <w:szCs w:val="18"/>
                  <w:u w:val="single"/>
                  <w:lang w:eastAsia="en-GB"/>
                </w:rPr>
                <w:t>https://www.bmj.com/content/366/bmj.l5120.full</w:t>
              </w:r>
            </w:hyperlink>
            <w:r w:rsidR="00DC3C60" w:rsidRPr="00DC3C60">
              <w:rPr>
                <w:rFonts w:ascii="Arial" w:hAnsi="Arial" w:cs="Arial"/>
                <w:sz w:val="18"/>
                <w:szCs w:val="18"/>
                <w:lang w:eastAsia="en-GB"/>
              </w:rPr>
              <w:t xml:space="preserve"> </w:t>
            </w:r>
          </w:p>
          <w:p w14:paraId="07CCB77C" w14:textId="77777777" w:rsidR="00DC3C60" w:rsidRPr="00DC3C60" w:rsidRDefault="00DC3C60" w:rsidP="00DC3C60">
            <w:pPr>
              <w:rPr>
                <w:rFonts w:ascii="Arial" w:hAnsi="Arial" w:cs="Arial"/>
                <w:sz w:val="18"/>
                <w:szCs w:val="18"/>
                <w:lang w:eastAsia="en-GB"/>
              </w:rPr>
            </w:pPr>
          </w:p>
          <w:p w14:paraId="53A7B4D6" w14:textId="77777777" w:rsidR="00DC3C60" w:rsidRPr="00DC3C60" w:rsidRDefault="001517CD" w:rsidP="00DC3C60">
            <w:pPr>
              <w:rPr>
                <w:rFonts w:ascii="Arial" w:hAnsi="Arial" w:cs="Arial"/>
                <w:sz w:val="18"/>
                <w:szCs w:val="18"/>
                <w:lang w:eastAsia="en-GB"/>
              </w:rPr>
            </w:pPr>
            <w:hyperlink r:id="rId60" w:history="1">
              <w:r w:rsidR="00DC3C60" w:rsidRPr="00DC3C60">
                <w:rPr>
                  <w:rFonts w:ascii="Arial" w:hAnsi="Arial" w:cs="Arial"/>
                  <w:color w:val="0000FF"/>
                  <w:sz w:val="18"/>
                  <w:szCs w:val="18"/>
                  <w:u w:val="single"/>
                  <w:lang w:eastAsia="en-GB"/>
                </w:rPr>
                <w:t>https://www.macmillan.org.uk/healthcare-professionals/news-and-resources/guides/principles-and-guidance-for-prehabilitation</w:t>
              </w:r>
            </w:hyperlink>
            <w:r w:rsidR="00DC3C60" w:rsidRPr="00DC3C60">
              <w:rPr>
                <w:rFonts w:ascii="Arial" w:hAnsi="Arial" w:cs="Arial"/>
                <w:sz w:val="18"/>
                <w:szCs w:val="18"/>
                <w:lang w:eastAsia="en-GB"/>
              </w:rPr>
              <w:t xml:space="preserve"> </w:t>
            </w:r>
          </w:p>
        </w:tc>
      </w:tr>
      <w:tr w:rsidR="00DC3C60" w:rsidRPr="00DC3C60" w14:paraId="77C01499" w14:textId="77777777" w:rsidTr="003635EE">
        <w:trPr>
          <w:trHeight w:val="282"/>
        </w:trPr>
        <w:tc>
          <w:tcPr>
            <w:tcW w:w="675" w:type="dxa"/>
            <w:tcBorders>
              <w:top w:val="single" w:sz="4" w:space="0" w:color="999999"/>
              <w:left w:val="single" w:sz="4" w:space="0" w:color="999999"/>
              <w:bottom w:val="single" w:sz="4" w:space="0" w:color="999999"/>
              <w:right w:val="single" w:sz="4" w:space="0" w:color="999999"/>
            </w:tcBorders>
          </w:tcPr>
          <w:p w14:paraId="70F7EC83" w14:textId="47FB473F" w:rsidR="00DC3C60" w:rsidRPr="00DC3C60" w:rsidRDefault="00DC3C60" w:rsidP="00DC3C60">
            <w:pPr>
              <w:rPr>
                <w:rFonts w:ascii="Arial" w:hAnsi="Arial" w:cs="Arial"/>
                <w:sz w:val="18"/>
                <w:szCs w:val="18"/>
                <w:lang w:eastAsia="en-GB"/>
              </w:rPr>
            </w:pPr>
            <w:r>
              <w:rPr>
                <w:rFonts w:ascii="Arial" w:hAnsi="Arial" w:cs="Arial"/>
                <w:sz w:val="18"/>
                <w:szCs w:val="18"/>
                <w:lang w:eastAsia="en-GB"/>
              </w:rPr>
              <w:t>18</w:t>
            </w:r>
          </w:p>
        </w:tc>
        <w:tc>
          <w:tcPr>
            <w:tcW w:w="1701" w:type="dxa"/>
            <w:tcBorders>
              <w:top w:val="single" w:sz="4" w:space="0" w:color="999999"/>
              <w:left w:val="single" w:sz="4" w:space="0" w:color="999999"/>
              <w:bottom w:val="single" w:sz="4" w:space="0" w:color="999999"/>
              <w:right w:val="single" w:sz="4" w:space="0" w:color="999999"/>
            </w:tcBorders>
          </w:tcPr>
          <w:p w14:paraId="7239557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Society of British Neurological Surgeons</w:t>
            </w:r>
          </w:p>
        </w:tc>
        <w:tc>
          <w:tcPr>
            <w:tcW w:w="1701" w:type="dxa"/>
            <w:tcBorders>
              <w:top w:val="single" w:sz="4" w:space="0" w:color="999999"/>
              <w:left w:val="single" w:sz="4" w:space="0" w:color="999999"/>
              <w:bottom w:val="single" w:sz="4" w:space="0" w:color="999999"/>
              <w:right w:val="single" w:sz="4" w:space="0" w:color="999999"/>
            </w:tcBorders>
          </w:tcPr>
          <w:p w14:paraId="1C90F4C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2</w:t>
            </w:r>
          </w:p>
          <w:p w14:paraId="000B267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Swift and Scheduled elective rather than emergency admission for Brain Cancer patients and short length of bed stay </w:t>
            </w:r>
            <w:proofErr w:type="spellStart"/>
            <w:r w:rsidRPr="00DC3C60">
              <w:rPr>
                <w:rFonts w:ascii="Arial" w:hAnsi="Arial" w:cs="Arial"/>
                <w:sz w:val="18"/>
                <w:szCs w:val="18"/>
                <w:lang w:eastAsia="en-GB"/>
              </w:rPr>
              <w:t>post surgery</w:t>
            </w:r>
            <w:proofErr w:type="spellEnd"/>
            <w:r w:rsidRPr="00DC3C60">
              <w:rPr>
                <w:rFonts w:ascii="Arial" w:hAnsi="Arial" w:cs="Arial"/>
                <w:sz w:val="18"/>
                <w:szCs w:val="18"/>
                <w:lang w:eastAsia="en-GB"/>
              </w:rPr>
              <w:t>.</w:t>
            </w:r>
          </w:p>
        </w:tc>
        <w:tc>
          <w:tcPr>
            <w:tcW w:w="4678" w:type="dxa"/>
            <w:tcBorders>
              <w:top w:val="single" w:sz="4" w:space="0" w:color="999999"/>
              <w:left w:val="single" w:sz="4" w:space="0" w:color="999999"/>
              <w:bottom w:val="single" w:sz="4" w:space="0" w:color="999999"/>
              <w:right w:val="single" w:sz="4" w:space="0" w:color="999999"/>
            </w:tcBorders>
          </w:tcPr>
          <w:p w14:paraId="46CFC1EE" w14:textId="77777777" w:rsidR="00DC3C60" w:rsidRPr="00DC3C60" w:rsidRDefault="00DC3C60" w:rsidP="00DC3C60">
            <w:pPr>
              <w:numPr>
                <w:ilvl w:val="0"/>
                <w:numId w:val="12"/>
              </w:numPr>
              <w:pBdr>
                <w:top w:val="nil"/>
                <w:left w:val="nil"/>
                <w:bottom w:val="nil"/>
                <w:right w:val="nil"/>
                <w:between w:val="nil"/>
                <w:bar w:val="nil"/>
              </w:pBdr>
              <w:spacing w:after="240" w:line="276" w:lineRule="auto"/>
              <w:rPr>
                <w:rFonts w:ascii="Arial" w:hAnsi="Arial" w:cs="Arial"/>
                <w:sz w:val="18"/>
                <w:szCs w:val="18"/>
                <w:lang w:eastAsia="en-GB"/>
              </w:rPr>
            </w:pPr>
            <w:r w:rsidRPr="00DC3C60">
              <w:rPr>
                <w:rFonts w:ascii="Arial" w:hAnsi="Arial" w:cs="Arial"/>
                <w:sz w:val="18"/>
                <w:szCs w:val="18"/>
                <w:lang w:eastAsia="en-GB"/>
              </w:rPr>
              <w:t>Shorten the cancer pathway.</w:t>
            </w:r>
          </w:p>
          <w:p w14:paraId="2B4F965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Efficient use of hospital beds. </w:t>
            </w:r>
          </w:p>
        </w:tc>
        <w:tc>
          <w:tcPr>
            <w:tcW w:w="3119" w:type="dxa"/>
            <w:tcBorders>
              <w:top w:val="single" w:sz="4" w:space="0" w:color="999999"/>
              <w:left w:val="single" w:sz="4" w:space="0" w:color="999999"/>
              <w:bottom w:val="single" w:sz="4" w:space="0" w:color="999999"/>
              <w:right w:val="single" w:sz="4" w:space="0" w:color="999999"/>
            </w:tcBorders>
          </w:tcPr>
          <w:p w14:paraId="2748392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Evidence in the recent GIRFT and from more than one UK centre that scheduled elective admission for surgery and  a planned discharge 24-48 hours </w:t>
            </w:r>
            <w:proofErr w:type="spellStart"/>
            <w:r w:rsidRPr="00DC3C60">
              <w:rPr>
                <w:rFonts w:ascii="Arial" w:hAnsi="Arial" w:cs="Arial"/>
                <w:sz w:val="18"/>
                <w:szCs w:val="18"/>
                <w:lang w:eastAsia="en-GB"/>
              </w:rPr>
              <w:t>post surgery</w:t>
            </w:r>
            <w:proofErr w:type="spellEnd"/>
            <w:r w:rsidRPr="00DC3C60">
              <w:rPr>
                <w:rFonts w:ascii="Arial" w:hAnsi="Arial" w:cs="Arial"/>
                <w:sz w:val="18"/>
                <w:szCs w:val="18"/>
                <w:lang w:eastAsia="en-GB"/>
              </w:rPr>
              <w:t xml:space="preserve"> results in reduced morbidity for patients with a shortened cancer pathway.   </w:t>
            </w:r>
          </w:p>
        </w:tc>
        <w:tc>
          <w:tcPr>
            <w:tcW w:w="3151" w:type="dxa"/>
            <w:tcBorders>
              <w:top w:val="single" w:sz="4" w:space="0" w:color="999999"/>
              <w:left w:val="single" w:sz="4" w:space="0" w:color="999999"/>
              <w:bottom w:val="single" w:sz="4" w:space="0" w:color="999999"/>
              <w:right w:val="single" w:sz="4" w:space="0" w:color="999999"/>
            </w:tcBorders>
          </w:tcPr>
          <w:p w14:paraId="18C5CFC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Getting it Right First Time (2018) </w:t>
            </w:r>
            <w:hyperlink r:id="rId61" w:history="1">
              <w:r w:rsidRPr="00DC3C60">
                <w:rPr>
                  <w:rFonts w:ascii="Arial" w:hAnsi="Arial" w:cs="Arial"/>
                  <w:color w:val="0000FF"/>
                  <w:sz w:val="18"/>
                  <w:szCs w:val="18"/>
                  <w:u w:val="single"/>
                  <w:lang w:eastAsia="en-GB"/>
                </w:rPr>
                <w:t>Cranial neurosurgery: GIRFT programme national specialty report</w:t>
              </w:r>
            </w:hyperlink>
          </w:p>
        </w:tc>
      </w:tr>
      <w:tr w:rsidR="00DC3C60" w:rsidRPr="00DC3C60" w14:paraId="310AA701" w14:textId="77777777" w:rsidTr="003635EE">
        <w:trPr>
          <w:trHeight w:val="282"/>
        </w:trPr>
        <w:tc>
          <w:tcPr>
            <w:tcW w:w="675" w:type="dxa"/>
            <w:tcBorders>
              <w:top w:val="single" w:sz="4" w:space="0" w:color="999999"/>
              <w:left w:val="single" w:sz="4" w:space="0" w:color="999999"/>
              <w:bottom w:val="single" w:sz="4" w:space="0" w:color="999999"/>
              <w:right w:val="single" w:sz="4" w:space="0" w:color="999999"/>
            </w:tcBorders>
          </w:tcPr>
          <w:p w14:paraId="1EE32A98" w14:textId="20BB1FEF" w:rsidR="00DC3C60" w:rsidRPr="00DC3C60" w:rsidRDefault="00DC3C60" w:rsidP="00DC3C60">
            <w:pPr>
              <w:rPr>
                <w:rFonts w:ascii="Arial" w:hAnsi="Arial" w:cs="Arial"/>
                <w:sz w:val="18"/>
                <w:szCs w:val="18"/>
                <w:lang w:eastAsia="en-GB"/>
              </w:rPr>
            </w:pPr>
            <w:r>
              <w:rPr>
                <w:rFonts w:ascii="Arial" w:hAnsi="Arial" w:cs="Arial"/>
                <w:sz w:val="18"/>
                <w:szCs w:val="18"/>
                <w:lang w:eastAsia="en-GB"/>
              </w:rPr>
              <w:t>19</w:t>
            </w:r>
          </w:p>
        </w:tc>
        <w:tc>
          <w:tcPr>
            <w:tcW w:w="1701" w:type="dxa"/>
            <w:tcBorders>
              <w:top w:val="single" w:sz="4" w:space="0" w:color="999999"/>
              <w:left w:val="single" w:sz="4" w:space="0" w:color="999999"/>
              <w:bottom w:val="single" w:sz="4" w:space="0" w:color="999999"/>
              <w:right w:val="single" w:sz="4" w:space="0" w:color="999999"/>
            </w:tcBorders>
          </w:tcPr>
          <w:p w14:paraId="0BE5CA2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Society of British Neurological Surgeons</w:t>
            </w:r>
          </w:p>
        </w:tc>
        <w:tc>
          <w:tcPr>
            <w:tcW w:w="1701" w:type="dxa"/>
            <w:tcBorders>
              <w:top w:val="single" w:sz="4" w:space="0" w:color="999999"/>
              <w:left w:val="single" w:sz="4" w:space="0" w:color="999999"/>
              <w:bottom w:val="single" w:sz="4" w:space="0" w:color="999999"/>
              <w:right w:val="single" w:sz="4" w:space="0" w:color="999999"/>
            </w:tcBorders>
          </w:tcPr>
          <w:p w14:paraId="098A331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5</w:t>
            </w:r>
          </w:p>
          <w:p w14:paraId="15D592F4" w14:textId="77777777" w:rsidR="00DC3C60" w:rsidRPr="00DC3C60" w:rsidRDefault="00DC3C60" w:rsidP="00DC3C60">
            <w:pPr>
              <w:numPr>
                <w:ilvl w:val="0"/>
                <w:numId w:val="14"/>
              </w:numPr>
              <w:pBdr>
                <w:top w:val="nil"/>
                <w:left w:val="nil"/>
                <w:bottom w:val="nil"/>
                <w:right w:val="nil"/>
                <w:between w:val="nil"/>
                <w:bar w:val="nil"/>
              </w:pBdr>
              <w:spacing w:after="120" w:line="276" w:lineRule="auto"/>
              <w:rPr>
                <w:rFonts w:ascii="Arial" w:hAnsi="Arial" w:cs="Arial"/>
                <w:sz w:val="18"/>
                <w:szCs w:val="18"/>
                <w:lang w:eastAsia="en-GB"/>
              </w:rPr>
            </w:pPr>
            <w:r w:rsidRPr="00DC3C60">
              <w:rPr>
                <w:rFonts w:ascii="Arial" w:hAnsi="Arial" w:cs="Arial"/>
                <w:sz w:val="18"/>
                <w:szCs w:val="18"/>
                <w:lang w:eastAsia="en-GB"/>
              </w:rPr>
              <w:t xml:space="preserve">Reduce overall length of cancer pathway for primary brain cancer. </w:t>
            </w:r>
          </w:p>
          <w:p w14:paraId="3D735F93" w14:textId="77777777" w:rsidR="00DC3C60" w:rsidRPr="00DC3C60" w:rsidRDefault="00DC3C60" w:rsidP="00DC3C60">
            <w:pPr>
              <w:numPr>
                <w:ilvl w:val="0"/>
                <w:numId w:val="14"/>
              </w:numPr>
              <w:pBdr>
                <w:top w:val="nil"/>
                <w:left w:val="nil"/>
                <w:bottom w:val="nil"/>
                <w:right w:val="nil"/>
                <w:between w:val="nil"/>
                <w:bar w:val="nil"/>
              </w:pBdr>
              <w:spacing w:after="120" w:line="276" w:lineRule="auto"/>
              <w:rPr>
                <w:rFonts w:ascii="Arial" w:hAnsi="Arial" w:cs="Arial"/>
                <w:sz w:val="18"/>
                <w:szCs w:val="18"/>
                <w:lang w:eastAsia="en-GB"/>
              </w:rPr>
            </w:pPr>
            <w:r w:rsidRPr="00DC3C60">
              <w:rPr>
                <w:rFonts w:ascii="Arial" w:hAnsi="Arial" w:cs="Arial"/>
                <w:sz w:val="18"/>
                <w:szCs w:val="18"/>
                <w:lang w:eastAsia="en-GB"/>
              </w:rPr>
              <w:t xml:space="preserve">MDT discussion to surgical clinic pathway to be reduced to 1 week. </w:t>
            </w:r>
          </w:p>
          <w:p w14:paraId="0E266871" w14:textId="77777777" w:rsidR="00DC3C60" w:rsidRPr="00DC3C60" w:rsidRDefault="00DC3C60" w:rsidP="00DC3C60">
            <w:pPr>
              <w:numPr>
                <w:ilvl w:val="0"/>
                <w:numId w:val="14"/>
              </w:numPr>
              <w:pBdr>
                <w:top w:val="nil"/>
                <w:left w:val="nil"/>
                <w:bottom w:val="nil"/>
                <w:right w:val="nil"/>
                <w:between w:val="nil"/>
                <w:bar w:val="nil"/>
              </w:pBdr>
              <w:spacing w:after="120" w:line="276" w:lineRule="auto"/>
              <w:rPr>
                <w:rFonts w:ascii="Arial" w:hAnsi="Arial" w:cs="Arial"/>
                <w:sz w:val="18"/>
                <w:szCs w:val="18"/>
                <w:lang w:eastAsia="en-GB"/>
              </w:rPr>
            </w:pPr>
            <w:r w:rsidRPr="00DC3C60">
              <w:rPr>
                <w:rFonts w:ascii="Arial" w:hAnsi="Arial" w:cs="Arial"/>
                <w:sz w:val="18"/>
                <w:szCs w:val="18"/>
                <w:lang w:eastAsia="en-GB"/>
              </w:rPr>
              <w:t>The present 31 days pathway from decision for surgery to surgery needs to be reduced to 14 days.</w:t>
            </w:r>
          </w:p>
          <w:p w14:paraId="728168F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For Primary brain cancer the </w:t>
            </w:r>
            <w:proofErr w:type="spellStart"/>
            <w:r w:rsidRPr="00DC3C60">
              <w:rPr>
                <w:rFonts w:ascii="Arial" w:hAnsi="Arial" w:cs="Arial"/>
                <w:sz w:val="18"/>
                <w:szCs w:val="18"/>
                <w:lang w:eastAsia="en-GB"/>
              </w:rPr>
              <w:t>post surgery</w:t>
            </w:r>
            <w:proofErr w:type="spellEnd"/>
            <w:r w:rsidRPr="00DC3C60">
              <w:rPr>
                <w:rFonts w:ascii="Arial" w:hAnsi="Arial" w:cs="Arial"/>
                <w:sz w:val="18"/>
                <w:szCs w:val="18"/>
                <w:lang w:eastAsia="en-GB"/>
              </w:rPr>
              <w:t xml:space="preserve"> to radiotherapy pathway has no </w:t>
            </w:r>
            <w:proofErr w:type="spellStart"/>
            <w:r w:rsidRPr="00DC3C60">
              <w:rPr>
                <w:rFonts w:ascii="Arial" w:hAnsi="Arial" w:cs="Arial"/>
                <w:sz w:val="18"/>
                <w:szCs w:val="18"/>
                <w:lang w:eastAsia="en-GB"/>
              </w:rPr>
              <w:t>well defined</w:t>
            </w:r>
            <w:proofErr w:type="spellEnd"/>
            <w:r w:rsidRPr="00DC3C60">
              <w:rPr>
                <w:rFonts w:ascii="Arial" w:hAnsi="Arial" w:cs="Arial"/>
                <w:sz w:val="18"/>
                <w:szCs w:val="18"/>
                <w:lang w:eastAsia="en-GB"/>
              </w:rPr>
              <w:t xml:space="preserve"> timeline and is variable for up to 4-8 weeks. This needs to be reduced to 4 weeks. </w:t>
            </w:r>
          </w:p>
        </w:tc>
        <w:tc>
          <w:tcPr>
            <w:tcW w:w="4678" w:type="dxa"/>
            <w:tcBorders>
              <w:top w:val="single" w:sz="4" w:space="0" w:color="999999"/>
              <w:left w:val="single" w:sz="4" w:space="0" w:color="999999"/>
              <w:bottom w:val="single" w:sz="4" w:space="0" w:color="999999"/>
              <w:right w:val="single" w:sz="4" w:space="0" w:color="999999"/>
            </w:tcBorders>
          </w:tcPr>
          <w:p w14:paraId="69A4316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There is evidence that shorter patient pathways leads to improved outcomes in patients with primary brain cancer. </w:t>
            </w:r>
          </w:p>
        </w:tc>
        <w:tc>
          <w:tcPr>
            <w:tcW w:w="3119" w:type="dxa"/>
            <w:tcBorders>
              <w:top w:val="single" w:sz="4" w:space="0" w:color="999999"/>
              <w:left w:val="single" w:sz="4" w:space="0" w:color="999999"/>
              <w:bottom w:val="single" w:sz="4" w:space="0" w:color="999999"/>
              <w:right w:val="single" w:sz="4" w:space="0" w:color="999999"/>
            </w:tcBorders>
          </w:tcPr>
          <w:p w14:paraId="5B092C3D" w14:textId="77777777" w:rsidR="00DC3C60" w:rsidRPr="00DC3C60" w:rsidRDefault="00DC3C60" w:rsidP="00DC3C60">
            <w:pPr>
              <w:numPr>
                <w:ilvl w:val="0"/>
                <w:numId w:val="15"/>
              </w:numPr>
              <w:pBdr>
                <w:top w:val="nil"/>
                <w:left w:val="nil"/>
                <w:bottom w:val="nil"/>
                <w:right w:val="nil"/>
                <w:between w:val="nil"/>
                <w:bar w:val="nil"/>
              </w:pBd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There is still variability in practice and speed of pathway/ diagnosis/surgery which needs to be addressed. </w:t>
            </w:r>
          </w:p>
          <w:p w14:paraId="09F313D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Primary brain cancer outcomes remain poor in the UK. </w:t>
            </w:r>
          </w:p>
        </w:tc>
        <w:tc>
          <w:tcPr>
            <w:tcW w:w="3151" w:type="dxa"/>
            <w:tcBorders>
              <w:top w:val="single" w:sz="4" w:space="0" w:color="999999"/>
              <w:left w:val="single" w:sz="4" w:space="0" w:color="999999"/>
              <w:bottom w:val="single" w:sz="4" w:space="0" w:color="999999"/>
              <w:right w:val="single" w:sz="4" w:space="0" w:color="999999"/>
            </w:tcBorders>
          </w:tcPr>
          <w:p w14:paraId="4D4D570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Getting it Right First Time (2018) </w:t>
            </w:r>
            <w:hyperlink r:id="rId62" w:history="1">
              <w:r w:rsidRPr="00DC3C60">
                <w:rPr>
                  <w:rFonts w:ascii="Arial" w:hAnsi="Arial" w:cs="Arial"/>
                  <w:color w:val="0000FF"/>
                  <w:sz w:val="18"/>
                  <w:szCs w:val="18"/>
                  <w:u w:val="single"/>
                  <w:lang w:eastAsia="en-GB"/>
                </w:rPr>
                <w:t>Cranial neurosurgery: GIRFT programme national specialty report</w:t>
              </w:r>
            </w:hyperlink>
          </w:p>
          <w:p w14:paraId="2B118B27" w14:textId="77777777" w:rsidR="00DC3C60" w:rsidRPr="00DC3C60" w:rsidRDefault="00DC3C60" w:rsidP="00DC3C60">
            <w:pPr>
              <w:rPr>
                <w:rFonts w:ascii="Arial" w:hAnsi="Arial" w:cs="Arial"/>
                <w:sz w:val="18"/>
                <w:szCs w:val="18"/>
                <w:lang w:eastAsia="en-GB"/>
              </w:rPr>
            </w:pPr>
          </w:p>
          <w:p w14:paraId="5B14338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NHSE Transformation Programme. </w:t>
            </w:r>
          </w:p>
        </w:tc>
      </w:tr>
      <w:tr w:rsidR="00DC3C60" w:rsidRPr="00DC3C60" w14:paraId="50A46788" w14:textId="77777777" w:rsidTr="003635EE">
        <w:trPr>
          <w:trHeight w:val="282"/>
        </w:trPr>
        <w:tc>
          <w:tcPr>
            <w:tcW w:w="15025" w:type="dxa"/>
            <w:gridSpan w:val="6"/>
          </w:tcPr>
          <w:p w14:paraId="00B591BB"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Management/treatment – Maximal safe surgical resection</w:t>
            </w:r>
          </w:p>
        </w:tc>
      </w:tr>
      <w:tr w:rsidR="00DC3C60" w:rsidRPr="00DC3C60" w14:paraId="2A31130F" w14:textId="77777777" w:rsidTr="003635EE">
        <w:trPr>
          <w:trHeight w:val="282"/>
        </w:trPr>
        <w:tc>
          <w:tcPr>
            <w:tcW w:w="675" w:type="dxa"/>
          </w:tcPr>
          <w:p w14:paraId="4E24B9E1" w14:textId="0DAEBE60" w:rsidR="00DC3C60" w:rsidRPr="00DC3C60" w:rsidRDefault="00DC3C60" w:rsidP="00DC3C60">
            <w:pPr>
              <w:rPr>
                <w:rFonts w:ascii="Arial" w:hAnsi="Arial" w:cs="Arial"/>
                <w:sz w:val="18"/>
                <w:szCs w:val="18"/>
                <w:lang w:eastAsia="en-GB"/>
              </w:rPr>
            </w:pPr>
            <w:r>
              <w:rPr>
                <w:rFonts w:ascii="Arial" w:hAnsi="Arial" w:cs="Arial"/>
                <w:sz w:val="18"/>
                <w:szCs w:val="18"/>
                <w:lang w:eastAsia="en-GB"/>
              </w:rPr>
              <w:t>20</w:t>
            </w:r>
          </w:p>
        </w:tc>
        <w:tc>
          <w:tcPr>
            <w:tcW w:w="1701" w:type="dxa"/>
          </w:tcPr>
          <w:p w14:paraId="71FBBA2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SCM6 </w:t>
            </w:r>
          </w:p>
        </w:tc>
        <w:tc>
          <w:tcPr>
            <w:tcW w:w="1701" w:type="dxa"/>
          </w:tcPr>
          <w:p w14:paraId="6120C2E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Usage of 5-aminolevulinic acid (5ALA) guided resection for high grade glioma</w:t>
            </w:r>
          </w:p>
        </w:tc>
        <w:tc>
          <w:tcPr>
            <w:tcW w:w="4678" w:type="dxa"/>
          </w:tcPr>
          <w:p w14:paraId="40E2113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NG99 guidance recommends the usage of 5ALA guidance to maximise resection at initial surgery for suspected high grade glioma. Evidence supports this as being associated with improved progression free survival. Funding is now agreed for the usage of 5ALA in all UK Neurosurgery units and all applicable patients should be offered the opportunity to benefit from 5ALA.</w:t>
            </w:r>
          </w:p>
        </w:tc>
        <w:tc>
          <w:tcPr>
            <w:tcW w:w="3119" w:type="dxa"/>
          </w:tcPr>
          <w:p w14:paraId="3BBBBAD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Although all units now have access to 5ALA it is thought that rates of usage vary and this may be unwarranted variation in practice. All appropriate patients should have access to 5ALA and associated survival benefit.</w:t>
            </w:r>
          </w:p>
        </w:tc>
        <w:tc>
          <w:tcPr>
            <w:tcW w:w="3151" w:type="dxa"/>
          </w:tcPr>
          <w:p w14:paraId="2BFB524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NG99 Guidance.</w:t>
            </w:r>
          </w:p>
          <w:p w14:paraId="6390198D" w14:textId="77777777" w:rsidR="00DC3C60" w:rsidRPr="00DC3C60" w:rsidRDefault="00DC3C60" w:rsidP="00DC3C60">
            <w:pPr>
              <w:rPr>
                <w:rFonts w:ascii="Arial" w:hAnsi="Arial" w:cs="Arial"/>
                <w:sz w:val="18"/>
                <w:szCs w:val="18"/>
                <w:lang w:eastAsia="en-GB"/>
              </w:rPr>
            </w:pPr>
            <w:proofErr w:type="spellStart"/>
            <w:r w:rsidRPr="00DC3C60">
              <w:rPr>
                <w:rFonts w:ascii="Arial" w:hAnsi="Arial" w:cs="Arial"/>
                <w:sz w:val="18"/>
                <w:szCs w:val="18"/>
                <w:lang w:eastAsia="en-GB"/>
              </w:rPr>
              <w:t>Stummer</w:t>
            </w:r>
            <w:proofErr w:type="spellEnd"/>
            <w:r w:rsidRPr="00DC3C60">
              <w:rPr>
                <w:rFonts w:ascii="Arial" w:hAnsi="Arial" w:cs="Arial"/>
                <w:sz w:val="18"/>
                <w:szCs w:val="18"/>
                <w:lang w:eastAsia="en-GB"/>
              </w:rPr>
              <w:t xml:space="preserve"> et al. Lancet Oncol 2006 7(5):392-401</w:t>
            </w:r>
          </w:p>
        </w:tc>
      </w:tr>
      <w:tr w:rsidR="00DC3C60" w:rsidRPr="00DC3C60" w14:paraId="33D396AE" w14:textId="77777777" w:rsidTr="003635EE">
        <w:trPr>
          <w:trHeight w:val="282"/>
        </w:trPr>
        <w:tc>
          <w:tcPr>
            <w:tcW w:w="675" w:type="dxa"/>
          </w:tcPr>
          <w:p w14:paraId="37B50250" w14:textId="5E1DE5A4" w:rsidR="00DC3C60" w:rsidRPr="00DC3C60" w:rsidRDefault="00DC3C60" w:rsidP="00DC3C60">
            <w:pPr>
              <w:rPr>
                <w:rFonts w:ascii="Arial" w:hAnsi="Arial" w:cs="Arial"/>
                <w:sz w:val="18"/>
                <w:szCs w:val="18"/>
                <w:lang w:eastAsia="en-GB"/>
              </w:rPr>
            </w:pPr>
            <w:r>
              <w:rPr>
                <w:rFonts w:ascii="Arial" w:hAnsi="Arial" w:cs="Arial"/>
                <w:sz w:val="18"/>
                <w:szCs w:val="18"/>
                <w:lang w:eastAsia="en-GB"/>
              </w:rPr>
              <w:t>21</w:t>
            </w:r>
          </w:p>
        </w:tc>
        <w:tc>
          <w:tcPr>
            <w:tcW w:w="1701" w:type="dxa"/>
          </w:tcPr>
          <w:p w14:paraId="3626851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Scottish Adult Neuro-oncology Network </w:t>
            </w:r>
          </w:p>
        </w:tc>
        <w:tc>
          <w:tcPr>
            <w:tcW w:w="1701" w:type="dxa"/>
          </w:tcPr>
          <w:p w14:paraId="7ECB9405"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4</w:t>
            </w:r>
          </w:p>
          <w:p w14:paraId="62FA8285"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Maximal Safe Surgical Resection</w:t>
            </w:r>
          </w:p>
        </w:tc>
        <w:tc>
          <w:tcPr>
            <w:tcW w:w="4678" w:type="dxa"/>
          </w:tcPr>
          <w:p w14:paraId="3F6E0826" w14:textId="77777777" w:rsidR="00DC3C60" w:rsidRPr="00DC3C60" w:rsidRDefault="00DC3C60" w:rsidP="00DC3C60">
            <w:pPr>
              <w:rPr>
                <w:rFonts w:ascii="Arial" w:hAnsi="Arial" w:cs="Arial"/>
                <w:sz w:val="18"/>
                <w:szCs w:val="18"/>
              </w:rPr>
            </w:pPr>
            <w:r w:rsidRPr="00DC3C60">
              <w:rPr>
                <w:rFonts w:ascii="Arial" w:hAnsi="Arial"/>
                <w:sz w:val="18"/>
                <w:szCs w:val="18"/>
              </w:rPr>
              <w:t>It is important to develop and maintain engaged surgical neuro-oncologists, who are up to date with the latest technology so that they can aspire to maximal safe resection. Adjuncts that help achieve maximal safe resections need to be standardised – the use of 5 ALA, intraoperative ultrasound or MRI</w:t>
            </w:r>
          </w:p>
        </w:tc>
        <w:tc>
          <w:tcPr>
            <w:tcW w:w="3119" w:type="dxa"/>
          </w:tcPr>
          <w:p w14:paraId="7B3B7FDB" w14:textId="77777777" w:rsidR="00DC3C60" w:rsidRPr="00DC3C60" w:rsidRDefault="00DC3C60" w:rsidP="00DC3C60">
            <w:pPr>
              <w:rPr>
                <w:rFonts w:ascii="Arial" w:hAnsi="Arial" w:cs="Arial"/>
                <w:sz w:val="18"/>
                <w:szCs w:val="18"/>
                <w:lang w:eastAsia="en-GB"/>
              </w:rPr>
            </w:pPr>
            <w:r w:rsidRPr="00DC3C60">
              <w:rPr>
                <w:rFonts w:ascii="Arial" w:hAnsi="Arial"/>
                <w:sz w:val="18"/>
                <w:szCs w:val="18"/>
                <w:lang w:eastAsia="en-GB"/>
              </w:rPr>
              <w:t>The extent of surgical resection is an independent prognostic factor in Grade III and Grade IV malignant gliomas. Maximal safe surgical resection (≥90%) prolongs time to tumour recurrence9 and is associated with prolonged survival10 . Maximum safe surgical resection is recommended by several published guidelines4,</w:t>
            </w:r>
          </w:p>
        </w:tc>
        <w:tc>
          <w:tcPr>
            <w:tcW w:w="3151" w:type="dxa"/>
          </w:tcPr>
          <w:p w14:paraId="34A4DD89" w14:textId="77777777" w:rsidR="00DC3C60" w:rsidRPr="00DC3C60" w:rsidRDefault="00DC3C60" w:rsidP="00DC3C60">
            <w:pPr>
              <w:rPr>
                <w:rFonts w:ascii="Arial" w:hAnsi="Arial" w:cs="Arial"/>
                <w:sz w:val="18"/>
                <w:szCs w:val="18"/>
              </w:rPr>
            </w:pPr>
            <w:proofErr w:type="spellStart"/>
            <w:r w:rsidRPr="00DC3C60">
              <w:rPr>
                <w:rFonts w:ascii="Arial" w:hAnsi="Arial"/>
                <w:sz w:val="18"/>
                <w:szCs w:val="18"/>
              </w:rPr>
              <w:t>Soffietti</w:t>
            </w:r>
            <w:proofErr w:type="spellEnd"/>
            <w:r w:rsidRPr="00DC3C60">
              <w:rPr>
                <w:rFonts w:ascii="Arial" w:hAnsi="Arial"/>
                <w:sz w:val="18"/>
                <w:szCs w:val="18"/>
              </w:rPr>
              <w:t xml:space="preserve"> R, Baumert BG, Bello L, von </w:t>
            </w:r>
            <w:proofErr w:type="spellStart"/>
            <w:r w:rsidRPr="00DC3C60">
              <w:rPr>
                <w:rFonts w:ascii="Arial" w:hAnsi="Arial"/>
                <w:sz w:val="18"/>
                <w:szCs w:val="18"/>
              </w:rPr>
              <w:t>Deimling</w:t>
            </w:r>
            <w:proofErr w:type="spellEnd"/>
            <w:r w:rsidRPr="00DC3C60">
              <w:rPr>
                <w:rFonts w:ascii="Arial" w:hAnsi="Arial"/>
                <w:sz w:val="18"/>
                <w:szCs w:val="18"/>
              </w:rPr>
              <w:t xml:space="preserve"> A et al (2010) Guidelines on management of low-grade gliomas: report of an EFNS-EANO Task Force. European Journal of Neurology 2010; 9: 1124-33. 8. Wen P, Macdonald DR, Reardon DA, </w:t>
            </w:r>
            <w:proofErr w:type="spellStart"/>
            <w:r w:rsidRPr="00DC3C60">
              <w:rPr>
                <w:rFonts w:ascii="Arial" w:hAnsi="Arial"/>
                <w:sz w:val="18"/>
                <w:szCs w:val="18"/>
              </w:rPr>
              <w:t>Cloughesy</w:t>
            </w:r>
            <w:proofErr w:type="spellEnd"/>
            <w:r w:rsidRPr="00DC3C60">
              <w:rPr>
                <w:rFonts w:ascii="Arial" w:hAnsi="Arial"/>
                <w:sz w:val="18"/>
                <w:szCs w:val="18"/>
              </w:rPr>
              <w:t xml:space="preserve"> TF et al (2010) Updated Response Assessment Criteria for High Grade Gliomas: Response Assessment in Neuro-oncology Working Group. Journal of Clinical Oncology 2010; 28:1163-72. 9. </w:t>
            </w:r>
            <w:proofErr w:type="spellStart"/>
            <w:r w:rsidRPr="00DC3C60">
              <w:rPr>
                <w:rFonts w:ascii="Arial" w:hAnsi="Arial"/>
                <w:sz w:val="18"/>
                <w:szCs w:val="18"/>
              </w:rPr>
              <w:t>Stummer</w:t>
            </w:r>
            <w:proofErr w:type="spellEnd"/>
            <w:r w:rsidRPr="00DC3C60">
              <w:rPr>
                <w:rFonts w:ascii="Arial" w:hAnsi="Arial"/>
                <w:sz w:val="18"/>
                <w:szCs w:val="18"/>
              </w:rPr>
              <w:t xml:space="preserve"> W, </w:t>
            </w:r>
            <w:proofErr w:type="spellStart"/>
            <w:r w:rsidRPr="00DC3C60">
              <w:rPr>
                <w:rFonts w:ascii="Arial" w:hAnsi="Arial"/>
                <w:sz w:val="18"/>
                <w:szCs w:val="18"/>
              </w:rPr>
              <w:t>Pichlmeier</w:t>
            </w:r>
            <w:proofErr w:type="spellEnd"/>
            <w:r w:rsidRPr="00DC3C60">
              <w:rPr>
                <w:rFonts w:ascii="Arial" w:hAnsi="Arial"/>
                <w:sz w:val="18"/>
                <w:szCs w:val="18"/>
              </w:rPr>
              <w:t xml:space="preserve"> U, </w:t>
            </w:r>
            <w:proofErr w:type="spellStart"/>
            <w:r w:rsidRPr="00DC3C60">
              <w:rPr>
                <w:rFonts w:ascii="Arial" w:hAnsi="Arial"/>
                <w:sz w:val="18"/>
                <w:szCs w:val="18"/>
              </w:rPr>
              <w:t>Meinel</w:t>
            </w:r>
            <w:proofErr w:type="spellEnd"/>
            <w:r w:rsidRPr="00DC3C60">
              <w:rPr>
                <w:rFonts w:ascii="Arial" w:hAnsi="Arial"/>
                <w:sz w:val="18"/>
                <w:szCs w:val="18"/>
              </w:rPr>
              <w:t xml:space="preserve"> T, et al (2006) Fluorescence-guided surgery with 5- </w:t>
            </w:r>
            <w:proofErr w:type="spellStart"/>
            <w:r w:rsidRPr="00DC3C60">
              <w:rPr>
                <w:rFonts w:ascii="Arial" w:hAnsi="Arial"/>
                <w:sz w:val="18"/>
                <w:szCs w:val="18"/>
              </w:rPr>
              <w:t>aminolevulinic</w:t>
            </w:r>
            <w:proofErr w:type="spellEnd"/>
            <w:r w:rsidRPr="00DC3C60">
              <w:rPr>
                <w:rFonts w:ascii="Arial" w:hAnsi="Arial"/>
                <w:sz w:val="18"/>
                <w:szCs w:val="18"/>
              </w:rPr>
              <w:t xml:space="preserve"> acid for resection of malignant glioma: a randomised controlled multicentre phase III trial. Lancet Oncol. 2006; 7(5):392-401. 10. </w:t>
            </w:r>
            <w:proofErr w:type="spellStart"/>
            <w:r w:rsidRPr="00DC3C60">
              <w:rPr>
                <w:rFonts w:ascii="Arial" w:hAnsi="Arial"/>
                <w:sz w:val="18"/>
                <w:szCs w:val="18"/>
              </w:rPr>
              <w:t>Pichlmeier</w:t>
            </w:r>
            <w:proofErr w:type="spellEnd"/>
            <w:r w:rsidRPr="00DC3C60">
              <w:rPr>
                <w:rFonts w:ascii="Arial" w:hAnsi="Arial"/>
                <w:sz w:val="18"/>
                <w:szCs w:val="18"/>
              </w:rPr>
              <w:t xml:space="preserve"> U, Bink A, </w:t>
            </w:r>
            <w:proofErr w:type="spellStart"/>
            <w:r w:rsidRPr="00DC3C60">
              <w:rPr>
                <w:rFonts w:ascii="Arial" w:hAnsi="Arial"/>
                <w:sz w:val="18"/>
                <w:szCs w:val="18"/>
              </w:rPr>
              <w:t>Schackert</w:t>
            </w:r>
            <w:proofErr w:type="spellEnd"/>
            <w:r w:rsidRPr="00DC3C60">
              <w:rPr>
                <w:rFonts w:ascii="Arial" w:hAnsi="Arial"/>
                <w:sz w:val="18"/>
                <w:szCs w:val="18"/>
              </w:rPr>
              <w:t xml:space="preserve"> G, et al (2008) Resection and survival in glioblastoma multiforme: An RTOG recursive partitioning analysis of ALA study patients. </w:t>
            </w:r>
            <w:proofErr w:type="spellStart"/>
            <w:r w:rsidRPr="00DC3C60">
              <w:rPr>
                <w:rFonts w:ascii="Arial" w:hAnsi="Arial"/>
                <w:sz w:val="18"/>
                <w:szCs w:val="18"/>
              </w:rPr>
              <w:t>Neurooncology</w:t>
            </w:r>
            <w:proofErr w:type="spellEnd"/>
            <w:r w:rsidRPr="00DC3C60">
              <w:rPr>
                <w:rFonts w:ascii="Arial" w:hAnsi="Arial"/>
                <w:sz w:val="18"/>
                <w:szCs w:val="18"/>
              </w:rPr>
              <w:t xml:space="preserve"> 2008; 10; 1024-1035. 11. Ryken TC, Frankel B, Julien T, Olson JJ (2008) Surgical management of newly diagnosed glioblastoma in adults: Role of cytoreductive surgery. Journal of Neuro-Oncology. 2008;(3):271-286.</w:t>
            </w:r>
          </w:p>
        </w:tc>
      </w:tr>
      <w:tr w:rsidR="00DC3C60" w:rsidRPr="00DC3C60" w14:paraId="1EABDD31" w14:textId="77777777" w:rsidTr="003635EE">
        <w:trPr>
          <w:trHeight w:val="282"/>
        </w:trPr>
        <w:tc>
          <w:tcPr>
            <w:tcW w:w="675" w:type="dxa"/>
          </w:tcPr>
          <w:p w14:paraId="574856BE" w14:textId="6FEE9564" w:rsidR="00DC3C60" w:rsidRPr="00DC3C60" w:rsidRDefault="00DC3C60" w:rsidP="00DC3C60">
            <w:pPr>
              <w:rPr>
                <w:rFonts w:ascii="Arial" w:hAnsi="Arial" w:cs="Arial"/>
                <w:sz w:val="18"/>
                <w:szCs w:val="18"/>
                <w:lang w:eastAsia="en-GB"/>
              </w:rPr>
            </w:pPr>
            <w:r>
              <w:rPr>
                <w:rFonts w:ascii="Arial" w:hAnsi="Arial" w:cs="Arial"/>
                <w:sz w:val="18"/>
                <w:szCs w:val="18"/>
                <w:lang w:eastAsia="en-GB"/>
              </w:rPr>
              <w:t>22</w:t>
            </w:r>
          </w:p>
        </w:tc>
        <w:tc>
          <w:tcPr>
            <w:tcW w:w="1701" w:type="dxa"/>
          </w:tcPr>
          <w:p w14:paraId="0D34A67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Society of British Neurological Surgeons</w:t>
            </w:r>
          </w:p>
        </w:tc>
        <w:tc>
          <w:tcPr>
            <w:tcW w:w="1701" w:type="dxa"/>
          </w:tcPr>
          <w:p w14:paraId="37E21AB6" w14:textId="77777777" w:rsidR="00DC3C60" w:rsidRPr="00DC3C60" w:rsidRDefault="00DC3C60" w:rsidP="00DC3C60">
            <w:pPr>
              <w:spacing w:after="120" w:line="276" w:lineRule="auto"/>
              <w:rPr>
                <w:rFonts w:ascii="Arial" w:hAnsi="Arial"/>
                <w:sz w:val="18"/>
                <w:szCs w:val="18"/>
                <w:lang w:eastAsia="en-GB"/>
              </w:rPr>
            </w:pPr>
            <w:r w:rsidRPr="00DC3C60">
              <w:rPr>
                <w:rFonts w:ascii="Arial" w:hAnsi="Arial"/>
                <w:sz w:val="18"/>
                <w:szCs w:val="18"/>
                <w:lang w:eastAsia="en-GB"/>
              </w:rPr>
              <w:t>Key area for quality improvement 3</w:t>
            </w:r>
          </w:p>
          <w:p w14:paraId="782793E7" w14:textId="77777777" w:rsidR="00DC3C60" w:rsidRPr="00DC3C60" w:rsidRDefault="00DC3C60" w:rsidP="00DC3C60">
            <w:pPr>
              <w:rPr>
                <w:rFonts w:ascii="Arial" w:hAnsi="Arial" w:cs="Arial"/>
                <w:b/>
                <w:sz w:val="18"/>
                <w:szCs w:val="18"/>
                <w:lang w:eastAsia="en-GB"/>
              </w:rPr>
            </w:pPr>
            <w:r w:rsidRPr="00DC3C60">
              <w:rPr>
                <w:rFonts w:ascii="Arial" w:hAnsi="Arial"/>
                <w:sz w:val="18"/>
                <w:szCs w:val="18"/>
                <w:lang w:eastAsia="en-GB"/>
              </w:rPr>
              <w:t>Regular use of 5-ALA agent for primary brain cancer surgery where maximal removal is attempted.</w:t>
            </w:r>
          </w:p>
        </w:tc>
        <w:tc>
          <w:tcPr>
            <w:tcW w:w="4678" w:type="dxa"/>
          </w:tcPr>
          <w:p w14:paraId="2161F251" w14:textId="77777777" w:rsidR="00DC3C60" w:rsidRPr="00DC3C60" w:rsidRDefault="00DC3C60" w:rsidP="00DC3C60">
            <w:pPr>
              <w:rPr>
                <w:rFonts w:ascii="Arial" w:hAnsi="Arial" w:cs="Arial"/>
                <w:sz w:val="18"/>
                <w:szCs w:val="18"/>
              </w:rPr>
            </w:pPr>
            <w:r w:rsidRPr="00DC3C60">
              <w:rPr>
                <w:rFonts w:ascii="Arial" w:hAnsi="Arial" w:cs="Arial Unicode MS"/>
                <w:color w:val="000000"/>
                <w:sz w:val="18"/>
                <w:szCs w:val="18"/>
                <w:u w:color="000000"/>
              </w:rPr>
              <w:t xml:space="preserve">Randomised control trial evidence that use of this results in maximal cancer resection, better prognosis and survival. </w:t>
            </w:r>
          </w:p>
        </w:tc>
        <w:tc>
          <w:tcPr>
            <w:tcW w:w="3119" w:type="dxa"/>
          </w:tcPr>
          <w:p w14:paraId="4599C865" w14:textId="77777777" w:rsidR="00DC3C60" w:rsidRPr="00DC3C60" w:rsidRDefault="00DC3C60" w:rsidP="00DC3C60">
            <w:pPr>
              <w:rPr>
                <w:rFonts w:ascii="Arial" w:hAnsi="Arial" w:cs="Arial"/>
                <w:sz w:val="18"/>
                <w:szCs w:val="18"/>
                <w:lang w:eastAsia="en-GB"/>
              </w:rPr>
            </w:pPr>
            <w:r w:rsidRPr="00DC3C60">
              <w:rPr>
                <w:rFonts w:ascii="Arial" w:hAnsi="Arial" w:cs="Arial Unicode MS"/>
                <w:color w:val="000000"/>
                <w:sz w:val="18"/>
                <w:szCs w:val="18"/>
                <w:u w:color="000000"/>
                <w:lang w:eastAsia="en-GB"/>
              </w:rPr>
              <w:t xml:space="preserve">Despite NICE recommendation and clinical trials the use of this across surgical centres in the UK is variable. </w:t>
            </w:r>
          </w:p>
        </w:tc>
        <w:tc>
          <w:tcPr>
            <w:tcW w:w="3151" w:type="dxa"/>
          </w:tcPr>
          <w:p w14:paraId="37A9A2A8" w14:textId="77777777" w:rsidR="00DC3C60" w:rsidRPr="00DC3C60" w:rsidRDefault="00DC3C60" w:rsidP="00DC3C60">
            <w:pPr>
              <w:spacing w:after="240" w:line="276" w:lineRule="auto"/>
              <w:rPr>
                <w:rFonts w:ascii="Arial" w:eastAsia="Arial" w:hAnsi="Arial" w:cs="Arial"/>
                <w:color w:val="000000"/>
                <w:sz w:val="18"/>
                <w:szCs w:val="18"/>
                <w:u w:color="000000"/>
              </w:rPr>
            </w:pPr>
          </w:p>
          <w:p w14:paraId="01D1EA51" w14:textId="77777777" w:rsidR="00DC3C60" w:rsidRPr="00DC3C60" w:rsidRDefault="001517CD" w:rsidP="00DC3C60">
            <w:pPr>
              <w:numPr>
                <w:ilvl w:val="0"/>
                <w:numId w:val="13"/>
              </w:numPr>
              <w:pBdr>
                <w:top w:val="nil"/>
                <w:left w:val="nil"/>
                <w:bottom w:val="nil"/>
                <w:right w:val="nil"/>
                <w:between w:val="nil"/>
                <w:bar w:val="nil"/>
              </w:pBdr>
              <w:spacing w:after="240" w:line="276" w:lineRule="auto"/>
              <w:rPr>
                <w:rFonts w:ascii="Arial" w:eastAsia="Arial" w:hAnsi="Arial" w:cs="Arial"/>
                <w:color w:val="000000"/>
                <w:sz w:val="18"/>
                <w:szCs w:val="18"/>
                <w:u w:color="000000"/>
              </w:rPr>
            </w:pPr>
            <w:hyperlink r:id="rId63" w:history="1">
              <w:r w:rsidR="00DC3C60" w:rsidRPr="00DC3C60">
                <w:rPr>
                  <w:rFonts w:ascii="Arial" w:hAnsi="Arial" w:cs="Arial Unicode MS"/>
                  <w:color w:val="0000FF"/>
                  <w:sz w:val="18"/>
                  <w:szCs w:val="18"/>
                  <w:u w:val="single" w:color="0000FF"/>
                </w:rPr>
                <w:t>Brain tumours (primary) and brain metastases in adults</w:t>
              </w:r>
            </w:hyperlink>
            <w:r w:rsidR="00DC3C60" w:rsidRPr="00DC3C60">
              <w:rPr>
                <w:rFonts w:ascii="Arial" w:hAnsi="Arial" w:cs="Arial Unicode MS"/>
                <w:color w:val="000000"/>
                <w:sz w:val="18"/>
                <w:szCs w:val="18"/>
                <w:u w:color="000000"/>
              </w:rPr>
              <w:t xml:space="preserve"> (2018) NICE guideline NG99</w:t>
            </w:r>
          </w:p>
          <w:p w14:paraId="6D16CC63" w14:textId="77777777" w:rsidR="00DC3C60" w:rsidRPr="00DC3C60" w:rsidRDefault="001517CD" w:rsidP="00DC3C60">
            <w:pPr>
              <w:rPr>
                <w:rFonts w:ascii="Arial" w:hAnsi="Arial" w:cs="Arial"/>
                <w:sz w:val="18"/>
                <w:szCs w:val="18"/>
              </w:rPr>
            </w:pPr>
            <w:hyperlink r:id="rId64" w:history="1">
              <w:r w:rsidR="00DC3C60" w:rsidRPr="00DC3C60">
                <w:rPr>
                  <w:rFonts w:ascii="Arial" w:hAnsi="Arial" w:cs="Arial Unicode MS"/>
                  <w:color w:val="000000"/>
                  <w:sz w:val="18"/>
                  <w:szCs w:val="18"/>
                  <w:u w:color="0000FF"/>
                </w:rPr>
                <w:t>Fluorescence-guided surgery with 5-aminolevulinic acid for resection of malignant glioma: a randomised controlled multicentre phase III trial.</w:t>
              </w:r>
            </w:hyperlink>
            <w:r w:rsidR="00DC3C60" w:rsidRPr="00DC3C60">
              <w:rPr>
                <w:rFonts w:ascii="Arial" w:hAnsi="Arial" w:cs="Arial Unicode MS"/>
                <w:b/>
                <w:bCs/>
                <w:color w:val="000000"/>
                <w:sz w:val="18"/>
                <w:szCs w:val="18"/>
                <w:u w:color="000000"/>
                <w:lang w:val="fr-FR"/>
              </w:rPr>
              <w:t xml:space="preserve">Lancet </w:t>
            </w:r>
            <w:proofErr w:type="spellStart"/>
            <w:r w:rsidR="00DC3C60" w:rsidRPr="00DC3C60">
              <w:rPr>
                <w:rFonts w:ascii="Arial" w:hAnsi="Arial" w:cs="Arial Unicode MS"/>
                <w:b/>
                <w:bCs/>
                <w:color w:val="000000"/>
                <w:sz w:val="18"/>
                <w:szCs w:val="18"/>
                <w:u w:color="000000"/>
                <w:lang w:val="fr-FR"/>
              </w:rPr>
              <w:t>Oncol</w:t>
            </w:r>
            <w:proofErr w:type="spellEnd"/>
            <w:r w:rsidR="00DC3C60" w:rsidRPr="00DC3C60">
              <w:rPr>
                <w:rFonts w:ascii="Arial" w:hAnsi="Arial" w:cs="Arial Unicode MS"/>
                <w:color w:val="000000"/>
                <w:sz w:val="18"/>
                <w:szCs w:val="18"/>
                <w:u w:color="000000"/>
              </w:rPr>
              <w:t>. 2006 May;7(5):392-401.</w:t>
            </w:r>
          </w:p>
        </w:tc>
      </w:tr>
      <w:tr w:rsidR="00DC3C60" w:rsidRPr="00DC3C60" w14:paraId="67067CC0" w14:textId="77777777" w:rsidTr="003635EE">
        <w:trPr>
          <w:trHeight w:val="282"/>
        </w:trPr>
        <w:tc>
          <w:tcPr>
            <w:tcW w:w="675" w:type="dxa"/>
          </w:tcPr>
          <w:p w14:paraId="42516882" w14:textId="528CBD1B" w:rsidR="00DC3C60" w:rsidRPr="00DC3C60" w:rsidRDefault="00DC3C60" w:rsidP="00DC3C60">
            <w:pPr>
              <w:rPr>
                <w:rFonts w:ascii="Arial" w:hAnsi="Arial" w:cs="Arial"/>
                <w:sz w:val="18"/>
                <w:szCs w:val="18"/>
                <w:lang w:eastAsia="en-GB"/>
              </w:rPr>
            </w:pPr>
            <w:r>
              <w:rPr>
                <w:rFonts w:ascii="Arial" w:hAnsi="Arial" w:cs="Arial"/>
                <w:sz w:val="18"/>
                <w:szCs w:val="18"/>
                <w:lang w:eastAsia="en-GB"/>
              </w:rPr>
              <w:t>23</w:t>
            </w:r>
          </w:p>
        </w:tc>
        <w:tc>
          <w:tcPr>
            <w:tcW w:w="1701" w:type="dxa"/>
          </w:tcPr>
          <w:p w14:paraId="4823168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SCM6</w:t>
            </w:r>
          </w:p>
        </w:tc>
        <w:tc>
          <w:tcPr>
            <w:tcW w:w="1701" w:type="dxa"/>
          </w:tcPr>
          <w:p w14:paraId="0524D21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Usage of intra-operative imaging during resection of glioma</w:t>
            </w:r>
          </w:p>
        </w:tc>
        <w:tc>
          <w:tcPr>
            <w:tcW w:w="4678" w:type="dxa"/>
          </w:tcPr>
          <w:p w14:paraId="709CEFB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Intra-operative MRI, intra-operative ultrasound and navigated diffusion tensor imaging are all recommended for consideration by NG99 as adjuncts to improve the degree of resection of high and low grade gliomas, with subsequent likely survival benefit.</w:t>
            </w:r>
          </w:p>
        </w:tc>
        <w:tc>
          <w:tcPr>
            <w:tcW w:w="3119" w:type="dxa"/>
          </w:tcPr>
          <w:p w14:paraId="4FA5D34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These are specialised techniques which have uneven availability around the UK, but most units should have access to at least one of them. It is therefore important to assess that all appropriate patients have access to intra-operative imaging of at least one modality to enhance resection and improve safety.</w:t>
            </w:r>
          </w:p>
        </w:tc>
        <w:tc>
          <w:tcPr>
            <w:tcW w:w="3151" w:type="dxa"/>
          </w:tcPr>
          <w:p w14:paraId="27A7AF8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NG99</w:t>
            </w:r>
          </w:p>
        </w:tc>
      </w:tr>
      <w:tr w:rsidR="00DC3C60" w:rsidRPr="00DC3C60" w14:paraId="5D425AB1" w14:textId="77777777" w:rsidTr="003635EE">
        <w:trPr>
          <w:trHeight w:val="282"/>
        </w:trPr>
        <w:tc>
          <w:tcPr>
            <w:tcW w:w="15025" w:type="dxa"/>
            <w:gridSpan w:val="6"/>
          </w:tcPr>
          <w:p w14:paraId="7EECCB5B"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Management/treatment – Stereotactic radiosurgery for multiple brain metastases</w:t>
            </w:r>
          </w:p>
        </w:tc>
      </w:tr>
      <w:tr w:rsidR="00DC3C60" w:rsidRPr="00DC3C60" w14:paraId="3EA362A3" w14:textId="77777777" w:rsidTr="003635EE">
        <w:trPr>
          <w:trHeight w:val="282"/>
        </w:trPr>
        <w:tc>
          <w:tcPr>
            <w:tcW w:w="675" w:type="dxa"/>
          </w:tcPr>
          <w:p w14:paraId="559E2339" w14:textId="30F3C06F" w:rsidR="00DC3C60" w:rsidRPr="00DC3C60" w:rsidRDefault="00DC3C60" w:rsidP="00DC3C60">
            <w:pPr>
              <w:rPr>
                <w:rFonts w:ascii="Arial" w:hAnsi="Arial" w:cs="Arial"/>
                <w:sz w:val="18"/>
                <w:szCs w:val="18"/>
                <w:lang w:eastAsia="en-GB"/>
              </w:rPr>
            </w:pPr>
            <w:r>
              <w:rPr>
                <w:rFonts w:ascii="Arial" w:hAnsi="Arial" w:cs="Arial"/>
                <w:sz w:val="18"/>
                <w:szCs w:val="18"/>
                <w:lang w:eastAsia="en-GB"/>
              </w:rPr>
              <w:t>24</w:t>
            </w:r>
          </w:p>
        </w:tc>
        <w:tc>
          <w:tcPr>
            <w:tcW w:w="1701" w:type="dxa"/>
          </w:tcPr>
          <w:p w14:paraId="2EBA234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SCM1</w:t>
            </w:r>
          </w:p>
        </w:tc>
        <w:tc>
          <w:tcPr>
            <w:tcW w:w="1701" w:type="dxa"/>
          </w:tcPr>
          <w:p w14:paraId="35E7AE3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5</w:t>
            </w:r>
          </w:p>
          <w:p w14:paraId="14132489" w14:textId="77777777" w:rsidR="00DC3C60" w:rsidRPr="00DC3C60" w:rsidRDefault="00DC3C60" w:rsidP="00DC3C60">
            <w:pPr>
              <w:rPr>
                <w:rFonts w:ascii="Arial" w:hAnsi="Arial" w:cs="Arial"/>
                <w:sz w:val="18"/>
                <w:szCs w:val="18"/>
                <w:lang w:eastAsia="en-GB"/>
              </w:rPr>
            </w:pPr>
          </w:p>
          <w:p w14:paraId="3D6D6A3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Stereotactic Radiosurgery (SRS) for people with &gt;1 Brain Metastasis </w:t>
            </w:r>
          </w:p>
        </w:tc>
        <w:tc>
          <w:tcPr>
            <w:tcW w:w="4678" w:type="dxa"/>
          </w:tcPr>
          <w:p w14:paraId="2990C70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Focal treatment of brain metastases can provide lasting local control without further significant neurocognitive impact.</w:t>
            </w:r>
          </w:p>
          <w:p w14:paraId="322F30FB" w14:textId="77777777" w:rsidR="00DC3C60" w:rsidRPr="00DC3C60" w:rsidRDefault="00DC3C60" w:rsidP="00DC3C60">
            <w:pPr>
              <w:rPr>
                <w:rFonts w:ascii="Arial" w:hAnsi="Arial" w:cs="Arial"/>
                <w:sz w:val="18"/>
                <w:szCs w:val="18"/>
                <w:lang w:eastAsia="en-GB"/>
              </w:rPr>
            </w:pPr>
          </w:p>
          <w:p w14:paraId="5776C8D3" w14:textId="77777777" w:rsidR="00DC3C60" w:rsidRPr="00DC3C60" w:rsidRDefault="00DC3C60" w:rsidP="00DC3C60">
            <w:pPr>
              <w:rPr>
                <w:rFonts w:ascii="Arial" w:hAnsi="Arial" w:cs="Arial"/>
                <w:sz w:val="18"/>
                <w:szCs w:val="18"/>
              </w:rPr>
            </w:pPr>
            <w:r w:rsidRPr="00DC3C60">
              <w:rPr>
                <w:rFonts w:ascii="Arial" w:hAnsi="Arial" w:cs="Arial"/>
                <w:sz w:val="18"/>
                <w:szCs w:val="18"/>
              </w:rPr>
              <w:t>NICE guidance recommends consideration of SRS for those with multiple brain metastases, good performance status and controlled/controllable extra-cranial disease</w:t>
            </w:r>
          </w:p>
        </w:tc>
        <w:tc>
          <w:tcPr>
            <w:tcW w:w="3119" w:type="dxa"/>
          </w:tcPr>
          <w:p w14:paraId="030336F9"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The number of centres offering SRS is limited, so people with brain metastases often have to be referred outside of their local cancer centre, which is a barrier to treatment.  This is particularly an issue for those with &gt;5 brain metastases who may need to be referred to a centre outside the region as only some SRS centres (for example those utilising a Gamma Knife) have the physical ability to treat multiple metastases.  This creates a barrier for those people with multiple brain metastases to access these services.</w:t>
            </w:r>
          </w:p>
        </w:tc>
        <w:tc>
          <w:tcPr>
            <w:tcW w:w="3151" w:type="dxa"/>
          </w:tcPr>
          <w:p w14:paraId="2D60ACA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Clinical commissioning policy: stereotactic radiosurgery/stereotactic radiotherapy for cerebral metastases (NHS England 2013)</w:t>
            </w:r>
          </w:p>
          <w:p w14:paraId="70CC2D0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Schimmel et al Clinical Oncology (RCR) 33(2021) 314-21- cognitive function was preserved or improved after SRS for people with 1-10 brain metastases</w:t>
            </w:r>
          </w:p>
          <w:p w14:paraId="63E761E4" w14:textId="77777777" w:rsidR="00DC3C60" w:rsidRPr="00DC3C60" w:rsidRDefault="00DC3C60" w:rsidP="00DC3C60">
            <w:pPr>
              <w:rPr>
                <w:rFonts w:ascii="Arial" w:hAnsi="Arial" w:cs="Arial"/>
                <w:sz w:val="18"/>
                <w:szCs w:val="18"/>
                <w:lang w:eastAsia="en-GB"/>
              </w:rPr>
            </w:pPr>
          </w:p>
        </w:tc>
      </w:tr>
      <w:tr w:rsidR="00DC3C60" w:rsidRPr="00DC3C60" w14:paraId="6A195B06" w14:textId="77777777" w:rsidTr="003635EE">
        <w:trPr>
          <w:trHeight w:val="282"/>
        </w:trPr>
        <w:tc>
          <w:tcPr>
            <w:tcW w:w="15025" w:type="dxa"/>
            <w:gridSpan w:val="6"/>
          </w:tcPr>
          <w:p w14:paraId="1D0BD5E4" w14:textId="3DCD2BEB" w:rsidR="00DC3C60" w:rsidRPr="00DC3C60" w:rsidRDefault="00DC3C60" w:rsidP="00DC3C60">
            <w:pPr>
              <w:tabs>
                <w:tab w:val="num" w:pos="284"/>
              </w:tabs>
              <w:spacing w:line="360" w:lineRule="auto"/>
              <w:ind w:left="284" w:hanging="284"/>
              <w:rPr>
                <w:rFonts w:ascii="Arial" w:hAnsi="Arial"/>
                <w:sz w:val="22"/>
                <w:szCs w:val="20"/>
                <w:vertAlign w:val="superscript"/>
              </w:rPr>
            </w:pPr>
            <w:r w:rsidRPr="00DC3C60">
              <w:rPr>
                <w:rFonts w:ascii="Arial" w:hAnsi="Arial" w:cs="Arial"/>
                <w:b/>
                <w:bCs/>
                <w:sz w:val="18"/>
                <w:szCs w:val="18"/>
                <w:lang w:eastAsia="en-GB"/>
              </w:rPr>
              <w:t xml:space="preserve">Follow-up </w:t>
            </w:r>
            <w:r w:rsidR="0048142E">
              <w:rPr>
                <w:rFonts w:ascii="Arial" w:hAnsi="Arial" w:cs="Arial"/>
                <w:b/>
                <w:bCs/>
                <w:sz w:val="18"/>
                <w:szCs w:val="18"/>
                <w:lang w:eastAsia="en-GB"/>
              </w:rPr>
              <w:t>–</w:t>
            </w:r>
            <w:r w:rsidRPr="00DC3C60">
              <w:rPr>
                <w:rFonts w:ascii="Arial" w:hAnsi="Arial" w:cs="Arial"/>
                <w:b/>
                <w:bCs/>
                <w:sz w:val="18"/>
                <w:szCs w:val="18"/>
                <w:lang w:eastAsia="en-GB"/>
              </w:rPr>
              <w:t xml:space="preserve"> Imaging</w:t>
            </w:r>
          </w:p>
        </w:tc>
      </w:tr>
      <w:tr w:rsidR="00DC3C60" w:rsidRPr="00DC3C60" w14:paraId="7C77B098" w14:textId="77777777" w:rsidTr="003635EE">
        <w:trPr>
          <w:trHeight w:val="282"/>
        </w:trPr>
        <w:tc>
          <w:tcPr>
            <w:tcW w:w="675" w:type="dxa"/>
          </w:tcPr>
          <w:p w14:paraId="69C5F528" w14:textId="348D20E2" w:rsidR="00DC3C60" w:rsidRPr="00DC3C60" w:rsidRDefault="00DC3C60" w:rsidP="00DC3C60">
            <w:pPr>
              <w:rPr>
                <w:rFonts w:ascii="Arial" w:hAnsi="Arial" w:cs="Arial"/>
                <w:sz w:val="18"/>
                <w:szCs w:val="18"/>
                <w:lang w:eastAsia="en-GB"/>
              </w:rPr>
            </w:pPr>
            <w:r>
              <w:rPr>
                <w:rFonts w:ascii="Arial" w:hAnsi="Arial" w:cs="Arial"/>
                <w:sz w:val="18"/>
                <w:szCs w:val="18"/>
                <w:lang w:eastAsia="en-GB"/>
              </w:rPr>
              <w:t>25</w:t>
            </w:r>
          </w:p>
        </w:tc>
        <w:tc>
          <w:tcPr>
            <w:tcW w:w="1701" w:type="dxa"/>
          </w:tcPr>
          <w:p w14:paraId="6A5AE2A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Brain Tumour Research</w:t>
            </w:r>
          </w:p>
        </w:tc>
        <w:tc>
          <w:tcPr>
            <w:tcW w:w="1701" w:type="dxa"/>
          </w:tcPr>
          <w:p w14:paraId="3BB65326" w14:textId="77777777" w:rsidR="00DC3C60" w:rsidRPr="00DC3C60" w:rsidRDefault="00DC3C60" w:rsidP="00DC3C60">
            <w:pPr>
              <w:rPr>
                <w:rFonts w:ascii="Arial" w:hAnsi="Arial" w:cs="Arial"/>
                <w:b/>
                <w:sz w:val="22"/>
                <w:lang w:eastAsia="en-GB"/>
              </w:rPr>
            </w:pPr>
            <w:r w:rsidRPr="00DC3C60">
              <w:rPr>
                <w:rFonts w:ascii="Arial" w:hAnsi="Arial" w:cs="Arial"/>
                <w:sz w:val="18"/>
                <w:szCs w:val="18"/>
                <w:lang w:eastAsia="en-GB"/>
              </w:rPr>
              <w:t>Imaging and surveillance:</w:t>
            </w:r>
          </w:p>
        </w:tc>
        <w:tc>
          <w:tcPr>
            <w:tcW w:w="4678" w:type="dxa"/>
          </w:tcPr>
          <w:p w14:paraId="5CA0A5E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The clinical management of patient with brain cancer is critically determined by the appearances of their disease on regular MRI brain imaging  </w:t>
            </w:r>
          </w:p>
          <w:p w14:paraId="1A098B9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1.</w:t>
            </w:r>
            <w:r w:rsidRPr="00DC3C60">
              <w:rPr>
                <w:rFonts w:ascii="Arial" w:hAnsi="Arial" w:cs="Arial"/>
                <w:sz w:val="18"/>
                <w:szCs w:val="18"/>
                <w:lang w:eastAsia="en-GB"/>
              </w:rPr>
              <w:tab/>
              <w:t xml:space="preserve">Currently with Covid regulations and the need for reducing intercurrent throughput of cases in imaging departments, there are now delays in both diagnostic imaging and surveillance imaging of patients with brain tumours. </w:t>
            </w:r>
          </w:p>
          <w:p w14:paraId="7B3D500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2.</w:t>
            </w:r>
            <w:r w:rsidRPr="00DC3C60">
              <w:rPr>
                <w:rFonts w:ascii="Arial" w:hAnsi="Arial" w:cs="Arial"/>
                <w:sz w:val="18"/>
                <w:szCs w:val="18"/>
                <w:lang w:eastAsia="en-GB"/>
              </w:rPr>
              <w:tab/>
              <w:t xml:space="preserve">Coupled with this are the very real pressures causing delay in professional/specialist   consultant reporting of this imaging. Thus, in addition to delays in accessing imaging patients also have to wait after the event for a report on the imaging result. </w:t>
            </w:r>
          </w:p>
          <w:p w14:paraId="7A335E5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3.</w:t>
            </w:r>
            <w:r w:rsidRPr="00DC3C60">
              <w:rPr>
                <w:rFonts w:ascii="Arial" w:hAnsi="Arial" w:cs="Arial"/>
                <w:sz w:val="18"/>
                <w:szCs w:val="18"/>
                <w:lang w:eastAsia="en-GB"/>
              </w:rPr>
              <w:tab/>
              <w:t>Added to this is the pressure on outpatient appointments and we have a threefold delay problem that is injurious to the patient both clinically and mentally.</w:t>
            </w:r>
          </w:p>
          <w:p w14:paraId="1FB785D4" w14:textId="77777777" w:rsidR="00DC3C60" w:rsidRPr="00DC3C60" w:rsidRDefault="00DC3C60" w:rsidP="00DC3C60">
            <w:pPr>
              <w:rPr>
                <w:rFonts w:ascii="Arial" w:hAnsi="Arial" w:cs="Arial"/>
                <w:sz w:val="18"/>
                <w:szCs w:val="18"/>
                <w:lang w:eastAsia="en-GB"/>
              </w:rPr>
            </w:pPr>
          </w:p>
        </w:tc>
        <w:tc>
          <w:tcPr>
            <w:tcW w:w="3119" w:type="dxa"/>
          </w:tcPr>
          <w:p w14:paraId="5E95D57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 new standard of Quality is required here</w:t>
            </w:r>
          </w:p>
          <w:p w14:paraId="352BA3C1" w14:textId="77777777" w:rsidR="00DC3C60" w:rsidRPr="00DC3C60" w:rsidRDefault="00DC3C60" w:rsidP="00DC3C60">
            <w:pPr>
              <w:rPr>
                <w:rFonts w:ascii="Arial" w:hAnsi="Arial" w:cs="Arial"/>
                <w:sz w:val="18"/>
                <w:szCs w:val="18"/>
                <w:lang w:eastAsia="en-GB"/>
              </w:rPr>
            </w:pPr>
          </w:p>
          <w:p w14:paraId="6635F54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1.</w:t>
            </w:r>
            <w:r w:rsidRPr="00DC3C60">
              <w:rPr>
                <w:rFonts w:ascii="Arial" w:hAnsi="Arial" w:cs="Arial"/>
                <w:sz w:val="18"/>
                <w:szCs w:val="18"/>
                <w:lang w:eastAsia="en-GB"/>
              </w:rPr>
              <w:tab/>
              <w:t xml:space="preserve">Ideally a patient should have their scan, report and consultation with the report on the same day so that decisions can be made quickly and in the interests of the patient. </w:t>
            </w:r>
          </w:p>
          <w:p w14:paraId="3F10BB8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2.</w:t>
            </w:r>
            <w:r w:rsidRPr="00DC3C60">
              <w:rPr>
                <w:rFonts w:ascii="Arial" w:hAnsi="Arial" w:cs="Arial"/>
                <w:sz w:val="18"/>
                <w:szCs w:val="18"/>
                <w:lang w:eastAsia="en-GB"/>
              </w:rPr>
              <w:tab/>
              <w:t xml:space="preserve">The delivery of the current system of imaging and OPD is subject to the competition existing from the flow of patients from other disease pathways. </w:t>
            </w:r>
          </w:p>
          <w:p w14:paraId="7FF61B9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3.</w:t>
            </w:r>
            <w:r w:rsidRPr="00DC3C60">
              <w:rPr>
                <w:rFonts w:ascii="Arial" w:hAnsi="Arial" w:cs="Arial"/>
                <w:sz w:val="18"/>
                <w:szCs w:val="18"/>
                <w:lang w:eastAsia="en-GB"/>
              </w:rPr>
              <w:tab/>
              <w:t xml:space="preserve">As such completing imaging reporting and consultation for a patient in one hospital visit would hugely decrease unnecessary footfall of patients through hospital at a time when we are trying extremely hard to achieve this to reduce the risks from Covid. </w:t>
            </w:r>
          </w:p>
          <w:p w14:paraId="1F8DD7B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sidRPr="00DC3C60">
              <w:rPr>
                <w:rFonts w:ascii="Arial" w:hAnsi="Arial" w:cs="Arial"/>
                <w:sz w:val="18"/>
                <w:szCs w:val="18"/>
                <w:lang w:eastAsia="en-GB"/>
              </w:rPr>
              <w:tab/>
              <w:t xml:space="preserve">To synchronise imaging reporting and consultation to one visit is thus highly desirable to both the hospital and the patient. </w:t>
            </w:r>
          </w:p>
          <w:p w14:paraId="1F982E6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5.</w:t>
            </w:r>
            <w:r w:rsidRPr="00DC3C60">
              <w:rPr>
                <w:rFonts w:ascii="Arial" w:hAnsi="Arial" w:cs="Arial"/>
                <w:sz w:val="18"/>
                <w:szCs w:val="18"/>
                <w:lang w:eastAsia="en-GB"/>
              </w:rPr>
              <w:tab/>
              <w:t xml:space="preserve">As the three events all require a chronological itemisation then it should be possible to rationalise them into one episode with suitable application of IT, management and the will to realise this. </w:t>
            </w:r>
          </w:p>
          <w:p w14:paraId="2C396A2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6.</w:t>
            </w:r>
            <w:r w:rsidRPr="00DC3C60">
              <w:rPr>
                <w:rFonts w:ascii="Arial" w:hAnsi="Arial" w:cs="Arial"/>
                <w:sz w:val="18"/>
                <w:szCs w:val="18"/>
                <w:lang w:eastAsia="en-GB"/>
              </w:rPr>
              <w:tab/>
              <w:t xml:space="preserve">At least one centre ‘ the Royal Marsden’ a centre of cancer treatment excellence already does this and on this rationale. </w:t>
            </w:r>
          </w:p>
          <w:p w14:paraId="31AB401A" w14:textId="77777777" w:rsidR="00DC3C60" w:rsidRPr="00DC3C60" w:rsidRDefault="00DC3C60" w:rsidP="00DC3C60">
            <w:pPr>
              <w:rPr>
                <w:rFonts w:ascii="Arial" w:hAnsi="Arial" w:cs="Arial"/>
                <w:sz w:val="18"/>
                <w:szCs w:val="18"/>
                <w:lang w:eastAsia="en-GB"/>
              </w:rPr>
            </w:pPr>
          </w:p>
          <w:p w14:paraId="11C6F3A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We would therefore propose new Quality standard of ….’the number of patients having their imaging reporting and consultation in one hospital visit’ </w:t>
            </w:r>
          </w:p>
        </w:tc>
        <w:tc>
          <w:tcPr>
            <w:tcW w:w="3151" w:type="dxa"/>
          </w:tcPr>
          <w:p w14:paraId="187ED93D" w14:textId="77777777" w:rsidR="00DC3C60" w:rsidRPr="00DC3C60" w:rsidRDefault="00DC3C60" w:rsidP="00DC3C60">
            <w:pPr>
              <w:tabs>
                <w:tab w:val="num" w:pos="284"/>
              </w:tabs>
              <w:spacing w:line="360" w:lineRule="auto"/>
              <w:ind w:left="284" w:hanging="284"/>
              <w:rPr>
                <w:rFonts w:ascii="Arial" w:hAnsi="Arial" w:cs="Arial"/>
                <w:sz w:val="18"/>
                <w:szCs w:val="18"/>
                <w:lang w:eastAsia="en-GB"/>
              </w:rPr>
            </w:pPr>
            <w:r w:rsidRPr="00DC3C60">
              <w:rPr>
                <w:rFonts w:ascii="Arial" w:hAnsi="Arial"/>
                <w:sz w:val="22"/>
                <w:szCs w:val="20"/>
                <w:vertAlign w:val="superscript"/>
              </w:rPr>
              <w:footnoteRef/>
            </w:r>
            <w:r w:rsidRPr="00DC3C60">
              <w:rPr>
                <w:rFonts w:ascii="Arial" w:hAnsi="Arial"/>
                <w:sz w:val="22"/>
                <w:szCs w:val="20"/>
              </w:rPr>
              <w:t xml:space="preserve"> </w:t>
            </w:r>
            <w:hyperlink r:id="rId65" w:history="1">
              <w:r w:rsidRPr="00DC3C60">
                <w:rPr>
                  <w:rFonts w:ascii="Arial" w:hAnsi="Arial" w:cs="Arial"/>
                  <w:sz w:val="18"/>
                  <w:szCs w:val="18"/>
                  <w:lang w:eastAsia="en-GB"/>
                </w:rPr>
                <w:t>Brain tumours (primary) and brain metastases in adults</w:t>
              </w:r>
            </w:hyperlink>
            <w:r w:rsidRPr="00DC3C60">
              <w:rPr>
                <w:rFonts w:ascii="Arial" w:hAnsi="Arial" w:cs="Arial"/>
                <w:sz w:val="18"/>
                <w:szCs w:val="18"/>
                <w:lang w:eastAsia="en-GB"/>
              </w:rPr>
              <w:t xml:space="preserve"> (2018) NICE guideline NG99</w:t>
            </w:r>
          </w:p>
          <w:p w14:paraId="5560C523" w14:textId="77777777" w:rsidR="00DC3C60" w:rsidRPr="00DC3C60" w:rsidRDefault="00DC3C60" w:rsidP="00DC3C60">
            <w:pPr>
              <w:rPr>
                <w:rFonts w:ascii="Arial" w:hAnsi="Arial" w:cs="Arial"/>
                <w:sz w:val="22"/>
                <w:szCs w:val="22"/>
              </w:rPr>
            </w:pPr>
          </w:p>
        </w:tc>
      </w:tr>
      <w:tr w:rsidR="00DC3C60" w:rsidRPr="00DC3C60" w14:paraId="11D566D4" w14:textId="77777777" w:rsidTr="003635EE">
        <w:trPr>
          <w:trHeight w:val="282"/>
        </w:trPr>
        <w:tc>
          <w:tcPr>
            <w:tcW w:w="675" w:type="dxa"/>
          </w:tcPr>
          <w:p w14:paraId="16BEB21B" w14:textId="4A95324A" w:rsidR="00DC3C60" w:rsidRPr="00DC3C60" w:rsidRDefault="00DC3C60" w:rsidP="00DC3C60">
            <w:pPr>
              <w:rPr>
                <w:rFonts w:ascii="Arial" w:hAnsi="Arial" w:cs="Arial"/>
                <w:sz w:val="18"/>
                <w:szCs w:val="18"/>
                <w:lang w:eastAsia="en-GB"/>
              </w:rPr>
            </w:pPr>
            <w:r>
              <w:rPr>
                <w:rFonts w:ascii="Arial" w:hAnsi="Arial" w:cs="Arial"/>
                <w:sz w:val="18"/>
                <w:szCs w:val="18"/>
                <w:lang w:eastAsia="en-GB"/>
              </w:rPr>
              <w:t>26</w:t>
            </w:r>
          </w:p>
        </w:tc>
        <w:tc>
          <w:tcPr>
            <w:tcW w:w="1701" w:type="dxa"/>
          </w:tcPr>
          <w:p w14:paraId="2CC3651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British Society of Neuroradiologists</w:t>
            </w:r>
          </w:p>
        </w:tc>
        <w:tc>
          <w:tcPr>
            <w:tcW w:w="1701" w:type="dxa"/>
          </w:tcPr>
          <w:p w14:paraId="5F09EE6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1 – Standardisation of MRI imaging protocols for assessment of brain tumours across regional networks.</w:t>
            </w:r>
          </w:p>
        </w:tc>
        <w:tc>
          <w:tcPr>
            <w:tcW w:w="4678" w:type="dxa"/>
          </w:tcPr>
          <w:p w14:paraId="1B0CF25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Patients with a brain tumour are often scanned at a number of different centres during diagnosis, treatment and surveillance, and at each centre the MRI scan protocol used may differ.  A standardised imaging approach across different centres will help to improve accuracy in assessment of brain tumours, the response to treatment, and during surveillance. </w:t>
            </w:r>
          </w:p>
        </w:tc>
        <w:tc>
          <w:tcPr>
            <w:tcW w:w="3119" w:type="dxa"/>
          </w:tcPr>
          <w:p w14:paraId="5AB8C6AB" w14:textId="77777777" w:rsidR="00DC3C60" w:rsidRPr="00DC3C60" w:rsidRDefault="00DC3C60" w:rsidP="00DC3C60">
            <w:pPr>
              <w:rPr>
                <w:rFonts w:ascii="Arial" w:hAnsi="Arial" w:cs="Arial"/>
                <w:sz w:val="18"/>
                <w:szCs w:val="18"/>
                <w:lang w:eastAsia="en-GB"/>
              </w:rPr>
            </w:pPr>
          </w:p>
        </w:tc>
        <w:tc>
          <w:tcPr>
            <w:tcW w:w="3151" w:type="dxa"/>
          </w:tcPr>
          <w:p w14:paraId="7DAA85A1" w14:textId="77777777" w:rsidR="00DC3C60" w:rsidRPr="00DC3C60" w:rsidRDefault="00DC3C60" w:rsidP="00DC3C60">
            <w:pPr>
              <w:rPr>
                <w:rFonts w:ascii="Arial" w:hAnsi="Arial" w:cs="Arial"/>
                <w:sz w:val="18"/>
                <w:szCs w:val="18"/>
                <w:lang w:eastAsia="en-GB"/>
              </w:rPr>
            </w:pPr>
          </w:p>
        </w:tc>
      </w:tr>
      <w:tr w:rsidR="00DC3C60" w:rsidRPr="00DC3C60" w14:paraId="52538E41" w14:textId="77777777" w:rsidTr="003635EE">
        <w:trPr>
          <w:trHeight w:val="282"/>
        </w:trPr>
        <w:tc>
          <w:tcPr>
            <w:tcW w:w="675" w:type="dxa"/>
          </w:tcPr>
          <w:p w14:paraId="42D697E0" w14:textId="046B9504" w:rsidR="00DC3C60" w:rsidRPr="00DC3C60" w:rsidRDefault="00DC3C60" w:rsidP="00DC3C60">
            <w:pPr>
              <w:rPr>
                <w:rFonts w:ascii="Arial" w:hAnsi="Arial" w:cs="Arial"/>
                <w:sz w:val="18"/>
                <w:szCs w:val="18"/>
                <w:lang w:eastAsia="en-GB"/>
              </w:rPr>
            </w:pPr>
            <w:r>
              <w:rPr>
                <w:rFonts w:ascii="Arial" w:hAnsi="Arial" w:cs="Arial"/>
                <w:sz w:val="18"/>
                <w:szCs w:val="18"/>
                <w:lang w:eastAsia="en-GB"/>
              </w:rPr>
              <w:t>27</w:t>
            </w:r>
          </w:p>
        </w:tc>
        <w:tc>
          <w:tcPr>
            <w:tcW w:w="1701" w:type="dxa"/>
          </w:tcPr>
          <w:p w14:paraId="3D8D437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British Society of Neuroradiologists</w:t>
            </w:r>
          </w:p>
        </w:tc>
        <w:tc>
          <w:tcPr>
            <w:tcW w:w="1701" w:type="dxa"/>
          </w:tcPr>
          <w:p w14:paraId="6F61226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Key area for quality improvement 2 – Ensuring imaging schedules during the treatment and surveillance of patients with brain tumours are consistent. </w:t>
            </w:r>
          </w:p>
        </w:tc>
        <w:tc>
          <w:tcPr>
            <w:tcW w:w="4678" w:type="dxa"/>
          </w:tcPr>
          <w:p w14:paraId="7C72FB1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Imaging is central to the diagnosis and management of patients with brain tumours, but the frequency with which it is undertaken varies between centres. </w:t>
            </w:r>
          </w:p>
        </w:tc>
        <w:tc>
          <w:tcPr>
            <w:tcW w:w="3119" w:type="dxa"/>
          </w:tcPr>
          <w:p w14:paraId="6217FB2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Imaging is a limited and expensive resource and therefore needs to be employed to best effect. Inappropriately timed scans may adversely affect patient management decisions. Although there is little evidence to define the most appropriate timepoints for imaging, guidance is required to ensure a consistent approach. </w:t>
            </w:r>
          </w:p>
        </w:tc>
        <w:tc>
          <w:tcPr>
            <w:tcW w:w="3151" w:type="dxa"/>
          </w:tcPr>
          <w:p w14:paraId="4D0BA206" w14:textId="77777777" w:rsidR="00DC3C60" w:rsidRPr="00DC3C60" w:rsidRDefault="00DC3C60" w:rsidP="00DC3C60">
            <w:pPr>
              <w:rPr>
                <w:rFonts w:ascii="Arial" w:hAnsi="Arial" w:cs="Arial"/>
                <w:sz w:val="18"/>
                <w:szCs w:val="18"/>
                <w:lang w:eastAsia="en-GB"/>
              </w:rPr>
            </w:pPr>
          </w:p>
        </w:tc>
      </w:tr>
      <w:tr w:rsidR="00DC3C60" w:rsidRPr="00DC3C60" w14:paraId="2E364DE4" w14:textId="77777777" w:rsidTr="003635EE">
        <w:trPr>
          <w:trHeight w:val="282"/>
        </w:trPr>
        <w:tc>
          <w:tcPr>
            <w:tcW w:w="675" w:type="dxa"/>
          </w:tcPr>
          <w:p w14:paraId="6A8537CA" w14:textId="31F4797B" w:rsidR="00DC3C60" w:rsidRPr="00DC3C60" w:rsidRDefault="00DC3C60" w:rsidP="00DC3C60">
            <w:pPr>
              <w:rPr>
                <w:rFonts w:ascii="Arial" w:hAnsi="Arial" w:cs="Arial"/>
                <w:sz w:val="18"/>
                <w:szCs w:val="18"/>
                <w:lang w:eastAsia="en-GB"/>
              </w:rPr>
            </w:pPr>
            <w:r>
              <w:rPr>
                <w:rFonts w:ascii="Arial" w:hAnsi="Arial" w:cs="Arial"/>
                <w:sz w:val="18"/>
                <w:szCs w:val="18"/>
                <w:lang w:eastAsia="en-GB"/>
              </w:rPr>
              <w:t>28</w:t>
            </w:r>
          </w:p>
        </w:tc>
        <w:tc>
          <w:tcPr>
            <w:tcW w:w="1701" w:type="dxa"/>
          </w:tcPr>
          <w:p w14:paraId="13BA3AF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British Society of Neuroradiologists</w:t>
            </w:r>
          </w:p>
        </w:tc>
        <w:tc>
          <w:tcPr>
            <w:tcW w:w="1701" w:type="dxa"/>
          </w:tcPr>
          <w:p w14:paraId="6A74F5D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Key area for quality improvement 5 –Appropriate and adequate clinical information should be provided on requests for imaging. </w:t>
            </w:r>
          </w:p>
        </w:tc>
        <w:tc>
          <w:tcPr>
            <w:tcW w:w="4678" w:type="dxa"/>
          </w:tcPr>
          <w:p w14:paraId="2408FAD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clinical information provided to on requests for imaging is variable, often limited and unstructured. Lack of important information can result in a lower quality or less useful report of the imaging study, or even misinterpretation.</w:t>
            </w:r>
          </w:p>
        </w:tc>
        <w:tc>
          <w:tcPr>
            <w:tcW w:w="3119" w:type="dxa"/>
          </w:tcPr>
          <w:p w14:paraId="078C2F5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Clear identification of tumour type, current/prior treatment status and current clinical status along with reason for imaging is variably provided in requests for imaging. Development of a core data set for referral information would improve consistency of communication and diagnosis. This could potentially be embedded in an electronic referral system.</w:t>
            </w:r>
          </w:p>
        </w:tc>
        <w:tc>
          <w:tcPr>
            <w:tcW w:w="3151" w:type="dxa"/>
          </w:tcPr>
          <w:p w14:paraId="28004A7C" w14:textId="77777777" w:rsidR="00DC3C60" w:rsidRPr="00DC3C60" w:rsidRDefault="00DC3C60" w:rsidP="00DC3C60">
            <w:pPr>
              <w:rPr>
                <w:rFonts w:ascii="Arial" w:hAnsi="Arial" w:cs="Arial"/>
                <w:sz w:val="18"/>
                <w:szCs w:val="18"/>
                <w:lang w:eastAsia="en-GB"/>
              </w:rPr>
            </w:pPr>
          </w:p>
        </w:tc>
      </w:tr>
      <w:tr w:rsidR="00DC3C60" w:rsidRPr="00DC3C60" w14:paraId="0008C67B" w14:textId="77777777" w:rsidTr="003635EE">
        <w:trPr>
          <w:trHeight w:val="282"/>
        </w:trPr>
        <w:tc>
          <w:tcPr>
            <w:tcW w:w="675" w:type="dxa"/>
          </w:tcPr>
          <w:p w14:paraId="7456EB4F" w14:textId="5ADAFEAB" w:rsidR="00DC3C60" w:rsidRPr="00DC3C60" w:rsidRDefault="00DC3C60" w:rsidP="00DC3C60">
            <w:pPr>
              <w:rPr>
                <w:rFonts w:ascii="Arial" w:hAnsi="Arial" w:cs="Arial"/>
                <w:sz w:val="18"/>
                <w:szCs w:val="18"/>
                <w:lang w:eastAsia="en-GB"/>
              </w:rPr>
            </w:pPr>
            <w:r>
              <w:rPr>
                <w:rFonts w:ascii="Arial" w:hAnsi="Arial" w:cs="Arial"/>
                <w:sz w:val="18"/>
                <w:szCs w:val="18"/>
                <w:lang w:eastAsia="en-GB"/>
              </w:rPr>
              <w:t>29</w:t>
            </w:r>
          </w:p>
        </w:tc>
        <w:tc>
          <w:tcPr>
            <w:tcW w:w="1701" w:type="dxa"/>
          </w:tcPr>
          <w:p w14:paraId="458E1A7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SCM3</w:t>
            </w:r>
          </w:p>
        </w:tc>
        <w:tc>
          <w:tcPr>
            <w:tcW w:w="1701" w:type="dxa"/>
          </w:tcPr>
          <w:p w14:paraId="779A9FF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Standardisation of imaging protocols for tumour imaging</w:t>
            </w:r>
          </w:p>
        </w:tc>
        <w:tc>
          <w:tcPr>
            <w:tcW w:w="4678" w:type="dxa"/>
          </w:tcPr>
          <w:p w14:paraId="01F8E623" w14:textId="77777777" w:rsidR="00DC3C60" w:rsidRPr="00DC3C60" w:rsidRDefault="00DC3C60" w:rsidP="00DC3C60">
            <w:pPr>
              <w:rPr>
                <w:rFonts w:ascii="Arial" w:hAnsi="Arial" w:cs="Arial"/>
                <w:sz w:val="18"/>
                <w:szCs w:val="18"/>
              </w:rPr>
            </w:pPr>
            <w:r w:rsidRPr="00DC3C60">
              <w:rPr>
                <w:rFonts w:ascii="Arial" w:hAnsi="Arial" w:cs="Arial"/>
                <w:sz w:val="18"/>
                <w:szCs w:val="18"/>
              </w:rPr>
              <w:t>Patients may be imaged in different sites during their treatment and follow up. Accurate assessment of treatment response is greatly helped by consistent imaging standards regardless of location.</w:t>
            </w:r>
          </w:p>
        </w:tc>
        <w:tc>
          <w:tcPr>
            <w:tcW w:w="3119" w:type="dxa"/>
          </w:tcPr>
          <w:p w14:paraId="44A180C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It is of considerable benefit for some patients to be imaged near home, which may be remote from the tertiary centres where treatment is usually based. Networks of imaging centres should  ensure consistent quality of brain imaging can be provided across sites in the regional network</w:t>
            </w:r>
          </w:p>
        </w:tc>
        <w:tc>
          <w:tcPr>
            <w:tcW w:w="3151" w:type="dxa"/>
          </w:tcPr>
          <w:p w14:paraId="02D6A87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Brain tumours (primary) and brain metastases in adults (2018) NICE guideline NG99 – suggested protocol.</w:t>
            </w:r>
          </w:p>
        </w:tc>
      </w:tr>
      <w:tr w:rsidR="00DC3C60" w:rsidRPr="00DC3C60" w14:paraId="0532FD21" w14:textId="77777777" w:rsidTr="003635EE">
        <w:trPr>
          <w:trHeight w:val="282"/>
        </w:trPr>
        <w:tc>
          <w:tcPr>
            <w:tcW w:w="675" w:type="dxa"/>
          </w:tcPr>
          <w:p w14:paraId="6BB2FE7A" w14:textId="765F29F3" w:rsidR="00DC3C60" w:rsidRPr="00DC3C60" w:rsidRDefault="00DC3C60" w:rsidP="00DC3C60">
            <w:pPr>
              <w:rPr>
                <w:rFonts w:ascii="Arial" w:hAnsi="Arial" w:cs="Arial"/>
                <w:sz w:val="18"/>
                <w:szCs w:val="18"/>
                <w:lang w:eastAsia="en-GB"/>
              </w:rPr>
            </w:pPr>
            <w:r>
              <w:rPr>
                <w:rFonts w:ascii="Arial" w:hAnsi="Arial" w:cs="Arial"/>
                <w:sz w:val="18"/>
                <w:szCs w:val="18"/>
                <w:lang w:eastAsia="en-GB"/>
              </w:rPr>
              <w:t>30</w:t>
            </w:r>
          </w:p>
        </w:tc>
        <w:tc>
          <w:tcPr>
            <w:tcW w:w="1701" w:type="dxa"/>
          </w:tcPr>
          <w:p w14:paraId="4CD97C1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SCM3</w:t>
            </w:r>
          </w:p>
        </w:tc>
        <w:tc>
          <w:tcPr>
            <w:tcW w:w="1701" w:type="dxa"/>
          </w:tcPr>
          <w:p w14:paraId="4E7A24F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Consistent imaging schedules</w:t>
            </w:r>
          </w:p>
        </w:tc>
        <w:tc>
          <w:tcPr>
            <w:tcW w:w="4678" w:type="dxa"/>
          </w:tcPr>
          <w:p w14:paraId="3EE8204C"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Treatment and </w:t>
            </w:r>
            <w:proofErr w:type="spellStart"/>
            <w:r w:rsidRPr="00DC3C60">
              <w:rPr>
                <w:rFonts w:ascii="Arial" w:hAnsi="Arial" w:cs="Arial"/>
                <w:sz w:val="18"/>
                <w:szCs w:val="18"/>
              </w:rPr>
              <w:t>followup</w:t>
            </w:r>
            <w:proofErr w:type="spellEnd"/>
            <w:r w:rsidRPr="00DC3C60">
              <w:rPr>
                <w:rFonts w:ascii="Arial" w:hAnsi="Arial" w:cs="Arial"/>
                <w:sz w:val="18"/>
                <w:szCs w:val="18"/>
              </w:rPr>
              <w:t xml:space="preserve"> imaging is key to response assessment and symptom management. Evidence for optimal imaging timing and schedules is very limited.</w:t>
            </w:r>
          </w:p>
        </w:tc>
        <w:tc>
          <w:tcPr>
            <w:tcW w:w="3119" w:type="dxa"/>
          </w:tcPr>
          <w:p w14:paraId="6A2BC8E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Imaging plays a key role in the diagnosis and management of brain tumours. It is an expensive and limited resource, and should be used to best effect. It can also be a cause of anxiety for patients; Imaging delays can result in missed opportunities to intervene, but too-frequent or mis-timed imaging may be unhelpful, and can sometimes lead to inappropriate treatment change.</w:t>
            </w:r>
          </w:p>
        </w:tc>
        <w:tc>
          <w:tcPr>
            <w:tcW w:w="3151" w:type="dxa"/>
          </w:tcPr>
          <w:p w14:paraId="2CC7B9E3" w14:textId="77777777" w:rsidR="00DC3C60" w:rsidRPr="00DC3C60" w:rsidRDefault="00DC3C60" w:rsidP="00DC3C60">
            <w:pPr>
              <w:rPr>
                <w:rFonts w:ascii="Arial" w:hAnsi="Arial" w:cs="Arial"/>
                <w:sz w:val="18"/>
                <w:szCs w:val="18"/>
                <w:lang w:eastAsia="en-GB"/>
              </w:rPr>
            </w:pPr>
          </w:p>
        </w:tc>
      </w:tr>
      <w:tr w:rsidR="00DC3C60" w:rsidRPr="00DC3C60" w14:paraId="64F5E390" w14:textId="77777777" w:rsidTr="003635EE">
        <w:trPr>
          <w:trHeight w:val="282"/>
        </w:trPr>
        <w:tc>
          <w:tcPr>
            <w:tcW w:w="675" w:type="dxa"/>
          </w:tcPr>
          <w:p w14:paraId="10258F4B" w14:textId="0CCE58E1" w:rsidR="00DC3C60" w:rsidRPr="00DC3C60" w:rsidRDefault="00DC3C60" w:rsidP="00DC3C60">
            <w:pPr>
              <w:rPr>
                <w:rFonts w:ascii="Arial" w:hAnsi="Arial" w:cs="Arial"/>
                <w:sz w:val="18"/>
                <w:szCs w:val="18"/>
                <w:lang w:eastAsia="en-GB"/>
              </w:rPr>
            </w:pPr>
            <w:r>
              <w:rPr>
                <w:rFonts w:ascii="Arial" w:hAnsi="Arial" w:cs="Arial"/>
                <w:sz w:val="18"/>
                <w:szCs w:val="18"/>
                <w:lang w:eastAsia="en-GB"/>
              </w:rPr>
              <w:t>31</w:t>
            </w:r>
          </w:p>
        </w:tc>
        <w:tc>
          <w:tcPr>
            <w:tcW w:w="1701" w:type="dxa"/>
          </w:tcPr>
          <w:p w14:paraId="0BF6DB7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SCM3</w:t>
            </w:r>
          </w:p>
        </w:tc>
        <w:tc>
          <w:tcPr>
            <w:tcW w:w="1701" w:type="dxa"/>
          </w:tcPr>
          <w:p w14:paraId="184ED01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Structured referral information for imaging studies</w:t>
            </w:r>
          </w:p>
        </w:tc>
        <w:tc>
          <w:tcPr>
            <w:tcW w:w="4678" w:type="dxa"/>
          </w:tcPr>
          <w:p w14:paraId="22926E28"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Clear identification of tumour type, current/prior treatment status and current clinical status along with purpose of imaging is very variable. </w:t>
            </w:r>
          </w:p>
        </w:tc>
        <w:tc>
          <w:tcPr>
            <w:tcW w:w="3119" w:type="dxa"/>
          </w:tcPr>
          <w:p w14:paraId="6698BFE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clinical information provided to imaging is variable, and may be limited and unstructured. This can result in lower quality reporting of imaging studies or misinterpretation. Development of a core data set for referral information (potentially embedded in electronic referral systems) would improve consistency of communication and diagnosis.</w:t>
            </w:r>
          </w:p>
        </w:tc>
        <w:tc>
          <w:tcPr>
            <w:tcW w:w="3151" w:type="dxa"/>
          </w:tcPr>
          <w:p w14:paraId="0D071D26" w14:textId="77777777" w:rsidR="00DC3C60" w:rsidRPr="00DC3C60" w:rsidRDefault="00DC3C60" w:rsidP="00DC3C60">
            <w:pPr>
              <w:rPr>
                <w:rFonts w:ascii="Arial" w:hAnsi="Arial" w:cs="Arial"/>
                <w:sz w:val="18"/>
                <w:szCs w:val="18"/>
                <w:lang w:eastAsia="en-GB"/>
              </w:rPr>
            </w:pPr>
          </w:p>
        </w:tc>
      </w:tr>
      <w:tr w:rsidR="00DC3C60" w:rsidRPr="00DC3C60" w14:paraId="423AA50A" w14:textId="77777777" w:rsidTr="003635EE">
        <w:trPr>
          <w:trHeight w:val="282"/>
        </w:trPr>
        <w:tc>
          <w:tcPr>
            <w:tcW w:w="15025" w:type="dxa"/>
            <w:gridSpan w:val="6"/>
          </w:tcPr>
          <w:p w14:paraId="48280452"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Follow-up – Advanced imaging</w:t>
            </w:r>
          </w:p>
        </w:tc>
      </w:tr>
      <w:tr w:rsidR="00DC3C60" w:rsidRPr="00DC3C60" w14:paraId="764B860C" w14:textId="77777777" w:rsidTr="003635EE">
        <w:trPr>
          <w:trHeight w:val="282"/>
        </w:trPr>
        <w:tc>
          <w:tcPr>
            <w:tcW w:w="675" w:type="dxa"/>
          </w:tcPr>
          <w:p w14:paraId="5EDA5602" w14:textId="119B4CD9" w:rsidR="00DC3C60" w:rsidRPr="00DC3C60" w:rsidRDefault="00DC3C60" w:rsidP="00DC3C60">
            <w:pPr>
              <w:rPr>
                <w:rFonts w:ascii="Arial" w:hAnsi="Arial" w:cs="Arial"/>
                <w:sz w:val="18"/>
                <w:szCs w:val="18"/>
                <w:lang w:eastAsia="en-GB"/>
              </w:rPr>
            </w:pPr>
            <w:r>
              <w:rPr>
                <w:rFonts w:ascii="Arial" w:hAnsi="Arial" w:cs="Arial"/>
                <w:sz w:val="18"/>
                <w:szCs w:val="18"/>
                <w:lang w:eastAsia="en-GB"/>
              </w:rPr>
              <w:t>32</w:t>
            </w:r>
          </w:p>
        </w:tc>
        <w:tc>
          <w:tcPr>
            <w:tcW w:w="1701" w:type="dxa"/>
          </w:tcPr>
          <w:p w14:paraId="792281B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British Society of Neuroradiologists</w:t>
            </w:r>
          </w:p>
        </w:tc>
        <w:tc>
          <w:tcPr>
            <w:tcW w:w="1701" w:type="dxa"/>
          </w:tcPr>
          <w:p w14:paraId="3BD70E0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3 – Consistency in application of ‘advanced’ imaging techniques.</w:t>
            </w:r>
          </w:p>
        </w:tc>
        <w:tc>
          <w:tcPr>
            <w:tcW w:w="4678" w:type="dxa"/>
          </w:tcPr>
          <w:p w14:paraId="4442774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Many imaging techniques are available that may provide additional analysis of brain tumours beyond purely structural/anatomical information. However, their availability and use is inconsistent. </w:t>
            </w:r>
          </w:p>
        </w:tc>
        <w:tc>
          <w:tcPr>
            <w:tcW w:w="3119" w:type="dxa"/>
          </w:tcPr>
          <w:p w14:paraId="44E6392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Some ‘advanced’ techniques are widely available, but acquisition and analysis techniques, as well as experience of use by clinicians, vary, and their use may not be routine. Access to some techniques is limited. Stratification of these varied techniques into those which are now standard care and those which are in clinical development or research tools would assist in standardisation of services. </w:t>
            </w:r>
          </w:p>
        </w:tc>
        <w:tc>
          <w:tcPr>
            <w:tcW w:w="3151" w:type="dxa"/>
          </w:tcPr>
          <w:p w14:paraId="4F2C6C82" w14:textId="052F7B44"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Advancements in Neuroimaging to Unravel Biological and Molecular Features of Brain </w:t>
            </w:r>
            <w:proofErr w:type="spellStart"/>
            <w:r w:rsidRPr="00DC3C60">
              <w:rPr>
                <w:rFonts w:ascii="Arial" w:hAnsi="Arial" w:cs="Arial"/>
                <w:sz w:val="18"/>
                <w:szCs w:val="18"/>
                <w:lang w:eastAsia="en-GB"/>
              </w:rPr>
              <w:t>Tumors</w:t>
            </w:r>
            <w:proofErr w:type="spellEnd"/>
            <w:r w:rsidRPr="00DC3C60">
              <w:rPr>
                <w:rFonts w:ascii="Arial" w:hAnsi="Arial" w:cs="Arial"/>
                <w:sz w:val="18"/>
                <w:szCs w:val="18"/>
                <w:lang w:eastAsia="en-GB"/>
              </w:rPr>
              <w:t xml:space="preserve">. </w:t>
            </w:r>
            <w:proofErr w:type="spellStart"/>
            <w:r w:rsidRPr="00DC3C60">
              <w:rPr>
                <w:rFonts w:ascii="Arial" w:hAnsi="Arial" w:cs="Arial"/>
                <w:sz w:val="18"/>
                <w:szCs w:val="18"/>
                <w:lang w:eastAsia="en-GB"/>
              </w:rPr>
              <w:t>Sanvito</w:t>
            </w:r>
            <w:proofErr w:type="spellEnd"/>
            <w:r w:rsidRPr="00DC3C60">
              <w:rPr>
                <w:rFonts w:ascii="Arial" w:hAnsi="Arial" w:cs="Arial"/>
                <w:sz w:val="18"/>
                <w:szCs w:val="18"/>
                <w:lang w:eastAsia="en-GB"/>
              </w:rPr>
              <w:t xml:space="preserve"> F, Castellano A, </w:t>
            </w:r>
            <w:proofErr w:type="spellStart"/>
            <w:r w:rsidRPr="00DC3C60">
              <w:rPr>
                <w:rFonts w:ascii="Arial" w:hAnsi="Arial" w:cs="Arial"/>
                <w:sz w:val="18"/>
                <w:szCs w:val="18"/>
                <w:lang w:eastAsia="en-GB"/>
              </w:rPr>
              <w:t>Falini</w:t>
            </w:r>
            <w:proofErr w:type="spellEnd"/>
            <w:r w:rsidRPr="00DC3C60">
              <w:rPr>
                <w:rFonts w:ascii="Arial" w:hAnsi="Arial" w:cs="Arial"/>
                <w:sz w:val="18"/>
                <w:szCs w:val="18"/>
                <w:lang w:eastAsia="en-GB"/>
              </w:rPr>
              <w:t xml:space="preserve"> A. Cancers (2021) 13(3):424. </w:t>
            </w:r>
            <w:hyperlink r:id="rId66" w:history="1">
              <w:r w:rsidR="0048142E" w:rsidRPr="002D1D95">
                <w:rPr>
                  <w:rStyle w:val="Hyperlink"/>
                  <w:rFonts w:ascii="Arial" w:hAnsi="Arial" w:cs="Arial"/>
                  <w:sz w:val="18"/>
                  <w:szCs w:val="18"/>
                  <w:lang w:eastAsia="en-GB"/>
                </w:rPr>
                <w:t>https://doi.org/10.3390/cancers13030424</w:t>
              </w:r>
            </w:hyperlink>
          </w:p>
        </w:tc>
      </w:tr>
      <w:tr w:rsidR="00DC3C60" w:rsidRPr="00DC3C60" w14:paraId="547A8503" w14:textId="77777777" w:rsidTr="003635EE">
        <w:trPr>
          <w:trHeight w:val="282"/>
        </w:trPr>
        <w:tc>
          <w:tcPr>
            <w:tcW w:w="675" w:type="dxa"/>
          </w:tcPr>
          <w:p w14:paraId="4A627DDC" w14:textId="624A850E"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3</w:t>
            </w:r>
            <w:r>
              <w:rPr>
                <w:rFonts w:ascii="Arial" w:hAnsi="Arial" w:cs="Arial"/>
                <w:sz w:val="18"/>
                <w:szCs w:val="18"/>
                <w:lang w:eastAsia="en-GB"/>
              </w:rPr>
              <w:t>3</w:t>
            </w:r>
          </w:p>
        </w:tc>
        <w:tc>
          <w:tcPr>
            <w:tcW w:w="1701" w:type="dxa"/>
          </w:tcPr>
          <w:p w14:paraId="3F83325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SCM3</w:t>
            </w:r>
          </w:p>
        </w:tc>
        <w:tc>
          <w:tcPr>
            <w:tcW w:w="1701" w:type="dxa"/>
          </w:tcPr>
          <w:p w14:paraId="27302AF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Consistent application of ‘advanced’/physiological imaging</w:t>
            </w:r>
          </w:p>
        </w:tc>
        <w:tc>
          <w:tcPr>
            <w:tcW w:w="4678" w:type="dxa"/>
          </w:tcPr>
          <w:p w14:paraId="7DEE5339"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A large number of techniques beyond standard anatomical imaging are in use in brain tumour assessment. Their application is not consistent or guideline-led at present. </w:t>
            </w:r>
          </w:p>
        </w:tc>
        <w:tc>
          <w:tcPr>
            <w:tcW w:w="3119" w:type="dxa"/>
          </w:tcPr>
          <w:p w14:paraId="3AFBA2B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MRI can provide extensive information beyond anatomy. These techniques include tumour perfusion, microstructure and chemical </w:t>
            </w:r>
            <w:proofErr w:type="spellStart"/>
            <w:r w:rsidRPr="00DC3C60">
              <w:rPr>
                <w:rFonts w:ascii="Arial" w:hAnsi="Arial" w:cs="Arial"/>
                <w:sz w:val="18"/>
                <w:szCs w:val="18"/>
                <w:lang w:eastAsia="en-GB"/>
              </w:rPr>
              <w:t>make up</w:t>
            </w:r>
            <w:proofErr w:type="spellEnd"/>
            <w:r w:rsidRPr="00DC3C60">
              <w:rPr>
                <w:rFonts w:ascii="Arial" w:hAnsi="Arial" w:cs="Arial"/>
                <w:sz w:val="18"/>
                <w:szCs w:val="18"/>
                <w:lang w:eastAsia="en-GB"/>
              </w:rPr>
              <w:t>. Other techniques include CT-PET and MR-PET again with variable access and use. Identification of the status of these varied techniques (standard care, clinical development or research)  would help with greater standardisation of care. Of particular interest is MR perfusion imaging which has variation in acquisition and analysis techniques that would merit greater consistency.</w:t>
            </w:r>
          </w:p>
        </w:tc>
        <w:tc>
          <w:tcPr>
            <w:tcW w:w="3151" w:type="dxa"/>
          </w:tcPr>
          <w:p w14:paraId="629D8391" w14:textId="77777777" w:rsidR="00DC3C60" w:rsidRPr="00DC3C60" w:rsidRDefault="00DC3C60" w:rsidP="00DC3C60">
            <w:pPr>
              <w:rPr>
                <w:rFonts w:ascii="Arial" w:hAnsi="Arial"/>
                <w:sz w:val="18"/>
                <w:szCs w:val="18"/>
                <w:lang w:eastAsia="en-GB"/>
              </w:rPr>
            </w:pPr>
            <w:r w:rsidRPr="00DC3C60">
              <w:rPr>
                <w:rFonts w:ascii="Arial" w:hAnsi="Arial"/>
                <w:sz w:val="18"/>
                <w:szCs w:val="18"/>
                <w:lang w:eastAsia="en-GB"/>
              </w:rPr>
              <w:t xml:space="preserve">Kong L, Chen H, Yang Y, Chen L. A meta-analysis of arterial spin labelling perfusion values for the prediction of glioma grade. Clin </w:t>
            </w:r>
            <w:proofErr w:type="spellStart"/>
            <w:r w:rsidRPr="00DC3C60">
              <w:rPr>
                <w:rFonts w:ascii="Arial" w:hAnsi="Arial"/>
                <w:sz w:val="18"/>
                <w:szCs w:val="18"/>
                <w:lang w:eastAsia="en-GB"/>
              </w:rPr>
              <w:t>Radiol</w:t>
            </w:r>
            <w:proofErr w:type="spellEnd"/>
            <w:r w:rsidRPr="00DC3C60">
              <w:rPr>
                <w:rFonts w:ascii="Arial" w:hAnsi="Arial"/>
                <w:sz w:val="18"/>
                <w:szCs w:val="18"/>
                <w:lang w:eastAsia="en-GB"/>
              </w:rPr>
              <w:t xml:space="preserve"> 2017; 72:255-261</w:t>
            </w:r>
          </w:p>
          <w:p w14:paraId="4FCD4A03" w14:textId="77777777" w:rsidR="00DC3C60" w:rsidRPr="00DC3C60" w:rsidRDefault="00DC3C60" w:rsidP="00DC3C60">
            <w:pPr>
              <w:rPr>
                <w:rFonts w:ascii="Arial" w:hAnsi="Arial"/>
                <w:sz w:val="18"/>
                <w:szCs w:val="18"/>
                <w:lang w:eastAsia="en-GB"/>
              </w:rPr>
            </w:pPr>
          </w:p>
          <w:p w14:paraId="119D23FE" w14:textId="6C267695" w:rsidR="00DC3C60" w:rsidRPr="00DC3C60" w:rsidRDefault="00DC3C60" w:rsidP="00DC3C60">
            <w:pPr>
              <w:rPr>
                <w:rFonts w:ascii="Arial" w:hAnsi="Arial" w:cs="Arial"/>
                <w:sz w:val="18"/>
                <w:szCs w:val="18"/>
                <w:lang w:eastAsia="en-GB"/>
              </w:rPr>
            </w:pPr>
            <w:proofErr w:type="spellStart"/>
            <w:r w:rsidRPr="00DC3C60">
              <w:rPr>
                <w:rFonts w:ascii="Arial" w:hAnsi="Arial" w:cs="Arial"/>
                <w:sz w:val="18"/>
                <w:szCs w:val="18"/>
                <w:lang w:eastAsia="en-GB"/>
              </w:rPr>
              <w:t>Sanvito</w:t>
            </w:r>
            <w:proofErr w:type="spellEnd"/>
            <w:r w:rsidRPr="00DC3C60">
              <w:rPr>
                <w:rFonts w:ascii="Arial" w:hAnsi="Arial" w:cs="Arial"/>
                <w:sz w:val="18"/>
                <w:szCs w:val="18"/>
                <w:lang w:eastAsia="en-GB"/>
              </w:rPr>
              <w:t xml:space="preserve"> F, Castellano A, </w:t>
            </w:r>
            <w:proofErr w:type="spellStart"/>
            <w:r w:rsidRPr="00DC3C60">
              <w:rPr>
                <w:rFonts w:ascii="Arial" w:hAnsi="Arial" w:cs="Arial"/>
                <w:sz w:val="18"/>
                <w:szCs w:val="18"/>
                <w:lang w:eastAsia="en-GB"/>
              </w:rPr>
              <w:t>Falini</w:t>
            </w:r>
            <w:proofErr w:type="spellEnd"/>
            <w:r w:rsidRPr="00DC3C60">
              <w:rPr>
                <w:rFonts w:ascii="Arial" w:hAnsi="Arial" w:cs="Arial"/>
                <w:sz w:val="18"/>
                <w:szCs w:val="18"/>
                <w:lang w:eastAsia="en-GB"/>
              </w:rPr>
              <w:t xml:space="preserve"> A. Advancements in Neuroimaging to Unravel Biological and Molecular Features of Brain </w:t>
            </w:r>
            <w:proofErr w:type="spellStart"/>
            <w:r w:rsidRPr="00DC3C60">
              <w:rPr>
                <w:rFonts w:ascii="Arial" w:hAnsi="Arial" w:cs="Arial"/>
                <w:sz w:val="18"/>
                <w:szCs w:val="18"/>
                <w:lang w:eastAsia="en-GB"/>
              </w:rPr>
              <w:t>Tumors</w:t>
            </w:r>
            <w:proofErr w:type="spellEnd"/>
            <w:r w:rsidRPr="00DC3C60">
              <w:rPr>
                <w:rFonts w:ascii="Arial" w:hAnsi="Arial" w:cs="Arial"/>
                <w:sz w:val="18"/>
                <w:szCs w:val="18"/>
                <w:lang w:eastAsia="en-GB"/>
              </w:rPr>
              <w:t xml:space="preserve">. Cancers. 2021; 13(3):424. </w:t>
            </w:r>
            <w:hyperlink r:id="rId67" w:history="1">
              <w:r w:rsidR="0048142E" w:rsidRPr="002D1D95">
                <w:rPr>
                  <w:rStyle w:val="Hyperlink"/>
                  <w:rFonts w:ascii="Arial" w:hAnsi="Arial" w:cs="Arial"/>
                  <w:sz w:val="18"/>
                  <w:szCs w:val="18"/>
                  <w:lang w:eastAsia="en-GB"/>
                </w:rPr>
                <w:t>https://doi.org/10.3390/cancers13030424</w:t>
              </w:r>
            </w:hyperlink>
          </w:p>
        </w:tc>
      </w:tr>
      <w:tr w:rsidR="00DC3C60" w:rsidRPr="00DC3C60" w14:paraId="6F8D58A4" w14:textId="77777777" w:rsidTr="003635EE">
        <w:trPr>
          <w:trHeight w:val="282"/>
        </w:trPr>
        <w:tc>
          <w:tcPr>
            <w:tcW w:w="15025" w:type="dxa"/>
            <w:gridSpan w:val="6"/>
          </w:tcPr>
          <w:p w14:paraId="7B4DB7B3"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Care needs- Holistic needs assessment</w:t>
            </w:r>
          </w:p>
        </w:tc>
      </w:tr>
      <w:tr w:rsidR="00DC3C60" w:rsidRPr="00DC3C60" w14:paraId="2C3E74D9" w14:textId="77777777" w:rsidTr="003635EE">
        <w:trPr>
          <w:trHeight w:val="282"/>
        </w:trPr>
        <w:tc>
          <w:tcPr>
            <w:tcW w:w="675" w:type="dxa"/>
          </w:tcPr>
          <w:p w14:paraId="1C8E8D48" w14:textId="7ADC2C5E" w:rsidR="00DC3C60" w:rsidRPr="00DC3C60" w:rsidRDefault="00DC3C60" w:rsidP="00DC3C60">
            <w:pPr>
              <w:rPr>
                <w:rFonts w:ascii="Arial" w:hAnsi="Arial" w:cs="Arial"/>
                <w:sz w:val="18"/>
                <w:szCs w:val="18"/>
                <w:lang w:eastAsia="en-GB"/>
              </w:rPr>
            </w:pPr>
            <w:r>
              <w:rPr>
                <w:rFonts w:ascii="Arial" w:hAnsi="Arial" w:cs="Arial"/>
                <w:sz w:val="18"/>
                <w:szCs w:val="18"/>
                <w:lang w:eastAsia="en-GB"/>
              </w:rPr>
              <w:t>34</w:t>
            </w:r>
          </w:p>
        </w:tc>
        <w:tc>
          <w:tcPr>
            <w:tcW w:w="1701" w:type="dxa"/>
          </w:tcPr>
          <w:p w14:paraId="23CEC6D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Braintrust </w:t>
            </w:r>
          </w:p>
        </w:tc>
        <w:tc>
          <w:tcPr>
            <w:tcW w:w="1701" w:type="dxa"/>
          </w:tcPr>
          <w:p w14:paraId="4EAE1A97" w14:textId="77777777" w:rsidR="00DC3C60" w:rsidRPr="00DC3C60" w:rsidRDefault="00DC3C60" w:rsidP="00DC3C60">
            <w:pPr>
              <w:rPr>
                <w:rFonts w:ascii="Arial" w:hAnsi="Arial" w:cs="Arial"/>
                <w:sz w:val="18"/>
                <w:szCs w:val="18"/>
                <w:lang w:eastAsia="en-GB"/>
              </w:rPr>
            </w:pPr>
          </w:p>
        </w:tc>
        <w:tc>
          <w:tcPr>
            <w:tcW w:w="4678" w:type="dxa"/>
          </w:tcPr>
          <w:p w14:paraId="083EE475" w14:textId="77777777" w:rsidR="00DC3C60" w:rsidRPr="00DC3C60" w:rsidRDefault="00DC3C60" w:rsidP="00DC3C60">
            <w:pPr>
              <w:rPr>
                <w:rFonts w:ascii="Arial" w:hAnsi="Arial" w:cs="Arial"/>
                <w:sz w:val="18"/>
                <w:szCs w:val="18"/>
              </w:rPr>
            </w:pPr>
            <w:r w:rsidRPr="00DC3C60">
              <w:rPr>
                <w:rFonts w:ascii="Arial" w:hAnsi="Arial" w:cs="Arial"/>
                <w:sz w:val="18"/>
                <w:szCs w:val="18"/>
              </w:rPr>
              <w:t>Assessment of patient and caregiver quality of life needs after diagnosis to ensure rapid access to the appropriate services in order to optimise quality of life on the brain tumour pathway, including regular holistic needs assessment at transition points so that the patient has a regularly refreshed care plan. This should include ongoing neuropsychology assessments for people at risk of cognitive decline.</w:t>
            </w:r>
          </w:p>
        </w:tc>
        <w:tc>
          <w:tcPr>
            <w:tcW w:w="3119" w:type="dxa"/>
          </w:tcPr>
          <w:p w14:paraId="6FCF088F" w14:textId="77777777" w:rsidR="00DC3C60" w:rsidRPr="00DC3C60" w:rsidRDefault="00DC3C60" w:rsidP="00DC3C60">
            <w:pPr>
              <w:rPr>
                <w:rFonts w:ascii="Arial" w:hAnsi="Arial" w:cs="Arial"/>
                <w:sz w:val="18"/>
                <w:szCs w:val="18"/>
                <w:lang w:eastAsia="en-GB"/>
              </w:rPr>
            </w:pPr>
          </w:p>
        </w:tc>
        <w:tc>
          <w:tcPr>
            <w:tcW w:w="3151" w:type="dxa"/>
          </w:tcPr>
          <w:p w14:paraId="74884EA8" w14:textId="77777777" w:rsidR="00DC3C60" w:rsidRPr="00DC3C60" w:rsidRDefault="00DC3C60" w:rsidP="00DC3C60">
            <w:pPr>
              <w:rPr>
                <w:rFonts w:ascii="Arial" w:hAnsi="Arial" w:cs="Arial"/>
                <w:sz w:val="18"/>
                <w:szCs w:val="18"/>
                <w:lang w:eastAsia="en-GB"/>
              </w:rPr>
            </w:pPr>
          </w:p>
        </w:tc>
      </w:tr>
      <w:tr w:rsidR="00DC3C60" w:rsidRPr="00DC3C60" w14:paraId="18B206C5" w14:textId="77777777" w:rsidTr="003635EE">
        <w:trPr>
          <w:trHeight w:val="282"/>
        </w:trPr>
        <w:tc>
          <w:tcPr>
            <w:tcW w:w="675" w:type="dxa"/>
          </w:tcPr>
          <w:p w14:paraId="73157F5F" w14:textId="00F41155" w:rsidR="00DC3C60" w:rsidRPr="00DC3C60" w:rsidRDefault="00DC3C60" w:rsidP="00DC3C60">
            <w:pPr>
              <w:rPr>
                <w:rFonts w:ascii="Arial" w:hAnsi="Arial" w:cs="Arial"/>
                <w:sz w:val="18"/>
                <w:szCs w:val="18"/>
                <w:lang w:eastAsia="en-GB"/>
              </w:rPr>
            </w:pPr>
            <w:r>
              <w:rPr>
                <w:rFonts w:ascii="Arial" w:hAnsi="Arial" w:cs="Arial"/>
                <w:sz w:val="18"/>
                <w:szCs w:val="18"/>
                <w:lang w:eastAsia="en-GB"/>
              </w:rPr>
              <w:t>35</w:t>
            </w:r>
          </w:p>
        </w:tc>
        <w:tc>
          <w:tcPr>
            <w:tcW w:w="1701" w:type="dxa"/>
          </w:tcPr>
          <w:p w14:paraId="1AC457D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NCRI-ACP-RCP</w:t>
            </w:r>
          </w:p>
        </w:tc>
        <w:tc>
          <w:tcPr>
            <w:tcW w:w="1701" w:type="dxa"/>
          </w:tcPr>
          <w:p w14:paraId="796AEEE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5</w:t>
            </w:r>
          </w:p>
        </w:tc>
        <w:tc>
          <w:tcPr>
            <w:tcW w:w="4678" w:type="dxa"/>
          </w:tcPr>
          <w:p w14:paraId="165B1FC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Patients should have a completed Health Needs Assessment completed, documented in the discharge letter and sent to the GP on completion of Radiotherapy</w:t>
            </w:r>
          </w:p>
        </w:tc>
        <w:tc>
          <w:tcPr>
            <w:tcW w:w="3119" w:type="dxa"/>
          </w:tcPr>
          <w:p w14:paraId="40DF00D1" w14:textId="77777777" w:rsidR="00DC3C60" w:rsidRPr="00DC3C60" w:rsidRDefault="00DC3C60" w:rsidP="00DC3C60">
            <w:pPr>
              <w:rPr>
                <w:rFonts w:ascii="Arial" w:hAnsi="Arial" w:cs="Arial"/>
                <w:sz w:val="22"/>
                <w:lang w:eastAsia="en-GB"/>
              </w:rPr>
            </w:pPr>
          </w:p>
        </w:tc>
        <w:tc>
          <w:tcPr>
            <w:tcW w:w="3151" w:type="dxa"/>
          </w:tcPr>
          <w:p w14:paraId="462F1E81" w14:textId="77777777" w:rsidR="00DC3C60" w:rsidRPr="00DC3C60" w:rsidRDefault="00DC3C60" w:rsidP="00DC3C60">
            <w:pPr>
              <w:rPr>
                <w:rFonts w:ascii="Arial" w:hAnsi="Arial" w:cs="Arial"/>
                <w:sz w:val="22"/>
                <w:szCs w:val="22"/>
              </w:rPr>
            </w:pPr>
          </w:p>
        </w:tc>
      </w:tr>
      <w:tr w:rsidR="00DC3C60" w:rsidRPr="00DC3C60" w14:paraId="12C5B855" w14:textId="77777777" w:rsidTr="003635EE">
        <w:trPr>
          <w:trHeight w:val="282"/>
        </w:trPr>
        <w:tc>
          <w:tcPr>
            <w:tcW w:w="675" w:type="dxa"/>
          </w:tcPr>
          <w:p w14:paraId="00BA671F" w14:textId="2968188D" w:rsidR="00DC3C60" w:rsidRPr="00DC3C60" w:rsidRDefault="00DC3C60" w:rsidP="00DC3C60">
            <w:pPr>
              <w:rPr>
                <w:rFonts w:ascii="Arial" w:hAnsi="Arial" w:cs="Arial"/>
                <w:sz w:val="18"/>
                <w:szCs w:val="18"/>
                <w:lang w:eastAsia="en-GB"/>
              </w:rPr>
            </w:pPr>
            <w:r>
              <w:rPr>
                <w:rFonts w:ascii="Arial" w:hAnsi="Arial" w:cs="Arial"/>
                <w:sz w:val="18"/>
                <w:szCs w:val="18"/>
                <w:lang w:eastAsia="en-GB"/>
              </w:rPr>
              <w:t>36</w:t>
            </w:r>
          </w:p>
        </w:tc>
        <w:tc>
          <w:tcPr>
            <w:tcW w:w="1701" w:type="dxa"/>
          </w:tcPr>
          <w:p w14:paraId="0A12C28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0CBDFD68"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b/>
                <w:bCs/>
                <w:color w:val="000000"/>
                <w:sz w:val="18"/>
                <w:szCs w:val="18"/>
                <w:lang w:eastAsia="en-GB"/>
              </w:rPr>
              <w:t>(Spec Comm)</w:t>
            </w:r>
            <w:r w:rsidRPr="00DC3C60">
              <w:rPr>
                <w:rFonts w:ascii="Arial" w:hAnsi="Arial" w:cs="Arial"/>
                <w:color w:val="000000"/>
                <w:sz w:val="18"/>
                <w:szCs w:val="18"/>
                <w:lang w:eastAsia="en-GB"/>
              </w:rPr>
              <w:t xml:space="preserve"> </w:t>
            </w:r>
            <w:r w:rsidRPr="00DC3C60">
              <w:rPr>
                <w:rFonts w:ascii="Arial" w:hAnsi="Arial" w:cs="Arial"/>
                <w:sz w:val="18"/>
                <w:szCs w:val="18"/>
                <w:lang w:eastAsia="en-GB"/>
              </w:rPr>
              <w:t>5 Improving the process of consent through shared decision making &amp; support</w:t>
            </w:r>
          </w:p>
          <w:p w14:paraId="6FAF3284" w14:textId="77777777" w:rsidR="00DC3C60" w:rsidRPr="00DC3C60" w:rsidRDefault="00DC3C60" w:rsidP="00DC3C60">
            <w:pPr>
              <w:rPr>
                <w:rFonts w:ascii="Arial" w:hAnsi="Arial" w:cs="Arial"/>
                <w:b/>
                <w:sz w:val="18"/>
                <w:szCs w:val="18"/>
                <w:lang w:eastAsia="en-GB"/>
              </w:rPr>
            </w:pPr>
          </w:p>
        </w:tc>
        <w:tc>
          <w:tcPr>
            <w:tcW w:w="4678" w:type="dxa"/>
          </w:tcPr>
          <w:p w14:paraId="2F31EF3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Updated GMC guidance lists ‘seven principles’ of decision making and consent, including:</w:t>
            </w:r>
          </w:p>
          <w:p w14:paraId="29B22F5A" w14:textId="77777777" w:rsidR="00DC3C60" w:rsidRPr="00DC3C60" w:rsidRDefault="00DC3C60" w:rsidP="00DC3C60">
            <w:pPr>
              <w:numPr>
                <w:ilvl w:val="0"/>
                <w:numId w:val="9"/>
              </w:numPr>
              <w:spacing w:after="240" w:line="276" w:lineRule="auto"/>
              <w:rPr>
                <w:rFonts w:ascii="Arial" w:hAnsi="Arial" w:cs="Arial"/>
                <w:sz w:val="18"/>
                <w:szCs w:val="18"/>
                <w:lang w:eastAsia="en-GB"/>
              </w:rPr>
            </w:pPr>
            <w:r w:rsidRPr="00DC3C60">
              <w:rPr>
                <w:rFonts w:ascii="Arial" w:hAnsi="Arial" w:cs="Arial"/>
                <w:sz w:val="18"/>
                <w:szCs w:val="18"/>
                <w:lang w:eastAsia="en-GB"/>
              </w:rPr>
              <w:t>All patients have the right to be involved in decisions about their treatment and care, and to be supported to make informed decisions.</w:t>
            </w:r>
          </w:p>
          <w:p w14:paraId="33CF4F89" w14:textId="77777777" w:rsidR="00DC3C60" w:rsidRPr="00DC3C60" w:rsidRDefault="00DC3C60" w:rsidP="00DC3C60">
            <w:pPr>
              <w:numPr>
                <w:ilvl w:val="0"/>
                <w:numId w:val="9"/>
              </w:numPr>
              <w:spacing w:after="240" w:line="276" w:lineRule="auto"/>
              <w:rPr>
                <w:rFonts w:ascii="Arial" w:hAnsi="Arial" w:cs="Arial"/>
                <w:sz w:val="18"/>
                <w:szCs w:val="18"/>
                <w:lang w:eastAsia="en-GB"/>
              </w:rPr>
            </w:pPr>
            <w:r w:rsidRPr="00DC3C60">
              <w:rPr>
                <w:rFonts w:ascii="Arial" w:hAnsi="Arial" w:cs="Arial"/>
                <w:sz w:val="18"/>
                <w:szCs w:val="18"/>
                <w:lang w:eastAsia="en-GB"/>
              </w:rPr>
              <w:t>Decision making is an ongoing process focused on meaningful dialogue, based on the exchange of relevant information specific to the patient.</w:t>
            </w:r>
          </w:p>
          <w:p w14:paraId="332B0B52" w14:textId="77777777" w:rsidR="00DC3C60" w:rsidRPr="00DC3C60" w:rsidRDefault="00DC3C60" w:rsidP="00DC3C60">
            <w:pPr>
              <w:numPr>
                <w:ilvl w:val="0"/>
                <w:numId w:val="9"/>
              </w:numPr>
              <w:spacing w:after="240" w:line="276" w:lineRule="auto"/>
              <w:rPr>
                <w:rFonts w:ascii="Arial" w:hAnsi="Arial" w:cs="Arial"/>
                <w:sz w:val="18"/>
                <w:szCs w:val="18"/>
                <w:lang w:eastAsia="en-GB"/>
              </w:rPr>
            </w:pPr>
            <w:r w:rsidRPr="00DC3C60">
              <w:rPr>
                <w:rFonts w:ascii="Arial" w:hAnsi="Arial" w:cs="Arial"/>
                <w:sz w:val="18"/>
                <w:szCs w:val="18"/>
                <w:lang w:eastAsia="en-GB"/>
              </w:rPr>
              <w:t>All patients have the right to be listened to, and to be given the information they need to make a decision and the time and support they need to understand it.</w:t>
            </w:r>
          </w:p>
          <w:p w14:paraId="155E0662" w14:textId="77777777" w:rsidR="00DC3C60" w:rsidRPr="00DC3C60" w:rsidRDefault="00DC3C60" w:rsidP="00DC3C60">
            <w:pPr>
              <w:numPr>
                <w:ilvl w:val="0"/>
                <w:numId w:val="9"/>
              </w:numPr>
              <w:spacing w:after="240" w:line="276" w:lineRule="auto"/>
              <w:rPr>
                <w:rFonts w:ascii="Arial" w:hAnsi="Arial" w:cs="Arial"/>
                <w:sz w:val="18"/>
                <w:szCs w:val="18"/>
                <w:lang w:eastAsia="en-GB"/>
              </w:rPr>
            </w:pPr>
            <w:r w:rsidRPr="00DC3C60">
              <w:rPr>
                <w:rFonts w:ascii="Arial" w:hAnsi="Arial" w:cs="Arial"/>
                <w:sz w:val="18"/>
                <w:szCs w:val="18"/>
                <w:lang w:eastAsia="en-GB"/>
              </w:rPr>
              <w:t>Doctors must try to find out what matters to patients so they can share relevant information about the benefits and harms of proposed options and reasonable alternatives.</w:t>
            </w:r>
          </w:p>
          <w:p w14:paraId="53279CEA" w14:textId="77777777" w:rsidR="00DC3C60" w:rsidRPr="00DC3C60" w:rsidRDefault="00DC3C60" w:rsidP="00DC3C60">
            <w:pPr>
              <w:numPr>
                <w:ilvl w:val="0"/>
                <w:numId w:val="9"/>
              </w:numPr>
              <w:spacing w:after="240" w:line="276" w:lineRule="auto"/>
              <w:rPr>
                <w:rFonts w:ascii="Arial" w:hAnsi="Arial" w:cs="Arial"/>
                <w:sz w:val="18"/>
                <w:szCs w:val="18"/>
                <w:lang w:eastAsia="en-GB"/>
              </w:rPr>
            </w:pPr>
            <w:r w:rsidRPr="00DC3C60">
              <w:rPr>
                <w:rFonts w:ascii="Arial" w:hAnsi="Arial" w:cs="Arial"/>
                <w:sz w:val="18"/>
                <w:szCs w:val="18"/>
                <w:lang w:eastAsia="en-GB"/>
              </w:rPr>
              <w:t>Doctors must start from the presumption that all adult patients have capacity to make decisions about their treatment and care. A patient can only be judged to lack capacity after assessment in line with legal requirements.</w:t>
            </w:r>
          </w:p>
        </w:tc>
        <w:tc>
          <w:tcPr>
            <w:tcW w:w="3119" w:type="dxa"/>
          </w:tcPr>
          <w:p w14:paraId="31BBA981" w14:textId="77777777" w:rsidR="00DC3C60" w:rsidRPr="00DC3C60" w:rsidRDefault="00DC3C60" w:rsidP="00DC3C60">
            <w:pPr>
              <w:rPr>
                <w:rFonts w:ascii="Arial" w:hAnsi="Arial" w:cs="Arial"/>
                <w:sz w:val="18"/>
                <w:szCs w:val="18"/>
                <w:lang w:eastAsia="en-GB"/>
              </w:rPr>
            </w:pPr>
          </w:p>
        </w:tc>
        <w:tc>
          <w:tcPr>
            <w:tcW w:w="3151" w:type="dxa"/>
          </w:tcPr>
          <w:p w14:paraId="0762944E"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NICE NG99 Section 1.9.2</w:t>
            </w:r>
          </w:p>
          <w:p w14:paraId="6BE03107"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GMC guidelines: </w:t>
            </w:r>
            <w:hyperlink r:id="rId68" w:history="1">
              <w:r w:rsidRPr="00DC3C60">
                <w:rPr>
                  <w:rFonts w:ascii="Arial" w:hAnsi="Arial" w:cs="Arial"/>
                  <w:color w:val="0000FF"/>
                  <w:sz w:val="18"/>
                  <w:szCs w:val="18"/>
                  <w:u w:val="single"/>
                </w:rPr>
                <w:t>https://www.gmc-uk.org/news/news-archive/shared-decision-making-is-key-to-good-patient-care---gmc-guidance</w:t>
              </w:r>
            </w:hyperlink>
            <w:r w:rsidRPr="00DC3C60">
              <w:rPr>
                <w:rFonts w:ascii="Arial" w:hAnsi="Arial" w:cs="Arial"/>
                <w:sz w:val="18"/>
                <w:szCs w:val="18"/>
              </w:rPr>
              <w:t xml:space="preserve"> </w:t>
            </w:r>
          </w:p>
        </w:tc>
      </w:tr>
      <w:tr w:rsidR="00DC3C60" w:rsidRPr="00DC3C60" w14:paraId="768F0CCD" w14:textId="77777777" w:rsidTr="003635EE">
        <w:trPr>
          <w:trHeight w:val="282"/>
        </w:trPr>
        <w:tc>
          <w:tcPr>
            <w:tcW w:w="675" w:type="dxa"/>
          </w:tcPr>
          <w:p w14:paraId="463D3FD0" w14:textId="60CAE7B8" w:rsidR="00DC3C60" w:rsidRPr="00DC3C60" w:rsidRDefault="00DC3C60" w:rsidP="00DC3C60">
            <w:pPr>
              <w:rPr>
                <w:rFonts w:ascii="Arial" w:hAnsi="Arial" w:cs="Arial"/>
                <w:sz w:val="18"/>
                <w:szCs w:val="18"/>
                <w:lang w:eastAsia="en-GB"/>
              </w:rPr>
            </w:pPr>
            <w:r>
              <w:rPr>
                <w:rFonts w:ascii="Arial" w:hAnsi="Arial" w:cs="Arial"/>
                <w:sz w:val="18"/>
                <w:szCs w:val="18"/>
                <w:lang w:eastAsia="en-GB"/>
              </w:rPr>
              <w:t>37</w:t>
            </w:r>
          </w:p>
        </w:tc>
        <w:tc>
          <w:tcPr>
            <w:tcW w:w="1701" w:type="dxa"/>
          </w:tcPr>
          <w:p w14:paraId="36C5EB7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Primary care and Community Neurology Society (P-CNS)</w:t>
            </w:r>
          </w:p>
        </w:tc>
        <w:tc>
          <w:tcPr>
            <w:tcW w:w="1701" w:type="dxa"/>
          </w:tcPr>
          <w:p w14:paraId="61E763C9"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2</w:t>
            </w:r>
          </w:p>
          <w:p w14:paraId="04EC0644"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Assessment of patient and family quality of life needs after surgery</w:t>
            </w:r>
          </w:p>
        </w:tc>
        <w:tc>
          <w:tcPr>
            <w:tcW w:w="4678" w:type="dxa"/>
          </w:tcPr>
          <w:p w14:paraId="6DB915EC"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Assessment of patient and family quality of life needs after surgery or during intervention is a vital step to ensuring timely access to appropriate services, if the NHS is to deliver on optimising life opportunities after surgery or supporting the patient and family to live through chemotherapy or radiotherapy.  </w:t>
            </w:r>
          </w:p>
        </w:tc>
        <w:tc>
          <w:tcPr>
            <w:tcW w:w="3119" w:type="dxa"/>
          </w:tcPr>
          <w:p w14:paraId="708AF9E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Supporting Quality of Life must be at the heart of any healthcare service </w:t>
            </w:r>
            <w:proofErr w:type="spellStart"/>
            <w:r w:rsidRPr="00DC3C60">
              <w:rPr>
                <w:rFonts w:ascii="Arial" w:hAnsi="Arial" w:cs="Arial"/>
                <w:sz w:val="18"/>
                <w:szCs w:val="18"/>
                <w:lang w:eastAsia="en-GB"/>
              </w:rPr>
              <w:t>proporting</w:t>
            </w:r>
            <w:proofErr w:type="spellEnd"/>
            <w:r w:rsidRPr="00DC3C60">
              <w:rPr>
                <w:rFonts w:ascii="Arial" w:hAnsi="Arial" w:cs="Arial"/>
                <w:sz w:val="18"/>
                <w:szCs w:val="18"/>
                <w:lang w:eastAsia="en-GB"/>
              </w:rPr>
              <w:t xml:space="preserve"> to care, no matter how long or short that life may be, to ensure that that life can be enjoyed for as long as possible.    </w:t>
            </w:r>
          </w:p>
        </w:tc>
        <w:tc>
          <w:tcPr>
            <w:tcW w:w="3151" w:type="dxa"/>
          </w:tcPr>
          <w:p w14:paraId="1EA27787"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Patient</w:t>
            </w:r>
            <w:r w:rsidRPr="00DC3C60">
              <w:rPr>
                <w:rFonts w:ascii="Cambria Math" w:hAnsi="Cambria Math" w:cs="Cambria Math"/>
                <w:sz w:val="18"/>
                <w:szCs w:val="18"/>
                <w:lang w:eastAsia="en-GB"/>
              </w:rPr>
              <w:t>‐</w:t>
            </w:r>
            <w:r w:rsidRPr="00DC3C60">
              <w:rPr>
                <w:rFonts w:ascii="Arial" w:hAnsi="Arial" w:cs="Arial"/>
                <w:sz w:val="18"/>
                <w:szCs w:val="18"/>
                <w:lang w:eastAsia="en-GB"/>
              </w:rPr>
              <w:t>reported health</w:t>
            </w:r>
            <w:r w:rsidRPr="00DC3C60">
              <w:rPr>
                <w:rFonts w:ascii="Cambria Math" w:hAnsi="Cambria Math" w:cs="Cambria Math"/>
                <w:sz w:val="18"/>
                <w:szCs w:val="18"/>
                <w:lang w:eastAsia="en-GB"/>
              </w:rPr>
              <w:t>‐</w:t>
            </w:r>
            <w:r w:rsidRPr="00DC3C60">
              <w:rPr>
                <w:rFonts w:ascii="Arial" w:hAnsi="Arial" w:cs="Arial"/>
                <w:sz w:val="18"/>
                <w:szCs w:val="18"/>
                <w:lang w:eastAsia="en-GB"/>
              </w:rPr>
              <w:t>related quality of life outcomes in supportive</w:t>
            </w:r>
            <w:r w:rsidRPr="00DC3C60">
              <w:rPr>
                <w:rFonts w:ascii="Cambria Math" w:hAnsi="Cambria Math" w:cs="Cambria Math"/>
                <w:sz w:val="18"/>
                <w:szCs w:val="18"/>
                <w:lang w:eastAsia="en-GB"/>
              </w:rPr>
              <w:t>‐</w:t>
            </w:r>
            <w:r w:rsidRPr="00DC3C60">
              <w:rPr>
                <w:rFonts w:ascii="Arial" w:hAnsi="Arial" w:cs="Arial"/>
                <w:sz w:val="18"/>
                <w:szCs w:val="18"/>
                <w:lang w:eastAsia="en-GB"/>
              </w:rPr>
              <w:t xml:space="preserve">care interventions for adults with brain </w:t>
            </w:r>
            <w:proofErr w:type="spellStart"/>
            <w:r w:rsidRPr="00DC3C60">
              <w:rPr>
                <w:rFonts w:ascii="Arial" w:hAnsi="Arial" w:cs="Arial"/>
                <w:sz w:val="18"/>
                <w:szCs w:val="18"/>
                <w:lang w:eastAsia="en-GB"/>
              </w:rPr>
              <w:t>tumors</w:t>
            </w:r>
            <w:proofErr w:type="spellEnd"/>
            <w:r w:rsidRPr="00DC3C60">
              <w:rPr>
                <w:rFonts w:ascii="Arial" w:hAnsi="Arial" w:cs="Arial"/>
                <w:sz w:val="18"/>
                <w:szCs w:val="18"/>
                <w:lang w:eastAsia="en-GB"/>
              </w:rPr>
              <w:t>: A systematic review</w:t>
            </w:r>
          </w:p>
          <w:p w14:paraId="59D030B6"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Pan</w:t>
            </w:r>
            <w:r w:rsidRPr="00DC3C60">
              <w:rPr>
                <w:rFonts w:ascii="Cambria Math" w:hAnsi="Cambria Math" w:cs="Cambria Math"/>
                <w:sz w:val="18"/>
                <w:szCs w:val="18"/>
                <w:lang w:eastAsia="en-GB"/>
              </w:rPr>
              <w:t>‐</w:t>
            </w:r>
            <w:r w:rsidRPr="00DC3C60">
              <w:rPr>
                <w:rFonts w:ascii="Arial" w:hAnsi="Arial" w:cs="Arial"/>
                <w:sz w:val="18"/>
                <w:szCs w:val="18"/>
                <w:lang w:eastAsia="en-GB"/>
              </w:rPr>
              <w:t>Weisz et al, Psycho-Oncology 2019</w:t>
            </w:r>
          </w:p>
          <w:p w14:paraId="22E99893" w14:textId="77777777" w:rsidR="00DC3C60" w:rsidRPr="00DC3C60" w:rsidRDefault="001517CD" w:rsidP="00DC3C60">
            <w:pPr>
              <w:spacing w:after="240" w:line="276" w:lineRule="auto"/>
              <w:rPr>
                <w:rFonts w:ascii="Arial" w:hAnsi="Arial" w:cs="Arial"/>
                <w:sz w:val="18"/>
                <w:szCs w:val="18"/>
                <w:lang w:eastAsia="en-GB"/>
              </w:rPr>
            </w:pPr>
            <w:hyperlink r:id="rId69" w:history="1">
              <w:r w:rsidR="00DC3C60" w:rsidRPr="00DC3C60">
                <w:rPr>
                  <w:rFonts w:ascii="Arial" w:hAnsi="Arial" w:cs="Arial"/>
                  <w:color w:val="0000FF"/>
                  <w:sz w:val="18"/>
                  <w:szCs w:val="18"/>
                  <w:u w:val="single"/>
                  <w:lang w:eastAsia="en-GB"/>
                </w:rPr>
                <w:t>https://onlinelibrary.wiley.com/doi/abs/10.1002/pon.4906</w:t>
              </w:r>
            </w:hyperlink>
          </w:p>
        </w:tc>
      </w:tr>
      <w:tr w:rsidR="00DC3C60" w:rsidRPr="00DC3C60" w14:paraId="37A6F1FA" w14:textId="77777777" w:rsidTr="003635EE">
        <w:trPr>
          <w:trHeight w:val="282"/>
        </w:trPr>
        <w:tc>
          <w:tcPr>
            <w:tcW w:w="675" w:type="dxa"/>
          </w:tcPr>
          <w:p w14:paraId="68EB06A9" w14:textId="4B845BB8" w:rsidR="00DC3C60" w:rsidRPr="00DC3C60" w:rsidRDefault="00DC3C60" w:rsidP="00DC3C60">
            <w:pPr>
              <w:rPr>
                <w:rFonts w:ascii="Arial" w:hAnsi="Arial" w:cs="Arial"/>
                <w:sz w:val="18"/>
                <w:szCs w:val="18"/>
                <w:lang w:eastAsia="en-GB"/>
              </w:rPr>
            </w:pPr>
            <w:r>
              <w:rPr>
                <w:rFonts w:ascii="Arial" w:hAnsi="Arial" w:cs="Arial"/>
                <w:sz w:val="18"/>
                <w:szCs w:val="18"/>
                <w:lang w:eastAsia="en-GB"/>
              </w:rPr>
              <w:t>38</w:t>
            </w:r>
          </w:p>
        </w:tc>
        <w:tc>
          <w:tcPr>
            <w:tcW w:w="1701" w:type="dxa"/>
          </w:tcPr>
          <w:p w14:paraId="1B6B7AB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Society of British Neurological Surgeons</w:t>
            </w:r>
          </w:p>
        </w:tc>
        <w:tc>
          <w:tcPr>
            <w:tcW w:w="1701" w:type="dxa"/>
          </w:tcPr>
          <w:p w14:paraId="054F2828" w14:textId="77777777" w:rsidR="00DC3C60" w:rsidRPr="00DC3C60" w:rsidRDefault="00DC3C60" w:rsidP="00DC3C60">
            <w:pPr>
              <w:spacing w:after="120" w:line="276" w:lineRule="auto"/>
              <w:rPr>
                <w:rFonts w:ascii="Arial" w:hAnsi="Arial"/>
                <w:sz w:val="18"/>
                <w:szCs w:val="18"/>
                <w:lang w:eastAsia="en-GB"/>
              </w:rPr>
            </w:pPr>
            <w:r w:rsidRPr="00DC3C60">
              <w:rPr>
                <w:rFonts w:ascii="Arial" w:hAnsi="Arial"/>
                <w:sz w:val="18"/>
                <w:szCs w:val="18"/>
                <w:lang w:eastAsia="en-GB"/>
              </w:rPr>
              <w:t>Key area for quality improvement 4</w:t>
            </w:r>
          </w:p>
          <w:p w14:paraId="48C43510" w14:textId="77777777" w:rsidR="00DC3C60" w:rsidRPr="00DC3C60" w:rsidRDefault="00DC3C60" w:rsidP="00DC3C60">
            <w:pPr>
              <w:rPr>
                <w:rFonts w:ascii="Arial" w:hAnsi="Arial" w:cs="Arial"/>
                <w:b/>
                <w:sz w:val="18"/>
                <w:szCs w:val="18"/>
                <w:lang w:eastAsia="en-GB"/>
              </w:rPr>
            </w:pPr>
            <w:r w:rsidRPr="00DC3C60">
              <w:rPr>
                <w:rFonts w:ascii="Arial" w:hAnsi="Arial"/>
                <w:sz w:val="18"/>
                <w:szCs w:val="18"/>
                <w:lang w:eastAsia="en-GB"/>
              </w:rPr>
              <w:t xml:space="preserve">Holistic needs assessment for 16-25yrs patients with Brain Tumours. </w:t>
            </w:r>
          </w:p>
        </w:tc>
        <w:tc>
          <w:tcPr>
            <w:tcW w:w="4678" w:type="dxa"/>
          </w:tcPr>
          <w:p w14:paraId="2A3478F0" w14:textId="77777777" w:rsidR="00DC3C60" w:rsidRPr="00DC3C60" w:rsidRDefault="00DC3C60" w:rsidP="00DC3C60">
            <w:pPr>
              <w:rPr>
                <w:rFonts w:ascii="Arial" w:hAnsi="Arial" w:cs="Arial"/>
                <w:sz w:val="18"/>
                <w:szCs w:val="18"/>
              </w:rPr>
            </w:pPr>
            <w:r w:rsidRPr="00DC3C60">
              <w:rPr>
                <w:rFonts w:ascii="Arial" w:hAnsi="Arial" w:cs="Arial Unicode MS"/>
                <w:color w:val="000000"/>
                <w:sz w:val="18"/>
                <w:szCs w:val="18"/>
                <w:u w:color="000000"/>
              </w:rPr>
              <w:t>These patients have slow growing tumours and have to live with them.</w:t>
            </w:r>
          </w:p>
        </w:tc>
        <w:tc>
          <w:tcPr>
            <w:tcW w:w="3119" w:type="dxa"/>
          </w:tcPr>
          <w:p w14:paraId="3A1045A9" w14:textId="77777777" w:rsidR="00DC3C60" w:rsidRPr="00DC3C60" w:rsidRDefault="00DC3C60" w:rsidP="00DC3C60">
            <w:pPr>
              <w:rPr>
                <w:rFonts w:ascii="Arial" w:hAnsi="Arial" w:cs="Arial"/>
                <w:sz w:val="18"/>
                <w:szCs w:val="18"/>
                <w:lang w:eastAsia="en-GB"/>
              </w:rPr>
            </w:pPr>
            <w:r w:rsidRPr="00DC3C60">
              <w:rPr>
                <w:rFonts w:ascii="Arial" w:hAnsi="Arial" w:cs="Arial Unicode MS"/>
                <w:color w:val="000000"/>
                <w:sz w:val="18"/>
                <w:szCs w:val="18"/>
                <w:u w:color="000000"/>
                <w:lang w:eastAsia="en-GB"/>
              </w:rPr>
              <w:t xml:space="preserve">Long term and regular psychological, cognitive, educational, financial support is very variable which needs to be addressed. </w:t>
            </w:r>
          </w:p>
        </w:tc>
        <w:tc>
          <w:tcPr>
            <w:tcW w:w="3151" w:type="dxa"/>
          </w:tcPr>
          <w:p w14:paraId="1D4D4042" w14:textId="77777777" w:rsidR="00DC3C60" w:rsidRPr="00DC3C60" w:rsidRDefault="001517CD" w:rsidP="00DC3C60">
            <w:pPr>
              <w:rPr>
                <w:rFonts w:ascii="Arial" w:hAnsi="Arial" w:cs="Arial"/>
                <w:sz w:val="18"/>
                <w:szCs w:val="18"/>
              </w:rPr>
            </w:pPr>
            <w:hyperlink r:id="rId70" w:history="1">
              <w:r w:rsidR="00DC3C60" w:rsidRPr="00DC3C60">
                <w:rPr>
                  <w:rFonts w:ascii="Arial" w:hAnsi="Arial" w:cs="Arial Unicode MS"/>
                  <w:color w:val="0000FF"/>
                  <w:sz w:val="18"/>
                  <w:szCs w:val="18"/>
                  <w:u w:val="single" w:color="0000FF"/>
                </w:rPr>
                <w:t>Brain tumours (primary) and brain metastases in adults</w:t>
              </w:r>
            </w:hyperlink>
            <w:r w:rsidR="00DC3C60" w:rsidRPr="00DC3C60">
              <w:rPr>
                <w:rFonts w:ascii="Arial" w:hAnsi="Arial" w:cs="Arial Unicode MS"/>
                <w:color w:val="000000"/>
                <w:sz w:val="18"/>
                <w:szCs w:val="18"/>
                <w:u w:color="000000"/>
              </w:rPr>
              <w:t xml:space="preserve"> (2018) NICE guideline NG99</w:t>
            </w:r>
          </w:p>
        </w:tc>
      </w:tr>
      <w:tr w:rsidR="00DC3C60" w:rsidRPr="00DC3C60" w14:paraId="1C2E2515" w14:textId="77777777" w:rsidTr="003635EE">
        <w:trPr>
          <w:trHeight w:val="282"/>
        </w:trPr>
        <w:tc>
          <w:tcPr>
            <w:tcW w:w="675" w:type="dxa"/>
          </w:tcPr>
          <w:p w14:paraId="1A9DE109" w14:textId="7D24C86C" w:rsidR="00DC3C60" w:rsidRPr="00DC3C60" w:rsidRDefault="00DC3C60" w:rsidP="00DC3C60">
            <w:pPr>
              <w:rPr>
                <w:rFonts w:ascii="Arial" w:hAnsi="Arial" w:cs="Arial"/>
                <w:sz w:val="18"/>
                <w:szCs w:val="18"/>
                <w:lang w:eastAsia="en-GB"/>
              </w:rPr>
            </w:pPr>
            <w:r>
              <w:rPr>
                <w:rFonts w:ascii="Arial" w:hAnsi="Arial" w:cs="Arial"/>
                <w:sz w:val="18"/>
                <w:szCs w:val="18"/>
                <w:lang w:eastAsia="en-GB"/>
              </w:rPr>
              <w:t>39</w:t>
            </w:r>
          </w:p>
        </w:tc>
        <w:tc>
          <w:tcPr>
            <w:tcW w:w="1701" w:type="dxa"/>
          </w:tcPr>
          <w:p w14:paraId="35CEC83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Brain Tumour Charity</w:t>
            </w:r>
          </w:p>
        </w:tc>
        <w:tc>
          <w:tcPr>
            <w:tcW w:w="1701" w:type="dxa"/>
          </w:tcPr>
          <w:p w14:paraId="58E4F8A5"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2</w:t>
            </w:r>
          </w:p>
          <w:p w14:paraId="6323B106"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 xml:space="preserve">A Holistic Needs Assessment and Personalised Care and Support Plan for everyone living with a brain tumour, to be undertaken and provided in the weeks following diagnosis and to be reviewed and updated after first treatment and at every significant change in treatment or condition.  </w:t>
            </w:r>
          </w:p>
        </w:tc>
        <w:tc>
          <w:tcPr>
            <w:tcW w:w="4678" w:type="dxa"/>
          </w:tcPr>
          <w:p w14:paraId="6B4B2046"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A Holistic Needs Assessment (HNA) and a Personalised Care and Support Plan enables people living with cancer to take an active role in their treatment and care. </w:t>
            </w:r>
          </w:p>
          <w:p w14:paraId="3C220941"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These interventions empower people living with cancer to ensure their care is planned and delivered in a tailored manner.  </w:t>
            </w:r>
          </w:p>
          <w:p w14:paraId="00C9C4C7"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NICE guideline NG99 (1.9.1) recommends an awareness of the unique needs of those living with a brain tumour as ‘in addition to physical disability, the tumour and treatment can have effects on behaviour, cognition and personality. 1.9.4 of NG99 also recommends ‘Health and social care professionals involved in the care of people with brain tumours should address additional complex needs during or at the end of treatment and throughout follow</w:t>
            </w:r>
            <w:r w:rsidRPr="00DC3C60">
              <w:rPr>
                <w:rFonts w:ascii="Arial" w:hAnsi="Arial" w:cs="Arial"/>
                <w:sz w:val="18"/>
                <w:szCs w:val="18"/>
                <w:lang w:eastAsia="en-GB"/>
              </w:rPr>
              <w:noBreakHyphen/>
              <w:t>up’.</w:t>
            </w:r>
          </w:p>
          <w:p w14:paraId="578EC8AE" w14:textId="77777777" w:rsidR="00DC3C60" w:rsidRPr="00DC3C60" w:rsidRDefault="00DC3C60" w:rsidP="00DC3C60">
            <w:pPr>
              <w:rPr>
                <w:rFonts w:ascii="Arial" w:hAnsi="Arial" w:cs="Arial"/>
                <w:sz w:val="18"/>
                <w:szCs w:val="18"/>
              </w:rPr>
            </w:pPr>
            <w:r w:rsidRPr="00DC3C60">
              <w:rPr>
                <w:rFonts w:ascii="Arial" w:hAnsi="Arial" w:cs="Arial"/>
                <w:sz w:val="18"/>
                <w:szCs w:val="18"/>
              </w:rPr>
              <w:t>A push for greater personalisation in treatment is also highlighted in the NHS Long Term Plan.</w:t>
            </w:r>
          </w:p>
        </w:tc>
        <w:tc>
          <w:tcPr>
            <w:tcW w:w="3119" w:type="dxa"/>
          </w:tcPr>
          <w:p w14:paraId="1BB5928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The Brain Tumour Charity’s 2020 Improving Brain Tumour Care Survey found just 39% of respondents reported being offered an HNA, with large variability in how these assessments and plans were delivered and implemented (sample: 586 people diagnosed or in active treatment in the last two years). Further, just 21% said they had an assessment of their needs and a good written care plan in place. </w:t>
            </w:r>
          </w:p>
          <w:p w14:paraId="1FC2354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This follows results from the 2019 NCPES, which suggested that just 27.5% of people with a brain or CNS tumour had been offered a care plan.</w:t>
            </w:r>
          </w:p>
        </w:tc>
        <w:tc>
          <w:tcPr>
            <w:tcW w:w="3151" w:type="dxa"/>
          </w:tcPr>
          <w:p w14:paraId="7881E902" w14:textId="77777777" w:rsidR="00DC3C60" w:rsidRPr="00DC3C60" w:rsidRDefault="00DC3C60" w:rsidP="00DC3C60">
            <w:pPr>
              <w:spacing w:after="240" w:line="276" w:lineRule="auto"/>
              <w:rPr>
                <w:rFonts w:ascii="Arial" w:hAnsi="Arial"/>
                <w:sz w:val="18"/>
                <w:szCs w:val="18"/>
                <w:lang w:eastAsia="en-GB"/>
              </w:rPr>
            </w:pPr>
            <w:r w:rsidRPr="00DC3C60">
              <w:rPr>
                <w:rFonts w:ascii="Arial" w:hAnsi="Arial"/>
                <w:sz w:val="18"/>
                <w:szCs w:val="18"/>
                <w:lang w:eastAsia="en-GB"/>
              </w:rPr>
              <w:t>The personalisation of care is discussed in:</w:t>
            </w:r>
          </w:p>
          <w:p w14:paraId="2AD4EF3C" w14:textId="77777777" w:rsidR="00DC3C60" w:rsidRPr="00DC3C60" w:rsidRDefault="001517CD" w:rsidP="00DC3C60">
            <w:pPr>
              <w:numPr>
                <w:ilvl w:val="0"/>
                <w:numId w:val="16"/>
              </w:numPr>
              <w:spacing w:after="240" w:line="276" w:lineRule="auto"/>
              <w:rPr>
                <w:rFonts w:ascii="Arial" w:hAnsi="Arial" w:cs="Arial"/>
                <w:sz w:val="18"/>
                <w:szCs w:val="18"/>
                <w:lang w:eastAsia="en-GB"/>
              </w:rPr>
            </w:pPr>
            <w:hyperlink r:id="rId71" w:history="1">
              <w:r w:rsidR="00DC3C60" w:rsidRPr="00DC3C60">
                <w:rPr>
                  <w:rFonts w:ascii="Arial" w:hAnsi="Arial"/>
                  <w:color w:val="0000FF"/>
                  <w:sz w:val="18"/>
                  <w:szCs w:val="18"/>
                  <w:u w:val="single"/>
                  <w:lang w:eastAsia="en-GB"/>
                </w:rPr>
                <w:t xml:space="preserve">Chapter 3 (section 1.9) </w:t>
              </w:r>
              <w:r w:rsidR="00DC3C60" w:rsidRPr="00DC3C60">
                <w:rPr>
                  <w:rFonts w:ascii="Arial" w:hAnsi="Arial" w:cs="Arial"/>
                  <w:color w:val="0000FF"/>
                  <w:sz w:val="18"/>
                  <w:szCs w:val="18"/>
                  <w:u w:val="single"/>
                  <w:lang w:eastAsia="en-GB"/>
                </w:rPr>
                <w:t>of the NHS Long Term Plan</w:t>
              </w:r>
            </w:hyperlink>
            <w:r w:rsidR="00DC3C60" w:rsidRPr="00DC3C60">
              <w:rPr>
                <w:rFonts w:ascii="Arial" w:hAnsi="Arial" w:cs="Arial"/>
                <w:sz w:val="18"/>
                <w:szCs w:val="18"/>
                <w:lang w:eastAsia="en-GB"/>
              </w:rPr>
              <w:t xml:space="preserve"> </w:t>
            </w:r>
          </w:p>
          <w:p w14:paraId="45EA8DDD" w14:textId="0C28561E" w:rsidR="00DC3C60" w:rsidRPr="00DC3C60" w:rsidRDefault="001517CD" w:rsidP="00DC3C60">
            <w:pPr>
              <w:numPr>
                <w:ilvl w:val="0"/>
                <w:numId w:val="16"/>
              </w:numPr>
              <w:spacing w:after="240" w:line="276" w:lineRule="auto"/>
              <w:rPr>
                <w:rFonts w:ascii="Arial" w:hAnsi="Arial" w:cs="Arial"/>
                <w:color w:val="0000FF"/>
                <w:sz w:val="18"/>
                <w:szCs w:val="18"/>
                <w:u w:val="single"/>
                <w:lang w:eastAsia="en-GB"/>
              </w:rPr>
            </w:pPr>
            <w:hyperlink r:id="rId72" w:anchor="care-needs-of-people-with-brain-tumours" w:history="1">
              <w:r w:rsidR="00DC3C60" w:rsidRPr="00DC3C60">
                <w:rPr>
                  <w:rFonts w:ascii="Arial" w:hAnsi="Arial" w:cs="Arial"/>
                  <w:color w:val="0000FF"/>
                  <w:sz w:val="18"/>
                  <w:szCs w:val="18"/>
                  <w:u w:val="single"/>
                  <w:lang w:eastAsia="en-GB"/>
                </w:rPr>
                <w:t xml:space="preserve">NG99 </w:t>
              </w:r>
              <w:r w:rsidR="0048142E">
                <w:rPr>
                  <w:rFonts w:ascii="Arial" w:hAnsi="Arial" w:cs="Arial"/>
                  <w:color w:val="0000FF"/>
                  <w:sz w:val="18"/>
                  <w:szCs w:val="18"/>
                  <w:u w:val="single"/>
                  <w:lang w:eastAsia="en-GB"/>
                </w:rPr>
                <w:t>–</w:t>
              </w:r>
              <w:r w:rsidR="00DC3C60" w:rsidRPr="00DC3C60">
                <w:rPr>
                  <w:rFonts w:ascii="Arial" w:hAnsi="Arial" w:cs="Arial"/>
                  <w:color w:val="0000FF"/>
                  <w:sz w:val="18"/>
                  <w:szCs w:val="18"/>
                  <w:u w:val="single"/>
                  <w:lang w:eastAsia="en-GB"/>
                </w:rPr>
                <w:t xml:space="preserve"> NICE guidelines on Brain Tumours (primary) and brain metastases in adults</w:t>
              </w:r>
            </w:hyperlink>
          </w:p>
          <w:p w14:paraId="5251328C" w14:textId="77777777" w:rsidR="00DC3C60" w:rsidRPr="00DC3C60" w:rsidRDefault="00DC3C60" w:rsidP="00DC3C60">
            <w:pPr>
              <w:spacing w:after="240" w:line="276" w:lineRule="auto"/>
              <w:rPr>
                <w:rFonts w:ascii="Arial" w:hAnsi="Arial" w:cs="Arial"/>
                <w:color w:val="0000FF"/>
                <w:sz w:val="18"/>
                <w:szCs w:val="18"/>
                <w:u w:val="single"/>
                <w:lang w:eastAsia="en-GB"/>
              </w:rPr>
            </w:pPr>
            <w:r w:rsidRPr="00DC3C60">
              <w:rPr>
                <w:rFonts w:ascii="Arial" w:hAnsi="Arial" w:cs="Arial"/>
                <w:sz w:val="18"/>
                <w:szCs w:val="18"/>
                <w:lang w:eastAsia="en-GB"/>
              </w:rPr>
              <w:t xml:space="preserve">The importance of the establishment and use of HNA and care plan is also recommended in the </w:t>
            </w:r>
            <w:hyperlink r:id="rId73" w:history="1">
              <w:r w:rsidRPr="00DC3C60">
                <w:rPr>
                  <w:rFonts w:ascii="Arial" w:hAnsi="Arial" w:cs="Arial"/>
                  <w:color w:val="0000FF"/>
                  <w:sz w:val="18"/>
                  <w:szCs w:val="18"/>
                  <w:u w:val="single"/>
                  <w:lang w:eastAsia="en-GB"/>
                </w:rPr>
                <w:t>Tessa Jowell Centre of Excellence Designation of Standards</w:t>
              </w:r>
            </w:hyperlink>
            <w:r w:rsidRPr="00DC3C60">
              <w:rPr>
                <w:rFonts w:ascii="Arial" w:hAnsi="Arial" w:cs="Arial"/>
                <w:color w:val="0000FF"/>
                <w:sz w:val="18"/>
                <w:szCs w:val="18"/>
                <w:u w:val="single"/>
                <w:lang w:eastAsia="en-GB"/>
              </w:rPr>
              <w:t xml:space="preserve">, </w:t>
            </w:r>
            <w:r w:rsidRPr="00DC3C60">
              <w:rPr>
                <w:rFonts w:ascii="Arial" w:hAnsi="Arial"/>
                <w:sz w:val="18"/>
                <w:szCs w:val="18"/>
                <w:lang w:eastAsia="en-GB"/>
              </w:rPr>
              <w:t>developed in collaboration with the Tessa Jowell Brain Cancer Mission, NHS England, the Department of Health and Social Care, NCRI and partner charities including CRUK and The Brain Tumour Charity.</w:t>
            </w:r>
          </w:p>
          <w:p w14:paraId="100D07D8" w14:textId="77777777" w:rsidR="00DC3C60" w:rsidRPr="00DC3C60" w:rsidRDefault="001517CD" w:rsidP="00DC3C60">
            <w:pPr>
              <w:spacing w:after="240" w:line="276" w:lineRule="auto"/>
              <w:rPr>
                <w:rFonts w:ascii="Arial" w:hAnsi="Arial"/>
                <w:sz w:val="18"/>
                <w:szCs w:val="18"/>
                <w:lang w:eastAsia="en-GB"/>
              </w:rPr>
            </w:pPr>
            <w:hyperlink r:id="rId74" w:history="1">
              <w:r w:rsidR="00DC3C60" w:rsidRPr="00DC3C60">
                <w:rPr>
                  <w:rFonts w:ascii="Arial" w:hAnsi="Arial"/>
                  <w:color w:val="0000FF"/>
                  <w:sz w:val="18"/>
                  <w:szCs w:val="18"/>
                  <w:u w:val="single"/>
                  <w:lang w:eastAsia="en-GB"/>
                </w:rPr>
                <w:t xml:space="preserve">The </w:t>
              </w:r>
              <w:proofErr w:type="spellStart"/>
              <w:r w:rsidR="00DC3C60" w:rsidRPr="00DC3C60">
                <w:rPr>
                  <w:rFonts w:ascii="Arial" w:hAnsi="Arial"/>
                  <w:color w:val="0000FF"/>
                  <w:sz w:val="18"/>
                  <w:szCs w:val="18"/>
                  <w:u w:val="single"/>
                  <w:lang w:eastAsia="en-GB"/>
                </w:rPr>
                <w:t>Brainstrust</w:t>
              </w:r>
              <w:proofErr w:type="spellEnd"/>
              <w:r w:rsidR="00DC3C60" w:rsidRPr="00DC3C60">
                <w:rPr>
                  <w:rFonts w:ascii="Arial" w:hAnsi="Arial"/>
                  <w:color w:val="0000FF"/>
                  <w:sz w:val="18"/>
                  <w:szCs w:val="18"/>
                  <w:u w:val="single"/>
                  <w:lang w:eastAsia="en-GB"/>
                </w:rPr>
                <w:t xml:space="preserve"> NCPES Summary document</w:t>
              </w:r>
            </w:hyperlink>
            <w:r w:rsidR="00DC3C60" w:rsidRPr="00DC3C60">
              <w:rPr>
                <w:rFonts w:ascii="Arial" w:hAnsi="Arial"/>
                <w:sz w:val="18"/>
                <w:szCs w:val="18"/>
                <w:lang w:eastAsia="en-GB"/>
              </w:rPr>
              <w:t xml:space="preserve"> discusses the availability of a care plan for people living with a brain tumour.</w:t>
            </w:r>
          </w:p>
          <w:p w14:paraId="5EF29AEB"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sz w:val="18"/>
                <w:szCs w:val="18"/>
                <w:lang w:eastAsia="en-GB"/>
              </w:rPr>
              <w:t xml:space="preserve">The Brain Tumour Charity’s Improving Brain Tumour Care Survey is currently unpublished, but we would be very happy to share or discuss any of the results if helpful. </w:t>
            </w:r>
          </w:p>
        </w:tc>
      </w:tr>
      <w:tr w:rsidR="00DC3C60" w:rsidRPr="00DC3C60" w14:paraId="15F0E6DB" w14:textId="77777777" w:rsidTr="003635EE">
        <w:trPr>
          <w:trHeight w:val="282"/>
        </w:trPr>
        <w:tc>
          <w:tcPr>
            <w:tcW w:w="15025" w:type="dxa"/>
            <w:gridSpan w:val="6"/>
          </w:tcPr>
          <w:p w14:paraId="315145D6"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Care needs- Named healthcare professional</w:t>
            </w:r>
          </w:p>
        </w:tc>
      </w:tr>
      <w:tr w:rsidR="00DC3C60" w:rsidRPr="00DC3C60" w14:paraId="61D603B4" w14:textId="77777777" w:rsidTr="003635EE">
        <w:trPr>
          <w:trHeight w:val="282"/>
        </w:trPr>
        <w:tc>
          <w:tcPr>
            <w:tcW w:w="675" w:type="dxa"/>
          </w:tcPr>
          <w:p w14:paraId="55D5174E" w14:textId="6D515D61"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0</w:t>
            </w:r>
          </w:p>
        </w:tc>
        <w:tc>
          <w:tcPr>
            <w:tcW w:w="1701" w:type="dxa"/>
          </w:tcPr>
          <w:p w14:paraId="6AEBEA9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Braintrust </w:t>
            </w:r>
          </w:p>
        </w:tc>
        <w:tc>
          <w:tcPr>
            <w:tcW w:w="1701" w:type="dxa"/>
          </w:tcPr>
          <w:p w14:paraId="7792B7B4" w14:textId="77777777" w:rsidR="00DC3C60" w:rsidRPr="00DC3C60" w:rsidRDefault="00DC3C60" w:rsidP="00DC3C60">
            <w:pPr>
              <w:rPr>
                <w:rFonts w:ascii="Arial" w:hAnsi="Arial" w:cs="Arial"/>
                <w:sz w:val="18"/>
                <w:szCs w:val="18"/>
                <w:lang w:eastAsia="en-GB"/>
              </w:rPr>
            </w:pPr>
          </w:p>
        </w:tc>
        <w:tc>
          <w:tcPr>
            <w:tcW w:w="4678" w:type="dxa"/>
          </w:tcPr>
          <w:p w14:paraId="529E7E7C"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Seamless care (including better and consistent triangulated communications) for people between district general hospitals, the main neuroscience centres and primary care through the provision of a named healthcare professional (for example, a key worker (often a clinical nurse specialist) as defined in NICE guidance) with responsibility for coordinating health and social care support for people with brain tumours and carers. </w:t>
            </w:r>
          </w:p>
          <w:p w14:paraId="25672BE5" w14:textId="78FE9AEB" w:rsidR="00DC3C60" w:rsidRPr="00DC3C60" w:rsidRDefault="00DC3C60" w:rsidP="00DC3C60">
            <w:pPr>
              <w:rPr>
                <w:rFonts w:ascii="Arial" w:hAnsi="Arial" w:cs="Arial"/>
                <w:sz w:val="18"/>
                <w:szCs w:val="18"/>
              </w:rPr>
            </w:pPr>
            <w:r w:rsidRPr="00DC3C60">
              <w:rPr>
                <w:rFonts w:ascii="Arial" w:hAnsi="Arial" w:cs="Arial"/>
                <w:sz w:val="18"/>
                <w:szCs w:val="18"/>
              </w:rPr>
              <w:t>This is not always happening and it</w:t>
            </w:r>
            <w:r w:rsidR="0048142E">
              <w:rPr>
                <w:rFonts w:ascii="Arial" w:hAnsi="Arial" w:cs="Arial"/>
                <w:sz w:val="18"/>
                <w:szCs w:val="18"/>
              </w:rPr>
              <w:t>’</w:t>
            </w:r>
            <w:r w:rsidRPr="00DC3C60">
              <w:rPr>
                <w:rFonts w:ascii="Arial" w:hAnsi="Arial" w:cs="Arial"/>
                <w:sz w:val="18"/>
                <w:szCs w:val="18"/>
              </w:rPr>
              <w:t>s very difficult for people to get answers to questions and concerns without one. It seems particularly the case that people, particularly those who have been seen as emergency cases, really have no idea what happened to them and not having a named contact person for subsequent clarity is a challenge.</w:t>
            </w:r>
          </w:p>
        </w:tc>
        <w:tc>
          <w:tcPr>
            <w:tcW w:w="3119" w:type="dxa"/>
          </w:tcPr>
          <w:p w14:paraId="020BC9A9" w14:textId="77777777" w:rsidR="00DC3C60" w:rsidRPr="00DC3C60" w:rsidRDefault="00DC3C60" w:rsidP="00DC3C60">
            <w:pPr>
              <w:rPr>
                <w:rFonts w:ascii="Arial" w:hAnsi="Arial" w:cs="Arial"/>
                <w:sz w:val="18"/>
                <w:szCs w:val="18"/>
                <w:lang w:eastAsia="en-GB"/>
              </w:rPr>
            </w:pPr>
          </w:p>
        </w:tc>
        <w:tc>
          <w:tcPr>
            <w:tcW w:w="3151" w:type="dxa"/>
          </w:tcPr>
          <w:p w14:paraId="1944073A" w14:textId="77777777" w:rsidR="00DC3C60" w:rsidRPr="00DC3C60" w:rsidRDefault="00DC3C60" w:rsidP="00DC3C60">
            <w:pPr>
              <w:rPr>
                <w:rFonts w:ascii="Arial" w:hAnsi="Arial" w:cs="Arial"/>
                <w:sz w:val="18"/>
                <w:szCs w:val="18"/>
                <w:lang w:eastAsia="en-GB"/>
              </w:rPr>
            </w:pPr>
          </w:p>
        </w:tc>
      </w:tr>
      <w:tr w:rsidR="00DC3C60" w:rsidRPr="00DC3C60" w14:paraId="10C42BB4" w14:textId="77777777" w:rsidTr="003635EE">
        <w:trPr>
          <w:trHeight w:val="282"/>
        </w:trPr>
        <w:tc>
          <w:tcPr>
            <w:tcW w:w="675" w:type="dxa"/>
          </w:tcPr>
          <w:p w14:paraId="6A58F3BE" w14:textId="4F56A064"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1</w:t>
            </w:r>
          </w:p>
        </w:tc>
        <w:tc>
          <w:tcPr>
            <w:tcW w:w="1701" w:type="dxa"/>
          </w:tcPr>
          <w:p w14:paraId="718BBAA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Braintrust </w:t>
            </w:r>
          </w:p>
        </w:tc>
        <w:tc>
          <w:tcPr>
            <w:tcW w:w="1701" w:type="dxa"/>
          </w:tcPr>
          <w:p w14:paraId="18858C51" w14:textId="77777777" w:rsidR="00DC3C60" w:rsidRPr="00DC3C60" w:rsidRDefault="00DC3C60" w:rsidP="00DC3C60">
            <w:pPr>
              <w:rPr>
                <w:rFonts w:ascii="Arial" w:hAnsi="Arial" w:cs="Arial"/>
                <w:sz w:val="18"/>
                <w:szCs w:val="18"/>
                <w:lang w:eastAsia="en-GB"/>
              </w:rPr>
            </w:pPr>
          </w:p>
        </w:tc>
        <w:tc>
          <w:tcPr>
            <w:tcW w:w="4678" w:type="dxa"/>
          </w:tcPr>
          <w:p w14:paraId="5664B081" w14:textId="77777777" w:rsidR="00DC3C60" w:rsidRPr="00DC3C60" w:rsidRDefault="00DC3C60" w:rsidP="00DC3C60">
            <w:pPr>
              <w:rPr>
                <w:rFonts w:ascii="Arial" w:hAnsi="Arial" w:cs="Arial"/>
                <w:sz w:val="18"/>
                <w:szCs w:val="18"/>
              </w:rPr>
            </w:pPr>
            <w:r w:rsidRPr="00DC3C60">
              <w:rPr>
                <w:rFonts w:ascii="Arial" w:hAnsi="Arial" w:cs="Arial"/>
                <w:sz w:val="18"/>
                <w:szCs w:val="18"/>
              </w:rPr>
              <w:t>For people diagnosed with brain metastases better signposting of impactful support and advice that reflects the nuance of what it means to be diagnosed with a brain metastasis, including access to a key person who helps the patient navigate the complexity of the secondary diagnosis.</w:t>
            </w:r>
          </w:p>
        </w:tc>
        <w:tc>
          <w:tcPr>
            <w:tcW w:w="3119" w:type="dxa"/>
          </w:tcPr>
          <w:p w14:paraId="6FD41DBA" w14:textId="77777777" w:rsidR="00DC3C60" w:rsidRPr="00DC3C60" w:rsidRDefault="00DC3C60" w:rsidP="00DC3C60">
            <w:pPr>
              <w:rPr>
                <w:rFonts w:ascii="Arial" w:hAnsi="Arial" w:cs="Arial"/>
                <w:sz w:val="18"/>
                <w:szCs w:val="18"/>
                <w:lang w:eastAsia="en-GB"/>
              </w:rPr>
            </w:pPr>
          </w:p>
        </w:tc>
        <w:tc>
          <w:tcPr>
            <w:tcW w:w="3151" w:type="dxa"/>
          </w:tcPr>
          <w:p w14:paraId="378552BF" w14:textId="77777777" w:rsidR="00DC3C60" w:rsidRPr="00DC3C60" w:rsidRDefault="00DC3C60" w:rsidP="00DC3C60">
            <w:pPr>
              <w:rPr>
                <w:rFonts w:ascii="Arial" w:hAnsi="Arial" w:cs="Arial"/>
                <w:b/>
                <w:sz w:val="18"/>
                <w:szCs w:val="18"/>
                <w:lang w:eastAsia="en-GB"/>
              </w:rPr>
            </w:pPr>
          </w:p>
        </w:tc>
      </w:tr>
      <w:tr w:rsidR="00DC3C60" w:rsidRPr="00DC3C60" w14:paraId="4A914001" w14:textId="77777777" w:rsidTr="003635EE">
        <w:trPr>
          <w:trHeight w:val="282"/>
        </w:trPr>
        <w:tc>
          <w:tcPr>
            <w:tcW w:w="675" w:type="dxa"/>
          </w:tcPr>
          <w:p w14:paraId="50CD425A" w14:textId="385C1BA9"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2</w:t>
            </w:r>
          </w:p>
        </w:tc>
        <w:tc>
          <w:tcPr>
            <w:tcW w:w="1701" w:type="dxa"/>
          </w:tcPr>
          <w:p w14:paraId="6D7745B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13BB7C11"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b/>
                <w:bCs/>
                <w:sz w:val="18"/>
                <w:szCs w:val="18"/>
                <w:lang w:eastAsia="en-GB"/>
              </w:rPr>
              <w:t>(CAHPO)</w:t>
            </w:r>
            <w:r w:rsidRPr="00DC3C60">
              <w:rPr>
                <w:rFonts w:ascii="Arial" w:hAnsi="Arial" w:cs="Arial"/>
                <w:sz w:val="18"/>
                <w:szCs w:val="18"/>
                <w:lang w:eastAsia="en-GB"/>
              </w:rPr>
              <w:t>Key area for quality improvement 1</w:t>
            </w:r>
          </w:p>
          <w:p w14:paraId="1A935D56" w14:textId="77777777" w:rsidR="00DC3C60" w:rsidRPr="00DC3C60" w:rsidRDefault="00DC3C60" w:rsidP="00DC3C60">
            <w:pPr>
              <w:spacing w:after="120" w:line="276" w:lineRule="auto"/>
              <w:rPr>
                <w:rFonts w:ascii="Arial" w:hAnsi="Arial" w:cs="Arial"/>
                <w:b/>
                <w:sz w:val="18"/>
                <w:szCs w:val="18"/>
                <w:lang w:eastAsia="en-GB"/>
              </w:rPr>
            </w:pPr>
            <w:r w:rsidRPr="00DC3C60">
              <w:rPr>
                <w:rFonts w:ascii="Arial" w:eastAsia="Arial" w:hAnsi="Arial" w:cs="Arial"/>
                <w:color w:val="44546A"/>
                <w:sz w:val="18"/>
                <w:szCs w:val="18"/>
                <w:lang w:eastAsia="en-GB"/>
              </w:rPr>
              <w:t>Provide a named healthcare professional with responsibility for coordinating health and social care support for people with brain tumours and their relatives and carers, for example, a key worker as defined in NICE guidance on improving outcomes for people with brain and other central nervous system tumours</w:t>
            </w:r>
            <w:r w:rsidRPr="00DC3C60">
              <w:rPr>
                <w:rFonts w:ascii="Arial" w:eastAsia="Arial" w:hAnsi="Arial" w:cs="Arial"/>
                <w:color w:val="000000"/>
                <w:sz w:val="18"/>
                <w:szCs w:val="18"/>
                <w:lang w:eastAsia="en-GB"/>
              </w:rPr>
              <w:t>.</w:t>
            </w:r>
          </w:p>
        </w:tc>
        <w:tc>
          <w:tcPr>
            <w:tcW w:w="4678" w:type="dxa"/>
          </w:tcPr>
          <w:p w14:paraId="227078D2" w14:textId="77777777" w:rsidR="00DC3C60" w:rsidRPr="00DC3C60" w:rsidRDefault="00DC3C60" w:rsidP="00DC3C60">
            <w:pPr>
              <w:spacing w:after="240" w:line="276" w:lineRule="auto"/>
              <w:rPr>
                <w:rFonts w:ascii="Arial" w:eastAsia="Arial" w:hAnsi="Arial" w:cs="Arial"/>
                <w:color w:val="44546A"/>
                <w:sz w:val="18"/>
                <w:szCs w:val="18"/>
                <w:lang w:eastAsia="en-GB"/>
              </w:rPr>
            </w:pPr>
            <w:r w:rsidRPr="00DC3C60">
              <w:rPr>
                <w:rFonts w:ascii="Arial" w:eastAsia="Arial" w:hAnsi="Arial" w:cs="Arial"/>
                <w:color w:val="44546A"/>
                <w:sz w:val="18"/>
                <w:szCs w:val="18"/>
                <w:lang w:eastAsia="en-GB"/>
              </w:rPr>
              <w:t>It is recommended that all patients with brain tumours should have an identified key worker (NICE, 2018). Having a clearly identified key worker is important to ensure that care is adequately co-ordinated for patients with brain tumours.</w:t>
            </w:r>
          </w:p>
          <w:p w14:paraId="4FD7DC31" w14:textId="77777777" w:rsidR="00DC3C60" w:rsidRPr="00DC3C60" w:rsidRDefault="00DC3C60" w:rsidP="00DC3C60">
            <w:pPr>
              <w:rPr>
                <w:rFonts w:ascii="Arial" w:hAnsi="Arial" w:cs="Arial"/>
                <w:sz w:val="18"/>
                <w:szCs w:val="18"/>
              </w:rPr>
            </w:pPr>
          </w:p>
        </w:tc>
        <w:tc>
          <w:tcPr>
            <w:tcW w:w="3119" w:type="dxa"/>
          </w:tcPr>
          <w:p w14:paraId="27271DB7" w14:textId="77777777" w:rsidR="00DC3C60" w:rsidRPr="00DC3C60" w:rsidRDefault="00DC3C60" w:rsidP="00DC3C60">
            <w:pPr>
              <w:rPr>
                <w:rFonts w:ascii="Arial" w:hAnsi="Arial" w:cs="Arial"/>
                <w:sz w:val="18"/>
                <w:szCs w:val="18"/>
                <w:lang w:eastAsia="en-GB"/>
              </w:rPr>
            </w:pPr>
          </w:p>
        </w:tc>
        <w:tc>
          <w:tcPr>
            <w:tcW w:w="3151" w:type="dxa"/>
          </w:tcPr>
          <w:p w14:paraId="22ABCE1F" w14:textId="77777777" w:rsidR="00DC3C60" w:rsidRPr="00DC3C60" w:rsidRDefault="00DC3C60" w:rsidP="00DC3C60">
            <w:pPr>
              <w:spacing w:after="240" w:line="276" w:lineRule="auto"/>
              <w:rPr>
                <w:rFonts w:ascii="Arial" w:eastAsia="Arial" w:hAnsi="Arial" w:cs="Arial"/>
                <w:color w:val="44546A"/>
                <w:sz w:val="18"/>
                <w:szCs w:val="18"/>
                <w:lang w:eastAsia="en-GB"/>
              </w:rPr>
            </w:pPr>
            <w:r w:rsidRPr="00DC3C60">
              <w:rPr>
                <w:rFonts w:ascii="Arial" w:eastAsia="Arial" w:hAnsi="Arial" w:cs="Arial"/>
                <w:color w:val="44546A"/>
                <w:sz w:val="18"/>
                <w:szCs w:val="18"/>
                <w:lang w:eastAsia="en-GB"/>
              </w:rPr>
              <w:t>The key worker is often identified as a Clinical Nurse specialist, but the role could be managed by several Allied Health Professions including Occupational Therapists and Therapeutic Radiographers within an advanced practice role</w:t>
            </w:r>
          </w:p>
          <w:p w14:paraId="340F5088" w14:textId="77777777" w:rsidR="00DC3C60" w:rsidRPr="00DC3C60" w:rsidRDefault="00DC3C60" w:rsidP="00DC3C60">
            <w:pPr>
              <w:rPr>
                <w:rFonts w:ascii="Arial" w:hAnsi="Arial" w:cs="Arial"/>
                <w:sz w:val="18"/>
                <w:szCs w:val="18"/>
              </w:rPr>
            </w:pPr>
          </w:p>
        </w:tc>
      </w:tr>
      <w:tr w:rsidR="00DC3C60" w:rsidRPr="00DC3C60" w14:paraId="4C94C67A" w14:textId="77777777" w:rsidTr="003635EE">
        <w:trPr>
          <w:trHeight w:val="282"/>
        </w:trPr>
        <w:tc>
          <w:tcPr>
            <w:tcW w:w="675" w:type="dxa"/>
          </w:tcPr>
          <w:p w14:paraId="415154F5" w14:textId="0652CD73"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3</w:t>
            </w:r>
          </w:p>
        </w:tc>
        <w:tc>
          <w:tcPr>
            <w:tcW w:w="1701" w:type="dxa"/>
          </w:tcPr>
          <w:p w14:paraId="683518B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SCM1</w:t>
            </w:r>
          </w:p>
        </w:tc>
        <w:tc>
          <w:tcPr>
            <w:tcW w:w="1701" w:type="dxa"/>
          </w:tcPr>
          <w:p w14:paraId="5802ED6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2</w:t>
            </w:r>
          </w:p>
          <w:p w14:paraId="035AE4C9" w14:textId="77777777" w:rsidR="00DC3C60" w:rsidRPr="00DC3C60" w:rsidRDefault="00DC3C60" w:rsidP="00DC3C60">
            <w:pPr>
              <w:rPr>
                <w:rFonts w:ascii="Arial" w:hAnsi="Arial" w:cs="Arial"/>
                <w:sz w:val="18"/>
                <w:szCs w:val="18"/>
                <w:lang w:eastAsia="en-GB"/>
              </w:rPr>
            </w:pPr>
          </w:p>
          <w:p w14:paraId="5107AE5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All people with a brain tumour should have an allocated healthcare professional to co-ordinate their health and social care support</w:t>
            </w:r>
          </w:p>
          <w:p w14:paraId="2EB8FA3B" w14:textId="77777777" w:rsidR="00DC3C60" w:rsidRPr="00DC3C60" w:rsidRDefault="00DC3C60" w:rsidP="00DC3C60">
            <w:pPr>
              <w:rPr>
                <w:rFonts w:ascii="Arial" w:hAnsi="Arial" w:cs="Arial"/>
                <w:sz w:val="18"/>
                <w:szCs w:val="18"/>
                <w:lang w:eastAsia="en-GB"/>
              </w:rPr>
            </w:pPr>
          </w:p>
        </w:tc>
        <w:tc>
          <w:tcPr>
            <w:tcW w:w="4678" w:type="dxa"/>
          </w:tcPr>
          <w:p w14:paraId="0964781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There are significant cognitive, behavioural, physical, and emotional impacts on the person with a brain tumour that are difficult for both the person and their family/support to manage.  The ability to navigate the health and social care system is negatively impacted by the brain tumour itself.</w:t>
            </w:r>
          </w:p>
          <w:p w14:paraId="6E60995E" w14:textId="77777777" w:rsidR="00DC3C60" w:rsidRPr="00DC3C60" w:rsidRDefault="00DC3C60" w:rsidP="00DC3C60">
            <w:pPr>
              <w:rPr>
                <w:rFonts w:ascii="Arial" w:hAnsi="Arial" w:cs="Arial"/>
                <w:sz w:val="18"/>
                <w:szCs w:val="18"/>
                <w:lang w:eastAsia="en-GB"/>
              </w:rPr>
            </w:pPr>
          </w:p>
          <w:p w14:paraId="0AE8AB2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rPr>
              <w:t>NICE guidance is that all people with a brain tumour should have allocated a healthcare professional to co-ordinate the health and social care.</w:t>
            </w:r>
          </w:p>
        </w:tc>
        <w:tc>
          <w:tcPr>
            <w:tcW w:w="3119" w:type="dxa"/>
          </w:tcPr>
          <w:p w14:paraId="1AF9CDC2"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access for all people with brain tumours to a healthcare professional is patchy and often varies dependant on hospital and tumour diagnosis.  For example, in some hospitals people with a meningioma and other low grade tumours are not offered this.</w:t>
            </w:r>
          </w:p>
        </w:tc>
        <w:tc>
          <w:tcPr>
            <w:tcW w:w="3151" w:type="dxa"/>
          </w:tcPr>
          <w:p w14:paraId="7C574ADD" w14:textId="77777777" w:rsidR="00DC3C60" w:rsidRPr="00DC3C60" w:rsidRDefault="001517CD" w:rsidP="00DC3C60">
            <w:pPr>
              <w:rPr>
                <w:rFonts w:ascii="Arial" w:hAnsi="Arial" w:cs="Arial"/>
                <w:sz w:val="18"/>
                <w:szCs w:val="18"/>
                <w:lang w:eastAsia="en-GB"/>
              </w:rPr>
            </w:pPr>
            <w:hyperlink r:id="rId75" w:history="1">
              <w:r w:rsidR="00DC3C60" w:rsidRPr="00DC3C60">
                <w:rPr>
                  <w:rFonts w:ascii="Arial" w:hAnsi="Arial" w:cs="Arial"/>
                  <w:color w:val="0000FF"/>
                  <w:sz w:val="18"/>
                  <w:szCs w:val="18"/>
                  <w:u w:val="single"/>
                  <w:lang w:eastAsia="en-GB"/>
                </w:rPr>
                <w:t>https://www.scan.scot.nhs.uk/wp-content/uploads/2020/10/Final_BrainCNS_QPI_Audit_Report_2018_v1_0.pdf</w:t>
              </w:r>
            </w:hyperlink>
          </w:p>
          <w:p w14:paraId="3BDFF3C0" w14:textId="77777777" w:rsidR="00DC3C60" w:rsidRPr="00DC3C60" w:rsidRDefault="00DC3C60" w:rsidP="00DC3C60">
            <w:pPr>
              <w:rPr>
                <w:rFonts w:ascii="Arial" w:hAnsi="Arial" w:cs="Arial"/>
                <w:sz w:val="18"/>
                <w:szCs w:val="18"/>
                <w:lang w:eastAsia="en-GB"/>
              </w:rPr>
            </w:pPr>
          </w:p>
          <w:p w14:paraId="1996E32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 2018 Scottish audit noted that only in one of 4 services was a keyworker identified at first MDT in &gt;95% patients (average 35%)</w:t>
            </w:r>
          </w:p>
        </w:tc>
      </w:tr>
      <w:tr w:rsidR="00DC3C60" w:rsidRPr="00DC3C60" w14:paraId="1C63F09A" w14:textId="77777777" w:rsidTr="003635EE">
        <w:trPr>
          <w:trHeight w:val="282"/>
        </w:trPr>
        <w:tc>
          <w:tcPr>
            <w:tcW w:w="675" w:type="dxa"/>
          </w:tcPr>
          <w:p w14:paraId="028F0D77" w14:textId="71567C96"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4</w:t>
            </w:r>
          </w:p>
        </w:tc>
        <w:tc>
          <w:tcPr>
            <w:tcW w:w="1701" w:type="dxa"/>
          </w:tcPr>
          <w:p w14:paraId="45044B3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SCM2</w:t>
            </w:r>
          </w:p>
        </w:tc>
        <w:tc>
          <w:tcPr>
            <w:tcW w:w="1701" w:type="dxa"/>
          </w:tcPr>
          <w:p w14:paraId="50C69E0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GP understanding of brain tumours:</w:t>
            </w:r>
          </w:p>
        </w:tc>
        <w:tc>
          <w:tcPr>
            <w:tcW w:w="4678" w:type="dxa"/>
          </w:tcPr>
          <w:p w14:paraId="6EA8641A"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Brain tumours are rare. This can make appointments with GPs difficult for the patient.  </w:t>
            </w:r>
          </w:p>
          <w:p w14:paraId="4D152E2F" w14:textId="77777777" w:rsidR="00DC3C60" w:rsidRPr="00DC3C60" w:rsidRDefault="00DC3C60" w:rsidP="00DC3C60">
            <w:pPr>
              <w:rPr>
                <w:rFonts w:ascii="Arial" w:hAnsi="Arial" w:cs="Arial"/>
                <w:sz w:val="18"/>
                <w:szCs w:val="18"/>
              </w:rPr>
            </w:pPr>
            <w:r w:rsidRPr="00DC3C60">
              <w:rPr>
                <w:rFonts w:ascii="Arial" w:hAnsi="Arial" w:cs="Arial"/>
                <w:sz w:val="18"/>
                <w:szCs w:val="18"/>
              </w:rPr>
              <w:t>Referral to secondary services such as pain clinics, ophthalmology etc quite often requires the referral be made by GPs. GP misunderstanding of brain tumours and the ongoing effects, for low grade gliomas can make referral a slow process.  In the meantime, the delays can cause distress for the patient.  The CNS’ can end up dealing with issues that can be picked up by GPs.  Either GPs have to be prepared to learn more about brain tumours or the number of CNS’ needs to be increased.</w:t>
            </w:r>
          </w:p>
        </w:tc>
        <w:tc>
          <w:tcPr>
            <w:tcW w:w="3119" w:type="dxa"/>
          </w:tcPr>
          <w:p w14:paraId="40999AEA" w14:textId="77777777" w:rsidR="00DC3C60" w:rsidRPr="00DC3C60" w:rsidRDefault="00DC3C60" w:rsidP="00DC3C60">
            <w:pPr>
              <w:rPr>
                <w:rFonts w:ascii="Arial" w:hAnsi="Arial" w:cs="Arial"/>
                <w:sz w:val="18"/>
                <w:szCs w:val="18"/>
                <w:lang w:eastAsia="en-GB"/>
              </w:rPr>
            </w:pPr>
          </w:p>
        </w:tc>
        <w:tc>
          <w:tcPr>
            <w:tcW w:w="3151" w:type="dxa"/>
          </w:tcPr>
          <w:p w14:paraId="5FD8D4AE" w14:textId="77777777" w:rsidR="00DC3C60" w:rsidRPr="00DC3C60" w:rsidRDefault="00DC3C60" w:rsidP="00DC3C60">
            <w:pPr>
              <w:rPr>
                <w:rFonts w:ascii="Arial" w:hAnsi="Arial" w:cs="Arial"/>
                <w:sz w:val="18"/>
                <w:szCs w:val="18"/>
                <w:lang w:eastAsia="en-GB"/>
              </w:rPr>
            </w:pPr>
          </w:p>
        </w:tc>
      </w:tr>
      <w:tr w:rsidR="00DC3C60" w:rsidRPr="00DC3C60" w14:paraId="46E8EF1E" w14:textId="77777777" w:rsidTr="003635EE">
        <w:trPr>
          <w:trHeight w:val="282"/>
        </w:trPr>
        <w:tc>
          <w:tcPr>
            <w:tcW w:w="675" w:type="dxa"/>
          </w:tcPr>
          <w:p w14:paraId="4112122C" w14:textId="121C348F"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5</w:t>
            </w:r>
          </w:p>
        </w:tc>
        <w:tc>
          <w:tcPr>
            <w:tcW w:w="1701" w:type="dxa"/>
          </w:tcPr>
          <w:p w14:paraId="6D4FEDB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SCM4</w:t>
            </w:r>
          </w:p>
        </w:tc>
        <w:tc>
          <w:tcPr>
            <w:tcW w:w="1701" w:type="dxa"/>
          </w:tcPr>
          <w:p w14:paraId="2E6037A4"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Key area for quality improvement 5</w:t>
            </w:r>
          </w:p>
        </w:tc>
        <w:tc>
          <w:tcPr>
            <w:tcW w:w="4678" w:type="dxa"/>
          </w:tcPr>
          <w:p w14:paraId="3C43493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2010 Cancer Patient Experience Survey provided</w:t>
            </w:r>
          </w:p>
          <w:p w14:paraId="7C5DD85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evidence that patients who had access to one to one support through a Clinical Nurse Specialist (CNS) reported more favourably on aspects of their experience, such as access to information and being given a choice of treatment compared to patients who reported not having had access to a CNS. </w:t>
            </w:r>
            <w:r w:rsidRPr="00DC3C60">
              <w:rPr>
                <w:rFonts w:ascii="Arial" w:hAnsi="Arial" w:cs="Arial"/>
                <w:b/>
                <w:sz w:val="18"/>
                <w:szCs w:val="18"/>
                <w:lang w:eastAsia="en-GB"/>
              </w:rPr>
              <w:t>CNS provision</w:t>
            </w:r>
            <w:r w:rsidRPr="00DC3C60">
              <w:rPr>
                <w:rFonts w:ascii="Arial" w:hAnsi="Arial" w:cs="Arial"/>
                <w:sz w:val="18"/>
                <w:szCs w:val="18"/>
                <w:lang w:eastAsia="en-GB"/>
              </w:rPr>
              <w:t xml:space="preserve"> – still sole working in remote hospitals. Safe staffing levels to be considered. </w:t>
            </w:r>
          </w:p>
        </w:tc>
        <w:tc>
          <w:tcPr>
            <w:tcW w:w="3119" w:type="dxa"/>
          </w:tcPr>
          <w:p w14:paraId="3741755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distribution of Cancer Specialist Nurses and in particular Clinical Nurse Specialists (CNSs) is not consistent with cancer incidence across the country. In addition, the number of posts is not proportional to cancer incidence across English Cancer Networks.</w:t>
            </w:r>
          </w:p>
        </w:tc>
        <w:tc>
          <w:tcPr>
            <w:tcW w:w="3151" w:type="dxa"/>
          </w:tcPr>
          <w:p w14:paraId="6540896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Excellence in Cancer Care: The Contribution</w:t>
            </w:r>
          </w:p>
          <w:p w14:paraId="77E4816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of the Clinical Nurse Specialist. NCAT 201011</w:t>
            </w:r>
          </w:p>
          <w:p w14:paraId="1445E4E1" w14:textId="1EF52C12" w:rsidR="00DC3C60" w:rsidRPr="00DC3C60" w:rsidRDefault="001517CD" w:rsidP="00DC3C60">
            <w:pPr>
              <w:rPr>
                <w:rFonts w:ascii="Arial" w:hAnsi="Arial" w:cs="Arial"/>
                <w:sz w:val="18"/>
                <w:szCs w:val="18"/>
                <w:lang w:eastAsia="en-GB"/>
              </w:rPr>
            </w:pPr>
            <w:hyperlink r:id="rId76" w:history="1">
              <w:r w:rsidR="0048142E" w:rsidRPr="002D1D95">
                <w:rPr>
                  <w:rStyle w:val="Hyperlink"/>
                  <w:rFonts w:ascii="Arial" w:hAnsi="Arial" w:cs="Arial"/>
                  <w:sz w:val="18"/>
                  <w:szCs w:val="18"/>
                  <w:lang w:eastAsia="en-GB"/>
                </w:rPr>
                <w:t>https://www.england.nhs.uk/improvement-hub/wp-content/uploads/sites/44/2017/11/Clinical-Nurse-Specialists-in-Cancer-Care_Census-of-the-Nurse-Workforce_Eng-2011.pdf</w:t>
              </w:r>
            </w:hyperlink>
          </w:p>
          <w:p w14:paraId="586A3AB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Clinical Nurse Specialists in Cancer;</w:t>
            </w:r>
          </w:p>
          <w:p w14:paraId="7E5B7A6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Provision, Proportion and Performance.</w:t>
            </w:r>
          </w:p>
          <w:p w14:paraId="1673F89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NCAT 20103</w:t>
            </w:r>
          </w:p>
          <w:p w14:paraId="7A15A39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Advanced Level Nursing: A Position</w:t>
            </w:r>
          </w:p>
          <w:p w14:paraId="2B31715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Statement DH 201012</w:t>
            </w:r>
          </w:p>
          <w:p w14:paraId="22D59A6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Manual of Cancer Services. Department of</w:t>
            </w:r>
          </w:p>
          <w:p w14:paraId="77922B8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Health. 200413</w:t>
            </w:r>
          </w:p>
          <w:p w14:paraId="3D9DA5E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NHS Cancer Commissioning Toolkit.</w:t>
            </w:r>
          </w:p>
          <w:p w14:paraId="63F2552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National Cancer Intelligence Network.</w:t>
            </w:r>
          </w:p>
          <w:p w14:paraId="62B88E0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Updated 201114</w:t>
            </w:r>
          </w:p>
          <w:p w14:paraId="5D2DA7D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One to one support for cancer patients.</w:t>
            </w:r>
          </w:p>
          <w:p w14:paraId="3B8CC24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 report prepared for DH. Frontier</w:t>
            </w:r>
          </w:p>
          <w:p w14:paraId="22057868" w14:textId="77777777" w:rsidR="00DC3C60" w:rsidRPr="00DC3C60" w:rsidRDefault="00DC3C60" w:rsidP="00DC3C60">
            <w:pPr>
              <w:rPr>
                <w:rFonts w:ascii="Arial" w:hAnsi="Arial" w:cs="Arial"/>
                <w:sz w:val="18"/>
                <w:szCs w:val="18"/>
              </w:rPr>
            </w:pPr>
            <w:proofErr w:type="spellStart"/>
            <w:r w:rsidRPr="00DC3C60">
              <w:rPr>
                <w:rFonts w:ascii="Arial" w:hAnsi="Arial" w:cs="Arial"/>
                <w:sz w:val="18"/>
                <w:szCs w:val="18"/>
              </w:rPr>
              <w:t>Ecomonics</w:t>
            </w:r>
            <w:proofErr w:type="spellEnd"/>
            <w:r w:rsidRPr="00DC3C60">
              <w:rPr>
                <w:rFonts w:ascii="Arial" w:hAnsi="Arial" w:cs="Arial"/>
                <w:sz w:val="18"/>
                <w:szCs w:val="18"/>
              </w:rPr>
              <w:t>. December 2010.15</w:t>
            </w:r>
          </w:p>
        </w:tc>
      </w:tr>
      <w:tr w:rsidR="00DC3C60" w:rsidRPr="00DC3C60" w14:paraId="476D635D" w14:textId="77777777" w:rsidTr="003635EE">
        <w:trPr>
          <w:trHeight w:val="282"/>
        </w:trPr>
        <w:tc>
          <w:tcPr>
            <w:tcW w:w="675" w:type="dxa"/>
          </w:tcPr>
          <w:p w14:paraId="712A3AB8" w14:textId="60397E04"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6</w:t>
            </w:r>
          </w:p>
        </w:tc>
        <w:tc>
          <w:tcPr>
            <w:tcW w:w="1701" w:type="dxa"/>
          </w:tcPr>
          <w:p w14:paraId="7C1BA97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Brain Tumour Charity</w:t>
            </w:r>
          </w:p>
        </w:tc>
        <w:tc>
          <w:tcPr>
            <w:tcW w:w="1701" w:type="dxa"/>
          </w:tcPr>
          <w:p w14:paraId="4C41278D"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1</w:t>
            </w:r>
          </w:p>
          <w:p w14:paraId="7A9726A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The provision of a named key worker or Clinical Nurse Specialist for all patients living with a brain tumour, including those living with a low-grade or non-malignant brain tumour  </w:t>
            </w:r>
          </w:p>
        </w:tc>
        <w:tc>
          <w:tcPr>
            <w:tcW w:w="4678" w:type="dxa"/>
          </w:tcPr>
          <w:p w14:paraId="13B30474"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There is evidence to support the need for an accessible key worker (often a Clinical Nurse Specialist) for those living with cancer, benefitting the individual by providing information, emotional support and the coordination of patient care.</w:t>
            </w:r>
          </w:p>
          <w:p w14:paraId="55BE8EB6"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NICE guideline NG99 (1.9.5) recommends the provision of a ‘named healthcare professional for ensuring the coordination of health and social care support for people with a brain tumour and their relatives and carers, for example a key worker (often a clinical nurse specialist)’. </w:t>
            </w:r>
          </w:p>
          <w:p w14:paraId="0A75BB48"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Further, cancer service guideline CSG10 recommends that ‘all patients should have a clearly defined key worker’. </w:t>
            </w:r>
          </w:p>
        </w:tc>
        <w:tc>
          <w:tcPr>
            <w:tcW w:w="3119" w:type="dxa"/>
          </w:tcPr>
          <w:p w14:paraId="619E607E"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The Brain Tumour Charity’s 2020 Improving Brain Tumour Care Survey found that 15% of respondents had not been given a named CNS or key worker (sample: 690 people diagnosed or in active treatment in the last two years). In particular, 25% of respondents with a low-grade tumour reported that they had not been given a named CNS or key worker – compared to just 7% of patients with a high-grade brain tumour.</w:t>
            </w:r>
          </w:p>
          <w:p w14:paraId="13E8A97A"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Further data from the 2019 National Cancer Patient Experience survey (NCPES), suggests that 89% of people living with cancer were given a named CNS, however only 46% said they were ‘very easy’ to contact. A further 30% felt their named CNS was ‘quite easy’ to contact.  </w:t>
            </w:r>
          </w:p>
          <w:p w14:paraId="5FBA6FC8"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95% of people with high-grade/malignant brain cancer were given a named CNS, of which 86% felt they were at least ‘quite easy’ to contact. This data is not available for those living with a low-grade/ benign brain tumour. </w:t>
            </w:r>
          </w:p>
          <w:p w14:paraId="0E5F29E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Our Improving Brain Tumour Care Surveys also found that people who had a CNS or key worker were more likely to be told about basic forms of support than those who did not. </w:t>
            </w:r>
          </w:p>
        </w:tc>
        <w:tc>
          <w:tcPr>
            <w:tcW w:w="3151" w:type="dxa"/>
          </w:tcPr>
          <w:p w14:paraId="73D7E32D" w14:textId="77777777" w:rsidR="00DC3C60" w:rsidRPr="00DC3C60" w:rsidRDefault="00DC3C60" w:rsidP="00DC3C60">
            <w:pPr>
              <w:spacing w:after="240" w:line="276" w:lineRule="auto"/>
              <w:rPr>
                <w:rFonts w:ascii="Arial" w:hAnsi="Arial"/>
                <w:sz w:val="18"/>
                <w:szCs w:val="18"/>
                <w:lang w:eastAsia="en-GB"/>
              </w:rPr>
            </w:pPr>
            <w:r w:rsidRPr="00DC3C60">
              <w:rPr>
                <w:rFonts w:ascii="Arial" w:hAnsi="Arial"/>
                <w:sz w:val="18"/>
                <w:szCs w:val="18"/>
                <w:lang w:eastAsia="en-GB"/>
              </w:rPr>
              <w:t>NHS and NICE guidelines recommending the provision of a key worker/CNS:</w:t>
            </w:r>
          </w:p>
          <w:p w14:paraId="3C332823" w14:textId="5EE16CCF" w:rsidR="00DC3C60" w:rsidRPr="00DC3C60" w:rsidRDefault="001517CD" w:rsidP="00DC3C60">
            <w:pPr>
              <w:numPr>
                <w:ilvl w:val="0"/>
                <w:numId w:val="16"/>
              </w:numPr>
              <w:spacing w:after="240" w:line="276" w:lineRule="auto"/>
              <w:rPr>
                <w:rFonts w:ascii="Arial" w:hAnsi="Arial" w:cs="Arial"/>
                <w:color w:val="0000FF"/>
                <w:sz w:val="18"/>
                <w:szCs w:val="18"/>
                <w:u w:val="single"/>
                <w:lang w:eastAsia="en-GB"/>
              </w:rPr>
            </w:pPr>
            <w:hyperlink r:id="rId77" w:history="1">
              <w:r w:rsidR="00DC3C60" w:rsidRPr="00DC3C60">
                <w:rPr>
                  <w:rFonts w:ascii="Arial" w:hAnsi="Arial" w:cs="Arial"/>
                  <w:color w:val="0000FF"/>
                  <w:sz w:val="18"/>
                  <w:szCs w:val="18"/>
                  <w:u w:val="single"/>
                  <w:lang w:eastAsia="en-GB"/>
                </w:rPr>
                <w:t xml:space="preserve">Cancer service guideline [CSG10] </w:t>
              </w:r>
              <w:r w:rsidR="0048142E">
                <w:rPr>
                  <w:rFonts w:ascii="Arial" w:hAnsi="Arial" w:cs="Arial"/>
                  <w:color w:val="0000FF"/>
                  <w:sz w:val="18"/>
                  <w:szCs w:val="18"/>
                  <w:u w:val="single"/>
                  <w:lang w:eastAsia="en-GB"/>
                </w:rPr>
                <w:t>–</w:t>
              </w:r>
              <w:r w:rsidR="00DC3C60" w:rsidRPr="00DC3C60">
                <w:rPr>
                  <w:rFonts w:ascii="Arial" w:hAnsi="Arial" w:cs="Arial"/>
                  <w:color w:val="0000FF"/>
                  <w:sz w:val="18"/>
                  <w:szCs w:val="18"/>
                  <w:u w:val="single"/>
                  <w:lang w:eastAsia="en-GB"/>
                </w:rPr>
                <w:t xml:space="preserve"> Improving outcomes for people with brain and other central nervous system tumours</w:t>
              </w:r>
            </w:hyperlink>
          </w:p>
          <w:p w14:paraId="1197AB0C" w14:textId="01612BCD" w:rsidR="00DC3C60" w:rsidRPr="00DC3C60" w:rsidRDefault="001517CD" w:rsidP="00DC3C60">
            <w:pPr>
              <w:numPr>
                <w:ilvl w:val="0"/>
                <w:numId w:val="16"/>
              </w:numPr>
              <w:spacing w:after="240" w:line="276" w:lineRule="auto"/>
              <w:rPr>
                <w:rFonts w:ascii="Arial" w:hAnsi="Arial" w:cs="Arial"/>
                <w:color w:val="0000FF"/>
                <w:sz w:val="18"/>
                <w:szCs w:val="18"/>
                <w:u w:val="single"/>
                <w:lang w:eastAsia="en-GB"/>
              </w:rPr>
            </w:pPr>
            <w:hyperlink r:id="rId78" w:anchor="care-needs-of-people-with-brain-tumours" w:history="1">
              <w:r w:rsidR="00DC3C60" w:rsidRPr="00DC3C60">
                <w:rPr>
                  <w:rFonts w:ascii="Arial" w:hAnsi="Arial" w:cs="Arial"/>
                  <w:color w:val="0000FF"/>
                  <w:sz w:val="18"/>
                  <w:szCs w:val="18"/>
                  <w:u w:val="single"/>
                  <w:lang w:eastAsia="en-GB"/>
                </w:rPr>
                <w:t xml:space="preserve">NG99 </w:t>
              </w:r>
              <w:r w:rsidR="0048142E">
                <w:rPr>
                  <w:rFonts w:ascii="Arial" w:hAnsi="Arial" w:cs="Arial"/>
                  <w:color w:val="0000FF"/>
                  <w:sz w:val="18"/>
                  <w:szCs w:val="18"/>
                  <w:u w:val="single"/>
                  <w:lang w:eastAsia="en-GB"/>
                </w:rPr>
                <w:t>–</w:t>
              </w:r>
              <w:r w:rsidR="00DC3C60" w:rsidRPr="00DC3C60">
                <w:rPr>
                  <w:rFonts w:ascii="Arial" w:hAnsi="Arial" w:cs="Arial"/>
                  <w:color w:val="0000FF"/>
                  <w:sz w:val="18"/>
                  <w:szCs w:val="18"/>
                  <w:u w:val="single"/>
                  <w:lang w:eastAsia="en-GB"/>
                </w:rPr>
                <w:t xml:space="preserve"> NICE guidelines on Brain Tumours (primary) and brain metastases in adults</w:t>
              </w:r>
            </w:hyperlink>
          </w:p>
          <w:p w14:paraId="0289A728" w14:textId="77777777" w:rsidR="00DC3C60" w:rsidRPr="00DC3C60" w:rsidRDefault="00DC3C60" w:rsidP="00DC3C60">
            <w:pPr>
              <w:spacing w:after="240" w:line="276" w:lineRule="auto"/>
              <w:rPr>
                <w:rFonts w:ascii="Arial" w:hAnsi="Arial"/>
                <w:sz w:val="18"/>
                <w:szCs w:val="18"/>
                <w:lang w:eastAsia="en-GB"/>
              </w:rPr>
            </w:pPr>
            <w:r w:rsidRPr="00DC3C60">
              <w:rPr>
                <w:rFonts w:ascii="Arial" w:hAnsi="Arial"/>
                <w:sz w:val="18"/>
                <w:szCs w:val="18"/>
                <w:lang w:eastAsia="en-GB"/>
              </w:rPr>
              <w:t>The Brain Tumour Charity’s Improving Brain Tumour Care Survey is currently unpublished, but we would be very happy to share or discuss any of the results if helpful. It should be noted that the survey sample was not representative of the whole population affected by a brain tumour, and so these results should be treated as indicative.</w:t>
            </w:r>
          </w:p>
          <w:p w14:paraId="75DE5B0E" w14:textId="77777777" w:rsidR="00DC3C60" w:rsidRPr="00DC3C60" w:rsidRDefault="00DC3C60" w:rsidP="00DC3C60">
            <w:pPr>
              <w:spacing w:after="240" w:line="276" w:lineRule="auto"/>
              <w:rPr>
                <w:rFonts w:ascii="Arial" w:hAnsi="Arial"/>
                <w:sz w:val="18"/>
                <w:szCs w:val="18"/>
                <w:lang w:eastAsia="en-GB"/>
              </w:rPr>
            </w:pPr>
            <w:r w:rsidRPr="00DC3C60">
              <w:rPr>
                <w:rFonts w:ascii="Arial" w:hAnsi="Arial"/>
                <w:sz w:val="18"/>
                <w:szCs w:val="18"/>
                <w:lang w:eastAsia="en-GB"/>
              </w:rPr>
              <w:t>2019 NCPES summary document highlights the provision and ease with which people living with cancer were able to contact their CNS:</w:t>
            </w:r>
          </w:p>
          <w:p w14:paraId="6E582AC3" w14:textId="77777777" w:rsidR="00DC3C60" w:rsidRPr="00DC3C60" w:rsidRDefault="001517CD" w:rsidP="00DC3C60">
            <w:pPr>
              <w:rPr>
                <w:rFonts w:ascii="Arial" w:hAnsi="Arial" w:cs="Arial"/>
                <w:sz w:val="18"/>
                <w:szCs w:val="18"/>
              </w:rPr>
            </w:pPr>
            <w:hyperlink r:id="rId79" w:history="1">
              <w:r w:rsidR="00DC3C60" w:rsidRPr="00DC3C60">
                <w:rPr>
                  <w:rFonts w:ascii="Arial" w:hAnsi="Arial" w:cs="Arial"/>
                  <w:color w:val="0000FF"/>
                  <w:sz w:val="18"/>
                  <w:szCs w:val="18"/>
                  <w:u w:val="single"/>
                </w:rPr>
                <w:t>https://www.ncpes.co.uk/wp-content/uploads/2020/06/CPES-2019-National-Report_V1.pdf</w:t>
              </w:r>
            </w:hyperlink>
            <w:r w:rsidR="00DC3C60" w:rsidRPr="00DC3C60">
              <w:rPr>
                <w:rFonts w:ascii="Arial" w:hAnsi="Arial" w:cs="Arial"/>
                <w:sz w:val="18"/>
                <w:szCs w:val="18"/>
              </w:rPr>
              <w:t xml:space="preserve"> </w:t>
            </w:r>
          </w:p>
        </w:tc>
      </w:tr>
      <w:tr w:rsidR="00DC3C60" w:rsidRPr="00DC3C60" w14:paraId="23EE71EF" w14:textId="77777777" w:rsidTr="003635EE">
        <w:trPr>
          <w:trHeight w:val="282"/>
        </w:trPr>
        <w:tc>
          <w:tcPr>
            <w:tcW w:w="15025" w:type="dxa"/>
            <w:gridSpan w:val="6"/>
          </w:tcPr>
          <w:p w14:paraId="4A89CF9C" w14:textId="77777777" w:rsidR="00DC3C60" w:rsidRPr="00DC3C60" w:rsidRDefault="00DC3C60" w:rsidP="00DC3C60">
            <w:pPr>
              <w:spacing w:after="120" w:line="276" w:lineRule="auto"/>
              <w:rPr>
                <w:rFonts w:ascii="Arial" w:hAnsi="Arial"/>
                <w:b/>
                <w:bCs/>
                <w:sz w:val="18"/>
                <w:szCs w:val="18"/>
                <w:lang w:eastAsia="en-GB"/>
              </w:rPr>
            </w:pPr>
            <w:r w:rsidRPr="00DC3C60">
              <w:rPr>
                <w:rFonts w:ascii="Arial" w:hAnsi="Arial"/>
                <w:b/>
                <w:bCs/>
                <w:sz w:val="18"/>
                <w:szCs w:val="18"/>
                <w:lang w:eastAsia="en-GB"/>
              </w:rPr>
              <w:t>Care needs- Specific support</w:t>
            </w:r>
          </w:p>
        </w:tc>
      </w:tr>
      <w:tr w:rsidR="00DC3C60" w:rsidRPr="00DC3C60" w14:paraId="45F44465" w14:textId="77777777" w:rsidTr="003635EE">
        <w:trPr>
          <w:trHeight w:val="5671"/>
        </w:trPr>
        <w:tc>
          <w:tcPr>
            <w:tcW w:w="675" w:type="dxa"/>
          </w:tcPr>
          <w:p w14:paraId="0D95A4A3" w14:textId="704217E3"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7</w:t>
            </w:r>
          </w:p>
        </w:tc>
        <w:tc>
          <w:tcPr>
            <w:tcW w:w="1701" w:type="dxa"/>
          </w:tcPr>
          <w:p w14:paraId="40D9A74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NCRI-ACP-RCP</w:t>
            </w:r>
          </w:p>
        </w:tc>
        <w:tc>
          <w:tcPr>
            <w:tcW w:w="1701" w:type="dxa"/>
          </w:tcPr>
          <w:p w14:paraId="78F3331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1</w:t>
            </w:r>
          </w:p>
        </w:tc>
        <w:tc>
          <w:tcPr>
            <w:tcW w:w="4678" w:type="dxa"/>
          </w:tcPr>
          <w:p w14:paraId="24FD0E6B" w14:textId="1FB644EB" w:rsidR="00DC3C60" w:rsidRPr="00DC3C60" w:rsidRDefault="00DC3C60" w:rsidP="00DC3C60">
            <w:pPr>
              <w:rPr>
                <w:rFonts w:ascii="Arial" w:hAnsi="Arial" w:cs="Arial"/>
                <w:sz w:val="18"/>
                <w:szCs w:val="18"/>
                <w:lang w:eastAsia="en-GB"/>
              </w:rPr>
            </w:pPr>
            <w:r w:rsidRPr="00DC3C60">
              <w:rPr>
                <w:rFonts w:ascii="Arial" w:hAnsi="Arial" w:cs="Arial"/>
                <w:noProof/>
                <w:sz w:val="18"/>
                <w:szCs w:val="18"/>
                <w:lang w:eastAsia="en-GB"/>
              </w:rPr>
              <w:drawing>
                <wp:inline distT="0" distB="0" distL="0" distR="0" wp14:anchorId="51EDCEFB" wp14:editId="29ACA40D">
                  <wp:extent cx="2854834" cy="33337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4989" cy="3357286"/>
                          </a:xfrm>
                          <a:prstGeom prst="rect">
                            <a:avLst/>
                          </a:prstGeom>
                          <a:noFill/>
                        </pic:spPr>
                      </pic:pic>
                    </a:graphicData>
                  </a:graphic>
                </wp:inline>
              </w:drawing>
            </w:r>
          </w:p>
        </w:tc>
        <w:tc>
          <w:tcPr>
            <w:tcW w:w="3119" w:type="dxa"/>
          </w:tcPr>
          <w:p w14:paraId="1B1EF6EA" w14:textId="77777777" w:rsidR="00DC3C60" w:rsidRPr="00DC3C60" w:rsidRDefault="00DC3C60" w:rsidP="00DC3C60">
            <w:pPr>
              <w:rPr>
                <w:rFonts w:ascii="Arial" w:hAnsi="Arial" w:cs="Arial"/>
                <w:sz w:val="18"/>
                <w:szCs w:val="18"/>
                <w:lang w:eastAsia="en-GB"/>
              </w:rPr>
            </w:pPr>
          </w:p>
        </w:tc>
        <w:tc>
          <w:tcPr>
            <w:tcW w:w="3151" w:type="dxa"/>
          </w:tcPr>
          <w:p w14:paraId="0DF332E5" w14:textId="77777777" w:rsidR="00DC3C60" w:rsidRPr="00DC3C60" w:rsidRDefault="00DC3C60" w:rsidP="00DC3C60">
            <w:pPr>
              <w:rPr>
                <w:rFonts w:ascii="Arial" w:hAnsi="Arial" w:cs="Arial"/>
                <w:sz w:val="18"/>
                <w:szCs w:val="18"/>
                <w:lang w:eastAsia="en-GB"/>
              </w:rPr>
            </w:pPr>
          </w:p>
        </w:tc>
      </w:tr>
      <w:tr w:rsidR="00DC3C60" w:rsidRPr="00DC3C60" w14:paraId="7BABB756" w14:textId="77777777" w:rsidTr="003635EE">
        <w:trPr>
          <w:trHeight w:val="282"/>
        </w:trPr>
        <w:tc>
          <w:tcPr>
            <w:tcW w:w="675" w:type="dxa"/>
          </w:tcPr>
          <w:p w14:paraId="46F0C24A" w14:textId="0DAF1513"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4</w:t>
            </w:r>
            <w:r>
              <w:rPr>
                <w:rFonts w:ascii="Arial" w:hAnsi="Arial" w:cs="Arial"/>
                <w:sz w:val="18"/>
                <w:szCs w:val="18"/>
                <w:lang w:eastAsia="en-GB"/>
              </w:rPr>
              <w:t>8</w:t>
            </w:r>
          </w:p>
        </w:tc>
        <w:tc>
          <w:tcPr>
            <w:tcW w:w="1701" w:type="dxa"/>
          </w:tcPr>
          <w:p w14:paraId="1D5A646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2FCB97BE" w14:textId="77777777" w:rsidR="00DC3C60" w:rsidRPr="00DC3C60" w:rsidRDefault="00DC3C60" w:rsidP="00DC3C60">
            <w:pPr>
              <w:spacing w:after="120" w:line="276" w:lineRule="auto"/>
              <w:rPr>
                <w:rFonts w:ascii="Arial" w:hAnsi="Arial" w:cs="Arial"/>
                <w:b/>
                <w:sz w:val="18"/>
                <w:szCs w:val="18"/>
                <w:lang w:eastAsia="en-GB"/>
              </w:rPr>
            </w:pPr>
            <w:r w:rsidRPr="00DC3C60">
              <w:rPr>
                <w:rFonts w:ascii="Arial" w:hAnsi="Arial" w:cs="Arial"/>
                <w:b/>
                <w:bCs/>
                <w:color w:val="000000"/>
                <w:sz w:val="18"/>
                <w:szCs w:val="18"/>
                <w:lang w:eastAsia="en-GB"/>
              </w:rPr>
              <w:t>(Spec Comm)</w:t>
            </w:r>
            <w:r w:rsidRPr="00DC3C60">
              <w:rPr>
                <w:rFonts w:ascii="Arial" w:hAnsi="Arial" w:cs="Arial"/>
                <w:color w:val="000000"/>
                <w:sz w:val="18"/>
                <w:szCs w:val="18"/>
                <w:lang w:eastAsia="en-GB"/>
              </w:rPr>
              <w:t xml:space="preserve"> </w:t>
            </w:r>
            <w:r w:rsidRPr="00DC3C60">
              <w:rPr>
                <w:rFonts w:ascii="Arial" w:hAnsi="Arial" w:cs="Arial"/>
                <w:sz w:val="18"/>
                <w:szCs w:val="18"/>
                <w:lang w:eastAsia="en-GB"/>
              </w:rPr>
              <w:t xml:space="preserve">3 Neuropsychology and clinical psychology support along the whole patient pathway seamlessly transitioning into palliative care at </w:t>
            </w:r>
            <w:proofErr w:type="spellStart"/>
            <w:r w:rsidRPr="00DC3C60">
              <w:rPr>
                <w:rFonts w:ascii="Arial" w:hAnsi="Arial" w:cs="Arial"/>
                <w:sz w:val="18"/>
                <w:szCs w:val="18"/>
                <w:lang w:eastAsia="en-GB"/>
              </w:rPr>
              <w:t>EoL</w:t>
            </w:r>
            <w:proofErr w:type="spellEnd"/>
          </w:p>
        </w:tc>
        <w:tc>
          <w:tcPr>
            <w:tcW w:w="4678" w:type="dxa"/>
          </w:tcPr>
          <w:p w14:paraId="30892E50"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Cognitive and functional support for brain tumour patients will support family life, return to work/employment</w:t>
            </w:r>
          </w:p>
          <w:p w14:paraId="19C2882F" w14:textId="77777777" w:rsidR="00DC3C60" w:rsidRPr="00DC3C60" w:rsidRDefault="00DC3C60" w:rsidP="00DC3C60">
            <w:pPr>
              <w:rPr>
                <w:rFonts w:ascii="Arial" w:hAnsi="Arial" w:cs="Arial"/>
                <w:sz w:val="18"/>
                <w:szCs w:val="18"/>
              </w:rPr>
            </w:pPr>
            <w:r w:rsidRPr="00DC3C60">
              <w:rPr>
                <w:rFonts w:ascii="Arial" w:hAnsi="Arial" w:cs="Arial"/>
                <w:sz w:val="18"/>
                <w:szCs w:val="18"/>
              </w:rPr>
              <w:t>Good quality palliative care can ensure a dignified death and help families come to terms with loss of loved ones</w:t>
            </w:r>
          </w:p>
        </w:tc>
        <w:tc>
          <w:tcPr>
            <w:tcW w:w="3119" w:type="dxa"/>
          </w:tcPr>
          <w:p w14:paraId="56EF33BC" w14:textId="77777777" w:rsidR="00DC3C60" w:rsidRPr="00DC3C60" w:rsidRDefault="00DC3C60" w:rsidP="00DC3C60">
            <w:pPr>
              <w:rPr>
                <w:rFonts w:ascii="Arial" w:hAnsi="Arial" w:cs="Arial"/>
                <w:sz w:val="18"/>
                <w:szCs w:val="18"/>
                <w:lang w:eastAsia="en-GB"/>
              </w:rPr>
            </w:pPr>
          </w:p>
        </w:tc>
        <w:tc>
          <w:tcPr>
            <w:tcW w:w="3151" w:type="dxa"/>
          </w:tcPr>
          <w:p w14:paraId="31A0AA22" w14:textId="77777777" w:rsidR="00DC3C60" w:rsidRPr="00DC3C60" w:rsidRDefault="00DC3C60" w:rsidP="00DC3C60">
            <w:pPr>
              <w:rPr>
                <w:rFonts w:ascii="Arial" w:hAnsi="Arial" w:cs="Arial"/>
                <w:sz w:val="18"/>
                <w:szCs w:val="18"/>
              </w:rPr>
            </w:pPr>
            <w:r w:rsidRPr="00DC3C60">
              <w:rPr>
                <w:rFonts w:ascii="Arial" w:hAnsi="Arial" w:cs="Arial"/>
                <w:sz w:val="18"/>
                <w:szCs w:val="18"/>
              </w:rPr>
              <w:t>NICE guidance 2018 section 1.9 Care needs of people with brain tumours</w:t>
            </w:r>
          </w:p>
        </w:tc>
      </w:tr>
      <w:tr w:rsidR="00DC3C60" w:rsidRPr="00DC3C60" w14:paraId="31DCF492" w14:textId="77777777" w:rsidTr="003635EE">
        <w:trPr>
          <w:trHeight w:val="282"/>
        </w:trPr>
        <w:tc>
          <w:tcPr>
            <w:tcW w:w="675" w:type="dxa"/>
          </w:tcPr>
          <w:p w14:paraId="05A5480B" w14:textId="1C016023" w:rsidR="00DC3C60" w:rsidRPr="00DC3C60" w:rsidRDefault="00DC3C60" w:rsidP="00DC3C60">
            <w:pPr>
              <w:rPr>
                <w:rFonts w:ascii="Arial" w:hAnsi="Arial" w:cs="Arial"/>
                <w:sz w:val="18"/>
                <w:szCs w:val="18"/>
                <w:lang w:eastAsia="en-GB"/>
              </w:rPr>
            </w:pPr>
            <w:r>
              <w:rPr>
                <w:rFonts w:ascii="Arial" w:hAnsi="Arial" w:cs="Arial"/>
                <w:sz w:val="18"/>
                <w:szCs w:val="18"/>
                <w:lang w:eastAsia="en-GB"/>
              </w:rPr>
              <w:t>49</w:t>
            </w:r>
          </w:p>
        </w:tc>
        <w:tc>
          <w:tcPr>
            <w:tcW w:w="1701" w:type="dxa"/>
          </w:tcPr>
          <w:p w14:paraId="30C993C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40363113"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Additional developmental areas of emergent practice</w:t>
            </w:r>
          </w:p>
        </w:tc>
        <w:tc>
          <w:tcPr>
            <w:tcW w:w="4678" w:type="dxa"/>
          </w:tcPr>
          <w:p w14:paraId="7A05773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Access to appropriate Allied Health Professions (AHPs) to support patients through survivorship ensuring patients live their best lives post tumour diagnosis and treatment.</w:t>
            </w:r>
          </w:p>
          <w:p w14:paraId="3EBABC70" w14:textId="77777777" w:rsidR="00DC3C60" w:rsidRPr="00DC3C60" w:rsidRDefault="00DC3C60" w:rsidP="00DC3C60">
            <w:pPr>
              <w:rPr>
                <w:rFonts w:ascii="Arial" w:hAnsi="Arial" w:cs="Arial"/>
                <w:sz w:val="18"/>
                <w:szCs w:val="18"/>
                <w:lang w:eastAsia="en-GB"/>
              </w:rPr>
            </w:pPr>
          </w:p>
        </w:tc>
        <w:tc>
          <w:tcPr>
            <w:tcW w:w="3119" w:type="dxa"/>
          </w:tcPr>
          <w:p w14:paraId="1CDBF785"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This KPI is linked to the notion of “adding life to years’ “. The Allied Health Professions (AHPs) are the third largest workforce in the NHS.  AHPs provide system-wide care to assess, treat, diagnose and discharge patients across social care, housing, education, and independent and voluntary sectors.  Through adopting a holistic approach to healthcare, AHPs can help manage patients’ care throughout the life course from birth to palliative care.  Their focus is on prevention and improvement of health and wellbeing to maximise the potential for individuals to live full and active lives within their family circles, social networks, education/training and the workplace.</w:t>
            </w:r>
          </w:p>
        </w:tc>
        <w:tc>
          <w:tcPr>
            <w:tcW w:w="3151" w:type="dxa"/>
          </w:tcPr>
          <w:p w14:paraId="3DB37332" w14:textId="77777777" w:rsidR="00DC3C60" w:rsidRPr="00DC3C60" w:rsidRDefault="00DC3C60" w:rsidP="00DC3C60">
            <w:pPr>
              <w:spacing w:after="240" w:line="276" w:lineRule="auto"/>
              <w:rPr>
                <w:rFonts w:ascii="Arial" w:eastAsia="Arial" w:hAnsi="Arial" w:cs="Arial"/>
                <w:color w:val="44546A"/>
                <w:sz w:val="18"/>
                <w:szCs w:val="18"/>
                <w:lang w:eastAsia="en-GB"/>
              </w:rPr>
            </w:pPr>
            <w:r w:rsidRPr="00DC3C60">
              <w:rPr>
                <w:rFonts w:ascii="Arial" w:hAnsi="Arial" w:cs="Arial"/>
                <w:sz w:val="18"/>
                <w:szCs w:val="18"/>
                <w:lang w:eastAsia="en-GB"/>
              </w:rPr>
              <w:t>We have not been able to identify sufficient evidence, However, more details about the value added by Allied Health Professions within patient pathways can be found here</w:t>
            </w:r>
            <w:r w:rsidRPr="00DC3C60">
              <w:rPr>
                <w:rFonts w:ascii="Arial" w:eastAsia="Arial" w:hAnsi="Arial" w:cs="Arial"/>
                <w:color w:val="44546A"/>
                <w:sz w:val="18"/>
                <w:szCs w:val="18"/>
                <w:lang w:eastAsia="en-GB"/>
              </w:rPr>
              <w:t>:</w:t>
            </w:r>
          </w:p>
          <w:p w14:paraId="285722C0" w14:textId="77777777" w:rsidR="00DC3C60" w:rsidRPr="00DC3C60" w:rsidRDefault="001517CD" w:rsidP="00DC3C60">
            <w:pPr>
              <w:spacing w:after="240" w:line="276" w:lineRule="auto"/>
              <w:rPr>
                <w:rFonts w:ascii="Arial" w:hAnsi="Arial" w:cs="Arial"/>
                <w:sz w:val="18"/>
                <w:szCs w:val="18"/>
              </w:rPr>
            </w:pPr>
            <w:hyperlink r:id="rId81">
              <w:r w:rsidR="00DC3C60" w:rsidRPr="00DC3C60">
                <w:rPr>
                  <w:rFonts w:ascii="Arial" w:eastAsia="Arial" w:hAnsi="Arial" w:cs="Arial"/>
                  <w:color w:val="0000FF"/>
                  <w:sz w:val="18"/>
                  <w:szCs w:val="18"/>
                  <w:u w:val="single"/>
                </w:rPr>
                <w:t>https://www.england.nhs.uk/ahp/about/</w:t>
              </w:r>
            </w:hyperlink>
          </w:p>
        </w:tc>
      </w:tr>
      <w:tr w:rsidR="00DC3C60" w:rsidRPr="00DC3C60" w14:paraId="7AC84E25" w14:textId="77777777" w:rsidTr="003635EE">
        <w:trPr>
          <w:trHeight w:val="282"/>
        </w:trPr>
        <w:tc>
          <w:tcPr>
            <w:tcW w:w="675" w:type="dxa"/>
          </w:tcPr>
          <w:p w14:paraId="049F5032" w14:textId="24E89744" w:rsidR="00DC3C60" w:rsidRPr="00DC3C60" w:rsidRDefault="00DC3C60" w:rsidP="00DC3C60">
            <w:pPr>
              <w:rPr>
                <w:rFonts w:ascii="Arial" w:hAnsi="Arial" w:cs="Arial"/>
                <w:sz w:val="18"/>
                <w:szCs w:val="18"/>
                <w:lang w:eastAsia="en-GB"/>
              </w:rPr>
            </w:pPr>
            <w:r>
              <w:rPr>
                <w:rFonts w:ascii="Arial" w:hAnsi="Arial" w:cs="Arial"/>
                <w:sz w:val="18"/>
                <w:szCs w:val="18"/>
                <w:lang w:eastAsia="en-GB"/>
              </w:rPr>
              <w:t>50</w:t>
            </w:r>
          </w:p>
        </w:tc>
        <w:tc>
          <w:tcPr>
            <w:tcW w:w="1701" w:type="dxa"/>
          </w:tcPr>
          <w:p w14:paraId="6ED448C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SCM2</w:t>
            </w:r>
          </w:p>
        </w:tc>
        <w:tc>
          <w:tcPr>
            <w:tcW w:w="1701" w:type="dxa"/>
          </w:tcPr>
          <w:p w14:paraId="60F815F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Driving </w:t>
            </w:r>
          </w:p>
        </w:tc>
        <w:tc>
          <w:tcPr>
            <w:tcW w:w="4678" w:type="dxa"/>
          </w:tcPr>
          <w:p w14:paraId="286F7654" w14:textId="77777777" w:rsidR="00DC3C60" w:rsidRPr="00DC3C60" w:rsidRDefault="00DC3C60" w:rsidP="00DC3C60">
            <w:pPr>
              <w:rPr>
                <w:rFonts w:ascii="Arial" w:hAnsi="Arial" w:cs="Arial"/>
                <w:sz w:val="18"/>
                <w:szCs w:val="18"/>
              </w:rPr>
            </w:pPr>
            <w:r w:rsidRPr="00DC3C60">
              <w:rPr>
                <w:rFonts w:ascii="Arial" w:hAnsi="Arial" w:cs="Arial"/>
                <w:sz w:val="18"/>
                <w:szCs w:val="18"/>
              </w:rPr>
              <w:t>This is a really important issue for people with brain tumours. There are guidelines regarding people with brain tumours and quite often this means a period not driving or having licenses withheld.  However, patients experience inconsistent advice The DVLA as an organisation is difficult to communicate with.  Some transparent, clear and consistent advice is required for patients.</w:t>
            </w:r>
          </w:p>
        </w:tc>
        <w:tc>
          <w:tcPr>
            <w:tcW w:w="3119" w:type="dxa"/>
          </w:tcPr>
          <w:p w14:paraId="571B46F0" w14:textId="77777777" w:rsidR="00DC3C60" w:rsidRPr="00DC3C60" w:rsidRDefault="00DC3C60" w:rsidP="00DC3C60">
            <w:pPr>
              <w:rPr>
                <w:rFonts w:ascii="Arial" w:hAnsi="Arial" w:cs="Arial"/>
                <w:sz w:val="18"/>
                <w:szCs w:val="18"/>
                <w:lang w:eastAsia="en-GB"/>
              </w:rPr>
            </w:pPr>
          </w:p>
        </w:tc>
        <w:tc>
          <w:tcPr>
            <w:tcW w:w="3151" w:type="dxa"/>
          </w:tcPr>
          <w:p w14:paraId="4C7D3789" w14:textId="77777777" w:rsidR="00DC3C60" w:rsidRPr="00DC3C60" w:rsidRDefault="00DC3C60" w:rsidP="00DC3C60">
            <w:pPr>
              <w:rPr>
                <w:rFonts w:ascii="Arial" w:hAnsi="Arial" w:cs="Arial"/>
                <w:sz w:val="18"/>
                <w:szCs w:val="18"/>
                <w:lang w:eastAsia="en-GB"/>
              </w:rPr>
            </w:pPr>
          </w:p>
        </w:tc>
      </w:tr>
      <w:tr w:rsidR="00DC3C60" w:rsidRPr="00DC3C60" w14:paraId="1E24D082" w14:textId="77777777" w:rsidTr="003635EE">
        <w:trPr>
          <w:trHeight w:val="282"/>
        </w:trPr>
        <w:tc>
          <w:tcPr>
            <w:tcW w:w="675" w:type="dxa"/>
          </w:tcPr>
          <w:p w14:paraId="716AD74D" w14:textId="338BC8EF" w:rsidR="00DC3C60" w:rsidRPr="00DC3C60" w:rsidRDefault="00DC3C60" w:rsidP="00DC3C60">
            <w:pPr>
              <w:rPr>
                <w:rFonts w:ascii="Arial" w:hAnsi="Arial" w:cs="Arial"/>
                <w:sz w:val="18"/>
                <w:szCs w:val="18"/>
                <w:lang w:eastAsia="en-GB"/>
              </w:rPr>
            </w:pPr>
            <w:r>
              <w:rPr>
                <w:rFonts w:ascii="Arial" w:hAnsi="Arial" w:cs="Arial"/>
                <w:sz w:val="18"/>
                <w:szCs w:val="18"/>
                <w:lang w:eastAsia="en-GB"/>
              </w:rPr>
              <w:t>51</w:t>
            </w:r>
          </w:p>
        </w:tc>
        <w:tc>
          <w:tcPr>
            <w:tcW w:w="1701" w:type="dxa"/>
          </w:tcPr>
          <w:p w14:paraId="2AD29A8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Scottish Adult Neuro-oncology Network </w:t>
            </w:r>
          </w:p>
        </w:tc>
        <w:tc>
          <w:tcPr>
            <w:tcW w:w="1701" w:type="dxa"/>
          </w:tcPr>
          <w:p w14:paraId="6C7F5375"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1</w:t>
            </w:r>
          </w:p>
          <w:p w14:paraId="6BB1999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Seizure Management by a Neurologist</w:t>
            </w:r>
          </w:p>
        </w:tc>
        <w:tc>
          <w:tcPr>
            <w:tcW w:w="4678" w:type="dxa"/>
          </w:tcPr>
          <w:p w14:paraId="175E8A94" w14:textId="77777777" w:rsidR="00DC3C60" w:rsidRPr="00DC3C60" w:rsidRDefault="00DC3C60" w:rsidP="00DC3C60">
            <w:pPr>
              <w:rPr>
                <w:rFonts w:ascii="Arial" w:hAnsi="Arial" w:cs="Arial"/>
                <w:sz w:val="18"/>
                <w:szCs w:val="18"/>
                <w:lang w:eastAsia="en-GB"/>
              </w:rPr>
            </w:pPr>
            <w:r w:rsidRPr="00DC3C60">
              <w:rPr>
                <w:rFonts w:ascii="Arial" w:hAnsi="Arial"/>
                <w:sz w:val="18"/>
                <w:szCs w:val="18"/>
              </w:rPr>
              <w:t xml:space="preserve">Diagnosing epilepsy can be complex and it is crucial that specialists are involved early to avoid misdiagnosis.21 </w:t>
            </w:r>
          </w:p>
        </w:tc>
        <w:tc>
          <w:tcPr>
            <w:tcW w:w="3119" w:type="dxa"/>
          </w:tcPr>
          <w:p w14:paraId="20F71D52" w14:textId="77777777" w:rsidR="00DC3C60" w:rsidRPr="00DC3C60" w:rsidRDefault="00DC3C60" w:rsidP="00DC3C60">
            <w:pPr>
              <w:rPr>
                <w:rFonts w:ascii="Arial" w:hAnsi="Arial" w:cs="Arial"/>
                <w:sz w:val="18"/>
                <w:szCs w:val="18"/>
                <w:lang w:eastAsia="en-GB"/>
              </w:rPr>
            </w:pPr>
            <w:r w:rsidRPr="00DC3C60">
              <w:rPr>
                <w:rFonts w:ascii="Arial" w:hAnsi="Arial"/>
                <w:sz w:val="18"/>
                <w:szCs w:val="18"/>
                <w:lang w:eastAsia="en-GB"/>
              </w:rPr>
              <w:t>The diagnosis of epilepsy is more accurate when made by a medical practitioner who specialises in epilepsy, resulting in better patient outcomes. Access to a specialist nurse with expertise in epilepsy management enhances the quality of life for patients and gives a more patient centred approach to care</w:t>
            </w:r>
          </w:p>
        </w:tc>
        <w:tc>
          <w:tcPr>
            <w:tcW w:w="3151" w:type="dxa"/>
          </w:tcPr>
          <w:p w14:paraId="432C8631" w14:textId="77777777" w:rsidR="00DC3C60" w:rsidRPr="00DC3C60" w:rsidRDefault="00DC3C60" w:rsidP="00DC3C60">
            <w:pPr>
              <w:rPr>
                <w:rFonts w:ascii="Arial" w:hAnsi="Arial" w:cs="Arial"/>
                <w:sz w:val="18"/>
                <w:szCs w:val="18"/>
              </w:rPr>
            </w:pPr>
            <w:r w:rsidRPr="00DC3C60">
              <w:rPr>
                <w:rFonts w:ascii="Arial" w:hAnsi="Arial"/>
                <w:sz w:val="18"/>
                <w:szCs w:val="18"/>
              </w:rPr>
              <w:t>NICE (2013) Epilepsy in Adults: Quality Standard 26. Available from: https://www.nice.org.uk/guidance/qs26 (accessed 16th February 2018). 22. NICE (2005) Referral guidelines for suspected cancer (accessed 23</w:t>
            </w:r>
            <w:r w:rsidRPr="0048142E">
              <w:rPr>
                <w:rFonts w:ascii="Arial" w:hAnsi="Arial"/>
                <w:sz w:val="18"/>
                <w:szCs w:val="18"/>
                <w:vertAlign w:val="superscript"/>
              </w:rPr>
              <w:t>rd</w:t>
            </w:r>
            <w:r w:rsidRPr="00DC3C60">
              <w:rPr>
                <w:rFonts w:ascii="Arial" w:hAnsi="Arial"/>
                <w:sz w:val="18"/>
                <w:szCs w:val="18"/>
              </w:rPr>
              <w:t xml:space="preserve"> August 2013). 23. SIGN (2003) Diagnosis and Management of Epilepsy in Adults (accessed 23</w:t>
            </w:r>
            <w:r w:rsidRPr="0048142E">
              <w:rPr>
                <w:rFonts w:ascii="Arial" w:hAnsi="Arial"/>
                <w:sz w:val="18"/>
                <w:szCs w:val="18"/>
                <w:vertAlign w:val="superscript"/>
              </w:rPr>
              <w:t>rd</w:t>
            </w:r>
            <w:r w:rsidRPr="00DC3C60">
              <w:rPr>
                <w:rFonts w:ascii="Arial" w:hAnsi="Arial"/>
                <w:sz w:val="18"/>
                <w:szCs w:val="18"/>
              </w:rPr>
              <w:t xml:space="preserve"> August 2013). Update available from: http://www.sign.ac.uk/sign-143-diagnosis-and-managementof-epilepsy-in-adults.html. 24. NHS Quality Improvement Scotland (2008) Management of Core Cancer Services Standards. Available from: http://www.healthcareimprovementscotland.org/our_work /cancer_care_improvement/cancer_resources/standards_for_cancer_services.aspx (accessed 12</w:t>
            </w:r>
            <w:r w:rsidRPr="0048142E">
              <w:rPr>
                <w:rFonts w:ascii="Arial" w:hAnsi="Arial"/>
                <w:sz w:val="18"/>
                <w:szCs w:val="18"/>
                <w:vertAlign w:val="superscript"/>
              </w:rPr>
              <w:t>th</w:t>
            </w:r>
            <w:r w:rsidRPr="00DC3C60">
              <w:rPr>
                <w:rFonts w:ascii="Arial" w:hAnsi="Arial"/>
                <w:sz w:val="18"/>
                <w:szCs w:val="18"/>
              </w:rPr>
              <w:t xml:space="preserve"> September 2017) 25. Downing A, et al (2016). High Hospital Research Participation and Improved Colorecta</w:t>
            </w:r>
          </w:p>
        </w:tc>
      </w:tr>
      <w:tr w:rsidR="00DC3C60" w:rsidRPr="00DC3C60" w14:paraId="62A47767" w14:textId="77777777" w:rsidTr="003635EE">
        <w:trPr>
          <w:trHeight w:val="282"/>
        </w:trPr>
        <w:tc>
          <w:tcPr>
            <w:tcW w:w="675" w:type="dxa"/>
          </w:tcPr>
          <w:p w14:paraId="055FC261" w14:textId="2155C7E7" w:rsidR="00DC3C60" w:rsidRPr="00DC3C60" w:rsidRDefault="00DC3C60" w:rsidP="00DC3C60">
            <w:pPr>
              <w:rPr>
                <w:rFonts w:ascii="Arial" w:hAnsi="Arial" w:cs="Arial"/>
                <w:sz w:val="18"/>
                <w:szCs w:val="18"/>
                <w:lang w:eastAsia="en-GB"/>
              </w:rPr>
            </w:pPr>
            <w:r>
              <w:rPr>
                <w:rFonts w:ascii="Arial" w:hAnsi="Arial" w:cs="Arial"/>
                <w:sz w:val="18"/>
                <w:szCs w:val="18"/>
                <w:lang w:eastAsia="en-GB"/>
              </w:rPr>
              <w:t>52</w:t>
            </w:r>
          </w:p>
        </w:tc>
        <w:tc>
          <w:tcPr>
            <w:tcW w:w="1701" w:type="dxa"/>
          </w:tcPr>
          <w:p w14:paraId="45B0AAB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Scottish Adult Neuro-oncology Network </w:t>
            </w:r>
          </w:p>
        </w:tc>
        <w:tc>
          <w:tcPr>
            <w:tcW w:w="1701" w:type="dxa"/>
          </w:tcPr>
          <w:p w14:paraId="259270D9"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5</w:t>
            </w:r>
          </w:p>
          <w:p w14:paraId="7DFFEF0C"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Equity to community and social supportive services</w:t>
            </w:r>
          </w:p>
        </w:tc>
        <w:tc>
          <w:tcPr>
            <w:tcW w:w="4678" w:type="dxa"/>
          </w:tcPr>
          <w:p w14:paraId="5E82A4BB" w14:textId="77777777" w:rsidR="00DC3C60" w:rsidRPr="00DC3C60" w:rsidRDefault="00DC3C60" w:rsidP="00DC3C60">
            <w:pPr>
              <w:rPr>
                <w:rFonts w:ascii="Arial" w:hAnsi="Arial" w:cs="Arial"/>
                <w:sz w:val="18"/>
                <w:szCs w:val="18"/>
              </w:rPr>
            </w:pPr>
            <w:r w:rsidRPr="00DC3C60">
              <w:rPr>
                <w:rFonts w:ascii="Arial" w:hAnsi="Arial" w:cs="Arial"/>
                <w:sz w:val="18"/>
                <w:szCs w:val="18"/>
              </w:rPr>
              <w:t>There is a wide variation in the wider community support for patients with Brain tumours. Outreach services and support services such as physiotherapy, inpatient neurorehabilitation, speech and language as well as neuropsychology assessment and services are often lacking.</w:t>
            </w:r>
          </w:p>
        </w:tc>
        <w:tc>
          <w:tcPr>
            <w:tcW w:w="3119" w:type="dxa"/>
          </w:tcPr>
          <w:p w14:paraId="54F6800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Long term survivors of brain tumours/metastases often have treatment related cognitive and physical deficits that impact on their quality of social life. Services such as neuropsychology or rehabilitation can help improve physical, social and psychological well being</w:t>
            </w:r>
          </w:p>
        </w:tc>
        <w:tc>
          <w:tcPr>
            <w:tcW w:w="3151" w:type="dxa"/>
          </w:tcPr>
          <w:p w14:paraId="0F9BAF65" w14:textId="77777777" w:rsidR="00DC3C60" w:rsidRPr="00DC3C60" w:rsidRDefault="00DC3C60" w:rsidP="00DC3C60">
            <w:pPr>
              <w:rPr>
                <w:rFonts w:ascii="Arial" w:hAnsi="Arial" w:cs="Arial"/>
                <w:sz w:val="18"/>
                <w:szCs w:val="18"/>
              </w:rPr>
            </w:pPr>
          </w:p>
        </w:tc>
      </w:tr>
      <w:tr w:rsidR="00DC3C60" w:rsidRPr="00DC3C60" w14:paraId="53A625EC" w14:textId="77777777" w:rsidTr="00DC3C60">
        <w:trPr>
          <w:trHeight w:val="5173"/>
        </w:trPr>
        <w:tc>
          <w:tcPr>
            <w:tcW w:w="675" w:type="dxa"/>
          </w:tcPr>
          <w:p w14:paraId="5A858FB8" w14:textId="7BA60403" w:rsidR="00DC3C60" w:rsidRPr="00DC3C60" w:rsidRDefault="00DC3C60" w:rsidP="00DC3C60">
            <w:pPr>
              <w:rPr>
                <w:rFonts w:ascii="Arial" w:hAnsi="Arial" w:cs="Arial"/>
                <w:sz w:val="18"/>
                <w:szCs w:val="18"/>
                <w:lang w:eastAsia="en-GB"/>
              </w:rPr>
            </w:pPr>
            <w:r>
              <w:rPr>
                <w:rFonts w:ascii="Arial" w:hAnsi="Arial" w:cs="Arial"/>
                <w:sz w:val="18"/>
                <w:szCs w:val="18"/>
                <w:lang w:eastAsia="en-GB"/>
              </w:rPr>
              <w:t>53</w:t>
            </w:r>
          </w:p>
        </w:tc>
        <w:tc>
          <w:tcPr>
            <w:tcW w:w="1701" w:type="dxa"/>
          </w:tcPr>
          <w:p w14:paraId="50E775D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Brain Tumour Charity</w:t>
            </w:r>
          </w:p>
        </w:tc>
        <w:tc>
          <w:tcPr>
            <w:tcW w:w="1701" w:type="dxa"/>
          </w:tcPr>
          <w:p w14:paraId="5AA167F7"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3</w:t>
            </w:r>
          </w:p>
          <w:p w14:paraId="7D1E4FE9"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 xml:space="preserve">Prompt signposting to available support networks at diagnosis and at key points in the treatment and care pathway.  </w:t>
            </w:r>
          </w:p>
        </w:tc>
        <w:tc>
          <w:tcPr>
            <w:tcW w:w="4678" w:type="dxa"/>
          </w:tcPr>
          <w:p w14:paraId="0EEC8E0A"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Signposting to avenues of support and networks to benefit wellbeing as early as possible is beneficial for the complex emotional and psychological needs of those living with a brain tumour. </w:t>
            </w:r>
          </w:p>
          <w:p w14:paraId="2411DACB"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Cancer service guidelines CSG10 highlights the complex psychological care needs of those living with a brain tumour and discusses the importance of individuals such as neuropsychologists in their care. </w:t>
            </w:r>
          </w:p>
          <w:p w14:paraId="5C036A5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The need for a clinical review to assess changes in an individual’s physical, psychological and cognitive wellbeing is recommended in </w:t>
            </w:r>
            <w:r w:rsidRPr="00DC3C60">
              <w:rPr>
                <w:rFonts w:ascii="Arial" w:hAnsi="Arial"/>
                <w:sz w:val="18"/>
                <w:szCs w:val="18"/>
                <w:lang w:eastAsia="en-GB"/>
              </w:rPr>
              <w:t>NICE guidelines NG99</w:t>
            </w:r>
            <w:r w:rsidRPr="00DC3C60">
              <w:rPr>
                <w:rFonts w:ascii="Arial" w:hAnsi="Arial" w:cs="Arial"/>
                <w:sz w:val="18"/>
                <w:szCs w:val="18"/>
                <w:lang w:eastAsia="en-GB"/>
              </w:rPr>
              <w:t>.</w:t>
            </w:r>
          </w:p>
          <w:p w14:paraId="0A12BE0F"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Signposting to support groups, charities and relevant services is a recommendation of the </w:t>
            </w:r>
            <w:hyperlink r:id="rId82" w:history="1">
              <w:r w:rsidRPr="00DC3C60">
                <w:rPr>
                  <w:rFonts w:ascii="Arial" w:hAnsi="Arial" w:cs="Arial"/>
                  <w:color w:val="0000FF"/>
                  <w:sz w:val="18"/>
                  <w:szCs w:val="18"/>
                  <w:u w:val="single"/>
                </w:rPr>
                <w:t>Tessa Jowell Centre of Excellence Designation of Standards</w:t>
              </w:r>
            </w:hyperlink>
            <w:r w:rsidRPr="00DC3C60">
              <w:rPr>
                <w:rFonts w:ascii="Arial" w:hAnsi="Arial" w:cs="Arial"/>
                <w:sz w:val="18"/>
                <w:szCs w:val="18"/>
              </w:rPr>
              <w:t>.</w:t>
            </w:r>
          </w:p>
        </w:tc>
        <w:tc>
          <w:tcPr>
            <w:tcW w:w="3119" w:type="dxa"/>
          </w:tcPr>
          <w:p w14:paraId="0C11F901"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The Brain Tumour Charity’s Improving Brain Tumour Care Survey highlighted that just 21% of respondents were told about basic support. </w:t>
            </w:r>
          </w:p>
          <w:p w14:paraId="288A4DA4" w14:textId="77777777" w:rsidR="00DC3C60" w:rsidRPr="00DC3C60" w:rsidRDefault="00DC3C60" w:rsidP="00DC3C60">
            <w:pPr>
              <w:spacing w:after="240" w:line="276" w:lineRule="auto"/>
              <w:rPr>
                <w:rFonts w:ascii="Arial" w:hAnsi="Arial"/>
                <w:sz w:val="18"/>
                <w:szCs w:val="18"/>
                <w:lang w:eastAsia="en-GB"/>
              </w:rPr>
            </w:pPr>
            <w:r w:rsidRPr="00DC3C60">
              <w:rPr>
                <w:rFonts w:ascii="Arial" w:hAnsi="Arial" w:cs="Arial"/>
                <w:sz w:val="18"/>
                <w:szCs w:val="18"/>
                <w:lang w:eastAsia="en-GB"/>
              </w:rPr>
              <w:t xml:space="preserve">Further, just 44% of people were </w:t>
            </w:r>
            <w:r w:rsidRPr="00DC3C60">
              <w:rPr>
                <w:rFonts w:ascii="Arial" w:hAnsi="Arial"/>
                <w:sz w:val="18"/>
                <w:szCs w:val="18"/>
                <w:lang w:eastAsia="en-GB"/>
              </w:rPr>
              <w:t>signposted to counselling or emotional support, which has been highlighted as a key area of unmet need for the brain tumour community.</w:t>
            </w:r>
          </w:p>
          <w:p w14:paraId="5CD161D8" w14:textId="77777777" w:rsidR="00DC3C60" w:rsidRPr="00DC3C60" w:rsidRDefault="00DC3C60" w:rsidP="00DC3C60">
            <w:pPr>
              <w:spacing w:after="240" w:line="276" w:lineRule="auto"/>
              <w:rPr>
                <w:rFonts w:ascii="Arial" w:hAnsi="Arial"/>
                <w:sz w:val="18"/>
                <w:szCs w:val="18"/>
                <w:lang w:eastAsia="en-GB"/>
              </w:rPr>
            </w:pPr>
            <w:r w:rsidRPr="00DC3C60">
              <w:rPr>
                <w:rFonts w:ascii="Arial" w:hAnsi="Arial"/>
                <w:sz w:val="18"/>
                <w:szCs w:val="18"/>
                <w:lang w:eastAsia="en-GB"/>
              </w:rPr>
              <w:t xml:space="preserve">A 2015 report by The Charity, Finding Myself in Your Hands, showed only 25% of respondents had access to a psychologist. </w:t>
            </w:r>
          </w:p>
          <w:p w14:paraId="67A3906E"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sz w:val="18"/>
                <w:szCs w:val="18"/>
                <w:lang w:eastAsia="en-GB"/>
              </w:rPr>
              <w:t>Further, the 2019 NCPES results showed that 83.2% of those living with a brain or CNS tumour answered ‘Yes’ to the question ‘Did hospital staff give you information about support or self-help groups for people with cancer?’ A further 6.5% said that this support was not necessary. Again, this data does not include the experiences of people living with a low-grade /benign brain tumour.</w:t>
            </w:r>
          </w:p>
        </w:tc>
        <w:tc>
          <w:tcPr>
            <w:tcW w:w="3151" w:type="dxa"/>
          </w:tcPr>
          <w:p w14:paraId="08E8BA8F"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For more information on the psychological care needs of those living with a brain tumour:</w:t>
            </w:r>
          </w:p>
          <w:p w14:paraId="6349B752" w14:textId="550AC51E" w:rsidR="00DC3C60" w:rsidRPr="00DC3C60" w:rsidRDefault="001517CD" w:rsidP="00DC3C60">
            <w:pPr>
              <w:numPr>
                <w:ilvl w:val="0"/>
                <w:numId w:val="16"/>
              </w:numPr>
              <w:spacing w:after="240" w:line="276" w:lineRule="auto"/>
              <w:rPr>
                <w:rFonts w:ascii="Arial" w:hAnsi="Arial" w:cs="Arial"/>
                <w:sz w:val="18"/>
                <w:szCs w:val="18"/>
                <w:lang w:eastAsia="en-GB"/>
              </w:rPr>
            </w:pPr>
            <w:hyperlink r:id="rId83" w:history="1">
              <w:r w:rsidR="00DC3C60" w:rsidRPr="00DC3C60">
                <w:rPr>
                  <w:rFonts w:ascii="Arial" w:hAnsi="Arial" w:cs="Arial"/>
                  <w:color w:val="0000FF"/>
                  <w:sz w:val="18"/>
                  <w:szCs w:val="18"/>
                  <w:u w:val="single"/>
                  <w:lang w:eastAsia="en-GB"/>
                </w:rPr>
                <w:t xml:space="preserve">Cancer service guideline [CSG10] </w:t>
              </w:r>
              <w:r w:rsidR="0048142E">
                <w:rPr>
                  <w:rFonts w:ascii="Arial" w:hAnsi="Arial" w:cs="Arial"/>
                  <w:color w:val="0000FF"/>
                  <w:sz w:val="18"/>
                  <w:szCs w:val="18"/>
                  <w:u w:val="single"/>
                  <w:lang w:eastAsia="en-GB"/>
                </w:rPr>
                <w:t>–</w:t>
              </w:r>
              <w:r w:rsidR="00DC3C60" w:rsidRPr="00DC3C60">
                <w:rPr>
                  <w:rFonts w:ascii="Arial" w:hAnsi="Arial" w:cs="Arial"/>
                  <w:color w:val="0000FF"/>
                  <w:sz w:val="18"/>
                  <w:szCs w:val="18"/>
                  <w:u w:val="single"/>
                  <w:lang w:eastAsia="en-GB"/>
                </w:rPr>
                <w:t xml:space="preserve"> Improving outcomes for people with brain and other central nervous system tumours</w:t>
              </w:r>
            </w:hyperlink>
          </w:p>
          <w:p w14:paraId="1E0AA78C" w14:textId="3B3BAD77" w:rsidR="00DC3C60" w:rsidRPr="00DC3C60" w:rsidRDefault="001517CD" w:rsidP="00DC3C60">
            <w:pPr>
              <w:numPr>
                <w:ilvl w:val="0"/>
                <w:numId w:val="16"/>
              </w:numPr>
              <w:spacing w:after="240" w:line="276" w:lineRule="auto"/>
              <w:rPr>
                <w:rFonts w:ascii="Arial" w:hAnsi="Arial" w:cs="Arial"/>
                <w:color w:val="0000FF"/>
                <w:sz w:val="18"/>
                <w:szCs w:val="18"/>
                <w:u w:val="single"/>
                <w:lang w:eastAsia="en-GB"/>
              </w:rPr>
            </w:pPr>
            <w:hyperlink r:id="rId84" w:anchor="care-needs-of-people-with-brain-tumours" w:history="1">
              <w:r w:rsidR="00DC3C60" w:rsidRPr="00DC3C60">
                <w:rPr>
                  <w:rFonts w:ascii="Arial" w:hAnsi="Arial" w:cs="Arial"/>
                  <w:color w:val="0000FF"/>
                  <w:sz w:val="18"/>
                  <w:szCs w:val="18"/>
                  <w:u w:val="single"/>
                  <w:lang w:eastAsia="en-GB"/>
                </w:rPr>
                <w:t xml:space="preserve">NG99 </w:t>
              </w:r>
              <w:r w:rsidR="0048142E">
                <w:rPr>
                  <w:rFonts w:ascii="Arial" w:hAnsi="Arial" w:cs="Arial"/>
                  <w:color w:val="0000FF"/>
                  <w:sz w:val="18"/>
                  <w:szCs w:val="18"/>
                  <w:u w:val="single"/>
                  <w:lang w:eastAsia="en-GB"/>
                </w:rPr>
                <w:t>–</w:t>
              </w:r>
              <w:r w:rsidR="00DC3C60" w:rsidRPr="00DC3C60">
                <w:rPr>
                  <w:rFonts w:ascii="Arial" w:hAnsi="Arial" w:cs="Arial"/>
                  <w:color w:val="0000FF"/>
                  <w:sz w:val="18"/>
                  <w:szCs w:val="18"/>
                  <w:u w:val="single"/>
                  <w:lang w:eastAsia="en-GB"/>
                </w:rPr>
                <w:t xml:space="preserve"> NICE guidelines on Brain Tumours (primary) and brain metastases in adults</w:t>
              </w:r>
            </w:hyperlink>
          </w:p>
          <w:p w14:paraId="19CA68C6" w14:textId="77777777" w:rsidR="00DC3C60" w:rsidRPr="00DC3C60" w:rsidRDefault="00DC3C60" w:rsidP="00DC3C60">
            <w:pPr>
              <w:spacing w:after="240" w:line="276" w:lineRule="auto"/>
              <w:ind w:left="360"/>
              <w:rPr>
                <w:rFonts w:ascii="Arial" w:hAnsi="Arial" w:cs="Arial"/>
                <w:sz w:val="18"/>
                <w:szCs w:val="18"/>
                <w:lang w:eastAsia="en-GB"/>
              </w:rPr>
            </w:pPr>
            <w:r w:rsidRPr="00DC3C60">
              <w:rPr>
                <w:rFonts w:ascii="Arial" w:hAnsi="Arial" w:cs="Arial"/>
                <w:sz w:val="18"/>
                <w:szCs w:val="18"/>
                <w:lang w:eastAsia="en-GB"/>
              </w:rPr>
              <w:t>For the importance on the signposting to information about support networks and support charities, please see:</w:t>
            </w:r>
          </w:p>
          <w:p w14:paraId="05222F47" w14:textId="77777777" w:rsidR="00DC3C60" w:rsidRPr="00DC3C60" w:rsidRDefault="001517CD" w:rsidP="00DC3C60">
            <w:pPr>
              <w:numPr>
                <w:ilvl w:val="0"/>
                <w:numId w:val="16"/>
              </w:numPr>
              <w:spacing w:after="240" w:line="276" w:lineRule="auto"/>
              <w:rPr>
                <w:rFonts w:ascii="Arial" w:hAnsi="Arial" w:cs="Arial"/>
                <w:sz w:val="18"/>
                <w:szCs w:val="18"/>
                <w:lang w:eastAsia="en-GB"/>
              </w:rPr>
            </w:pPr>
            <w:hyperlink r:id="rId85" w:history="1">
              <w:r w:rsidR="00DC3C60" w:rsidRPr="00DC3C60">
                <w:rPr>
                  <w:rFonts w:ascii="Arial" w:hAnsi="Arial" w:cs="Arial"/>
                  <w:color w:val="0000FF"/>
                  <w:sz w:val="18"/>
                  <w:szCs w:val="18"/>
                  <w:u w:val="single"/>
                  <w:lang w:eastAsia="en-GB"/>
                </w:rPr>
                <w:t>Tessa Jowell Centre of Excellence Designation of Standards</w:t>
              </w:r>
            </w:hyperlink>
          </w:p>
          <w:p w14:paraId="0B7C64E1"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The Brain Tumour Charity’s report ‘</w:t>
            </w:r>
            <w:hyperlink r:id="rId86" w:anchor=":~:text=Finding%20Myself%20in%20Your%20Hands%20is%20the%20most%20comprehensive%20study,grade%20and%20low%20grade%20tumours." w:history="1">
              <w:r w:rsidRPr="00DC3C60">
                <w:rPr>
                  <w:rFonts w:ascii="Arial" w:hAnsi="Arial" w:cs="Arial"/>
                  <w:color w:val="0000FF"/>
                  <w:sz w:val="18"/>
                  <w:szCs w:val="18"/>
                  <w:u w:val="single"/>
                  <w:lang w:eastAsia="en-GB"/>
                </w:rPr>
                <w:t xml:space="preserve"> Finding Myself in Your Hands’</w:t>
              </w:r>
            </w:hyperlink>
            <w:r w:rsidRPr="00DC3C60">
              <w:rPr>
                <w:rFonts w:ascii="Arial" w:hAnsi="Arial" w:cs="Arial"/>
                <w:sz w:val="18"/>
                <w:szCs w:val="18"/>
                <w:lang w:eastAsia="en-GB"/>
              </w:rPr>
              <w:t xml:space="preserve">. </w:t>
            </w:r>
          </w:p>
          <w:p w14:paraId="3E36B40D"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 </w:t>
            </w:r>
          </w:p>
        </w:tc>
      </w:tr>
      <w:tr w:rsidR="00DC3C60" w:rsidRPr="00DC3C60" w14:paraId="158C4177" w14:textId="77777777" w:rsidTr="003635EE">
        <w:trPr>
          <w:trHeight w:val="282"/>
        </w:trPr>
        <w:tc>
          <w:tcPr>
            <w:tcW w:w="15025" w:type="dxa"/>
            <w:gridSpan w:val="6"/>
          </w:tcPr>
          <w:p w14:paraId="2809A85A" w14:textId="24840614"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 xml:space="preserve">Neurorehabilitation </w:t>
            </w:r>
            <w:r w:rsidR="0048142E">
              <w:rPr>
                <w:rFonts w:ascii="Arial" w:hAnsi="Arial" w:cs="Arial"/>
                <w:b/>
                <w:bCs/>
                <w:sz w:val="18"/>
                <w:szCs w:val="18"/>
                <w:lang w:eastAsia="en-GB"/>
              </w:rPr>
              <w:t>–</w:t>
            </w:r>
            <w:r w:rsidRPr="00DC3C60">
              <w:rPr>
                <w:rFonts w:ascii="Arial" w:hAnsi="Arial" w:cs="Arial"/>
                <w:b/>
                <w:bCs/>
                <w:sz w:val="18"/>
                <w:szCs w:val="18"/>
                <w:lang w:eastAsia="en-GB"/>
              </w:rPr>
              <w:t xml:space="preserve"> Assessment</w:t>
            </w:r>
          </w:p>
        </w:tc>
      </w:tr>
      <w:tr w:rsidR="00DC3C60" w:rsidRPr="00DC3C60" w14:paraId="535798CB" w14:textId="77777777" w:rsidTr="003635EE">
        <w:trPr>
          <w:trHeight w:val="282"/>
        </w:trPr>
        <w:tc>
          <w:tcPr>
            <w:tcW w:w="675" w:type="dxa"/>
          </w:tcPr>
          <w:p w14:paraId="40B8319F" w14:textId="06240D19" w:rsidR="00DC3C60" w:rsidRPr="00DC3C60" w:rsidRDefault="00DC3C60" w:rsidP="00DC3C60">
            <w:pPr>
              <w:rPr>
                <w:rFonts w:ascii="Arial" w:hAnsi="Arial" w:cs="Arial"/>
                <w:sz w:val="18"/>
                <w:szCs w:val="18"/>
                <w:lang w:eastAsia="en-GB"/>
              </w:rPr>
            </w:pPr>
            <w:r>
              <w:rPr>
                <w:rFonts w:ascii="Arial" w:hAnsi="Arial" w:cs="Arial"/>
                <w:sz w:val="18"/>
                <w:szCs w:val="18"/>
                <w:lang w:eastAsia="en-GB"/>
              </w:rPr>
              <w:t>54</w:t>
            </w:r>
          </w:p>
        </w:tc>
        <w:tc>
          <w:tcPr>
            <w:tcW w:w="1701" w:type="dxa"/>
          </w:tcPr>
          <w:p w14:paraId="75546DD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SCM1</w:t>
            </w:r>
          </w:p>
        </w:tc>
        <w:tc>
          <w:tcPr>
            <w:tcW w:w="1701" w:type="dxa"/>
          </w:tcPr>
          <w:p w14:paraId="43078D9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3</w:t>
            </w:r>
          </w:p>
          <w:p w14:paraId="13D03061" w14:textId="77777777" w:rsidR="00DC3C60" w:rsidRPr="00DC3C60" w:rsidRDefault="00DC3C60" w:rsidP="00DC3C60">
            <w:pPr>
              <w:rPr>
                <w:rFonts w:ascii="Arial" w:hAnsi="Arial" w:cs="Arial"/>
                <w:sz w:val="18"/>
                <w:szCs w:val="18"/>
                <w:lang w:eastAsia="en-GB"/>
              </w:rPr>
            </w:pPr>
          </w:p>
          <w:p w14:paraId="34DCAE2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Assessment and referral to neuro-rehabilitation</w:t>
            </w:r>
          </w:p>
        </w:tc>
        <w:tc>
          <w:tcPr>
            <w:tcW w:w="4678" w:type="dxa"/>
          </w:tcPr>
          <w:p w14:paraId="111157B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Neurorehabilitation can improve function in those with brain tumours.</w:t>
            </w:r>
          </w:p>
          <w:p w14:paraId="615E1F7A" w14:textId="77777777" w:rsidR="00DC3C60" w:rsidRPr="00DC3C60" w:rsidRDefault="00DC3C60" w:rsidP="00DC3C60">
            <w:pPr>
              <w:rPr>
                <w:rFonts w:ascii="Arial" w:hAnsi="Arial" w:cs="Arial"/>
                <w:sz w:val="18"/>
                <w:szCs w:val="18"/>
                <w:lang w:eastAsia="en-GB"/>
              </w:rPr>
            </w:pPr>
          </w:p>
          <w:p w14:paraId="72EA870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rPr>
              <w:t>NICE guidance recommends that assessment for rehabilitation should be considered at every point, and information should be provided on how to get an assessment, what needs it can address and the neurological rehabilitation options available in the community.</w:t>
            </w:r>
          </w:p>
        </w:tc>
        <w:tc>
          <w:tcPr>
            <w:tcW w:w="3119" w:type="dxa"/>
          </w:tcPr>
          <w:p w14:paraId="2A4AED1D"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Access to, and assessment for, neurorehabilitation for people with brain tumours is limited and patchy across England. </w:t>
            </w:r>
          </w:p>
        </w:tc>
        <w:tc>
          <w:tcPr>
            <w:tcW w:w="3151" w:type="dxa"/>
          </w:tcPr>
          <w:p w14:paraId="177735C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Regarding issues with access see paper by McCartney et al </w:t>
            </w:r>
            <w:proofErr w:type="spellStart"/>
            <w:r w:rsidRPr="00DC3C60">
              <w:rPr>
                <w:rFonts w:ascii="Arial" w:hAnsi="Arial" w:cs="Arial"/>
                <w:sz w:val="18"/>
                <w:szCs w:val="18"/>
                <w:lang w:eastAsia="en-GB"/>
              </w:rPr>
              <w:t>Palliat</w:t>
            </w:r>
            <w:proofErr w:type="spellEnd"/>
            <w:r w:rsidRPr="00DC3C60">
              <w:rPr>
                <w:rFonts w:ascii="Arial" w:hAnsi="Arial" w:cs="Arial"/>
                <w:sz w:val="18"/>
                <w:szCs w:val="18"/>
                <w:lang w:eastAsia="en-GB"/>
              </w:rPr>
              <w:t xml:space="preserve"> Med 2011 Dec 25(8):788-96</w:t>
            </w:r>
          </w:p>
        </w:tc>
      </w:tr>
      <w:tr w:rsidR="00DC3C60" w:rsidRPr="00DC3C60" w14:paraId="067B7970" w14:textId="77777777" w:rsidTr="003635EE">
        <w:trPr>
          <w:trHeight w:val="282"/>
        </w:trPr>
        <w:tc>
          <w:tcPr>
            <w:tcW w:w="675" w:type="dxa"/>
          </w:tcPr>
          <w:p w14:paraId="628D7ABC" w14:textId="7BF86F15" w:rsidR="00DC3C60" w:rsidRPr="00DC3C60" w:rsidRDefault="00DC3C60" w:rsidP="00DC3C60">
            <w:pPr>
              <w:rPr>
                <w:rFonts w:ascii="Arial" w:hAnsi="Arial" w:cs="Arial"/>
                <w:sz w:val="18"/>
                <w:szCs w:val="18"/>
                <w:lang w:eastAsia="en-GB"/>
              </w:rPr>
            </w:pPr>
            <w:r>
              <w:rPr>
                <w:rFonts w:ascii="Arial" w:hAnsi="Arial" w:cs="Arial"/>
                <w:sz w:val="18"/>
                <w:szCs w:val="18"/>
                <w:lang w:eastAsia="en-GB"/>
              </w:rPr>
              <w:t>55</w:t>
            </w:r>
          </w:p>
        </w:tc>
        <w:tc>
          <w:tcPr>
            <w:tcW w:w="1701" w:type="dxa"/>
          </w:tcPr>
          <w:p w14:paraId="68AA7A1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SCM4 </w:t>
            </w:r>
          </w:p>
        </w:tc>
        <w:tc>
          <w:tcPr>
            <w:tcW w:w="1701" w:type="dxa"/>
          </w:tcPr>
          <w:p w14:paraId="6F1A2DCD"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Key area for quality improvement 1</w:t>
            </w:r>
          </w:p>
        </w:tc>
        <w:tc>
          <w:tcPr>
            <w:tcW w:w="4678" w:type="dxa"/>
          </w:tcPr>
          <w:p w14:paraId="5A5BF7D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It is suggest that specific and </w:t>
            </w:r>
            <w:r w:rsidRPr="00DC3C60">
              <w:rPr>
                <w:rFonts w:ascii="Arial" w:hAnsi="Arial" w:cs="Arial"/>
                <w:b/>
                <w:sz w:val="18"/>
                <w:szCs w:val="18"/>
                <w:lang w:eastAsia="en-GB"/>
              </w:rPr>
              <w:t>specialised neuro rehabilitation for brain tumour patients</w:t>
            </w:r>
            <w:r w:rsidRPr="00DC3C60">
              <w:rPr>
                <w:rFonts w:ascii="Arial" w:hAnsi="Arial" w:cs="Arial"/>
                <w:sz w:val="18"/>
                <w:szCs w:val="18"/>
                <w:lang w:eastAsia="en-GB"/>
              </w:rPr>
              <w:t xml:space="preserve"> is beneficial in allowing maximum improvements in cognition, mobility and neuroplasticity. </w:t>
            </w:r>
          </w:p>
          <w:p w14:paraId="153F384A" w14:textId="77777777" w:rsidR="00DC3C60" w:rsidRPr="00DC3C60" w:rsidRDefault="00DC3C60" w:rsidP="00DC3C60">
            <w:pPr>
              <w:rPr>
                <w:rFonts w:ascii="Arial" w:hAnsi="Arial" w:cs="Arial"/>
                <w:sz w:val="18"/>
                <w:szCs w:val="18"/>
                <w:lang w:eastAsia="en-GB"/>
              </w:rPr>
            </w:pPr>
          </w:p>
          <w:p w14:paraId="355F322B" w14:textId="77777777" w:rsidR="00DC3C60" w:rsidRPr="00DC3C60" w:rsidRDefault="00DC3C60" w:rsidP="00DC3C60">
            <w:pPr>
              <w:rPr>
                <w:rFonts w:ascii="Arial" w:hAnsi="Arial" w:cs="Arial"/>
                <w:sz w:val="18"/>
                <w:szCs w:val="18"/>
              </w:rPr>
            </w:pPr>
            <w:r w:rsidRPr="00DC3C60">
              <w:rPr>
                <w:rFonts w:ascii="Arial" w:hAnsi="Arial" w:cs="Arial"/>
                <w:sz w:val="18"/>
                <w:szCs w:val="18"/>
              </w:rPr>
              <w:t>NICE recommends assessment should be carried out at every stage of diagnosis and follow</w:t>
            </w:r>
            <w:r w:rsidRPr="00DC3C60">
              <w:rPr>
                <w:rFonts w:ascii="Cambria Math" w:hAnsi="Cambria Math" w:cs="Cambria Math"/>
                <w:sz w:val="18"/>
                <w:szCs w:val="18"/>
              </w:rPr>
              <w:t>‑</w:t>
            </w:r>
            <w:r w:rsidRPr="00DC3C60">
              <w:rPr>
                <w:rFonts w:ascii="Arial" w:hAnsi="Arial" w:cs="Arial"/>
                <w:sz w:val="18"/>
                <w:szCs w:val="18"/>
              </w:rPr>
              <w:t>up to identify which, if any, forms of rehabilitation are suitable for the person. The aim of the recommendations is to ensure that neurological rehabilitation is considered at every stage of treatment and follow</w:t>
            </w:r>
            <w:r w:rsidRPr="00DC3C60">
              <w:rPr>
                <w:rFonts w:ascii="Cambria Math" w:hAnsi="Cambria Math" w:cs="Cambria Math"/>
                <w:sz w:val="18"/>
                <w:szCs w:val="18"/>
              </w:rPr>
              <w:t>‑</w:t>
            </w:r>
            <w:r w:rsidRPr="00DC3C60">
              <w:rPr>
                <w:rFonts w:ascii="Arial" w:hAnsi="Arial" w:cs="Arial"/>
                <w:sz w:val="18"/>
                <w:szCs w:val="18"/>
              </w:rPr>
              <w:t>up.</w:t>
            </w:r>
          </w:p>
        </w:tc>
        <w:tc>
          <w:tcPr>
            <w:tcW w:w="3119" w:type="dxa"/>
          </w:tcPr>
          <w:p w14:paraId="201479C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There is currently variation in practice in assessing whether people with a brain tumour need neurological rehabilitation. Some of this reflects the availability of neurological rehabilitation services. The NICE guideline committee found no evidence to support the neuro-rehabilitation needs of the patient. Neurological rehabilitation is time consuming and patients may not live near a rehabilitation centre. Hence the need to work more closely with community and primary care providers is essential. </w:t>
            </w:r>
          </w:p>
        </w:tc>
        <w:tc>
          <w:tcPr>
            <w:tcW w:w="3151" w:type="dxa"/>
          </w:tcPr>
          <w:p w14:paraId="4C91BA0A" w14:textId="77777777" w:rsidR="00DC3C60" w:rsidRPr="00DC3C60" w:rsidRDefault="001517CD" w:rsidP="00DC3C60">
            <w:pPr>
              <w:rPr>
                <w:rFonts w:ascii="Arial" w:hAnsi="Arial" w:cs="Arial"/>
                <w:sz w:val="18"/>
                <w:szCs w:val="18"/>
                <w:lang w:eastAsia="en-GB"/>
              </w:rPr>
            </w:pPr>
            <w:hyperlink r:id="rId87" w:anchor="neurorehabilitation-needs-of-people-with-brain-tumours" w:history="1">
              <w:r w:rsidR="00DC3C60" w:rsidRPr="00DC3C60">
                <w:rPr>
                  <w:rFonts w:ascii="Arial" w:hAnsi="Arial" w:cs="Arial"/>
                  <w:color w:val="0000FF"/>
                  <w:sz w:val="18"/>
                  <w:szCs w:val="18"/>
                  <w:u w:val="single"/>
                  <w:lang w:eastAsia="en-GB"/>
                </w:rPr>
                <w:t>https://www.nice.org.uk/guidance/ng99/chapter/Recommendations#neurorehabilitation-needs-of-people-with-brain-tumours</w:t>
              </w:r>
            </w:hyperlink>
            <w:r w:rsidR="00DC3C60" w:rsidRPr="00DC3C60">
              <w:rPr>
                <w:rFonts w:ascii="Arial" w:hAnsi="Arial" w:cs="Arial"/>
                <w:sz w:val="18"/>
                <w:szCs w:val="18"/>
                <w:lang w:eastAsia="en-GB"/>
              </w:rPr>
              <w:t xml:space="preserve"> </w:t>
            </w:r>
          </w:p>
          <w:p w14:paraId="0D9AE22F" w14:textId="77777777" w:rsidR="00DC3C60" w:rsidRPr="00DC3C60" w:rsidRDefault="00DC3C60" w:rsidP="00DC3C60">
            <w:pPr>
              <w:rPr>
                <w:rFonts w:ascii="Arial" w:hAnsi="Arial" w:cs="Arial"/>
                <w:sz w:val="18"/>
                <w:szCs w:val="18"/>
                <w:lang w:eastAsia="en-GB"/>
              </w:rPr>
            </w:pPr>
          </w:p>
          <w:p w14:paraId="09E3E2AB" w14:textId="77777777" w:rsidR="00DC3C60" w:rsidRPr="00DC3C60" w:rsidRDefault="00DC3C60" w:rsidP="00DC3C60">
            <w:pPr>
              <w:rPr>
                <w:rFonts w:ascii="Arial" w:hAnsi="Arial" w:cs="Arial"/>
                <w:sz w:val="18"/>
                <w:szCs w:val="18"/>
              </w:rPr>
            </w:pPr>
            <w:r w:rsidRPr="00DC3C60">
              <w:rPr>
                <w:rFonts w:ascii="Arial" w:hAnsi="Arial" w:cs="Arial"/>
                <w:sz w:val="18"/>
                <w:szCs w:val="18"/>
              </w:rPr>
              <w:t>“</w:t>
            </w:r>
            <w:proofErr w:type="spellStart"/>
            <w:r w:rsidRPr="00DC3C60">
              <w:rPr>
                <w:rFonts w:ascii="Arial" w:hAnsi="Arial" w:cs="Arial"/>
                <w:sz w:val="18"/>
                <w:szCs w:val="18"/>
              </w:rPr>
              <w:t>Neurorahabilitation</w:t>
            </w:r>
            <w:proofErr w:type="spellEnd"/>
            <w:r w:rsidRPr="00DC3C60">
              <w:rPr>
                <w:rFonts w:ascii="Arial" w:hAnsi="Arial" w:cs="Arial"/>
                <w:sz w:val="18"/>
                <w:szCs w:val="18"/>
              </w:rPr>
              <w:t xml:space="preserve"> in Neuro-Oncology” Eds M </w:t>
            </w:r>
            <w:proofErr w:type="spellStart"/>
            <w:r w:rsidRPr="00DC3C60">
              <w:rPr>
                <w:rFonts w:ascii="Arial" w:hAnsi="Arial" w:cs="Arial"/>
                <w:sz w:val="18"/>
                <w:szCs w:val="18"/>
              </w:rPr>
              <w:t>Bartolo</w:t>
            </w:r>
            <w:proofErr w:type="spellEnd"/>
            <w:r w:rsidRPr="00DC3C60">
              <w:rPr>
                <w:rFonts w:ascii="Arial" w:hAnsi="Arial" w:cs="Arial"/>
                <w:sz w:val="18"/>
                <w:szCs w:val="18"/>
              </w:rPr>
              <w:t xml:space="preserve">; R </w:t>
            </w:r>
            <w:proofErr w:type="spellStart"/>
            <w:r w:rsidRPr="00DC3C60">
              <w:rPr>
                <w:rFonts w:ascii="Arial" w:hAnsi="Arial" w:cs="Arial"/>
                <w:sz w:val="18"/>
                <w:szCs w:val="18"/>
              </w:rPr>
              <w:t>Soffietti</w:t>
            </w:r>
            <w:proofErr w:type="spellEnd"/>
            <w:r w:rsidRPr="00DC3C60">
              <w:rPr>
                <w:rFonts w:ascii="Arial" w:hAnsi="Arial" w:cs="Arial"/>
                <w:sz w:val="18"/>
                <w:szCs w:val="18"/>
              </w:rPr>
              <w:t xml:space="preserve">, M Klein (Springer 2019) </w:t>
            </w:r>
          </w:p>
        </w:tc>
      </w:tr>
      <w:tr w:rsidR="00DC3C60" w:rsidRPr="00DC3C60" w14:paraId="5E43E9BA" w14:textId="77777777" w:rsidTr="003635EE">
        <w:trPr>
          <w:trHeight w:val="282"/>
        </w:trPr>
        <w:tc>
          <w:tcPr>
            <w:tcW w:w="15025" w:type="dxa"/>
            <w:gridSpan w:val="6"/>
          </w:tcPr>
          <w:p w14:paraId="49EE83D2"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Neurorehabilitation- Access to services</w:t>
            </w:r>
          </w:p>
        </w:tc>
      </w:tr>
      <w:tr w:rsidR="00DC3C60" w:rsidRPr="00DC3C60" w14:paraId="73B8D61C" w14:textId="77777777" w:rsidTr="003635EE">
        <w:trPr>
          <w:trHeight w:val="282"/>
        </w:trPr>
        <w:tc>
          <w:tcPr>
            <w:tcW w:w="675" w:type="dxa"/>
          </w:tcPr>
          <w:p w14:paraId="6E6A679F" w14:textId="229CE3C3" w:rsidR="00DC3C60" w:rsidRPr="00DC3C60" w:rsidRDefault="00DC3C60" w:rsidP="00DC3C60">
            <w:pPr>
              <w:rPr>
                <w:rFonts w:ascii="Arial" w:hAnsi="Arial" w:cs="Arial"/>
                <w:sz w:val="18"/>
                <w:szCs w:val="18"/>
                <w:lang w:eastAsia="en-GB"/>
              </w:rPr>
            </w:pPr>
            <w:r>
              <w:rPr>
                <w:rFonts w:ascii="Arial" w:hAnsi="Arial" w:cs="Arial"/>
                <w:sz w:val="18"/>
                <w:szCs w:val="18"/>
                <w:lang w:eastAsia="en-GB"/>
              </w:rPr>
              <w:t>56</w:t>
            </w:r>
          </w:p>
        </w:tc>
        <w:tc>
          <w:tcPr>
            <w:tcW w:w="1701" w:type="dxa"/>
          </w:tcPr>
          <w:p w14:paraId="031643E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Braintrust </w:t>
            </w:r>
          </w:p>
        </w:tc>
        <w:tc>
          <w:tcPr>
            <w:tcW w:w="1701" w:type="dxa"/>
          </w:tcPr>
          <w:p w14:paraId="083812F2" w14:textId="77777777" w:rsidR="00DC3C60" w:rsidRPr="00DC3C60" w:rsidRDefault="00DC3C60" w:rsidP="00DC3C60">
            <w:pPr>
              <w:rPr>
                <w:rFonts w:ascii="Arial" w:hAnsi="Arial" w:cs="Arial"/>
                <w:sz w:val="18"/>
                <w:szCs w:val="18"/>
                <w:lang w:eastAsia="en-GB"/>
              </w:rPr>
            </w:pPr>
          </w:p>
        </w:tc>
        <w:tc>
          <w:tcPr>
            <w:tcW w:w="4678" w:type="dxa"/>
          </w:tcPr>
          <w:p w14:paraId="6A3B8476" w14:textId="77777777" w:rsidR="00DC3C60" w:rsidRPr="00DC3C60" w:rsidRDefault="00DC3C60" w:rsidP="00DC3C60">
            <w:pPr>
              <w:rPr>
                <w:rFonts w:ascii="Arial" w:hAnsi="Arial" w:cs="Arial"/>
                <w:sz w:val="18"/>
                <w:szCs w:val="18"/>
              </w:rPr>
            </w:pPr>
            <w:r w:rsidRPr="00DC3C60">
              <w:rPr>
                <w:rFonts w:ascii="Arial" w:hAnsi="Arial" w:cs="Arial"/>
                <w:sz w:val="18"/>
                <w:szCs w:val="18"/>
              </w:rPr>
              <w:t>Access to neurorehabilitation and neuropsychological services locally so that what is in the care plan (see 2) can be delivered.</w:t>
            </w:r>
          </w:p>
        </w:tc>
        <w:tc>
          <w:tcPr>
            <w:tcW w:w="3119" w:type="dxa"/>
          </w:tcPr>
          <w:p w14:paraId="08559CB2" w14:textId="77777777" w:rsidR="00DC3C60" w:rsidRPr="00DC3C60" w:rsidRDefault="00DC3C60" w:rsidP="00DC3C60">
            <w:pPr>
              <w:rPr>
                <w:rFonts w:ascii="Arial" w:hAnsi="Arial" w:cs="Arial"/>
                <w:sz w:val="18"/>
                <w:szCs w:val="18"/>
                <w:lang w:eastAsia="en-GB"/>
              </w:rPr>
            </w:pPr>
          </w:p>
        </w:tc>
        <w:tc>
          <w:tcPr>
            <w:tcW w:w="3151" w:type="dxa"/>
          </w:tcPr>
          <w:p w14:paraId="57690A31" w14:textId="77777777" w:rsidR="00DC3C60" w:rsidRPr="00DC3C60" w:rsidRDefault="00DC3C60" w:rsidP="00DC3C60">
            <w:pPr>
              <w:rPr>
                <w:rFonts w:ascii="Arial" w:hAnsi="Arial" w:cs="Arial"/>
                <w:sz w:val="18"/>
                <w:szCs w:val="18"/>
                <w:lang w:eastAsia="en-GB"/>
              </w:rPr>
            </w:pPr>
          </w:p>
        </w:tc>
      </w:tr>
      <w:tr w:rsidR="00DC3C60" w:rsidRPr="00DC3C60" w14:paraId="0485A1BD" w14:textId="77777777" w:rsidTr="003635EE">
        <w:trPr>
          <w:trHeight w:val="282"/>
        </w:trPr>
        <w:tc>
          <w:tcPr>
            <w:tcW w:w="675" w:type="dxa"/>
          </w:tcPr>
          <w:p w14:paraId="14FAE7FC" w14:textId="420480A3" w:rsidR="00DC3C60" w:rsidRPr="00DC3C60" w:rsidRDefault="00DC3C60" w:rsidP="00DC3C60">
            <w:pPr>
              <w:rPr>
                <w:rFonts w:ascii="Arial" w:hAnsi="Arial" w:cs="Arial"/>
                <w:sz w:val="18"/>
                <w:szCs w:val="18"/>
                <w:lang w:eastAsia="en-GB"/>
              </w:rPr>
            </w:pPr>
            <w:r>
              <w:rPr>
                <w:rFonts w:ascii="Arial" w:hAnsi="Arial" w:cs="Arial"/>
                <w:sz w:val="18"/>
                <w:szCs w:val="18"/>
                <w:lang w:eastAsia="en-GB"/>
              </w:rPr>
              <w:t>57</w:t>
            </w:r>
          </w:p>
        </w:tc>
        <w:tc>
          <w:tcPr>
            <w:tcW w:w="1701" w:type="dxa"/>
          </w:tcPr>
          <w:p w14:paraId="78A2731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0B26B45E" w14:textId="77777777" w:rsidR="00DC3C60" w:rsidRPr="00DC3C60" w:rsidRDefault="00DC3C60" w:rsidP="00DC3C60">
            <w:pPr>
              <w:rPr>
                <w:rFonts w:ascii="Arial" w:hAnsi="Arial" w:cs="Arial"/>
                <w:color w:val="000000"/>
                <w:sz w:val="18"/>
                <w:szCs w:val="18"/>
              </w:rPr>
            </w:pPr>
            <w:r w:rsidRPr="00DC3C60">
              <w:rPr>
                <w:rFonts w:ascii="Arial" w:hAnsi="Arial" w:cs="Arial"/>
                <w:color w:val="000000"/>
                <w:sz w:val="18"/>
                <w:szCs w:val="18"/>
              </w:rPr>
              <w:t>Key area for quality improvement 5</w:t>
            </w:r>
          </w:p>
          <w:p w14:paraId="66E240CE" w14:textId="77777777" w:rsidR="00DC3C60" w:rsidRPr="00DC3C60" w:rsidRDefault="00DC3C60" w:rsidP="00DC3C60">
            <w:pPr>
              <w:rPr>
                <w:rFonts w:ascii="Arial" w:hAnsi="Arial" w:cs="Arial"/>
                <w:b/>
                <w:sz w:val="18"/>
                <w:szCs w:val="18"/>
              </w:rPr>
            </w:pPr>
            <w:r w:rsidRPr="00DC3C60">
              <w:rPr>
                <w:rFonts w:ascii="Arial" w:hAnsi="Arial" w:cs="Arial"/>
                <w:b/>
                <w:bCs/>
                <w:color w:val="000000"/>
                <w:sz w:val="18"/>
                <w:szCs w:val="18"/>
              </w:rPr>
              <w:t>(Spec Comm)</w:t>
            </w:r>
            <w:r w:rsidRPr="00DC3C60">
              <w:rPr>
                <w:rFonts w:ascii="Arial" w:hAnsi="Arial" w:cs="Arial"/>
                <w:color w:val="000000"/>
                <w:sz w:val="18"/>
                <w:szCs w:val="18"/>
              </w:rPr>
              <w:t xml:space="preserve"> Access to rehabilitation services including on community rehabilitation</w:t>
            </w:r>
          </w:p>
        </w:tc>
        <w:tc>
          <w:tcPr>
            <w:tcW w:w="4678" w:type="dxa"/>
          </w:tcPr>
          <w:p w14:paraId="10DD03B1"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Rehabilitation for long-term survivors including young adults who were treated as children will improve quality of life</w:t>
            </w:r>
          </w:p>
          <w:p w14:paraId="09E36383" w14:textId="77777777" w:rsidR="00DC3C60" w:rsidRPr="00DC3C60" w:rsidRDefault="00DC3C60" w:rsidP="00DC3C60">
            <w:pPr>
              <w:rPr>
                <w:rFonts w:ascii="Arial" w:hAnsi="Arial" w:cs="Arial"/>
                <w:sz w:val="18"/>
                <w:szCs w:val="18"/>
              </w:rPr>
            </w:pPr>
            <w:r w:rsidRPr="00DC3C60">
              <w:rPr>
                <w:rFonts w:ascii="Arial" w:hAnsi="Arial" w:cs="Arial"/>
                <w:sz w:val="18"/>
                <w:szCs w:val="18"/>
              </w:rPr>
              <w:t>Community-based services will reduce pressure on hospital resources and avoid unnecessary hospital admissions and delays in discharge</w:t>
            </w:r>
          </w:p>
        </w:tc>
        <w:tc>
          <w:tcPr>
            <w:tcW w:w="3119" w:type="dxa"/>
          </w:tcPr>
          <w:p w14:paraId="736D53A1" w14:textId="77777777" w:rsidR="00DC3C60" w:rsidRPr="00DC3C60" w:rsidRDefault="00DC3C60" w:rsidP="00DC3C60">
            <w:pPr>
              <w:rPr>
                <w:rFonts w:ascii="Arial" w:hAnsi="Arial" w:cs="Arial"/>
                <w:sz w:val="18"/>
                <w:szCs w:val="18"/>
                <w:lang w:eastAsia="en-GB"/>
              </w:rPr>
            </w:pPr>
          </w:p>
        </w:tc>
        <w:tc>
          <w:tcPr>
            <w:tcW w:w="3151" w:type="dxa"/>
          </w:tcPr>
          <w:p w14:paraId="442E4CC9"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NICE NG99 2018 Section 1.10 Neurorehabilitation needs of people with brain tumours</w:t>
            </w:r>
          </w:p>
          <w:p w14:paraId="3F449A41" w14:textId="77777777" w:rsidR="00DC3C60" w:rsidRPr="00DC3C60" w:rsidRDefault="00DC3C60" w:rsidP="00DC3C60">
            <w:pPr>
              <w:spacing w:after="240" w:line="276" w:lineRule="auto"/>
              <w:rPr>
                <w:rFonts w:ascii="Arial" w:hAnsi="Arial" w:cs="Arial"/>
                <w:sz w:val="18"/>
                <w:szCs w:val="18"/>
                <w:lang w:eastAsia="en-GB"/>
              </w:rPr>
            </w:pPr>
          </w:p>
          <w:p w14:paraId="45DE8448" w14:textId="77777777" w:rsidR="00DC3C60" w:rsidRPr="00DC3C60" w:rsidRDefault="00DC3C60" w:rsidP="00DC3C60">
            <w:pPr>
              <w:rPr>
                <w:rFonts w:ascii="Arial" w:hAnsi="Arial" w:cs="Arial"/>
                <w:sz w:val="18"/>
                <w:szCs w:val="18"/>
              </w:rPr>
            </w:pPr>
            <w:r w:rsidRPr="00DC3C60">
              <w:rPr>
                <w:rFonts w:ascii="Arial" w:hAnsi="Arial" w:cs="Arial"/>
                <w:sz w:val="18"/>
                <w:szCs w:val="18"/>
              </w:rPr>
              <w:t>NHSE national service transformation work 2018-present</w:t>
            </w:r>
          </w:p>
        </w:tc>
      </w:tr>
      <w:tr w:rsidR="00DC3C60" w:rsidRPr="00DC3C60" w14:paraId="30046AD2" w14:textId="77777777" w:rsidTr="003635EE">
        <w:trPr>
          <w:trHeight w:val="282"/>
        </w:trPr>
        <w:tc>
          <w:tcPr>
            <w:tcW w:w="675" w:type="dxa"/>
          </w:tcPr>
          <w:p w14:paraId="159A9280" w14:textId="6C9C5C98" w:rsidR="00DC3C60" w:rsidRPr="00DC3C60" w:rsidRDefault="00DC3C60" w:rsidP="00DC3C60">
            <w:pPr>
              <w:rPr>
                <w:rFonts w:ascii="Arial" w:hAnsi="Arial" w:cs="Arial"/>
                <w:sz w:val="18"/>
                <w:szCs w:val="18"/>
                <w:lang w:eastAsia="en-GB"/>
              </w:rPr>
            </w:pPr>
            <w:r>
              <w:rPr>
                <w:rFonts w:ascii="Arial" w:hAnsi="Arial" w:cs="Arial"/>
                <w:sz w:val="18"/>
                <w:szCs w:val="18"/>
                <w:lang w:eastAsia="en-GB"/>
              </w:rPr>
              <w:t>58</w:t>
            </w:r>
          </w:p>
        </w:tc>
        <w:tc>
          <w:tcPr>
            <w:tcW w:w="1701" w:type="dxa"/>
          </w:tcPr>
          <w:p w14:paraId="65F2ECD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Society of British Neurological Surgeons</w:t>
            </w:r>
          </w:p>
        </w:tc>
        <w:tc>
          <w:tcPr>
            <w:tcW w:w="1701" w:type="dxa"/>
          </w:tcPr>
          <w:p w14:paraId="337625F1" w14:textId="77777777" w:rsidR="00DC3C60" w:rsidRPr="00DC3C60" w:rsidRDefault="00DC3C60" w:rsidP="00DC3C60">
            <w:pPr>
              <w:spacing w:after="120" w:line="276" w:lineRule="auto"/>
              <w:rPr>
                <w:rFonts w:ascii="Arial" w:hAnsi="Arial"/>
                <w:sz w:val="18"/>
                <w:szCs w:val="18"/>
                <w:lang w:eastAsia="en-GB"/>
              </w:rPr>
            </w:pPr>
            <w:r w:rsidRPr="00DC3C60">
              <w:rPr>
                <w:rFonts w:ascii="Arial" w:hAnsi="Arial"/>
                <w:sz w:val="18"/>
                <w:szCs w:val="18"/>
                <w:lang w:eastAsia="en-GB"/>
              </w:rPr>
              <w:t>Key area for quality improvement 1</w:t>
            </w:r>
          </w:p>
          <w:p w14:paraId="569A5CDA" w14:textId="77777777" w:rsidR="00DC3C60" w:rsidRPr="00DC3C60" w:rsidRDefault="00DC3C60" w:rsidP="00DC3C60">
            <w:pPr>
              <w:rPr>
                <w:rFonts w:ascii="Arial" w:hAnsi="Arial" w:cs="Arial"/>
                <w:sz w:val="18"/>
                <w:szCs w:val="18"/>
                <w:lang w:eastAsia="en-GB"/>
              </w:rPr>
            </w:pPr>
            <w:r w:rsidRPr="00DC3C60">
              <w:rPr>
                <w:rFonts w:ascii="Arial" w:hAnsi="Arial"/>
                <w:sz w:val="18"/>
                <w:szCs w:val="18"/>
                <w:lang w:eastAsia="en-GB"/>
              </w:rPr>
              <w:t xml:space="preserve">Rehabilitation for brain cancer patients. </w:t>
            </w:r>
          </w:p>
        </w:tc>
        <w:tc>
          <w:tcPr>
            <w:tcW w:w="4678" w:type="dxa"/>
          </w:tcPr>
          <w:p w14:paraId="7AE8E9EA" w14:textId="77777777" w:rsidR="00DC3C60" w:rsidRPr="00DC3C60" w:rsidRDefault="00DC3C60" w:rsidP="00DC3C60">
            <w:pPr>
              <w:rPr>
                <w:rFonts w:ascii="Arial" w:hAnsi="Arial" w:cs="Arial"/>
                <w:sz w:val="18"/>
                <w:szCs w:val="18"/>
              </w:rPr>
            </w:pPr>
            <w:r w:rsidRPr="00DC3C60">
              <w:rPr>
                <w:rFonts w:ascii="Arial" w:hAnsi="Arial" w:cs="Arial Unicode MS"/>
                <w:color w:val="000000"/>
                <w:sz w:val="18"/>
                <w:szCs w:val="18"/>
                <w:u w:color="000000"/>
              </w:rPr>
              <w:t xml:space="preserve">Availability of rehabilitation (with dedicated occupational therapy and physiotherapy input) and </w:t>
            </w:r>
            <w:proofErr w:type="spellStart"/>
            <w:r w:rsidRPr="00DC3C60">
              <w:rPr>
                <w:rFonts w:ascii="Arial" w:hAnsi="Arial" w:cs="Arial Unicode MS"/>
                <w:color w:val="000000"/>
                <w:sz w:val="18"/>
                <w:szCs w:val="18"/>
                <w:u w:color="000000"/>
              </w:rPr>
              <w:t>post surgery</w:t>
            </w:r>
            <w:proofErr w:type="spellEnd"/>
            <w:r w:rsidRPr="00DC3C60">
              <w:rPr>
                <w:rFonts w:ascii="Arial" w:hAnsi="Arial" w:cs="Arial Unicode MS"/>
                <w:color w:val="000000"/>
                <w:sz w:val="18"/>
                <w:szCs w:val="18"/>
                <w:u w:color="000000"/>
              </w:rPr>
              <w:t xml:space="preserve"> for brain cancer patients.</w:t>
            </w:r>
          </w:p>
        </w:tc>
        <w:tc>
          <w:tcPr>
            <w:tcW w:w="3119" w:type="dxa"/>
          </w:tcPr>
          <w:p w14:paraId="5462A43A" w14:textId="77777777" w:rsidR="00DC3C60" w:rsidRPr="00DC3C60" w:rsidRDefault="00DC3C60" w:rsidP="00DC3C60">
            <w:pPr>
              <w:rPr>
                <w:rFonts w:ascii="Arial" w:hAnsi="Arial" w:cs="Arial"/>
                <w:sz w:val="18"/>
                <w:szCs w:val="18"/>
                <w:lang w:eastAsia="en-GB"/>
              </w:rPr>
            </w:pPr>
            <w:r w:rsidRPr="00DC3C60">
              <w:rPr>
                <w:rFonts w:ascii="Arial" w:hAnsi="Arial" w:cs="Arial Unicode MS"/>
                <w:color w:val="000000"/>
                <w:sz w:val="18"/>
                <w:szCs w:val="18"/>
                <w:u w:color="000000"/>
                <w:lang w:eastAsia="en-GB"/>
              </w:rPr>
              <w:t xml:space="preserve">There is evidence that dedicated and exclusive Rehabilitation pre and </w:t>
            </w:r>
            <w:proofErr w:type="spellStart"/>
            <w:r w:rsidRPr="00DC3C60">
              <w:rPr>
                <w:rFonts w:ascii="Arial" w:hAnsi="Arial" w:cs="Arial Unicode MS"/>
                <w:color w:val="000000"/>
                <w:sz w:val="18"/>
                <w:szCs w:val="18"/>
                <w:u w:color="000000"/>
                <w:lang w:eastAsia="en-GB"/>
              </w:rPr>
              <w:t>post surgical</w:t>
            </w:r>
            <w:proofErr w:type="spellEnd"/>
            <w:r w:rsidRPr="00DC3C60">
              <w:rPr>
                <w:rFonts w:ascii="Arial" w:hAnsi="Arial" w:cs="Arial Unicode MS"/>
                <w:color w:val="000000"/>
                <w:sz w:val="18"/>
                <w:szCs w:val="18"/>
                <w:u w:color="000000"/>
                <w:lang w:eastAsia="en-GB"/>
              </w:rPr>
              <w:t xml:space="preserve"> resection,  can result in improved outcomes for patients.</w:t>
            </w:r>
          </w:p>
        </w:tc>
        <w:tc>
          <w:tcPr>
            <w:tcW w:w="3151" w:type="dxa"/>
          </w:tcPr>
          <w:p w14:paraId="67432666" w14:textId="77777777" w:rsidR="00DC3C60" w:rsidRPr="00DC3C60" w:rsidRDefault="001517CD" w:rsidP="00DC3C60">
            <w:pPr>
              <w:numPr>
                <w:ilvl w:val="0"/>
                <w:numId w:val="11"/>
              </w:numPr>
              <w:pBdr>
                <w:top w:val="nil"/>
                <w:left w:val="nil"/>
                <w:bottom w:val="nil"/>
                <w:right w:val="nil"/>
                <w:between w:val="nil"/>
                <w:bar w:val="nil"/>
              </w:pBdr>
              <w:spacing w:line="360" w:lineRule="auto"/>
              <w:rPr>
                <w:rFonts w:ascii="Arial" w:eastAsia="Arial" w:hAnsi="Arial" w:cs="Arial"/>
                <w:color w:val="000000"/>
                <w:sz w:val="18"/>
                <w:szCs w:val="18"/>
                <w:u w:color="000000"/>
                <w:lang w:val="en-US" w:eastAsia="en-GB"/>
              </w:rPr>
            </w:pPr>
            <w:hyperlink r:id="rId88" w:history="1">
              <w:r w:rsidR="00DC3C60" w:rsidRPr="00DC3C60">
                <w:rPr>
                  <w:rFonts w:ascii="Arial" w:hAnsi="Arial" w:cs="Arial"/>
                  <w:color w:val="0000FF"/>
                  <w:sz w:val="18"/>
                  <w:szCs w:val="18"/>
                  <w:u w:val="single" w:color="0000FF"/>
                  <w:lang w:val="en-US" w:eastAsia="en-GB"/>
                </w:rPr>
                <w:t xml:space="preserve">Brain </w:t>
              </w:r>
              <w:proofErr w:type="spellStart"/>
              <w:r w:rsidR="00DC3C60" w:rsidRPr="00DC3C60">
                <w:rPr>
                  <w:rFonts w:ascii="Arial" w:hAnsi="Arial" w:cs="Arial"/>
                  <w:color w:val="0000FF"/>
                  <w:sz w:val="18"/>
                  <w:szCs w:val="18"/>
                  <w:u w:val="single" w:color="0000FF"/>
                  <w:lang w:val="en-US" w:eastAsia="en-GB"/>
                </w:rPr>
                <w:t>tumours</w:t>
              </w:r>
              <w:proofErr w:type="spellEnd"/>
              <w:r w:rsidR="00DC3C60" w:rsidRPr="00DC3C60">
                <w:rPr>
                  <w:rFonts w:ascii="Arial" w:hAnsi="Arial" w:cs="Arial"/>
                  <w:color w:val="0000FF"/>
                  <w:sz w:val="18"/>
                  <w:szCs w:val="18"/>
                  <w:u w:val="single" w:color="0000FF"/>
                  <w:lang w:val="en-US" w:eastAsia="en-GB"/>
                </w:rPr>
                <w:t xml:space="preserve"> (primary) and brain metastases in adults</w:t>
              </w:r>
            </w:hyperlink>
            <w:r w:rsidR="00DC3C60" w:rsidRPr="00DC3C60">
              <w:rPr>
                <w:rFonts w:ascii="Arial" w:hAnsi="Arial" w:cs="Arial"/>
                <w:color w:val="000000"/>
                <w:sz w:val="18"/>
                <w:szCs w:val="18"/>
                <w:u w:color="000000"/>
                <w:lang w:val="en-US" w:eastAsia="en-GB"/>
              </w:rPr>
              <w:t xml:space="preserve"> (2018) NICE guideline NG99</w:t>
            </w:r>
          </w:p>
          <w:p w14:paraId="16251563" w14:textId="77777777" w:rsidR="00DC3C60" w:rsidRPr="00DC3C60" w:rsidRDefault="00DC3C60" w:rsidP="00DC3C60">
            <w:pPr>
              <w:numPr>
                <w:ilvl w:val="0"/>
                <w:numId w:val="11"/>
              </w:numPr>
              <w:pBdr>
                <w:top w:val="nil"/>
                <w:left w:val="nil"/>
                <w:bottom w:val="nil"/>
                <w:right w:val="nil"/>
                <w:between w:val="nil"/>
                <w:bar w:val="nil"/>
              </w:pBdr>
              <w:spacing w:line="360" w:lineRule="auto"/>
              <w:rPr>
                <w:rFonts w:ascii="Arial" w:hAnsi="Arial" w:cs="Arial"/>
                <w:color w:val="000000"/>
                <w:sz w:val="18"/>
                <w:szCs w:val="18"/>
                <w:u w:color="000000"/>
                <w:lang w:val="en-US" w:eastAsia="en-GB"/>
              </w:rPr>
            </w:pPr>
            <w:r w:rsidRPr="00DC3C60">
              <w:rPr>
                <w:rFonts w:ascii="Arial" w:hAnsi="Arial" w:cs="Arial"/>
                <w:color w:val="000000"/>
                <w:sz w:val="18"/>
                <w:szCs w:val="18"/>
                <w:u w:color="000000"/>
                <w:lang w:val="en-US" w:eastAsia="en-GB"/>
              </w:rPr>
              <w:t>Oxford University Hospitals MacMillan funded Pilot study for dedicated and exclusive physiotherapy and occupational therapy input for Brain cancer patients 2019.</w:t>
            </w:r>
          </w:p>
          <w:p w14:paraId="27B233E2" w14:textId="77777777" w:rsidR="00DC3C60" w:rsidRPr="00DC3C60" w:rsidRDefault="00DC3C60" w:rsidP="00DC3C60">
            <w:pPr>
              <w:numPr>
                <w:ilvl w:val="0"/>
                <w:numId w:val="11"/>
              </w:numPr>
              <w:pBdr>
                <w:top w:val="nil"/>
                <w:left w:val="nil"/>
                <w:bottom w:val="nil"/>
                <w:right w:val="nil"/>
                <w:between w:val="nil"/>
                <w:bar w:val="nil"/>
              </w:pBdr>
              <w:spacing w:line="360" w:lineRule="auto"/>
              <w:rPr>
                <w:rFonts w:ascii="Arial" w:hAnsi="Arial" w:cs="Arial"/>
                <w:color w:val="000000"/>
                <w:sz w:val="18"/>
                <w:szCs w:val="18"/>
                <w:u w:color="000000"/>
                <w:lang w:val="en-US" w:eastAsia="en-GB"/>
              </w:rPr>
            </w:pPr>
            <w:r w:rsidRPr="00DC3C60">
              <w:rPr>
                <w:rFonts w:ascii="Arial" w:hAnsi="Arial" w:cs="Arial"/>
                <w:color w:val="000000"/>
                <w:sz w:val="18"/>
                <w:szCs w:val="18"/>
                <w:u w:color="000000"/>
                <w:lang w:val="en-US" w:eastAsia="en-GB"/>
              </w:rPr>
              <w:t xml:space="preserve">Cancer </w:t>
            </w:r>
            <w:proofErr w:type="spellStart"/>
            <w:r w:rsidRPr="00DC3C60">
              <w:rPr>
                <w:rFonts w:ascii="Arial" w:hAnsi="Arial" w:cs="Arial"/>
                <w:color w:val="000000"/>
                <w:sz w:val="18"/>
                <w:szCs w:val="18"/>
                <w:u w:color="000000"/>
                <w:lang w:val="en-US" w:eastAsia="en-GB"/>
              </w:rPr>
              <w:t>Prehabilitation</w:t>
            </w:r>
            <w:proofErr w:type="spellEnd"/>
            <w:r w:rsidRPr="00DC3C60">
              <w:rPr>
                <w:rFonts w:ascii="Arial" w:hAnsi="Arial" w:cs="Arial"/>
                <w:color w:val="000000"/>
                <w:sz w:val="18"/>
                <w:szCs w:val="18"/>
                <w:u w:color="000000"/>
                <w:lang w:val="en-US" w:eastAsia="en-GB"/>
              </w:rPr>
              <w:t xml:space="preserve"> An Opportunity to Decrease Treatment-Related Morbidity, Increase Cancer Treatment Options, and Improve Physical and Psychological Health Outcome. Am J Phys Med </w:t>
            </w:r>
            <w:proofErr w:type="spellStart"/>
            <w:r w:rsidRPr="00DC3C60">
              <w:rPr>
                <w:rFonts w:ascii="Arial" w:hAnsi="Arial" w:cs="Arial"/>
                <w:color w:val="000000"/>
                <w:sz w:val="18"/>
                <w:szCs w:val="18"/>
                <w:u w:color="000000"/>
                <w:lang w:val="en-US" w:eastAsia="en-GB"/>
              </w:rPr>
              <w:t>Rehabil</w:t>
            </w:r>
            <w:proofErr w:type="spellEnd"/>
            <w:r w:rsidRPr="00DC3C60">
              <w:rPr>
                <w:rFonts w:ascii="Arial" w:hAnsi="Arial" w:cs="Arial"/>
                <w:color w:val="000000"/>
                <w:sz w:val="18"/>
                <w:szCs w:val="18"/>
                <w:u w:color="000000"/>
                <w:lang w:val="en-US" w:eastAsia="en-GB"/>
              </w:rPr>
              <w:t xml:space="preserve"> 2013;92:715Y727. </w:t>
            </w:r>
          </w:p>
          <w:p w14:paraId="7A7D326D" w14:textId="651D0B23" w:rsidR="00DC3C60" w:rsidRPr="00DC3C60" w:rsidRDefault="001517CD" w:rsidP="00DC3C60">
            <w:pPr>
              <w:rPr>
                <w:rFonts w:ascii="Arial" w:hAnsi="Arial" w:cs="Arial"/>
                <w:sz w:val="18"/>
                <w:szCs w:val="18"/>
              </w:rPr>
            </w:pPr>
            <w:hyperlink r:id="rId89" w:history="1">
              <w:r w:rsidR="00DC3C60" w:rsidRPr="00DC3C60">
                <w:rPr>
                  <w:rFonts w:ascii="Arial" w:hAnsi="Arial"/>
                  <w:sz w:val="18"/>
                  <w:szCs w:val="18"/>
                  <w:u w:color="000000"/>
                  <w:lang w:val="en-US"/>
                </w:rPr>
                <w:t xml:space="preserve">The Role and Scope of </w:t>
              </w:r>
              <w:proofErr w:type="spellStart"/>
              <w:r w:rsidR="00DC3C60" w:rsidRPr="00DC3C60">
                <w:rPr>
                  <w:rFonts w:ascii="Arial" w:hAnsi="Arial"/>
                  <w:sz w:val="18"/>
                  <w:szCs w:val="18"/>
                  <w:u w:color="000000"/>
                  <w:lang w:val="en-US"/>
                </w:rPr>
                <w:t>Prehabilitation</w:t>
              </w:r>
              <w:proofErr w:type="spellEnd"/>
              <w:r w:rsidR="00DC3C60" w:rsidRPr="00DC3C60">
                <w:rPr>
                  <w:rFonts w:ascii="Arial" w:hAnsi="Arial"/>
                  <w:sz w:val="18"/>
                  <w:szCs w:val="18"/>
                  <w:u w:color="000000"/>
                  <w:lang w:val="en-US"/>
                </w:rPr>
                <w:t xml:space="preserve"> in Cancer Care.</w:t>
              </w:r>
            </w:hyperlink>
            <w:r w:rsidR="00DC3C60" w:rsidRPr="00DC3C60">
              <w:rPr>
                <w:rFonts w:ascii="Arial" w:hAnsi="Arial"/>
                <w:sz w:val="18"/>
                <w:szCs w:val="18"/>
                <w:u w:color="000000"/>
                <w:lang w:val="en-US"/>
              </w:rPr>
              <w:t xml:space="preserve"> Semin Oncol </w:t>
            </w:r>
            <w:proofErr w:type="spellStart"/>
            <w:r w:rsidR="00DC3C60" w:rsidRPr="00DC3C60">
              <w:rPr>
                <w:rFonts w:ascii="Arial" w:hAnsi="Arial"/>
                <w:sz w:val="18"/>
                <w:szCs w:val="18"/>
                <w:u w:color="000000"/>
                <w:lang w:val="en-US"/>
              </w:rPr>
              <w:t>Nurs</w:t>
            </w:r>
            <w:proofErr w:type="spellEnd"/>
            <w:r w:rsidR="00DC3C60" w:rsidRPr="00DC3C60">
              <w:rPr>
                <w:rFonts w:ascii="Arial" w:hAnsi="Arial"/>
                <w:sz w:val="18"/>
                <w:szCs w:val="18"/>
                <w:u w:color="000000"/>
                <w:lang w:val="en-US"/>
              </w:rPr>
              <w:t xml:space="preserve">. 2020 Feb;36(1):150976. </w:t>
            </w:r>
            <w:r w:rsidR="0048142E" w:rsidRPr="00DC3C60">
              <w:rPr>
                <w:rFonts w:ascii="Arial" w:hAnsi="Arial"/>
                <w:sz w:val="18"/>
                <w:szCs w:val="18"/>
                <w:u w:color="000000"/>
                <w:lang w:val="en-US"/>
              </w:rPr>
              <w:t>D</w:t>
            </w:r>
            <w:r w:rsidR="00DC3C60" w:rsidRPr="00DC3C60">
              <w:rPr>
                <w:rFonts w:ascii="Arial" w:hAnsi="Arial"/>
                <w:sz w:val="18"/>
                <w:szCs w:val="18"/>
                <w:u w:color="000000"/>
                <w:lang w:val="en-US"/>
              </w:rPr>
              <w:t xml:space="preserve">oi: 10.1016/j.soncn.2019.150976. </w:t>
            </w:r>
            <w:proofErr w:type="spellStart"/>
            <w:r w:rsidR="00DC3C60" w:rsidRPr="00DC3C60">
              <w:rPr>
                <w:rFonts w:ascii="Arial" w:hAnsi="Arial"/>
                <w:sz w:val="18"/>
                <w:szCs w:val="18"/>
                <w:u w:color="000000"/>
                <w:lang w:val="en-US"/>
              </w:rPr>
              <w:t>Epub</w:t>
            </w:r>
            <w:proofErr w:type="spellEnd"/>
            <w:r w:rsidR="00DC3C60" w:rsidRPr="00DC3C60">
              <w:rPr>
                <w:rFonts w:ascii="Arial" w:hAnsi="Arial"/>
                <w:sz w:val="18"/>
                <w:szCs w:val="18"/>
                <w:u w:color="000000"/>
                <w:lang w:val="en-US"/>
              </w:rPr>
              <w:t xml:space="preserve"> 2020 Jan 25. Review</w:t>
            </w:r>
          </w:p>
        </w:tc>
      </w:tr>
      <w:tr w:rsidR="00DC3C60" w:rsidRPr="00DC3C60" w14:paraId="19A94C52" w14:textId="77777777" w:rsidTr="003635EE">
        <w:trPr>
          <w:trHeight w:val="282"/>
        </w:trPr>
        <w:tc>
          <w:tcPr>
            <w:tcW w:w="15025" w:type="dxa"/>
            <w:gridSpan w:val="6"/>
          </w:tcPr>
          <w:p w14:paraId="3482D16F"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 xml:space="preserve">Surveillance for late-onset side effects of treatment </w:t>
            </w:r>
          </w:p>
        </w:tc>
      </w:tr>
      <w:tr w:rsidR="00DC3C60" w:rsidRPr="00DC3C60" w14:paraId="2AA70AAE" w14:textId="77777777" w:rsidTr="003635EE">
        <w:trPr>
          <w:trHeight w:val="282"/>
        </w:trPr>
        <w:tc>
          <w:tcPr>
            <w:tcW w:w="675" w:type="dxa"/>
          </w:tcPr>
          <w:p w14:paraId="0EE193B9" w14:textId="2777222A" w:rsidR="00DC3C60" w:rsidRPr="00DC3C60" w:rsidRDefault="00DC3C60" w:rsidP="00DC3C60">
            <w:pPr>
              <w:rPr>
                <w:rFonts w:ascii="Arial" w:hAnsi="Arial" w:cs="Arial"/>
                <w:sz w:val="18"/>
                <w:szCs w:val="18"/>
                <w:lang w:eastAsia="en-GB"/>
              </w:rPr>
            </w:pPr>
            <w:r>
              <w:rPr>
                <w:rFonts w:ascii="Arial" w:hAnsi="Arial" w:cs="Arial"/>
                <w:sz w:val="18"/>
                <w:szCs w:val="18"/>
                <w:lang w:eastAsia="en-GB"/>
              </w:rPr>
              <w:t>59</w:t>
            </w:r>
          </w:p>
        </w:tc>
        <w:tc>
          <w:tcPr>
            <w:tcW w:w="1701" w:type="dxa"/>
          </w:tcPr>
          <w:p w14:paraId="7EECE0F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SCM1</w:t>
            </w:r>
          </w:p>
        </w:tc>
        <w:tc>
          <w:tcPr>
            <w:tcW w:w="1701" w:type="dxa"/>
          </w:tcPr>
          <w:p w14:paraId="607E7B5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4</w:t>
            </w:r>
          </w:p>
          <w:p w14:paraId="6F4F2AFF" w14:textId="77777777" w:rsidR="00DC3C60" w:rsidRPr="00DC3C60" w:rsidRDefault="00DC3C60" w:rsidP="00DC3C60">
            <w:pPr>
              <w:rPr>
                <w:rFonts w:ascii="Arial" w:hAnsi="Arial" w:cs="Arial"/>
                <w:sz w:val="18"/>
                <w:szCs w:val="18"/>
                <w:lang w:eastAsia="en-GB"/>
              </w:rPr>
            </w:pPr>
          </w:p>
          <w:p w14:paraId="4B3169C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Management of late effects of treatment in people with brain tumours</w:t>
            </w:r>
          </w:p>
          <w:p w14:paraId="41B3DBEC" w14:textId="77777777" w:rsidR="00DC3C60" w:rsidRPr="00DC3C60" w:rsidRDefault="00DC3C60" w:rsidP="00DC3C60">
            <w:pPr>
              <w:rPr>
                <w:rFonts w:ascii="Arial" w:hAnsi="Arial" w:cs="Arial"/>
                <w:sz w:val="18"/>
                <w:szCs w:val="18"/>
                <w:lang w:eastAsia="en-GB"/>
              </w:rPr>
            </w:pPr>
          </w:p>
        </w:tc>
        <w:tc>
          <w:tcPr>
            <w:tcW w:w="4678" w:type="dxa"/>
          </w:tcPr>
          <w:p w14:paraId="2C08C46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Treatment of a brain tumour can result in significant late effects that can manifest years after treatment.</w:t>
            </w:r>
          </w:p>
          <w:p w14:paraId="67636AD3" w14:textId="77777777" w:rsidR="00DC3C60" w:rsidRPr="00DC3C60" w:rsidRDefault="00DC3C60" w:rsidP="00DC3C60">
            <w:pPr>
              <w:rPr>
                <w:rFonts w:ascii="Arial" w:hAnsi="Arial" w:cs="Arial"/>
                <w:sz w:val="18"/>
                <w:szCs w:val="18"/>
                <w:lang w:eastAsia="en-GB"/>
              </w:rPr>
            </w:pPr>
          </w:p>
          <w:p w14:paraId="6C05FE76"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NICE guidance recommends assessing the individual person’s risk of late effects, recording this in a summary and explaining this to the person, and then managing those risks appropriately.  </w:t>
            </w:r>
          </w:p>
        </w:tc>
        <w:tc>
          <w:tcPr>
            <w:tcW w:w="3119" w:type="dxa"/>
          </w:tcPr>
          <w:p w14:paraId="3CFFDE9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The generation of individualised summaries that are explained to the person is variable and the active management of these risks (stroke, hypopituitarism, visual and hearing loss, neurocognitive effects) is low.  Prospective holistic management of these effects will improve the quality of care provided to people with brain tumours. </w:t>
            </w:r>
          </w:p>
        </w:tc>
        <w:tc>
          <w:tcPr>
            <w:tcW w:w="3151" w:type="dxa"/>
          </w:tcPr>
          <w:p w14:paraId="3F0B2C1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Stroke risk: Circulation 2017 135 1194-1210</w:t>
            </w:r>
          </w:p>
        </w:tc>
      </w:tr>
      <w:tr w:rsidR="00DC3C60" w:rsidRPr="00DC3C60" w14:paraId="05943E86" w14:textId="77777777" w:rsidTr="003635EE">
        <w:trPr>
          <w:trHeight w:val="282"/>
        </w:trPr>
        <w:tc>
          <w:tcPr>
            <w:tcW w:w="675" w:type="dxa"/>
          </w:tcPr>
          <w:p w14:paraId="65518203" w14:textId="50D5B797" w:rsidR="00DC3C60" w:rsidRPr="00DC3C60" w:rsidRDefault="00DC3C60" w:rsidP="00DC3C60">
            <w:pPr>
              <w:rPr>
                <w:rFonts w:ascii="Arial" w:hAnsi="Arial" w:cs="Arial"/>
                <w:sz w:val="18"/>
                <w:szCs w:val="18"/>
                <w:lang w:eastAsia="en-GB"/>
              </w:rPr>
            </w:pPr>
            <w:r>
              <w:rPr>
                <w:rFonts w:ascii="Arial" w:hAnsi="Arial" w:cs="Arial"/>
                <w:sz w:val="18"/>
                <w:szCs w:val="18"/>
                <w:lang w:eastAsia="en-GB"/>
              </w:rPr>
              <w:t>60</w:t>
            </w:r>
          </w:p>
        </w:tc>
        <w:tc>
          <w:tcPr>
            <w:tcW w:w="1701" w:type="dxa"/>
          </w:tcPr>
          <w:p w14:paraId="02F58DE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21517E1C" w14:textId="77777777" w:rsidR="00DC3C60" w:rsidRPr="00DC3C60" w:rsidRDefault="00DC3C60" w:rsidP="00DC3C60">
            <w:pPr>
              <w:rPr>
                <w:rFonts w:ascii="Arial" w:hAnsi="Arial" w:cs="Arial"/>
                <w:color w:val="000000"/>
                <w:sz w:val="18"/>
                <w:szCs w:val="18"/>
              </w:rPr>
            </w:pPr>
            <w:r w:rsidRPr="00DC3C60">
              <w:rPr>
                <w:rFonts w:ascii="Arial" w:hAnsi="Arial" w:cs="Arial"/>
                <w:b/>
                <w:bCs/>
                <w:color w:val="000000"/>
                <w:sz w:val="18"/>
                <w:szCs w:val="18"/>
              </w:rPr>
              <w:t>(Spec Comm)</w:t>
            </w:r>
            <w:r w:rsidRPr="00DC3C60">
              <w:rPr>
                <w:rFonts w:ascii="Arial" w:hAnsi="Arial" w:cs="Arial"/>
                <w:color w:val="000000"/>
                <w:sz w:val="18"/>
                <w:szCs w:val="18"/>
              </w:rPr>
              <w:t xml:space="preserve"> 2 Late effects clinics: to help patients cope with the endocrine, neurological, and psychological sequelae with emphasis on management through OPD &amp; community</w:t>
            </w:r>
          </w:p>
          <w:p w14:paraId="4E5FAB93" w14:textId="77777777" w:rsidR="00DC3C60" w:rsidRPr="00DC3C60" w:rsidRDefault="00DC3C60" w:rsidP="00DC3C60">
            <w:pPr>
              <w:rPr>
                <w:rFonts w:ascii="Arial" w:hAnsi="Arial" w:cs="Arial"/>
                <w:b/>
                <w:sz w:val="18"/>
                <w:szCs w:val="18"/>
                <w:lang w:eastAsia="en-GB"/>
              </w:rPr>
            </w:pPr>
          </w:p>
        </w:tc>
        <w:tc>
          <w:tcPr>
            <w:tcW w:w="4678" w:type="dxa"/>
          </w:tcPr>
          <w:p w14:paraId="4746081C" w14:textId="77777777" w:rsidR="00DC3C60" w:rsidRPr="00DC3C60" w:rsidRDefault="00DC3C60" w:rsidP="00DC3C60">
            <w:pPr>
              <w:spacing w:before="100" w:beforeAutospacing="1" w:after="100" w:afterAutospacing="1"/>
              <w:rPr>
                <w:rFonts w:ascii="Arial" w:hAnsi="Arial" w:cs="Arial"/>
                <w:sz w:val="18"/>
                <w:szCs w:val="18"/>
              </w:rPr>
            </w:pPr>
            <w:r w:rsidRPr="00DC3C60">
              <w:rPr>
                <w:rFonts w:ascii="Arial" w:hAnsi="Arial" w:cs="Arial"/>
                <w:color w:val="262626"/>
                <w:sz w:val="18"/>
                <w:szCs w:val="18"/>
              </w:rPr>
              <w:t xml:space="preserve">People with brain tumours can develop side effects of treatment months or years after treatment, which can include: Cataracts, cavernoma, cognitive decline, epilepsy, hearing loss, hypopituitarism, infertility, neuropathy (for example, nerve damage causing visual loss, numbness, pain or weakness), </w:t>
            </w:r>
            <w:proofErr w:type="spellStart"/>
            <w:r w:rsidRPr="00DC3C60">
              <w:rPr>
                <w:rFonts w:ascii="Arial" w:hAnsi="Arial" w:cs="Arial"/>
                <w:color w:val="262626"/>
                <w:sz w:val="18"/>
                <w:szCs w:val="18"/>
              </w:rPr>
              <w:t>radionecrosis</w:t>
            </w:r>
            <w:proofErr w:type="spellEnd"/>
            <w:r w:rsidRPr="00DC3C60">
              <w:rPr>
                <w:rFonts w:ascii="Arial" w:hAnsi="Arial" w:cs="Arial"/>
                <w:color w:val="262626"/>
                <w:sz w:val="18"/>
                <w:szCs w:val="18"/>
              </w:rPr>
              <w:t xml:space="preserve">, secondary tumours, SMART (stroke-like migraine attacks after radiotherapy), stroke. </w:t>
            </w:r>
          </w:p>
          <w:p w14:paraId="64B1EE9D" w14:textId="77777777" w:rsidR="00DC3C60" w:rsidRPr="00DC3C60" w:rsidRDefault="00DC3C60" w:rsidP="00DC3C60">
            <w:pPr>
              <w:rPr>
                <w:rFonts w:ascii="Arial" w:hAnsi="Arial" w:cs="Arial"/>
                <w:sz w:val="18"/>
                <w:szCs w:val="18"/>
              </w:rPr>
            </w:pPr>
          </w:p>
        </w:tc>
        <w:tc>
          <w:tcPr>
            <w:tcW w:w="3119" w:type="dxa"/>
          </w:tcPr>
          <w:p w14:paraId="191BF213" w14:textId="77777777" w:rsidR="00DC3C60" w:rsidRPr="00DC3C60" w:rsidRDefault="00DC3C60" w:rsidP="00DC3C60">
            <w:pPr>
              <w:rPr>
                <w:rFonts w:ascii="Arial" w:hAnsi="Arial" w:cs="Arial"/>
                <w:sz w:val="18"/>
                <w:szCs w:val="18"/>
                <w:lang w:eastAsia="en-GB"/>
              </w:rPr>
            </w:pPr>
          </w:p>
        </w:tc>
        <w:tc>
          <w:tcPr>
            <w:tcW w:w="3151" w:type="dxa"/>
          </w:tcPr>
          <w:p w14:paraId="6022921A"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NICE guidance 2018 Section 1.11 Surveillance for the late-onset side effects of treatment</w:t>
            </w:r>
          </w:p>
          <w:p w14:paraId="294BC910"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NHS Integrated Care Systems (ICS) guidelines: </w:t>
            </w:r>
            <w:hyperlink r:id="rId90" w:history="1">
              <w:r w:rsidRPr="00DC3C60">
                <w:rPr>
                  <w:rFonts w:ascii="Arial" w:hAnsi="Arial" w:cs="Arial"/>
                  <w:color w:val="0000FF"/>
                  <w:sz w:val="18"/>
                  <w:szCs w:val="18"/>
                  <w:u w:val="single"/>
                  <w:lang w:eastAsia="en-GB"/>
                </w:rPr>
                <w:t>https://www.england.nhs.uk/integratedcare/what-is-integrated-care/</w:t>
              </w:r>
            </w:hyperlink>
            <w:r w:rsidRPr="00DC3C60">
              <w:rPr>
                <w:rFonts w:ascii="Arial" w:hAnsi="Arial" w:cs="Arial"/>
                <w:sz w:val="18"/>
                <w:szCs w:val="18"/>
                <w:lang w:eastAsia="en-GB"/>
              </w:rPr>
              <w:t xml:space="preserve"> </w:t>
            </w:r>
          </w:p>
          <w:p w14:paraId="5B6D2794" w14:textId="77777777" w:rsidR="00DC3C60" w:rsidRPr="00DC3C60" w:rsidRDefault="00DC3C60" w:rsidP="00DC3C60">
            <w:pPr>
              <w:rPr>
                <w:rFonts w:ascii="Arial" w:hAnsi="Arial" w:cs="Arial"/>
                <w:sz w:val="18"/>
                <w:szCs w:val="18"/>
              </w:rPr>
            </w:pPr>
          </w:p>
        </w:tc>
      </w:tr>
      <w:tr w:rsidR="00DC3C60" w:rsidRPr="00DC3C60" w14:paraId="49F28FE5" w14:textId="77777777" w:rsidTr="003635EE">
        <w:trPr>
          <w:trHeight w:val="282"/>
        </w:trPr>
        <w:tc>
          <w:tcPr>
            <w:tcW w:w="675" w:type="dxa"/>
          </w:tcPr>
          <w:p w14:paraId="232F416B" w14:textId="5673EA0F" w:rsidR="00DC3C60" w:rsidRPr="00DC3C60" w:rsidRDefault="00DC3C60" w:rsidP="00DC3C60">
            <w:pPr>
              <w:rPr>
                <w:rFonts w:ascii="Arial" w:hAnsi="Arial" w:cs="Arial"/>
                <w:sz w:val="18"/>
                <w:szCs w:val="18"/>
                <w:lang w:eastAsia="en-GB"/>
              </w:rPr>
            </w:pPr>
            <w:r>
              <w:rPr>
                <w:rFonts w:ascii="Arial" w:hAnsi="Arial" w:cs="Arial"/>
                <w:sz w:val="18"/>
                <w:szCs w:val="18"/>
                <w:lang w:eastAsia="en-GB"/>
              </w:rPr>
              <w:t>61</w:t>
            </w:r>
          </w:p>
        </w:tc>
        <w:tc>
          <w:tcPr>
            <w:tcW w:w="1701" w:type="dxa"/>
          </w:tcPr>
          <w:p w14:paraId="66ED7C3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SCM2</w:t>
            </w:r>
          </w:p>
        </w:tc>
        <w:tc>
          <w:tcPr>
            <w:tcW w:w="1701" w:type="dxa"/>
          </w:tcPr>
          <w:p w14:paraId="3FC220D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Living with a brain tumour:</w:t>
            </w:r>
          </w:p>
        </w:tc>
        <w:tc>
          <w:tcPr>
            <w:tcW w:w="4678" w:type="dxa"/>
          </w:tcPr>
          <w:p w14:paraId="1573BFEA" w14:textId="77777777" w:rsidR="00DC3C60" w:rsidRPr="00DC3C60" w:rsidRDefault="00DC3C60" w:rsidP="00DC3C60">
            <w:pPr>
              <w:rPr>
                <w:rFonts w:ascii="Arial" w:hAnsi="Arial" w:cs="Arial"/>
                <w:sz w:val="18"/>
                <w:szCs w:val="18"/>
              </w:rPr>
            </w:pPr>
            <w:r w:rsidRPr="00DC3C60">
              <w:rPr>
                <w:rFonts w:ascii="Arial" w:hAnsi="Arial" w:cs="Arial"/>
                <w:sz w:val="18"/>
                <w:szCs w:val="18"/>
              </w:rPr>
              <w:t>Low grade gliomas can mean the patient can look forward to a survival that surpasses expectations.  In this time deterioration will continue there is no cure.  In addition, new impairments and disabilities will be collected.  Support and assessment is required to manage this. For example Late effects of radiotherapy clinics are helpful in picking up long term effects of the radiotherapy such as cognition, sight, weaknesses. From this referrals can be made.  I guess this is palliation but professionals such as GPs  need help in understanding this, rather than the common myth that ‘all’ brain tumours mean a quick demise.</w:t>
            </w:r>
          </w:p>
        </w:tc>
        <w:tc>
          <w:tcPr>
            <w:tcW w:w="3119" w:type="dxa"/>
          </w:tcPr>
          <w:p w14:paraId="149630A1" w14:textId="77777777" w:rsidR="00DC3C60" w:rsidRPr="00DC3C60" w:rsidRDefault="00DC3C60" w:rsidP="00DC3C60">
            <w:pPr>
              <w:rPr>
                <w:rFonts w:ascii="Arial" w:hAnsi="Arial" w:cs="Arial"/>
                <w:sz w:val="18"/>
                <w:szCs w:val="18"/>
                <w:lang w:eastAsia="en-GB"/>
              </w:rPr>
            </w:pPr>
          </w:p>
        </w:tc>
        <w:tc>
          <w:tcPr>
            <w:tcW w:w="3151" w:type="dxa"/>
          </w:tcPr>
          <w:p w14:paraId="60D441F0" w14:textId="77777777" w:rsidR="00DC3C60" w:rsidRPr="00DC3C60" w:rsidRDefault="00DC3C60" w:rsidP="00DC3C60">
            <w:pPr>
              <w:rPr>
                <w:rFonts w:ascii="Arial" w:hAnsi="Arial" w:cs="Arial"/>
                <w:sz w:val="18"/>
                <w:szCs w:val="18"/>
                <w:lang w:eastAsia="en-GB"/>
              </w:rPr>
            </w:pPr>
          </w:p>
        </w:tc>
      </w:tr>
      <w:tr w:rsidR="00DC3C60" w:rsidRPr="00DC3C60" w14:paraId="6B958597" w14:textId="77777777" w:rsidTr="003635EE">
        <w:trPr>
          <w:trHeight w:val="282"/>
        </w:trPr>
        <w:tc>
          <w:tcPr>
            <w:tcW w:w="675" w:type="dxa"/>
          </w:tcPr>
          <w:p w14:paraId="798719C2" w14:textId="5E5AEB0C" w:rsidR="00DC3C60" w:rsidRPr="00DC3C60" w:rsidRDefault="00DC3C60" w:rsidP="00DC3C60">
            <w:pPr>
              <w:rPr>
                <w:rFonts w:ascii="Arial" w:hAnsi="Arial" w:cs="Arial"/>
                <w:sz w:val="18"/>
                <w:szCs w:val="18"/>
                <w:lang w:eastAsia="en-GB"/>
              </w:rPr>
            </w:pPr>
            <w:r>
              <w:rPr>
                <w:rFonts w:ascii="Arial" w:hAnsi="Arial" w:cs="Arial"/>
                <w:sz w:val="18"/>
                <w:szCs w:val="18"/>
                <w:lang w:eastAsia="en-GB"/>
              </w:rPr>
              <w:t>62</w:t>
            </w:r>
          </w:p>
        </w:tc>
        <w:tc>
          <w:tcPr>
            <w:tcW w:w="1701" w:type="dxa"/>
          </w:tcPr>
          <w:p w14:paraId="4EF411F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SCM5</w:t>
            </w:r>
          </w:p>
        </w:tc>
        <w:tc>
          <w:tcPr>
            <w:tcW w:w="1701" w:type="dxa"/>
          </w:tcPr>
          <w:p w14:paraId="0461757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Neurological surveillance of those with/ at risk of tumour related epilepsy </w:t>
            </w:r>
          </w:p>
        </w:tc>
        <w:tc>
          <w:tcPr>
            <w:tcW w:w="4678" w:type="dxa"/>
          </w:tcPr>
          <w:p w14:paraId="29E41612" w14:textId="77777777" w:rsidR="00DC3C60" w:rsidRPr="00DC3C60" w:rsidRDefault="00DC3C60" w:rsidP="00DC3C60">
            <w:pPr>
              <w:rPr>
                <w:rFonts w:ascii="Arial" w:hAnsi="Arial" w:cs="Arial"/>
                <w:sz w:val="18"/>
                <w:szCs w:val="18"/>
              </w:rPr>
            </w:pPr>
            <w:r w:rsidRPr="00DC3C60">
              <w:rPr>
                <w:rFonts w:ascii="Arial" w:hAnsi="Arial" w:cs="Arial"/>
                <w:sz w:val="18"/>
                <w:szCs w:val="18"/>
              </w:rPr>
              <w:t>Tumour related epilepsy is recognised within NG99 as an area which impacts on patients’ well-being and can develop as a late effect following treatment.</w:t>
            </w:r>
          </w:p>
        </w:tc>
        <w:tc>
          <w:tcPr>
            <w:tcW w:w="3119" w:type="dxa"/>
          </w:tcPr>
          <w:p w14:paraId="2E2F811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Regional networks differ widely in their access to neurological input and thus scope for seizure surveillance. </w:t>
            </w:r>
          </w:p>
        </w:tc>
        <w:tc>
          <w:tcPr>
            <w:tcW w:w="3151" w:type="dxa"/>
          </w:tcPr>
          <w:p w14:paraId="6F780CF2"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NG CG137- the epilepsies- recognises the importance of early specialist at diagnosis/ following a first seizure and ongoing access to the epilepsy specialist team. </w:t>
            </w:r>
          </w:p>
        </w:tc>
      </w:tr>
      <w:tr w:rsidR="00DC3C60" w:rsidRPr="00DC3C60" w14:paraId="2E6D7627" w14:textId="77777777" w:rsidTr="003635EE">
        <w:trPr>
          <w:trHeight w:val="282"/>
        </w:trPr>
        <w:tc>
          <w:tcPr>
            <w:tcW w:w="675" w:type="dxa"/>
          </w:tcPr>
          <w:p w14:paraId="6232DE6D" w14:textId="27BA272F" w:rsidR="00DC3C60" w:rsidRPr="00DC3C60" w:rsidRDefault="00DC3C60" w:rsidP="00DC3C60">
            <w:pPr>
              <w:rPr>
                <w:rFonts w:ascii="Arial" w:hAnsi="Arial" w:cs="Arial"/>
                <w:sz w:val="18"/>
                <w:szCs w:val="18"/>
                <w:lang w:eastAsia="en-GB"/>
              </w:rPr>
            </w:pPr>
            <w:r>
              <w:rPr>
                <w:rFonts w:ascii="Arial" w:hAnsi="Arial" w:cs="Arial"/>
                <w:sz w:val="18"/>
                <w:szCs w:val="18"/>
                <w:lang w:eastAsia="en-GB"/>
              </w:rPr>
              <w:t>63</w:t>
            </w:r>
          </w:p>
        </w:tc>
        <w:tc>
          <w:tcPr>
            <w:tcW w:w="1701" w:type="dxa"/>
          </w:tcPr>
          <w:p w14:paraId="548BDD1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SCM5</w:t>
            </w:r>
          </w:p>
        </w:tc>
        <w:tc>
          <w:tcPr>
            <w:tcW w:w="1701" w:type="dxa"/>
          </w:tcPr>
          <w:p w14:paraId="14AD2E2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Access to neuropsychology for those with/ at risk of psychological symptoms during their disease course</w:t>
            </w:r>
          </w:p>
        </w:tc>
        <w:tc>
          <w:tcPr>
            <w:tcW w:w="4678" w:type="dxa"/>
          </w:tcPr>
          <w:p w14:paraId="52D102A8" w14:textId="77777777" w:rsidR="00DC3C60" w:rsidRPr="00DC3C60" w:rsidRDefault="00DC3C60" w:rsidP="00DC3C60">
            <w:pPr>
              <w:rPr>
                <w:rFonts w:ascii="Arial" w:hAnsi="Arial" w:cs="Arial"/>
                <w:sz w:val="18"/>
                <w:szCs w:val="18"/>
              </w:rPr>
            </w:pPr>
            <w:r w:rsidRPr="00DC3C60">
              <w:rPr>
                <w:rFonts w:ascii="Arial" w:hAnsi="Arial" w:cs="Arial"/>
                <w:sz w:val="18"/>
                <w:szCs w:val="18"/>
              </w:rPr>
              <w:t>Changes in cognition and psychological symptoms are recognised within NG99 as potential late effects requiring neurorehabilitation.</w:t>
            </w:r>
          </w:p>
        </w:tc>
        <w:tc>
          <w:tcPr>
            <w:tcW w:w="3119" w:type="dxa"/>
          </w:tcPr>
          <w:p w14:paraId="375FDB7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Regional services are not required to provide dedicated neuropsychology input within the neuro-oncology MDT. Access to neuropsychology differs within areas.</w:t>
            </w:r>
          </w:p>
        </w:tc>
        <w:tc>
          <w:tcPr>
            <w:tcW w:w="3151" w:type="dxa"/>
          </w:tcPr>
          <w:p w14:paraId="73736EC5" w14:textId="77777777" w:rsidR="00DC3C60" w:rsidRPr="00DC3C60" w:rsidRDefault="00DC3C60" w:rsidP="00DC3C60">
            <w:pPr>
              <w:rPr>
                <w:rFonts w:ascii="Arial" w:hAnsi="Arial" w:cs="Arial"/>
                <w:sz w:val="18"/>
                <w:szCs w:val="18"/>
              </w:rPr>
            </w:pPr>
            <w:r w:rsidRPr="00DC3C60">
              <w:rPr>
                <w:rFonts w:ascii="Arial" w:hAnsi="Arial" w:cs="Arial"/>
                <w:sz w:val="18"/>
                <w:szCs w:val="18"/>
              </w:rPr>
              <w:t>NG CG137- the epilepsies – organisation of tertiary epilepsy services states that the management of complex epilepsies should involve an MDT approach including psychology input.</w:t>
            </w:r>
          </w:p>
        </w:tc>
      </w:tr>
      <w:tr w:rsidR="00DC3C60" w:rsidRPr="00DC3C60" w14:paraId="008525C1" w14:textId="77777777" w:rsidTr="003635EE">
        <w:trPr>
          <w:trHeight w:val="282"/>
        </w:trPr>
        <w:tc>
          <w:tcPr>
            <w:tcW w:w="15025" w:type="dxa"/>
            <w:gridSpan w:val="6"/>
          </w:tcPr>
          <w:p w14:paraId="385A6FF0"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Additional areas- participation in clinical trials/research</w:t>
            </w:r>
          </w:p>
        </w:tc>
      </w:tr>
      <w:tr w:rsidR="00DC3C60" w:rsidRPr="00DC3C60" w14:paraId="1A466FA9" w14:textId="77777777" w:rsidTr="003635EE">
        <w:trPr>
          <w:trHeight w:val="282"/>
        </w:trPr>
        <w:tc>
          <w:tcPr>
            <w:tcW w:w="675" w:type="dxa"/>
          </w:tcPr>
          <w:p w14:paraId="0F060F3E" w14:textId="3AE007DE" w:rsidR="00DC3C60" w:rsidRPr="00DC3C60" w:rsidRDefault="00DC3C60" w:rsidP="00DC3C60">
            <w:pPr>
              <w:rPr>
                <w:rFonts w:ascii="Arial" w:hAnsi="Arial" w:cs="Arial"/>
                <w:sz w:val="18"/>
                <w:szCs w:val="18"/>
                <w:lang w:eastAsia="en-GB"/>
              </w:rPr>
            </w:pPr>
            <w:r>
              <w:rPr>
                <w:rFonts w:ascii="Arial" w:hAnsi="Arial" w:cs="Arial"/>
                <w:sz w:val="18"/>
                <w:szCs w:val="18"/>
                <w:lang w:eastAsia="en-GB"/>
              </w:rPr>
              <w:t>64</w:t>
            </w:r>
          </w:p>
        </w:tc>
        <w:tc>
          <w:tcPr>
            <w:tcW w:w="1701" w:type="dxa"/>
          </w:tcPr>
          <w:p w14:paraId="768384D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British Society of Neuroradiologists</w:t>
            </w:r>
          </w:p>
        </w:tc>
        <w:tc>
          <w:tcPr>
            <w:tcW w:w="1701" w:type="dxa"/>
          </w:tcPr>
          <w:p w14:paraId="2E8CA7E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Additional developmental areas of emergent practice – Sharing of anonymised imaging datasets with proven formal diagnosis. </w:t>
            </w:r>
          </w:p>
        </w:tc>
        <w:tc>
          <w:tcPr>
            <w:tcW w:w="4678" w:type="dxa"/>
          </w:tcPr>
          <w:p w14:paraId="65121F2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Standardisation of protocols for and scheduling of imaging during diagnosis, treatment and follow up, could result in a large homogenous dataset, which may improve our understanding of predictors for and the natural history of brain tumours. </w:t>
            </w:r>
          </w:p>
        </w:tc>
        <w:tc>
          <w:tcPr>
            <w:tcW w:w="3119" w:type="dxa"/>
          </w:tcPr>
          <w:p w14:paraId="0342445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Imaging can be readily shared across the UK via the Image Exchange Portal (IEP). Collection and transfer of clinical imaging data in an anonymised format could provide large datasets for research at relatively low cost. This has the potential to vastly improve our understanding of brain tumours, ultimately leading to patient benefit. </w:t>
            </w:r>
          </w:p>
        </w:tc>
        <w:tc>
          <w:tcPr>
            <w:tcW w:w="3151" w:type="dxa"/>
          </w:tcPr>
          <w:p w14:paraId="20453672" w14:textId="77777777" w:rsidR="00DC3C60" w:rsidRPr="00DC3C60" w:rsidRDefault="00DC3C60" w:rsidP="00DC3C60">
            <w:pPr>
              <w:rPr>
                <w:rFonts w:ascii="Arial" w:hAnsi="Arial" w:cs="Arial"/>
                <w:sz w:val="18"/>
                <w:szCs w:val="18"/>
                <w:lang w:eastAsia="en-GB"/>
              </w:rPr>
            </w:pPr>
          </w:p>
        </w:tc>
      </w:tr>
      <w:tr w:rsidR="00DC3C60" w:rsidRPr="00DC3C60" w14:paraId="19837188" w14:textId="77777777" w:rsidTr="003635EE">
        <w:trPr>
          <w:trHeight w:val="282"/>
        </w:trPr>
        <w:tc>
          <w:tcPr>
            <w:tcW w:w="675" w:type="dxa"/>
          </w:tcPr>
          <w:p w14:paraId="1B367260" w14:textId="73FD0F61" w:rsidR="00DC3C60" w:rsidRPr="00DC3C60" w:rsidRDefault="00DC3C60" w:rsidP="00DC3C60">
            <w:pPr>
              <w:rPr>
                <w:rFonts w:ascii="Arial" w:hAnsi="Arial" w:cs="Arial"/>
                <w:sz w:val="18"/>
                <w:szCs w:val="18"/>
                <w:lang w:eastAsia="en-GB"/>
              </w:rPr>
            </w:pPr>
            <w:r>
              <w:rPr>
                <w:rFonts w:ascii="Arial" w:hAnsi="Arial" w:cs="Arial"/>
                <w:sz w:val="18"/>
                <w:szCs w:val="18"/>
                <w:lang w:eastAsia="en-GB"/>
              </w:rPr>
              <w:t>65</w:t>
            </w:r>
          </w:p>
        </w:tc>
        <w:tc>
          <w:tcPr>
            <w:tcW w:w="1701" w:type="dxa"/>
          </w:tcPr>
          <w:p w14:paraId="12CE876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NCRI-ACP-RCP</w:t>
            </w:r>
          </w:p>
        </w:tc>
        <w:tc>
          <w:tcPr>
            <w:tcW w:w="1701" w:type="dxa"/>
          </w:tcPr>
          <w:p w14:paraId="182D023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4</w:t>
            </w:r>
          </w:p>
        </w:tc>
        <w:tc>
          <w:tcPr>
            <w:tcW w:w="4678" w:type="dxa"/>
          </w:tcPr>
          <w:p w14:paraId="21C24698" w14:textId="77777777" w:rsidR="00DC3C60" w:rsidRDefault="00DC3C60" w:rsidP="00DC3C60">
            <w:pPr>
              <w:rPr>
                <w:rFonts w:ascii="Arial" w:hAnsi="Arial" w:cs="Arial"/>
                <w:sz w:val="18"/>
                <w:szCs w:val="18"/>
                <w:lang w:eastAsia="en-GB"/>
              </w:rPr>
            </w:pPr>
            <w:r w:rsidRPr="00DC3C60">
              <w:rPr>
                <w:rFonts w:ascii="Arial" w:hAnsi="Arial" w:cs="Arial"/>
                <w:noProof/>
                <w:sz w:val="18"/>
                <w:szCs w:val="18"/>
                <w:lang w:eastAsia="en-GB"/>
              </w:rPr>
              <w:drawing>
                <wp:inline distT="0" distB="0" distL="0" distR="0" wp14:anchorId="2B2A5B7C" wp14:editId="3F5A4FB4">
                  <wp:extent cx="2762250" cy="3971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74062" cy="3988847"/>
                          </a:xfrm>
                          <a:prstGeom prst="rect">
                            <a:avLst/>
                          </a:prstGeom>
                          <a:noFill/>
                        </pic:spPr>
                      </pic:pic>
                    </a:graphicData>
                  </a:graphic>
                </wp:inline>
              </w:drawing>
            </w:r>
          </w:p>
          <w:p w14:paraId="11BAA743" w14:textId="050F9B3B" w:rsidR="00DC3C60" w:rsidRPr="00DC3C60" w:rsidRDefault="00DC3C60" w:rsidP="00DC3C60">
            <w:pPr>
              <w:rPr>
                <w:rFonts w:ascii="Arial" w:hAnsi="Arial" w:cs="Arial"/>
                <w:sz w:val="18"/>
                <w:szCs w:val="18"/>
                <w:lang w:eastAsia="en-GB"/>
              </w:rPr>
            </w:pPr>
          </w:p>
        </w:tc>
        <w:tc>
          <w:tcPr>
            <w:tcW w:w="3119" w:type="dxa"/>
          </w:tcPr>
          <w:p w14:paraId="40AF806B" w14:textId="77777777" w:rsidR="00DC3C60" w:rsidRPr="00DC3C60" w:rsidRDefault="00DC3C60" w:rsidP="00DC3C60">
            <w:pPr>
              <w:rPr>
                <w:rFonts w:ascii="Arial" w:hAnsi="Arial" w:cs="Arial"/>
                <w:sz w:val="18"/>
                <w:szCs w:val="18"/>
                <w:lang w:eastAsia="en-GB"/>
              </w:rPr>
            </w:pPr>
          </w:p>
        </w:tc>
        <w:tc>
          <w:tcPr>
            <w:tcW w:w="3151" w:type="dxa"/>
          </w:tcPr>
          <w:p w14:paraId="27DE62DD" w14:textId="77777777" w:rsidR="00DC3C60" w:rsidRPr="00DC3C60" w:rsidRDefault="00DC3C60" w:rsidP="00DC3C60">
            <w:pPr>
              <w:rPr>
                <w:rFonts w:ascii="Arial" w:hAnsi="Arial" w:cs="Arial"/>
                <w:sz w:val="18"/>
                <w:szCs w:val="18"/>
                <w:lang w:eastAsia="en-GB"/>
              </w:rPr>
            </w:pPr>
          </w:p>
        </w:tc>
      </w:tr>
      <w:tr w:rsidR="00DC3C60" w:rsidRPr="00DC3C60" w14:paraId="1A14EF51" w14:textId="77777777" w:rsidTr="003635EE">
        <w:trPr>
          <w:trHeight w:val="282"/>
        </w:trPr>
        <w:tc>
          <w:tcPr>
            <w:tcW w:w="675" w:type="dxa"/>
          </w:tcPr>
          <w:p w14:paraId="62A73F8D" w14:textId="6D81097B" w:rsidR="00DC3C60" w:rsidRPr="00DC3C60" w:rsidRDefault="00DC3C60" w:rsidP="00DC3C60">
            <w:pPr>
              <w:rPr>
                <w:rFonts w:ascii="Arial" w:hAnsi="Arial" w:cs="Arial"/>
                <w:sz w:val="18"/>
                <w:szCs w:val="18"/>
                <w:lang w:eastAsia="en-GB"/>
              </w:rPr>
            </w:pPr>
            <w:r>
              <w:rPr>
                <w:rFonts w:ascii="Arial" w:hAnsi="Arial" w:cs="Arial"/>
                <w:sz w:val="18"/>
                <w:szCs w:val="18"/>
                <w:lang w:eastAsia="en-GB"/>
              </w:rPr>
              <w:t>66</w:t>
            </w:r>
          </w:p>
        </w:tc>
        <w:tc>
          <w:tcPr>
            <w:tcW w:w="1701" w:type="dxa"/>
          </w:tcPr>
          <w:p w14:paraId="453DF98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NHS England and NHS Improvement</w:t>
            </w:r>
          </w:p>
        </w:tc>
        <w:tc>
          <w:tcPr>
            <w:tcW w:w="1701" w:type="dxa"/>
          </w:tcPr>
          <w:p w14:paraId="759BCE05"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b/>
                <w:bCs/>
                <w:sz w:val="18"/>
                <w:szCs w:val="18"/>
                <w:lang w:eastAsia="en-GB"/>
              </w:rPr>
              <w:t>(CAHPO)</w:t>
            </w:r>
            <w:r w:rsidRPr="00DC3C60">
              <w:rPr>
                <w:rFonts w:ascii="Arial" w:hAnsi="Arial" w:cs="Arial"/>
                <w:sz w:val="18"/>
                <w:szCs w:val="18"/>
                <w:lang w:eastAsia="en-GB"/>
              </w:rPr>
              <w:t>Key area for quality improvement 3</w:t>
            </w:r>
          </w:p>
          <w:p w14:paraId="753B854F" w14:textId="77777777" w:rsidR="00DC3C60" w:rsidRPr="00DC3C60" w:rsidRDefault="00DC3C60" w:rsidP="00DC3C60">
            <w:pPr>
              <w:numPr>
                <w:ilvl w:val="0"/>
                <w:numId w:val="7"/>
              </w:numPr>
              <w:autoSpaceDE w:val="0"/>
              <w:autoSpaceDN w:val="0"/>
              <w:adjustRightInd w:val="0"/>
              <w:ind w:left="0" w:firstLine="0"/>
              <w:rPr>
                <w:rFonts w:ascii="Arial" w:eastAsia="Arial" w:hAnsi="Arial" w:cs="Arial"/>
                <w:color w:val="44546A"/>
                <w:sz w:val="18"/>
                <w:szCs w:val="18"/>
                <w:lang w:eastAsia="en-GB"/>
              </w:rPr>
            </w:pPr>
            <w:r w:rsidRPr="00DC3C60">
              <w:rPr>
                <w:rFonts w:ascii="Arial" w:eastAsia="Arial" w:hAnsi="Arial" w:cs="Arial"/>
                <w:color w:val="44546A"/>
                <w:sz w:val="18"/>
                <w:szCs w:val="18"/>
                <w:lang w:eastAsia="en-GB"/>
              </w:rPr>
              <w:t>All patients should be considered for participation in available clinical trials / research studies, wherever eligible</w:t>
            </w:r>
          </w:p>
          <w:p w14:paraId="07760C55" w14:textId="77777777" w:rsidR="00DC3C60" w:rsidRPr="00DC3C60" w:rsidRDefault="00DC3C60" w:rsidP="00DC3C60">
            <w:pPr>
              <w:rPr>
                <w:rFonts w:ascii="Arial" w:hAnsi="Arial" w:cs="Arial"/>
                <w:b/>
                <w:sz w:val="18"/>
                <w:szCs w:val="18"/>
                <w:lang w:eastAsia="en-GB"/>
              </w:rPr>
            </w:pPr>
          </w:p>
        </w:tc>
        <w:tc>
          <w:tcPr>
            <w:tcW w:w="4678" w:type="dxa"/>
          </w:tcPr>
          <w:p w14:paraId="56C3CA41" w14:textId="77777777" w:rsidR="00DC3C60" w:rsidRPr="00DC3C60" w:rsidRDefault="00DC3C60" w:rsidP="00DC3C60">
            <w:pPr>
              <w:spacing w:after="240" w:line="276" w:lineRule="auto"/>
              <w:rPr>
                <w:rFonts w:ascii="Arial" w:eastAsia="Arial" w:hAnsi="Arial" w:cs="Arial"/>
                <w:color w:val="000000"/>
                <w:sz w:val="18"/>
                <w:szCs w:val="18"/>
                <w:lang w:eastAsia="en-GB"/>
              </w:rPr>
            </w:pPr>
            <w:r w:rsidRPr="00DC3C60">
              <w:rPr>
                <w:rFonts w:ascii="Arial" w:eastAsia="Arial" w:hAnsi="Arial" w:cs="Arial"/>
                <w:color w:val="44546A"/>
                <w:sz w:val="18"/>
                <w:szCs w:val="18"/>
                <w:lang w:eastAsia="en-GB"/>
              </w:rPr>
              <w:t>Clinical trials are necessary to demonstrate the efficacy of new therapies and other interventions. Evidence suggests improved patient outcomes when hospitals actively recruit patients into clinical trials</w:t>
            </w:r>
            <w:r w:rsidRPr="00DC3C60">
              <w:rPr>
                <w:rFonts w:ascii="Arial" w:eastAsia="Arial" w:hAnsi="Arial" w:cs="Arial"/>
                <w:color w:val="000000"/>
                <w:sz w:val="18"/>
                <w:szCs w:val="18"/>
                <w:lang w:eastAsia="en-GB"/>
              </w:rPr>
              <w:t>.</w:t>
            </w:r>
          </w:p>
          <w:p w14:paraId="3033145A" w14:textId="77777777" w:rsidR="00DC3C60" w:rsidRPr="00DC3C60" w:rsidRDefault="00DC3C60" w:rsidP="00DC3C60">
            <w:pPr>
              <w:rPr>
                <w:rFonts w:ascii="Arial" w:hAnsi="Arial" w:cs="Arial"/>
                <w:sz w:val="18"/>
                <w:szCs w:val="18"/>
              </w:rPr>
            </w:pPr>
          </w:p>
        </w:tc>
        <w:tc>
          <w:tcPr>
            <w:tcW w:w="3119" w:type="dxa"/>
          </w:tcPr>
          <w:p w14:paraId="32A09A63" w14:textId="77777777" w:rsidR="00DC3C60" w:rsidRPr="00DC3C60" w:rsidRDefault="00DC3C60" w:rsidP="00DC3C60">
            <w:pPr>
              <w:spacing w:after="240" w:line="276" w:lineRule="auto"/>
              <w:rPr>
                <w:rFonts w:ascii="Arial" w:eastAsia="Arial" w:hAnsi="Arial" w:cs="Arial"/>
                <w:color w:val="44546A"/>
                <w:sz w:val="18"/>
                <w:szCs w:val="18"/>
                <w:lang w:eastAsia="en-GB"/>
              </w:rPr>
            </w:pPr>
            <w:r w:rsidRPr="00DC3C60">
              <w:rPr>
                <w:rFonts w:ascii="Arial" w:eastAsia="Arial" w:hAnsi="Arial" w:cs="Arial"/>
                <w:color w:val="44546A"/>
                <w:sz w:val="18"/>
                <w:szCs w:val="18"/>
                <w:lang w:eastAsia="en-GB"/>
              </w:rPr>
              <w:t>Generally, for people with a cancerous (malignant) brain tumour in England:</w:t>
            </w:r>
          </w:p>
          <w:p w14:paraId="564F8BB3" w14:textId="77777777" w:rsidR="00DC3C60" w:rsidRPr="00DC3C60" w:rsidRDefault="00DC3C60" w:rsidP="00DC3C60">
            <w:pPr>
              <w:spacing w:after="240" w:line="276" w:lineRule="auto"/>
              <w:rPr>
                <w:rFonts w:ascii="Arial" w:eastAsia="Arial" w:hAnsi="Arial" w:cs="Arial"/>
                <w:color w:val="44546A"/>
                <w:sz w:val="18"/>
                <w:szCs w:val="18"/>
                <w:lang w:eastAsia="en-GB"/>
              </w:rPr>
            </w:pPr>
            <w:r w:rsidRPr="00DC3C60">
              <w:rPr>
                <w:rFonts w:ascii="Arial" w:eastAsia="Arial" w:hAnsi="Arial" w:cs="Arial"/>
                <w:color w:val="44546A"/>
                <w:sz w:val="18"/>
                <w:szCs w:val="18"/>
                <w:lang w:eastAsia="en-GB"/>
              </w:rPr>
              <w:t>•40 out of 100 people (40%) survive their cancer for 1 year or more</w:t>
            </w:r>
          </w:p>
          <w:p w14:paraId="44AF33A9" w14:textId="77777777" w:rsidR="00DC3C60" w:rsidRPr="00DC3C60" w:rsidRDefault="00DC3C60" w:rsidP="00DC3C60">
            <w:pPr>
              <w:spacing w:after="240" w:line="276" w:lineRule="auto"/>
              <w:rPr>
                <w:rFonts w:ascii="Arial" w:eastAsia="Arial" w:hAnsi="Arial" w:cs="Arial"/>
                <w:color w:val="44546A"/>
                <w:sz w:val="18"/>
                <w:szCs w:val="18"/>
                <w:lang w:eastAsia="en-GB"/>
              </w:rPr>
            </w:pPr>
            <w:r w:rsidRPr="00DC3C60">
              <w:rPr>
                <w:rFonts w:ascii="Arial" w:eastAsia="Arial" w:hAnsi="Arial" w:cs="Arial"/>
                <w:color w:val="44546A"/>
                <w:sz w:val="18"/>
                <w:szCs w:val="18"/>
                <w:lang w:eastAsia="en-GB"/>
              </w:rPr>
              <w:t>•more than 10 out of 100 people (more than 10%) survive their cancer for 5 years or more</w:t>
            </w:r>
          </w:p>
          <w:p w14:paraId="105DA7E0"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eastAsia="Arial" w:hAnsi="Arial" w:cs="Arial"/>
                <w:color w:val="44546A"/>
                <w:sz w:val="18"/>
                <w:szCs w:val="18"/>
                <w:lang w:eastAsia="en-GB"/>
              </w:rPr>
              <w:t>These represent lower rates than other cancer types although it is noted this will vary dependent on the specific brain tumour</w:t>
            </w:r>
          </w:p>
        </w:tc>
        <w:tc>
          <w:tcPr>
            <w:tcW w:w="3151" w:type="dxa"/>
          </w:tcPr>
          <w:p w14:paraId="73FDE8CE" w14:textId="77777777" w:rsidR="00DC3C60" w:rsidRPr="00DC3C60" w:rsidRDefault="001517CD" w:rsidP="00DC3C60">
            <w:pPr>
              <w:spacing w:after="240" w:line="276" w:lineRule="auto"/>
              <w:rPr>
                <w:rFonts w:ascii="Arial" w:eastAsia="Arial" w:hAnsi="Arial" w:cs="Arial"/>
                <w:color w:val="000000"/>
                <w:sz w:val="18"/>
                <w:szCs w:val="18"/>
              </w:rPr>
            </w:pPr>
            <w:hyperlink r:id="rId92">
              <w:r w:rsidR="00DC3C60" w:rsidRPr="00DC3C60">
                <w:rPr>
                  <w:rFonts w:ascii="Arial" w:eastAsia="Arial" w:hAnsi="Arial" w:cs="Arial"/>
                  <w:color w:val="0000FF"/>
                  <w:sz w:val="18"/>
                  <w:szCs w:val="18"/>
                  <w:u w:val="single"/>
                </w:rPr>
                <w:t>https://www.cancerresearchuk.org/about-cancer/brain-tumours/survival</w:t>
              </w:r>
            </w:hyperlink>
          </w:p>
          <w:p w14:paraId="6ED91C05" w14:textId="77777777" w:rsidR="00DC3C60" w:rsidRPr="00DC3C60" w:rsidRDefault="00DC3C60" w:rsidP="00DC3C60">
            <w:pPr>
              <w:rPr>
                <w:rFonts w:ascii="Arial" w:hAnsi="Arial" w:cs="Arial"/>
                <w:sz w:val="18"/>
                <w:szCs w:val="18"/>
              </w:rPr>
            </w:pPr>
          </w:p>
        </w:tc>
      </w:tr>
      <w:tr w:rsidR="00DC3C60" w:rsidRPr="00DC3C60" w14:paraId="0E62017E" w14:textId="77777777" w:rsidTr="003635EE">
        <w:trPr>
          <w:trHeight w:val="282"/>
        </w:trPr>
        <w:tc>
          <w:tcPr>
            <w:tcW w:w="675" w:type="dxa"/>
          </w:tcPr>
          <w:p w14:paraId="302DC7E0" w14:textId="1FA0EA33" w:rsidR="00DC3C60" w:rsidRPr="00DC3C60" w:rsidRDefault="00DC3C60" w:rsidP="00DC3C60">
            <w:pPr>
              <w:rPr>
                <w:rFonts w:ascii="Arial" w:hAnsi="Arial" w:cs="Arial"/>
                <w:sz w:val="18"/>
                <w:szCs w:val="18"/>
                <w:lang w:eastAsia="en-GB"/>
              </w:rPr>
            </w:pPr>
            <w:r>
              <w:rPr>
                <w:rFonts w:ascii="Arial" w:hAnsi="Arial" w:cs="Arial"/>
                <w:sz w:val="18"/>
                <w:szCs w:val="18"/>
                <w:lang w:eastAsia="en-GB"/>
              </w:rPr>
              <w:t>67</w:t>
            </w:r>
          </w:p>
        </w:tc>
        <w:tc>
          <w:tcPr>
            <w:tcW w:w="1701" w:type="dxa"/>
          </w:tcPr>
          <w:p w14:paraId="6759A0DB"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Scottish Adult Neuro-oncology Network </w:t>
            </w:r>
          </w:p>
        </w:tc>
        <w:tc>
          <w:tcPr>
            <w:tcW w:w="1701" w:type="dxa"/>
          </w:tcPr>
          <w:p w14:paraId="747CF282"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3</w:t>
            </w:r>
          </w:p>
          <w:p w14:paraId="78705637"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Clinical Trials and Research Study Access</w:t>
            </w:r>
          </w:p>
        </w:tc>
        <w:tc>
          <w:tcPr>
            <w:tcW w:w="4678" w:type="dxa"/>
          </w:tcPr>
          <w:p w14:paraId="08A878E4" w14:textId="77777777" w:rsidR="00DC3C60" w:rsidRPr="00DC3C60" w:rsidRDefault="00DC3C60" w:rsidP="00DC3C60">
            <w:pPr>
              <w:rPr>
                <w:rFonts w:ascii="Arial" w:hAnsi="Arial" w:cs="Arial"/>
                <w:sz w:val="18"/>
                <w:szCs w:val="18"/>
              </w:rPr>
            </w:pPr>
            <w:r w:rsidRPr="00DC3C60">
              <w:rPr>
                <w:rFonts w:ascii="Arial" w:hAnsi="Arial"/>
                <w:sz w:val="18"/>
                <w:szCs w:val="18"/>
              </w:rPr>
              <w:t>Clinical trials are necessary to demonstrate the efficacy of new therapies and other interventions24 . Evidence suggests improved patient outcomes when hospitals are actively recruiting patients into clinical trials25 .</w:t>
            </w:r>
          </w:p>
        </w:tc>
        <w:tc>
          <w:tcPr>
            <w:tcW w:w="3119" w:type="dxa"/>
          </w:tcPr>
          <w:p w14:paraId="42326E83" w14:textId="77777777" w:rsidR="00DC3C60" w:rsidRPr="00DC3C60" w:rsidRDefault="00DC3C60" w:rsidP="00DC3C60">
            <w:pPr>
              <w:rPr>
                <w:rFonts w:ascii="Arial" w:hAnsi="Arial" w:cs="Arial"/>
                <w:sz w:val="18"/>
                <w:szCs w:val="18"/>
                <w:lang w:eastAsia="en-GB"/>
              </w:rPr>
            </w:pPr>
            <w:r w:rsidRPr="00DC3C60">
              <w:rPr>
                <w:rFonts w:ascii="Arial" w:hAnsi="Arial"/>
                <w:sz w:val="18"/>
                <w:szCs w:val="18"/>
                <w:lang w:eastAsia="en-GB"/>
              </w:rPr>
              <w:t xml:space="preserve">Clinicians are therefore encouraged to enter patients into </w:t>
            </w:r>
            <w:proofErr w:type="spellStart"/>
            <w:r w:rsidRPr="00DC3C60">
              <w:rPr>
                <w:rFonts w:ascii="Arial" w:hAnsi="Arial"/>
                <w:sz w:val="18"/>
                <w:szCs w:val="18"/>
                <w:lang w:eastAsia="en-GB"/>
              </w:rPr>
              <w:t>welldesigned</w:t>
            </w:r>
            <w:proofErr w:type="spellEnd"/>
            <w:r w:rsidRPr="00DC3C60">
              <w:rPr>
                <w:rFonts w:ascii="Arial" w:hAnsi="Arial"/>
                <w:sz w:val="18"/>
                <w:szCs w:val="18"/>
                <w:lang w:eastAsia="en-GB"/>
              </w:rPr>
              <w:t xml:space="preserve"> trials and to collect longer-term follow-up data. High accrual activity into clinical trials is used as a goal of an exemplary clinical research site. The measurement of this QPI focuses on those patients who have consented in order to reflect the intent to join a clinical trial and demonstrate the commitment to recruit patients. Often patients can be prevented from enrolling within a trial due to stratification of studies and precise inclusion criteria identified during the screening process</w:t>
            </w:r>
          </w:p>
        </w:tc>
        <w:tc>
          <w:tcPr>
            <w:tcW w:w="3151" w:type="dxa"/>
          </w:tcPr>
          <w:p w14:paraId="23C66D76" w14:textId="2EAF4087" w:rsidR="00DC3C60" w:rsidRPr="00DC3C60" w:rsidRDefault="00DC3C60" w:rsidP="00DC3C60">
            <w:pPr>
              <w:rPr>
                <w:rFonts w:ascii="Arial" w:hAnsi="Arial" w:cs="Arial"/>
                <w:sz w:val="18"/>
                <w:szCs w:val="18"/>
              </w:rPr>
            </w:pPr>
            <w:r w:rsidRPr="00DC3C60">
              <w:rPr>
                <w:rFonts w:ascii="Arial" w:hAnsi="Arial"/>
                <w:sz w:val="18"/>
                <w:szCs w:val="18"/>
              </w:rPr>
              <w:t>NHS Quality Improvement Scotland (2008) Management of Core Cancer Services Standards. Available from: http://www.healthcareimprovementscotland.org/our_work /cancer_care_improvement/cancer_resources/standards_for_cancer_services.aspx (accessed 12</w:t>
            </w:r>
            <w:r w:rsidRPr="0048142E">
              <w:rPr>
                <w:rFonts w:ascii="Arial" w:hAnsi="Arial"/>
                <w:sz w:val="18"/>
                <w:szCs w:val="18"/>
                <w:vertAlign w:val="superscript"/>
              </w:rPr>
              <w:t>th</w:t>
            </w:r>
            <w:r w:rsidRPr="00DC3C60">
              <w:rPr>
                <w:rFonts w:ascii="Arial" w:hAnsi="Arial"/>
                <w:sz w:val="18"/>
                <w:szCs w:val="18"/>
              </w:rPr>
              <w:t xml:space="preserve"> September 2017) 25. Downing A, et al (2016). High Hospital Research Participation and Improved Colorectal Cancer Survival Outcomes: A Population Based Study. Gut 0:1–8. </w:t>
            </w:r>
            <w:r w:rsidR="0048142E" w:rsidRPr="00DC3C60">
              <w:rPr>
                <w:rFonts w:ascii="Arial" w:hAnsi="Arial"/>
                <w:sz w:val="18"/>
                <w:szCs w:val="18"/>
              </w:rPr>
              <w:t>D</w:t>
            </w:r>
            <w:r w:rsidRPr="00DC3C60">
              <w:rPr>
                <w:rFonts w:ascii="Arial" w:hAnsi="Arial"/>
                <w:sz w:val="18"/>
                <w:szCs w:val="18"/>
              </w:rPr>
              <w:t xml:space="preserve">oi:10.1136/gutjnl2015-311308. Available from: http://gut.bmj.com/content/66/1/89 (accessed 25th </w:t>
            </w:r>
            <w:proofErr w:type="spellStart"/>
            <w:r w:rsidRPr="00DC3C60">
              <w:rPr>
                <w:rFonts w:ascii="Arial" w:hAnsi="Arial"/>
                <w:sz w:val="18"/>
                <w:szCs w:val="18"/>
              </w:rPr>
              <w:t>Octobe</w:t>
            </w:r>
            <w:proofErr w:type="spellEnd"/>
          </w:p>
        </w:tc>
      </w:tr>
      <w:tr w:rsidR="00DC3C60" w:rsidRPr="00DC3C60" w14:paraId="5AD447E4" w14:textId="77777777" w:rsidTr="003635EE">
        <w:trPr>
          <w:trHeight w:val="282"/>
        </w:trPr>
        <w:tc>
          <w:tcPr>
            <w:tcW w:w="675" w:type="dxa"/>
          </w:tcPr>
          <w:p w14:paraId="60DFE609" w14:textId="44A59E74" w:rsidR="00DC3C60" w:rsidRPr="00DC3C60" w:rsidRDefault="00DC3C60" w:rsidP="00DC3C60">
            <w:pPr>
              <w:rPr>
                <w:rFonts w:ascii="Arial" w:hAnsi="Arial" w:cs="Arial"/>
                <w:sz w:val="18"/>
                <w:szCs w:val="18"/>
                <w:lang w:eastAsia="en-GB"/>
              </w:rPr>
            </w:pPr>
            <w:r>
              <w:rPr>
                <w:rFonts w:ascii="Arial" w:hAnsi="Arial" w:cs="Arial"/>
                <w:sz w:val="18"/>
                <w:szCs w:val="18"/>
                <w:lang w:eastAsia="en-GB"/>
              </w:rPr>
              <w:t>68</w:t>
            </w:r>
          </w:p>
        </w:tc>
        <w:tc>
          <w:tcPr>
            <w:tcW w:w="1701" w:type="dxa"/>
          </w:tcPr>
          <w:p w14:paraId="0888C80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Brain Tumour Charity</w:t>
            </w:r>
          </w:p>
        </w:tc>
        <w:tc>
          <w:tcPr>
            <w:tcW w:w="1701" w:type="dxa"/>
          </w:tcPr>
          <w:p w14:paraId="026D94F3"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Key area for quality improvement 5</w:t>
            </w:r>
          </w:p>
          <w:p w14:paraId="40F7E5CD" w14:textId="77777777" w:rsidR="00DC3C60" w:rsidRPr="00DC3C60" w:rsidRDefault="00DC3C60" w:rsidP="00DC3C60">
            <w:pPr>
              <w:spacing w:after="120" w:line="276" w:lineRule="auto"/>
              <w:rPr>
                <w:rFonts w:ascii="Arial" w:hAnsi="Arial" w:cs="Arial"/>
                <w:sz w:val="18"/>
                <w:szCs w:val="18"/>
                <w:lang w:eastAsia="en-GB"/>
              </w:rPr>
            </w:pPr>
            <w:r w:rsidRPr="00DC3C60">
              <w:rPr>
                <w:rFonts w:ascii="Arial" w:hAnsi="Arial" w:cs="Arial"/>
                <w:sz w:val="18"/>
                <w:szCs w:val="18"/>
                <w:lang w:eastAsia="en-GB"/>
              </w:rPr>
              <w:t>Research participation through tumour biobanking and whole brain donation.</w:t>
            </w:r>
          </w:p>
          <w:p w14:paraId="0137B3CF" w14:textId="77777777" w:rsidR="00DC3C60" w:rsidRPr="00DC3C60" w:rsidRDefault="00DC3C60" w:rsidP="00DC3C60">
            <w:pPr>
              <w:rPr>
                <w:rFonts w:ascii="Arial" w:hAnsi="Arial" w:cs="Arial"/>
                <w:b/>
                <w:sz w:val="18"/>
                <w:szCs w:val="18"/>
                <w:lang w:eastAsia="en-GB"/>
              </w:rPr>
            </w:pPr>
          </w:p>
        </w:tc>
        <w:tc>
          <w:tcPr>
            <w:tcW w:w="4678" w:type="dxa"/>
          </w:tcPr>
          <w:p w14:paraId="50F9B78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Where appropriate, providing people living with a brain tumour the opportunity to become involved in research is key to progressing patient treatment and care. Banking tissue samples for the purpose of research (biobanking), including whole brain donation, is an important area of this. </w:t>
            </w:r>
          </w:p>
          <w:p w14:paraId="1701CF9F" w14:textId="77777777" w:rsidR="00DC3C60" w:rsidRPr="00DC3C60" w:rsidRDefault="00DC3C60" w:rsidP="00DC3C60">
            <w:pPr>
              <w:rPr>
                <w:rFonts w:ascii="Arial" w:hAnsi="Arial" w:cs="Arial"/>
                <w:sz w:val="18"/>
                <w:szCs w:val="18"/>
              </w:rPr>
            </w:pPr>
            <w:r w:rsidRPr="00DC3C60">
              <w:rPr>
                <w:rFonts w:ascii="Arial" w:hAnsi="Arial" w:cs="Arial"/>
                <w:sz w:val="18"/>
                <w:szCs w:val="18"/>
              </w:rPr>
              <w:t>Currently, the lack of biobanking reduces the availability of samples for research and genetic testing, especially for rarer tumour types. Further, the lack of longitudinal tumour sampling means we have a limited understanding of how tumours change over time and how we can best manage this.</w:t>
            </w:r>
          </w:p>
        </w:tc>
        <w:tc>
          <w:tcPr>
            <w:tcW w:w="3119" w:type="dxa"/>
          </w:tcPr>
          <w:p w14:paraId="3B86BA17"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Despite the benefits for research in tissue collection, we know that it is still not undertaken routinely. Currently, a limited number of adult tissue samples are stored in local tissue banks across the UK, resulting in small, fragmented collections.</w:t>
            </w:r>
          </w:p>
          <w:p w14:paraId="3A9DC817" w14:textId="77777777" w:rsidR="00DC3C60" w:rsidRPr="00DC3C60" w:rsidRDefault="00DC3C60" w:rsidP="00DC3C60">
            <w:pPr>
              <w:spacing w:after="240" w:line="276" w:lineRule="auto"/>
              <w:rPr>
                <w:rFonts w:ascii="Arial" w:hAnsi="Arial" w:cs="Arial"/>
                <w:sz w:val="18"/>
                <w:szCs w:val="18"/>
                <w:lang w:eastAsia="en-GB"/>
              </w:rPr>
            </w:pPr>
          </w:p>
          <w:p w14:paraId="5211FBFC" w14:textId="77777777" w:rsidR="00DC3C60" w:rsidRPr="00DC3C60" w:rsidRDefault="00DC3C60" w:rsidP="00DC3C60">
            <w:pPr>
              <w:rPr>
                <w:rFonts w:ascii="Arial" w:hAnsi="Arial" w:cs="Arial"/>
                <w:sz w:val="18"/>
                <w:szCs w:val="18"/>
                <w:lang w:eastAsia="en-GB"/>
              </w:rPr>
            </w:pPr>
          </w:p>
        </w:tc>
        <w:tc>
          <w:tcPr>
            <w:tcW w:w="3151" w:type="dxa"/>
          </w:tcPr>
          <w:p w14:paraId="16FCE664"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Initiatives for whole brain donation have shown to be effective for other disease areas, such as for dementia research, which through </w:t>
            </w:r>
            <w:hyperlink r:id="rId93" w:history="1">
              <w:r w:rsidRPr="00DC3C60">
                <w:rPr>
                  <w:rFonts w:ascii="Arial" w:hAnsi="Arial" w:cs="Arial"/>
                  <w:color w:val="0000FF"/>
                  <w:sz w:val="18"/>
                  <w:szCs w:val="18"/>
                  <w:u w:val="single"/>
                  <w:lang w:eastAsia="en-GB"/>
                </w:rPr>
                <w:t>Brains for Dementia Research</w:t>
              </w:r>
            </w:hyperlink>
            <w:r w:rsidRPr="00DC3C60">
              <w:rPr>
                <w:rFonts w:ascii="Arial" w:hAnsi="Arial" w:cs="Arial"/>
                <w:sz w:val="18"/>
                <w:szCs w:val="18"/>
                <w:lang w:eastAsia="en-GB"/>
              </w:rPr>
              <w:t xml:space="preserve">, now has over 3300 promised donations for research. </w:t>
            </w:r>
          </w:p>
          <w:p w14:paraId="7F1F36C2"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Building an understanding of the availability of tissue and whole brain donation in England and Wales could be extremely beneficial for the future of patient treatment, care and research. </w:t>
            </w:r>
          </w:p>
          <w:p w14:paraId="6B84A5A9"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People affected by a brain tumour should be empowered and told that their tissue sample may be used for purposes beyond direct care if appropriate. Where tissue banking is available, patients should be made aware of how their tissue is banked and what it means. </w:t>
            </w:r>
          </w:p>
        </w:tc>
      </w:tr>
      <w:tr w:rsidR="00DC3C60" w:rsidRPr="00DC3C60" w14:paraId="7C67710F" w14:textId="77777777" w:rsidTr="003635EE">
        <w:trPr>
          <w:trHeight w:val="282"/>
        </w:trPr>
        <w:tc>
          <w:tcPr>
            <w:tcW w:w="15025" w:type="dxa"/>
            <w:gridSpan w:val="6"/>
          </w:tcPr>
          <w:p w14:paraId="1CD6EDA4"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Additional areas – end of life care</w:t>
            </w:r>
          </w:p>
        </w:tc>
      </w:tr>
      <w:tr w:rsidR="00DC3C60" w:rsidRPr="00DC3C60" w14:paraId="1161B8C0" w14:textId="77777777" w:rsidTr="003635EE">
        <w:trPr>
          <w:trHeight w:val="282"/>
        </w:trPr>
        <w:tc>
          <w:tcPr>
            <w:tcW w:w="675" w:type="dxa"/>
          </w:tcPr>
          <w:p w14:paraId="27694D67" w14:textId="0287E5D2" w:rsidR="00DC3C60" w:rsidRPr="00DC3C60" w:rsidRDefault="00DC3C60" w:rsidP="00DC3C60">
            <w:pPr>
              <w:rPr>
                <w:rFonts w:ascii="Arial" w:hAnsi="Arial" w:cs="Arial"/>
                <w:sz w:val="18"/>
                <w:szCs w:val="18"/>
                <w:lang w:eastAsia="en-GB"/>
              </w:rPr>
            </w:pPr>
            <w:r>
              <w:rPr>
                <w:rFonts w:ascii="Arial" w:hAnsi="Arial" w:cs="Arial"/>
                <w:sz w:val="18"/>
                <w:szCs w:val="18"/>
                <w:lang w:eastAsia="en-GB"/>
              </w:rPr>
              <w:t>69</w:t>
            </w:r>
          </w:p>
        </w:tc>
        <w:tc>
          <w:tcPr>
            <w:tcW w:w="1701" w:type="dxa"/>
          </w:tcPr>
          <w:p w14:paraId="0DCB332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Braintrust </w:t>
            </w:r>
          </w:p>
        </w:tc>
        <w:tc>
          <w:tcPr>
            <w:tcW w:w="1701" w:type="dxa"/>
          </w:tcPr>
          <w:p w14:paraId="477509C6" w14:textId="77777777" w:rsidR="00DC3C60" w:rsidRPr="00DC3C60" w:rsidRDefault="00DC3C60" w:rsidP="00DC3C60">
            <w:pPr>
              <w:rPr>
                <w:rFonts w:ascii="Arial" w:hAnsi="Arial" w:cs="Arial"/>
                <w:sz w:val="18"/>
                <w:szCs w:val="18"/>
                <w:lang w:eastAsia="en-GB"/>
              </w:rPr>
            </w:pPr>
          </w:p>
        </w:tc>
        <w:tc>
          <w:tcPr>
            <w:tcW w:w="4678" w:type="dxa"/>
          </w:tcPr>
          <w:p w14:paraId="7004BEC7" w14:textId="77777777" w:rsidR="00DC3C60" w:rsidRPr="00DC3C60" w:rsidRDefault="00DC3C60" w:rsidP="00DC3C60">
            <w:pPr>
              <w:rPr>
                <w:rFonts w:ascii="Arial" w:hAnsi="Arial" w:cs="Arial"/>
                <w:sz w:val="18"/>
                <w:szCs w:val="18"/>
              </w:rPr>
            </w:pPr>
            <w:r w:rsidRPr="00DC3C60">
              <w:rPr>
                <w:rFonts w:ascii="Arial" w:hAnsi="Arial" w:cs="Arial"/>
                <w:sz w:val="18"/>
                <w:szCs w:val="18"/>
              </w:rPr>
              <w:t>For people transitioning to end of life care appropriate community care that recognises and understands that the needs of people dying with a brain tumour may be different through progressive neurological and neurocognitive decline.</w:t>
            </w:r>
          </w:p>
        </w:tc>
        <w:tc>
          <w:tcPr>
            <w:tcW w:w="3119" w:type="dxa"/>
          </w:tcPr>
          <w:p w14:paraId="0117CDEF" w14:textId="77777777" w:rsidR="00DC3C60" w:rsidRPr="00DC3C60" w:rsidRDefault="00DC3C60" w:rsidP="00DC3C60">
            <w:pPr>
              <w:rPr>
                <w:rFonts w:ascii="Arial" w:hAnsi="Arial" w:cs="Arial"/>
                <w:sz w:val="18"/>
                <w:szCs w:val="18"/>
                <w:lang w:eastAsia="en-GB"/>
              </w:rPr>
            </w:pPr>
          </w:p>
        </w:tc>
        <w:tc>
          <w:tcPr>
            <w:tcW w:w="3151" w:type="dxa"/>
          </w:tcPr>
          <w:p w14:paraId="09440432" w14:textId="77777777" w:rsidR="00DC3C60" w:rsidRPr="00DC3C60" w:rsidRDefault="00DC3C60" w:rsidP="00DC3C60">
            <w:pPr>
              <w:rPr>
                <w:rFonts w:ascii="Arial" w:hAnsi="Arial" w:cs="Arial"/>
                <w:sz w:val="18"/>
                <w:szCs w:val="18"/>
                <w:lang w:eastAsia="en-GB"/>
              </w:rPr>
            </w:pPr>
          </w:p>
        </w:tc>
      </w:tr>
      <w:tr w:rsidR="00DC3C60" w:rsidRPr="00DC3C60" w14:paraId="37606FDC" w14:textId="77777777" w:rsidTr="003635EE">
        <w:trPr>
          <w:trHeight w:val="282"/>
        </w:trPr>
        <w:tc>
          <w:tcPr>
            <w:tcW w:w="675" w:type="dxa"/>
          </w:tcPr>
          <w:p w14:paraId="6CF960C5" w14:textId="2176FF4F" w:rsidR="00DC3C60" w:rsidRPr="00DC3C60" w:rsidRDefault="00DC3C60" w:rsidP="00DC3C60">
            <w:pPr>
              <w:rPr>
                <w:rFonts w:ascii="Arial" w:hAnsi="Arial" w:cs="Arial"/>
                <w:sz w:val="18"/>
                <w:szCs w:val="18"/>
                <w:lang w:eastAsia="en-GB"/>
              </w:rPr>
            </w:pPr>
            <w:r>
              <w:rPr>
                <w:rFonts w:ascii="Arial" w:hAnsi="Arial" w:cs="Arial"/>
                <w:sz w:val="18"/>
                <w:szCs w:val="18"/>
                <w:lang w:eastAsia="en-GB"/>
              </w:rPr>
              <w:t>70</w:t>
            </w:r>
          </w:p>
        </w:tc>
        <w:tc>
          <w:tcPr>
            <w:tcW w:w="1701" w:type="dxa"/>
          </w:tcPr>
          <w:p w14:paraId="360264E8"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Compassion in dying </w:t>
            </w:r>
          </w:p>
        </w:tc>
        <w:tc>
          <w:tcPr>
            <w:tcW w:w="1701" w:type="dxa"/>
          </w:tcPr>
          <w:p w14:paraId="14E5F9C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rPr>
              <w:t>Advance Care Planning (ACP)</w:t>
            </w:r>
          </w:p>
        </w:tc>
        <w:tc>
          <w:tcPr>
            <w:tcW w:w="4678" w:type="dxa"/>
          </w:tcPr>
          <w:p w14:paraId="55AB93BE" w14:textId="77777777" w:rsidR="00DC3C60" w:rsidRPr="00DC3C60" w:rsidRDefault="00DC3C60" w:rsidP="00DC3C60">
            <w:pPr>
              <w:rPr>
                <w:rFonts w:ascii="Arial" w:hAnsi="Arial" w:cs="Arial"/>
                <w:color w:val="000000"/>
                <w:sz w:val="18"/>
                <w:szCs w:val="18"/>
              </w:rPr>
            </w:pPr>
            <w:r w:rsidRPr="00DC3C60">
              <w:rPr>
                <w:rFonts w:ascii="Arial" w:hAnsi="Arial" w:cs="Arial"/>
                <w:sz w:val="18"/>
                <w:szCs w:val="18"/>
              </w:rPr>
              <w:t>There is clear evidence that advance care planning (ACP) results in significant benefits for individuals and care providers: in addition to increased satisfaction with overall care, people receive fewer aggressive medical interventions, have fewer hospital admissions and benefit from increased use of palliative care services</w:t>
            </w:r>
            <w:r w:rsidRPr="00DC3C60">
              <w:rPr>
                <w:rFonts w:ascii="Arial" w:hAnsi="Arial" w:cs="Arial"/>
                <w:color w:val="000000"/>
                <w:sz w:val="18"/>
                <w:szCs w:val="18"/>
              </w:rPr>
              <w:t xml:space="preserve">, and communication between patients, their doctors and families is enhanced </w:t>
            </w:r>
            <w:r w:rsidRPr="00DC3C60">
              <w:rPr>
                <w:rFonts w:ascii="Arial" w:hAnsi="Arial" w:cs="Arial"/>
                <w:i/>
                <w:color w:val="000000"/>
                <w:sz w:val="18"/>
                <w:szCs w:val="18"/>
              </w:rPr>
              <w:t>(Literature review on the impact of advance care planning, produced by the International Longevity Centre on behalf of Compassion in Dying, 2016)</w:t>
            </w:r>
            <w:r w:rsidRPr="00DC3C60">
              <w:rPr>
                <w:rFonts w:ascii="Arial" w:hAnsi="Arial" w:cs="Arial"/>
                <w:color w:val="000000"/>
                <w:sz w:val="18"/>
                <w:szCs w:val="18"/>
              </w:rPr>
              <w:t xml:space="preserve">. </w:t>
            </w:r>
          </w:p>
          <w:p w14:paraId="324FBB10" w14:textId="77777777" w:rsidR="00DC3C60" w:rsidRPr="00DC3C60" w:rsidRDefault="00DC3C60" w:rsidP="00DC3C60">
            <w:pPr>
              <w:rPr>
                <w:rFonts w:ascii="Arial" w:hAnsi="Arial" w:cs="Arial"/>
                <w:sz w:val="18"/>
                <w:szCs w:val="18"/>
              </w:rPr>
            </w:pPr>
          </w:p>
          <w:p w14:paraId="37C822E3" w14:textId="77777777" w:rsidR="00DC3C60" w:rsidRPr="00DC3C60" w:rsidRDefault="00DC3C60" w:rsidP="00DC3C60">
            <w:pPr>
              <w:rPr>
                <w:rFonts w:ascii="Arial" w:hAnsi="Arial" w:cs="Arial"/>
                <w:sz w:val="18"/>
                <w:szCs w:val="18"/>
              </w:rPr>
            </w:pPr>
            <w:r w:rsidRPr="00DC3C60">
              <w:rPr>
                <w:rFonts w:ascii="Arial" w:hAnsi="Arial" w:cs="Arial"/>
                <w:sz w:val="18"/>
                <w:szCs w:val="18"/>
              </w:rPr>
              <w:t xml:space="preserve">Not only is there clear evidence of the benefits of ACP, people place great value on choice and control over decision-making and as we have learned from our service users, planning ahead gives people peace of mind and allows them to live well now. (Compassion in Dying, </w:t>
            </w:r>
            <w:hyperlink r:id="rId94" w:history="1">
              <w:r w:rsidRPr="00DC3C60">
                <w:rPr>
                  <w:rFonts w:ascii="Arial" w:hAnsi="Arial" w:cs="Arial"/>
                  <w:i/>
                  <w:color w:val="0000FF"/>
                  <w:sz w:val="18"/>
                  <w:szCs w:val="18"/>
                  <w:u w:val="single"/>
                </w:rPr>
                <w:t>I wish I had known</w:t>
              </w:r>
            </w:hyperlink>
            <w:r w:rsidRPr="00DC3C60">
              <w:rPr>
                <w:rFonts w:ascii="Arial" w:hAnsi="Arial" w:cs="Arial"/>
                <w:i/>
                <w:sz w:val="18"/>
                <w:szCs w:val="18"/>
              </w:rPr>
              <w:t>…</w:t>
            </w:r>
            <w:r w:rsidRPr="00DC3C60">
              <w:rPr>
                <w:rFonts w:ascii="Arial" w:hAnsi="Arial" w:cs="Arial"/>
                <w:sz w:val="18"/>
                <w:szCs w:val="18"/>
              </w:rPr>
              <w:t>2018).</w:t>
            </w:r>
          </w:p>
          <w:p w14:paraId="13EF42A6" w14:textId="77777777" w:rsidR="00DC3C60" w:rsidRPr="00DC3C60" w:rsidRDefault="00DC3C60" w:rsidP="00DC3C60">
            <w:pPr>
              <w:rPr>
                <w:rFonts w:ascii="Arial" w:hAnsi="Arial" w:cs="Arial"/>
                <w:sz w:val="18"/>
                <w:szCs w:val="18"/>
              </w:rPr>
            </w:pPr>
          </w:p>
          <w:p w14:paraId="5CDC8829" w14:textId="77777777" w:rsidR="00DC3C60" w:rsidRPr="00DC3C60" w:rsidRDefault="00DC3C60" w:rsidP="00DC3C60">
            <w:pPr>
              <w:rPr>
                <w:rFonts w:ascii="Arial" w:hAnsi="Arial" w:cs="Arial"/>
                <w:b/>
                <w:sz w:val="18"/>
                <w:szCs w:val="18"/>
              </w:rPr>
            </w:pPr>
            <w:r w:rsidRPr="00DC3C60">
              <w:rPr>
                <w:rFonts w:ascii="Arial" w:hAnsi="Arial" w:cs="Arial"/>
                <w:b/>
                <w:sz w:val="18"/>
                <w:szCs w:val="18"/>
              </w:rPr>
              <w:t>Early and ongoing conversations about ACP for people with brain tumours and brain metastases, and taking steps to ensure recorded wishes are updated, communicated and respected should therefore form a key part of the Quality Standard.</w:t>
            </w:r>
          </w:p>
          <w:p w14:paraId="13606D08" w14:textId="77777777" w:rsidR="00DC3C60" w:rsidRPr="00DC3C60" w:rsidRDefault="00DC3C60" w:rsidP="00DC3C60">
            <w:pPr>
              <w:rPr>
                <w:rFonts w:ascii="Arial" w:hAnsi="Arial" w:cs="Arial"/>
                <w:sz w:val="18"/>
                <w:szCs w:val="18"/>
              </w:rPr>
            </w:pPr>
          </w:p>
          <w:p w14:paraId="7543811A"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Brain tumours may cause a person’s capacity to fluctuate and some may lose all capacity to make decisions about their treatment and care. If people haven’t documented their wishes for future decisions or appointed someone they trust to make decisions on their behalf then they are left to healthcare professionals. Therefore people with brain tumours and metastases must be given opportunities to discuss advance care planning in a timely manner to ensure their future care and treatment is aligned with their preferences and values. </w:t>
            </w:r>
          </w:p>
          <w:p w14:paraId="39BCC14D" w14:textId="2920F27B"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Research shows that a reduction in emergency hospital admissions for those who have an advance care plan in place leads to fewer days in hospital in the last year of life and reduced hospital costs incurred as a result of emergency admissions </w:t>
            </w:r>
            <w:r w:rsidR="0048142E">
              <w:rPr>
                <w:rFonts w:ascii="Arial" w:hAnsi="Arial" w:cs="Arial"/>
                <w:sz w:val="18"/>
                <w:szCs w:val="18"/>
                <w:lang w:eastAsia="en-GB"/>
              </w:rPr>
              <w:t>–</w:t>
            </w:r>
            <w:r w:rsidRPr="00DC3C60">
              <w:rPr>
                <w:rFonts w:ascii="Arial" w:hAnsi="Arial" w:cs="Arial"/>
                <w:sz w:val="18"/>
                <w:szCs w:val="18"/>
                <w:lang w:eastAsia="en-GB"/>
              </w:rPr>
              <w:t xml:space="preserve"> a mean reduction of 28% and 8% respectively (Abel </w:t>
            </w:r>
            <w:r w:rsidRPr="00DC3C60">
              <w:rPr>
                <w:rFonts w:ascii="Arial" w:hAnsi="Arial" w:cs="Arial"/>
                <w:i/>
                <w:sz w:val="18"/>
                <w:szCs w:val="18"/>
                <w:lang w:eastAsia="en-GB"/>
              </w:rPr>
              <w:t>et al.</w:t>
            </w:r>
            <w:r w:rsidRPr="00DC3C60">
              <w:rPr>
                <w:rFonts w:ascii="Arial" w:hAnsi="Arial" w:cs="Arial"/>
                <w:sz w:val="18"/>
                <w:szCs w:val="18"/>
                <w:lang w:eastAsia="en-GB"/>
              </w:rPr>
              <w:t xml:space="preserve"> 2013).</w:t>
            </w:r>
          </w:p>
          <w:p w14:paraId="19506E62" w14:textId="77777777" w:rsidR="00DC3C60" w:rsidRPr="00DC3C60" w:rsidRDefault="00DC3C60" w:rsidP="00DC3C60">
            <w:pPr>
              <w:spacing w:after="240" w:line="276" w:lineRule="auto"/>
              <w:rPr>
                <w:rFonts w:ascii="Arial" w:hAnsi="Arial" w:cs="Arial"/>
                <w:color w:val="000000"/>
                <w:sz w:val="18"/>
                <w:szCs w:val="18"/>
                <w:lang w:eastAsia="en-GB"/>
              </w:rPr>
            </w:pPr>
            <w:r w:rsidRPr="00DC3C60">
              <w:rPr>
                <w:rFonts w:ascii="Arial" w:hAnsi="Arial" w:cs="Arial"/>
                <w:color w:val="000000"/>
                <w:sz w:val="18"/>
                <w:szCs w:val="18"/>
                <w:lang w:eastAsia="en-GB"/>
              </w:rPr>
              <w:t xml:space="preserve">Best practice guidance for other conditions that may or certainly will involve of loss of capacity to make treatment decisions recognise the importance of advance care planning: </w:t>
            </w:r>
          </w:p>
          <w:p w14:paraId="3DA75D0D"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The NICE Quality Standard for Dementia (2019) recognises the importance of people being able to “make decisions about their future care early on, before they find it difficult to communicate or they lack the capacity to do so.”</w:t>
            </w:r>
          </w:p>
          <w:p w14:paraId="58A97F15" w14:textId="77777777" w:rsidR="00DC3C60" w:rsidRPr="00DC3C60" w:rsidRDefault="00DC3C60" w:rsidP="00DC3C60">
            <w:pPr>
              <w:spacing w:after="240" w:line="276" w:lineRule="auto"/>
              <w:rPr>
                <w:rFonts w:ascii="Arial" w:hAnsi="Arial" w:cs="Arial"/>
                <w:color w:val="000000"/>
                <w:sz w:val="18"/>
                <w:szCs w:val="18"/>
                <w:lang w:eastAsia="en-GB"/>
              </w:rPr>
            </w:pPr>
            <w:r w:rsidRPr="00DC3C60">
              <w:rPr>
                <w:rFonts w:ascii="Arial" w:hAnsi="Arial" w:cs="Arial"/>
                <w:sz w:val="18"/>
                <w:szCs w:val="18"/>
                <w:lang w:eastAsia="en-GB"/>
              </w:rPr>
              <w:t xml:space="preserve">The Royal College of Physicians, in their recently published </w:t>
            </w:r>
            <w:r w:rsidRPr="00DC3C60">
              <w:rPr>
                <w:rFonts w:ascii="Arial" w:hAnsi="Arial" w:cs="Arial"/>
                <w:bCs/>
                <w:sz w:val="18"/>
                <w:szCs w:val="18"/>
                <w:lang w:eastAsia="en-GB"/>
              </w:rPr>
              <w:t xml:space="preserve">guidelines for the treatment of people with prolonged disorders of consciousness </w:t>
            </w:r>
            <w:r w:rsidRPr="00DC3C60">
              <w:rPr>
                <w:rFonts w:ascii="Arial" w:hAnsi="Arial" w:cs="Arial"/>
                <w:bCs/>
                <w:i/>
                <w:color w:val="000000"/>
                <w:sz w:val="18"/>
                <w:szCs w:val="18"/>
                <w:lang w:eastAsia="en-GB"/>
              </w:rPr>
              <w:t>(Prolonged disorders of consciousness following sudden onset brain injury: National clinical guidelines, 2020)</w:t>
            </w:r>
            <w:r w:rsidRPr="00DC3C60">
              <w:rPr>
                <w:rFonts w:ascii="Arial" w:hAnsi="Arial" w:cs="Arial"/>
                <w:bCs/>
                <w:color w:val="000000"/>
                <w:sz w:val="18"/>
                <w:szCs w:val="18"/>
                <w:lang w:eastAsia="en-GB"/>
              </w:rPr>
              <w:t xml:space="preserve">, </w:t>
            </w:r>
            <w:r w:rsidRPr="00DC3C60">
              <w:rPr>
                <w:rFonts w:ascii="Arial" w:hAnsi="Arial" w:cs="Arial"/>
                <w:sz w:val="18"/>
                <w:szCs w:val="18"/>
                <w:lang w:eastAsia="en-GB"/>
              </w:rPr>
              <w:t xml:space="preserve">affirmed that what the patient would want is the most important factor when making treatment decisions for a person in a prolonged disorder of consciousness such as vegetative state (VS) and minimally conscious state (MCS). </w:t>
            </w:r>
            <w:r w:rsidRPr="00DC3C60">
              <w:rPr>
                <w:rFonts w:ascii="Arial" w:hAnsi="Arial" w:cs="Arial"/>
                <w:color w:val="000000"/>
                <w:sz w:val="18"/>
                <w:szCs w:val="18"/>
                <w:lang w:eastAsia="en-GB"/>
              </w:rPr>
              <w:t>The guidance also clearly explains the legal position that where a patient has made a valid and applicable Advance Decision to Refuse Treatment this</w:t>
            </w:r>
            <w:r w:rsidRPr="00DC3C60">
              <w:rPr>
                <w:rFonts w:ascii="Arial" w:hAnsi="Arial"/>
                <w:color w:val="000000"/>
                <w:sz w:val="18"/>
                <w:szCs w:val="18"/>
                <w:lang w:eastAsia="en-GB"/>
              </w:rPr>
              <w:t xml:space="preserve"> </w:t>
            </w:r>
            <w:r w:rsidRPr="00DC3C60">
              <w:rPr>
                <w:rFonts w:ascii="Arial" w:hAnsi="Arial"/>
                <w:i/>
                <w:color w:val="000000"/>
                <w:sz w:val="18"/>
                <w:szCs w:val="18"/>
                <w:lang w:eastAsia="en-GB"/>
              </w:rPr>
              <w:t>“…</w:t>
            </w:r>
            <w:r w:rsidRPr="00DC3C60">
              <w:rPr>
                <w:rFonts w:ascii="Arial" w:hAnsi="Arial" w:cs="Arial"/>
                <w:i/>
                <w:color w:val="000000"/>
                <w:sz w:val="18"/>
                <w:szCs w:val="18"/>
                <w:lang w:eastAsia="en-GB"/>
              </w:rPr>
              <w:t>is legally binding on clinicians to follow. In this situation there is no need for a best interests discussion as the patient has already made their decision...”</w:t>
            </w:r>
            <w:r w:rsidRPr="00DC3C60">
              <w:rPr>
                <w:rFonts w:ascii="Arial" w:hAnsi="Arial" w:cs="Arial"/>
                <w:color w:val="000000"/>
                <w:sz w:val="18"/>
                <w:szCs w:val="18"/>
                <w:lang w:eastAsia="en-GB"/>
              </w:rPr>
              <w:t xml:space="preserve"> The RCP’s guidance will also soon include a template Advance Decision (annex 4c), suggesting the importance of ensuring more people are aware of the possibility of making these documents in order that their wishes are known should they lose capacity to make decisions due to a prolonged disorder of consciousness. </w:t>
            </w:r>
          </w:p>
          <w:p w14:paraId="797D2DC7" w14:textId="77777777" w:rsidR="00DC3C60" w:rsidRPr="00DC3C60" w:rsidRDefault="00DC3C60" w:rsidP="00DC3C60">
            <w:pPr>
              <w:spacing w:after="240" w:line="276" w:lineRule="auto"/>
              <w:rPr>
                <w:rFonts w:ascii="Arial" w:hAnsi="Arial" w:cs="Arial"/>
                <w:sz w:val="18"/>
                <w:szCs w:val="18"/>
                <w:lang w:eastAsia="en-GB"/>
              </w:rPr>
            </w:pPr>
          </w:p>
          <w:p w14:paraId="525233BD" w14:textId="77777777" w:rsidR="00DC3C60" w:rsidRPr="00DC3C60" w:rsidRDefault="00DC3C60" w:rsidP="00DC3C60">
            <w:pPr>
              <w:rPr>
                <w:rFonts w:ascii="Arial" w:hAnsi="Arial" w:cs="Arial"/>
                <w:sz w:val="18"/>
                <w:szCs w:val="18"/>
                <w:lang w:eastAsia="en-GB"/>
              </w:rPr>
            </w:pPr>
          </w:p>
        </w:tc>
        <w:tc>
          <w:tcPr>
            <w:tcW w:w="3119" w:type="dxa"/>
          </w:tcPr>
          <w:p w14:paraId="3697AAA9"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Whilst research shows that ACP results in significant benefits for individuals and healthcare providers, awareness and uptake is low. In 2018, only 4% of people had made an Advance Decision to Refuse Treatment and just 7% had appointed a Lasting Power of Attorney for Health and Welfare (YouGov, 2018). </w:t>
            </w:r>
          </w:p>
          <w:p w14:paraId="737AD66E"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A </w:t>
            </w:r>
            <w:hyperlink r:id="rId95" w:history="1">
              <w:r w:rsidRPr="00DC3C60">
                <w:rPr>
                  <w:rFonts w:ascii="Arial" w:hAnsi="Arial" w:cs="Arial"/>
                  <w:color w:val="0000FF"/>
                  <w:sz w:val="18"/>
                  <w:szCs w:val="18"/>
                  <w:u w:val="single"/>
                  <w:lang w:eastAsia="en-GB"/>
                </w:rPr>
                <w:t>report</w:t>
              </w:r>
            </w:hyperlink>
            <w:r w:rsidRPr="00DC3C60">
              <w:rPr>
                <w:rFonts w:ascii="Arial" w:hAnsi="Arial" w:cs="Arial"/>
                <w:sz w:val="18"/>
                <w:szCs w:val="18"/>
                <w:lang w:eastAsia="en-GB"/>
              </w:rPr>
              <w:t xml:space="preserve"> commissioned by Dignity in Dying, </w:t>
            </w:r>
            <w:r w:rsidRPr="00DC3C60">
              <w:rPr>
                <w:rFonts w:ascii="Arial" w:hAnsi="Arial" w:cs="Arial"/>
                <w:i/>
                <w:sz w:val="18"/>
                <w:szCs w:val="18"/>
                <w:lang w:eastAsia="en-GB"/>
              </w:rPr>
              <w:t>‘What matters to me’</w:t>
            </w:r>
            <w:r w:rsidRPr="00DC3C60">
              <w:rPr>
                <w:rFonts w:ascii="Arial" w:hAnsi="Arial" w:cs="Arial"/>
                <w:sz w:val="18"/>
                <w:szCs w:val="18"/>
                <w:lang w:eastAsia="en-GB"/>
              </w:rPr>
              <w:t xml:space="preserve">, asked people with terminal and advanced illness about end of life choices. They found that: </w:t>
            </w:r>
          </w:p>
          <w:p w14:paraId="4A812D46" w14:textId="77777777" w:rsidR="00DC3C60" w:rsidRPr="00DC3C60" w:rsidRDefault="00DC3C60" w:rsidP="00DC3C60">
            <w:pPr>
              <w:numPr>
                <w:ilvl w:val="0"/>
                <w:numId w:val="8"/>
              </w:numPr>
              <w:spacing w:after="240" w:line="276" w:lineRule="auto"/>
              <w:rPr>
                <w:rFonts w:ascii="Arial" w:hAnsi="Arial" w:cs="Arial"/>
                <w:sz w:val="18"/>
                <w:szCs w:val="18"/>
                <w:lang w:eastAsia="en-GB"/>
              </w:rPr>
            </w:pPr>
            <w:r w:rsidRPr="00DC3C60">
              <w:rPr>
                <w:rFonts w:ascii="Arial" w:hAnsi="Arial" w:cs="Arial"/>
                <w:sz w:val="18"/>
                <w:szCs w:val="18"/>
                <w:lang w:eastAsia="en-GB"/>
              </w:rPr>
              <w:t xml:space="preserve">Only 16% of terminally ill people surveyed have had a discussion with their doctor about what might happen as their condition progresses, particularly at the end of life. </w:t>
            </w:r>
          </w:p>
          <w:p w14:paraId="58B2C53F" w14:textId="77777777" w:rsidR="00DC3C60" w:rsidRPr="00DC3C60" w:rsidRDefault="00DC3C60" w:rsidP="00DC3C60">
            <w:pPr>
              <w:numPr>
                <w:ilvl w:val="0"/>
                <w:numId w:val="8"/>
              </w:numPr>
              <w:spacing w:after="240" w:line="276" w:lineRule="auto"/>
              <w:rPr>
                <w:rFonts w:ascii="Arial" w:hAnsi="Arial" w:cs="Arial"/>
                <w:sz w:val="18"/>
                <w:szCs w:val="18"/>
                <w:lang w:eastAsia="en-GB"/>
              </w:rPr>
            </w:pPr>
            <w:r w:rsidRPr="00DC3C60">
              <w:rPr>
                <w:rFonts w:ascii="Arial" w:hAnsi="Arial" w:cs="Arial"/>
                <w:sz w:val="18"/>
                <w:szCs w:val="18"/>
                <w:lang w:eastAsia="en-GB"/>
              </w:rPr>
              <w:t xml:space="preserve">A third (34%) of respondents say they would like to discuss refusing life-sustaining treatment with a healthcare professional but do not feel able to, suggesting there is a need to make people more comfortable about having these conversations. </w:t>
            </w:r>
          </w:p>
          <w:p w14:paraId="5D45F487" w14:textId="77777777" w:rsidR="00DC3C60" w:rsidRPr="00DC3C60" w:rsidRDefault="00DC3C60" w:rsidP="00DC3C60">
            <w:pPr>
              <w:numPr>
                <w:ilvl w:val="0"/>
                <w:numId w:val="8"/>
              </w:numPr>
              <w:spacing w:after="240" w:line="276" w:lineRule="auto"/>
              <w:rPr>
                <w:rFonts w:ascii="Arial" w:hAnsi="Arial" w:cs="Arial"/>
                <w:sz w:val="18"/>
                <w:szCs w:val="18"/>
                <w:lang w:eastAsia="en-GB"/>
              </w:rPr>
            </w:pPr>
            <w:r w:rsidRPr="00DC3C60">
              <w:rPr>
                <w:rFonts w:ascii="Arial" w:hAnsi="Arial" w:cs="Arial"/>
                <w:sz w:val="18"/>
                <w:szCs w:val="18"/>
                <w:lang w:eastAsia="en-GB"/>
              </w:rPr>
              <w:t xml:space="preserve">Despite this, only 12% of respondents say that they have completed an Advance Decision to Refuse Treatment even though 43% know of treatments, such as CPR or assisted nutrition and hydration that they would like to refuse at the end of life. </w:t>
            </w:r>
          </w:p>
          <w:p w14:paraId="5FC2B56F"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This is worrying given the significant evidenced benefits of advance care planning, for example that it improves communication and results in people having care and treatment aligned to their preferences. </w:t>
            </w:r>
          </w:p>
          <w:p w14:paraId="4BB74DB9" w14:textId="77777777" w:rsidR="00DC3C60" w:rsidRPr="00DC3C60" w:rsidRDefault="001517CD" w:rsidP="00DC3C60">
            <w:pPr>
              <w:spacing w:after="240" w:line="276" w:lineRule="auto"/>
              <w:rPr>
                <w:rFonts w:ascii="Arial" w:hAnsi="Arial" w:cs="Arial"/>
                <w:sz w:val="18"/>
                <w:szCs w:val="18"/>
                <w:lang w:eastAsia="en-GB"/>
              </w:rPr>
            </w:pPr>
            <w:hyperlink r:id="rId96" w:history="1">
              <w:r w:rsidR="00DC3C60" w:rsidRPr="00DC3C60">
                <w:rPr>
                  <w:rFonts w:ascii="Arial" w:hAnsi="Arial" w:cs="Arial"/>
                  <w:color w:val="0000FF"/>
                  <w:sz w:val="18"/>
                  <w:szCs w:val="18"/>
                  <w:u w:val="single"/>
                  <w:lang w:eastAsia="en-GB"/>
                </w:rPr>
                <w:t>The Government’s response</w:t>
              </w:r>
            </w:hyperlink>
            <w:r w:rsidR="00DC3C60" w:rsidRPr="00DC3C60">
              <w:rPr>
                <w:rFonts w:ascii="Arial" w:hAnsi="Arial" w:cs="Arial"/>
                <w:sz w:val="18"/>
                <w:szCs w:val="18"/>
                <w:lang w:eastAsia="en-GB"/>
              </w:rPr>
              <w:t xml:space="preserve"> in 2014 to a House of Lords Select Committee Report on the Mental Capacity Act stressed the urgency to: </w:t>
            </w:r>
            <w:r w:rsidR="00DC3C60" w:rsidRPr="00DC3C60">
              <w:rPr>
                <w:rFonts w:ascii="Arial" w:hAnsi="Arial" w:cs="Arial"/>
                <w:i/>
                <w:sz w:val="18"/>
                <w:szCs w:val="18"/>
                <w:lang w:eastAsia="en-GB"/>
              </w:rPr>
              <w:t>“promote better understanding among health care staff of Advance Decisions”.</w:t>
            </w:r>
          </w:p>
          <w:p w14:paraId="522D8959"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In 2015, the </w:t>
            </w:r>
            <w:hyperlink r:id="rId97" w:history="1">
              <w:r w:rsidRPr="00DC3C60">
                <w:rPr>
                  <w:rFonts w:ascii="Arial" w:hAnsi="Arial" w:cs="Arial"/>
                  <w:color w:val="0000FF"/>
                  <w:sz w:val="18"/>
                  <w:szCs w:val="18"/>
                  <w:u w:val="single"/>
                  <w:lang w:eastAsia="en-GB"/>
                </w:rPr>
                <w:t>House of Commons Health Select Committee</w:t>
              </w:r>
            </w:hyperlink>
            <w:r w:rsidRPr="00DC3C60">
              <w:rPr>
                <w:rFonts w:ascii="Arial" w:hAnsi="Arial" w:cs="Arial"/>
                <w:sz w:val="18"/>
                <w:szCs w:val="18"/>
                <w:lang w:eastAsia="en-GB"/>
              </w:rPr>
              <w:t xml:space="preserve"> reported that care staff often feel that they lack understanding of the mechanisms available to patients and carers under the Mental Capacity Act which allow people to make their wishes clear. The Committee recommended that all staff who provide palliative and end of life care to people with life-limiting conditions should receive training in advance care planning.</w:t>
            </w:r>
          </w:p>
          <w:p w14:paraId="37FAFEB0"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Despite these warnings, our own research has found that people who want to plan ahead still face unnecessary barriers, both from individual healthcare professionals and from wider system failures.</w:t>
            </w:r>
          </w:p>
          <w:p w14:paraId="33097A3C"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 xml:space="preserve">A recent Freedom of Information Request to Ambulance Trusts by Compassion in Dying highlighted a lack of a unified system for recording and implementing advance care plans, and a widespread absence of systems for monitoring and analysing adherence to advance care plans. For example, 23% of Trusts have no systems at all for holding advance care plans for patients in their areas, while 31% of Trusts will only accept advance care planning forms from healthcare professionals. </w:t>
            </w:r>
          </w:p>
          <w:p w14:paraId="0DA3108A"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“As a paramedic it is immensely frustrating and upsetting when things aren’t put in place allowing us to leave someone at home where they wish to be. I was not prepared for the heartache of having to take a dying patient away from their home and into general hospital.” (</w:t>
            </w:r>
            <w:hyperlink r:id="rId98" w:history="1">
              <w:r w:rsidRPr="00DC3C60">
                <w:rPr>
                  <w:rFonts w:ascii="Arial" w:hAnsi="Arial" w:cs="Arial"/>
                  <w:i/>
                  <w:color w:val="0000FF"/>
                  <w:sz w:val="18"/>
                  <w:szCs w:val="18"/>
                  <w:u w:val="single"/>
                  <w:lang w:eastAsia="en-GB"/>
                </w:rPr>
                <w:t>The role of Ambulance Trusts in respecting people’s end of life wishes</w:t>
              </w:r>
            </w:hyperlink>
            <w:r w:rsidRPr="00DC3C60">
              <w:rPr>
                <w:rFonts w:ascii="Arial" w:hAnsi="Arial" w:cs="Arial"/>
                <w:sz w:val="18"/>
                <w:szCs w:val="18"/>
                <w:lang w:eastAsia="en-GB"/>
              </w:rPr>
              <w:t>, 2018)</w:t>
            </w:r>
          </w:p>
          <w:p w14:paraId="43BE2F36" w14:textId="77777777" w:rsidR="00DC3C60" w:rsidRPr="00DC3C60" w:rsidRDefault="00DC3C60" w:rsidP="00DC3C60">
            <w:pPr>
              <w:spacing w:after="240" w:line="276" w:lineRule="auto"/>
              <w:rPr>
                <w:rFonts w:ascii="Arial" w:hAnsi="Arial" w:cs="Arial"/>
                <w:sz w:val="18"/>
                <w:szCs w:val="18"/>
                <w:lang w:eastAsia="en-GB"/>
              </w:rPr>
            </w:pPr>
            <w:r w:rsidRPr="00DC3C60">
              <w:rPr>
                <w:rFonts w:ascii="Arial" w:hAnsi="Arial" w:cs="Arial"/>
                <w:sz w:val="18"/>
                <w:szCs w:val="18"/>
                <w:lang w:eastAsia="en-GB"/>
              </w:rPr>
              <w:t>A further FOI to all Clinical Commissioning Groups (CCGs) in England found that while 87% of CCGs provide information to GP practices on advance care planning, not all CCGs consistently and explicitly covered the topics of Advance Decisions, Lasting Powers of Attorney and Do Not Attempt Resuscitation orders. Templates used for Advance Decisions did not have accompanying guidance notes, resulting in inadequate support, not only for individuals but also for healthcare professionals. (</w:t>
            </w:r>
            <w:hyperlink r:id="rId99" w:history="1">
              <w:r w:rsidRPr="00DC3C60">
                <w:rPr>
                  <w:rFonts w:ascii="Arial" w:hAnsi="Arial" w:cs="Arial"/>
                  <w:i/>
                  <w:color w:val="0000FF"/>
                  <w:sz w:val="18"/>
                  <w:szCs w:val="18"/>
                  <w:u w:val="single"/>
                  <w:lang w:eastAsia="en-GB"/>
                </w:rPr>
                <w:t>Advance care planning in general practice – does policy match reality?</w:t>
              </w:r>
            </w:hyperlink>
            <w:r w:rsidRPr="00DC3C60">
              <w:rPr>
                <w:rFonts w:ascii="Arial" w:hAnsi="Arial" w:cs="Arial"/>
                <w:i/>
                <w:sz w:val="18"/>
                <w:szCs w:val="18"/>
                <w:lang w:eastAsia="en-GB"/>
              </w:rPr>
              <w:t xml:space="preserve"> </w:t>
            </w:r>
            <w:r w:rsidRPr="00DC3C60">
              <w:rPr>
                <w:rFonts w:ascii="Arial" w:hAnsi="Arial" w:cs="Arial"/>
                <w:sz w:val="18"/>
                <w:szCs w:val="18"/>
                <w:lang w:eastAsia="en-GB"/>
              </w:rPr>
              <w:t>2018)</w:t>
            </w:r>
          </w:p>
        </w:tc>
        <w:tc>
          <w:tcPr>
            <w:tcW w:w="3151" w:type="dxa"/>
          </w:tcPr>
          <w:p w14:paraId="7226037B" w14:textId="77777777" w:rsidR="00DC3C60" w:rsidRPr="00DC3C60" w:rsidRDefault="00DC3C60" w:rsidP="00DC3C60">
            <w:pPr>
              <w:rPr>
                <w:rFonts w:ascii="Arial" w:hAnsi="Arial" w:cs="Arial"/>
                <w:sz w:val="18"/>
                <w:szCs w:val="18"/>
                <w:lang w:eastAsia="en-GB"/>
              </w:rPr>
            </w:pPr>
          </w:p>
        </w:tc>
      </w:tr>
      <w:tr w:rsidR="00DC3C60" w:rsidRPr="00DC3C60" w14:paraId="41F8871F" w14:textId="77777777" w:rsidTr="003635EE">
        <w:trPr>
          <w:trHeight w:val="282"/>
        </w:trPr>
        <w:tc>
          <w:tcPr>
            <w:tcW w:w="15025" w:type="dxa"/>
            <w:gridSpan w:val="6"/>
          </w:tcPr>
          <w:p w14:paraId="09B00D3D"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Additional areas- Employment support</w:t>
            </w:r>
          </w:p>
        </w:tc>
      </w:tr>
      <w:tr w:rsidR="00DC3C60" w:rsidRPr="00DC3C60" w14:paraId="25C8C86D" w14:textId="77777777" w:rsidTr="003635EE">
        <w:trPr>
          <w:trHeight w:val="282"/>
        </w:trPr>
        <w:tc>
          <w:tcPr>
            <w:tcW w:w="675" w:type="dxa"/>
          </w:tcPr>
          <w:p w14:paraId="76647F4F" w14:textId="2B2FDEBF" w:rsidR="00DC3C60" w:rsidRPr="00DC3C60" w:rsidRDefault="00DC3C60" w:rsidP="00DC3C60">
            <w:pPr>
              <w:rPr>
                <w:rFonts w:ascii="Arial" w:hAnsi="Arial" w:cs="Arial"/>
                <w:sz w:val="18"/>
                <w:szCs w:val="18"/>
                <w:lang w:eastAsia="en-GB"/>
              </w:rPr>
            </w:pPr>
            <w:r>
              <w:rPr>
                <w:rFonts w:ascii="Arial" w:hAnsi="Arial" w:cs="Arial"/>
                <w:sz w:val="18"/>
                <w:szCs w:val="18"/>
                <w:lang w:eastAsia="en-GB"/>
              </w:rPr>
              <w:t>71</w:t>
            </w:r>
          </w:p>
        </w:tc>
        <w:tc>
          <w:tcPr>
            <w:tcW w:w="1701" w:type="dxa"/>
          </w:tcPr>
          <w:p w14:paraId="0874EBB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SCM2</w:t>
            </w:r>
          </w:p>
        </w:tc>
        <w:tc>
          <w:tcPr>
            <w:tcW w:w="1701" w:type="dxa"/>
          </w:tcPr>
          <w:p w14:paraId="08849D3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Returning to work after treatment and with new disabilities:</w:t>
            </w:r>
          </w:p>
        </w:tc>
        <w:tc>
          <w:tcPr>
            <w:tcW w:w="4678" w:type="dxa"/>
          </w:tcPr>
          <w:p w14:paraId="628EE0A6" w14:textId="34EC8EFF" w:rsidR="00DC3C60" w:rsidRPr="00DC3C60" w:rsidRDefault="00DC3C60" w:rsidP="00DC3C60">
            <w:pPr>
              <w:rPr>
                <w:rFonts w:ascii="Arial" w:hAnsi="Arial" w:cs="Arial"/>
                <w:sz w:val="18"/>
                <w:szCs w:val="18"/>
              </w:rPr>
            </w:pPr>
            <w:r w:rsidRPr="00DC3C60">
              <w:rPr>
                <w:rFonts w:ascii="Arial" w:hAnsi="Arial" w:cs="Arial"/>
                <w:sz w:val="18"/>
                <w:szCs w:val="18"/>
              </w:rPr>
              <w:t xml:space="preserve">  A new disability/impairment might lead to the diagnosis of a brain tumour. Through time and treatment these disabilities can deteriorate, and new disabilities acquired.  Return to work is an important goal but the patients understanding of how these disabilities will impact on their work can be confusing and difficult for the patient. The effect fatigue has for both the patient and employer can result in fear and confusion.  Support is required </w:t>
            </w:r>
            <w:proofErr w:type="spellStart"/>
            <w:r w:rsidRPr="00DC3C60">
              <w:rPr>
                <w:rFonts w:ascii="Arial" w:hAnsi="Arial" w:cs="Arial"/>
                <w:sz w:val="18"/>
                <w:szCs w:val="18"/>
              </w:rPr>
              <w:t>tor</w:t>
            </w:r>
            <w:proofErr w:type="spellEnd"/>
            <w:r w:rsidRPr="00DC3C60">
              <w:rPr>
                <w:rFonts w:ascii="Arial" w:hAnsi="Arial" w:cs="Arial"/>
                <w:sz w:val="18"/>
                <w:szCs w:val="18"/>
              </w:rPr>
              <w:t xml:space="preserve"> both patient and employer. For smaller employers this may be needed more.</w:t>
            </w:r>
          </w:p>
          <w:p w14:paraId="1E4D3293" w14:textId="77777777" w:rsidR="00DC3C60" w:rsidRPr="00DC3C60" w:rsidRDefault="00DC3C60" w:rsidP="00DC3C60">
            <w:pPr>
              <w:rPr>
                <w:rFonts w:ascii="Arial" w:hAnsi="Arial" w:cs="Arial"/>
                <w:sz w:val="18"/>
                <w:szCs w:val="18"/>
              </w:rPr>
            </w:pPr>
          </w:p>
        </w:tc>
        <w:tc>
          <w:tcPr>
            <w:tcW w:w="3119" w:type="dxa"/>
          </w:tcPr>
          <w:p w14:paraId="1299E4F5" w14:textId="77777777" w:rsidR="00DC3C60" w:rsidRPr="00DC3C60" w:rsidRDefault="00DC3C60" w:rsidP="00DC3C60">
            <w:pPr>
              <w:rPr>
                <w:rFonts w:ascii="Arial" w:hAnsi="Arial" w:cs="Arial"/>
                <w:sz w:val="18"/>
                <w:szCs w:val="18"/>
                <w:lang w:eastAsia="en-GB"/>
              </w:rPr>
            </w:pPr>
          </w:p>
        </w:tc>
        <w:tc>
          <w:tcPr>
            <w:tcW w:w="3151" w:type="dxa"/>
          </w:tcPr>
          <w:p w14:paraId="34F13D48" w14:textId="77777777" w:rsidR="00DC3C60" w:rsidRPr="00DC3C60" w:rsidRDefault="00DC3C60" w:rsidP="00DC3C60">
            <w:pPr>
              <w:rPr>
                <w:rFonts w:ascii="Arial" w:hAnsi="Arial" w:cs="Arial"/>
                <w:sz w:val="18"/>
                <w:szCs w:val="18"/>
                <w:lang w:eastAsia="en-GB"/>
              </w:rPr>
            </w:pPr>
          </w:p>
        </w:tc>
      </w:tr>
      <w:tr w:rsidR="00DC3C60" w:rsidRPr="00DC3C60" w14:paraId="664F88C2" w14:textId="77777777" w:rsidTr="003635EE">
        <w:trPr>
          <w:trHeight w:val="282"/>
        </w:trPr>
        <w:tc>
          <w:tcPr>
            <w:tcW w:w="15025" w:type="dxa"/>
            <w:gridSpan w:val="6"/>
          </w:tcPr>
          <w:p w14:paraId="22BDCC33" w14:textId="66736AC3"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 xml:space="preserve">Additional areas – Quality of Life </w:t>
            </w:r>
            <w:r w:rsidR="007225A2" w:rsidRPr="00DC3C60">
              <w:rPr>
                <w:rFonts w:ascii="Arial" w:hAnsi="Arial" w:cs="Arial"/>
                <w:b/>
                <w:bCs/>
                <w:sz w:val="18"/>
                <w:szCs w:val="18"/>
                <w:lang w:eastAsia="en-GB"/>
              </w:rPr>
              <w:t>questionnaires</w:t>
            </w:r>
          </w:p>
        </w:tc>
      </w:tr>
      <w:tr w:rsidR="00DC3C60" w:rsidRPr="00DC3C60" w14:paraId="5B69BF2A" w14:textId="77777777" w:rsidTr="003635EE">
        <w:trPr>
          <w:trHeight w:val="282"/>
        </w:trPr>
        <w:tc>
          <w:tcPr>
            <w:tcW w:w="675" w:type="dxa"/>
          </w:tcPr>
          <w:p w14:paraId="143E5837" w14:textId="49C67759"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7</w:t>
            </w:r>
            <w:r>
              <w:rPr>
                <w:rFonts w:ascii="Arial" w:hAnsi="Arial" w:cs="Arial"/>
                <w:sz w:val="18"/>
                <w:szCs w:val="18"/>
                <w:lang w:eastAsia="en-GB"/>
              </w:rPr>
              <w:t>2</w:t>
            </w:r>
          </w:p>
        </w:tc>
        <w:tc>
          <w:tcPr>
            <w:tcW w:w="1701" w:type="dxa"/>
          </w:tcPr>
          <w:p w14:paraId="36CAF260"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SCM4</w:t>
            </w:r>
          </w:p>
        </w:tc>
        <w:tc>
          <w:tcPr>
            <w:tcW w:w="1701" w:type="dxa"/>
          </w:tcPr>
          <w:p w14:paraId="22C10FCA" w14:textId="77777777" w:rsidR="00DC3C60" w:rsidRPr="00DC3C60" w:rsidRDefault="00DC3C60" w:rsidP="00DC3C60">
            <w:pPr>
              <w:rPr>
                <w:rFonts w:ascii="Arial" w:hAnsi="Arial" w:cs="Arial"/>
                <w:b/>
                <w:sz w:val="18"/>
                <w:szCs w:val="18"/>
                <w:lang w:eastAsia="en-GB"/>
              </w:rPr>
            </w:pPr>
            <w:r w:rsidRPr="00DC3C60">
              <w:rPr>
                <w:rFonts w:ascii="Arial" w:hAnsi="Arial" w:cs="Arial"/>
                <w:sz w:val="18"/>
                <w:szCs w:val="18"/>
                <w:lang w:eastAsia="en-GB"/>
              </w:rPr>
              <w:t>Key area for quality improvement 2</w:t>
            </w:r>
          </w:p>
        </w:tc>
        <w:tc>
          <w:tcPr>
            <w:tcW w:w="4678" w:type="dxa"/>
          </w:tcPr>
          <w:p w14:paraId="638773B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According to Macmillan, there are no standardised national metrics looking at the quality of life of people diagnosed and treated for cancer.</w:t>
            </w:r>
          </w:p>
          <w:p w14:paraId="5E6F7B03" w14:textId="77777777" w:rsidR="00DC3C60" w:rsidRPr="00DC3C60" w:rsidRDefault="00DC3C60" w:rsidP="00DC3C60">
            <w:pPr>
              <w:rPr>
                <w:rFonts w:ascii="Arial" w:hAnsi="Arial" w:cs="Arial"/>
                <w:sz w:val="18"/>
                <w:szCs w:val="18"/>
                <w:lang w:eastAsia="en-GB"/>
              </w:rPr>
            </w:pPr>
          </w:p>
          <w:p w14:paraId="75CF1720" w14:textId="77777777" w:rsidR="00DC3C60" w:rsidRPr="00DC3C60" w:rsidRDefault="00DC3C60" w:rsidP="00DC3C60">
            <w:pPr>
              <w:rPr>
                <w:rFonts w:ascii="Arial" w:hAnsi="Arial" w:cs="Arial"/>
                <w:sz w:val="18"/>
                <w:szCs w:val="18"/>
              </w:rPr>
            </w:pPr>
            <w:bookmarkStart w:id="129" w:name="_Hlk72503515"/>
            <w:r w:rsidRPr="00DC3C60">
              <w:rPr>
                <w:rFonts w:ascii="Arial" w:hAnsi="Arial" w:cs="Arial"/>
                <w:b/>
                <w:sz w:val="18"/>
                <w:szCs w:val="18"/>
              </w:rPr>
              <w:t>Specific Quality of Life questionnaires for brain tumour patients</w:t>
            </w:r>
            <w:r w:rsidRPr="00DC3C60">
              <w:rPr>
                <w:rFonts w:ascii="Arial" w:hAnsi="Arial" w:cs="Arial"/>
                <w:sz w:val="18"/>
                <w:szCs w:val="18"/>
              </w:rPr>
              <w:t xml:space="preserve"> is required to enable accurate data collection </w:t>
            </w:r>
            <w:bookmarkEnd w:id="129"/>
            <w:r w:rsidRPr="00DC3C60">
              <w:rPr>
                <w:rFonts w:ascii="Arial" w:hAnsi="Arial" w:cs="Arial"/>
                <w:sz w:val="18"/>
                <w:szCs w:val="18"/>
              </w:rPr>
              <w:t>as a lot of the other tools available are generic and not CNS specific.  Brain tumours affect people’s cognition, memory, personality amongst others and we need more research into how to support this patient cohort and their carers</w:t>
            </w:r>
          </w:p>
        </w:tc>
        <w:tc>
          <w:tcPr>
            <w:tcW w:w="3119" w:type="dxa"/>
          </w:tcPr>
          <w:p w14:paraId="24B71C31"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Collecting information that reflects patients’ quality of life is a valuable resource that can then be used to make changes in care that focus on improving outcomes for patients.</w:t>
            </w:r>
          </w:p>
          <w:p w14:paraId="1FC13721" w14:textId="77777777" w:rsidR="00DC3C60" w:rsidRPr="00DC3C60" w:rsidRDefault="00DC3C60" w:rsidP="00DC3C60">
            <w:pPr>
              <w:rPr>
                <w:rFonts w:ascii="Arial" w:hAnsi="Arial" w:cs="Arial"/>
                <w:sz w:val="18"/>
                <w:szCs w:val="18"/>
                <w:lang w:eastAsia="en-GB"/>
              </w:rPr>
            </w:pPr>
          </w:p>
          <w:p w14:paraId="526CB0B9"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(Copied from </w:t>
            </w:r>
            <w:proofErr w:type="spellStart"/>
            <w:r w:rsidRPr="00DC3C60">
              <w:rPr>
                <w:rFonts w:ascii="Arial" w:hAnsi="Arial" w:cs="Arial"/>
                <w:sz w:val="18"/>
                <w:szCs w:val="18"/>
                <w:lang w:eastAsia="en-GB"/>
              </w:rPr>
              <w:t>Brainstrust</w:t>
            </w:r>
            <w:proofErr w:type="spellEnd"/>
            <w:r w:rsidRPr="00DC3C60">
              <w:rPr>
                <w:rFonts w:ascii="Arial" w:hAnsi="Arial" w:cs="Arial"/>
                <w:sz w:val="18"/>
                <w:szCs w:val="18"/>
                <w:lang w:eastAsia="en-GB"/>
              </w:rPr>
              <w:t xml:space="preserve"> website): “We know too that an improved quality of life for the brain tumour community means:</w:t>
            </w:r>
          </w:p>
          <w:p w14:paraId="2EC48AD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•Understanding your illness.</w:t>
            </w:r>
          </w:p>
          <w:p w14:paraId="450F2795"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•Exploring options for treatment and for living with the illness – to the best of your ability.</w:t>
            </w:r>
          </w:p>
          <w:p w14:paraId="716E51E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•Sourcing information, knowledge, help and advice.”</w:t>
            </w:r>
          </w:p>
          <w:p w14:paraId="3049BFEC" w14:textId="77777777" w:rsidR="00DC3C60" w:rsidRPr="00DC3C60" w:rsidRDefault="00DC3C60" w:rsidP="00DC3C60">
            <w:pPr>
              <w:rPr>
                <w:rFonts w:ascii="Arial" w:hAnsi="Arial" w:cs="Arial"/>
                <w:sz w:val="18"/>
                <w:szCs w:val="18"/>
                <w:lang w:eastAsia="en-GB"/>
              </w:rPr>
            </w:pPr>
          </w:p>
        </w:tc>
        <w:tc>
          <w:tcPr>
            <w:tcW w:w="3151" w:type="dxa"/>
          </w:tcPr>
          <w:p w14:paraId="18549DDF" w14:textId="77777777" w:rsidR="00DC3C60" w:rsidRPr="00DC3C60" w:rsidRDefault="001517CD" w:rsidP="00DC3C60">
            <w:pPr>
              <w:rPr>
                <w:rFonts w:ascii="Arial" w:hAnsi="Arial" w:cs="Arial"/>
                <w:sz w:val="18"/>
                <w:szCs w:val="18"/>
                <w:lang w:eastAsia="en-GB"/>
              </w:rPr>
            </w:pPr>
            <w:hyperlink r:id="rId100" w:history="1">
              <w:r w:rsidR="00DC3C60" w:rsidRPr="00DC3C60">
                <w:rPr>
                  <w:rFonts w:ascii="Arial" w:hAnsi="Arial" w:cs="Arial"/>
                  <w:color w:val="0000FF"/>
                  <w:sz w:val="18"/>
                  <w:szCs w:val="18"/>
                  <w:u w:val="single"/>
                  <w:lang w:eastAsia="en-GB"/>
                </w:rPr>
                <w:t>https://www.macmillan.org.uk/_images/quality-of-life_tcm9-355687.pdf</w:t>
              </w:r>
            </w:hyperlink>
            <w:r w:rsidR="00DC3C60" w:rsidRPr="00DC3C60">
              <w:rPr>
                <w:rFonts w:ascii="Arial" w:hAnsi="Arial" w:cs="Arial"/>
                <w:sz w:val="18"/>
                <w:szCs w:val="18"/>
                <w:lang w:eastAsia="en-GB"/>
              </w:rPr>
              <w:t xml:space="preserve"> </w:t>
            </w:r>
          </w:p>
          <w:p w14:paraId="01394563" w14:textId="77777777" w:rsidR="00DC3C60" w:rsidRPr="00DC3C60" w:rsidRDefault="00DC3C60" w:rsidP="00DC3C60">
            <w:pPr>
              <w:rPr>
                <w:rFonts w:ascii="Arial" w:hAnsi="Arial" w:cs="Arial"/>
                <w:sz w:val="18"/>
                <w:szCs w:val="18"/>
                <w:lang w:eastAsia="en-GB"/>
              </w:rPr>
            </w:pPr>
          </w:p>
          <w:p w14:paraId="0D27A47C" w14:textId="77777777" w:rsidR="00DC3C60" w:rsidRPr="00DC3C60" w:rsidRDefault="001517CD" w:rsidP="00DC3C60">
            <w:pPr>
              <w:rPr>
                <w:rFonts w:ascii="Arial" w:hAnsi="Arial" w:cs="Arial"/>
                <w:sz w:val="18"/>
                <w:szCs w:val="18"/>
                <w:lang w:eastAsia="en-GB"/>
              </w:rPr>
            </w:pPr>
            <w:hyperlink r:id="rId101" w:history="1">
              <w:r w:rsidR="00DC3C60" w:rsidRPr="00DC3C60">
                <w:rPr>
                  <w:rFonts w:ascii="Arial" w:hAnsi="Arial" w:cs="Arial"/>
                  <w:color w:val="0000FF"/>
                  <w:sz w:val="18"/>
                  <w:szCs w:val="18"/>
                  <w:u w:val="single"/>
                  <w:lang w:eastAsia="en-GB"/>
                </w:rPr>
                <w:t>https://brainstrust.org.uk/brain-tumour-support/our-campaigns/quality-of-life/</w:t>
              </w:r>
            </w:hyperlink>
            <w:r w:rsidR="00DC3C60" w:rsidRPr="00DC3C60">
              <w:rPr>
                <w:rFonts w:ascii="Arial" w:hAnsi="Arial" w:cs="Arial"/>
                <w:sz w:val="18"/>
                <w:szCs w:val="18"/>
                <w:lang w:eastAsia="en-GB"/>
              </w:rPr>
              <w:t xml:space="preserve"> </w:t>
            </w:r>
          </w:p>
          <w:p w14:paraId="44DDE165" w14:textId="77777777" w:rsidR="00DC3C60" w:rsidRPr="00DC3C60" w:rsidRDefault="00DC3C60" w:rsidP="00DC3C60">
            <w:pPr>
              <w:rPr>
                <w:rFonts w:ascii="Arial" w:hAnsi="Arial" w:cs="Arial"/>
                <w:sz w:val="18"/>
                <w:szCs w:val="18"/>
                <w:lang w:eastAsia="en-GB"/>
              </w:rPr>
            </w:pPr>
          </w:p>
          <w:p w14:paraId="0F1CB573" w14:textId="77777777" w:rsidR="00DC3C60" w:rsidRPr="00DC3C60" w:rsidRDefault="001517CD" w:rsidP="00DC3C60">
            <w:pPr>
              <w:rPr>
                <w:rFonts w:ascii="Arial" w:hAnsi="Arial" w:cs="Arial"/>
                <w:sz w:val="18"/>
                <w:szCs w:val="18"/>
              </w:rPr>
            </w:pPr>
            <w:hyperlink r:id="rId102" w:history="1">
              <w:r w:rsidR="00DC3C60" w:rsidRPr="00DC3C60">
                <w:rPr>
                  <w:rFonts w:ascii="Arial" w:hAnsi="Arial" w:cs="Arial"/>
                  <w:color w:val="0000FF"/>
                  <w:sz w:val="18"/>
                  <w:szCs w:val="18"/>
                  <w:u w:val="single"/>
                </w:rPr>
                <w:t>https://www.thebraintumourcharity.org/living-with-a-brain-tumour/brian/</w:t>
              </w:r>
            </w:hyperlink>
            <w:r w:rsidR="00DC3C60" w:rsidRPr="00DC3C60">
              <w:rPr>
                <w:rFonts w:ascii="Arial" w:hAnsi="Arial" w:cs="Arial"/>
                <w:sz w:val="18"/>
                <w:szCs w:val="18"/>
              </w:rPr>
              <w:t xml:space="preserve"> </w:t>
            </w:r>
          </w:p>
        </w:tc>
      </w:tr>
      <w:tr w:rsidR="00DC3C60" w:rsidRPr="00DC3C60" w14:paraId="212B3D27" w14:textId="77777777" w:rsidTr="003635EE">
        <w:trPr>
          <w:trHeight w:val="282"/>
        </w:trPr>
        <w:tc>
          <w:tcPr>
            <w:tcW w:w="15025" w:type="dxa"/>
            <w:gridSpan w:val="6"/>
          </w:tcPr>
          <w:p w14:paraId="02D7858E" w14:textId="77777777" w:rsidR="00DC3C60" w:rsidRPr="00DC3C60" w:rsidRDefault="00DC3C60" w:rsidP="00DC3C60">
            <w:pPr>
              <w:rPr>
                <w:rFonts w:ascii="Arial" w:hAnsi="Arial" w:cs="Arial"/>
                <w:b/>
                <w:bCs/>
                <w:sz w:val="18"/>
                <w:szCs w:val="18"/>
                <w:lang w:eastAsia="en-GB"/>
              </w:rPr>
            </w:pPr>
            <w:r w:rsidRPr="00DC3C60">
              <w:rPr>
                <w:rFonts w:ascii="Arial" w:hAnsi="Arial" w:cs="Arial"/>
                <w:b/>
                <w:bCs/>
                <w:sz w:val="18"/>
                <w:szCs w:val="18"/>
                <w:lang w:eastAsia="en-GB"/>
              </w:rPr>
              <w:t>General</w:t>
            </w:r>
          </w:p>
        </w:tc>
      </w:tr>
      <w:tr w:rsidR="00DC3C60" w:rsidRPr="00DC3C60" w14:paraId="00692B4D" w14:textId="77777777" w:rsidTr="003635EE">
        <w:trPr>
          <w:trHeight w:val="282"/>
        </w:trPr>
        <w:tc>
          <w:tcPr>
            <w:tcW w:w="675" w:type="dxa"/>
          </w:tcPr>
          <w:p w14:paraId="12D5CD3A" w14:textId="760BED68"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7</w:t>
            </w:r>
            <w:r>
              <w:rPr>
                <w:rFonts w:ascii="Arial" w:hAnsi="Arial" w:cs="Arial"/>
                <w:sz w:val="18"/>
                <w:szCs w:val="18"/>
                <w:lang w:eastAsia="en-GB"/>
              </w:rPr>
              <w:t>3</w:t>
            </w:r>
          </w:p>
        </w:tc>
        <w:tc>
          <w:tcPr>
            <w:tcW w:w="1701" w:type="dxa"/>
          </w:tcPr>
          <w:p w14:paraId="2F2EDC33"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NCRI-ACP-RCP</w:t>
            </w:r>
          </w:p>
        </w:tc>
        <w:tc>
          <w:tcPr>
            <w:tcW w:w="1701" w:type="dxa"/>
          </w:tcPr>
          <w:p w14:paraId="33C257DC" w14:textId="77777777" w:rsidR="00DC3C60" w:rsidRPr="00DC3C60" w:rsidRDefault="00DC3C60" w:rsidP="00DC3C60">
            <w:pPr>
              <w:rPr>
                <w:rFonts w:ascii="Arial" w:hAnsi="Arial" w:cs="Arial"/>
                <w:bCs/>
                <w:sz w:val="22"/>
                <w:lang w:eastAsia="en-GB"/>
              </w:rPr>
            </w:pPr>
            <w:r w:rsidRPr="00DC3C60">
              <w:rPr>
                <w:rFonts w:ascii="Arial" w:hAnsi="Arial" w:cs="Arial"/>
                <w:sz w:val="18"/>
                <w:szCs w:val="18"/>
                <w:lang w:eastAsia="en-GB"/>
              </w:rPr>
              <w:t>General</w:t>
            </w:r>
          </w:p>
        </w:tc>
        <w:tc>
          <w:tcPr>
            <w:tcW w:w="4678" w:type="dxa"/>
          </w:tcPr>
          <w:p w14:paraId="41B169C4"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rPr>
              <w:t>General</w:t>
            </w:r>
          </w:p>
        </w:tc>
        <w:tc>
          <w:tcPr>
            <w:tcW w:w="3119" w:type="dxa"/>
          </w:tcPr>
          <w:p w14:paraId="4E334BAF" w14:textId="77777777" w:rsidR="00DC3C60" w:rsidRPr="00DC3C60" w:rsidRDefault="00DC3C60" w:rsidP="00DC3C60">
            <w:pPr>
              <w:rPr>
                <w:rFonts w:ascii="Arial" w:hAnsi="Arial" w:cs="Arial"/>
                <w:sz w:val="22"/>
                <w:lang w:eastAsia="en-GB"/>
              </w:rPr>
            </w:pPr>
            <w:r w:rsidRPr="00DC3C60">
              <w:rPr>
                <w:rFonts w:ascii="Arial" w:hAnsi="Arial" w:cs="Arial"/>
                <w:sz w:val="18"/>
                <w:szCs w:val="18"/>
                <w:lang w:eastAsia="en-GB"/>
              </w:rPr>
              <w:t>General</w:t>
            </w:r>
          </w:p>
        </w:tc>
        <w:tc>
          <w:tcPr>
            <w:tcW w:w="3151" w:type="dxa"/>
          </w:tcPr>
          <w:p w14:paraId="20EB5D5B" w14:textId="77777777" w:rsidR="00DC3C60" w:rsidRPr="00DC3C60" w:rsidRDefault="00DC3C60" w:rsidP="00DC3C60">
            <w:pPr>
              <w:rPr>
                <w:rFonts w:ascii="Arial" w:hAnsi="Arial" w:cs="Arial"/>
                <w:sz w:val="22"/>
                <w:szCs w:val="22"/>
              </w:rPr>
            </w:pPr>
            <w:r w:rsidRPr="00DC3C60">
              <w:rPr>
                <w:rFonts w:ascii="Arial" w:hAnsi="Arial" w:cs="Arial"/>
                <w:sz w:val="18"/>
                <w:szCs w:val="18"/>
                <w:lang w:eastAsia="en-GB"/>
              </w:rPr>
              <w:t>The NCRI-ACP-RCP is grateful for the opportunity to respond to the above consultation. We have liaised with our experts who have suggested we emulate the four Scottish QPIs which I have pasted below for ease of reference. We have also included one original key area for quality improvement.</w:t>
            </w:r>
          </w:p>
        </w:tc>
      </w:tr>
      <w:tr w:rsidR="00DC3C60" w:rsidRPr="00DC3C60" w14:paraId="2E0F4DE2" w14:textId="77777777" w:rsidTr="003635EE">
        <w:trPr>
          <w:trHeight w:val="282"/>
        </w:trPr>
        <w:tc>
          <w:tcPr>
            <w:tcW w:w="675" w:type="dxa"/>
          </w:tcPr>
          <w:p w14:paraId="5DAEE823" w14:textId="047B9A8A"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7</w:t>
            </w:r>
            <w:r>
              <w:rPr>
                <w:rFonts w:ascii="Arial" w:hAnsi="Arial" w:cs="Arial"/>
                <w:sz w:val="18"/>
                <w:szCs w:val="18"/>
                <w:lang w:eastAsia="en-GB"/>
              </w:rPr>
              <w:t>4</w:t>
            </w:r>
          </w:p>
        </w:tc>
        <w:tc>
          <w:tcPr>
            <w:tcW w:w="1701" w:type="dxa"/>
          </w:tcPr>
          <w:p w14:paraId="1A0C6547"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Society and College of Radiographers</w:t>
            </w:r>
          </w:p>
        </w:tc>
        <w:tc>
          <w:tcPr>
            <w:tcW w:w="1701" w:type="dxa"/>
          </w:tcPr>
          <w:p w14:paraId="68961F7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2</w:t>
            </w:r>
          </w:p>
        </w:tc>
        <w:tc>
          <w:tcPr>
            <w:tcW w:w="4678" w:type="dxa"/>
          </w:tcPr>
          <w:p w14:paraId="624328A5" w14:textId="77777777" w:rsidR="00DC3C60" w:rsidRPr="00DC3C60" w:rsidRDefault="00DC3C60" w:rsidP="00DC3C60">
            <w:pPr>
              <w:rPr>
                <w:rFonts w:ascii="Arial" w:hAnsi="Arial" w:cs="Arial"/>
                <w:sz w:val="18"/>
                <w:szCs w:val="18"/>
                <w:lang w:eastAsia="en-GB"/>
              </w:rPr>
            </w:pPr>
          </w:p>
        </w:tc>
        <w:tc>
          <w:tcPr>
            <w:tcW w:w="3119" w:type="dxa"/>
          </w:tcPr>
          <w:p w14:paraId="457B3628" w14:textId="77777777" w:rsidR="00DC3C60" w:rsidRPr="00DC3C60" w:rsidRDefault="00DC3C60" w:rsidP="00DC3C60">
            <w:pPr>
              <w:rPr>
                <w:rFonts w:ascii="Arial" w:hAnsi="Arial" w:cs="Arial"/>
                <w:sz w:val="18"/>
                <w:szCs w:val="18"/>
                <w:lang w:eastAsia="en-GB"/>
              </w:rPr>
            </w:pPr>
          </w:p>
        </w:tc>
        <w:tc>
          <w:tcPr>
            <w:tcW w:w="3151" w:type="dxa"/>
          </w:tcPr>
          <w:p w14:paraId="22D96BCF"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 xml:space="preserve">The </w:t>
            </w:r>
            <w:proofErr w:type="spellStart"/>
            <w:r w:rsidRPr="00DC3C60">
              <w:rPr>
                <w:rFonts w:ascii="Arial" w:hAnsi="Arial" w:cs="Arial"/>
                <w:sz w:val="18"/>
                <w:szCs w:val="18"/>
                <w:lang w:eastAsia="en-GB"/>
              </w:rPr>
              <w:t>SCoR</w:t>
            </w:r>
            <w:proofErr w:type="spellEnd"/>
            <w:r w:rsidRPr="00DC3C60">
              <w:rPr>
                <w:rFonts w:ascii="Arial" w:hAnsi="Arial" w:cs="Arial"/>
                <w:sz w:val="18"/>
                <w:szCs w:val="18"/>
                <w:lang w:eastAsia="en-GB"/>
              </w:rPr>
              <w:t xml:space="preserve"> would also comment around age, the key development sources and a related quality standard all vary a bit:</w:t>
            </w:r>
          </w:p>
          <w:p w14:paraId="0A099E6C"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NG 127 Suspected neurological conditions: recognition and referral is over 16</w:t>
            </w:r>
            <w:r w:rsidRPr="00DC3C60">
              <w:rPr>
                <w:rFonts w:ascii="Arial" w:hAnsi="Arial" w:cs="Arial"/>
                <w:sz w:val="18"/>
                <w:szCs w:val="18"/>
                <w:lang w:eastAsia="en-GB"/>
              </w:rPr>
              <w:br/>
              <w:t>NG 99 Existing Brain tumours (primary) and brain metastases in adults is over 16</w:t>
            </w:r>
            <w:r w:rsidRPr="00DC3C60">
              <w:rPr>
                <w:rFonts w:ascii="Arial" w:hAnsi="Arial" w:cs="Arial"/>
                <w:sz w:val="18"/>
                <w:szCs w:val="18"/>
                <w:lang w:eastAsia="en-GB"/>
              </w:rPr>
              <w:br/>
              <w:t>NG 12 Suspected cancer: recognition and referral covers children, young people and adults</w:t>
            </w:r>
            <w:r w:rsidRPr="00DC3C60">
              <w:rPr>
                <w:rFonts w:ascii="Arial" w:hAnsi="Arial" w:cs="Arial"/>
                <w:sz w:val="18"/>
                <w:szCs w:val="18"/>
                <w:lang w:eastAsia="en-GB"/>
              </w:rPr>
              <w:br/>
              <w:t>QS 42 Headaches in over 12s</w:t>
            </w:r>
          </w:p>
        </w:tc>
      </w:tr>
      <w:tr w:rsidR="00DC3C60" w:rsidRPr="00DC3C60" w14:paraId="14DAEA08" w14:textId="77777777" w:rsidTr="003635EE">
        <w:trPr>
          <w:trHeight w:val="282"/>
        </w:trPr>
        <w:tc>
          <w:tcPr>
            <w:tcW w:w="675" w:type="dxa"/>
          </w:tcPr>
          <w:p w14:paraId="1C2B96DE" w14:textId="1728F0AF"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7</w:t>
            </w:r>
            <w:r>
              <w:rPr>
                <w:rFonts w:ascii="Arial" w:hAnsi="Arial" w:cs="Arial"/>
                <w:sz w:val="18"/>
                <w:szCs w:val="18"/>
                <w:lang w:eastAsia="en-GB"/>
              </w:rPr>
              <w:t>5</w:t>
            </w:r>
          </w:p>
        </w:tc>
        <w:tc>
          <w:tcPr>
            <w:tcW w:w="1701" w:type="dxa"/>
          </w:tcPr>
          <w:p w14:paraId="4F478C3A"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Society and College of Radiographers</w:t>
            </w:r>
          </w:p>
        </w:tc>
        <w:tc>
          <w:tcPr>
            <w:tcW w:w="1701" w:type="dxa"/>
          </w:tcPr>
          <w:p w14:paraId="06DB7526"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Key area for quality improvement 3</w:t>
            </w:r>
          </w:p>
        </w:tc>
        <w:tc>
          <w:tcPr>
            <w:tcW w:w="4678" w:type="dxa"/>
          </w:tcPr>
          <w:p w14:paraId="2C29F1BF" w14:textId="77777777" w:rsidR="00DC3C60" w:rsidRPr="00DC3C60" w:rsidRDefault="00DC3C60" w:rsidP="00DC3C60">
            <w:pPr>
              <w:rPr>
                <w:rFonts w:ascii="Arial" w:hAnsi="Arial" w:cs="Arial"/>
                <w:sz w:val="18"/>
                <w:szCs w:val="18"/>
                <w:lang w:eastAsia="en-GB"/>
              </w:rPr>
            </w:pPr>
          </w:p>
        </w:tc>
        <w:tc>
          <w:tcPr>
            <w:tcW w:w="3119" w:type="dxa"/>
          </w:tcPr>
          <w:p w14:paraId="602BF60A" w14:textId="77777777" w:rsidR="00DC3C60" w:rsidRPr="00DC3C60" w:rsidRDefault="00DC3C60" w:rsidP="00DC3C60">
            <w:pPr>
              <w:rPr>
                <w:rFonts w:ascii="Arial" w:hAnsi="Arial" w:cs="Arial"/>
                <w:sz w:val="18"/>
                <w:szCs w:val="18"/>
                <w:lang w:eastAsia="en-GB"/>
              </w:rPr>
            </w:pPr>
          </w:p>
        </w:tc>
        <w:tc>
          <w:tcPr>
            <w:tcW w:w="3151" w:type="dxa"/>
          </w:tcPr>
          <w:p w14:paraId="118ACCAE" w14:textId="77777777" w:rsidR="00DC3C60" w:rsidRPr="00DC3C60" w:rsidRDefault="00DC3C60" w:rsidP="00DC3C60">
            <w:pPr>
              <w:rPr>
                <w:rFonts w:ascii="Arial" w:hAnsi="Arial" w:cs="Arial"/>
                <w:sz w:val="18"/>
                <w:szCs w:val="18"/>
                <w:lang w:eastAsia="en-GB"/>
              </w:rPr>
            </w:pPr>
            <w:r w:rsidRPr="00DC3C60">
              <w:rPr>
                <w:rFonts w:ascii="Arial" w:hAnsi="Arial" w:cs="Arial"/>
                <w:sz w:val="18"/>
                <w:szCs w:val="18"/>
                <w:lang w:eastAsia="en-GB"/>
              </w:rPr>
              <w:t>The NICE clinical knowledge summary  </w:t>
            </w:r>
            <w:hyperlink r:id="rId103" w:anchor="!diagnosisSub" w:history="1">
              <w:r w:rsidRPr="00DC3C60">
                <w:rPr>
                  <w:rFonts w:ascii="Arial" w:hAnsi="Arial" w:cs="Arial"/>
                  <w:sz w:val="18"/>
                  <w:szCs w:val="18"/>
                  <w:lang w:eastAsia="en-GB"/>
                </w:rPr>
                <w:t>https://cks.nice.org.uk/childhood-cancers-recognition-and-referral#!diagnosisSub</w:t>
              </w:r>
            </w:hyperlink>
            <w:r w:rsidRPr="00DC3C60">
              <w:rPr>
                <w:rFonts w:ascii="Arial" w:hAnsi="Arial" w:cs="Arial"/>
                <w:sz w:val="18"/>
                <w:szCs w:val="18"/>
                <w:lang w:eastAsia="en-GB"/>
              </w:rPr>
              <w:t xml:space="preserve"> recognises that in practice young people (aged 16-24) may be referred using either an adult or children's pathway depending on their age and local arrangements.</w:t>
            </w:r>
          </w:p>
        </w:tc>
      </w:tr>
    </w:tbl>
    <w:p w14:paraId="7867CEC1" w14:textId="5F325D1D" w:rsidR="00626943" w:rsidRDefault="00626943" w:rsidP="007D58AD">
      <w:pPr>
        <w:pStyle w:val="Paragraph"/>
      </w:pPr>
    </w:p>
    <w:sectPr w:rsidR="00626943" w:rsidSect="00F85801">
      <w:pgSz w:w="16838" w:h="11906" w:orient="landscape"/>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6A55B" w14:textId="77777777" w:rsidR="003E721C" w:rsidRDefault="003E721C" w:rsidP="00446BEE">
      <w:r>
        <w:separator/>
      </w:r>
    </w:p>
    <w:p w14:paraId="0FD274B8" w14:textId="77777777" w:rsidR="003E721C" w:rsidRDefault="003E721C"/>
  </w:endnote>
  <w:endnote w:type="continuationSeparator" w:id="0">
    <w:p w14:paraId="4CD14882" w14:textId="77777777" w:rsidR="003E721C" w:rsidRDefault="003E721C" w:rsidP="00446BEE">
      <w:r>
        <w:continuationSeparator/>
      </w:r>
    </w:p>
    <w:p w14:paraId="13D7938C" w14:textId="77777777" w:rsidR="003E721C" w:rsidRDefault="003E721C"/>
  </w:endnote>
  <w:endnote w:id="1">
    <w:p w14:paraId="2D50FEF0" w14:textId="77777777" w:rsidR="00DC3C60" w:rsidRPr="00840259" w:rsidRDefault="00DC3C60" w:rsidP="00DC3C60">
      <w:pPr>
        <w:ind w:left="284" w:hanging="284"/>
        <w:rPr>
          <w:rFonts w:ascii="Arial" w:hAnsi="Arial" w:cs="Arial"/>
          <w:color w:val="000000"/>
          <w:sz w:val="18"/>
          <w:szCs w:val="18"/>
        </w:rPr>
      </w:pPr>
      <w:r w:rsidRPr="00840259">
        <w:rPr>
          <w:rStyle w:val="TitleChar"/>
          <w:color w:val="000000"/>
          <w:sz w:val="18"/>
          <w:szCs w:val="18"/>
        </w:rPr>
        <w:endnoteRef/>
      </w:r>
      <w:r w:rsidRPr="00840259">
        <w:rPr>
          <w:rFonts w:ascii="Arial" w:hAnsi="Arial" w:cs="Arial"/>
          <w:color w:val="000000"/>
          <w:sz w:val="18"/>
          <w:szCs w:val="18"/>
        </w:rPr>
        <w:t xml:space="preserve"> </w:t>
      </w:r>
      <w:hyperlink r:id="rId1" w:history="1">
        <w:r w:rsidRPr="00840259">
          <w:rPr>
            <w:rFonts w:ascii="Arial" w:hAnsi="Arial" w:cs="Arial"/>
            <w:color w:val="000000"/>
            <w:sz w:val="18"/>
            <w:szCs w:val="18"/>
          </w:rPr>
          <w:t>Brain tumours (primary) and brain metastases in adults</w:t>
        </w:r>
      </w:hyperlink>
      <w:r w:rsidRPr="00840259">
        <w:rPr>
          <w:rFonts w:ascii="Arial" w:hAnsi="Arial" w:cs="Arial"/>
          <w:color w:val="000000"/>
          <w:sz w:val="18"/>
          <w:szCs w:val="18"/>
        </w:rPr>
        <w:t xml:space="preserve"> (2018) NICE guideline NG99</w:t>
      </w:r>
    </w:p>
  </w:endnote>
  <w:endnote w:id="2">
    <w:p w14:paraId="17510259" w14:textId="77777777" w:rsidR="00DC3C60" w:rsidRPr="00840259" w:rsidRDefault="00DC3C60" w:rsidP="00DC3C60">
      <w:pPr>
        <w:pStyle w:val="EndnoteText1"/>
        <w:rPr>
          <w:rFonts w:ascii="Arial" w:hAnsi="Arial" w:cs="Arial"/>
          <w:color w:val="000000"/>
          <w:sz w:val="18"/>
          <w:szCs w:val="18"/>
        </w:rPr>
      </w:pPr>
      <w:r w:rsidRPr="00840259">
        <w:rPr>
          <w:rStyle w:val="TitleChar"/>
          <w:color w:val="000000"/>
          <w:sz w:val="18"/>
          <w:szCs w:val="18"/>
        </w:rPr>
        <w:endnoteRef/>
      </w:r>
      <w:r w:rsidRPr="00840259">
        <w:rPr>
          <w:rFonts w:ascii="Arial" w:hAnsi="Arial" w:cs="Arial"/>
          <w:color w:val="000000"/>
          <w:sz w:val="18"/>
          <w:szCs w:val="18"/>
        </w:rPr>
        <w:t xml:space="preserve"> British Journal of General Practice (2018) </w:t>
      </w:r>
      <w:hyperlink r:id="rId2" w:history="1">
        <w:r w:rsidRPr="00840259">
          <w:rPr>
            <w:rFonts w:ascii="Arial" w:hAnsi="Arial" w:cs="Arial"/>
            <w:color w:val="000000"/>
            <w:sz w:val="18"/>
            <w:szCs w:val="18"/>
          </w:rPr>
          <w:t>Diagnosing cancer in primary care: results from the National Cancer Diagnosis Audit</w:t>
        </w:r>
      </w:hyperlink>
    </w:p>
  </w:endnote>
  <w:endnote w:id="3">
    <w:p w14:paraId="19D3DCE9" w14:textId="77777777" w:rsidR="00DC3C60" w:rsidRPr="00840259" w:rsidRDefault="00DC3C60" w:rsidP="00DC3C60">
      <w:pPr>
        <w:ind w:left="284" w:hanging="284"/>
        <w:rPr>
          <w:rFonts w:ascii="Arial" w:hAnsi="Arial" w:cs="Arial"/>
          <w:color w:val="000000"/>
          <w:sz w:val="18"/>
          <w:szCs w:val="18"/>
        </w:rPr>
      </w:pPr>
      <w:r w:rsidRPr="00840259">
        <w:rPr>
          <w:rStyle w:val="TitleChar"/>
          <w:color w:val="000000"/>
          <w:sz w:val="18"/>
          <w:szCs w:val="18"/>
        </w:rPr>
        <w:endnoteRef/>
      </w:r>
      <w:r w:rsidRPr="00840259">
        <w:rPr>
          <w:rFonts w:ascii="Arial" w:hAnsi="Arial" w:cs="Arial"/>
          <w:color w:val="000000"/>
          <w:sz w:val="18"/>
          <w:szCs w:val="18"/>
        </w:rPr>
        <w:t xml:space="preserve"> </w:t>
      </w:r>
      <w:hyperlink r:id="rId3" w:history="1">
        <w:r w:rsidRPr="00840259">
          <w:rPr>
            <w:rFonts w:ascii="Arial" w:hAnsi="Arial" w:cs="Arial"/>
            <w:color w:val="000000"/>
            <w:sz w:val="18"/>
            <w:szCs w:val="18"/>
          </w:rPr>
          <w:t>Suspected cancer: recognition and referral</w:t>
        </w:r>
      </w:hyperlink>
      <w:r w:rsidRPr="00840259">
        <w:rPr>
          <w:rFonts w:ascii="Arial" w:hAnsi="Arial" w:cs="Arial"/>
          <w:color w:val="000000"/>
          <w:sz w:val="18"/>
          <w:szCs w:val="18"/>
        </w:rPr>
        <w:t xml:space="preserve"> (2015, updated 2017) NICE guideline NG12</w:t>
      </w:r>
    </w:p>
  </w:endnote>
  <w:endnote w:id="4">
    <w:p w14:paraId="6FCEA28B" w14:textId="77777777" w:rsidR="00DC3C60" w:rsidRPr="00840259" w:rsidRDefault="00DC3C60" w:rsidP="00DC3C60">
      <w:pPr>
        <w:rPr>
          <w:rFonts w:ascii="Arial" w:hAnsi="Arial" w:cs="Arial"/>
          <w:sz w:val="18"/>
          <w:szCs w:val="18"/>
        </w:rPr>
      </w:pPr>
      <w:r w:rsidRPr="00840259">
        <w:rPr>
          <w:rStyle w:val="EndnoteReference"/>
          <w:rFonts w:ascii="Arial" w:hAnsi="Arial" w:cs="Arial"/>
          <w:sz w:val="18"/>
          <w:szCs w:val="18"/>
        </w:rPr>
        <w:endnoteRef/>
      </w:r>
      <w:r w:rsidRPr="00840259">
        <w:rPr>
          <w:rFonts w:ascii="Arial" w:hAnsi="Arial" w:cs="Arial"/>
          <w:sz w:val="18"/>
          <w:szCs w:val="18"/>
        </w:rPr>
        <w:t xml:space="preserve"> </w:t>
      </w:r>
      <w:hyperlink r:id="rId4" w:history="1">
        <w:r w:rsidRPr="00840259">
          <w:rPr>
            <w:rStyle w:val="Hyperlink"/>
            <w:rFonts w:ascii="Arial" w:hAnsi="Arial" w:cs="Arial"/>
            <w:sz w:val="18"/>
            <w:szCs w:val="18"/>
          </w:rPr>
          <w:t>Suspected neurological conditions</w:t>
        </w:r>
      </w:hyperlink>
      <w:r w:rsidRPr="00840259">
        <w:rPr>
          <w:rFonts w:ascii="Arial" w:hAnsi="Arial" w:cs="Arial"/>
          <w:sz w:val="18"/>
          <w:szCs w:val="18"/>
        </w:rPr>
        <w:t xml:space="preserve"> (2021) NICE quality standard 198</w:t>
      </w:r>
    </w:p>
    <w:p w14:paraId="653EAEC5" w14:textId="77777777" w:rsidR="00DC3C60" w:rsidRDefault="00DC3C60" w:rsidP="00DC3C60">
      <w:pPr>
        <w:pStyle w:val="EndnoteText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636B" w14:textId="77777777" w:rsidR="00884DA5" w:rsidRDefault="00884DA5" w:rsidP="0029335E">
    <w:pPr>
      <w:pStyle w:val="Footer"/>
      <w:jc w:val="right"/>
    </w:pP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A347" w14:textId="77777777" w:rsidR="00884DA5" w:rsidRDefault="00884DA5">
    <w:pPr>
      <w:pStyle w:val="Footer"/>
      <w:jc w:val="right"/>
    </w:pPr>
    <w:r>
      <w:fldChar w:fldCharType="begin"/>
    </w:r>
    <w:r>
      <w:instrText xml:space="preserve"> PAGE   \* MERGEFORMAT </w:instrText>
    </w:r>
    <w:r>
      <w:fldChar w:fldCharType="separate"/>
    </w:r>
    <w:r>
      <w:rPr>
        <w:noProof/>
      </w:rPr>
      <w:t>1</w:t>
    </w:r>
    <w:r>
      <w:rPr>
        <w:noProof/>
      </w:rPr>
      <w:fldChar w:fldCharType="end"/>
    </w:r>
  </w:p>
  <w:p w14:paraId="2617A1AD" w14:textId="77777777" w:rsidR="00884DA5" w:rsidRDefault="00884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9F4D4" w14:textId="77777777" w:rsidR="003E721C" w:rsidRDefault="003E721C" w:rsidP="00446BEE">
      <w:r>
        <w:separator/>
      </w:r>
    </w:p>
    <w:p w14:paraId="14423DB0" w14:textId="77777777" w:rsidR="003E721C" w:rsidRDefault="003E721C"/>
  </w:footnote>
  <w:footnote w:type="continuationSeparator" w:id="0">
    <w:p w14:paraId="18A12F5F" w14:textId="77777777" w:rsidR="003E721C" w:rsidRDefault="003E721C" w:rsidP="00446BEE">
      <w:r>
        <w:continuationSeparator/>
      </w:r>
    </w:p>
    <w:p w14:paraId="7AA303E2" w14:textId="77777777" w:rsidR="003E721C" w:rsidRDefault="003E72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3610"/>
    <w:multiLevelType w:val="hybridMultilevel"/>
    <w:tmpl w:val="79FE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00F17"/>
    <w:multiLevelType w:val="hybridMultilevel"/>
    <w:tmpl w:val="1A6AD8CE"/>
    <w:lvl w:ilvl="0" w:tplc="D160C61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8B8F638">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5612685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A298545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3FF882AC">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6F7667A4">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7B38832E">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5C4535C">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5BE8480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F1645C"/>
    <w:multiLevelType w:val="hybridMultilevel"/>
    <w:tmpl w:val="BBFC5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B15797"/>
    <w:multiLevelType w:val="hybridMultilevel"/>
    <w:tmpl w:val="C28C0936"/>
    <w:lvl w:ilvl="0" w:tplc="B574A9B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 w15:restartNumberingAfterBreak="0">
    <w:nsid w:val="1A2E1B32"/>
    <w:multiLevelType w:val="hybridMultilevel"/>
    <w:tmpl w:val="0DBA0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AD519A3"/>
    <w:multiLevelType w:val="hybridMultilevel"/>
    <w:tmpl w:val="4BBAAE06"/>
    <w:lvl w:ilvl="0" w:tplc="C0866E7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42947F12">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55C0F6FA">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98CBFE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B8853C8">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488F4DA">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DBC6BCBC">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042A1EB8">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844EBA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CC3584"/>
    <w:multiLevelType w:val="multilevel"/>
    <w:tmpl w:val="98404216"/>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9" w15:restartNumberingAfterBreak="0">
    <w:nsid w:val="32EE1F06"/>
    <w:multiLevelType w:val="hybridMultilevel"/>
    <w:tmpl w:val="E7B4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3399F"/>
    <w:multiLevelType w:val="hybridMultilevel"/>
    <w:tmpl w:val="85F0C0CE"/>
    <w:lvl w:ilvl="0" w:tplc="27A0950A">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6E82B5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FBCBFFE">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1E46A8F8">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9DB6CF6A">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A1FA64C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3BAED93C">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6DA032E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95C677E6">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CB80E89"/>
    <w:multiLevelType w:val="hybridMultilevel"/>
    <w:tmpl w:val="E812A76C"/>
    <w:lvl w:ilvl="0" w:tplc="47981BBA">
      <w:start w:val="1"/>
      <w:numFmt w:val="bullet"/>
      <w:pStyle w:val="Bulle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8C68F9"/>
    <w:multiLevelType w:val="hybridMultilevel"/>
    <w:tmpl w:val="EA9E5B74"/>
    <w:lvl w:ilvl="0" w:tplc="02CA46DA">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AFE0C7FE">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D8891A">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0D0A9EB0">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480C46C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9196BEA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AAAAD24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D416CC0C">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8D42ADD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5453062"/>
    <w:multiLevelType w:val="hybridMultilevel"/>
    <w:tmpl w:val="D1A65A98"/>
    <w:lvl w:ilvl="0" w:tplc="7C5AF75A">
      <w:numFmt w:val="bullet"/>
      <w:lvlText w:val="-"/>
      <w:lvlJc w:val="left"/>
      <w:pPr>
        <w:ind w:left="720" w:hanging="360"/>
      </w:pPr>
      <w:rPr>
        <w:rFonts w:ascii="Arial" w:eastAsia="Times New Roman" w:hAnsi="Arial" w:cs="Aria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7F411D"/>
    <w:multiLevelType w:val="hybridMultilevel"/>
    <w:tmpl w:val="88A0D586"/>
    <w:styleLink w:val="ImportedStyle3"/>
    <w:lvl w:ilvl="0" w:tplc="F6E08676">
      <w:start w:val="1"/>
      <w:numFmt w:val="bullet"/>
      <w:lvlText w:val="•"/>
      <w:lvlJc w:val="left"/>
      <w:pPr>
        <w:ind w:left="1080" w:hanging="72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5DC85E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25EEF0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4FE33C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024E724">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BF8608E">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6B62D6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194EDB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51A80D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2D5A58"/>
    <w:multiLevelType w:val="multilevel"/>
    <w:tmpl w:val="6F6C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6F2189"/>
    <w:multiLevelType w:val="hybridMultilevel"/>
    <w:tmpl w:val="182A4744"/>
    <w:lvl w:ilvl="0" w:tplc="937C89E4">
      <w:start w:val="1"/>
      <w:numFmt w:val="bullet"/>
      <w:pStyle w:val="Bulletstable"/>
      <w:lvlText w:val=""/>
      <w:lvlJc w:val="left"/>
      <w:pPr>
        <w:ind w:left="908" w:hanging="454"/>
      </w:pPr>
      <w:rPr>
        <w:rFonts w:ascii="Symbol" w:hAnsi="Symbol" w:hint="default"/>
      </w:rPr>
    </w:lvl>
    <w:lvl w:ilvl="1" w:tplc="08090003">
      <w:start w:val="1"/>
      <w:numFmt w:val="bullet"/>
      <w:lvlText w:val="o"/>
      <w:lvlJc w:val="left"/>
      <w:pPr>
        <w:ind w:left="1214" w:hanging="360"/>
      </w:pPr>
      <w:rPr>
        <w:rFonts w:ascii="Courier New" w:hAnsi="Courier New" w:cs="Courier New" w:hint="default"/>
      </w:rPr>
    </w:lvl>
    <w:lvl w:ilvl="2" w:tplc="E4BEE080">
      <w:numFmt w:val="bullet"/>
      <w:lvlText w:val="•"/>
      <w:lvlJc w:val="left"/>
      <w:pPr>
        <w:ind w:left="1934" w:hanging="360"/>
      </w:pPr>
      <w:rPr>
        <w:rFonts w:ascii="Arial" w:eastAsia="Times New Roman" w:hAnsi="Arial" w:cs="Arial" w:hint="default"/>
      </w:rPr>
    </w:lvl>
    <w:lvl w:ilvl="3" w:tplc="08090001" w:tentative="1">
      <w:start w:val="1"/>
      <w:numFmt w:val="bullet"/>
      <w:lvlText w:val=""/>
      <w:lvlJc w:val="left"/>
      <w:pPr>
        <w:ind w:left="2654" w:hanging="360"/>
      </w:pPr>
      <w:rPr>
        <w:rFonts w:ascii="Symbol" w:hAnsi="Symbol" w:hint="default"/>
      </w:rPr>
    </w:lvl>
    <w:lvl w:ilvl="4" w:tplc="08090003" w:tentative="1">
      <w:start w:val="1"/>
      <w:numFmt w:val="bullet"/>
      <w:lvlText w:val="o"/>
      <w:lvlJc w:val="left"/>
      <w:pPr>
        <w:ind w:left="3374" w:hanging="360"/>
      </w:pPr>
      <w:rPr>
        <w:rFonts w:ascii="Courier New" w:hAnsi="Courier New" w:cs="Courier New" w:hint="default"/>
      </w:rPr>
    </w:lvl>
    <w:lvl w:ilvl="5" w:tplc="08090005" w:tentative="1">
      <w:start w:val="1"/>
      <w:numFmt w:val="bullet"/>
      <w:lvlText w:val=""/>
      <w:lvlJc w:val="left"/>
      <w:pPr>
        <w:ind w:left="4094" w:hanging="360"/>
      </w:pPr>
      <w:rPr>
        <w:rFonts w:ascii="Wingdings" w:hAnsi="Wingdings" w:hint="default"/>
      </w:rPr>
    </w:lvl>
    <w:lvl w:ilvl="6" w:tplc="08090001" w:tentative="1">
      <w:start w:val="1"/>
      <w:numFmt w:val="bullet"/>
      <w:lvlText w:val=""/>
      <w:lvlJc w:val="left"/>
      <w:pPr>
        <w:ind w:left="4814" w:hanging="360"/>
      </w:pPr>
      <w:rPr>
        <w:rFonts w:ascii="Symbol" w:hAnsi="Symbol" w:hint="default"/>
      </w:rPr>
    </w:lvl>
    <w:lvl w:ilvl="7" w:tplc="08090003" w:tentative="1">
      <w:start w:val="1"/>
      <w:numFmt w:val="bullet"/>
      <w:lvlText w:val="o"/>
      <w:lvlJc w:val="left"/>
      <w:pPr>
        <w:ind w:left="5534" w:hanging="360"/>
      </w:pPr>
      <w:rPr>
        <w:rFonts w:ascii="Courier New" w:hAnsi="Courier New" w:cs="Courier New" w:hint="default"/>
      </w:rPr>
    </w:lvl>
    <w:lvl w:ilvl="8" w:tplc="08090005" w:tentative="1">
      <w:start w:val="1"/>
      <w:numFmt w:val="bullet"/>
      <w:lvlText w:val=""/>
      <w:lvlJc w:val="left"/>
      <w:pPr>
        <w:ind w:left="6254" w:hanging="360"/>
      </w:pPr>
      <w:rPr>
        <w:rFonts w:ascii="Wingdings" w:hAnsi="Wingdings" w:hint="default"/>
      </w:rPr>
    </w:lvl>
  </w:abstractNum>
  <w:abstractNum w:abstractNumId="18" w15:restartNumberingAfterBreak="0">
    <w:nsid w:val="78A10814"/>
    <w:multiLevelType w:val="hybridMultilevel"/>
    <w:tmpl w:val="2FE23AA0"/>
    <w:lvl w:ilvl="0" w:tplc="80D01BA0">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13C24CC">
      <w:start w:val="1"/>
      <w:numFmt w:val="bullet"/>
      <w:lvlText w:val="-"/>
      <w:lvlJc w:val="left"/>
      <w:pPr>
        <w:tabs>
          <w:tab w:val="left" w:pos="284"/>
        </w:tabs>
        <w:ind w:left="567" w:hanging="28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C1442D2">
      <w:start w:val="1"/>
      <w:numFmt w:val="bullet"/>
      <w:lvlText w:val="à"/>
      <w:lvlJc w:val="left"/>
      <w:pPr>
        <w:tabs>
          <w:tab w:val="left" w:pos="284"/>
        </w:tabs>
        <w:ind w:left="851"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C69A6C">
      <w:start w:val="1"/>
      <w:numFmt w:val="bullet"/>
      <w:lvlText w:val="à"/>
      <w:lvlJc w:val="left"/>
      <w:pPr>
        <w:tabs>
          <w:tab w:val="left" w:pos="284"/>
        </w:tabs>
        <w:ind w:left="1135"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80EC5BA">
      <w:start w:val="1"/>
      <w:numFmt w:val="bullet"/>
      <w:lvlText w:val="à"/>
      <w:lvlJc w:val="left"/>
      <w:pPr>
        <w:tabs>
          <w:tab w:val="left" w:pos="284"/>
        </w:tabs>
        <w:ind w:left="1418"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E68D48A">
      <w:start w:val="1"/>
      <w:numFmt w:val="bullet"/>
      <w:lvlText w:val="à"/>
      <w:lvlJc w:val="left"/>
      <w:pPr>
        <w:tabs>
          <w:tab w:val="left" w:pos="284"/>
        </w:tabs>
        <w:ind w:left="1702"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9B25800">
      <w:start w:val="1"/>
      <w:numFmt w:val="bullet"/>
      <w:lvlText w:val="à"/>
      <w:lvlJc w:val="left"/>
      <w:pPr>
        <w:tabs>
          <w:tab w:val="left" w:pos="284"/>
        </w:tabs>
        <w:ind w:left="1985"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E967570">
      <w:start w:val="1"/>
      <w:numFmt w:val="bullet"/>
      <w:lvlText w:val="à"/>
      <w:lvlJc w:val="left"/>
      <w:pPr>
        <w:tabs>
          <w:tab w:val="left" w:pos="284"/>
        </w:tabs>
        <w:ind w:left="2269"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0F84534">
      <w:start w:val="1"/>
      <w:numFmt w:val="bullet"/>
      <w:lvlText w:val="à"/>
      <w:lvlJc w:val="left"/>
      <w:pPr>
        <w:tabs>
          <w:tab w:val="left" w:pos="284"/>
        </w:tabs>
        <w:ind w:left="2552" w:hanging="284"/>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7"/>
  </w:num>
  <w:num w:numId="2">
    <w:abstractNumId w:val="11"/>
  </w:num>
  <w:num w:numId="3">
    <w:abstractNumId w:val="8"/>
  </w:num>
  <w:num w:numId="4">
    <w:abstractNumId w:val="4"/>
  </w:num>
  <w:num w:numId="5">
    <w:abstractNumId w:val="7"/>
  </w:num>
  <w:num w:numId="6">
    <w:abstractNumId w:val="15"/>
  </w:num>
  <w:num w:numId="7">
    <w:abstractNumId w:val="2"/>
  </w:num>
  <w:num w:numId="8">
    <w:abstractNumId w:val="5"/>
  </w:num>
  <w:num w:numId="9">
    <w:abstractNumId w:val="16"/>
  </w:num>
  <w:num w:numId="10">
    <w:abstractNumId w:val="14"/>
  </w:num>
  <w:num w:numId="11">
    <w:abstractNumId w:val="18"/>
  </w:num>
  <w:num w:numId="12">
    <w:abstractNumId w:val="6"/>
  </w:num>
  <w:num w:numId="13">
    <w:abstractNumId w:val="12"/>
  </w:num>
  <w:num w:numId="14">
    <w:abstractNumId w:val="10"/>
  </w:num>
  <w:num w:numId="15">
    <w:abstractNumId w:val="1"/>
  </w:num>
  <w:num w:numId="16">
    <w:abstractNumId w:val="13"/>
  </w:num>
  <w:num w:numId="17">
    <w:abstractNumId w:val="9"/>
  </w:num>
  <w:num w:numId="18">
    <w:abstractNumId w:val="3"/>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Y:\Styles\NICE - CAS.os&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qs - adhd&lt;/item&gt;&lt;/Libraries&gt;&lt;/ENLibraries&gt;"/>
  </w:docVars>
  <w:rsids>
    <w:rsidRoot w:val="003E721C"/>
    <w:rsid w:val="000026C0"/>
    <w:rsid w:val="00004174"/>
    <w:rsid w:val="0000482A"/>
    <w:rsid w:val="00005F5B"/>
    <w:rsid w:val="00006509"/>
    <w:rsid w:val="0001067F"/>
    <w:rsid w:val="000109F1"/>
    <w:rsid w:val="00011EBF"/>
    <w:rsid w:val="00012958"/>
    <w:rsid w:val="0001392D"/>
    <w:rsid w:val="00014ECB"/>
    <w:rsid w:val="000158CB"/>
    <w:rsid w:val="0001780A"/>
    <w:rsid w:val="00021BF3"/>
    <w:rsid w:val="000227E2"/>
    <w:rsid w:val="000241C3"/>
    <w:rsid w:val="0002445C"/>
    <w:rsid w:val="00024D0A"/>
    <w:rsid w:val="00026612"/>
    <w:rsid w:val="00026B56"/>
    <w:rsid w:val="000304D4"/>
    <w:rsid w:val="00031277"/>
    <w:rsid w:val="0003252C"/>
    <w:rsid w:val="000334FE"/>
    <w:rsid w:val="00033BBD"/>
    <w:rsid w:val="00034DC6"/>
    <w:rsid w:val="0004009D"/>
    <w:rsid w:val="00040A87"/>
    <w:rsid w:val="00040B71"/>
    <w:rsid w:val="00040E52"/>
    <w:rsid w:val="00041443"/>
    <w:rsid w:val="00043F74"/>
    <w:rsid w:val="000447EC"/>
    <w:rsid w:val="00046804"/>
    <w:rsid w:val="0004772E"/>
    <w:rsid w:val="000478F6"/>
    <w:rsid w:val="0005195E"/>
    <w:rsid w:val="00053CB8"/>
    <w:rsid w:val="00054842"/>
    <w:rsid w:val="000549EA"/>
    <w:rsid w:val="00055399"/>
    <w:rsid w:val="00056D75"/>
    <w:rsid w:val="000604CD"/>
    <w:rsid w:val="00060C31"/>
    <w:rsid w:val="0006134B"/>
    <w:rsid w:val="000638D2"/>
    <w:rsid w:val="00064819"/>
    <w:rsid w:val="00064E7D"/>
    <w:rsid w:val="00065914"/>
    <w:rsid w:val="00070065"/>
    <w:rsid w:val="00070F91"/>
    <w:rsid w:val="000750FD"/>
    <w:rsid w:val="00075A7E"/>
    <w:rsid w:val="0007740A"/>
    <w:rsid w:val="000806D1"/>
    <w:rsid w:val="00080ED4"/>
    <w:rsid w:val="00080EDE"/>
    <w:rsid w:val="00081716"/>
    <w:rsid w:val="00081B14"/>
    <w:rsid w:val="00086C0D"/>
    <w:rsid w:val="00091BE3"/>
    <w:rsid w:val="00095273"/>
    <w:rsid w:val="00095B40"/>
    <w:rsid w:val="0009709D"/>
    <w:rsid w:val="000A007F"/>
    <w:rsid w:val="000A03CC"/>
    <w:rsid w:val="000A085C"/>
    <w:rsid w:val="000A1B5E"/>
    <w:rsid w:val="000A1D82"/>
    <w:rsid w:val="000A1F76"/>
    <w:rsid w:val="000A2859"/>
    <w:rsid w:val="000A2F07"/>
    <w:rsid w:val="000A4BDB"/>
    <w:rsid w:val="000A6728"/>
    <w:rsid w:val="000B588C"/>
    <w:rsid w:val="000B5939"/>
    <w:rsid w:val="000B76F8"/>
    <w:rsid w:val="000C01C6"/>
    <w:rsid w:val="000C135B"/>
    <w:rsid w:val="000C389A"/>
    <w:rsid w:val="000C3BD7"/>
    <w:rsid w:val="000C5484"/>
    <w:rsid w:val="000C6195"/>
    <w:rsid w:val="000D09A9"/>
    <w:rsid w:val="000D3561"/>
    <w:rsid w:val="000D48CF"/>
    <w:rsid w:val="000D6F9B"/>
    <w:rsid w:val="000D7F66"/>
    <w:rsid w:val="000E0B99"/>
    <w:rsid w:val="000E11B2"/>
    <w:rsid w:val="000E1203"/>
    <w:rsid w:val="000E1776"/>
    <w:rsid w:val="000E34F7"/>
    <w:rsid w:val="000E401D"/>
    <w:rsid w:val="000E44DF"/>
    <w:rsid w:val="000E52DC"/>
    <w:rsid w:val="000E6AF0"/>
    <w:rsid w:val="000E6CEA"/>
    <w:rsid w:val="000E7129"/>
    <w:rsid w:val="000F03DD"/>
    <w:rsid w:val="000F2919"/>
    <w:rsid w:val="000F2B40"/>
    <w:rsid w:val="000F2E75"/>
    <w:rsid w:val="000F32F7"/>
    <w:rsid w:val="000F77C9"/>
    <w:rsid w:val="000F7811"/>
    <w:rsid w:val="0010168A"/>
    <w:rsid w:val="0010218E"/>
    <w:rsid w:val="001044F8"/>
    <w:rsid w:val="001078C7"/>
    <w:rsid w:val="00111379"/>
    <w:rsid w:val="001134E7"/>
    <w:rsid w:val="00113D4E"/>
    <w:rsid w:val="00114681"/>
    <w:rsid w:val="00114F2A"/>
    <w:rsid w:val="001173A9"/>
    <w:rsid w:val="00120936"/>
    <w:rsid w:val="00120E8E"/>
    <w:rsid w:val="001222C5"/>
    <w:rsid w:val="0012302C"/>
    <w:rsid w:val="00123A4A"/>
    <w:rsid w:val="0012414A"/>
    <w:rsid w:val="00124A83"/>
    <w:rsid w:val="0012636D"/>
    <w:rsid w:val="001269DD"/>
    <w:rsid w:val="00127583"/>
    <w:rsid w:val="001304F2"/>
    <w:rsid w:val="00130DF7"/>
    <w:rsid w:val="0013205D"/>
    <w:rsid w:val="00132C51"/>
    <w:rsid w:val="0013437C"/>
    <w:rsid w:val="00134FDA"/>
    <w:rsid w:val="0013658C"/>
    <w:rsid w:val="00137DE8"/>
    <w:rsid w:val="00137F31"/>
    <w:rsid w:val="001406AD"/>
    <w:rsid w:val="00140C3A"/>
    <w:rsid w:val="00141CA0"/>
    <w:rsid w:val="00141D9C"/>
    <w:rsid w:val="001431DF"/>
    <w:rsid w:val="00145BDB"/>
    <w:rsid w:val="001517CD"/>
    <w:rsid w:val="001524B1"/>
    <w:rsid w:val="00153DAC"/>
    <w:rsid w:val="00154BEC"/>
    <w:rsid w:val="00155CA1"/>
    <w:rsid w:val="001613A8"/>
    <w:rsid w:val="0016506B"/>
    <w:rsid w:val="00165C83"/>
    <w:rsid w:val="00171399"/>
    <w:rsid w:val="0017169E"/>
    <w:rsid w:val="00171A41"/>
    <w:rsid w:val="00173911"/>
    <w:rsid w:val="00173C82"/>
    <w:rsid w:val="001753FE"/>
    <w:rsid w:val="00180E49"/>
    <w:rsid w:val="001826C9"/>
    <w:rsid w:val="00184409"/>
    <w:rsid w:val="00185BB8"/>
    <w:rsid w:val="00185C85"/>
    <w:rsid w:val="001901BB"/>
    <w:rsid w:val="001902D3"/>
    <w:rsid w:val="00190C0B"/>
    <w:rsid w:val="00194435"/>
    <w:rsid w:val="00194634"/>
    <w:rsid w:val="001A0354"/>
    <w:rsid w:val="001A2072"/>
    <w:rsid w:val="001A230A"/>
    <w:rsid w:val="001A23E4"/>
    <w:rsid w:val="001A29B5"/>
    <w:rsid w:val="001A2EF8"/>
    <w:rsid w:val="001A481C"/>
    <w:rsid w:val="001A528A"/>
    <w:rsid w:val="001A542E"/>
    <w:rsid w:val="001A5435"/>
    <w:rsid w:val="001A5F04"/>
    <w:rsid w:val="001A6F0E"/>
    <w:rsid w:val="001A7E1A"/>
    <w:rsid w:val="001B01D7"/>
    <w:rsid w:val="001B0B96"/>
    <w:rsid w:val="001B10FA"/>
    <w:rsid w:val="001B367E"/>
    <w:rsid w:val="001B3B8D"/>
    <w:rsid w:val="001B4362"/>
    <w:rsid w:val="001B65B3"/>
    <w:rsid w:val="001B6602"/>
    <w:rsid w:val="001B69FF"/>
    <w:rsid w:val="001C0520"/>
    <w:rsid w:val="001C1775"/>
    <w:rsid w:val="001C217D"/>
    <w:rsid w:val="001C7AC5"/>
    <w:rsid w:val="001D0036"/>
    <w:rsid w:val="001D2208"/>
    <w:rsid w:val="001D256F"/>
    <w:rsid w:val="001D3BAE"/>
    <w:rsid w:val="001D510F"/>
    <w:rsid w:val="001D62AC"/>
    <w:rsid w:val="001D7170"/>
    <w:rsid w:val="001E3574"/>
    <w:rsid w:val="001E475E"/>
    <w:rsid w:val="001E4FC3"/>
    <w:rsid w:val="001E5909"/>
    <w:rsid w:val="001E59C9"/>
    <w:rsid w:val="001E67FD"/>
    <w:rsid w:val="001E6B97"/>
    <w:rsid w:val="001E7267"/>
    <w:rsid w:val="001E7FC5"/>
    <w:rsid w:val="001F060B"/>
    <w:rsid w:val="001F2FA2"/>
    <w:rsid w:val="001F37EF"/>
    <w:rsid w:val="001F3DAC"/>
    <w:rsid w:val="001F4FA4"/>
    <w:rsid w:val="001F50A4"/>
    <w:rsid w:val="001F5655"/>
    <w:rsid w:val="001F677F"/>
    <w:rsid w:val="001F67EC"/>
    <w:rsid w:val="0020047A"/>
    <w:rsid w:val="00202A49"/>
    <w:rsid w:val="00202B9D"/>
    <w:rsid w:val="00203B2D"/>
    <w:rsid w:val="00203D17"/>
    <w:rsid w:val="00204388"/>
    <w:rsid w:val="00204AD5"/>
    <w:rsid w:val="00204BE7"/>
    <w:rsid w:val="0020691A"/>
    <w:rsid w:val="00207ABE"/>
    <w:rsid w:val="00211174"/>
    <w:rsid w:val="00213A5C"/>
    <w:rsid w:val="00215A7F"/>
    <w:rsid w:val="00216965"/>
    <w:rsid w:val="002171A1"/>
    <w:rsid w:val="00222756"/>
    <w:rsid w:val="00222D0F"/>
    <w:rsid w:val="002235F1"/>
    <w:rsid w:val="00223E15"/>
    <w:rsid w:val="00225730"/>
    <w:rsid w:val="00230249"/>
    <w:rsid w:val="00230E10"/>
    <w:rsid w:val="002321B3"/>
    <w:rsid w:val="0023376A"/>
    <w:rsid w:val="00233EC3"/>
    <w:rsid w:val="00235927"/>
    <w:rsid w:val="00237E01"/>
    <w:rsid w:val="002408EA"/>
    <w:rsid w:val="00241343"/>
    <w:rsid w:val="00245403"/>
    <w:rsid w:val="002516E7"/>
    <w:rsid w:val="0025206D"/>
    <w:rsid w:val="00252C62"/>
    <w:rsid w:val="00254C0B"/>
    <w:rsid w:val="00255F77"/>
    <w:rsid w:val="002578E4"/>
    <w:rsid w:val="00260CE4"/>
    <w:rsid w:val="0026302E"/>
    <w:rsid w:val="00263614"/>
    <w:rsid w:val="00263A98"/>
    <w:rsid w:val="002641FE"/>
    <w:rsid w:val="00265A34"/>
    <w:rsid w:val="00266AD4"/>
    <w:rsid w:val="00267D60"/>
    <w:rsid w:val="00270605"/>
    <w:rsid w:val="00270E94"/>
    <w:rsid w:val="0027103E"/>
    <w:rsid w:val="002719AD"/>
    <w:rsid w:val="00275C4B"/>
    <w:rsid w:val="00276267"/>
    <w:rsid w:val="00276A95"/>
    <w:rsid w:val="00277952"/>
    <w:rsid w:val="00277A2D"/>
    <w:rsid w:val="00280E14"/>
    <w:rsid w:val="00282250"/>
    <w:rsid w:val="00282C5B"/>
    <w:rsid w:val="00285183"/>
    <w:rsid w:val="00286836"/>
    <w:rsid w:val="00290B5B"/>
    <w:rsid w:val="0029335E"/>
    <w:rsid w:val="00293B5A"/>
    <w:rsid w:val="00296096"/>
    <w:rsid w:val="00296372"/>
    <w:rsid w:val="00297176"/>
    <w:rsid w:val="002A0E3E"/>
    <w:rsid w:val="002A2D00"/>
    <w:rsid w:val="002A511E"/>
    <w:rsid w:val="002A52EE"/>
    <w:rsid w:val="002A5BF4"/>
    <w:rsid w:val="002A665B"/>
    <w:rsid w:val="002A6CFB"/>
    <w:rsid w:val="002A77D6"/>
    <w:rsid w:val="002B019F"/>
    <w:rsid w:val="002B0CA5"/>
    <w:rsid w:val="002B115E"/>
    <w:rsid w:val="002B28FB"/>
    <w:rsid w:val="002B418E"/>
    <w:rsid w:val="002B5A6E"/>
    <w:rsid w:val="002B6109"/>
    <w:rsid w:val="002B61C4"/>
    <w:rsid w:val="002B6862"/>
    <w:rsid w:val="002B6A12"/>
    <w:rsid w:val="002C0C14"/>
    <w:rsid w:val="002C0CCC"/>
    <w:rsid w:val="002C13B0"/>
    <w:rsid w:val="002C1A7E"/>
    <w:rsid w:val="002C2447"/>
    <w:rsid w:val="002C296A"/>
    <w:rsid w:val="002C3AFC"/>
    <w:rsid w:val="002C5C32"/>
    <w:rsid w:val="002C765D"/>
    <w:rsid w:val="002C783B"/>
    <w:rsid w:val="002C7BF6"/>
    <w:rsid w:val="002D0382"/>
    <w:rsid w:val="002D06B9"/>
    <w:rsid w:val="002D0A3B"/>
    <w:rsid w:val="002D1A12"/>
    <w:rsid w:val="002D22B1"/>
    <w:rsid w:val="002D2A81"/>
    <w:rsid w:val="002D5403"/>
    <w:rsid w:val="002D6FAA"/>
    <w:rsid w:val="002E0F65"/>
    <w:rsid w:val="002E1493"/>
    <w:rsid w:val="002E4721"/>
    <w:rsid w:val="002E658A"/>
    <w:rsid w:val="002E6E57"/>
    <w:rsid w:val="002E7460"/>
    <w:rsid w:val="002E74A3"/>
    <w:rsid w:val="002F0519"/>
    <w:rsid w:val="002F06B0"/>
    <w:rsid w:val="002F2EEF"/>
    <w:rsid w:val="002F3295"/>
    <w:rsid w:val="002F4E93"/>
    <w:rsid w:val="002F64BD"/>
    <w:rsid w:val="002F68C2"/>
    <w:rsid w:val="002F6C0D"/>
    <w:rsid w:val="002F6DF6"/>
    <w:rsid w:val="002F7E53"/>
    <w:rsid w:val="003010F3"/>
    <w:rsid w:val="00302664"/>
    <w:rsid w:val="00302BE7"/>
    <w:rsid w:val="00303EF9"/>
    <w:rsid w:val="00304C30"/>
    <w:rsid w:val="0030560A"/>
    <w:rsid w:val="00305C6E"/>
    <w:rsid w:val="00306E17"/>
    <w:rsid w:val="00307736"/>
    <w:rsid w:val="00307AD6"/>
    <w:rsid w:val="003116A1"/>
    <w:rsid w:val="00311E56"/>
    <w:rsid w:val="00311ED0"/>
    <w:rsid w:val="00313385"/>
    <w:rsid w:val="0031416A"/>
    <w:rsid w:val="003153EB"/>
    <w:rsid w:val="00315638"/>
    <w:rsid w:val="003167EB"/>
    <w:rsid w:val="00320158"/>
    <w:rsid w:val="00322631"/>
    <w:rsid w:val="0032263A"/>
    <w:rsid w:val="00322954"/>
    <w:rsid w:val="003240F0"/>
    <w:rsid w:val="00324607"/>
    <w:rsid w:val="00324C6A"/>
    <w:rsid w:val="00324CC5"/>
    <w:rsid w:val="00327026"/>
    <w:rsid w:val="00330692"/>
    <w:rsid w:val="00330A91"/>
    <w:rsid w:val="00332CF2"/>
    <w:rsid w:val="00333357"/>
    <w:rsid w:val="00334132"/>
    <w:rsid w:val="003341C8"/>
    <w:rsid w:val="003347DA"/>
    <w:rsid w:val="00334FF0"/>
    <w:rsid w:val="0034067D"/>
    <w:rsid w:val="003408D2"/>
    <w:rsid w:val="003441F7"/>
    <w:rsid w:val="003463D4"/>
    <w:rsid w:val="00346DBA"/>
    <w:rsid w:val="0035283E"/>
    <w:rsid w:val="00354C5D"/>
    <w:rsid w:val="00360803"/>
    <w:rsid w:val="0036152E"/>
    <w:rsid w:val="00361D7D"/>
    <w:rsid w:val="00362D0C"/>
    <w:rsid w:val="00363872"/>
    <w:rsid w:val="00363F9C"/>
    <w:rsid w:val="003648BE"/>
    <w:rsid w:val="00364E15"/>
    <w:rsid w:val="00367A04"/>
    <w:rsid w:val="003708C8"/>
    <w:rsid w:val="00370B6D"/>
    <w:rsid w:val="003713FB"/>
    <w:rsid w:val="00371C16"/>
    <w:rsid w:val="0037224D"/>
    <w:rsid w:val="003722FA"/>
    <w:rsid w:val="003726AE"/>
    <w:rsid w:val="0037339D"/>
    <w:rsid w:val="00375903"/>
    <w:rsid w:val="00377277"/>
    <w:rsid w:val="0038006A"/>
    <w:rsid w:val="00381592"/>
    <w:rsid w:val="003816D1"/>
    <w:rsid w:val="00382AFE"/>
    <w:rsid w:val="003848CB"/>
    <w:rsid w:val="00384CFD"/>
    <w:rsid w:val="0038506C"/>
    <w:rsid w:val="00385575"/>
    <w:rsid w:val="003869B0"/>
    <w:rsid w:val="003906D7"/>
    <w:rsid w:val="0039079F"/>
    <w:rsid w:val="00391E95"/>
    <w:rsid w:val="00391E9F"/>
    <w:rsid w:val="003926B7"/>
    <w:rsid w:val="0039291A"/>
    <w:rsid w:val="00394143"/>
    <w:rsid w:val="00395ACE"/>
    <w:rsid w:val="003A03C0"/>
    <w:rsid w:val="003A093D"/>
    <w:rsid w:val="003A09D5"/>
    <w:rsid w:val="003A1825"/>
    <w:rsid w:val="003A27D7"/>
    <w:rsid w:val="003A57C1"/>
    <w:rsid w:val="003A6AA8"/>
    <w:rsid w:val="003A6FF6"/>
    <w:rsid w:val="003A730E"/>
    <w:rsid w:val="003A746A"/>
    <w:rsid w:val="003B109E"/>
    <w:rsid w:val="003B1747"/>
    <w:rsid w:val="003B1C33"/>
    <w:rsid w:val="003B49F8"/>
    <w:rsid w:val="003B5177"/>
    <w:rsid w:val="003B67F6"/>
    <w:rsid w:val="003B6DDC"/>
    <w:rsid w:val="003B7543"/>
    <w:rsid w:val="003B7567"/>
    <w:rsid w:val="003C02EE"/>
    <w:rsid w:val="003C34CA"/>
    <w:rsid w:val="003C50D4"/>
    <w:rsid w:val="003C527B"/>
    <w:rsid w:val="003C6E82"/>
    <w:rsid w:val="003C6FAD"/>
    <w:rsid w:val="003C7AAF"/>
    <w:rsid w:val="003D03CB"/>
    <w:rsid w:val="003D3532"/>
    <w:rsid w:val="003D56A2"/>
    <w:rsid w:val="003D6849"/>
    <w:rsid w:val="003D6F5F"/>
    <w:rsid w:val="003D7CAA"/>
    <w:rsid w:val="003E073D"/>
    <w:rsid w:val="003E12B1"/>
    <w:rsid w:val="003E1C13"/>
    <w:rsid w:val="003E1FE5"/>
    <w:rsid w:val="003E366A"/>
    <w:rsid w:val="003E4281"/>
    <w:rsid w:val="003E436E"/>
    <w:rsid w:val="003E4BA1"/>
    <w:rsid w:val="003E4C4B"/>
    <w:rsid w:val="003E575D"/>
    <w:rsid w:val="003E58F8"/>
    <w:rsid w:val="003E721C"/>
    <w:rsid w:val="003F0523"/>
    <w:rsid w:val="003F0552"/>
    <w:rsid w:val="003F130E"/>
    <w:rsid w:val="003F14F7"/>
    <w:rsid w:val="003F18BC"/>
    <w:rsid w:val="003F1920"/>
    <w:rsid w:val="003F2EC0"/>
    <w:rsid w:val="003F41A3"/>
    <w:rsid w:val="003F4508"/>
    <w:rsid w:val="003F542C"/>
    <w:rsid w:val="003F6F0B"/>
    <w:rsid w:val="003F70B8"/>
    <w:rsid w:val="003F7F4C"/>
    <w:rsid w:val="00400640"/>
    <w:rsid w:val="00400944"/>
    <w:rsid w:val="00400EA8"/>
    <w:rsid w:val="00402A3A"/>
    <w:rsid w:val="00404F49"/>
    <w:rsid w:val="0040522D"/>
    <w:rsid w:val="004075B6"/>
    <w:rsid w:val="00407775"/>
    <w:rsid w:val="00411201"/>
    <w:rsid w:val="00414915"/>
    <w:rsid w:val="00415095"/>
    <w:rsid w:val="00416566"/>
    <w:rsid w:val="0041660E"/>
    <w:rsid w:val="0041736E"/>
    <w:rsid w:val="00420333"/>
    <w:rsid w:val="00420952"/>
    <w:rsid w:val="0042183E"/>
    <w:rsid w:val="004240BC"/>
    <w:rsid w:val="0042628F"/>
    <w:rsid w:val="00427135"/>
    <w:rsid w:val="00431DE3"/>
    <w:rsid w:val="0043294A"/>
    <w:rsid w:val="00432BBB"/>
    <w:rsid w:val="004330FF"/>
    <w:rsid w:val="004338C5"/>
    <w:rsid w:val="00434547"/>
    <w:rsid w:val="00435DD2"/>
    <w:rsid w:val="00435EA3"/>
    <w:rsid w:val="0044048C"/>
    <w:rsid w:val="004405D7"/>
    <w:rsid w:val="004407E3"/>
    <w:rsid w:val="004408D8"/>
    <w:rsid w:val="004427DC"/>
    <w:rsid w:val="00444032"/>
    <w:rsid w:val="00444EA6"/>
    <w:rsid w:val="0044519F"/>
    <w:rsid w:val="004455CA"/>
    <w:rsid w:val="00445784"/>
    <w:rsid w:val="004462F7"/>
    <w:rsid w:val="00446498"/>
    <w:rsid w:val="00446BEE"/>
    <w:rsid w:val="00450090"/>
    <w:rsid w:val="004510E0"/>
    <w:rsid w:val="0045126F"/>
    <w:rsid w:val="00453286"/>
    <w:rsid w:val="00454048"/>
    <w:rsid w:val="004541A0"/>
    <w:rsid w:val="00456881"/>
    <w:rsid w:val="00460410"/>
    <w:rsid w:val="00461E63"/>
    <w:rsid w:val="00462FAD"/>
    <w:rsid w:val="00463600"/>
    <w:rsid w:val="00463A41"/>
    <w:rsid w:val="00463B94"/>
    <w:rsid w:val="00463BD8"/>
    <w:rsid w:val="00463FEE"/>
    <w:rsid w:val="00464586"/>
    <w:rsid w:val="00465C36"/>
    <w:rsid w:val="00466B16"/>
    <w:rsid w:val="00466CB2"/>
    <w:rsid w:val="00471920"/>
    <w:rsid w:val="004730BA"/>
    <w:rsid w:val="00473BB1"/>
    <w:rsid w:val="00474F01"/>
    <w:rsid w:val="00475572"/>
    <w:rsid w:val="00475BA0"/>
    <w:rsid w:val="00476394"/>
    <w:rsid w:val="004773EE"/>
    <w:rsid w:val="0048142E"/>
    <w:rsid w:val="004817EB"/>
    <w:rsid w:val="00481E56"/>
    <w:rsid w:val="00483981"/>
    <w:rsid w:val="00483F6A"/>
    <w:rsid w:val="00485987"/>
    <w:rsid w:val="00491211"/>
    <w:rsid w:val="00491FE4"/>
    <w:rsid w:val="00492164"/>
    <w:rsid w:val="0049289D"/>
    <w:rsid w:val="0049408D"/>
    <w:rsid w:val="00494C8B"/>
    <w:rsid w:val="00496AAC"/>
    <w:rsid w:val="00496BE3"/>
    <w:rsid w:val="00497DA0"/>
    <w:rsid w:val="004A2A32"/>
    <w:rsid w:val="004A325A"/>
    <w:rsid w:val="004A44A3"/>
    <w:rsid w:val="004A5F0D"/>
    <w:rsid w:val="004A6456"/>
    <w:rsid w:val="004A6C8B"/>
    <w:rsid w:val="004A6FCF"/>
    <w:rsid w:val="004A75DC"/>
    <w:rsid w:val="004A78C6"/>
    <w:rsid w:val="004A7BD3"/>
    <w:rsid w:val="004B00AC"/>
    <w:rsid w:val="004B4112"/>
    <w:rsid w:val="004B5922"/>
    <w:rsid w:val="004B62C1"/>
    <w:rsid w:val="004C14F4"/>
    <w:rsid w:val="004C1561"/>
    <w:rsid w:val="004C1AB9"/>
    <w:rsid w:val="004C3051"/>
    <w:rsid w:val="004C38A3"/>
    <w:rsid w:val="004C3F55"/>
    <w:rsid w:val="004C4168"/>
    <w:rsid w:val="004C5EDA"/>
    <w:rsid w:val="004C7591"/>
    <w:rsid w:val="004D0969"/>
    <w:rsid w:val="004D410E"/>
    <w:rsid w:val="004D472D"/>
    <w:rsid w:val="004D4FC4"/>
    <w:rsid w:val="004D7EF1"/>
    <w:rsid w:val="004E072F"/>
    <w:rsid w:val="004E0F47"/>
    <w:rsid w:val="004E13B1"/>
    <w:rsid w:val="004E1FD4"/>
    <w:rsid w:val="004E3A88"/>
    <w:rsid w:val="004E6D91"/>
    <w:rsid w:val="004E731F"/>
    <w:rsid w:val="004F457A"/>
    <w:rsid w:val="00500434"/>
    <w:rsid w:val="005025A1"/>
    <w:rsid w:val="00502C17"/>
    <w:rsid w:val="00502C4B"/>
    <w:rsid w:val="005048FB"/>
    <w:rsid w:val="00504F90"/>
    <w:rsid w:val="005061F9"/>
    <w:rsid w:val="005069C0"/>
    <w:rsid w:val="0051026C"/>
    <w:rsid w:val="0051111E"/>
    <w:rsid w:val="005131FC"/>
    <w:rsid w:val="00513742"/>
    <w:rsid w:val="0051622C"/>
    <w:rsid w:val="00516718"/>
    <w:rsid w:val="00517CA6"/>
    <w:rsid w:val="0052055D"/>
    <w:rsid w:val="0052161D"/>
    <w:rsid w:val="00524EEF"/>
    <w:rsid w:val="00526CC1"/>
    <w:rsid w:val="00527EE4"/>
    <w:rsid w:val="00534339"/>
    <w:rsid w:val="00534AD1"/>
    <w:rsid w:val="005357B3"/>
    <w:rsid w:val="005420D0"/>
    <w:rsid w:val="0054323C"/>
    <w:rsid w:val="00543F0C"/>
    <w:rsid w:val="00543FBB"/>
    <w:rsid w:val="00545565"/>
    <w:rsid w:val="005456D5"/>
    <w:rsid w:val="00545FF6"/>
    <w:rsid w:val="00546183"/>
    <w:rsid w:val="00547BC2"/>
    <w:rsid w:val="00547D49"/>
    <w:rsid w:val="005507C8"/>
    <w:rsid w:val="00553560"/>
    <w:rsid w:val="00554721"/>
    <w:rsid w:val="005548F0"/>
    <w:rsid w:val="00556203"/>
    <w:rsid w:val="00557616"/>
    <w:rsid w:val="00557EBB"/>
    <w:rsid w:val="00560A84"/>
    <w:rsid w:val="00562450"/>
    <w:rsid w:val="00562D25"/>
    <w:rsid w:val="00565C5B"/>
    <w:rsid w:val="00565C8C"/>
    <w:rsid w:val="00566CA5"/>
    <w:rsid w:val="005671DF"/>
    <w:rsid w:val="005702EE"/>
    <w:rsid w:val="00572404"/>
    <w:rsid w:val="00574385"/>
    <w:rsid w:val="005760C5"/>
    <w:rsid w:val="00580D6D"/>
    <w:rsid w:val="00581557"/>
    <w:rsid w:val="00582451"/>
    <w:rsid w:val="00582D94"/>
    <w:rsid w:val="00583D78"/>
    <w:rsid w:val="005849D5"/>
    <w:rsid w:val="00586982"/>
    <w:rsid w:val="0058770A"/>
    <w:rsid w:val="00587E96"/>
    <w:rsid w:val="005904AC"/>
    <w:rsid w:val="005921BE"/>
    <w:rsid w:val="005929B1"/>
    <w:rsid w:val="0059402D"/>
    <w:rsid w:val="00594085"/>
    <w:rsid w:val="00596195"/>
    <w:rsid w:val="005966BC"/>
    <w:rsid w:val="005A0C10"/>
    <w:rsid w:val="005A19AE"/>
    <w:rsid w:val="005A46AA"/>
    <w:rsid w:val="005A49BA"/>
    <w:rsid w:val="005A49EA"/>
    <w:rsid w:val="005A4F22"/>
    <w:rsid w:val="005A5841"/>
    <w:rsid w:val="005A61AD"/>
    <w:rsid w:val="005A6A81"/>
    <w:rsid w:val="005B4E96"/>
    <w:rsid w:val="005C0A82"/>
    <w:rsid w:val="005C0E53"/>
    <w:rsid w:val="005C179D"/>
    <w:rsid w:val="005C2A64"/>
    <w:rsid w:val="005C6004"/>
    <w:rsid w:val="005C6281"/>
    <w:rsid w:val="005C6F10"/>
    <w:rsid w:val="005D09B7"/>
    <w:rsid w:val="005D35D7"/>
    <w:rsid w:val="005D3CF1"/>
    <w:rsid w:val="005D3F1C"/>
    <w:rsid w:val="005D5B8B"/>
    <w:rsid w:val="005D5F66"/>
    <w:rsid w:val="005D769A"/>
    <w:rsid w:val="005D78A9"/>
    <w:rsid w:val="005E2BA0"/>
    <w:rsid w:val="005E400B"/>
    <w:rsid w:val="005E4983"/>
    <w:rsid w:val="005E5E3B"/>
    <w:rsid w:val="005E6F8F"/>
    <w:rsid w:val="005F3784"/>
    <w:rsid w:val="005F76B7"/>
    <w:rsid w:val="00600D6F"/>
    <w:rsid w:val="00600E33"/>
    <w:rsid w:val="0060307C"/>
    <w:rsid w:val="00603263"/>
    <w:rsid w:val="00604500"/>
    <w:rsid w:val="00604751"/>
    <w:rsid w:val="00604FDB"/>
    <w:rsid w:val="006057FD"/>
    <w:rsid w:val="00606CF7"/>
    <w:rsid w:val="00607B3D"/>
    <w:rsid w:val="006110B7"/>
    <w:rsid w:val="00612D79"/>
    <w:rsid w:val="006144F6"/>
    <w:rsid w:val="00615710"/>
    <w:rsid w:val="006173B9"/>
    <w:rsid w:val="00620648"/>
    <w:rsid w:val="0062116C"/>
    <w:rsid w:val="00621435"/>
    <w:rsid w:val="0062214D"/>
    <w:rsid w:val="00622B6C"/>
    <w:rsid w:val="00623619"/>
    <w:rsid w:val="00624810"/>
    <w:rsid w:val="00625E50"/>
    <w:rsid w:val="00626943"/>
    <w:rsid w:val="00627895"/>
    <w:rsid w:val="00627E87"/>
    <w:rsid w:val="00627EAB"/>
    <w:rsid w:val="006316DB"/>
    <w:rsid w:val="00632C95"/>
    <w:rsid w:val="006340F4"/>
    <w:rsid w:val="00634347"/>
    <w:rsid w:val="0064039D"/>
    <w:rsid w:val="00641033"/>
    <w:rsid w:val="0064504B"/>
    <w:rsid w:val="006504BC"/>
    <w:rsid w:val="00650AE7"/>
    <w:rsid w:val="00650C0D"/>
    <w:rsid w:val="00652CCB"/>
    <w:rsid w:val="0065314E"/>
    <w:rsid w:val="006541B3"/>
    <w:rsid w:val="006544D3"/>
    <w:rsid w:val="006557CF"/>
    <w:rsid w:val="00660953"/>
    <w:rsid w:val="00661C18"/>
    <w:rsid w:val="00665120"/>
    <w:rsid w:val="0066544E"/>
    <w:rsid w:val="00666F37"/>
    <w:rsid w:val="006700FC"/>
    <w:rsid w:val="006711C4"/>
    <w:rsid w:val="00671949"/>
    <w:rsid w:val="00671A65"/>
    <w:rsid w:val="00672367"/>
    <w:rsid w:val="00673BB1"/>
    <w:rsid w:val="00673ED1"/>
    <w:rsid w:val="0067426A"/>
    <w:rsid w:val="006744FF"/>
    <w:rsid w:val="0067455E"/>
    <w:rsid w:val="0067493D"/>
    <w:rsid w:val="00675BD5"/>
    <w:rsid w:val="00676FCC"/>
    <w:rsid w:val="00677032"/>
    <w:rsid w:val="0068026C"/>
    <w:rsid w:val="006809E4"/>
    <w:rsid w:val="0068117E"/>
    <w:rsid w:val="0068121A"/>
    <w:rsid w:val="00683301"/>
    <w:rsid w:val="006844BA"/>
    <w:rsid w:val="006844CB"/>
    <w:rsid w:val="00685490"/>
    <w:rsid w:val="006854A8"/>
    <w:rsid w:val="00685A26"/>
    <w:rsid w:val="00685B47"/>
    <w:rsid w:val="00691454"/>
    <w:rsid w:val="006921E1"/>
    <w:rsid w:val="006929A2"/>
    <w:rsid w:val="00695209"/>
    <w:rsid w:val="006A055D"/>
    <w:rsid w:val="006A0658"/>
    <w:rsid w:val="006A27BC"/>
    <w:rsid w:val="006A548B"/>
    <w:rsid w:val="006A5EF3"/>
    <w:rsid w:val="006A710A"/>
    <w:rsid w:val="006A72B6"/>
    <w:rsid w:val="006A76E9"/>
    <w:rsid w:val="006B080F"/>
    <w:rsid w:val="006B2BBF"/>
    <w:rsid w:val="006B435B"/>
    <w:rsid w:val="006B459D"/>
    <w:rsid w:val="006B56CF"/>
    <w:rsid w:val="006B5842"/>
    <w:rsid w:val="006B5E3E"/>
    <w:rsid w:val="006C0F6B"/>
    <w:rsid w:val="006C3BE4"/>
    <w:rsid w:val="006C45F8"/>
    <w:rsid w:val="006C6335"/>
    <w:rsid w:val="006C65A0"/>
    <w:rsid w:val="006C6E52"/>
    <w:rsid w:val="006D2029"/>
    <w:rsid w:val="006D3B0D"/>
    <w:rsid w:val="006D3F19"/>
    <w:rsid w:val="006D4113"/>
    <w:rsid w:val="006D4F75"/>
    <w:rsid w:val="006D50F4"/>
    <w:rsid w:val="006D55A6"/>
    <w:rsid w:val="006D5F03"/>
    <w:rsid w:val="006E1B96"/>
    <w:rsid w:val="006E3831"/>
    <w:rsid w:val="006E608E"/>
    <w:rsid w:val="006E74CA"/>
    <w:rsid w:val="006E7A31"/>
    <w:rsid w:val="006F0465"/>
    <w:rsid w:val="006F0D0C"/>
    <w:rsid w:val="006F0D9A"/>
    <w:rsid w:val="006F1C1B"/>
    <w:rsid w:val="006F21DF"/>
    <w:rsid w:val="006F298C"/>
    <w:rsid w:val="006F398A"/>
    <w:rsid w:val="006F5EAB"/>
    <w:rsid w:val="006F7937"/>
    <w:rsid w:val="006F7D33"/>
    <w:rsid w:val="00702177"/>
    <w:rsid w:val="00706E90"/>
    <w:rsid w:val="00707F29"/>
    <w:rsid w:val="00710A3E"/>
    <w:rsid w:val="00710C3D"/>
    <w:rsid w:val="00711385"/>
    <w:rsid w:val="00711914"/>
    <w:rsid w:val="007134DF"/>
    <w:rsid w:val="00714713"/>
    <w:rsid w:val="00714F6F"/>
    <w:rsid w:val="007179D5"/>
    <w:rsid w:val="00717A3E"/>
    <w:rsid w:val="007203AD"/>
    <w:rsid w:val="00720DF9"/>
    <w:rsid w:val="007225A2"/>
    <w:rsid w:val="00722744"/>
    <w:rsid w:val="007228AE"/>
    <w:rsid w:val="007232CC"/>
    <w:rsid w:val="007250E7"/>
    <w:rsid w:val="00726D27"/>
    <w:rsid w:val="00727A9D"/>
    <w:rsid w:val="00730CE3"/>
    <w:rsid w:val="007318B0"/>
    <w:rsid w:val="00734970"/>
    <w:rsid w:val="00734EB2"/>
    <w:rsid w:val="00736348"/>
    <w:rsid w:val="0073638F"/>
    <w:rsid w:val="007376EA"/>
    <w:rsid w:val="00741501"/>
    <w:rsid w:val="007419FC"/>
    <w:rsid w:val="007438DF"/>
    <w:rsid w:val="00744CBD"/>
    <w:rsid w:val="00744E23"/>
    <w:rsid w:val="007453FD"/>
    <w:rsid w:val="00746901"/>
    <w:rsid w:val="00750BD6"/>
    <w:rsid w:val="0075162E"/>
    <w:rsid w:val="00752671"/>
    <w:rsid w:val="00756656"/>
    <w:rsid w:val="00757102"/>
    <w:rsid w:val="00761031"/>
    <w:rsid w:val="00761B24"/>
    <w:rsid w:val="00762D85"/>
    <w:rsid w:val="00764BB0"/>
    <w:rsid w:val="00766AE9"/>
    <w:rsid w:val="00767ABA"/>
    <w:rsid w:val="00770B9A"/>
    <w:rsid w:val="0077174E"/>
    <w:rsid w:val="00771AB7"/>
    <w:rsid w:val="00771EA4"/>
    <w:rsid w:val="00776773"/>
    <w:rsid w:val="00780D9B"/>
    <w:rsid w:val="007813F8"/>
    <w:rsid w:val="00781987"/>
    <w:rsid w:val="00781F53"/>
    <w:rsid w:val="00782AD8"/>
    <w:rsid w:val="00784333"/>
    <w:rsid w:val="00785A41"/>
    <w:rsid w:val="00786120"/>
    <w:rsid w:val="0079042A"/>
    <w:rsid w:val="0079179D"/>
    <w:rsid w:val="00791E62"/>
    <w:rsid w:val="0079479A"/>
    <w:rsid w:val="007972D5"/>
    <w:rsid w:val="007A00FC"/>
    <w:rsid w:val="007A1B0A"/>
    <w:rsid w:val="007A2FF4"/>
    <w:rsid w:val="007A34BC"/>
    <w:rsid w:val="007A4E4B"/>
    <w:rsid w:val="007A6C4C"/>
    <w:rsid w:val="007A6F8B"/>
    <w:rsid w:val="007B0D6A"/>
    <w:rsid w:val="007B1BCD"/>
    <w:rsid w:val="007B1C0E"/>
    <w:rsid w:val="007B272A"/>
    <w:rsid w:val="007B4872"/>
    <w:rsid w:val="007B49F8"/>
    <w:rsid w:val="007B54CD"/>
    <w:rsid w:val="007B5F92"/>
    <w:rsid w:val="007B624F"/>
    <w:rsid w:val="007B6A17"/>
    <w:rsid w:val="007B7660"/>
    <w:rsid w:val="007C2022"/>
    <w:rsid w:val="007C370E"/>
    <w:rsid w:val="007C3BFB"/>
    <w:rsid w:val="007C4E16"/>
    <w:rsid w:val="007C5211"/>
    <w:rsid w:val="007C5853"/>
    <w:rsid w:val="007C6722"/>
    <w:rsid w:val="007C6EB9"/>
    <w:rsid w:val="007D08FA"/>
    <w:rsid w:val="007D0A6D"/>
    <w:rsid w:val="007D0EC3"/>
    <w:rsid w:val="007D3112"/>
    <w:rsid w:val="007D333F"/>
    <w:rsid w:val="007D3BBE"/>
    <w:rsid w:val="007D4483"/>
    <w:rsid w:val="007D4B1A"/>
    <w:rsid w:val="007D58AD"/>
    <w:rsid w:val="007D69CE"/>
    <w:rsid w:val="007D7479"/>
    <w:rsid w:val="007D7952"/>
    <w:rsid w:val="007E1B8E"/>
    <w:rsid w:val="007E4546"/>
    <w:rsid w:val="007E6875"/>
    <w:rsid w:val="007F0768"/>
    <w:rsid w:val="007F158B"/>
    <w:rsid w:val="007F182C"/>
    <w:rsid w:val="007F1B53"/>
    <w:rsid w:val="007F2999"/>
    <w:rsid w:val="0080003F"/>
    <w:rsid w:val="00800CD8"/>
    <w:rsid w:val="00801EA9"/>
    <w:rsid w:val="00802592"/>
    <w:rsid w:val="00803A9D"/>
    <w:rsid w:val="00804D70"/>
    <w:rsid w:val="00805042"/>
    <w:rsid w:val="00805EF0"/>
    <w:rsid w:val="008068ED"/>
    <w:rsid w:val="00810720"/>
    <w:rsid w:val="00810EAB"/>
    <w:rsid w:val="00811F99"/>
    <w:rsid w:val="00813821"/>
    <w:rsid w:val="00813E13"/>
    <w:rsid w:val="008148A2"/>
    <w:rsid w:val="00817AAE"/>
    <w:rsid w:val="00820719"/>
    <w:rsid w:val="0082220F"/>
    <w:rsid w:val="00823F2E"/>
    <w:rsid w:val="00824B73"/>
    <w:rsid w:val="00825151"/>
    <w:rsid w:val="00825BBE"/>
    <w:rsid w:val="00825D3C"/>
    <w:rsid w:val="00825D5B"/>
    <w:rsid w:val="00826EB6"/>
    <w:rsid w:val="00830973"/>
    <w:rsid w:val="00831624"/>
    <w:rsid w:val="00833514"/>
    <w:rsid w:val="00834011"/>
    <w:rsid w:val="00835D8B"/>
    <w:rsid w:val="00837B47"/>
    <w:rsid w:val="00840259"/>
    <w:rsid w:val="008419F4"/>
    <w:rsid w:val="008434B1"/>
    <w:rsid w:val="0084433F"/>
    <w:rsid w:val="00845369"/>
    <w:rsid w:val="008461D4"/>
    <w:rsid w:val="008462E5"/>
    <w:rsid w:val="00846FF4"/>
    <w:rsid w:val="008479C4"/>
    <w:rsid w:val="0085020D"/>
    <w:rsid w:val="00850647"/>
    <w:rsid w:val="00853304"/>
    <w:rsid w:val="00854ADE"/>
    <w:rsid w:val="0085513A"/>
    <w:rsid w:val="00856096"/>
    <w:rsid w:val="00856FDC"/>
    <w:rsid w:val="00857851"/>
    <w:rsid w:val="00862555"/>
    <w:rsid w:val="008637D6"/>
    <w:rsid w:val="008637EA"/>
    <w:rsid w:val="00863E38"/>
    <w:rsid w:val="00865790"/>
    <w:rsid w:val="008666CB"/>
    <w:rsid w:val="00866C8E"/>
    <w:rsid w:val="008671B4"/>
    <w:rsid w:val="008706FF"/>
    <w:rsid w:val="00870D6C"/>
    <w:rsid w:val="00872097"/>
    <w:rsid w:val="00873000"/>
    <w:rsid w:val="00873312"/>
    <w:rsid w:val="00875376"/>
    <w:rsid w:val="00875B8D"/>
    <w:rsid w:val="0088008A"/>
    <w:rsid w:val="008804D8"/>
    <w:rsid w:val="00882F63"/>
    <w:rsid w:val="00884CF8"/>
    <w:rsid w:val="00884DA5"/>
    <w:rsid w:val="0088526E"/>
    <w:rsid w:val="0088696C"/>
    <w:rsid w:val="00886DF4"/>
    <w:rsid w:val="00887284"/>
    <w:rsid w:val="008922EB"/>
    <w:rsid w:val="00893AF1"/>
    <w:rsid w:val="00894225"/>
    <w:rsid w:val="0089737A"/>
    <w:rsid w:val="00897382"/>
    <w:rsid w:val="008A009C"/>
    <w:rsid w:val="008A4B1B"/>
    <w:rsid w:val="008A4E56"/>
    <w:rsid w:val="008A5E6E"/>
    <w:rsid w:val="008A60D2"/>
    <w:rsid w:val="008A6367"/>
    <w:rsid w:val="008A6728"/>
    <w:rsid w:val="008A6F61"/>
    <w:rsid w:val="008B0F45"/>
    <w:rsid w:val="008B1A94"/>
    <w:rsid w:val="008B1C4C"/>
    <w:rsid w:val="008B2D89"/>
    <w:rsid w:val="008C0762"/>
    <w:rsid w:val="008C17FA"/>
    <w:rsid w:val="008C3D03"/>
    <w:rsid w:val="008C4704"/>
    <w:rsid w:val="008C4998"/>
    <w:rsid w:val="008C5661"/>
    <w:rsid w:val="008C66A7"/>
    <w:rsid w:val="008C6A7E"/>
    <w:rsid w:val="008C743A"/>
    <w:rsid w:val="008C7987"/>
    <w:rsid w:val="008C79A3"/>
    <w:rsid w:val="008C7C37"/>
    <w:rsid w:val="008D0068"/>
    <w:rsid w:val="008D318F"/>
    <w:rsid w:val="008D52FD"/>
    <w:rsid w:val="008D552D"/>
    <w:rsid w:val="008D5584"/>
    <w:rsid w:val="008D578A"/>
    <w:rsid w:val="008D5869"/>
    <w:rsid w:val="008D5B3C"/>
    <w:rsid w:val="008D69AF"/>
    <w:rsid w:val="008D751C"/>
    <w:rsid w:val="008D7E87"/>
    <w:rsid w:val="008E0C68"/>
    <w:rsid w:val="008E0D8D"/>
    <w:rsid w:val="008E1530"/>
    <w:rsid w:val="008E2ABD"/>
    <w:rsid w:val="008E2D91"/>
    <w:rsid w:val="008E37F5"/>
    <w:rsid w:val="008E3962"/>
    <w:rsid w:val="008E4C17"/>
    <w:rsid w:val="008E658D"/>
    <w:rsid w:val="008E76CD"/>
    <w:rsid w:val="008F199E"/>
    <w:rsid w:val="008F3881"/>
    <w:rsid w:val="008F3AF0"/>
    <w:rsid w:val="008F7740"/>
    <w:rsid w:val="008F794D"/>
    <w:rsid w:val="009008F5"/>
    <w:rsid w:val="009009EF"/>
    <w:rsid w:val="0090118F"/>
    <w:rsid w:val="00902E8A"/>
    <w:rsid w:val="0090418A"/>
    <w:rsid w:val="00905E96"/>
    <w:rsid w:val="00906005"/>
    <w:rsid w:val="00910C02"/>
    <w:rsid w:val="00910D5A"/>
    <w:rsid w:val="0091193E"/>
    <w:rsid w:val="00911DF5"/>
    <w:rsid w:val="0091423E"/>
    <w:rsid w:val="009142F4"/>
    <w:rsid w:val="00920194"/>
    <w:rsid w:val="00921011"/>
    <w:rsid w:val="009220E2"/>
    <w:rsid w:val="00925F15"/>
    <w:rsid w:val="00930054"/>
    <w:rsid w:val="00931D80"/>
    <w:rsid w:val="00932266"/>
    <w:rsid w:val="00933924"/>
    <w:rsid w:val="00933944"/>
    <w:rsid w:val="00936328"/>
    <w:rsid w:val="0094289B"/>
    <w:rsid w:val="00944848"/>
    <w:rsid w:val="00947FEE"/>
    <w:rsid w:val="00951AE1"/>
    <w:rsid w:val="00952B08"/>
    <w:rsid w:val="0095467B"/>
    <w:rsid w:val="00955573"/>
    <w:rsid w:val="009656CF"/>
    <w:rsid w:val="00965823"/>
    <w:rsid w:val="0097125A"/>
    <w:rsid w:val="009716C3"/>
    <w:rsid w:val="0097347B"/>
    <w:rsid w:val="00974CAD"/>
    <w:rsid w:val="0097542C"/>
    <w:rsid w:val="00976FC3"/>
    <w:rsid w:val="0098213B"/>
    <w:rsid w:val="0098521B"/>
    <w:rsid w:val="0098522B"/>
    <w:rsid w:val="0098542D"/>
    <w:rsid w:val="00986845"/>
    <w:rsid w:val="0098686E"/>
    <w:rsid w:val="00986940"/>
    <w:rsid w:val="00987796"/>
    <w:rsid w:val="00990B82"/>
    <w:rsid w:val="009916B0"/>
    <w:rsid w:val="009920D7"/>
    <w:rsid w:val="0099376B"/>
    <w:rsid w:val="00993F21"/>
    <w:rsid w:val="00995D94"/>
    <w:rsid w:val="00996A73"/>
    <w:rsid w:val="00997BA0"/>
    <w:rsid w:val="009A06E7"/>
    <w:rsid w:val="009A1A3B"/>
    <w:rsid w:val="009A2AAA"/>
    <w:rsid w:val="009A3DDF"/>
    <w:rsid w:val="009B3412"/>
    <w:rsid w:val="009B362C"/>
    <w:rsid w:val="009B55EF"/>
    <w:rsid w:val="009B7C78"/>
    <w:rsid w:val="009C1687"/>
    <w:rsid w:val="009C2E4C"/>
    <w:rsid w:val="009C32E3"/>
    <w:rsid w:val="009C64CF"/>
    <w:rsid w:val="009C6DDF"/>
    <w:rsid w:val="009C7E6B"/>
    <w:rsid w:val="009D090E"/>
    <w:rsid w:val="009D22AB"/>
    <w:rsid w:val="009D48E3"/>
    <w:rsid w:val="009D4BF0"/>
    <w:rsid w:val="009D599B"/>
    <w:rsid w:val="009D5D5F"/>
    <w:rsid w:val="009E1291"/>
    <w:rsid w:val="009E156C"/>
    <w:rsid w:val="009E23E2"/>
    <w:rsid w:val="009E362B"/>
    <w:rsid w:val="009E470D"/>
    <w:rsid w:val="009E485C"/>
    <w:rsid w:val="009E663E"/>
    <w:rsid w:val="009E680B"/>
    <w:rsid w:val="009E6DF0"/>
    <w:rsid w:val="009E7A4A"/>
    <w:rsid w:val="009F089D"/>
    <w:rsid w:val="009F0BB7"/>
    <w:rsid w:val="009F1802"/>
    <w:rsid w:val="009F3D9C"/>
    <w:rsid w:val="009F4837"/>
    <w:rsid w:val="009F5C68"/>
    <w:rsid w:val="009F672A"/>
    <w:rsid w:val="009F7239"/>
    <w:rsid w:val="00A003CA"/>
    <w:rsid w:val="00A005EB"/>
    <w:rsid w:val="00A01100"/>
    <w:rsid w:val="00A02CE9"/>
    <w:rsid w:val="00A04FA0"/>
    <w:rsid w:val="00A077E2"/>
    <w:rsid w:val="00A07A23"/>
    <w:rsid w:val="00A07F46"/>
    <w:rsid w:val="00A1488B"/>
    <w:rsid w:val="00A1559F"/>
    <w:rsid w:val="00A15A1F"/>
    <w:rsid w:val="00A160CE"/>
    <w:rsid w:val="00A16278"/>
    <w:rsid w:val="00A16DB5"/>
    <w:rsid w:val="00A16E20"/>
    <w:rsid w:val="00A203A3"/>
    <w:rsid w:val="00A22122"/>
    <w:rsid w:val="00A23B9A"/>
    <w:rsid w:val="00A269FC"/>
    <w:rsid w:val="00A3325A"/>
    <w:rsid w:val="00A33FAA"/>
    <w:rsid w:val="00A35B2B"/>
    <w:rsid w:val="00A37E21"/>
    <w:rsid w:val="00A410DF"/>
    <w:rsid w:val="00A452C1"/>
    <w:rsid w:val="00A45F29"/>
    <w:rsid w:val="00A50CCB"/>
    <w:rsid w:val="00A51C09"/>
    <w:rsid w:val="00A52F43"/>
    <w:rsid w:val="00A53184"/>
    <w:rsid w:val="00A53A6F"/>
    <w:rsid w:val="00A54AAE"/>
    <w:rsid w:val="00A56633"/>
    <w:rsid w:val="00A56E08"/>
    <w:rsid w:val="00A57108"/>
    <w:rsid w:val="00A60F25"/>
    <w:rsid w:val="00A61103"/>
    <w:rsid w:val="00A6380C"/>
    <w:rsid w:val="00A64E85"/>
    <w:rsid w:val="00A66C8F"/>
    <w:rsid w:val="00A673EB"/>
    <w:rsid w:val="00A707F7"/>
    <w:rsid w:val="00A7163E"/>
    <w:rsid w:val="00A71F93"/>
    <w:rsid w:val="00A7294F"/>
    <w:rsid w:val="00A739AE"/>
    <w:rsid w:val="00A73D39"/>
    <w:rsid w:val="00A74C02"/>
    <w:rsid w:val="00A756BB"/>
    <w:rsid w:val="00A76846"/>
    <w:rsid w:val="00A76F0E"/>
    <w:rsid w:val="00A80CFB"/>
    <w:rsid w:val="00A813F7"/>
    <w:rsid w:val="00A82B58"/>
    <w:rsid w:val="00A84F04"/>
    <w:rsid w:val="00A85E44"/>
    <w:rsid w:val="00A90133"/>
    <w:rsid w:val="00A917F1"/>
    <w:rsid w:val="00A91A1E"/>
    <w:rsid w:val="00A93478"/>
    <w:rsid w:val="00A96FA8"/>
    <w:rsid w:val="00A973CD"/>
    <w:rsid w:val="00AA0555"/>
    <w:rsid w:val="00AA0B61"/>
    <w:rsid w:val="00AA283E"/>
    <w:rsid w:val="00AA367B"/>
    <w:rsid w:val="00AA37E4"/>
    <w:rsid w:val="00AA3A48"/>
    <w:rsid w:val="00AA4379"/>
    <w:rsid w:val="00AA60BA"/>
    <w:rsid w:val="00AA61C9"/>
    <w:rsid w:val="00AA6FD6"/>
    <w:rsid w:val="00AA77B8"/>
    <w:rsid w:val="00AA7AF0"/>
    <w:rsid w:val="00AB14D0"/>
    <w:rsid w:val="00AB16C8"/>
    <w:rsid w:val="00AB39FB"/>
    <w:rsid w:val="00AB415F"/>
    <w:rsid w:val="00AB58F5"/>
    <w:rsid w:val="00AC0ACB"/>
    <w:rsid w:val="00AC0EC6"/>
    <w:rsid w:val="00AC1F93"/>
    <w:rsid w:val="00AC24CF"/>
    <w:rsid w:val="00AC3F23"/>
    <w:rsid w:val="00AC3FAC"/>
    <w:rsid w:val="00AC4E68"/>
    <w:rsid w:val="00AC6E04"/>
    <w:rsid w:val="00AC7689"/>
    <w:rsid w:val="00AC793F"/>
    <w:rsid w:val="00AD0F7C"/>
    <w:rsid w:val="00AD153D"/>
    <w:rsid w:val="00AD1E86"/>
    <w:rsid w:val="00AD2236"/>
    <w:rsid w:val="00AD260E"/>
    <w:rsid w:val="00AD39C7"/>
    <w:rsid w:val="00AD3F91"/>
    <w:rsid w:val="00AD3FC4"/>
    <w:rsid w:val="00AD4815"/>
    <w:rsid w:val="00AD5959"/>
    <w:rsid w:val="00AD7675"/>
    <w:rsid w:val="00AD7CFC"/>
    <w:rsid w:val="00AE0BDD"/>
    <w:rsid w:val="00AE13B7"/>
    <w:rsid w:val="00AE15B1"/>
    <w:rsid w:val="00AE19AA"/>
    <w:rsid w:val="00AE3E52"/>
    <w:rsid w:val="00AE42E7"/>
    <w:rsid w:val="00AE54E2"/>
    <w:rsid w:val="00AF05D2"/>
    <w:rsid w:val="00AF108A"/>
    <w:rsid w:val="00AF13BF"/>
    <w:rsid w:val="00AF1BE4"/>
    <w:rsid w:val="00AF3364"/>
    <w:rsid w:val="00AF3886"/>
    <w:rsid w:val="00AF6728"/>
    <w:rsid w:val="00AF76D1"/>
    <w:rsid w:val="00B0030E"/>
    <w:rsid w:val="00B0232E"/>
    <w:rsid w:val="00B02E55"/>
    <w:rsid w:val="00B03B57"/>
    <w:rsid w:val="00B048D2"/>
    <w:rsid w:val="00B04F34"/>
    <w:rsid w:val="00B05B51"/>
    <w:rsid w:val="00B06230"/>
    <w:rsid w:val="00B1031F"/>
    <w:rsid w:val="00B11FB2"/>
    <w:rsid w:val="00B12A48"/>
    <w:rsid w:val="00B176A7"/>
    <w:rsid w:val="00B2002C"/>
    <w:rsid w:val="00B20FA1"/>
    <w:rsid w:val="00B24E25"/>
    <w:rsid w:val="00B25C9D"/>
    <w:rsid w:val="00B27357"/>
    <w:rsid w:val="00B274E0"/>
    <w:rsid w:val="00B30BFA"/>
    <w:rsid w:val="00B3200F"/>
    <w:rsid w:val="00B33A8A"/>
    <w:rsid w:val="00B342A0"/>
    <w:rsid w:val="00B345AC"/>
    <w:rsid w:val="00B34674"/>
    <w:rsid w:val="00B37AAF"/>
    <w:rsid w:val="00B40F99"/>
    <w:rsid w:val="00B41247"/>
    <w:rsid w:val="00B413F2"/>
    <w:rsid w:val="00B419E2"/>
    <w:rsid w:val="00B42A05"/>
    <w:rsid w:val="00B42E8E"/>
    <w:rsid w:val="00B441AA"/>
    <w:rsid w:val="00B45FE5"/>
    <w:rsid w:val="00B46013"/>
    <w:rsid w:val="00B478F4"/>
    <w:rsid w:val="00B47D3C"/>
    <w:rsid w:val="00B5026F"/>
    <w:rsid w:val="00B52E4E"/>
    <w:rsid w:val="00B531DB"/>
    <w:rsid w:val="00B53D24"/>
    <w:rsid w:val="00B54904"/>
    <w:rsid w:val="00B55CC7"/>
    <w:rsid w:val="00B61015"/>
    <w:rsid w:val="00B621C7"/>
    <w:rsid w:val="00B64536"/>
    <w:rsid w:val="00B64970"/>
    <w:rsid w:val="00B64B86"/>
    <w:rsid w:val="00B65A80"/>
    <w:rsid w:val="00B65D9F"/>
    <w:rsid w:val="00B672F4"/>
    <w:rsid w:val="00B676A4"/>
    <w:rsid w:val="00B705BD"/>
    <w:rsid w:val="00B73352"/>
    <w:rsid w:val="00B74A5B"/>
    <w:rsid w:val="00B75DD7"/>
    <w:rsid w:val="00B771F7"/>
    <w:rsid w:val="00B7780A"/>
    <w:rsid w:val="00B81DD9"/>
    <w:rsid w:val="00B8205D"/>
    <w:rsid w:val="00B82835"/>
    <w:rsid w:val="00B835F0"/>
    <w:rsid w:val="00B86518"/>
    <w:rsid w:val="00B8676E"/>
    <w:rsid w:val="00B87A6F"/>
    <w:rsid w:val="00B9081B"/>
    <w:rsid w:val="00B917FF"/>
    <w:rsid w:val="00B91B64"/>
    <w:rsid w:val="00B91E67"/>
    <w:rsid w:val="00B92D4F"/>
    <w:rsid w:val="00B9324E"/>
    <w:rsid w:val="00B93720"/>
    <w:rsid w:val="00B9558A"/>
    <w:rsid w:val="00B96992"/>
    <w:rsid w:val="00B96A88"/>
    <w:rsid w:val="00BA005C"/>
    <w:rsid w:val="00BA420C"/>
    <w:rsid w:val="00BA6B0E"/>
    <w:rsid w:val="00BB0407"/>
    <w:rsid w:val="00BB0BC1"/>
    <w:rsid w:val="00BB12FF"/>
    <w:rsid w:val="00BB1AC7"/>
    <w:rsid w:val="00BB1B86"/>
    <w:rsid w:val="00BB204D"/>
    <w:rsid w:val="00BB217E"/>
    <w:rsid w:val="00BB3CE1"/>
    <w:rsid w:val="00BB4634"/>
    <w:rsid w:val="00BB518B"/>
    <w:rsid w:val="00BB6D7B"/>
    <w:rsid w:val="00BB728C"/>
    <w:rsid w:val="00BB791B"/>
    <w:rsid w:val="00BC197D"/>
    <w:rsid w:val="00BC4A49"/>
    <w:rsid w:val="00BC6C14"/>
    <w:rsid w:val="00BD1581"/>
    <w:rsid w:val="00BD2437"/>
    <w:rsid w:val="00BD5D4C"/>
    <w:rsid w:val="00BD5F53"/>
    <w:rsid w:val="00BD66D9"/>
    <w:rsid w:val="00BD6C65"/>
    <w:rsid w:val="00BD74A7"/>
    <w:rsid w:val="00BE50DF"/>
    <w:rsid w:val="00BE564B"/>
    <w:rsid w:val="00BE5835"/>
    <w:rsid w:val="00BE68AE"/>
    <w:rsid w:val="00BE6E04"/>
    <w:rsid w:val="00BE75F0"/>
    <w:rsid w:val="00BE7ABA"/>
    <w:rsid w:val="00BF09F3"/>
    <w:rsid w:val="00BF0DA7"/>
    <w:rsid w:val="00BF2A1D"/>
    <w:rsid w:val="00BF3925"/>
    <w:rsid w:val="00BF5E39"/>
    <w:rsid w:val="00BF65FB"/>
    <w:rsid w:val="00BF70EA"/>
    <w:rsid w:val="00BF7FE0"/>
    <w:rsid w:val="00C00132"/>
    <w:rsid w:val="00C00D7D"/>
    <w:rsid w:val="00C0331D"/>
    <w:rsid w:val="00C0406F"/>
    <w:rsid w:val="00C040A1"/>
    <w:rsid w:val="00C0457B"/>
    <w:rsid w:val="00C05249"/>
    <w:rsid w:val="00C05404"/>
    <w:rsid w:val="00C06A7A"/>
    <w:rsid w:val="00C06E45"/>
    <w:rsid w:val="00C0714C"/>
    <w:rsid w:val="00C071D4"/>
    <w:rsid w:val="00C12669"/>
    <w:rsid w:val="00C12EF3"/>
    <w:rsid w:val="00C13212"/>
    <w:rsid w:val="00C17DF4"/>
    <w:rsid w:val="00C17EA4"/>
    <w:rsid w:val="00C20597"/>
    <w:rsid w:val="00C20A28"/>
    <w:rsid w:val="00C22DED"/>
    <w:rsid w:val="00C2373D"/>
    <w:rsid w:val="00C23855"/>
    <w:rsid w:val="00C23866"/>
    <w:rsid w:val="00C23ACA"/>
    <w:rsid w:val="00C268AF"/>
    <w:rsid w:val="00C26D2D"/>
    <w:rsid w:val="00C30037"/>
    <w:rsid w:val="00C32B9D"/>
    <w:rsid w:val="00C3385F"/>
    <w:rsid w:val="00C353C1"/>
    <w:rsid w:val="00C36AE6"/>
    <w:rsid w:val="00C37F55"/>
    <w:rsid w:val="00C448E8"/>
    <w:rsid w:val="00C4562D"/>
    <w:rsid w:val="00C47409"/>
    <w:rsid w:val="00C478DE"/>
    <w:rsid w:val="00C47DDE"/>
    <w:rsid w:val="00C50031"/>
    <w:rsid w:val="00C53471"/>
    <w:rsid w:val="00C53BC4"/>
    <w:rsid w:val="00C54EE8"/>
    <w:rsid w:val="00C553BA"/>
    <w:rsid w:val="00C568D0"/>
    <w:rsid w:val="00C578EE"/>
    <w:rsid w:val="00C57A0B"/>
    <w:rsid w:val="00C57E99"/>
    <w:rsid w:val="00C57EA4"/>
    <w:rsid w:val="00C6011A"/>
    <w:rsid w:val="00C61380"/>
    <w:rsid w:val="00C63D16"/>
    <w:rsid w:val="00C64CB1"/>
    <w:rsid w:val="00C651C2"/>
    <w:rsid w:val="00C655DF"/>
    <w:rsid w:val="00C7005B"/>
    <w:rsid w:val="00C70657"/>
    <w:rsid w:val="00C7237C"/>
    <w:rsid w:val="00C741E4"/>
    <w:rsid w:val="00C74477"/>
    <w:rsid w:val="00C744BE"/>
    <w:rsid w:val="00C747EA"/>
    <w:rsid w:val="00C74BF8"/>
    <w:rsid w:val="00C80386"/>
    <w:rsid w:val="00C80FF0"/>
    <w:rsid w:val="00C81B90"/>
    <w:rsid w:val="00C84457"/>
    <w:rsid w:val="00C849D8"/>
    <w:rsid w:val="00C859C6"/>
    <w:rsid w:val="00C85B06"/>
    <w:rsid w:val="00C90D08"/>
    <w:rsid w:val="00C91BD7"/>
    <w:rsid w:val="00C920C9"/>
    <w:rsid w:val="00C92D69"/>
    <w:rsid w:val="00C931DC"/>
    <w:rsid w:val="00C94C89"/>
    <w:rsid w:val="00C94F0D"/>
    <w:rsid w:val="00C952B4"/>
    <w:rsid w:val="00C956CA"/>
    <w:rsid w:val="00C95CBB"/>
    <w:rsid w:val="00CA0360"/>
    <w:rsid w:val="00CA1A89"/>
    <w:rsid w:val="00CA284C"/>
    <w:rsid w:val="00CA36CC"/>
    <w:rsid w:val="00CA6009"/>
    <w:rsid w:val="00CB0CE2"/>
    <w:rsid w:val="00CB1A41"/>
    <w:rsid w:val="00CB1B05"/>
    <w:rsid w:val="00CB1D8A"/>
    <w:rsid w:val="00CB4083"/>
    <w:rsid w:val="00CC11B1"/>
    <w:rsid w:val="00CC1517"/>
    <w:rsid w:val="00CC15D4"/>
    <w:rsid w:val="00CC4B4E"/>
    <w:rsid w:val="00CC7F77"/>
    <w:rsid w:val="00CD1691"/>
    <w:rsid w:val="00CD16AC"/>
    <w:rsid w:val="00CD3D03"/>
    <w:rsid w:val="00CD52D6"/>
    <w:rsid w:val="00CD5C79"/>
    <w:rsid w:val="00CD60CE"/>
    <w:rsid w:val="00CD6AFA"/>
    <w:rsid w:val="00CE2F48"/>
    <w:rsid w:val="00CE3CF7"/>
    <w:rsid w:val="00CE3E45"/>
    <w:rsid w:val="00CE4759"/>
    <w:rsid w:val="00CE6D7B"/>
    <w:rsid w:val="00CE6F1A"/>
    <w:rsid w:val="00CE7C76"/>
    <w:rsid w:val="00CF0AB8"/>
    <w:rsid w:val="00CF1546"/>
    <w:rsid w:val="00CF263B"/>
    <w:rsid w:val="00CF2CE3"/>
    <w:rsid w:val="00CF3B07"/>
    <w:rsid w:val="00CF499F"/>
    <w:rsid w:val="00CF4DE0"/>
    <w:rsid w:val="00CF5207"/>
    <w:rsid w:val="00CF58B7"/>
    <w:rsid w:val="00CF6816"/>
    <w:rsid w:val="00CF7797"/>
    <w:rsid w:val="00CF7C35"/>
    <w:rsid w:val="00D0095E"/>
    <w:rsid w:val="00D01D55"/>
    <w:rsid w:val="00D022A5"/>
    <w:rsid w:val="00D027C1"/>
    <w:rsid w:val="00D0361A"/>
    <w:rsid w:val="00D04185"/>
    <w:rsid w:val="00D04B91"/>
    <w:rsid w:val="00D078F5"/>
    <w:rsid w:val="00D114E5"/>
    <w:rsid w:val="00D12A75"/>
    <w:rsid w:val="00D13854"/>
    <w:rsid w:val="00D13ABD"/>
    <w:rsid w:val="00D141F5"/>
    <w:rsid w:val="00D14392"/>
    <w:rsid w:val="00D14FE3"/>
    <w:rsid w:val="00D160E0"/>
    <w:rsid w:val="00D16399"/>
    <w:rsid w:val="00D163C0"/>
    <w:rsid w:val="00D16D6B"/>
    <w:rsid w:val="00D2065C"/>
    <w:rsid w:val="00D2187A"/>
    <w:rsid w:val="00D21887"/>
    <w:rsid w:val="00D221DA"/>
    <w:rsid w:val="00D228EF"/>
    <w:rsid w:val="00D2295E"/>
    <w:rsid w:val="00D23536"/>
    <w:rsid w:val="00D2407B"/>
    <w:rsid w:val="00D24E89"/>
    <w:rsid w:val="00D25F89"/>
    <w:rsid w:val="00D26751"/>
    <w:rsid w:val="00D3146E"/>
    <w:rsid w:val="00D33B5E"/>
    <w:rsid w:val="00D3467D"/>
    <w:rsid w:val="00D351C1"/>
    <w:rsid w:val="00D35F14"/>
    <w:rsid w:val="00D36586"/>
    <w:rsid w:val="00D376BD"/>
    <w:rsid w:val="00D41D49"/>
    <w:rsid w:val="00D4396E"/>
    <w:rsid w:val="00D439AA"/>
    <w:rsid w:val="00D43D36"/>
    <w:rsid w:val="00D44D8A"/>
    <w:rsid w:val="00D47575"/>
    <w:rsid w:val="00D47CAD"/>
    <w:rsid w:val="00D50532"/>
    <w:rsid w:val="00D50811"/>
    <w:rsid w:val="00D50FCD"/>
    <w:rsid w:val="00D52ED9"/>
    <w:rsid w:val="00D568DD"/>
    <w:rsid w:val="00D57CEB"/>
    <w:rsid w:val="00D61049"/>
    <w:rsid w:val="00D612F3"/>
    <w:rsid w:val="00D62C9C"/>
    <w:rsid w:val="00D6638A"/>
    <w:rsid w:val="00D66CC8"/>
    <w:rsid w:val="00D670D3"/>
    <w:rsid w:val="00D672F1"/>
    <w:rsid w:val="00D70D0B"/>
    <w:rsid w:val="00D71678"/>
    <w:rsid w:val="00D71B5E"/>
    <w:rsid w:val="00D731A9"/>
    <w:rsid w:val="00D73371"/>
    <w:rsid w:val="00D73E37"/>
    <w:rsid w:val="00D74CA1"/>
    <w:rsid w:val="00D75EEC"/>
    <w:rsid w:val="00D77164"/>
    <w:rsid w:val="00D80157"/>
    <w:rsid w:val="00D812F4"/>
    <w:rsid w:val="00D814B3"/>
    <w:rsid w:val="00D83CAF"/>
    <w:rsid w:val="00D84014"/>
    <w:rsid w:val="00D858B6"/>
    <w:rsid w:val="00D862D3"/>
    <w:rsid w:val="00D86BF0"/>
    <w:rsid w:val="00D90C8C"/>
    <w:rsid w:val="00D923BF"/>
    <w:rsid w:val="00D94311"/>
    <w:rsid w:val="00D94834"/>
    <w:rsid w:val="00D95CC2"/>
    <w:rsid w:val="00D95FA4"/>
    <w:rsid w:val="00D9660E"/>
    <w:rsid w:val="00D97876"/>
    <w:rsid w:val="00DA1972"/>
    <w:rsid w:val="00DA3BE2"/>
    <w:rsid w:val="00DA44A9"/>
    <w:rsid w:val="00DA5A53"/>
    <w:rsid w:val="00DB2828"/>
    <w:rsid w:val="00DB42C9"/>
    <w:rsid w:val="00DB4D4C"/>
    <w:rsid w:val="00DB523C"/>
    <w:rsid w:val="00DB5DB4"/>
    <w:rsid w:val="00DB792F"/>
    <w:rsid w:val="00DB7FA2"/>
    <w:rsid w:val="00DC23A9"/>
    <w:rsid w:val="00DC2522"/>
    <w:rsid w:val="00DC3C60"/>
    <w:rsid w:val="00DD0BD8"/>
    <w:rsid w:val="00DD1198"/>
    <w:rsid w:val="00DD1BFE"/>
    <w:rsid w:val="00DD4DDA"/>
    <w:rsid w:val="00DD56F6"/>
    <w:rsid w:val="00DD610B"/>
    <w:rsid w:val="00DD6603"/>
    <w:rsid w:val="00DE05AF"/>
    <w:rsid w:val="00DE26B5"/>
    <w:rsid w:val="00DE4C1C"/>
    <w:rsid w:val="00DF11E0"/>
    <w:rsid w:val="00DF1BE4"/>
    <w:rsid w:val="00DF2A8F"/>
    <w:rsid w:val="00DF2D9D"/>
    <w:rsid w:val="00DF3A2D"/>
    <w:rsid w:val="00DF479B"/>
    <w:rsid w:val="00DF54C4"/>
    <w:rsid w:val="00E01FA7"/>
    <w:rsid w:val="00E02F6D"/>
    <w:rsid w:val="00E03454"/>
    <w:rsid w:val="00E10156"/>
    <w:rsid w:val="00E10237"/>
    <w:rsid w:val="00E10769"/>
    <w:rsid w:val="00E10BDD"/>
    <w:rsid w:val="00E112A3"/>
    <w:rsid w:val="00E12A17"/>
    <w:rsid w:val="00E12D66"/>
    <w:rsid w:val="00E14EFB"/>
    <w:rsid w:val="00E14FCE"/>
    <w:rsid w:val="00E1512C"/>
    <w:rsid w:val="00E1550C"/>
    <w:rsid w:val="00E15716"/>
    <w:rsid w:val="00E15955"/>
    <w:rsid w:val="00E160E0"/>
    <w:rsid w:val="00E16C2F"/>
    <w:rsid w:val="00E21C70"/>
    <w:rsid w:val="00E23626"/>
    <w:rsid w:val="00E257A6"/>
    <w:rsid w:val="00E257B1"/>
    <w:rsid w:val="00E26366"/>
    <w:rsid w:val="00E30665"/>
    <w:rsid w:val="00E329B1"/>
    <w:rsid w:val="00E32B16"/>
    <w:rsid w:val="00E33D54"/>
    <w:rsid w:val="00E346B5"/>
    <w:rsid w:val="00E35283"/>
    <w:rsid w:val="00E354A2"/>
    <w:rsid w:val="00E35EA1"/>
    <w:rsid w:val="00E36527"/>
    <w:rsid w:val="00E4022E"/>
    <w:rsid w:val="00E40480"/>
    <w:rsid w:val="00E418DC"/>
    <w:rsid w:val="00E42A7A"/>
    <w:rsid w:val="00E43595"/>
    <w:rsid w:val="00E456CF"/>
    <w:rsid w:val="00E50B54"/>
    <w:rsid w:val="00E51920"/>
    <w:rsid w:val="00E53214"/>
    <w:rsid w:val="00E56515"/>
    <w:rsid w:val="00E578AE"/>
    <w:rsid w:val="00E61EF3"/>
    <w:rsid w:val="00E62F68"/>
    <w:rsid w:val="00E63C49"/>
    <w:rsid w:val="00E64120"/>
    <w:rsid w:val="00E64864"/>
    <w:rsid w:val="00E657DB"/>
    <w:rsid w:val="00E663A4"/>
    <w:rsid w:val="00E678D5"/>
    <w:rsid w:val="00E70CF2"/>
    <w:rsid w:val="00E738D9"/>
    <w:rsid w:val="00E75C79"/>
    <w:rsid w:val="00E764BD"/>
    <w:rsid w:val="00E81054"/>
    <w:rsid w:val="00E82880"/>
    <w:rsid w:val="00E82A51"/>
    <w:rsid w:val="00E841F5"/>
    <w:rsid w:val="00E842B3"/>
    <w:rsid w:val="00E8608F"/>
    <w:rsid w:val="00E86DA4"/>
    <w:rsid w:val="00E87207"/>
    <w:rsid w:val="00E87C6E"/>
    <w:rsid w:val="00E9062C"/>
    <w:rsid w:val="00E93405"/>
    <w:rsid w:val="00E934D9"/>
    <w:rsid w:val="00E94EED"/>
    <w:rsid w:val="00E95619"/>
    <w:rsid w:val="00E96A3D"/>
    <w:rsid w:val="00E9717F"/>
    <w:rsid w:val="00E972D2"/>
    <w:rsid w:val="00E9784F"/>
    <w:rsid w:val="00EA1211"/>
    <w:rsid w:val="00EA29C8"/>
    <w:rsid w:val="00EA529C"/>
    <w:rsid w:val="00EA55DC"/>
    <w:rsid w:val="00EA5D1E"/>
    <w:rsid w:val="00EB05B1"/>
    <w:rsid w:val="00EB22DD"/>
    <w:rsid w:val="00EB4D61"/>
    <w:rsid w:val="00EB5C1B"/>
    <w:rsid w:val="00EB7EC0"/>
    <w:rsid w:val="00EC079E"/>
    <w:rsid w:val="00EC3567"/>
    <w:rsid w:val="00EC383E"/>
    <w:rsid w:val="00EC3EC8"/>
    <w:rsid w:val="00EC5082"/>
    <w:rsid w:val="00EC667E"/>
    <w:rsid w:val="00EC6922"/>
    <w:rsid w:val="00EC6E13"/>
    <w:rsid w:val="00EC7558"/>
    <w:rsid w:val="00EC7C1F"/>
    <w:rsid w:val="00ED1FF8"/>
    <w:rsid w:val="00ED41D4"/>
    <w:rsid w:val="00ED42B7"/>
    <w:rsid w:val="00ED5C1C"/>
    <w:rsid w:val="00ED6C03"/>
    <w:rsid w:val="00ED7880"/>
    <w:rsid w:val="00EE24C1"/>
    <w:rsid w:val="00EE3351"/>
    <w:rsid w:val="00EE3A49"/>
    <w:rsid w:val="00EE4BD0"/>
    <w:rsid w:val="00EE4C3D"/>
    <w:rsid w:val="00EF078D"/>
    <w:rsid w:val="00EF2532"/>
    <w:rsid w:val="00EF3298"/>
    <w:rsid w:val="00EF361B"/>
    <w:rsid w:val="00EF6EAF"/>
    <w:rsid w:val="00EF7F93"/>
    <w:rsid w:val="00F02C53"/>
    <w:rsid w:val="00F04347"/>
    <w:rsid w:val="00F04826"/>
    <w:rsid w:val="00F055F1"/>
    <w:rsid w:val="00F05CD5"/>
    <w:rsid w:val="00F076C4"/>
    <w:rsid w:val="00F1021F"/>
    <w:rsid w:val="00F1031F"/>
    <w:rsid w:val="00F1072A"/>
    <w:rsid w:val="00F11229"/>
    <w:rsid w:val="00F11B51"/>
    <w:rsid w:val="00F11EE1"/>
    <w:rsid w:val="00F150D6"/>
    <w:rsid w:val="00F17DB3"/>
    <w:rsid w:val="00F20713"/>
    <w:rsid w:val="00F208DB"/>
    <w:rsid w:val="00F211AC"/>
    <w:rsid w:val="00F2333B"/>
    <w:rsid w:val="00F2625D"/>
    <w:rsid w:val="00F27622"/>
    <w:rsid w:val="00F31FAB"/>
    <w:rsid w:val="00F3246E"/>
    <w:rsid w:val="00F32D0F"/>
    <w:rsid w:val="00F333EC"/>
    <w:rsid w:val="00F33BF0"/>
    <w:rsid w:val="00F359DA"/>
    <w:rsid w:val="00F35D68"/>
    <w:rsid w:val="00F35EE9"/>
    <w:rsid w:val="00F361FE"/>
    <w:rsid w:val="00F37AEA"/>
    <w:rsid w:val="00F40216"/>
    <w:rsid w:val="00F41978"/>
    <w:rsid w:val="00F42F2E"/>
    <w:rsid w:val="00F45BD5"/>
    <w:rsid w:val="00F45FBA"/>
    <w:rsid w:val="00F464FA"/>
    <w:rsid w:val="00F46A78"/>
    <w:rsid w:val="00F5150D"/>
    <w:rsid w:val="00F52150"/>
    <w:rsid w:val="00F5305E"/>
    <w:rsid w:val="00F535C7"/>
    <w:rsid w:val="00F53FF6"/>
    <w:rsid w:val="00F543BA"/>
    <w:rsid w:val="00F558F6"/>
    <w:rsid w:val="00F566ED"/>
    <w:rsid w:val="00F56DE9"/>
    <w:rsid w:val="00F570B9"/>
    <w:rsid w:val="00F5760D"/>
    <w:rsid w:val="00F603D8"/>
    <w:rsid w:val="00F606A4"/>
    <w:rsid w:val="00F6784F"/>
    <w:rsid w:val="00F7327A"/>
    <w:rsid w:val="00F76EDE"/>
    <w:rsid w:val="00F77391"/>
    <w:rsid w:val="00F77659"/>
    <w:rsid w:val="00F8088B"/>
    <w:rsid w:val="00F83776"/>
    <w:rsid w:val="00F83BC9"/>
    <w:rsid w:val="00F848CE"/>
    <w:rsid w:val="00F84BBF"/>
    <w:rsid w:val="00F85801"/>
    <w:rsid w:val="00F85BF7"/>
    <w:rsid w:val="00F86101"/>
    <w:rsid w:val="00F86B2B"/>
    <w:rsid w:val="00F8771E"/>
    <w:rsid w:val="00F90A03"/>
    <w:rsid w:val="00F917FB"/>
    <w:rsid w:val="00F9187A"/>
    <w:rsid w:val="00F91DF8"/>
    <w:rsid w:val="00F93FDF"/>
    <w:rsid w:val="00F94538"/>
    <w:rsid w:val="00F95A57"/>
    <w:rsid w:val="00F965E4"/>
    <w:rsid w:val="00F96905"/>
    <w:rsid w:val="00F973E3"/>
    <w:rsid w:val="00FA0345"/>
    <w:rsid w:val="00FA102A"/>
    <w:rsid w:val="00FA1131"/>
    <w:rsid w:val="00FA127D"/>
    <w:rsid w:val="00FA1373"/>
    <w:rsid w:val="00FA185B"/>
    <w:rsid w:val="00FA414C"/>
    <w:rsid w:val="00FA5D62"/>
    <w:rsid w:val="00FA61CA"/>
    <w:rsid w:val="00FA6360"/>
    <w:rsid w:val="00FA68D0"/>
    <w:rsid w:val="00FA6FCE"/>
    <w:rsid w:val="00FA7DDA"/>
    <w:rsid w:val="00FB0056"/>
    <w:rsid w:val="00FB03B6"/>
    <w:rsid w:val="00FB3BAF"/>
    <w:rsid w:val="00FB5CCC"/>
    <w:rsid w:val="00FB5DE1"/>
    <w:rsid w:val="00FB6682"/>
    <w:rsid w:val="00FB7A2C"/>
    <w:rsid w:val="00FC10ED"/>
    <w:rsid w:val="00FC11EC"/>
    <w:rsid w:val="00FC1BD0"/>
    <w:rsid w:val="00FC2D11"/>
    <w:rsid w:val="00FC5901"/>
    <w:rsid w:val="00FC6099"/>
    <w:rsid w:val="00FC6230"/>
    <w:rsid w:val="00FC6701"/>
    <w:rsid w:val="00FD006F"/>
    <w:rsid w:val="00FD1A1D"/>
    <w:rsid w:val="00FD2318"/>
    <w:rsid w:val="00FD3EDC"/>
    <w:rsid w:val="00FD3FF6"/>
    <w:rsid w:val="00FD4E96"/>
    <w:rsid w:val="00FD55A4"/>
    <w:rsid w:val="00FD5E53"/>
    <w:rsid w:val="00FE02CC"/>
    <w:rsid w:val="00FE033C"/>
    <w:rsid w:val="00FE248C"/>
    <w:rsid w:val="00FE3CA5"/>
    <w:rsid w:val="00FE4584"/>
    <w:rsid w:val="00FE6933"/>
    <w:rsid w:val="00FF0361"/>
    <w:rsid w:val="00FF13FA"/>
    <w:rsid w:val="00FF265C"/>
    <w:rsid w:val="00FF30C4"/>
    <w:rsid w:val="00FF35AF"/>
    <w:rsid w:val="00FF4E7C"/>
    <w:rsid w:val="00FF4F81"/>
    <w:rsid w:val="00FF61E7"/>
    <w:rsid w:val="00FF6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8FD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semiHidden="1" w:uiPriority="1" w:qFormat="1"/>
    <w:lsdException w:name="heading 2" w:locked="0" w:semiHidden="1" w:qFormat="1"/>
    <w:lsdException w:name="heading 3" w:locked="0" w:semiHidden="1" w:qFormat="1"/>
    <w:lsdException w:name="heading 4" w:locked="0" w:semiHidden="1" w:qFormat="1"/>
    <w:lsdException w:name="heading 5" w:locked="0" w:semiHidden="1" w:qFormat="1"/>
    <w:lsdException w:name="heading 6" w:locked="0"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semiHidden="1" w:uiPriority="22" w:qFormat="1"/>
    <w:lsdException w:name="Emphasis" w:semiHidden="1" w:uiPriority="20" w:qFormat="1"/>
    <w:lsdException w:name="Document Map" w:locked="0"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locked="0" w:uiPriority="47"/>
    <w:lsdException w:name="Grid Table 3" w:locked="0" w:uiPriority="48"/>
    <w:lsdException w:name="Grid Table 4" w:locked="0"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locked="0" w:semiHidden="1" w:uiPriority="99" w:unhideWhenUsed="1"/>
    <w:lsdException w:name="Smart Link" w:semiHidden="1" w:uiPriority="99" w:unhideWhenUsed="1"/>
  </w:latentStyles>
  <w:style w:type="paragraph" w:default="1" w:styleId="Normal">
    <w:name w:val="Normal"/>
    <w:qFormat/>
    <w:rsid w:val="00B413F2"/>
    <w:rPr>
      <w:sz w:val="24"/>
      <w:szCs w:val="24"/>
      <w:lang w:eastAsia="en-US"/>
    </w:rPr>
  </w:style>
  <w:style w:type="paragraph" w:styleId="Heading1">
    <w:name w:val="heading 1"/>
    <w:basedOn w:val="Normal"/>
    <w:next w:val="Normal"/>
    <w:link w:val="Heading1Char"/>
    <w:uiPriority w:val="1"/>
    <w:qFormat/>
    <w:rsid w:val="00676FCC"/>
    <w:pPr>
      <w:keepNext/>
      <w:spacing w:before="240" w:after="120" w:line="360" w:lineRule="auto"/>
      <w:outlineLvl w:val="0"/>
    </w:pPr>
    <w:rPr>
      <w:rFonts w:ascii="Arial" w:hAnsi="Arial" w:cs="Arial"/>
      <w:b/>
      <w:bCs/>
      <w:kern w:val="32"/>
      <w:sz w:val="32"/>
      <w:szCs w:val="32"/>
    </w:rPr>
  </w:style>
  <w:style w:type="paragraph" w:styleId="Heading2">
    <w:name w:val="heading 2"/>
    <w:basedOn w:val="Normal"/>
    <w:next w:val="Normal"/>
    <w:link w:val="Heading2Char"/>
    <w:qFormat/>
    <w:rsid w:val="00676FCC"/>
    <w:pPr>
      <w:keepNext/>
      <w:spacing w:before="240" w:after="60" w:line="360" w:lineRule="auto"/>
      <w:outlineLvl w:val="1"/>
    </w:pPr>
    <w:rPr>
      <w:rFonts w:ascii="Arial" w:hAnsi="Arial" w:cs="Arial"/>
      <w:b/>
      <w:bCs/>
      <w:sz w:val="28"/>
      <w:szCs w:val="28"/>
    </w:rPr>
  </w:style>
  <w:style w:type="paragraph" w:styleId="Heading3">
    <w:name w:val="heading 3"/>
    <w:basedOn w:val="Normal"/>
    <w:next w:val="Normal"/>
    <w:link w:val="Heading3Char"/>
    <w:qFormat/>
    <w:rsid w:val="00676FCC"/>
    <w:pPr>
      <w:keepNext/>
      <w:spacing w:before="240" w:after="60" w:line="360" w:lineRule="auto"/>
      <w:outlineLvl w:val="2"/>
    </w:pPr>
    <w:rPr>
      <w:rFonts w:ascii="Arial" w:hAnsi="Arial" w:cs="Arial"/>
      <w:b/>
      <w:bCs/>
      <w:sz w:val="26"/>
    </w:rPr>
  </w:style>
  <w:style w:type="paragraph" w:styleId="Heading4">
    <w:name w:val="heading 4"/>
    <w:basedOn w:val="Normal"/>
    <w:next w:val="Normal"/>
    <w:link w:val="Heading4Char"/>
    <w:qFormat/>
    <w:rsid w:val="00676FCC"/>
    <w:pPr>
      <w:keepNext/>
      <w:spacing w:before="240" w:after="60" w:line="360" w:lineRule="auto"/>
      <w:outlineLvl w:val="3"/>
    </w:pPr>
    <w:rPr>
      <w:rFonts w:ascii="Arial" w:hAnsi="Arial"/>
      <w:b/>
      <w:bCs/>
      <w:iCs/>
      <w:szCs w:val="28"/>
    </w:rPr>
  </w:style>
  <w:style w:type="paragraph" w:styleId="Heading5">
    <w:name w:val="heading 5"/>
    <w:basedOn w:val="Normal"/>
    <w:next w:val="Normal"/>
    <w:link w:val="Heading5Char"/>
    <w:qFormat/>
    <w:rsid w:val="00825D5B"/>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uiPriority w:val="4"/>
    <w:qFormat/>
    <w:rsid w:val="00FE6933"/>
    <w:pPr>
      <w:spacing w:before="240" w:after="240" w:line="276" w:lineRule="auto"/>
    </w:pPr>
    <w:rPr>
      <w:rFonts w:ascii="Arial" w:hAnsi="Arial"/>
    </w:rPr>
  </w:style>
  <w:style w:type="character" w:customStyle="1" w:styleId="Heading1Char">
    <w:name w:val="Heading 1 Char"/>
    <w:link w:val="Heading1"/>
    <w:uiPriority w:val="1"/>
    <w:rsid w:val="00676FCC"/>
    <w:rPr>
      <w:rFonts w:ascii="Arial" w:hAnsi="Arial" w:cs="Arial"/>
      <w:b/>
      <w:bCs/>
      <w:kern w:val="32"/>
      <w:sz w:val="32"/>
      <w:szCs w:val="32"/>
      <w:lang w:eastAsia="en-US"/>
    </w:rPr>
  </w:style>
  <w:style w:type="character" w:customStyle="1" w:styleId="Heading2Char">
    <w:name w:val="Heading 2 Char"/>
    <w:link w:val="Heading2"/>
    <w:rsid w:val="00676FCC"/>
    <w:rPr>
      <w:rFonts w:ascii="Arial" w:hAnsi="Arial" w:cs="Arial"/>
      <w:b/>
      <w:bCs/>
      <w:sz w:val="28"/>
      <w:szCs w:val="28"/>
      <w:lang w:eastAsia="en-US"/>
    </w:rPr>
  </w:style>
  <w:style w:type="character" w:customStyle="1" w:styleId="Heading3Char">
    <w:name w:val="Heading 3 Char"/>
    <w:link w:val="Heading3"/>
    <w:rsid w:val="006921E1"/>
    <w:rPr>
      <w:rFonts w:ascii="Arial" w:hAnsi="Arial" w:cs="Arial"/>
      <w:b/>
      <w:bCs/>
      <w:sz w:val="26"/>
      <w:szCs w:val="24"/>
      <w:lang w:eastAsia="en-US"/>
    </w:rPr>
  </w:style>
  <w:style w:type="paragraph" w:styleId="Title">
    <w:name w:val="Title"/>
    <w:basedOn w:val="Normal"/>
    <w:next w:val="NICEnormal"/>
    <w:link w:val="TitleChar"/>
    <w:qFormat/>
    <w:locked/>
    <w:rsid w:val="00582451"/>
    <w:pPr>
      <w:keepNext/>
      <w:spacing w:before="240" w:after="240"/>
      <w:jc w:val="center"/>
      <w:outlineLvl w:val="0"/>
    </w:pPr>
    <w:rPr>
      <w:rFonts w:ascii="Arial" w:hAnsi="Arial" w:cs="Arial"/>
      <w:b/>
      <w:bCs/>
      <w:kern w:val="28"/>
      <w:sz w:val="40"/>
      <w:szCs w:val="32"/>
    </w:rPr>
  </w:style>
  <w:style w:type="character" w:customStyle="1" w:styleId="TitleChar">
    <w:name w:val="Title Char"/>
    <w:link w:val="Title"/>
    <w:rsid w:val="00FC10ED"/>
    <w:rPr>
      <w:rFonts w:ascii="Arial" w:hAnsi="Arial" w:cs="Arial"/>
      <w:b/>
      <w:bCs/>
      <w:kern w:val="28"/>
      <w:sz w:val="40"/>
      <w:szCs w:val="32"/>
      <w:lang w:eastAsia="en-US"/>
    </w:rPr>
  </w:style>
  <w:style w:type="paragraph" w:customStyle="1" w:styleId="Bulletstable">
    <w:name w:val="Bullets (table)"/>
    <w:basedOn w:val="Normal"/>
    <w:rsid w:val="003D6F5F"/>
    <w:pPr>
      <w:numPr>
        <w:numId w:val="1"/>
      </w:numPr>
      <w:tabs>
        <w:tab w:val="left" w:pos="284"/>
      </w:tabs>
      <w:ind w:left="284" w:hanging="284"/>
    </w:pPr>
    <w:rPr>
      <w:rFonts w:ascii="Arial" w:hAnsi="Arial"/>
      <w:sz w:val="22"/>
      <w:szCs w:val="22"/>
    </w:rPr>
  </w:style>
  <w:style w:type="paragraph" w:styleId="Header">
    <w:name w:val="header"/>
    <w:basedOn w:val="Normal"/>
    <w:link w:val="HeaderChar"/>
    <w:rsid w:val="0017169E"/>
    <w:pPr>
      <w:tabs>
        <w:tab w:val="center" w:pos="4513"/>
        <w:tab w:val="right" w:pos="9026"/>
      </w:tabs>
    </w:pPr>
    <w:rPr>
      <w:rFonts w:ascii="Arial" w:hAnsi="Arial"/>
    </w:rPr>
  </w:style>
  <w:style w:type="character" w:customStyle="1" w:styleId="HeaderChar">
    <w:name w:val="Header Char"/>
    <w:link w:val="Header"/>
    <w:rsid w:val="009E680B"/>
    <w:rPr>
      <w:rFonts w:ascii="Arial" w:hAnsi="Arial"/>
      <w:sz w:val="24"/>
      <w:szCs w:val="24"/>
    </w:rPr>
  </w:style>
  <w:style w:type="paragraph" w:styleId="Footer">
    <w:name w:val="footer"/>
    <w:basedOn w:val="Normal"/>
    <w:link w:val="FooterChar"/>
    <w:rsid w:val="00446BEE"/>
    <w:pPr>
      <w:tabs>
        <w:tab w:val="center" w:pos="4513"/>
        <w:tab w:val="right" w:pos="9026"/>
      </w:tabs>
    </w:pPr>
    <w:rPr>
      <w:rFonts w:ascii="Arial" w:hAnsi="Arial"/>
      <w:sz w:val="20"/>
    </w:rPr>
  </w:style>
  <w:style w:type="character" w:customStyle="1" w:styleId="FooterChar">
    <w:name w:val="Footer Char"/>
    <w:link w:val="Footer"/>
    <w:uiPriority w:val="99"/>
    <w:rsid w:val="0017169E"/>
    <w:rPr>
      <w:rFonts w:ascii="Arial" w:hAnsi="Arial"/>
      <w:szCs w:val="24"/>
    </w:rPr>
  </w:style>
  <w:style w:type="paragraph" w:styleId="BalloonText">
    <w:name w:val="Balloon Text"/>
    <w:basedOn w:val="Normal"/>
    <w:link w:val="BalloonTextChar"/>
    <w:rsid w:val="00446BEE"/>
    <w:rPr>
      <w:rFonts w:ascii="Tahoma" w:hAnsi="Tahoma" w:cs="Tahoma"/>
      <w:sz w:val="16"/>
      <w:szCs w:val="16"/>
    </w:rPr>
  </w:style>
  <w:style w:type="character" w:customStyle="1" w:styleId="BalloonTextChar">
    <w:name w:val="Balloon Text Char"/>
    <w:link w:val="BalloonText"/>
    <w:rsid w:val="00446BEE"/>
    <w:rPr>
      <w:rFonts w:ascii="Tahoma" w:hAnsi="Tahoma" w:cs="Tahoma"/>
      <w:sz w:val="16"/>
      <w:szCs w:val="16"/>
    </w:rPr>
  </w:style>
  <w:style w:type="character" w:styleId="Hyperlink">
    <w:name w:val="Hyperlink"/>
    <w:basedOn w:val="DefaultParagraphFont"/>
    <w:uiPriority w:val="99"/>
    <w:unhideWhenUsed/>
    <w:rsid w:val="00676FCC"/>
    <w:rPr>
      <w:color w:val="0000FF" w:themeColor="hyperlink"/>
      <w:u w:val="single"/>
    </w:rPr>
  </w:style>
  <w:style w:type="paragraph" w:customStyle="1" w:styleId="Tabletitle">
    <w:name w:val="Table title"/>
    <w:basedOn w:val="Normal"/>
    <w:next w:val="Normal"/>
    <w:unhideWhenUsed/>
    <w:qFormat/>
    <w:rsid w:val="00A813F7"/>
    <w:pPr>
      <w:keepNext/>
      <w:spacing w:after="60"/>
    </w:pPr>
    <w:rPr>
      <w:rFonts w:ascii="Arial" w:hAnsi="Arial"/>
      <w:b/>
      <w:sz w:val="22"/>
    </w:rPr>
  </w:style>
  <w:style w:type="table" w:styleId="TableGrid">
    <w:name w:val="Table Grid"/>
    <w:basedOn w:val="TableNormal"/>
    <w:rsid w:val="003B1C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locked/>
    <w:rsid w:val="00FD55A4"/>
    <w:rPr>
      <w:color w:val="605E5C"/>
      <w:shd w:val="clear" w:color="auto" w:fill="E1DFDD"/>
    </w:rPr>
  </w:style>
  <w:style w:type="character" w:styleId="CommentReference">
    <w:name w:val="annotation reference"/>
    <w:rsid w:val="0009709D"/>
    <w:rPr>
      <w:sz w:val="16"/>
      <w:szCs w:val="16"/>
    </w:rPr>
  </w:style>
  <w:style w:type="paragraph" w:styleId="CommentText">
    <w:name w:val="annotation text"/>
    <w:basedOn w:val="Normal"/>
    <w:link w:val="CommentTextChar"/>
    <w:rsid w:val="0009709D"/>
    <w:rPr>
      <w:sz w:val="20"/>
      <w:szCs w:val="20"/>
    </w:rPr>
  </w:style>
  <w:style w:type="character" w:customStyle="1" w:styleId="CommentTextChar">
    <w:name w:val="Comment Text Char"/>
    <w:link w:val="CommentText"/>
    <w:rsid w:val="0009709D"/>
    <w:rPr>
      <w:lang w:eastAsia="en-US"/>
    </w:rPr>
  </w:style>
  <w:style w:type="paragraph" w:styleId="CommentSubject">
    <w:name w:val="annotation subject"/>
    <w:basedOn w:val="CommentText"/>
    <w:next w:val="CommentText"/>
    <w:link w:val="CommentSubjectChar"/>
    <w:rsid w:val="007B6A17"/>
    <w:rPr>
      <w:b/>
      <w:bCs/>
    </w:rPr>
  </w:style>
  <w:style w:type="character" w:customStyle="1" w:styleId="CommentSubjectChar">
    <w:name w:val="Comment Subject Char"/>
    <w:link w:val="CommentSubject"/>
    <w:rsid w:val="007B6A17"/>
    <w:rPr>
      <w:b/>
      <w:bCs/>
      <w:lang w:eastAsia="en-US"/>
    </w:rPr>
  </w:style>
  <w:style w:type="paragraph" w:customStyle="1" w:styleId="Numberedheading1">
    <w:name w:val="Numbered heading 1"/>
    <w:basedOn w:val="Heading1"/>
    <w:next w:val="NICEnormal"/>
    <w:link w:val="Numberedheading1CharChar"/>
    <w:rsid w:val="00676FCC"/>
    <w:pPr>
      <w:numPr>
        <w:numId w:val="3"/>
      </w:numPr>
    </w:pPr>
    <w:rPr>
      <w:szCs w:val="24"/>
    </w:rPr>
  </w:style>
  <w:style w:type="paragraph" w:customStyle="1" w:styleId="Numberedheading2">
    <w:name w:val="Numbered heading 2"/>
    <w:basedOn w:val="Heading2"/>
    <w:next w:val="Normal"/>
    <w:qFormat/>
    <w:rsid w:val="00884CF8"/>
    <w:pPr>
      <w:numPr>
        <w:ilvl w:val="1"/>
        <w:numId w:val="3"/>
      </w:numPr>
      <w:spacing w:after="240"/>
    </w:pPr>
  </w:style>
  <w:style w:type="paragraph" w:customStyle="1" w:styleId="Numberedheading3">
    <w:name w:val="Numbered heading 3"/>
    <w:basedOn w:val="Heading3"/>
    <w:next w:val="Paragraph"/>
    <w:qFormat/>
    <w:rsid w:val="00884CF8"/>
    <w:pPr>
      <w:spacing w:after="240"/>
    </w:pPr>
  </w:style>
  <w:style w:type="paragraph" w:customStyle="1" w:styleId="Tabletext">
    <w:name w:val="Table text"/>
    <w:basedOn w:val="Normal"/>
    <w:rsid w:val="00F42F2E"/>
    <w:pPr>
      <w:spacing w:after="60"/>
    </w:pPr>
    <w:rPr>
      <w:rFonts w:ascii="Arial" w:hAnsi="Arial"/>
      <w:sz w:val="22"/>
    </w:rPr>
  </w:style>
  <w:style w:type="paragraph" w:styleId="FootnoteText">
    <w:name w:val="footnote text"/>
    <w:basedOn w:val="Normal"/>
    <w:link w:val="FootnoteTextChar"/>
    <w:unhideWhenUsed/>
    <w:rsid w:val="00FA1131"/>
    <w:rPr>
      <w:rFonts w:ascii="Arial" w:hAnsi="Arial"/>
      <w:sz w:val="20"/>
      <w:szCs w:val="20"/>
    </w:rPr>
  </w:style>
  <w:style w:type="character" w:customStyle="1" w:styleId="FootnoteTextChar">
    <w:name w:val="Footnote Text Char"/>
    <w:link w:val="FootnoteText"/>
    <w:rsid w:val="00FA1131"/>
    <w:rPr>
      <w:rFonts w:ascii="Arial" w:hAnsi="Arial"/>
      <w:lang w:eastAsia="en-US"/>
    </w:rPr>
  </w:style>
  <w:style w:type="character" w:styleId="FootnoteReference">
    <w:name w:val="footnote reference"/>
    <w:rsid w:val="00FA1131"/>
    <w:rPr>
      <w:vertAlign w:val="superscript"/>
    </w:rPr>
  </w:style>
  <w:style w:type="character" w:styleId="FollowedHyperlink">
    <w:name w:val="FollowedHyperlink"/>
    <w:semiHidden/>
    <w:rsid w:val="00FB6682"/>
    <w:rPr>
      <w:color w:val="800080"/>
      <w:u w:val="single"/>
    </w:rPr>
  </w:style>
  <w:style w:type="paragraph" w:styleId="TOC1">
    <w:name w:val="toc 1"/>
    <w:basedOn w:val="Normal"/>
    <w:next w:val="Normal"/>
    <w:autoRedefine/>
    <w:uiPriority w:val="39"/>
    <w:rsid w:val="00367A04"/>
    <w:pPr>
      <w:tabs>
        <w:tab w:val="left" w:pos="426"/>
        <w:tab w:val="right" w:leader="dot" w:pos="9016"/>
      </w:tabs>
      <w:spacing w:line="360" w:lineRule="auto"/>
      <w:ind w:left="1276" w:hanging="1276"/>
    </w:pPr>
    <w:rPr>
      <w:rFonts w:ascii="Arial" w:hAnsi="Arial"/>
      <w:noProof/>
    </w:rPr>
  </w:style>
  <w:style w:type="character" w:customStyle="1" w:styleId="Heading5Char">
    <w:name w:val="Heading 5 Char"/>
    <w:link w:val="Heading5"/>
    <w:rsid w:val="00825D5B"/>
    <w:rPr>
      <w:rFonts w:ascii="Cambria" w:eastAsia="Times New Roman" w:hAnsi="Cambria" w:cs="Times New Roman"/>
      <w:color w:val="243F60"/>
      <w:sz w:val="24"/>
      <w:szCs w:val="24"/>
      <w:lang w:eastAsia="en-US"/>
    </w:rPr>
  </w:style>
  <w:style w:type="paragraph" w:styleId="DocumentMap">
    <w:name w:val="Document Map"/>
    <w:basedOn w:val="Normal"/>
    <w:link w:val="DocumentMapChar"/>
    <w:semiHidden/>
    <w:rsid w:val="004D4FC4"/>
    <w:rPr>
      <w:rFonts w:ascii="Tahoma" w:hAnsi="Tahoma" w:cs="Tahoma"/>
      <w:sz w:val="16"/>
      <w:szCs w:val="16"/>
    </w:rPr>
  </w:style>
  <w:style w:type="character" w:customStyle="1" w:styleId="DocumentMapChar">
    <w:name w:val="Document Map Char"/>
    <w:link w:val="DocumentMap"/>
    <w:semiHidden/>
    <w:rsid w:val="004D4FC4"/>
    <w:rPr>
      <w:rFonts w:ascii="Tahoma" w:hAnsi="Tahoma" w:cs="Tahoma"/>
      <w:sz w:val="16"/>
      <w:szCs w:val="16"/>
      <w:lang w:eastAsia="en-US"/>
    </w:rPr>
  </w:style>
  <w:style w:type="paragraph" w:styleId="Revision">
    <w:name w:val="Revision"/>
    <w:hidden/>
    <w:uiPriority w:val="99"/>
    <w:semiHidden/>
    <w:rsid w:val="00B96A88"/>
    <w:rPr>
      <w:sz w:val="24"/>
      <w:szCs w:val="24"/>
      <w:lang w:eastAsia="en-US"/>
    </w:rPr>
  </w:style>
  <w:style w:type="paragraph" w:customStyle="1" w:styleId="Heading40">
    <w:name w:val="Heading  4"/>
    <w:basedOn w:val="Paragraph"/>
    <w:qFormat/>
    <w:rsid w:val="000E401D"/>
    <w:rPr>
      <w:u w:val="single"/>
    </w:rPr>
  </w:style>
  <w:style w:type="paragraph" w:customStyle="1" w:styleId="Bulletparagraph">
    <w:name w:val="Bullet (paragraph)"/>
    <w:basedOn w:val="Normal"/>
    <w:rsid w:val="00A813F7"/>
    <w:pPr>
      <w:numPr>
        <w:numId w:val="2"/>
      </w:numPr>
      <w:spacing w:line="276" w:lineRule="auto"/>
    </w:pPr>
    <w:rPr>
      <w:rFonts w:ascii="Arial" w:hAnsi="Arial"/>
      <w:lang w:eastAsia="en-GB"/>
    </w:rPr>
  </w:style>
  <w:style w:type="paragraph" w:customStyle="1" w:styleId="Bulletparagraphlast">
    <w:name w:val="Bullet (paragraph last)"/>
    <w:basedOn w:val="Bulletparagraph"/>
    <w:rsid w:val="00DB4D4C"/>
    <w:pPr>
      <w:spacing w:after="240"/>
      <w:ind w:left="357" w:hanging="357"/>
    </w:pPr>
  </w:style>
  <w:style w:type="paragraph" w:styleId="TOC2">
    <w:name w:val="toc 2"/>
    <w:basedOn w:val="Normal"/>
    <w:next w:val="Normal"/>
    <w:autoRedefine/>
    <w:uiPriority w:val="39"/>
    <w:rsid w:val="00B92D4F"/>
    <w:pPr>
      <w:ind w:left="240"/>
    </w:pPr>
    <w:rPr>
      <w:rFonts w:ascii="Arial" w:hAnsi="Arial"/>
      <w:lang w:eastAsia="en-GB"/>
    </w:rPr>
  </w:style>
  <w:style w:type="paragraph" w:customStyle="1" w:styleId="Default">
    <w:name w:val="Default"/>
    <w:locked/>
    <w:rsid w:val="003708C8"/>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rsid w:val="00F27622"/>
    <w:rPr>
      <w:rFonts w:ascii="Arial" w:hAnsi="Arial"/>
      <w:b/>
      <w:bCs/>
      <w:iCs/>
      <w:sz w:val="24"/>
      <w:szCs w:val="28"/>
      <w:lang w:eastAsia="en-US"/>
    </w:rPr>
  </w:style>
  <w:style w:type="character" w:customStyle="1" w:styleId="Addbold">
    <w:name w:val="Add bold"/>
    <w:basedOn w:val="DefaultParagraphFont"/>
    <w:uiPriority w:val="1"/>
    <w:rsid w:val="00C17EA4"/>
    <w:rPr>
      <w:b/>
      <w:bCs/>
    </w:rPr>
  </w:style>
  <w:style w:type="character" w:customStyle="1" w:styleId="Additalic">
    <w:name w:val="Add italic"/>
    <w:basedOn w:val="DefaultParagraphFont"/>
    <w:uiPriority w:val="1"/>
    <w:rsid w:val="00C17EA4"/>
    <w:rPr>
      <w:i/>
    </w:rPr>
  </w:style>
  <w:style w:type="character" w:customStyle="1" w:styleId="Addsuperscript">
    <w:name w:val="Add superscript"/>
    <w:basedOn w:val="DefaultParagraphFont"/>
    <w:uiPriority w:val="1"/>
    <w:rsid w:val="00C17EA4"/>
    <w:rPr>
      <w:i/>
      <w:vertAlign w:val="superscript"/>
    </w:rPr>
  </w:style>
  <w:style w:type="character" w:customStyle="1" w:styleId="Addsubscript">
    <w:name w:val="Add subscript"/>
    <w:basedOn w:val="DefaultParagraphFont"/>
    <w:uiPriority w:val="1"/>
    <w:rsid w:val="00C17EA4"/>
    <w:rPr>
      <w:vertAlign w:val="subscript"/>
    </w:rPr>
  </w:style>
  <w:style w:type="character" w:customStyle="1" w:styleId="Addboldanditalic">
    <w:name w:val="Add bold and italic"/>
    <w:basedOn w:val="DefaultParagraphFont"/>
    <w:uiPriority w:val="1"/>
    <w:rsid w:val="003E436E"/>
    <w:rPr>
      <w:b/>
      <w:i/>
    </w:rPr>
  </w:style>
  <w:style w:type="paragraph" w:styleId="ListParagraph">
    <w:name w:val="List Paragraph"/>
    <w:basedOn w:val="Normal"/>
    <w:uiPriority w:val="34"/>
    <w:qFormat/>
    <w:locked/>
    <w:rsid w:val="006B080F"/>
    <w:pPr>
      <w:ind w:left="720"/>
    </w:pPr>
    <w:rPr>
      <w:rFonts w:eastAsia="Calibri"/>
      <w:lang w:eastAsia="en-GB"/>
    </w:rPr>
  </w:style>
  <w:style w:type="table" w:styleId="TableGridLight">
    <w:name w:val="Grid Table Light"/>
    <w:basedOn w:val="TableNormal"/>
    <w:uiPriority w:val="40"/>
    <w:locked/>
    <w:rsid w:val="0062481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nonumbers">
    <w:name w:val="Paragraph no numbers"/>
    <w:basedOn w:val="Normal"/>
    <w:uiPriority w:val="99"/>
    <w:qFormat/>
    <w:rsid w:val="00EF3298"/>
    <w:pPr>
      <w:spacing w:after="240" w:line="276" w:lineRule="auto"/>
    </w:pPr>
    <w:rPr>
      <w:rFonts w:ascii="Arial" w:hAnsi="Arial"/>
      <w:lang w:eastAsia="en-GB"/>
    </w:rPr>
  </w:style>
  <w:style w:type="character" w:customStyle="1" w:styleId="Numberedheading1CharChar">
    <w:name w:val="Numbered heading 1 Char Char"/>
    <w:link w:val="Numberedheading1"/>
    <w:rsid w:val="00676FCC"/>
    <w:rPr>
      <w:rFonts w:ascii="Arial" w:hAnsi="Arial" w:cs="Arial"/>
      <w:b/>
      <w:bCs/>
      <w:kern w:val="32"/>
      <w:sz w:val="32"/>
      <w:szCs w:val="24"/>
      <w:lang w:eastAsia="en-US"/>
    </w:rPr>
  </w:style>
  <w:style w:type="paragraph" w:customStyle="1" w:styleId="NICEnormal">
    <w:name w:val="NICE normal"/>
    <w:link w:val="NICEnormalChar"/>
    <w:qFormat/>
    <w:rsid w:val="00676FCC"/>
    <w:pPr>
      <w:spacing w:after="240" w:line="360" w:lineRule="auto"/>
    </w:pPr>
    <w:rPr>
      <w:rFonts w:ascii="Arial" w:hAnsi="Arial"/>
      <w:sz w:val="24"/>
      <w:szCs w:val="24"/>
      <w:lang w:eastAsia="en-US"/>
    </w:rPr>
  </w:style>
  <w:style w:type="character" w:customStyle="1" w:styleId="NICEnormalChar">
    <w:name w:val="NICE normal Char"/>
    <w:link w:val="NICEnormal"/>
    <w:rsid w:val="00676FCC"/>
    <w:rPr>
      <w:rFonts w:ascii="Arial" w:hAnsi="Arial"/>
      <w:sz w:val="24"/>
      <w:szCs w:val="24"/>
      <w:lang w:eastAsia="en-US"/>
    </w:rPr>
  </w:style>
  <w:style w:type="paragraph" w:customStyle="1" w:styleId="NICEnormalindented">
    <w:name w:val="NICE normal indented"/>
    <w:basedOn w:val="NICEnormal"/>
    <w:rsid w:val="00676FCC"/>
    <w:pPr>
      <w:tabs>
        <w:tab w:val="left" w:pos="1134"/>
      </w:tabs>
      <w:ind w:left="1134"/>
    </w:pPr>
  </w:style>
  <w:style w:type="paragraph" w:customStyle="1" w:styleId="NICEnormalsinglespacing">
    <w:name w:val="NICE normal single spacing"/>
    <w:basedOn w:val="NICEnormal"/>
    <w:rsid w:val="00676FCC"/>
    <w:pPr>
      <w:spacing w:line="240" w:lineRule="auto"/>
    </w:pPr>
  </w:style>
  <w:style w:type="paragraph" w:styleId="Caption">
    <w:name w:val="caption"/>
    <w:basedOn w:val="NICEnormal"/>
    <w:next w:val="NICEnormal"/>
    <w:unhideWhenUsed/>
    <w:qFormat/>
    <w:locked/>
    <w:rsid w:val="003A57C1"/>
    <w:pPr>
      <w:keepNext/>
      <w:spacing w:after="200"/>
    </w:pPr>
    <w:rPr>
      <w:b/>
      <w:iCs/>
      <w:szCs w:val="18"/>
    </w:rPr>
  </w:style>
  <w:style w:type="character" w:customStyle="1" w:styleId="Bulletleft1lastChar">
    <w:name w:val="Bullet left 1 last Char"/>
    <w:link w:val="Bulletleft1last"/>
    <w:rsid w:val="00204AD5"/>
    <w:rPr>
      <w:rFonts w:ascii="Arial" w:hAnsi="Arial"/>
      <w:sz w:val="24"/>
      <w:szCs w:val="24"/>
      <w:lang w:val="x-none" w:eastAsia="en-US"/>
    </w:rPr>
  </w:style>
  <w:style w:type="paragraph" w:customStyle="1" w:styleId="Bulletleft1">
    <w:name w:val="Bullet left 1"/>
    <w:basedOn w:val="NICEnormal"/>
    <w:qFormat/>
    <w:rsid w:val="00204AD5"/>
    <w:pPr>
      <w:numPr>
        <w:numId w:val="4"/>
      </w:numPr>
      <w:spacing w:after="0"/>
    </w:pPr>
  </w:style>
  <w:style w:type="paragraph" w:customStyle="1" w:styleId="Bulletleft1last">
    <w:name w:val="Bullet left 1 last"/>
    <w:basedOn w:val="NICEnormal"/>
    <w:link w:val="Bulletleft1lastChar"/>
    <w:rsid w:val="00204AD5"/>
    <w:pPr>
      <w:numPr>
        <w:numId w:val="5"/>
      </w:numPr>
    </w:pPr>
    <w:rPr>
      <w:lang w:val="x-none"/>
    </w:rPr>
  </w:style>
  <w:style w:type="table" w:customStyle="1" w:styleId="PanelPrimary">
    <w:name w:val="Panel (Primary)"/>
    <w:basedOn w:val="TableNormal"/>
    <w:uiPriority w:val="99"/>
    <w:rsid w:val="00204AD5"/>
    <w:pPr>
      <w:spacing w:after="240"/>
    </w:pPr>
    <w:tblPr>
      <w:tblBorders>
        <w:top w:val="single" w:sz="24" w:space="0" w:color="A2BDC1"/>
        <w:left w:val="single" w:sz="24" w:space="0" w:color="A2BDC1"/>
        <w:bottom w:val="single" w:sz="24" w:space="0" w:color="A2BDC1"/>
        <w:right w:val="single" w:sz="24" w:space="0" w:color="A2BDC1"/>
      </w:tblBorders>
    </w:tblPr>
  </w:style>
  <w:style w:type="table" w:customStyle="1" w:styleId="PanelDefault">
    <w:name w:val="Panel (Default)"/>
    <w:basedOn w:val="TableNormal"/>
    <w:uiPriority w:val="99"/>
    <w:rsid w:val="00204AD5"/>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204AD5"/>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paragraph" w:customStyle="1" w:styleId="Panelbullet1">
    <w:name w:val="Panel bullet 1"/>
    <w:basedOn w:val="Normal"/>
    <w:qFormat/>
    <w:rsid w:val="00204AD5"/>
    <w:pPr>
      <w:numPr>
        <w:numId w:val="6"/>
      </w:numPr>
      <w:tabs>
        <w:tab w:val="num" w:pos="360"/>
        <w:tab w:val="num" w:pos="1134"/>
      </w:tabs>
      <w:contextualSpacing/>
    </w:pPr>
    <w:rPr>
      <w:rFonts w:ascii="Arial" w:hAnsi="Arial"/>
    </w:rPr>
  </w:style>
  <w:style w:type="paragraph" w:customStyle="1" w:styleId="Panelhyperlink">
    <w:name w:val="Panel hyperlink"/>
    <w:basedOn w:val="NICEnormal"/>
    <w:next w:val="NICEnormal"/>
    <w:qFormat/>
    <w:rsid w:val="00204AD5"/>
    <w:rPr>
      <w:color w:val="FFFFFF" w:themeColor="background1"/>
      <w:u w:val="single"/>
    </w:rPr>
  </w:style>
  <w:style w:type="paragraph" w:styleId="TOCHeading">
    <w:name w:val="TOC Heading"/>
    <w:basedOn w:val="Heading1"/>
    <w:next w:val="Normal"/>
    <w:uiPriority w:val="39"/>
    <w:unhideWhenUsed/>
    <w:qFormat/>
    <w:locked/>
    <w:rsid w:val="008148A2"/>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3">
    <w:name w:val="toc 3"/>
    <w:basedOn w:val="Normal"/>
    <w:next w:val="Normal"/>
    <w:autoRedefine/>
    <w:uiPriority w:val="39"/>
    <w:unhideWhenUsed/>
    <w:locked/>
    <w:rsid w:val="008148A2"/>
    <w:pPr>
      <w:spacing w:after="100"/>
      <w:ind w:left="480"/>
    </w:pPr>
  </w:style>
  <w:style w:type="paragraph" w:customStyle="1" w:styleId="Title1">
    <w:name w:val="Title 1"/>
    <w:basedOn w:val="Title"/>
    <w:qFormat/>
    <w:rsid w:val="00582451"/>
  </w:style>
  <w:style w:type="paragraph" w:customStyle="1" w:styleId="Title16pt">
    <w:name w:val="Title 16 pt"/>
    <w:basedOn w:val="Title"/>
    <w:rsid w:val="00582451"/>
    <w:rPr>
      <w:sz w:val="32"/>
    </w:rPr>
  </w:style>
  <w:style w:type="paragraph" w:customStyle="1" w:styleId="Title16ptleft">
    <w:name w:val="Title 16 pt left"/>
    <w:basedOn w:val="Title16pt"/>
    <w:rsid w:val="00582451"/>
    <w:pPr>
      <w:jc w:val="left"/>
    </w:pPr>
  </w:style>
  <w:style w:type="paragraph" w:customStyle="1" w:styleId="Title2">
    <w:name w:val="Title 2"/>
    <w:basedOn w:val="Title"/>
    <w:qFormat/>
    <w:rsid w:val="00582451"/>
    <w:rPr>
      <w:bCs w:val="0"/>
      <w:sz w:val="32"/>
    </w:rPr>
  </w:style>
  <w:style w:type="numbering" w:customStyle="1" w:styleId="NoList1">
    <w:name w:val="No List1"/>
    <w:next w:val="NoList"/>
    <w:semiHidden/>
    <w:rsid w:val="00DC3C60"/>
  </w:style>
  <w:style w:type="paragraph" w:styleId="BodyText">
    <w:name w:val="Body Text"/>
    <w:basedOn w:val="Normal"/>
    <w:link w:val="BodyTextChar"/>
    <w:locked/>
    <w:rsid w:val="00DC3C60"/>
    <w:rPr>
      <w:rFonts w:ascii="Arial" w:hAnsi="Arial"/>
      <w:b/>
      <w:bCs/>
      <w:sz w:val="22"/>
      <w:szCs w:val="20"/>
    </w:rPr>
  </w:style>
  <w:style w:type="character" w:customStyle="1" w:styleId="BodyTextChar">
    <w:name w:val="Body Text Char"/>
    <w:basedOn w:val="DefaultParagraphFont"/>
    <w:link w:val="BodyText"/>
    <w:rsid w:val="00DC3C60"/>
    <w:rPr>
      <w:rFonts w:ascii="Arial" w:hAnsi="Arial"/>
      <w:b/>
      <w:bCs/>
      <w:sz w:val="22"/>
      <w:lang w:eastAsia="en-US"/>
    </w:rPr>
  </w:style>
  <w:style w:type="character" w:styleId="PageNumber">
    <w:name w:val="page number"/>
    <w:basedOn w:val="DefaultParagraphFont"/>
    <w:rsid w:val="00DC3C60"/>
  </w:style>
  <w:style w:type="paragraph" w:customStyle="1" w:styleId="TableText1">
    <w:name w:val="Table Text 1"/>
    <w:basedOn w:val="Normal"/>
    <w:qFormat/>
    <w:rsid w:val="00DC3C60"/>
    <w:rPr>
      <w:rFonts w:ascii="Arial" w:hAnsi="Arial"/>
      <w:sz w:val="22"/>
      <w:lang w:eastAsia="en-GB"/>
    </w:rPr>
  </w:style>
  <w:style w:type="character" w:styleId="Strong">
    <w:name w:val="Strong"/>
    <w:uiPriority w:val="22"/>
    <w:qFormat/>
    <w:locked/>
    <w:rsid w:val="00DC3C60"/>
    <w:rPr>
      <w:b/>
      <w:bCs/>
    </w:rPr>
  </w:style>
  <w:style w:type="character" w:styleId="Emphasis">
    <w:name w:val="Emphasis"/>
    <w:uiPriority w:val="20"/>
    <w:qFormat/>
    <w:locked/>
    <w:rsid w:val="00DC3C60"/>
    <w:rPr>
      <w:i/>
      <w:iCs/>
    </w:rPr>
  </w:style>
  <w:style w:type="character" w:customStyle="1" w:styleId="maintitle">
    <w:name w:val="maintitle"/>
    <w:rsid w:val="00DC3C60"/>
  </w:style>
  <w:style w:type="paragraph" w:styleId="NormalWeb">
    <w:name w:val="Normal (Web)"/>
    <w:basedOn w:val="Normal"/>
    <w:uiPriority w:val="99"/>
    <w:unhideWhenUsed/>
    <w:locked/>
    <w:rsid w:val="00DC3C60"/>
    <w:pPr>
      <w:spacing w:before="100" w:beforeAutospacing="1" w:after="100" w:afterAutospacing="1"/>
    </w:pPr>
    <w:rPr>
      <w:lang w:eastAsia="en-GB"/>
    </w:rPr>
  </w:style>
  <w:style w:type="character" w:customStyle="1" w:styleId="highwire-citation-author">
    <w:name w:val="highwire-citation-author"/>
    <w:basedOn w:val="DefaultParagraphFont"/>
    <w:rsid w:val="00DC3C60"/>
  </w:style>
  <w:style w:type="table" w:customStyle="1" w:styleId="TableGrid1">
    <w:name w:val="Table Grid1"/>
    <w:basedOn w:val="TableNormal"/>
    <w:next w:val="TableGrid"/>
    <w:rsid w:val="00DC3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
    <w:name w:val="Imported Style 3"/>
    <w:rsid w:val="00DC3C60"/>
    <w:pPr>
      <w:numPr>
        <w:numId w:val="10"/>
      </w:numPr>
    </w:pPr>
  </w:style>
  <w:style w:type="character" w:customStyle="1" w:styleId="Link">
    <w:name w:val="Link"/>
    <w:rsid w:val="00DC3C60"/>
    <w:rPr>
      <w:outline w:val="0"/>
      <w:color w:val="0000FF"/>
      <w:u w:val="single" w:color="0000FF"/>
    </w:rPr>
  </w:style>
  <w:style w:type="character" w:customStyle="1" w:styleId="Hyperlink1">
    <w:name w:val="Hyperlink.1"/>
    <w:rsid w:val="00DC3C60"/>
    <w:rPr>
      <w:outline w:val="0"/>
      <w:color w:val="000000"/>
      <w:u w:val="none" w:color="0000FF"/>
    </w:rPr>
  </w:style>
  <w:style w:type="paragraph" w:customStyle="1" w:styleId="EndnoteText1">
    <w:name w:val="Endnote Text1"/>
    <w:basedOn w:val="Normal"/>
    <w:next w:val="EndnoteText"/>
    <w:uiPriority w:val="99"/>
    <w:semiHidden/>
    <w:unhideWhenUsed/>
    <w:rsid w:val="00DC3C60"/>
    <w:rPr>
      <w:rFonts w:ascii="Calibri" w:eastAsia="Calibri" w:hAnsi="Calibri"/>
      <w:sz w:val="20"/>
      <w:szCs w:val="20"/>
    </w:rPr>
  </w:style>
  <w:style w:type="character" w:styleId="EndnoteReference">
    <w:name w:val="endnote reference"/>
    <w:uiPriority w:val="99"/>
    <w:unhideWhenUsed/>
    <w:locked/>
    <w:rsid w:val="00DC3C60"/>
    <w:rPr>
      <w:vertAlign w:val="superscript"/>
    </w:rPr>
  </w:style>
  <w:style w:type="paragraph" w:styleId="EndnoteText">
    <w:name w:val="endnote text"/>
    <w:basedOn w:val="Normal"/>
    <w:link w:val="EndnoteTextChar"/>
    <w:locked/>
    <w:rsid w:val="00DC3C60"/>
    <w:rPr>
      <w:rFonts w:ascii="Arial" w:hAnsi="Arial"/>
      <w:sz w:val="20"/>
      <w:szCs w:val="20"/>
    </w:rPr>
  </w:style>
  <w:style w:type="character" w:customStyle="1" w:styleId="EndnoteTextChar">
    <w:name w:val="Endnote Text Char"/>
    <w:basedOn w:val="DefaultParagraphFont"/>
    <w:link w:val="EndnoteText"/>
    <w:rsid w:val="00DC3C6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7486">
      <w:bodyDiv w:val="1"/>
      <w:marLeft w:val="0"/>
      <w:marRight w:val="0"/>
      <w:marTop w:val="0"/>
      <w:marBottom w:val="0"/>
      <w:divBdr>
        <w:top w:val="none" w:sz="0" w:space="0" w:color="auto"/>
        <w:left w:val="none" w:sz="0" w:space="0" w:color="auto"/>
        <w:bottom w:val="none" w:sz="0" w:space="0" w:color="auto"/>
        <w:right w:val="none" w:sz="0" w:space="0" w:color="auto"/>
      </w:divBdr>
      <w:divsChild>
        <w:div w:id="1914315054">
          <w:marLeft w:val="0"/>
          <w:marRight w:val="0"/>
          <w:marTop w:val="0"/>
          <w:marBottom w:val="0"/>
          <w:divBdr>
            <w:top w:val="none" w:sz="0" w:space="0" w:color="auto"/>
            <w:left w:val="none" w:sz="0" w:space="0" w:color="auto"/>
            <w:bottom w:val="none" w:sz="0" w:space="0" w:color="auto"/>
            <w:right w:val="none" w:sz="0" w:space="0" w:color="auto"/>
          </w:divBdr>
          <w:divsChild>
            <w:div w:id="205871113">
              <w:marLeft w:val="0"/>
              <w:marRight w:val="0"/>
              <w:marTop w:val="0"/>
              <w:marBottom w:val="0"/>
              <w:divBdr>
                <w:top w:val="none" w:sz="0" w:space="0" w:color="auto"/>
                <w:left w:val="none" w:sz="0" w:space="0" w:color="auto"/>
                <w:bottom w:val="none" w:sz="0" w:space="0" w:color="auto"/>
                <w:right w:val="none" w:sz="0" w:space="0" w:color="auto"/>
              </w:divBdr>
              <w:divsChild>
                <w:div w:id="1709061901">
                  <w:marLeft w:val="0"/>
                  <w:marRight w:val="0"/>
                  <w:marTop w:val="0"/>
                  <w:marBottom w:val="0"/>
                  <w:divBdr>
                    <w:top w:val="none" w:sz="0" w:space="0" w:color="auto"/>
                    <w:left w:val="none" w:sz="0" w:space="0" w:color="auto"/>
                    <w:bottom w:val="none" w:sz="0" w:space="0" w:color="auto"/>
                    <w:right w:val="none" w:sz="0" w:space="0" w:color="auto"/>
                  </w:divBdr>
                  <w:divsChild>
                    <w:div w:id="1105079342">
                      <w:marLeft w:val="0"/>
                      <w:marRight w:val="0"/>
                      <w:marTop w:val="0"/>
                      <w:marBottom w:val="0"/>
                      <w:divBdr>
                        <w:top w:val="none" w:sz="0" w:space="0" w:color="auto"/>
                        <w:left w:val="none" w:sz="0" w:space="0" w:color="auto"/>
                        <w:bottom w:val="none" w:sz="0" w:space="0" w:color="auto"/>
                        <w:right w:val="none" w:sz="0" w:space="0" w:color="auto"/>
                      </w:divBdr>
                      <w:divsChild>
                        <w:div w:id="2132240573">
                          <w:marLeft w:val="0"/>
                          <w:marRight w:val="0"/>
                          <w:marTop w:val="0"/>
                          <w:marBottom w:val="0"/>
                          <w:divBdr>
                            <w:top w:val="none" w:sz="0" w:space="0" w:color="auto"/>
                            <w:left w:val="none" w:sz="0" w:space="0" w:color="auto"/>
                            <w:bottom w:val="none" w:sz="0" w:space="0" w:color="auto"/>
                            <w:right w:val="none" w:sz="0" w:space="0" w:color="auto"/>
                          </w:divBdr>
                          <w:divsChild>
                            <w:div w:id="399981525">
                              <w:marLeft w:val="0"/>
                              <w:marRight w:val="0"/>
                              <w:marTop w:val="0"/>
                              <w:marBottom w:val="0"/>
                              <w:divBdr>
                                <w:top w:val="none" w:sz="0" w:space="0" w:color="auto"/>
                                <w:left w:val="none" w:sz="0" w:space="0" w:color="auto"/>
                                <w:bottom w:val="none" w:sz="0" w:space="0" w:color="auto"/>
                                <w:right w:val="none" w:sz="0" w:space="0" w:color="auto"/>
                              </w:divBdr>
                              <w:divsChild>
                                <w:div w:id="427194127">
                                  <w:marLeft w:val="0"/>
                                  <w:marRight w:val="0"/>
                                  <w:marTop w:val="0"/>
                                  <w:marBottom w:val="0"/>
                                  <w:divBdr>
                                    <w:top w:val="none" w:sz="0" w:space="0" w:color="auto"/>
                                    <w:left w:val="none" w:sz="0" w:space="0" w:color="auto"/>
                                    <w:bottom w:val="none" w:sz="0" w:space="0" w:color="auto"/>
                                    <w:right w:val="none" w:sz="0" w:space="0" w:color="auto"/>
                                  </w:divBdr>
                                  <w:divsChild>
                                    <w:div w:id="1373535238">
                                      <w:marLeft w:val="0"/>
                                      <w:marRight w:val="0"/>
                                      <w:marTop w:val="0"/>
                                      <w:marBottom w:val="0"/>
                                      <w:divBdr>
                                        <w:top w:val="none" w:sz="0" w:space="0" w:color="auto"/>
                                        <w:left w:val="none" w:sz="0" w:space="0" w:color="auto"/>
                                        <w:bottom w:val="none" w:sz="0" w:space="0" w:color="auto"/>
                                        <w:right w:val="none" w:sz="0" w:space="0" w:color="auto"/>
                                      </w:divBdr>
                                      <w:divsChild>
                                        <w:div w:id="1585916316">
                                          <w:marLeft w:val="0"/>
                                          <w:marRight w:val="0"/>
                                          <w:marTop w:val="0"/>
                                          <w:marBottom w:val="0"/>
                                          <w:divBdr>
                                            <w:top w:val="none" w:sz="0" w:space="0" w:color="auto"/>
                                            <w:left w:val="none" w:sz="0" w:space="0" w:color="auto"/>
                                            <w:bottom w:val="none" w:sz="0" w:space="0" w:color="auto"/>
                                            <w:right w:val="none" w:sz="0" w:space="0" w:color="auto"/>
                                          </w:divBdr>
                                          <w:divsChild>
                                            <w:div w:id="350684847">
                                              <w:marLeft w:val="0"/>
                                              <w:marRight w:val="0"/>
                                              <w:marTop w:val="0"/>
                                              <w:marBottom w:val="0"/>
                                              <w:divBdr>
                                                <w:top w:val="none" w:sz="0" w:space="0" w:color="auto"/>
                                                <w:left w:val="none" w:sz="0" w:space="0" w:color="auto"/>
                                                <w:bottom w:val="none" w:sz="0" w:space="0" w:color="auto"/>
                                                <w:right w:val="none" w:sz="0" w:space="0" w:color="auto"/>
                                              </w:divBdr>
                                              <w:divsChild>
                                                <w:div w:id="785541888">
                                                  <w:marLeft w:val="0"/>
                                                  <w:marRight w:val="0"/>
                                                  <w:marTop w:val="0"/>
                                                  <w:marBottom w:val="0"/>
                                                  <w:divBdr>
                                                    <w:top w:val="none" w:sz="0" w:space="0" w:color="auto"/>
                                                    <w:left w:val="none" w:sz="0" w:space="0" w:color="auto"/>
                                                    <w:bottom w:val="none" w:sz="0" w:space="0" w:color="auto"/>
                                                    <w:right w:val="none" w:sz="0" w:space="0" w:color="auto"/>
                                                  </w:divBdr>
                                                  <w:divsChild>
                                                    <w:div w:id="13338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49599">
      <w:bodyDiv w:val="1"/>
      <w:marLeft w:val="0"/>
      <w:marRight w:val="0"/>
      <w:marTop w:val="0"/>
      <w:marBottom w:val="0"/>
      <w:divBdr>
        <w:top w:val="none" w:sz="0" w:space="0" w:color="auto"/>
        <w:left w:val="none" w:sz="0" w:space="0" w:color="auto"/>
        <w:bottom w:val="none" w:sz="0" w:space="0" w:color="auto"/>
        <w:right w:val="none" w:sz="0" w:space="0" w:color="auto"/>
      </w:divBdr>
    </w:div>
    <w:div w:id="150800473">
      <w:bodyDiv w:val="1"/>
      <w:marLeft w:val="0"/>
      <w:marRight w:val="0"/>
      <w:marTop w:val="0"/>
      <w:marBottom w:val="0"/>
      <w:divBdr>
        <w:top w:val="none" w:sz="0" w:space="0" w:color="auto"/>
        <w:left w:val="none" w:sz="0" w:space="0" w:color="auto"/>
        <w:bottom w:val="none" w:sz="0" w:space="0" w:color="auto"/>
        <w:right w:val="none" w:sz="0" w:space="0" w:color="auto"/>
      </w:divBdr>
    </w:div>
    <w:div w:id="231232634">
      <w:bodyDiv w:val="1"/>
      <w:marLeft w:val="0"/>
      <w:marRight w:val="0"/>
      <w:marTop w:val="0"/>
      <w:marBottom w:val="0"/>
      <w:divBdr>
        <w:top w:val="none" w:sz="0" w:space="0" w:color="auto"/>
        <w:left w:val="none" w:sz="0" w:space="0" w:color="auto"/>
        <w:bottom w:val="none" w:sz="0" w:space="0" w:color="auto"/>
        <w:right w:val="none" w:sz="0" w:space="0" w:color="auto"/>
      </w:divBdr>
    </w:div>
    <w:div w:id="234584220">
      <w:bodyDiv w:val="1"/>
      <w:marLeft w:val="0"/>
      <w:marRight w:val="0"/>
      <w:marTop w:val="0"/>
      <w:marBottom w:val="0"/>
      <w:divBdr>
        <w:top w:val="none" w:sz="0" w:space="0" w:color="auto"/>
        <w:left w:val="none" w:sz="0" w:space="0" w:color="auto"/>
        <w:bottom w:val="none" w:sz="0" w:space="0" w:color="auto"/>
        <w:right w:val="none" w:sz="0" w:space="0" w:color="auto"/>
      </w:divBdr>
      <w:divsChild>
        <w:div w:id="1059398061">
          <w:marLeft w:val="0"/>
          <w:marRight w:val="0"/>
          <w:marTop w:val="0"/>
          <w:marBottom w:val="0"/>
          <w:divBdr>
            <w:top w:val="none" w:sz="0" w:space="0" w:color="auto"/>
            <w:left w:val="none" w:sz="0" w:space="0" w:color="auto"/>
            <w:bottom w:val="none" w:sz="0" w:space="0" w:color="auto"/>
            <w:right w:val="none" w:sz="0" w:space="0" w:color="auto"/>
          </w:divBdr>
          <w:divsChild>
            <w:div w:id="1323117172">
              <w:marLeft w:val="0"/>
              <w:marRight w:val="0"/>
              <w:marTop w:val="0"/>
              <w:marBottom w:val="0"/>
              <w:divBdr>
                <w:top w:val="none" w:sz="0" w:space="0" w:color="auto"/>
                <w:left w:val="none" w:sz="0" w:space="0" w:color="auto"/>
                <w:bottom w:val="none" w:sz="0" w:space="0" w:color="auto"/>
                <w:right w:val="none" w:sz="0" w:space="0" w:color="auto"/>
              </w:divBdr>
              <w:divsChild>
                <w:div w:id="538056454">
                  <w:marLeft w:val="0"/>
                  <w:marRight w:val="0"/>
                  <w:marTop w:val="0"/>
                  <w:marBottom w:val="0"/>
                  <w:divBdr>
                    <w:top w:val="none" w:sz="0" w:space="0" w:color="auto"/>
                    <w:left w:val="none" w:sz="0" w:space="0" w:color="auto"/>
                    <w:bottom w:val="none" w:sz="0" w:space="0" w:color="auto"/>
                    <w:right w:val="none" w:sz="0" w:space="0" w:color="auto"/>
                  </w:divBdr>
                  <w:divsChild>
                    <w:div w:id="1841239319">
                      <w:marLeft w:val="0"/>
                      <w:marRight w:val="0"/>
                      <w:marTop w:val="0"/>
                      <w:marBottom w:val="0"/>
                      <w:divBdr>
                        <w:top w:val="none" w:sz="0" w:space="0" w:color="auto"/>
                        <w:left w:val="none" w:sz="0" w:space="0" w:color="auto"/>
                        <w:bottom w:val="none" w:sz="0" w:space="0" w:color="auto"/>
                        <w:right w:val="none" w:sz="0" w:space="0" w:color="auto"/>
                      </w:divBdr>
                      <w:divsChild>
                        <w:div w:id="2004355029">
                          <w:marLeft w:val="0"/>
                          <w:marRight w:val="0"/>
                          <w:marTop w:val="0"/>
                          <w:marBottom w:val="0"/>
                          <w:divBdr>
                            <w:top w:val="none" w:sz="0" w:space="0" w:color="auto"/>
                            <w:left w:val="none" w:sz="0" w:space="0" w:color="auto"/>
                            <w:bottom w:val="none" w:sz="0" w:space="0" w:color="auto"/>
                            <w:right w:val="none" w:sz="0" w:space="0" w:color="auto"/>
                          </w:divBdr>
                          <w:divsChild>
                            <w:div w:id="310401697">
                              <w:marLeft w:val="0"/>
                              <w:marRight w:val="0"/>
                              <w:marTop w:val="0"/>
                              <w:marBottom w:val="0"/>
                              <w:divBdr>
                                <w:top w:val="none" w:sz="0" w:space="0" w:color="auto"/>
                                <w:left w:val="none" w:sz="0" w:space="0" w:color="auto"/>
                                <w:bottom w:val="none" w:sz="0" w:space="0" w:color="auto"/>
                                <w:right w:val="none" w:sz="0" w:space="0" w:color="auto"/>
                              </w:divBdr>
                              <w:divsChild>
                                <w:div w:id="593976680">
                                  <w:marLeft w:val="0"/>
                                  <w:marRight w:val="0"/>
                                  <w:marTop w:val="0"/>
                                  <w:marBottom w:val="0"/>
                                  <w:divBdr>
                                    <w:top w:val="none" w:sz="0" w:space="0" w:color="auto"/>
                                    <w:left w:val="none" w:sz="0" w:space="0" w:color="auto"/>
                                    <w:bottom w:val="none" w:sz="0" w:space="0" w:color="auto"/>
                                    <w:right w:val="none" w:sz="0" w:space="0" w:color="auto"/>
                                  </w:divBdr>
                                  <w:divsChild>
                                    <w:div w:id="859466313">
                                      <w:marLeft w:val="0"/>
                                      <w:marRight w:val="0"/>
                                      <w:marTop w:val="0"/>
                                      <w:marBottom w:val="0"/>
                                      <w:divBdr>
                                        <w:top w:val="none" w:sz="0" w:space="0" w:color="auto"/>
                                        <w:left w:val="none" w:sz="0" w:space="0" w:color="auto"/>
                                        <w:bottom w:val="none" w:sz="0" w:space="0" w:color="auto"/>
                                        <w:right w:val="none" w:sz="0" w:space="0" w:color="auto"/>
                                      </w:divBdr>
                                      <w:divsChild>
                                        <w:div w:id="20181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509137">
      <w:bodyDiv w:val="1"/>
      <w:marLeft w:val="0"/>
      <w:marRight w:val="0"/>
      <w:marTop w:val="0"/>
      <w:marBottom w:val="0"/>
      <w:divBdr>
        <w:top w:val="none" w:sz="0" w:space="0" w:color="auto"/>
        <w:left w:val="none" w:sz="0" w:space="0" w:color="auto"/>
        <w:bottom w:val="none" w:sz="0" w:space="0" w:color="auto"/>
        <w:right w:val="none" w:sz="0" w:space="0" w:color="auto"/>
      </w:divBdr>
      <w:divsChild>
        <w:div w:id="689835156">
          <w:marLeft w:val="0"/>
          <w:marRight w:val="0"/>
          <w:marTop w:val="0"/>
          <w:marBottom w:val="0"/>
          <w:divBdr>
            <w:top w:val="none" w:sz="0" w:space="0" w:color="auto"/>
            <w:left w:val="none" w:sz="0" w:space="0" w:color="auto"/>
            <w:bottom w:val="none" w:sz="0" w:space="0" w:color="auto"/>
            <w:right w:val="none" w:sz="0" w:space="0" w:color="auto"/>
          </w:divBdr>
          <w:divsChild>
            <w:div w:id="1148716287">
              <w:marLeft w:val="0"/>
              <w:marRight w:val="0"/>
              <w:marTop w:val="0"/>
              <w:marBottom w:val="0"/>
              <w:divBdr>
                <w:top w:val="none" w:sz="0" w:space="0" w:color="auto"/>
                <w:left w:val="none" w:sz="0" w:space="0" w:color="auto"/>
                <w:bottom w:val="none" w:sz="0" w:space="0" w:color="auto"/>
                <w:right w:val="none" w:sz="0" w:space="0" w:color="auto"/>
              </w:divBdr>
              <w:divsChild>
                <w:div w:id="1309746280">
                  <w:marLeft w:val="0"/>
                  <w:marRight w:val="0"/>
                  <w:marTop w:val="0"/>
                  <w:marBottom w:val="0"/>
                  <w:divBdr>
                    <w:top w:val="none" w:sz="0" w:space="0" w:color="auto"/>
                    <w:left w:val="none" w:sz="0" w:space="0" w:color="auto"/>
                    <w:bottom w:val="none" w:sz="0" w:space="0" w:color="auto"/>
                    <w:right w:val="none" w:sz="0" w:space="0" w:color="auto"/>
                  </w:divBdr>
                  <w:divsChild>
                    <w:div w:id="130832092">
                      <w:marLeft w:val="0"/>
                      <w:marRight w:val="0"/>
                      <w:marTop w:val="0"/>
                      <w:marBottom w:val="0"/>
                      <w:divBdr>
                        <w:top w:val="none" w:sz="0" w:space="0" w:color="auto"/>
                        <w:left w:val="none" w:sz="0" w:space="0" w:color="auto"/>
                        <w:bottom w:val="none" w:sz="0" w:space="0" w:color="auto"/>
                        <w:right w:val="none" w:sz="0" w:space="0" w:color="auto"/>
                      </w:divBdr>
                      <w:divsChild>
                        <w:div w:id="861628490">
                          <w:marLeft w:val="0"/>
                          <w:marRight w:val="0"/>
                          <w:marTop w:val="0"/>
                          <w:marBottom w:val="0"/>
                          <w:divBdr>
                            <w:top w:val="none" w:sz="0" w:space="0" w:color="auto"/>
                            <w:left w:val="none" w:sz="0" w:space="0" w:color="auto"/>
                            <w:bottom w:val="none" w:sz="0" w:space="0" w:color="auto"/>
                            <w:right w:val="none" w:sz="0" w:space="0" w:color="auto"/>
                          </w:divBdr>
                          <w:divsChild>
                            <w:div w:id="516627372">
                              <w:marLeft w:val="0"/>
                              <w:marRight w:val="0"/>
                              <w:marTop w:val="0"/>
                              <w:marBottom w:val="0"/>
                              <w:divBdr>
                                <w:top w:val="none" w:sz="0" w:space="0" w:color="auto"/>
                                <w:left w:val="none" w:sz="0" w:space="0" w:color="auto"/>
                                <w:bottom w:val="none" w:sz="0" w:space="0" w:color="auto"/>
                                <w:right w:val="none" w:sz="0" w:space="0" w:color="auto"/>
                              </w:divBdr>
                              <w:divsChild>
                                <w:div w:id="1330138068">
                                  <w:marLeft w:val="0"/>
                                  <w:marRight w:val="0"/>
                                  <w:marTop w:val="0"/>
                                  <w:marBottom w:val="0"/>
                                  <w:divBdr>
                                    <w:top w:val="none" w:sz="0" w:space="0" w:color="auto"/>
                                    <w:left w:val="none" w:sz="0" w:space="0" w:color="auto"/>
                                    <w:bottom w:val="none" w:sz="0" w:space="0" w:color="auto"/>
                                    <w:right w:val="none" w:sz="0" w:space="0" w:color="auto"/>
                                  </w:divBdr>
                                  <w:divsChild>
                                    <w:div w:id="851647035">
                                      <w:marLeft w:val="0"/>
                                      <w:marRight w:val="0"/>
                                      <w:marTop w:val="0"/>
                                      <w:marBottom w:val="0"/>
                                      <w:divBdr>
                                        <w:top w:val="none" w:sz="0" w:space="0" w:color="auto"/>
                                        <w:left w:val="none" w:sz="0" w:space="0" w:color="auto"/>
                                        <w:bottom w:val="none" w:sz="0" w:space="0" w:color="auto"/>
                                        <w:right w:val="none" w:sz="0" w:space="0" w:color="auto"/>
                                      </w:divBdr>
                                      <w:divsChild>
                                        <w:div w:id="989091177">
                                          <w:marLeft w:val="0"/>
                                          <w:marRight w:val="0"/>
                                          <w:marTop w:val="0"/>
                                          <w:marBottom w:val="0"/>
                                          <w:divBdr>
                                            <w:top w:val="none" w:sz="0" w:space="0" w:color="auto"/>
                                            <w:left w:val="none" w:sz="0" w:space="0" w:color="auto"/>
                                            <w:bottom w:val="none" w:sz="0" w:space="0" w:color="auto"/>
                                            <w:right w:val="none" w:sz="0" w:space="0" w:color="auto"/>
                                          </w:divBdr>
                                          <w:divsChild>
                                            <w:div w:id="1964580988">
                                              <w:marLeft w:val="0"/>
                                              <w:marRight w:val="0"/>
                                              <w:marTop w:val="0"/>
                                              <w:marBottom w:val="0"/>
                                              <w:divBdr>
                                                <w:top w:val="none" w:sz="0" w:space="0" w:color="auto"/>
                                                <w:left w:val="none" w:sz="0" w:space="0" w:color="auto"/>
                                                <w:bottom w:val="none" w:sz="0" w:space="0" w:color="auto"/>
                                                <w:right w:val="none" w:sz="0" w:space="0" w:color="auto"/>
                                              </w:divBdr>
                                              <w:divsChild>
                                                <w:div w:id="10193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171570">
      <w:bodyDiv w:val="1"/>
      <w:marLeft w:val="0"/>
      <w:marRight w:val="0"/>
      <w:marTop w:val="0"/>
      <w:marBottom w:val="0"/>
      <w:divBdr>
        <w:top w:val="none" w:sz="0" w:space="0" w:color="auto"/>
        <w:left w:val="none" w:sz="0" w:space="0" w:color="auto"/>
        <w:bottom w:val="none" w:sz="0" w:space="0" w:color="auto"/>
        <w:right w:val="none" w:sz="0" w:space="0" w:color="auto"/>
      </w:divBdr>
      <w:divsChild>
        <w:div w:id="1670064021">
          <w:marLeft w:val="0"/>
          <w:marRight w:val="0"/>
          <w:marTop w:val="0"/>
          <w:marBottom w:val="0"/>
          <w:divBdr>
            <w:top w:val="none" w:sz="0" w:space="0" w:color="auto"/>
            <w:left w:val="none" w:sz="0" w:space="0" w:color="auto"/>
            <w:bottom w:val="none" w:sz="0" w:space="0" w:color="auto"/>
            <w:right w:val="none" w:sz="0" w:space="0" w:color="auto"/>
          </w:divBdr>
          <w:divsChild>
            <w:div w:id="1643728307">
              <w:marLeft w:val="0"/>
              <w:marRight w:val="0"/>
              <w:marTop w:val="0"/>
              <w:marBottom w:val="0"/>
              <w:divBdr>
                <w:top w:val="none" w:sz="0" w:space="0" w:color="auto"/>
                <w:left w:val="none" w:sz="0" w:space="0" w:color="auto"/>
                <w:bottom w:val="none" w:sz="0" w:space="0" w:color="auto"/>
                <w:right w:val="none" w:sz="0" w:space="0" w:color="auto"/>
              </w:divBdr>
              <w:divsChild>
                <w:div w:id="1304314010">
                  <w:marLeft w:val="0"/>
                  <w:marRight w:val="0"/>
                  <w:marTop w:val="0"/>
                  <w:marBottom w:val="0"/>
                  <w:divBdr>
                    <w:top w:val="none" w:sz="0" w:space="0" w:color="auto"/>
                    <w:left w:val="none" w:sz="0" w:space="0" w:color="auto"/>
                    <w:bottom w:val="none" w:sz="0" w:space="0" w:color="auto"/>
                    <w:right w:val="none" w:sz="0" w:space="0" w:color="auto"/>
                  </w:divBdr>
                  <w:divsChild>
                    <w:div w:id="664555801">
                      <w:marLeft w:val="0"/>
                      <w:marRight w:val="0"/>
                      <w:marTop w:val="0"/>
                      <w:marBottom w:val="0"/>
                      <w:divBdr>
                        <w:top w:val="none" w:sz="0" w:space="0" w:color="auto"/>
                        <w:left w:val="none" w:sz="0" w:space="0" w:color="auto"/>
                        <w:bottom w:val="none" w:sz="0" w:space="0" w:color="auto"/>
                        <w:right w:val="none" w:sz="0" w:space="0" w:color="auto"/>
                      </w:divBdr>
                      <w:divsChild>
                        <w:div w:id="437262732">
                          <w:marLeft w:val="0"/>
                          <w:marRight w:val="0"/>
                          <w:marTop w:val="0"/>
                          <w:marBottom w:val="0"/>
                          <w:divBdr>
                            <w:top w:val="none" w:sz="0" w:space="0" w:color="auto"/>
                            <w:left w:val="none" w:sz="0" w:space="0" w:color="auto"/>
                            <w:bottom w:val="none" w:sz="0" w:space="0" w:color="auto"/>
                            <w:right w:val="none" w:sz="0" w:space="0" w:color="auto"/>
                          </w:divBdr>
                          <w:divsChild>
                            <w:div w:id="1833905075">
                              <w:marLeft w:val="0"/>
                              <w:marRight w:val="0"/>
                              <w:marTop w:val="0"/>
                              <w:marBottom w:val="0"/>
                              <w:divBdr>
                                <w:top w:val="none" w:sz="0" w:space="0" w:color="auto"/>
                                <w:left w:val="none" w:sz="0" w:space="0" w:color="auto"/>
                                <w:bottom w:val="none" w:sz="0" w:space="0" w:color="auto"/>
                                <w:right w:val="none" w:sz="0" w:space="0" w:color="auto"/>
                              </w:divBdr>
                              <w:divsChild>
                                <w:div w:id="541212883">
                                  <w:marLeft w:val="0"/>
                                  <w:marRight w:val="0"/>
                                  <w:marTop w:val="0"/>
                                  <w:marBottom w:val="0"/>
                                  <w:divBdr>
                                    <w:top w:val="none" w:sz="0" w:space="0" w:color="auto"/>
                                    <w:left w:val="none" w:sz="0" w:space="0" w:color="auto"/>
                                    <w:bottom w:val="none" w:sz="0" w:space="0" w:color="auto"/>
                                    <w:right w:val="none" w:sz="0" w:space="0" w:color="auto"/>
                                  </w:divBdr>
                                  <w:divsChild>
                                    <w:div w:id="346448880">
                                      <w:marLeft w:val="0"/>
                                      <w:marRight w:val="0"/>
                                      <w:marTop w:val="0"/>
                                      <w:marBottom w:val="0"/>
                                      <w:divBdr>
                                        <w:top w:val="none" w:sz="0" w:space="0" w:color="auto"/>
                                        <w:left w:val="none" w:sz="0" w:space="0" w:color="auto"/>
                                        <w:bottom w:val="none" w:sz="0" w:space="0" w:color="auto"/>
                                        <w:right w:val="none" w:sz="0" w:space="0" w:color="auto"/>
                                      </w:divBdr>
                                      <w:divsChild>
                                        <w:div w:id="419982281">
                                          <w:marLeft w:val="0"/>
                                          <w:marRight w:val="0"/>
                                          <w:marTop w:val="0"/>
                                          <w:marBottom w:val="0"/>
                                          <w:divBdr>
                                            <w:top w:val="none" w:sz="0" w:space="0" w:color="auto"/>
                                            <w:left w:val="none" w:sz="0" w:space="0" w:color="auto"/>
                                            <w:bottom w:val="none" w:sz="0" w:space="0" w:color="auto"/>
                                            <w:right w:val="none" w:sz="0" w:space="0" w:color="auto"/>
                                          </w:divBdr>
                                          <w:divsChild>
                                            <w:div w:id="1357000306">
                                              <w:marLeft w:val="0"/>
                                              <w:marRight w:val="0"/>
                                              <w:marTop w:val="0"/>
                                              <w:marBottom w:val="0"/>
                                              <w:divBdr>
                                                <w:top w:val="none" w:sz="0" w:space="0" w:color="auto"/>
                                                <w:left w:val="none" w:sz="0" w:space="0" w:color="auto"/>
                                                <w:bottom w:val="none" w:sz="0" w:space="0" w:color="auto"/>
                                                <w:right w:val="none" w:sz="0" w:space="0" w:color="auto"/>
                                              </w:divBdr>
                                            </w:div>
                                            <w:div w:id="1453860917">
                                              <w:marLeft w:val="0"/>
                                              <w:marRight w:val="0"/>
                                              <w:marTop w:val="0"/>
                                              <w:marBottom w:val="0"/>
                                              <w:divBdr>
                                                <w:top w:val="none" w:sz="0" w:space="0" w:color="auto"/>
                                                <w:left w:val="none" w:sz="0" w:space="0" w:color="auto"/>
                                                <w:bottom w:val="none" w:sz="0" w:space="0" w:color="auto"/>
                                                <w:right w:val="none" w:sz="0" w:space="0" w:color="auto"/>
                                              </w:divBdr>
                                            </w:div>
                                            <w:div w:id="2063866721">
                                              <w:marLeft w:val="0"/>
                                              <w:marRight w:val="0"/>
                                              <w:marTop w:val="0"/>
                                              <w:marBottom w:val="0"/>
                                              <w:divBdr>
                                                <w:top w:val="none" w:sz="0" w:space="0" w:color="auto"/>
                                                <w:left w:val="none" w:sz="0" w:space="0" w:color="auto"/>
                                                <w:bottom w:val="none" w:sz="0" w:space="0" w:color="auto"/>
                                                <w:right w:val="none" w:sz="0" w:space="0" w:color="auto"/>
                                              </w:divBdr>
                                            </w:div>
                                            <w:div w:id="2138790828">
                                              <w:marLeft w:val="0"/>
                                              <w:marRight w:val="0"/>
                                              <w:marTop w:val="0"/>
                                              <w:marBottom w:val="0"/>
                                              <w:divBdr>
                                                <w:top w:val="none" w:sz="0" w:space="0" w:color="auto"/>
                                                <w:left w:val="none" w:sz="0" w:space="0" w:color="auto"/>
                                                <w:bottom w:val="none" w:sz="0" w:space="0" w:color="auto"/>
                                                <w:right w:val="none" w:sz="0" w:space="0" w:color="auto"/>
                                              </w:divBdr>
                                              <w:divsChild>
                                                <w:div w:id="9068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229443">
      <w:bodyDiv w:val="1"/>
      <w:marLeft w:val="0"/>
      <w:marRight w:val="0"/>
      <w:marTop w:val="0"/>
      <w:marBottom w:val="0"/>
      <w:divBdr>
        <w:top w:val="none" w:sz="0" w:space="0" w:color="auto"/>
        <w:left w:val="none" w:sz="0" w:space="0" w:color="auto"/>
        <w:bottom w:val="none" w:sz="0" w:space="0" w:color="auto"/>
        <w:right w:val="none" w:sz="0" w:space="0" w:color="auto"/>
      </w:divBdr>
      <w:divsChild>
        <w:div w:id="834150733">
          <w:marLeft w:val="0"/>
          <w:marRight w:val="0"/>
          <w:marTop w:val="0"/>
          <w:marBottom w:val="0"/>
          <w:divBdr>
            <w:top w:val="none" w:sz="0" w:space="0" w:color="auto"/>
            <w:left w:val="none" w:sz="0" w:space="0" w:color="auto"/>
            <w:bottom w:val="none" w:sz="0" w:space="0" w:color="auto"/>
            <w:right w:val="none" w:sz="0" w:space="0" w:color="auto"/>
          </w:divBdr>
          <w:divsChild>
            <w:div w:id="1449858101">
              <w:marLeft w:val="0"/>
              <w:marRight w:val="0"/>
              <w:marTop w:val="0"/>
              <w:marBottom w:val="0"/>
              <w:divBdr>
                <w:top w:val="none" w:sz="0" w:space="0" w:color="auto"/>
                <w:left w:val="none" w:sz="0" w:space="0" w:color="auto"/>
                <w:bottom w:val="none" w:sz="0" w:space="0" w:color="auto"/>
                <w:right w:val="none" w:sz="0" w:space="0" w:color="auto"/>
              </w:divBdr>
              <w:divsChild>
                <w:div w:id="1781220799">
                  <w:marLeft w:val="0"/>
                  <w:marRight w:val="0"/>
                  <w:marTop w:val="0"/>
                  <w:marBottom w:val="0"/>
                  <w:divBdr>
                    <w:top w:val="none" w:sz="0" w:space="0" w:color="auto"/>
                    <w:left w:val="none" w:sz="0" w:space="0" w:color="auto"/>
                    <w:bottom w:val="none" w:sz="0" w:space="0" w:color="auto"/>
                    <w:right w:val="none" w:sz="0" w:space="0" w:color="auto"/>
                  </w:divBdr>
                  <w:divsChild>
                    <w:div w:id="1577978663">
                      <w:marLeft w:val="2850"/>
                      <w:marRight w:val="300"/>
                      <w:marTop w:val="0"/>
                      <w:marBottom w:val="0"/>
                      <w:divBdr>
                        <w:top w:val="single" w:sz="6" w:space="0" w:color="6E90A6"/>
                        <w:left w:val="single" w:sz="6" w:space="19" w:color="6E90A6"/>
                        <w:bottom w:val="none" w:sz="0" w:space="0" w:color="auto"/>
                        <w:right w:val="single" w:sz="6" w:space="19" w:color="6E90A6"/>
                      </w:divBdr>
                    </w:div>
                  </w:divsChild>
                </w:div>
              </w:divsChild>
            </w:div>
          </w:divsChild>
        </w:div>
      </w:divsChild>
    </w:div>
    <w:div w:id="446169537">
      <w:bodyDiv w:val="1"/>
      <w:marLeft w:val="0"/>
      <w:marRight w:val="0"/>
      <w:marTop w:val="0"/>
      <w:marBottom w:val="0"/>
      <w:divBdr>
        <w:top w:val="none" w:sz="0" w:space="0" w:color="auto"/>
        <w:left w:val="none" w:sz="0" w:space="0" w:color="auto"/>
        <w:bottom w:val="none" w:sz="0" w:space="0" w:color="auto"/>
        <w:right w:val="none" w:sz="0" w:space="0" w:color="auto"/>
      </w:divBdr>
      <w:divsChild>
        <w:div w:id="992369884">
          <w:marLeft w:val="0"/>
          <w:marRight w:val="0"/>
          <w:marTop w:val="0"/>
          <w:marBottom w:val="0"/>
          <w:divBdr>
            <w:top w:val="none" w:sz="0" w:space="0" w:color="auto"/>
            <w:left w:val="none" w:sz="0" w:space="0" w:color="auto"/>
            <w:bottom w:val="none" w:sz="0" w:space="0" w:color="auto"/>
            <w:right w:val="none" w:sz="0" w:space="0" w:color="auto"/>
          </w:divBdr>
          <w:divsChild>
            <w:div w:id="710769023">
              <w:marLeft w:val="0"/>
              <w:marRight w:val="0"/>
              <w:marTop w:val="0"/>
              <w:marBottom w:val="0"/>
              <w:divBdr>
                <w:top w:val="none" w:sz="0" w:space="0" w:color="auto"/>
                <w:left w:val="none" w:sz="0" w:space="0" w:color="auto"/>
                <w:bottom w:val="none" w:sz="0" w:space="0" w:color="auto"/>
                <w:right w:val="none" w:sz="0" w:space="0" w:color="auto"/>
              </w:divBdr>
              <w:divsChild>
                <w:div w:id="780341494">
                  <w:marLeft w:val="0"/>
                  <w:marRight w:val="0"/>
                  <w:marTop w:val="0"/>
                  <w:marBottom w:val="0"/>
                  <w:divBdr>
                    <w:top w:val="none" w:sz="0" w:space="0" w:color="auto"/>
                    <w:left w:val="none" w:sz="0" w:space="0" w:color="auto"/>
                    <w:bottom w:val="none" w:sz="0" w:space="0" w:color="auto"/>
                    <w:right w:val="none" w:sz="0" w:space="0" w:color="auto"/>
                  </w:divBdr>
                  <w:divsChild>
                    <w:div w:id="968441988">
                      <w:marLeft w:val="0"/>
                      <w:marRight w:val="0"/>
                      <w:marTop w:val="0"/>
                      <w:marBottom w:val="0"/>
                      <w:divBdr>
                        <w:top w:val="none" w:sz="0" w:space="0" w:color="auto"/>
                        <w:left w:val="none" w:sz="0" w:space="0" w:color="auto"/>
                        <w:bottom w:val="none" w:sz="0" w:space="0" w:color="auto"/>
                        <w:right w:val="none" w:sz="0" w:space="0" w:color="auto"/>
                      </w:divBdr>
                      <w:divsChild>
                        <w:div w:id="677267709">
                          <w:marLeft w:val="0"/>
                          <w:marRight w:val="0"/>
                          <w:marTop w:val="0"/>
                          <w:marBottom w:val="0"/>
                          <w:divBdr>
                            <w:top w:val="none" w:sz="0" w:space="0" w:color="auto"/>
                            <w:left w:val="none" w:sz="0" w:space="0" w:color="auto"/>
                            <w:bottom w:val="none" w:sz="0" w:space="0" w:color="auto"/>
                            <w:right w:val="none" w:sz="0" w:space="0" w:color="auto"/>
                          </w:divBdr>
                          <w:divsChild>
                            <w:div w:id="1454523104">
                              <w:marLeft w:val="0"/>
                              <w:marRight w:val="0"/>
                              <w:marTop w:val="0"/>
                              <w:marBottom w:val="0"/>
                              <w:divBdr>
                                <w:top w:val="none" w:sz="0" w:space="0" w:color="auto"/>
                                <w:left w:val="none" w:sz="0" w:space="0" w:color="auto"/>
                                <w:bottom w:val="none" w:sz="0" w:space="0" w:color="auto"/>
                                <w:right w:val="none" w:sz="0" w:space="0" w:color="auto"/>
                              </w:divBdr>
                              <w:divsChild>
                                <w:div w:id="933822653">
                                  <w:marLeft w:val="0"/>
                                  <w:marRight w:val="0"/>
                                  <w:marTop w:val="0"/>
                                  <w:marBottom w:val="0"/>
                                  <w:divBdr>
                                    <w:top w:val="none" w:sz="0" w:space="0" w:color="auto"/>
                                    <w:left w:val="none" w:sz="0" w:space="0" w:color="auto"/>
                                    <w:bottom w:val="none" w:sz="0" w:space="0" w:color="auto"/>
                                    <w:right w:val="none" w:sz="0" w:space="0" w:color="auto"/>
                                  </w:divBdr>
                                  <w:divsChild>
                                    <w:div w:id="71630953">
                                      <w:marLeft w:val="0"/>
                                      <w:marRight w:val="0"/>
                                      <w:marTop w:val="0"/>
                                      <w:marBottom w:val="0"/>
                                      <w:divBdr>
                                        <w:top w:val="none" w:sz="0" w:space="0" w:color="auto"/>
                                        <w:left w:val="none" w:sz="0" w:space="0" w:color="auto"/>
                                        <w:bottom w:val="none" w:sz="0" w:space="0" w:color="auto"/>
                                        <w:right w:val="none" w:sz="0" w:space="0" w:color="auto"/>
                                      </w:divBdr>
                                      <w:divsChild>
                                        <w:div w:id="1560478657">
                                          <w:marLeft w:val="0"/>
                                          <w:marRight w:val="0"/>
                                          <w:marTop w:val="0"/>
                                          <w:marBottom w:val="0"/>
                                          <w:divBdr>
                                            <w:top w:val="none" w:sz="0" w:space="0" w:color="auto"/>
                                            <w:left w:val="none" w:sz="0" w:space="0" w:color="auto"/>
                                            <w:bottom w:val="none" w:sz="0" w:space="0" w:color="auto"/>
                                            <w:right w:val="none" w:sz="0" w:space="0" w:color="auto"/>
                                          </w:divBdr>
                                          <w:divsChild>
                                            <w:div w:id="1538083297">
                                              <w:marLeft w:val="0"/>
                                              <w:marRight w:val="0"/>
                                              <w:marTop w:val="0"/>
                                              <w:marBottom w:val="0"/>
                                              <w:divBdr>
                                                <w:top w:val="none" w:sz="0" w:space="0" w:color="auto"/>
                                                <w:left w:val="none" w:sz="0" w:space="0" w:color="auto"/>
                                                <w:bottom w:val="none" w:sz="0" w:space="0" w:color="auto"/>
                                                <w:right w:val="none" w:sz="0" w:space="0" w:color="auto"/>
                                              </w:divBdr>
                                              <w:divsChild>
                                                <w:div w:id="17475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0224126">
      <w:bodyDiv w:val="1"/>
      <w:marLeft w:val="0"/>
      <w:marRight w:val="0"/>
      <w:marTop w:val="0"/>
      <w:marBottom w:val="0"/>
      <w:divBdr>
        <w:top w:val="none" w:sz="0" w:space="0" w:color="auto"/>
        <w:left w:val="none" w:sz="0" w:space="0" w:color="auto"/>
        <w:bottom w:val="none" w:sz="0" w:space="0" w:color="auto"/>
        <w:right w:val="none" w:sz="0" w:space="0" w:color="auto"/>
      </w:divBdr>
      <w:divsChild>
        <w:div w:id="424156213">
          <w:marLeft w:val="0"/>
          <w:marRight w:val="0"/>
          <w:marTop w:val="0"/>
          <w:marBottom w:val="0"/>
          <w:divBdr>
            <w:top w:val="none" w:sz="0" w:space="0" w:color="auto"/>
            <w:left w:val="none" w:sz="0" w:space="0" w:color="auto"/>
            <w:bottom w:val="none" w:sz="0" w:space="0" w:color="auto"/>
            <w:right w:val="none" w:sz="0" w:space="0" w:color="auto"/>
          </w:divBdr>
          <w:divsChild>
            <w:div w:id="371808703">
              <w:marLeft w:val="0"/>
              <w:marRight w:val="0"/>
              <w:marTop w:val="0"/>
              <w:marBottom w:val="0"/>
              <w:divBdr>
                <w:top w:val="none" w:sz="0" w:space="0" w:color="auto"/>
                <w:left w:val="none" w:sz="0" w:space="0" w:color="auto"/>
                <w:bottom w:val="none" w:sz="0" w:space="0" w:color="auto"/>
                <w:right w:val="none" w:sz="0" w:space="0" w:color="auto"/>
              </w:divBdr>
              <w:divsChild>
                <w:div w:id="692414829">
                  <w:marLeft w:val="0"/>
                  <w:marRight w:val="0"/>
                  <w:marTop w:val="0"/>
                  <w:marBottom w:val="0"/>
                  <w:divBdr>
                    <w:top w:val="none" w:sz="0" w:space="0" w:color="auto"/>
                    <w:left w:val="none" w:sz="0" w:space="0" w:color="auto"/>
                    <w:bottom w:val="none" w:sz="0" w:space="0" w:color="auto"/>
                    <w:right w:val="none" w:sz="0" w:space="0" w:color="auto"/>
                  </w:divBdr>
                  <w:divsChild>
                    <w:div w:id="1598558020">
                      <w:marLeft w:val="0"/>
                      <w:marRight w:val="0"/>
                      <w:marTop w:val="0"/>
                      <w:marBottom w:val="0"/>
                      <w:divBdr>
                        <w:top w:val="none" w:sz="0" w:space="0" w:color="auto"/>
                        <w:left w:val="none" w:sz="0" w:space="0" w:color="auto"/>
                        <w:bottom w:val="none" w:sz="0" w:space="0" w:color="auto"/>
                        <w:right w:val="none" w:sz="0" w:space="0" w:color="auto"/>
                      </w:divBdr>
                      <w:divsChild>
                        <w:div w:id="1894388479">
                          <w:marLeft w:val="0"/>
                          <w:marRight w:val="0"/>
                          <w:marTop w:val="0"/>
                          <w:marBottom w:val="0"/>
                          <w:divBdr>
                            <w:top w:val="none" w:sz="0" w:space="0" w:color="auto"/>
                            <w:left w:val="none" w:sz="0" w:space="0" w:color="auto"/>
                            <w:bottom w:val="none" w:sz="0" w:space="0" w:color="auto"/>
                            <w:right w:val="none" w:sz="0" w:space="0" w:color="auto"/>
                          </w:divBdr>
                          <w:divsChild>
                            <w:div w:id="1895039713">
                              <w:marLeft w:val="0"/>
                              <w:marRight w:val="0"/>
                              <w:marTop w:val="0"/>
                              <w:marBottom w:val="0"/>
                              <w:divBdr>
                                <w:top w:val="none" w:sz="0" w:space="0" w:color="auto"/>
                                <w:left w:val="none" w:sz="0" w:space="0" w:color="auto"/>
                                <w:bottom w:val="none" w:sz="0" w:space="0" w:color="auto"/>
                                <w:right w:val="none" w:sz="0" w:space="0" w:color="auto"/>
                              </w:divBdr>
                              <w:divsChild>
                                <w:div w:id="1502231599">
                                  <w:marLeft w:val="0"/>
                                  <w:marRight w:val="0"/>
                                  <w:marTop w:val="0"/>
                                  <w:marBottom w:val="0"/>
                                  <w:divBdr>
                                    <w:top w:val="none" w:sz="0" w:space="0" w:color="auto"/>
                                    <w:left w:val="none" w:sz="0" w:space="0" w:color="auto"/>
                                    <w:bottom w:val="none" w:sz="0" w:space="0" w:color="auto"/>
                                    <w:right w:val="none" w:sz="0" w:space="0" w:color="auto"/>
                                  </w:divBdr>
                                  <w:divsChild>
                                    <w:div w:id="791899586">
                                      <w:marLeft w:val="0"/>
                                      <w:marRight w:val="0"/>
                                      <w:marTop w:val="0"/>
                                      <w:marBottom w:val="0"/>
                                      <w:divBdr>
                                        <w:top w:val="none" w:sz="0" w:space="0" w:color="auto"/>
                                        <w:left w:val="none" w:sz="0" w:space="0" w:color="auto"/>
                                        <w:bottom w:val="none" w:sz="0" w:space="0" w:color="auto"/>
                                        <w:right w:val="none" w:sz="0" w:space="0" w:color="auto"/>
                                      </w:divBdr>
                                      <w:divsChild>
                                        <w:div w:id="386103916">
                                          <w:marLeft w:val="0"/>
                                          <w:marRight w:val="0"/>
                                          <w:marTop w:val="0"/>
                                          <w:marBottom w:val="0"/>
                                          <w:divBdr>
                                            <w:top w:val="none" w:sz="0" w:space="0" w:color="auto"/>
                                            <w:left w:val="none" w:sz="0" w:space="0" w:color="auto"/>
                                            <w:bottom w:val="none" w:sz="0" w:space="0" w:color="auto"/>
                                            <w:right w:val="none" w:sz="0" w:space="0" w:color="auto"/>
                                          </w:divBdr>
                                          <w:divsChild>
                                            <w:div w:id="59596086">
                                              <w:marLeft w:val="0"/>
                                              <w:marRight w:val="0"/>
                                              <w:marTop w:val="0"/>
                                              <w:marBottom w:val="0"/>
                                              <w:divBdr>
                                                <w:top w:val="none" w:sz="0" w:space="0" w:color="auto"/>
                                                <w:left w:val="none" w:sz="0" w:space="0" w:color="auto"/>
                                                <w:bottom w:val="none" w:sz="0" w:space="0" w:color="auto"/>
                                                <w:right w:val="none" w:sz="0" w:space="0" w:color="auto"/>
                                              </w:divBdr>
                                              <w:divsChild>
                                                <w:div w:id="2136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122672">
      <w:bodyDiv w:val="1"/>
      <w:marLeft w:val="0"/>
      <w:marRight w:val="0"/>
      <w:marTop w:val="0"/>
      <w:marBottom w:val="0"/>
      <w:divBdr>
        <w:top w:val="none" w:sz="0" w:space="0" w:color="auto"/>
        <w:left w:val="none" w:sz="0" w:space="0" w:color="auto"/>
        <w:bottom w:val="none" w:sz="0" w:space="0" w:color="auto"/>
        <w:right w:val="none" w:sz="0" w:space="0" w:color="auto"/>
      </w:divBdr>
      <w:divsChild>
        <w:div w:id="457647838">
          <w:marLeft w:val="0"/>
          <w:marRight w:val="0"/>
          <w:marTop w:val="0"/>
          <w:marBottom w:val="0"/>
          <w:divBdr>
            <w:top w:val="none" w:sz="0" w:space="0" w:color="auto"/>
            <w:left w:val="none" w:sz="0" w:space="0" w:color="auto"/>
            <w:bottom w:val="none" w:sz="0" w:space="0" w:color="auto"/>
            <w:right w:val="none" w:sz="0" w:space="0" w:color="auto"/>
          </w:divBdr>
          <w:divsChild>
            <w:div w:id="2137065863">
              <w:marLeft w:val="0"/>
              <w:marRight w:val="0"/>
              <w:marTop w:val="0"/>
              <w:marBottom w:val="0"/>
              <w:divBdr>
                <w:top w:val="none" w:sz="0" w:space="0" w:color="auto"/>
                <w:left w:val="none" w:sz="0" w:space="0" w:color="auto"/>
                <w:bottom w:val="none" w:sz="0" w:space="0" w:color="auto"/>
                <w:right w:val="none" w:sz="0" w:space="0" w:color="auto"/>
              </w:divBdr>
              <w:divsChild>
                <w:div w:id="1723749702">
                  <w:marLeft w:val="0"/>
                  <w:marRight w:val="0"/>
                  <w:marTop w:val="0"/>
                  <w:marBottom w:val="0"/>
                  <w:divBdr>
                    <w:top w:val="none" w:sz="0" w:space="0" w:color="auto"/>
                    <w:left w:val="none" w:sz="0" w:space="0" w:color="auto"/>
                    <w:bottom w:val="none" w:sz="0" w:space="0" w:color="auto"/>
                    <w:right w:val="none" w:sz="0" w:space="0" w:color="auto"/>
                  </w:divBdr>
                  <w:divsChild>
                    <w:div w:id="1107848452">
                      <w:marLeft w:val="0"/>
                      <w:marRight w:val="0"/>
                      <w:marTop w:val="0"/>
                      <w:marBottom w:val="0"/>
                      <w:divBdr>
                        <w:top w:val="none" w:sz="0" w:space="0" w:color="auto"/>
                        <w:left w:val="none" w:sz="0" w:space="0" w:color="auto"/>
                        <w:bottom w:val="none" w:sz="0" w:space="0" w:color="auto"/>
                        <w:right w:val="none" w:sz="0" w:space="0" w:color="auto"/>
                      </w:divBdr>
                      <w:divsChild>
                        <w:div w:id="1201170494">
                          <w:marLeft w:val="0"/>
                          <w:marRight w:val="0"/>
                          <w:marTop w:val="0"/>
                          <w:marBottom w:val="0"/>
                          <w:divBdr>
                            <w:top w:val="none" w:sz="0" w:space="0" w:color="auto"/>
                            <w:left w:val="none" w:sz="0" w:space="0" w:color="auto"/>
                            <w:bottom w:val="none" w:sz="0" w:space="0" w:color="auto"/>
                            <w:right w:val="none" w:sz="0" w:space="0" w:color="auto"/>
                          </w:divBdr>
                          <w:divsChild>
                            <w:div w:id="800733120">
                              <w:marLeft w:val="0"/>
                              <w:marRight w:val="0"/>
                              <w:marTop w:val="0"/>
                              <w:marBottom w:val="0"/>
                              <w:divBdr>
                                <w:top w:val="none" w:sz="0" w:space="0" w:color="auto"/>
                                <w:left w:val="none" w:sz="0" w:space="0" w:color="auto"/>
                                <w:bottom w:val="none" w:sz="0" w:space="0" w:color="auto"/>
                                <w:right w:val="none" w:sz="0" w:space="0" w:color="auto"/>
                              </w:divBdr>
                              <w:divsChild>
                                <w:div w:id="1330861750">
                                  <w:marLeft w:val="0"/>
                                  <w:marRight w:val="0"/>
                                  <w:marTop w:val="0"/>
                                  <w:marBottom w:val="0"/>
                                  <w:divBdr>
                                    <w:top w:val="none" w:sz="0" w:space="0" w:color="auto"/>
                                    <w:left w:val="none" w:sz="0" w:space="0" w:color="auto"/>
                                    <w:bottom w:val="none" w:sz="0" w:space="0" w:color="auto"/>
                                    <w:right w:val="none" w:sz="0" w:space="0" w:color="auto"/>
                                  </w:divBdr>
                                  <w:divsChild>
                                    <w:div w:id="77873385">
                                      <w:marLeft w:val="0"/>
                                      <w:marRight w:val="0"/>
                                      <w:marTop w:val="0"/>
                                      <w:marBottom w:val="0"/>
                                      <w:divBdr>
                                        <w:top w:val="none" w:sz="0" w:space="0" w:color="auto"/>
                                        <w:left w:val="none" w:sz="0" w:space="0" w:color="auto"/>
                                        <w:bottom w:val="none" w:sz="0" w:space="0" w:color="auto"/>
                                        <w:right w:val="none" w:sz="0" w:space="0" w:color="auto"/>
                                      </w:divBdr>
                                      <w:divsChild>
                                        <w:div w:id="1880168596">
                                          <w:marLeft w:val="0"/>
                                          <w:marRight w:val="0"/>
                                          <w:marTop w:val="0"/>
                                          <w:marBottom w:val="0"/>
                                          <w:divBdr>
                                            <w:top w:val="none" w:sz="0" w:space="0" w:color="auto"/>
                                            <w:left w:val="none" w:sz="0" w:space="0" w:color="auto"/>
                                            <w:bottom w:val="none" w:sz="0" w:space="0" w:color="auto"/>
                                            <w:right w:val="none" w:sz="0" w:space="0" w:color="auto"/>
                                          </w:divBdr>
                                          <w:divsChild>
                                            <w:div w:id="6568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3536819">
      <w:bodyDiv w:val="1"/>
      <w:marLeft w:val="0"/>
      <w:marRight w:val="0"/>
      <w:marTop w:val="0"/>
      <w:marBottom w:val="0"/>
      <w:divBdr>
        <w:top w:val="none" w:sz="0" w:space="0" w:color="auto"/>
        <w:left w:val="none" w:sz="0" w:space="0" w:color="auto"/>
        <w:bottom w:val="none" w:sz="0" w:space="0" w:color="auto"/>
        <w:right w:val="none" w:sz="0" w:space="0" w:color="auto"/>
      </w:divBdr>
    </w:div>
    <w:div w:id="594284544">
      <w:bodyDiv w:val="1"/>
      <w:marLeft w:val="0"/>
      <w:marRight w:val="0"/>
      <w:marTop w:val="0"/>
      <w:marBottom w:val="0"/>
      <w:divBdr>
        <w:top w:val="none" w:sz="0" w:space="0" w:color="auto"/>
        <w:left w:val="none" w:sz="0" w:space="0" w:color="auto"/>
        <w:bottom w:val="none" w:sz="0" w:space="0" w:color="auto"/>
        <w:right w:val="none" w:sz="0" w:space="0" w:color="auto"/>
      </w:divBdr>
      <w:divsChild>
        <w:div w:id="566111993">
          <w:marLeft w:val="0"/>
          <w:marRight w:val="0"/>
          <w:marTop w:val="0"/>
          <w:marBottom w:val="0"/>
          <w:divBdr>
            <w:top w:val="none" w:sz="0" w:space="0" w:color="auto"/>
            <w:left w:val="none" w:sz="0" w:space="0" w:color="auto"/>
            <w:bottom w:val="none" w:sz="0" w:space="0" w:color="auto"/>
            <w:right w:val="none" w:sz="0" w:space="0" w:color="auto"/>
          </w:divBdr>
          <w:divsChild>
            <w:div w:id="1818959445">
              <w:marLeft w:val="0"/>
              <w:marRight w:val="0"/>
              <w:marTop w:val="0"/>
              <w:marBottom w:val="0"/>
              <w:divBdr>
                <w:top w:val="none" w:sz="0" w:space="0" w:color="auto"/>
                <w:left w:val="none" w:sz="0" w:space="0" w:color="auto"/>
                <w:bottom w:val="none" w:sz="0" w:space="0" w:color="auto"/>
                <w:right w:val="none" w:sz="0" w:space="0" w:color="auto"/>
              </w:divBdr>
              <w:divsChild>
                <w:div w:id="409429856">
                  <w:marLeft w:val="0"/>
                  <w:marRight w:val="0"/>
                  <w:marTop w:val="0"/>
                  <w:marBottom w:val="0"/>
                  <w:divBdr>
                    <w:top w:val="none" w:sz="0" w:space="0" w:color="auto"/>
                    <w:left w:val="none" w:sz="0" w:space="0" w:color="auto"/>
                    <w:bottom w:val="none" w:sz="0" w:space="0" w:color="auto"/>
                    <w:right w:val="none" w:sz="0" w:space="0" w:color="auto"/>
                  </w:divBdr>
                  <w:divsChild>
                    <w:div w:id="1417896093">
                      <w:marLeft w:val="0"/>
                      <w:marRight w:val="0"/>
                      <w:marTop w:val="0"/>
                      <w:marBottom w:val="0"/>
                      <w:divBdr>
                        <w:top w:val="none" w:sz="0" w:space="0" w:color="auto"/>
                        <w:left w:val="none" w:sz="0" w:space="0" w:color="auto"/>
                        <w:bottom w:val="none" w:sz="0" w:space="0" w:color="auto"/>
                        <w:right w:val="none" w:sz="0" w:space="0" w:color="auto"/>
                      </w:divBdr>
                      <w:divsChild>
                        <w:div w:id="1937054494">
                          <w:marLeft w:val="0"/>
                          <w:marRight w:val="0"/>
                          <w:marTop w:val="0"/>
                          <w:marBottom w:val="0"/>
                          <w:divBdr>
                            <w:top w:val="none" w:sz="0" w:space="0" w:color="auto"/>
                            <w:left w:val="none" w:sz="0" w:space="0" w:color="auto"/>
                            <w:bottom w:val="none" w:sz="0" w:space="0" w:color="auto"/>
                            <w:right w:val="none" w:sz="0" w:space="0" w:color="auto"/>
                          </w:divBdr>
                          <w:divsChild>
                            <w:div w:id="1991514470">
                              <w:marLeft w:val="0"/>
                              <w:marRight w:val="0"/>
                              <w:marTop w:val="0"/>
                              <w:marBottom w:val="0"/>
                              <w:divBdr>
                                <w:top w:val="none" w:sz="0" w:space="0" w:color="auto"/>
                                <w:left w:val="none" w:sz="0" w:space="0" w:color="auto"/>
                                <w:bottom w:val="none" w:sz="0" w:space="0" w:color="auto"/>
                                <w:right w:val="none" w:sz="0" w:space="0" w:color="auto"/>
                              </w:divBdr>
                              <w:divsChild>
                                <w:div w:id="1566715890">
                                  <w:marLeft w:val="0"/>
                                  <w:marRight w:val="0"/>
                                  <w:marTop w:val="0"/>
                                  <w:marBottom w:val="0"/>
                                  <w:divBdr>
                                    <w:top w:val="none" w:sz="0" w:space="0" w:color="auto"/>
                                    <w:left w:val="none" w:sz="0" w:space="0" w:color="auto"/>
                                    <w:bottom w:val="none" w:sz="0" w:space="0" w:color="auto"/>
                                    <w:right w:val="none" w:sz="0" w:space="0" w:color="auto"/>
                                  </w:divBdr>
                                  <w:divsChild>
                                    <w:div w:id="2121365988">
                                      <w:marLeft w:val="0"/>
                                      <w:marRight w:val="0"/>
                                      <w:marTop w:val="0"/>
                                      <w:marBottom w:val="0"/>
                                      <w:divBdr>
                                        <w:top w:val="none" w:sz="0" w:space="0" w:color="auto"/>
                                        <w:left w:val="none" w:sz="0" w:space="0" w:color="auto"/>
                                        <w:bottom w:val="none" w:sz="0" w:space="0" w:color="auto"/>
                                        <w:right w:val="none" w:sz="0" w:space="0" w:color="auto"/>
                                      </w:divBdr>
                                      <w:divsChild>
                                        <w:div w:id="922570440">
                                          <w:marLeft w:val="0"/>
                                          <w:marRight w:val="0"/>
                                          <w:marTop w:val="0"/>
                                          <w:marBottom w:val="0"/>
                                          <w:divBdr>
                                            <w:top w:val="none" w:sz="0" w:space="0" w:color="auto"/>
                                            <w:left w:val="none" w:sz="0" w:space="0" w:color="auto"/>
                                            <w:bottom w:val="none" w:sz="0" w:space="0" w:color="auto"/>
                                            <w:right w:val="none" w:sz="0" w:space="0" w:color="auto"/>
                                          </w:divBdr>
                                          <w:divsChild>
                                            <w:div w:id="1077626920">
                                              <w:marLeft w:val="0"/>
                                              <w:marRight w:val="0"/>
                                              <w:marTop w:val="0"/>
                                              <w:marBottom w:val="0"/>
                                              <w:divBdr>
                                                <w:top w:val="none" w:sz="0" w:space="0" w:color="auto"/>
                                                <w:left w:val="none" w:sz="0" w:space="0" w:color="auto"/>
                                                <w:bottom w:val="none" w:sz="0" w:space="0" w:color="auto"/>
                                                <w:right w:val="none" w:sz="0" w:space="0" w:color="auto"/>
                                              </w:divBdr>
                                              <w:divsChild>
                                                <w:div w:id="1935818211">
                                                  <w:marLeft w:val="0"/>
                                                  <w:marRight w:val="0"/>
                                                  <w:marTop w:val="0"/>
                                                  <w:marBottom w:val="0"/>
                                                  <w:divBdr>
                                                    <w:top w:val="none" w:sz="0" w:space="0" w:color="auto"/>
                                                    <w:left w:val="none" w:sz="0" w:space="0" w:color="auto"/>
                                                    <w:bottom w:val="none" w:sz="0" w:space="0" w:color="auto"/>
                                                    <w:right w:val="none" w:sz="0" w:space="0" w:color="auto"/>
                                                  </w:divBdr>
                                                  <w:divsChild>
                                                    <w:div w:id="11830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0458129">
      <w:bodyDiv w:val="1"/>
      <w:marLeft w:val="0"/>
      <w:marRight w:val="0"/>
      <w:marTop w:val="0"/>
      <w:marBottom w:val="0"/>
      <w:divBdr>
        <w:top w:val="none" w:sz="0" w:space="0" w:color="auto"/>
        <w:left w:val="none" w:sz="0" w:space="0" w:color="auto"/>
        <w:bottom w:val="none" w:sz="0" w:space="0" w:color="auto"/>
        <w:right w:val="none" w:sz="0" w:space="0" w:color="auto"/>
      </w:divBdr>
      <w:divsChild>
        <w:div w:id="168177691">
          <w:marLeft w:val="0"/>
          <w:marRight w:val="0"/>
          <w:marTop w:val="0"/>
          <w:marBottom w:val="0"/>
          <w:divBdr>
            <w:top w:val="none" w:sz="0" w:space="0" w:color="auto"/>
            <w:left w:val="none" w:sz="0" w:space="0" w:color="auto"/>
            <w:bottom w:val="none" w:sz="0" w:space="0" w:color="auto"/>
            <w:right w:val="none" w:sz="0" w:space="0" w:color="auto"/>
          </w:divBdr>
          <w:divsChild>
            <w:div w:id="2087221000">
              <w:marLeft w:val="0"/>
              <w:marRight w:val="0"/>
              <w:marTop w:val="0"/>
              <w:marBottom w:val="0"/>
              <w:divBdr>
                <w:top w:val="none" w:sz="0" w:space="0" w:color="auto"/>
                <w:left w:val="none" w:sz="0" w:space="0" w:color="auto"/>
                <w:bottom w:val="none" w:sz="0" w:space="0" w:color="auto"/>
                <w:right w:val="none" w:sz="0" w:space="0" w:color="auto"/>
              </w:divBdr>
              <w:divsChild>
                <w:div w:id="402995007">
                  <w:marLeft w:val="0"/>
                  <w:marRight w:val="0"/>
                  <w:marTop w:val="0"/>
                  <w:marBottom w:val="0"/>
                  <w:divBdr>
                    <w:top w:val="none" w:sz="0" w:space="0" w:color="auto"/>
                    <w:left w:val="none" w:sz="0" w:space="0" w:color="auto"/>
                    <w:bottom w:val="none" w:sz="0" w:space="0" w:color="auto"/>
                    <w:right w:val="none" w:sz="0" w:space="0" w:color="auto"/>
                  </w:divBdr>
                  <w:divsChild>
                    <w:div w:id="1381326818">
                      <w:marLeft w:val="0"/>
                      <w:marRight w:val="0"/>
                      <w:marTop w:val="0"/>
                      <w:marBottom w:val="0"/>
                      <w:divBdr>
                        <w:top w:val="none" w:sz="0" w:space="0" w:color="auto"/>
                        <w:left w:val="none" w:sz="0" w:space="0" w:color="auto"/>
                        <w:bottom w:val="none" w:sz="0" w:space="0" w:color="auto"/>
                        <w:right w:val="none" w:sz="0" w:space="0" w:color="auto"/>
                      </w:divBdr>
                      <w:divsChild>
                        <w:div w:id="112334695">
                          <w:marLeft w:val="0"/>
                          <w:marRight w:val="0"/>
                          <w:marTop w:val="0"/>
                          <w:marBottom w:val="0"/>
                          <w:divBdr>
                            <w:top w:val="none" w:sz="0" w:space="0" w:color="auto"/>
                            <w:left w:val="none" w:sz="0" w:space="0" w:color="auto"/>
                            <w:bottom w:val="none" w:sz="0" w:space="0" w:color="auto"/>
                            <w:right w:val="none" w:sz="0" w:space="0" w:color="auto"/>
                          </w:divBdr>
                          <w:divsChild>
                            <w:div w:id="743458504">
                              <w:marLeft w:val="0"/>
                              <w:marRight w:val="0"/>
                              <w:marTop w:val="0"/>
                              <w:marBottom w:val="0"/>
                              <w:divBdr>
                                <w:top w:val="none" w:sz="0" w:space="0" w:color="auto"/>
                                <w:left w:val="none" w:sz="0" w:space="0" w:color="auto"/>
                                <w:bottom w:val="none" w:sz="0" w:space="0" w:color="auto"/>
                                <w:right w:val="none" w:sz="0" w:space="0" w:color="auto"/>
                              </w:divBdr>
                              <w:divsChild>
                                <w:div w:id="1926380162">
                                  <w:marLeft w:val="0"/>
                                  <w:marRight w:val="0"/>
                                  <w:marTop w:val="0"/>
                                  <w:marBottom w:val="0"/>
                                  <w:divBdr>
                                    <w:top w:val="none" w:sz="0" w:space="0" w:color="auto"/>
                                    <w:left w:val="none" w:sz="0" w:space="0" w:color="auto"/>
                                    <w:bottom w:val="none" w:sz="0" w:space="0" w:color="auto"/>
                                    <w:right w:val="none" w:sz="0" w:space="0" w:color="auto"/>
                                  </w:divBdr>
                                  <w:divsChild>
                                    <w:div w:id="74090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337773">
      <w:bodyDiv w:val="1"/>
      <w:marLeft w:val="0"/>
      <w:marRight w:val="0"/>
      <w:marTop w:val="0"/>
      <w:marBottom w:val="0"/>
      <w:divBdr>
        <w:top w:val="none" w:sz="0" w:space="0" w:color="auto"/>
        <w:left w:val="none" w:sz="0" w:space="0" w:color="auto"/>
        <w:bottom w:val="none" w:sz="0" w:space="0" w:color="auto"/>
        <w:right w:val="none" w:sz="0" w:space="0" w:color="auto"/>
      </w:divBdr>
      <w:divsChild>
        <w:div w:id="465393457">
          <w:marLeft w:val="0"/>
          <w:marRight w:val="0"/>
          <w:marTop w:val="0"/>
          <w:marBottom w:val="0"/>
          <w:divBdr>
            <w:top w:val="none" w:sz="0" w:space="0" w:color="auto"/>
            <w:left w:val="none" w:sz="0" w:space="0" w:color="auto"/>
            <w:bottom w:val="none" w:sz="0" w:space="0" w:color="auto"/>
            <w:right w:val="none" w:sz="0" w:space="0" w:color="auto"/>
          </w:divBdr>
          <w:divsChild>
            <w:div w:id="607658851">
              <w:marLeft w:val="0"/>
              <w:marRight w:val="0"/>
              <w:marTop w:val="0"/>
              <w:marBottom w:val="0"/>
              <w:divBdr>
                <w:top w:val="none" w:sz="0" w:space="0" w:color="auto"/>
                <w:left w:val="none" w:sz="0" w:space="0" w:color="auto"/>
                <w:bottom w:val="none" w:sz="0" w:space="0" w:color="auto"/>
                <w:right w:val="none" w:sz="0" w:space="0" w:color="auto"/>
              </w:divBdr>
              <w:divsChild>
                <w:div w:id="850804007">
                  <w:marLeft w:val="0"/>
                  <w:marRight w:val="0"/>
                  <w:marTop w:val="0"/>
                  <w:marBottom w:val="0"/>
                  <w:divBdr>
                    <w:top w:val="none" w:sz="0" w:space="0" w:color="auto"/>
                    <w:left w:val="none" w:sz="0" w:space="0" w:color="auto"/>
                    <w:bottom w:val="none" w:sz="0" w:space="0" w:color="auto"/>
                    <w:right w:val="none" w:sz="0" w:space="0" w:color="auto"/>
                  </w:divBdr>
                  <w:divsChild>
                    <w:div w:id="1421754547">
                      <w:marLeft w:val="0"/>
                      <w:marRight w:val="0"/>
                      <w:marTop w:val="0"/>
                      <w:marBottom w:val="0"/>
                      <w:divBdr>
                        <w:top w:val="none" w:sz="0" w:space="0" w:color="auto"/>
                        <w:left w:val="none" w:sz="0" w:space="0" w:color="auto"/>
                        <w:bottom w:val="none" w:sz="0" w:space="0" w:color="auto"/>
                        <w:right w:val="none" w:sz="0" w:space="0" w:color="auto"/>
                      </w:divBdr>
                      <w:divsChild>
                        <w:div w:id="14186950">
                          <w:marLeft w:val="0"/>
                          <w:marRight w:val="0"/>
                          <w:marTop w:val="0"/>
                          <w:marBottom w:val="0"/>
                          <w:divBdr>
                            <w:top w:val="none" w:sz="0" w:space="0" w:color="auto"/>
                            <w:left w:val="none" w:sz="0" w:space="0" w:color="auto"/>
                            <w:bottom w:val="none" w:sz="0" w:space="0" w:color="auto"/>
                            <w:right w:val="none" w:sz="0" w:space="0" w:color="auto"/>
                          </w:divBdr>
                          <w:divsChild>
                            <w:div w:id="36591755">
                              <w:marLeft w:val="0"/>
                              <w:marRight w:val="0"/>
                              <w:marTop w:val="0"/>
                              <w:marBottom w:val="0"/>
                              <w:divBdr>
                                <w:top w:val="none" w:sz="0" w:space="0" w:color="auto"/>
                                <w:left w:val="none" w:sz="0" w:space="0" w:color="auto"/>
                                <w:bottom w:val="none" w:sz="0" w:space="0" w:color="auto"/>
                                <w:right w:val="none" w:sz="0" w:space="0" w:color="auto"/>
                              </w:divBdr>
                              <w:divsChild>
                                <w:div w:id="1854563402">
                                  <w:marLeft w:val="0"/>
                                  <w:marRight w:val="0"/>
                                  <w:marTop w:val="0"/>
                                  <w:marBottom w:val="0"/>
                                  <w:divBdr>
                                    <w:top w:val="none" w:sz="0" w:space="0" w:color="auto"/>
                                    <w:left w:val="none" w:sz="0" w:space="0" w:color="auto"/>
                                    <w:bottom w:val="none" w:sz="0" w:space="0" w:color="auto"/>
                                    <w:right w:val="none" w:sz="0" w:space="0" w:color="auto"/>
                                  </w:divBdr>
                                  <w:divsChild>
                                    <w:div w:id="478815134">
                                      <w:marLeft w:val="0"/>
                                      <w:marRight w:val="0"/>
                                      <w:marTop w:val="0"/>
                                      <w:marBottom w:val="0"/>
                                      <w:divBdr>
                                        <w:top w:val="none" w:sz="0" w:space="0" w:color="auto"/>
                                        <w:left w:val="none" w:sz="0" w:space="0" w:color="auto"/>
                                        <w:bottom w:val="none" w:sz="0" w:space="0" w:color="auto"/>
                                        <w:right w:val="none" w:sz="0" w:space="0" w:color="auto"/>
                                      </w:divBdr>
                                      <w:divsChild>
                                        <w:div w:id="1461536750">
                                          <w:marLeft w:val="0"/>
                                          <w:marRight w:val="0"/>
                                          <w:marTop w:val="0"/>
                                          <w:marBottom w:val="0"/>
                                          <w:divBdr>
                                            <w:top w:val="none" w:sz="0" w:space="0" w:color="auto"/>
                                            <w:left w:val="none" w:sz="0" w:space="0" w:color="auto"/>
                                            <w:bottom w:val="none" w:sz="0" w:space="0" w:color="auto"/>
                                            <w:right w:val="none" w:sz="0" w:space="0" w:color="auto"/>
                                          </w:divBdr>
                                          <w:divsChild>
                                            <w:div w:id="730152213">
                                              <w:marLeft w:val="0"/>
                                              <w:marRight w:val="0"/>
                                              <w:marTop w:val="0"/>
                                              <w:marBottom w:val="0"/>
                                              <w:divBdr>
                                                <w:top w:val="none" w:sz="0" w:space="0" w:color="auto"/>
                                                <w:left w:val="none" w:sz="0" w:space="0" w:color="auto"/>
                                                <w:bottom w:val="none" w:sz="0" w:space="0" w:color="auto"/>
                                                <w:right w:val="none" w:sz="0" w:space="0" w:color="auto"/>
                                              </w:divBdr>
                                              <w:divsChild>
                                                <w:div w:id="12764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4937297">
      <w:bodyDiv w:val="1"/>
      <w:marLeft w:val="0"/>
      <w:marRight w:val="0"/>
      <w:marTop w:val="0"/>
      <w:marBottom w:val="0"/>
      <w:divBdr>
        <w:top w:val="none" w:sz="0" w:space="0" w:color="auto"/>
        <w:left w:val="none" w:sz="0" w:space="0" w:color="auto"/>
        <w:bottom w:val="none" w:sz="0" w:space="0" w:color="auto"/>
        <w:right w:val="none" w:sz="0" w:space="0" w:color="auto"/>
      </w:divBdr>
      <w:divsChild>
        <w:div w:id="991563805">
          <w:marLeft w:val="0"/>
          <w:marRight w:val="0"/>
          <w:marTop w:val="0"/>
          <w:marBottom w:val="0"/>
          <w:divBdr>
            <w:top w:val="none" w:sz="0" w:space="0" w:color="auto"/>
            <w:left w:val="none" w:sz="0" w:space="0" w:color="auto"/>
            <w:bottom w:val="none" w:sz="0" w:space="0" w:color="auto"/>
            <w:right w:val="none" w:sz="0" w:space="0" w:color="auto"/>
          </w:divBdr>
          <w:divsChild>
            <w:div w:id="1863006040">
              <w:marLeft w:val="0"/>
              <w:marRight w:val="0"/>
              <w:marTop w:val="0"/>
              <w:marBottom w:val="0"/>
              <w:divBdr>
                <w:top w:val="none" w:sz="0" w:space="0" w:color="auto"/>
                <w:left w:val="none" w:sz="0" w:space="0" w:color="auto"/>
                <w:bottom w:val="none" w:sz="0" w:space="0" w:color="auto"/>
                <w:right w:val="none" w:sz="0" w:space="0" w:color="auto"/>
              </w:divBdr>
              <w:divsChild>
                <w:div w:id="903873292">
                  <w:marLeft w:val="0"/>
                  <w:marRight w:val="0"/>
                  <w:marTop w:val="0"/>
                  <w:marBottom w:val="0"/>
                  <w:divBdr>
                    <w:top w:val="none" w:sz="0" w:space="0" w:color="auto"/>
                    <w:left w:val="none" w:sz="0" w:space="0" w:color="auto"/>
                    <w:bottom w:val="none" w:sz="0" w:space="0" w:color="auto"/>
                    <w:right w:val="none" w:sz="0" w:space="0" w:color="auto"/>
                  </w:divBdr>
                  <w:divsChild>
                    <w:div w:id="1474525280">
                      <w:marLeft w:val="0"/>
                      <w:marRight w:val="0"/>
                      <w:marTop w:val="0"/>
                      <w:marBottom w:val="0"/>
                      <w:divBdr>
                        <w:top w:val="none" w:sz="0" w:space="0" w:color="auto"/>
                        <w:left w:val="none" w:sz="0" w:space="0" w:color="auto"/>
                        <w:bottom w:val="none" w:sz="0" w:space="0" w:color="auto"/>
                        <w:right w:val="none" w:sz="0" w:space="0" w:color="auto"/>
                      </w:divBdr>
                      <w:divsChild>
                        <w:div w:id="9071726">
                          <w:marLeft w:val="0"/>
                          <w:marRight w:val="0"/>
                          <w:marTop w:val="0"/>
                          <w:marBottom w:val="0"/>
                          <w:divBdr>
                            <w:top w:val="none" w:sz="0" w:space="0" w:color="auto"/>
                            <w:left w:val="none" w:sz="0" w:space="0" w:color="auto"/>
                            <w:bottom w:val="none" w:sz="0" w:space="0" w:color="auto"/>
                            <w:right w:val="none" w:sz="0" w:space="0" w:color="auto"/>
                          </w:divBdr>
                          <w:divsChild>
                            <w:div w:id="2122529616">
                              <w:marLeft w:val="0"/>
                              <w:marRight w:val="0"/>
                              <w:marTop w:val="0"/>
                              <w:marBottom w:val="0"/>
                              <w:divBdr>
                                <w:top w:val="none" w:sz="0" w:space="0" w:color="auto"/>
                                <w:left w:val="none" w:sz="0" w:space="0" w:color="auto"/>
                                <w:bottom w:val="none" w:sz="0" w:space="0" w:color="auto"/>
                                <w:right w:val="none" w:sz="0" w:space="0" w:color="auto"/>
                              </w:divBdr>
                              <w:divsChild>
                                <w:div w:id="548297517">
                                  <w:marLeft w:val="0"/>
                                  <w:marRight w:val="0"/>
                                  <w:marTop w:val="0"/>
                                  <w:marBottom w:val="0"/>
                                  <w:divBdr>
                                    <w:top w:val="none" w:sz="0" w:space="0" w:color="auto"/>
                                    <w:left w:val="none" w:sz="0" w:space="0" w:color="auto"/>
                                    <w:bottom w:val="none" w:sz="0" w:space="0" w:color="auto"/>
                                    <w:right w:val="none" w:sz="0" w:space="0" w:color="auto"/>
                                  </w:divBdr>
                                  <w:divsChild>
                                    <w:div w:id="246426751">
                                      <w:marLeft w:val="0"/>
                                      <w:marRight w:val="0"/>
                                      <w:marTop w:val="0"/>
                                      <w:marBottom w:val="0"/>
                                      <w:divBdr>
                                        <w:top w:val="none" w:sz="0" w:space="0" w:color="auto"/>
                                        <w:left w:val="none" w:sz="0" w:space="0" w:color="auto"/>
                                        <w:bottom w:val="none" w:sz="0" w:space="0" w:color="auto"/>
                                        <w:right w:val="none" w:sz="0" w:space="0" w:color="auto"/>
                                      </w:divBdr>
                                      <w:divsChild>
                                        <w:div w:id="1669364808">
                                          <w:marLeft w:val="0"/>
                                          <w:marRight w:val="0"/>
                                          <w:marTop w:val="0"/>
                                          <w:marBottom w:val="0"/>
                                          <w:divBdr>
                                            <w:top w:val="none" w:sz="0" w:space="0" w:color="auto"/>
                                            <w:left w:val="none" w:sz="0" w:space="0" w:color="auto"/>
                                            <w:bottom w:val="none" w:sz="0" w:space="0" w:color="auto"/>
                                            <w:right w:val="none" w:sz="0" w:space="0" w:color="auto"/>
                                          </w:divBdr>
                                          <w:divsChild>
                                            <w:div w:id="19938294">
                                              <w:marLeft w:val="0"/>
                                              <w:marRight w:val="0"/>
                                              <w:marTop w:val="0"/>
                                              <w:marBottom w:val="0"/>
                                              <w:divBdr>
                                                <w:top w:val="none" w:sz="0" w:space="0" w:color="auto"/>
                                                <w:left w:val="none" w:sz="0" w:space="0" w:color="auto"/>
                                                <w:bottom w:val="none" w:sz="0" w:space="0" w:color="auto"/>
                                                <w:right w:val="none" w:sz="0" w:space="0" w:color="auto"/>
                                              </w:divBdr>
                                              <w:divsChild>
                                                <w:div w:id="15243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408403">
      <w:bodyDiv w:val="1"/>
      <w:marLeft w:val="0"/>
      <w:marRight w:val="0"/>
      <w:marTop w:val="0"/>
      <w:marBottom w:val="0"/>
      <w:divBdr>
        <w:top w:val="none" w:sz="0" w:space="0" w:color="auto"/>
        <w:left w:val="none" w:sz="0" w:space="0" w:color="auto"/>
        <w:bottom w:val="none" w:sz="0" w:space="0" w:color="auto"/>
        <w:right w:val="none" w:sz="0" w:space="0" w:color="auto"/>
      </w:divBdr>
      <w:divsChild>
        <w:div w:id="1785997583">
          <w:marLeft w:val="0"/>
          <w:marRight w:val="0"/>
          <w:marTop w:val="0"/>
          <w:marBottom w:val="0"/>
          <w:divBdr>
            <w:top w:val="none" w:sz="0" w:space="0" w:color="auto"/>
            <w:left w:val="none" w:sz="0" w:space="0" w:color="auto"/>
            <w:bottom w:val="none" w:sz="0" w:space="0" w:color="auto"/>
            <w:right w:val="none" w:sz="0" w:space="0" w:color="auto"/>
          </w:divBdr>
          <w:divsChild>
            <w:div w:id="268586592">
              <w:marLeft w:val="0"/>
              <w:marRight w:val="0"/>
              <w:marTop w:val="0"/>
              <w:marBottom w:val="0"/>
              <w:divBdr>
                <w:top w:val="none" w:sz="0" w:space="0" w:color="auto"/>
                <w:left w:val="none" w:sz="0" w:space="0" w:color="auto"/>
                <w:bottom w:val="none" w:sz="0" w:space="0" w:color="auto"/>
                <w:right w:val="none" w:sz="0" w:space="0" w:color="auto"/>
              </w:divBdr>
              <w:divsChild>
                <w:div w:id="1643388537">
                  <w:marLeft w:val="0"/>
                  <w:marRight w:val="0"/>
                  <w:marTop w:val="0"/>
                  <w:marBottom w:val="0"/>
                  <w:divBdr>
                    <w:top w:val="none" w:sz="0" w:space="0" w:color="auto"/>
                    <w:left w:val="none" w:sz="0" w:space="0" w:color="auto"/>
                    <w:bottom w:val="none" w:sz="0" w:space="0" w:color="auto"/>
                    <w:right w:val="none" w:sz="0" w:space="0" w:color="auto"/>
                  </w:divBdr>
                  <w:divsChild>
                    <w:div w:id="2067147164">
                      <w:marLeft w:val="0"/>
                      <w:marRight w:val="0"/>
                      <w:marTop w:val="0"/>
                      <w:marBottom w:val="0"/>
                      <w:divBdr>
                        <w:top w:val="none" w:sz="0" w:space="0" w:color="auto"/>
                        <w:left w:val="none" w:sz="0" w:space="0" w:color="auto"/>
                        <w:bottom w:val="none" w:sz="0" w:space="0" w:color="auto"/>
                        <w:right w:val="none" w:sz="0" w:space="0" w:color="auto"/>
                      </w:divBdr>
                      <w:divsChild>
                        <w:div w:id="54865643">
                          <w:marLeft w:val="0"/>
                          <w:marRight w:val="0"/>
                          <w:marTop w:val="0"/>
                          <w:marBottom w:val="0"/>
                          <w:divBdr>
                            <w:top w:val="none" w:sz="0" w:space="0" w:color="auto"/>
                            <w:left w:val="none" w:sz="0" w:space="0" w:color="auto"/>
                            <w:bottom w:val="none" w:sz="0" w:space="0" w:color="auto"/>
                            <w:right w:val="none" w:sz="0" w:space="0" w:color="auto"/>
                          </w:divBdr>
                          <w:divsChild>
                            <w:div w:id="664287189">
                              <w:marLeft w:val="0"/>
                              <w:marRight w:val="0"/>
                              <w:marTop w:val="0"/>
                              <w:marBottom w:val="0"/>
                              <w:divBdr>
                                <w:top w:val="none" w:sz="0" w:space="0" w:color="auto"/>
                                <w:left w:val="none" w:sz="0" w:space="0" w:color="auto"/>
                                <w:bottom w:val="none" w:sz="0" w:space="0" w:color="auto"/>
                                <w:right w:val="none" w:sz="0" w:space="0" w:color="auto"/>
                              </w:divBdr>
                              <w:divsChild>
                                <w:div w:id="37290202">
                                  <w:marLeft w:val="0"/>
                                  <w:marRight w:val="0"/>
                                  <w:marTop w:val="0"/>
                                  <w:marBottom w:val="0"/>
                                  <w:divBdr>
                                    <w:top w:val="none" w:sz="0" w:space="0" w:color="auto"/>
                                    <w:left w:val="none" w:sz="0" w:space="0" w:color="auto"/>
                                    <w:bottom w:val="none" w:sz="0" w:space="0" w:color="auto"/>
                                    <w:right w:val="none" w:sz="0" w:space="0" w:color="auto"/>
                                  </w:divBdr>
                                  <w:divsChild>
                                    <w:div w:id="984503341">
                                      <w:marLeft w:val="0"/>
                                      <w:marRight w:val="0"/>
                                      <w:marTop w:val="0"/>
                                      <w:marBottom w:val="0"/>
                                      <w:divBdr>
                                        <w:top w:val="none" w:sz="0" w:space="0" w:color="auto"/>
                                        <w:left w:val="none" w:sz="0" w:space="0" w:color="auto"/>
                                        <w:bottom w:val="none" w:sz="0" w:space="0" w:color="auto"/>
                                        <w:right w:val="none" w:sz="0" w:space="0" w:color="auto"/>
                                      </w:divBdr>
                                    </w:div>
                                    <w:div w:id="1069117409">
                                      <w:marLeft w:val="0"/>
                                      <w:marRight w:val="0"/>
                                      <w:marTop w:val="0"/>
                                      <w:marBottom w:val="0"/>
                                      <w:divBdr>
                                        <w:top w:val="none" w:sz="0" w:space="0" w:color="auto"/>
                                        <w:left w:val="none" w:sz="0" w:space="0" w:color="auto"/>
                                        <w:bottom w:val="none" w:sz="0" w:space="0" w:color="auto"/>
                                        <w:right w:val="none" w:sz="0" w:space="0" w:color="auto"/>
                                      </w:divBdr>
                                      <w:divsChild>
                                        <w:div w:id="643504251">
                                          <w:marLeft w:val="0"/>
                                          <w:marRight w:val="0"/>
                                          <w:marTop w:val="0"/>
                                          <w:marBottom w:val="0"/>
                                          <w:divBdr>
                                            <w:top w:val="none" w:sz="0" w:space="0" w:color="auto"/>
                                            <w:left w:val="none" w:sz="0" w:space="0" w:color="auto"/>
                                            <w:bottom w:val="none" w:sz="0" w:space="0" w:color="auto"/>
                                            <w:right w:val="none" w:sz="0" w:space="0" w:color="auto"/>
                                          </w:divBdr>
                                        </w:div>
                                      </w:divsChild>
                                    </w:div>
                                    <w:div w:id="1427000951">
                                      <w:marLeft w:val="0"/>
                                      <w:marRight w:val="0"/>
                                      <w:marTop w:val="0"/>
                                      <w:marBottom w:val="0"/>
                                      <w:divBdr>
                                        <w:top w:val="none" w:sz="0" w:space="0" w:color="auto"/>
                                        <w:left w:val="none" w:sz="0" w:space="0" w:color="auto"/>
                                        <w:bottom w:val="none" w:sz="0" w:space="0" w:color="auto"/>
                                        <w:right w:val="none" w:sz="0" w:space="0" w:color="auto"/>
                                      </w:divBdr>
                                      <w:divsChild>
                                        <w:div w:id="278489251">
                                          <w:marLeft w:val="0"/>
                                          <w:marRight w:val="0"/>
                                          <w:marTop w:val="0"/>
                                          <w:marBottom w:val="0"/>
                                          <w:divBdr>
                                            <w:top w:val="none" w:sz="0" w:space="0" w:color="auto"/>
                                            <w:left w:val="none" w:sz="0" w:space="0" w:color="auto"/>
                                            <w:bottom w:val="none" w:sz="0" w:space="0" w:color="auto"/>
                                            <w:right w:val="none" w:sz="0" w:space="0" w:color="auto"/>
                                          </w:divBdr>
                                        </w:div>
                                      </w:divsChild>
                                    </w:div>
                                    <w:div w:id="1530335450">
                                      <w:marLeft w:val="0"/>
                                      <w:marRight w:val="0"/>
                                      <w:marTop w:val="0"/>
                                      <w:marBottom w:val="0"/>
                                      <w:divBdr>
                                        <w:top w:val="none" w:sz="0" w:space="0" w:color="auto"/>
                                        <w:left w:val="none" w:sz="0" w:space="0" w:color="auto"/>
                                        <w:bottom w:val="none" w:sz="0" w:space="0" w:color="auto"/>
                                        <w:right w:val="none" w:sz="0" w:space="0" w:color="auto"/>
                                      </w:divBdr>
                                    </w:div>
                                    <w:div w:id="1826629299">
                                      <w:marLeft w:val="0"/>
                                      <w:marRight w:val="0"/>
                                      <w:marTop w:val="0"/>
                                      <w:marBottom w:val="0"/>
                                      <w:divBdr>
                                        <w:top w:val="none" w:sz="0" w:space="0" w:color="auto"/>
                                        <w:left w:val="none" w:sz="0" w:space="0" w:color="auto"/>
                                        <w:bottom w:val="none" w:sz="0" w:space="0" w:color="auto"/>
                                        <w:right w:val="none" w:sz="0" w:space="0" w:color="auto"/>
                                      </w:divBdr>
                                      <w:divsChild>
                                        <w:div w:id="80182143">
                                          <w:marLeft w:val="0"/>
                                          <w:marRight w:val="0"/>
                                          <w:marTop w:val="0"/>
                                          <w:marBottom w:val="0"/>
                                          <w:divBdr>
                                            <w:top w:val="none" w:sz="0" w:space="0" w:color="auto"/>
                                            <w:left w:val="none" w:sz="0" w:space="0" w:color="auto"/>
                                            <w:bottom w:val="none" w:sz="0" w:space="0" w:color="auto"/>
                                            <w:right w:val="none" w:sz="0" w:space="0" w:color="auto"/>
                                          </w:divBdr>
                                        </w:div>
                                        <w:div w:id="470563000">
                                          <w:marLeft w:val="0"/>
                                          <w:marRight w:val="0"/>
                                          <w:marTop w:val="0"/>
                                          <w:marBottom w:val="0"/>
                                          <w:divBdr>
                                            <w:top w:val="none" w:sz="0" w:space="0" w:color="auto"/>
                                            <w:left w:val="none" w:sz="0" w:space="0" w:color="auto"/>
                                            <w:bottom w:val="none" w:sz="0" w:space="0" w:color="auto"/>
                                            <w:right w:val="none" w:sz="0" w:space="0" w:color="auto"/>
                                          </w:divBdr>
                                        </w:div>
                                      </w:divsChild>
                                    </w:div>
                                    <w:div w:id="2004702029">
                                      <w:marLeft w:val="0"/>
                                      <w:marRight w:val="0"/>
                                      <w:marTop w:val="0"/>
                                      <w:marBottom w:val="0"/>
                                      <w:divBdr>
                                        <w:top w:val="none" w:sz="0" w:space="0" w:color="auto"/>
                                        <w:left w:val="none" w:sz="0" w:space="0" w:color="auto"/>
                                        <w:bottom w:val="none" w:sz="0" w:space="0" w:color="auto"/>
                                        <w:right w:val="none" w:sz="0" w:space="0" w:color="auto"/>
                                      </w:divBdr>
                                    </w:div>
                                    <w:div w:id="201545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095943">
      <w:bodyDiv w:val="1"/>
      <w:marLeft w:val="0"/>
      <w:marRight w:val="0"/>
      <w:marTop w:val="0"/>
      <w:marBottom w:val="0"/>
      <w:divBdr>
        <w:top w:val="none" w:sz="0" w:space="0" w:color="auto"/>
        <w:left w:val="none" w:sz="0" w:space="0" w:color="auto"/>
        <w:bottom w:val="none" w:sz="0" w:space="0" w:color="auto"/>
        <w:right w:val="none" w:sz="0" w:space="0" w:color="auto"/>
      </w:divBdr>
    </w:div>
    <w:div w:id="765686834">
      <w:bodyDiv w:val="1"/>
      <w:marLeft w:val="0"/>
      <w:marRight w:val="0"/>
      <w:marTop w:val="0"/>
      <w:marBottom w:val="0"/>
      <w:divBdr>
        <w:top w:val="none" w:sz="0" w:space="0" w:color="auto"/>
        <w:left w:val="none" w:sz="0" w:space="0" w:color="auto"/>
        <w:bottom w:val="none" w:sz="0" w:space="0" w:color="auto"/>
        <w:right w:val="none" w:sz="0" w:space="0" w:color="auto"/>
      </w:divBdr>
      <w:divsChild>
        <w:div w:id="439959441">
          <w:marLeft w:val="0"/>
          <w:marRight w:val="0"/>
          <w:marTop w:val="0"/>
          <w:marBottom w:val="0"/>
          <w:divBdr>
            <w:top w:val="none" w:sz="0" w:space="0" w:color="auto"/>
            <w:left w:val="none" w:sz="0" w:space="0" w:color="auto"/>
            <w:bottom w:val="none" w:sz="0" w:space="0" w:color="auto"/>
            <w:right w:val="none" w:sz="0" w:space="0" w:color="auto"/>
          </w:divBdr>
          <w:divsChild>
            <w:div w:id="1104495464">
              <w:marLeft w:val="0"/>
              <w:marRight w:val="0"/>
              <w:marTop w:val="0"/>
              <w:marBottom w:val="0"/>
              <w:divBdr>
                <w:top w:val="none" w:sz="0" w:space="0" w:color="auto"/>
                <w:left w:val="none" w:sz="0" w:space="0" w:color="auto"/>
                <w:bottom w:val="none" w:sz="0" w:space="0" w:color="auto"/>
                <w:right w:val="none" w:sz="0" w:space="0" w:color="auto"/>
              </w:divBdr>
              <w:divsChild>
                <w:div w:id="1743211537">
                  <w:marLeft w:val="0"/>
                  <w:marRight w:val="0"/>
                  <w:marTop w:val="0"/>
                  <w:marBottom w:val="0"/>
                  <w:divBdr>
                    <w:top w:val="none" w:sz="0" w:space="0" w:color="auto"/>
                    <w:left w:val="none" w:sz="0" w:space="0" w:color="auto"/>
                    <w:bottom w:val="none" w:sz="0" w:space="0" w:color="auto"/>
                    <w:right w:val="none" w:sz="0" w:space="0" w:color="auto"/>
                  </w:divBdr>
                  <w:divsChild>
                    <w:div w:id="1135443145">
                      <w:marLeft w:val="0"/>
                      <w:marRight w:val="0"/>
                      <w:marTop w:val="0"/>
                      <w:marBottom w:val="0"/>
                      <w:divBdr>
                        <w:top w:val="none" w:sz="0" w:space="0" w:color="auto"/>
                        <w:left w:val="none" w:sz="0" w:space="0" w:color="auto"/>
                        <w:bottom w:val="none" w:sz="0" w:space="0" w:color="auto"/>
                        <w:right w:val="none" w:sz="0" w:space="0" w:color="auto"/>
                      </w:divBdr>
                      <w:divsChild>
                        <w:div w:id="1749811342">
                          <w:marLeft w:val="0"/>
                          <w:marRight w:val="0"/>
                          <w:marTop w:val="0"/>
                          <w:marBottom w:val="0"/>
                          <w:divBdr>
                            <w:top w:val="none" w:sz="0" w:space="0" w:color="auto"/>
                            <w:left w:val="none" w:sz="0" w:space="0" w:color="auto"/>
                            <w:bottom w:val="none" w:sz="0" w:space="0" w:color="auto"/>
                            <w:right w:val="none" w:sz="0" w:space="0" w:color="auto"/>
                          </w:divBdr>
                          <w:divsChild>
                            <w:div w:id="1473979297">
                              <w:marLeft w:val="0"/>
                              <w:marRight w:val="0"/>
                              <w:marTop w:val="0"/>
                              <w:marBottom w:val="0"/>
                              <w:divBdr>
                                <w:top w:val="none" w:sz="0" w:space="0" w:color="auto"/>
                                <w:left w:val="none" w:sz="0" w:space="0" w:color="auto"/>
                                <w:bottom w:val="none" w:sz="0" w:space="0" w:color="auto"/>
                                <w:right w:val="none" w:sz="0" w:space="0" w:color="auto"/>
                              </w:divBdr>
                              <w:divsChild>
                                <w:div w:id="1997106076">
                                  <w:marLeft w:val="0"/>
                                  <w:marRight w:val="0"/>
                                  <w:marTop w:val="0"/>
                                  <w:marBottom w:val="0"/>
                                  <w:divBdr>
                                    <w:top w:val="none" w:sz="0" w:space="0" w:color="auto"/>
                                    <w:left w:val="none" w:sz="0" w:space="0" w:color="auto"/>
                                    <w:bottom w:val="none" w:sz="0" w:space="0" w:color="auto"/>
                                    <w:right w:val="none" w:sz="0" w:space="0" w:color="auto"/>
                                  </w:divBdr>
                                  <w:divsChild>
                                    <w:div w:id="5270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996393">
      <w:bodyDiv w:val="1"/>
      <w:marLeft w:val="0"/>
      <w:marRight w:val="0"/>
      <w:marTop w:val="0"/>
      <w:marBottom w:val="0"/>
      <w:divBdr>
        <w:top w:val="none" w:sz="0" w:space="0" w:color="auto"/>
        <w:left w:val="none" w:sz="0" w:space="0" w:color="auto"/>
        <w:bottom w:val="none" w:sz="0" w:space="0" w:color="auto"/>
        <w:right w:val="none" w:sz="0" w:space="0" w:color="auto"/>
      </w:divBdr>
      <w:divsChild>
        <w:div w:id="1078555307">
          <w:marLeft w:val="0"/>
          <w:marRight w:val="0"/>
          <w:marTop w:val="0"/>
          <w:marBottom w:val="0"/>
          <w:divBdr>
            <w:top w:val="none" w:sz="0" w:space="0" w:color="auto"/>
            <w:left w:val="none" w:sz="0" w:space="0" w:color="auto"/>
            <w:bottom w:val="none" w:sz="0" w:space="0" w:color="auto"/>
            <w:right w:val="none" w:sz="0" w:space="0" w:color="auto"/>
          </w:divBdr>
          <w:divsChild>
            <w:div w:id="2059275944">
              <w:marLeft w:val="0"/>
              <w:marRight w:val="0"/>
              <w:marTop w:val="0"/>
              <w:marBottom w:val="0"/>
              <w:divBdr>
                <w:top w:val="none" w:sz="0" w:space="0" w:color="auto"/>
                <w:left w:val="none" w:sz="0" w:space="0" w:color="auto"/>
                <w:bottom w:val="none" w:sz="0" w:space="0" w:color="auto"/>
                <w:right w:val="none" w:sz="0" w:space="0" w:color="auto"/>
              </w:divBdr>
              <w:divsChild>
                <w:div w:id="188809312">
                  <w:marLeft w:val="0"/>
                  <w:marRight w:val="0"/>
                  <w:marTop w:val="0"/>
                  <w:marBottom w:val="0"/>
                  <w:divBdr>
                    <w:top w:val="none" w:sz="0" w:space="0" w:color="auto"/>
                    <w:left w:val="none" w:sz="0" w:space="0" w:color="auto"/>
                    <w:bottom w:val="none" w:sz="0" w:space="0" w:color="auto"/>
                    <w:right w:val="none" w:sz="0" w:space="0" w:color="auto"/>
                  </w:divBdr>
                  <w:divsChild>
                    <w:div w:id="1274174164">
                      <w:marLeft w:val="0"/>
                      <w:marRight w:val="0"/>
                      <w:marTop w:val="0"/>
                      <w:marBottom w:val="0"/>
                      <w:divBdr>
                        <w:top w:val="none" w:sz="0" w:space="0" w:color="auto"/>
                        <w:left w:val="none" w:sz="0" w:space="0" w:color="auto"/>
                        <w:bottom w:val="none" w:sz="0" w:space="0" w:color="auto"/>
                        <w:right w:val="none" w:sz="0" w:space="0" w:color="auto"/>
                      </w:divBdr>
                      <w:divsChild>
                        <w:div w:id="180821827">
                          <w:marLeft w:val="0"/>
                          <w:marRight w:val="0"/>
                          <w:marTop w:val="0"/>
                          <w:marBottom w:val="0"/>
                          <w:divBdr>
                            <w:top w:val="none" w:sz="0" w:space="0" w:color="auto"/>
                            <w:left w:val="none" w:sz="0" w:space="0" w:color="auto"/>
                            <w:bottom w:val="none" w:sz="0" w:space="0" w:color="auto"/>
                            <w:right w:val="none" w:sz="0" w:space="0" w:color="auto"/>
                          </w:divBdr>
                          <w:divsChild>
                            <w:div w:id="1817798373">
                              <w:marLeft w:val="0"/>
                              <w:marRight w:val="0"/>
                              <w:marTop w:val="0"/>
                              <w:marBottom w:val="0"/>
                              <w:divBdr>
                                <w:top w:val="none" w:sz="0" w:space="0" w:color="auto"/>
                                <w:left w:val="none" w:sz="0" w:space="0" w:color="auto"/>
                                <w:bottom w:val="none" w:sz="0" w:space="0" w:color="auto"/>
                                <w:right w:val="none" w:sz="0" w:space="0" w:color="auto"/>
                              </w:divBdr>
                              <w:divsChild>
                                <w:div w:id="1898666880">
                                  <w:marLeft w:val="0"/>
                                  <w:marRight w:val="0"/>
                                  <w:marTop w:val="0"/>
                                  <w:marBottom w:val="0"/>
                                  <w:divBdr>
                                    <w:top w:val="none" w:sz="0" w:space="0" w:color="auto"/>
                                    <w:left w:val="none" w:sz="0" w:space="0" w:color="auto"/>
                                    <w:bottom w:val="none" w:sz="0" w:space="0" w:color="auto"/>
                                    <w:right w:val="none" w:sz="0" w:space="0" w:color="auto"/>
                                  </w:divBdr>
                                  <w:divsChild>
                                    <w:div w:id="590509784">
                                      <w:marLeft w:val="0"/>
                                      <w:marRight w:val="0"/>
                                      <w:marTop w:val="0"/>
                                      <w:marBottom w:val="0"/>
                                      <w:divBdr>
                                        <w:top w:val="none" w:sz="0" w:space="0" w:color="auto"/>
                                        <w:left w:val="none" w:sz="0" w:space="0" w:color="auto"/>
                                        <w:bottom w:val="none" w:sz="0" w:space="0" w:color="auto"/>
                                        <w:right w:val="none" w:sz="0" w:space="0" w:color="auto"/>
                                      </w:divBdr>
                                      <w:divsChild>
                                        <w:div w:id="18000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972585">
      <w:bodyDiv w:val="1"/>
      <w:marLeft w:val="0"/>
      <w:marRight w:val="0"/>
      <w:marTop w:val="0"/>
      <w:marBottom w:val="0"/>
      <w:divBdr>
        <w:top w:val="none" w:sz="0" w:space="0" w:color="auto"/>
        <w:left w:val="none" w:sz="0" w:space="0" w:color="auto"/>
        <w:bottom w:val="none" w:sz="0" w:space="0" w:color="auto"/>
        <w:right w:val="none" w:sz="0" w:space="0" w:color="auto"/>
      </w:divBdr>
      <w:divsChild>
        <w:div w:id="1151017003">
          <w:marLeft w:val="0"/>
          <w:marRight w:val="0"/>
          <w:marTop w:val="0"/>
          <w:marBottom w:val="0"/>
          <w:divBdr>
            <w:top w:val="none" w:sz="0" w:space="0" w:color="auto"/>
            <w:left w:val="none" w:sz="0" w:space="0" w:color="auto"/>
            <w:bottom w:val="none" w:sz="0" w:space="0" w:color="auto"/>
            <w:right w:val="none" w:sz="0" w:space="0" w:color="auto"/>
          </w:divBdr>
          <w:divsChild>
            <w:div w:id="506790857">
              <w:marLeft w:val="0"/>
              <w:marRight w:val="0"/>
              <w:marTop w:val="0"/>
              <w:marBottom w:val="0"/>
              <w:divBdr>
                <w:top w:val="none" w:sz="0" w:space="0" w:color="auto"/>
                <w:left w:val="none" w:sz="0" w:space="0" w:color="auto"/>
                <w:bottom w:val="none" w:sz="0" w:space="0" w:color="auto"/>
                <w:right w:val="none" w:sz="0" w:space="0" w:color="auto"/>
              </w:divBdr>
              <w:divsChild>
                <w:div w:id="7951213">
                  <w:marLeft w:val="0"/>
                  <w:marRight w:val="0"/>
                  <w:marTop w:val="0"/>
                  <w:marBottom w:val="0"/>
                  <w:divBdr>
                    <w:top w:val="none" w:sz="0" w:space="0" w:color="auto"/>
                    <w:left w:val="none" w:sz="0" w:space="0" w:color="auto"/>
                    <w:bottom w:val="none" w:sz="0" w:space="0" w:color="auto"/>
                    <w:right w:val="none" w:sz="0" w:space="0" w:color="auto"/>
                  </w:divBdr>
                  <w:divsChild>
                    <w:div w:id="1739935693">
                      <w:marLeft w:val="0"/>
                      <w:marRight w:val="0"/>
                      <w:marTop w:val="0"/>
                      <w:marBottom w:val="0"/>
                      <w:divBdr>
                        <w:top w:val="none" w:sz="0" w:space="0" w:color="auto"/>
                        <w:left w:val="none" w:sz="0" w:space="0" w:color="auto"/>
                        <w:bottom w:val="none" w:sz="0" w:space="0" w:color="auto"/>
                        <w:right w:val="none" w:sz="0" w:space="0" w:color="auto"/>
                      </w:divBdr>
                      <w:divsChild>
                        <w:div w:id="1567033320">
                          <w:marLeft w:val="0"/>
                          <w:marRight w:val="0"/>
                          <w:marTop w:val="0"/>
                          <w:marBottom w:val="0"/>
                          <w:divBdr>
                            <w:top w:val="none" w:sz="0" w:space="0" w:color="auto"/>
                            <w:left w:val="none" w:sz="0" w:space="0" w:color="auto"/>
                            <w:bottom w:val="none" w:sz="0" w:space="0" w:color="auto"/>
                            <w:right w:val="none" w:sz="0" w:space="0" w:color="auto"/>
                          </w:divBdr>
                          <w:divsChild>
                            <w:div w:id="928663152">
                              <w:marLeft w:val="0"/>
                              <w:marRight w:val="0"/>
                              <w:marTop w:val="0"/>
                              <w:marBottom w:val="0"/>
                              <w:divBdr>
                                <w:top w:val="none" w:sz="0" w:space="0" w:color="auto"/>
                                <w:left w:val="none" w:sz="0" w:space="0" w:color="auto"/>
                                <w:bottom w:val="none" w:sz="0" w:space="0" w:color="auto"/>
                                <w:right w:val="none" w:sz="0" w:space="0" w:color="auto"/>
                              </w:divBdr>
                              <w:divsChild>
                                <w:div w:id="2138451239">
                                  <w:marLeft w:val="0"/>
                                  <w:marRight w:val="0"/>
                                  <w:marTop w:val="0"/>
                                  <w:marBottom w:val="0"/>
                                  <w:divBdr>
                                    <w:top w:val="none" w:sz="0" w:space="0" w:color="auto"/>
                                    <w:left w:val="none" w:sz="0" w:space="0" w:color="auto"/>
                                    <w:bottom w:val="none" w:sz="0" w:space="0" w:color="auto"/>
                                    <w:right w:val="none" w:sz="0" w:space="0" w:color="auto"/>
                                  </w:divBdr>
                                  <w:divsChild>
                                    <w:div w:id="9840152">
                                      <w:marLeft w:val="0"/>
                                      <w:marRight w:val="0"/>
                                      <w:marTop w:val="0"/>
                                      <w:marBottom w:val="0"/>
                                      <w:divBdr>
                                        <w:top w:val="none" w:sz="0" w:space="0" w:color="auto"/>
                                        <w:left w:val="none" w:sz="0" w:space="0" w:color="auto"/>
                                        <w:bottom w:val="none" w:sz="0" w:space="0" w:color="auto"/>
                                        <w:right w:val="none" w:sz="0" w:space="0" w:color="auto"/>
                                      </w:divBdr>
                                      <w:divsChild>
                                        <w:div w:id="399255795">
                                          <w:marLeft w:val="0"/>
                                          <w:marRight w:val="0"/>
                                          <w:marTop w:val="0"/>
                                          <w:marBottom w:val="0"/>
                                          <w:divBdr>
                                            <w:top w:val="none" w:sz="0" w:space="0" w:color="auto"/>
                                            <w:left w:val="none" w:sz="0" w:space="0" w:color="auto"/>
                                            <w:bottom w:val="none" w:sz="0" w:space="0" w:color="auto"/>
                                            <w:right w:val="none" w:sz="0" w:space="0" w:color="auto"/>
                                          </w:divBdr>
                                          <w:divsChild>
                                            <w:div w:id="12767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651011">
      <w:bodyDiv w:val="1"/>
      <w:marLeft w:val="0"/>
      <w:marRight w:val="0"/>
      <w:marTop w:val="0"/>
      <w:marBottom w:val="0"/>
      <w:divBdr>
        <w:top w:val="none" w:sz="0" w:space="0" w:color="auto"/>
        <w:left w:val="none" w:sz="0" w:space="0" w:color="auto"/>
        <w:bottom w:val="none" w:sz="0" w:space="0" w:color="auto"/>
        <w:right w:val="none" w:sz="0" w:space="0" w:color="auto"/>
      </w:divBdr>
    </w:div>
    <w:div w:id="931477557">
      <w:bodyDiv w:val="1"/>
      <w:marLeft w:val="0"/>
      <w:marRight w:val="0"/>
      <w:marTop w:val="0"/>
      <w:marBottom w:val="0"/>
      <w:divBdr>
        <w:top w:val="none" w:sz="0" w:space="0" w:color="auto"/>
        <w:left w:val="none" w:sz="0" w:space="0" w:color="auto"/>
        <w:bottom w:val="none" w:sz="0" w:space="0" w:color="auto"/>
        <w:right w:val="none" w:sz="0" w:space="0" w:color="auto"/>
      </w:divBdr>
    </w:div>
    <w:div w:id="932126189">
      <w:bodyDiv w:val="1"/>
      <w:marLeft w:val="0"/>
      <w:marRight w:val="0"/>
      <w:marTop w:val="0"/>
      <w:marBottom w:val="0"/>
      <w:divBdr>
        <w:top w:val="none" w:sz="0" w:space="0" w:color="auto"/>
        <w:left w:val="none" w:sz="0" w:space="0" w:color="auto"/>
        <w:bottom w:val="none" w:sz="0" w:space="0" w:color="auto"/>
        <w:right w:val="none" w:sz="0" w:space="0" w:color="auto"/>
      </w:divBdr>
      <w:divsChild>
        <w:div w:id="286401216">
          <w:marLeft w:val="0"/>
          <w:marRight w:val="0"/>
          <w:marTop w:val="0"/>
          <w:marBottom w:val="0"/>
          <w:divBdr>
            <w:top w:val="none" w:sz="0" w:space="0" w:color="auto"/>
            <w:left w:val="none" w:sz="0" w:space="0" w:color="auto"/>
            <w:bottom w:val="none" w:sz="0" w:space="0" w:color="auto"/>
            <w:right w:val="none" w:sz="0" w:space="0" w:color="auto"/>
          </w:divBdr>
          <w:divsChild>
            <w:div w:id="1000887589">
              <w:marLeft w:val="0"/>
              <w:marRight w:val="0"/>
              <w:marTop w:val="0"/>
              <w:marBottom w:val="0"/>
              <w:divBdr>
                <w:top w:val="none" w:sz="0" w:space="0" w:color="auto"/>
                <w:left w:val="none" w:sz="0" w:space="0" w:color="auto"/>
                <w:bottom w:val="none" w:sz="0" w:space="0" w:color="auto"/>
                <w:right w:val="none" w:sz="0" w:space="0" w:color="auto"/>
              </w:divBdr>
              <w:divsChild>
                <w:div w:id="1803767465">
                  <w:marLeft w:val="0"/>
                  <w:marRight w:val="0"/>
                  <w:marTop w:val="0"/>
                  <w:marBottom w:val="0"/>
                  <w:divBdr>
                    <w:top w:val="none" w:sz="0" w:space="0" w:color="auto"/>
                    <w:left w:val="none" w:sz="0" w:space="0" w:color="auto"/>
                    <w:bottom w:val="none" w:sz="0" w:space="0" w:color="auto"/>
                    <w:right w:val="none" w:sz="0" w:space="0" w:color="auto"/>
                  </w:divBdr>
                  <w:divsChild>
                    <w:div w:id="1029648086">
                      <w:marLeft w:val="0"/>
                      <w:marRight w:val="0"/>
                      <w:marTop w:val="0"/>
                      <w:marBottom w:val="0"/>
                      <w:divBdr>
                        <w:top w:val="none" w:sz="0" w:space="0" w:color="auto"/>
                        <w:left w:val="none" w:sz="0" w:space="0" w:color="auto"/>
                        <w:bottom w:val="none" w:sz="0" w:space="0" w:color="auto"/>
                        <w:right w:val="none" w:sz="0" w:space="0" w:color="auto"/>
                      </w:divBdr>
                      <w:divsChild>
                        <w:div w:id="1430737657">
                          <w:marLeft w:val="0"/>
                          <w:marRight w:val="0"/>
                          <w:marTop w:val="0"/>
                          <w:marBottom w:val="0"/>
                          <w:divBdr>
                            <w:top w:val="none" w:sz="0" w:space="0" w:color="auto"/>
                            <w:left w:val="none" w:sz="0" w:space="0" w:color="auto"/>
                            <w:bottom w:val="none" w:sz="0" w:space="0" w:color="auto"/>
                            <w:right w:val="none" w:sz="0" w:space="0" w:color="auto"/>
                          </w:divBdr>
                          <w:divsChild>
                            <w:div w:id="497695597">
                              <w:marLeft w:val="0"/>
                              <w:marRight w:val="0"/>
                              <w:marTop w:val="0"/>
                              <w:marBottom w:val="0"/>
                              <w:divBdr>
                                <w:top w:val="none" w:sz="0" w:space="0" w:color="auto"/>
                                <w:left w:val="none" w:sz="0" w:space="0" w:color="auto"/>
                                <w:bottom w:val="none" w:sz="0" w:space="0" w:color="auto"/>
                                <w:right w:val="none" w:sz="0" w:space="0" w:color="auto"/>
                              </w:divBdr>
                              <w:divsChild>
                                <w:div w:id="1711152885">
                                  <w:marLeft w:val="0"/>
                                  <w:marRight w:val="0"/>
                                  <w:marTop w:val="0"/>
                                  <w:marBottom w:val="0"/>
                                  <w:divBdr>
                                    <w:top w:val="none" w:sz="0" w:space="0" w:color="auto"/>
                                    <w:left w:val="none" w:sz="0" w:space="0" w:color="auto"/>
                                    <w:bottom w:val="none" w:sz="0" w:space="0" w:color="auto"/>
                                    <w:right w:val="none" w:sz="0" w:space="0" w:color="auto"/>
                                  </w:divBdr>
                                  <w:divsChild>
                                    <w:div w:id="1259751321">
                                      <w:marLeft w:val="0"/>
                                      <w:marRight w:val="0"/>
                                      <w:marTop w:val="0"/>
                                      <w:marBottom w:val="0"/>
                                      <w:divBdr>
                                        <w:top w:val="none" w:sz="0" w:space="0" w:color="auto"/>
                                        <w:left w:val="none" w:sz="0" w:space="0" w:color="auto"/>
                                        <w:bottom w:val="none" w:sz="0" w:space="0" w:color="auto"/>
                                        <w:right w:val="none" w:sz="0" w:space="0" w:color="auto"/>
                                      </w:divBdr>
                                      <w:divsChild>
                                        <w:div w:id="15453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035261">
      <w:bodyDiv w:val="1"/>
      <w:marLeft w:val="0"/>
      <w:marRight w:val="0"/>
      <w:marTop w:val="0"/>
      <w:marBottom w:val="0"/>
      <w:divBdr>
        <w:top w:val="none" w:sz="0" w:space="0" w:color="auto"/>
        <w:left w:val="none" w:sz="0" w:space="0" w:color="auto"/>
        <w:bottom w:val="none" w:sz="0" w:space="0" w:color="auto"/>
        <w:right w:val="none" w:sz="0" w:space="0" w:color="auto"/>
      </w:divBdr>
      <w:divsChild>
        <w:div w:id="329528689">
          <w:marLeft w:val="0"/>
          <w:marRight w:val="0"/>
          <w:marTop w:val="0"/>
          <w:marBottom w:val="0"/>
          <w:divBdr>
            <w:top w:val="none" w:sz="0" w:space="0" w:color="auto"/>
            <w:left w:val="none" w:sz="0" w:space="0" w:color="auto"/>
            <w:bottom w:val="none" w:sz="0" w:space="0" w:color="auto"/>
            <w:right w:val="none" w:sz="0" w:space="0" w:color="auto"/>
          </w:divBdr>
          <w:divsChild>
            <w:div w:id="919028024">
              <w:marLeft w:val="0"/>
              <w:marRight w:val="0"/>
              <w:marTop w:val="0"/>
              <w:marBottom w:val="0"/>
              <w:divBdr>
                <w:top w:val="none" w:sz="0" w:space="0" w:color="auto"/>
                <w:left w:val="none" w:sz="0" w:space="0" w:color="auto"/>
                <w:bottom w:val="none" w:sz="0" w:space="0" w:color="auto"/>
                <w:right w:val="none" w:sz="0" w:space="0" w:color="auto"/>
              </w:divBdr>
              <w:divsChild>
                <w:div w:id="340855570">
                  <w:marLeft w:val="0"/>
                  <w:marRight w:val="0"/>
                  <w:marTop w:val="0"/>
                  <w:marBottom w:val="0"/>
                  <w:divBdr>
                    <w:top w:val="none" w:sz="0" w:space="0" w:color="auto"/>
                    <w:left w:val="none" w:sz="0" w:space="0" w:color="auto"/>
                    <w:bottom w:val="none" w:sz="0" w:space="0" w:color="auto"/>
                    <w:right w:val="none" w:sz="0" w:space="0" w:color="auto"/>
                  </w:divBdr>
                  <w:divsChild>
                    <w:div w:id="150567001">
                      <w:marLeft w:val="0"/>
                      <w:marRight w:val="0"/>
                      <w:marTop w:val="0"/>
                      <w:marBottom w:val="0"/>
                      <w:divBdr>
                        <w:top w:val="none" w:sz="0" w:space="0" w:color="auto"/>
                        <w:left w:val="none" w:sz="0" w:space="0" w:color="auto"/>
                        <w:bottom w:val="none" w:sz="0" w:space="0" w:color="auto"/>
                        <w:right w:val="none" w:sz="0" w:space="0" w:color="auto"/>
                      </w:divBdr>
                      <w:divsChild>
                        <w:div w:id="1211040531">
                          <w:marLeft w:val="0"/>
                          <w:marRight w:val="0"/>
                          <w:marTop w:val="0"/>
                          <w:marBottom w:val="0"/>
                          <w:divBdr>
                            <w:top w:val="none" w:sz="0" w:space="0" w:color="auto"/>
                            <w:left w:val="none" w:sz="0" w:space="0" w:color="auto"/>
                            <w:bottom w:val="none" w:sz="0" w:space="0" w:color="auto"/>
                            <w:right w:val="none" w:sz="0" w:space="0" w:color="auto"/>
                          </w:divBdr>
                          <w:divsChild>
                            <w:div w:id="164513936">
                              <w:marLeft w:val="0"/>
                              <w:marRight w:val="0"/>
                              <w:marTop w:val="0"/>
                              <w:marBottom w:val="0"/>
                              <w:divBdr>
                                <w:top w:val="none" w:sz="0" w:space="0" w:color="auto"/>
                                <w:left w:val="none" w:sz="0" w:space="0" w:color="auto"/>
                                <w:bottom w:val="none" w:sz="0" w:space="0" w:color="auto"/>
                                <w:right w:val="none" w:sz="0" w:space="0" w:color="auto"/>
                              </w:divBdr>
                              <w:divsChild>
                                <w:div w:id="1780030923">
                                  <w:marLeft w:val="0"/>
                                  <w:marRight w:val="0"/>
                                  <w:marTop w:val="0"/>
                                  <w:marBottom w:val="0"/>
                                  <w:divBdr>
                                    <w:top w:val="none" w:sz="0" w:space="0" w:color="auto"/>
                                    <w:left w:val="none" w:sz="0" w:space="0" w:color="auto"/>
                                    <w:bottom w:val="none" w:sz="0" w:space="0" w:color="auto"/>
                                    <w:right w:val="none" w:sz="0" w:space="0" w:color="auto"/>
                                  </w:divBdr>
                                  <w:divsChild>
                                    <w:div w:id="2015649064">
                                      <w:marLeft w:val="0"/>
                                      <w:marRight w:val="0"/>
                                      <w:marTop w:val="0"/>
                                      <w:marBottom w:val="0"/>
                                      <w:divBdr>
                                        <w:top w:val="none" w:sz="0" w:space="0" w:color="auto"/>
                                        <w:left w:val="none" w:sz="0" w:space="0" w:color="auto"/>
                                        <w:bottom w:val="none" w:sz="0" w:space="0" w:color="auto"/>
                                        <w:right w:val="none" w:sz="0" w:space="0" w:color="auto"/>
                                      </w:divBdr>
                                      <w:divsChild>
                                        <w:div w:id="1979609766">
                                          <w:marLeft w:val="0"/>
                                          <w:marRight w:val="0"/>
                                          <w:marTop w:val="0"/>
                                          <w:marBottom w:val="0"/>
                                          <w:divBdr>
                                            <w:top w:val="none" w:sz="0" w:space="0" w:color="auto"/>
                                            <w:left w:val="none" w:sz="0" w:space="0" w:color="auto"/>
                                            <w:bottom w:val="none" w:sz="0" w:space="0" w:color="auto"/>
                                            <w:right w:val="none" w:sz="0" w:space="0" w:color="auto"/>
                                          </w:divBdr>
                                          <w:divsChild>
                                            <w:div w:id="7209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735124">
      <w:bodyDiv w:val="1"/>
      <w:marLeft w:val="0"/>
      <w:marRight w:val="0"/>
      <w:marTop w:val="0"/>
      <w:marBottom w:val="0"/>
      <w:divBdr>
        <w:top w:val="none" w:sz="0" w:space="0" w:color="auto"/>
        <w:left w:val="none" w:sz="0" w:space="0" w:color="auto"/>
        <w:bottom w:val="none" w:sz="0" w:space="0" w:color="auto"/>
        <w:right w:val="none" w:sz="0" w:space="0" w:color="auto"/>
      </w:divBdr>
    </w:div>
    <w:div w:id="1013994160">
      <w:bodyDiv w:val="1"/>
      <w:marLeft w:val="0"/>
      <w:marRight w:val="0"/>
      <w:marTop w:val="0"/>
      <w:marBottom w:val="0"/>
      <w:divBdr>
        <w:top w:val="none" w:sz="0" w:space="0" w:color="auto"/>
        <w:left w:val="none" w:sz="0" w:space="0" w:color="auto"/>
        <w:bottom w:val="none" w:sz="0" w:space="0" w:color="auto"/>
        <w:right w:val="none" w:sz="0" w:space="0" w:color="auto"/>
      </w:divBdr>
      <w:divsChild>
        <w:div w:id="784347878">
          <w:marLeft w:val="0"/>
          <w:marRight w:val="0"/>
          <w:marTop w:val="0"/>
          <w:marBottom w:val="0"/>
          <w:divBdr>
            <w:top w:val="none" w:sz="0" w:space="0" w:color="auto"/>
            <w:left w:val="none" w:sz="0" w:space="0" w:color="auto"/>
            <w:bottom w:val="none" w:sz="0" w:space="0" w:color="auto"/>
            <w:right w:val="none" w:sz="0" w:space="0" w:color="auto"/>
          </w:divBdr>
          <w:divsChild>
            <w:div w:id="1114250727">
              <w:marLeft w:val="0"/>
              <w:marRight w:val="0"/>
              <w:marTop w:val="0"/>
              <w:marBottom w:val="0"/>
              <w:divBdr>
                <w:top w:val="none" w:sz="0" w:space="0" w:color="auto"/>
                <w:left w:val="none" w:sz="0" w:space="0" w:color="auto"/>
                <w:bottom w:val="none" w:sz="0" w:space="0" w:color="auto"/>
                <w:right w:val="none" w:sz="0" w:space="0" w:color="auto"/>
              </w:divBdr>
              <w:divsChild>
                <w:div w:id="1545873219">
                  <w:marLeft w:val="0"/>
                  <w:marRight w:val="0"/>
                  <w:marTop w:val="0"/>
                  <w:marBottom w:val="0"/>
                  <w:divBdr>
                    <w:top w:val="none" w:sz="0" w:space="0" w:color="auto"/>
                    <w:left w:val="none" w:sz="0" w:space="0" w:color="auto"/>
                    <w:bottom w:val="none" w:sz="0" w:space="0" w:color="auto"/>
                    <w:right w:val="none" w:sz="0" w:space="0" w:color="auto"/>
                  </w:divBdr>
                  <w:divsChild>
                    <w:div w:id="663244568">
                      <w:marLeft w:val="0"/>
                      <w:marRight w:val="0"/>
                      <w:marTop w:val="0"/>
                      <w:marBottom w:val="0"/>
                      <w:divBdr>
                        <w:top w:val="none" w:sz="0" w:space="0" w:color="auto"/>
                        <w:left w:val="none" w:sz="0" w:space="0" w:color="auto"/>
                        <w:bottom w:val="none" w:sz="0" w:space="0" w:color="auto"/>
                        <w:right w:val="none" w:sz="0" w:space="0" w:color="auto"/>
                      </w:divBdr>
                      <w:divsChild>
                        <w:div w:id="2083598791">
                          <w:marLeft w:val="0"/>
                          <w:marRight w:val="0"/>
                          <w:marTop w:val="0"/>
                          <w:marBottom w:val="0"/>
                          <w:divBdr>
                            <w:top w:val="none" w:sz="0" w:space="0" w:color="auto"/>
                            <w:left w:val="none" w:sz="0" w:space="0" w:color="auto"/>
                            <w:bottom w:val="none" w:sz="0" w:space="0" w:color="auto"/>
                            <w:right w:val="none" w:sz="0" w:space="0" w:color="auto"/>
                          </w:divBdr>
                          <w:divsChild>
                            <w:div w:id="355470877">
                              <w:marLeft w:val="0"/>
                              <w:marRight w:val="0"/>
                              <w:marTop w:val="0"/>
                              <w:marBottom w:val="0"/>
                              <w:divBdr>
                                <w:top w:val="none" w:sz="0" w:space="0" w:color="auto"/>
                                <w:left w:val="none" w:sz="0" w:space="0" w:color="auto"/>
                                <w:bottom w:val="none" w:sz="0" w:space="0" w:color="auto"/>
                                <w:right w:val="none" w:sz="0" w:space="0" w:color="auto"/>
                              </w:divBdr>
                              <w:divsChild>
                                <w:div w:id="1729500926">
                                  <w:marLeft w:val="0"/>
                                  <w:marRight w:val="0"/>
                                  <w:marTop w:val="0"/>
                                  <w:marBottom w:val="0"/>
                                  <w:divBdr>
                                    <w:top w:val="none" w:sz="0" w:space="0" w:color="auto"/>
                                    <w:left w:val="none" w:sz="0" w:space="0" w:color="auto"/>
                                    <w:bottom w:val="none" w:sz="0" w:space="0" w:color="auto"/>
                                    <w:right w:val="none" w:sz="0" w:space="0" w:color="auto"/>
                                  </w:divBdr>
                                  <w:divsChild>
                                    <w:div w:id="1253465571">
                                      <w:marLeft w:val="0"/>
                                      <w:marRight w:val="0"/>
                                      <w:marTop w:val="0"/>
                                      <w:marBottom w:val="0"/>
                                      <w:divBdr>
                                        <w:top w:val="none" w:sz="0" w:space="0" w:color="auto"/>
                                        <w:left w:val="none" w:sz="0" w:space="0" w:color="auto"/>
                                        <w:bottom w:val="none" w:sz="0" w:space="0" w:color="auto"/>
                                        <w:right w:val="none" w:sz="0" w:space="0" w:color="auto"/>
                                      </w:divBdr>
                                      <w:divsChild>
                                        <w:div w:id="1691025416">
                                          <w:marLeft w:val="0"/>
                                          <w:marRight w:val="0"/>
                                          <w:marTop w:val="0"/>
                                          <w:marBottom w:val="0"/>
                                          <w:divBdr>
                                            <w:top w:val="none" w:sz="0" w:space="0" w:color="auto"/>
                                            <w:left w:val="none" w:sz="0" w:space="0" w:color="auto"/>
                                            <w:bottom w:val="none" w:sz="0" w:space="0" w:color="auto"/>
                                            <w:right w:val="none" w:sz="0" w:space="0" w:color="auto"/>
                                          </w:divBdr>
                                          <w:divsChild>
                                            <w:div w:id="20255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699674">
      <w:bodyDiv w:val="1"/>
      <w:marLeft w:val="0"/>
      <w:marRight w:val="0"/>
      <w:marTop w:val="0"/>
      <w:marBottom w:val="0"/>
      <w:divBdr>
        <w:top w:val="none" w:sz="0" w:space="0" w:color="auto"/>
        <w:left w:val="none" w:sz="0" w:space="0" w:color="auto"/>
        <w:bottom w:val="none" w:sz="0" w:space="0" w:color="auto"/>
        <w:right w:val="none" w:sz="0" w:space="0" w:color="auto"/>
      </w:divBdr>
      <w:divsChild>
        <w:div w:id="647439641">
          <w:marLeft w:val="0"/>
          <w:marRight w:val="0"/>
          <w:marTop w:val="0"/>
          <w:marBottom w:val="0"/>
          <w:divBdr>
            <w:top w:val="none" w:sz="0" w:space="0" w:color="auto"/>
            <w:left w:val="none" w:sz="0" w:space="0" w:color="auto"/>
            <w:bottom w:val="none" w:sz="0" w:space="0" w:color="auto"/>
            <w:right w:val="none" w:sz="0" w:space="0" w:color="auto"/>
          </w:divBdr>
          <w:divsChild>
            <w:div w:id="1986663343">
              <w:marLeft w:val="0"/>
              <w:marRight w:val="0"/>
              <w:marTop w:val="0"/>
              <w:marBottom w:val="0"/>
              <w:divBdr>
                <w:top w:val="none" w:sz="0" w:space="0" w:color="auto"/>
                <w:left w:val="none" w:sz="0" w:space="0" w:color="auto"/>
                <w:bottom w:val="none" w:sz="0" w:space="0" w:color="auto"/>
                <w:right w:val="none" w:sz="0" w:space="0" w:color="auto"/>
              </w:divBdr>
              <w:divsChild>
                <w:div w:id="312877612">
                  <w:marLeft w:val="0"/>
                  <w:marRight w:val="0"/>
                  <w:marTop w:val="0"/>
                  <w:marBottom w:val="0"/>
                  <w:divBdr>
                    <w:top w:val="none" w:sz="0" w:space="0" w:color="auto"/>
                    <w:left w:val="none" w:sz="0" w:space="0" w:color="auto"/>
                    <w:bottom w:val="none" w:sz="0" w:space="0" w:color="auto"/>
                    <w:right w:val="none" w:sz="0" w:space="0" w:color="auto"/>
                  </w:divBdr>
                  <w:divsChild>
                    <w:div w:id="1443188362">
                      <w:marLeft w:val="0"/>
                      <w:marRight w:val="0"/>
                      <w:marTop w:val="0"/>
                      <w:marBottom w:val="0"/>
                      <w:divBdr>
                        <w:top w:val="none" w:sz="0" w:space="0" w:color="auto"/>
                        <w:left w:val="none" w:sz="0" w:space="0" w:color="auto"/>
                        <w:bottom w:val="none" w:sz="0" w:space="0" w:color="auto"/>
                        <w:right w:val="none" w:sz="0" w:space="0" w:color="auto"/>
                      </w:divBdr>
                      <w:divsChild>
                        <w:div w:id="477502772">
                          <w:marLeft w:val="0"/>
                          <w:marRight w:val="0"/>
                          <w:marTop w:val="0"/>
                          <w:marBottom w:val="0"/>
                          <w:divBdr>
                            <w:top w:val="none" w:sz="0" w:space="0" w:color="auto"/>
                            <w:left w:val="none" w:sz="0" w:space="0" w:color="auto"/>
                            <w:bottom w:val="none" w:sz="0" w:space="0" w:color="auto"/>
                            <w:right w:val="none" w:sz="0" w:space="0" w:color="auto"/>
                          </w:divBdr>
                          <w:divsChild>
                            <w:div w:id="124809758">
                              <w:marLeft w:val="0"/>
                              <w:marRight w:val="0"/>
                              <w:marTop w:val="0"/>
                              <w:marBottom w:val="0"/>
                              <w:divBdr>
                                <w:top w:val="none" w:sz="0" w:space="0" w:color="auto"/>
                                <w:left w:val="none" w:sz="0" w:space="0" w:color="auto"/>
                                <w:bottom w:val="none" w:sz="0" w:space="0" w:color="auto"/>
                                <w:right w:val="none" w:sz="0" w:space="0" w:color="auto"/>
                              </w:divBdr>
                              <w:divsChild>
                                <w:div w:id="1700617750">
                                  <w:marLeft w:val="0"/>
                                  <w:marRight w:val="0"/>
                                  <w:marTop w:val="0"/>
                                  <w:marBottom w:val="0"/>
                                  <w:divBdr>
                                    <w:top w:val="none" w:sz="0" w:space="0" w:color="auto"/>
                                    <w:left w:val="none" w:sz="0" w:space="0" w:color="auto"/>
                                    <w:bottom w:val="none" w:sz="0" w:space="0" w:color="auto"/>
                                    <w:right w:val="none" w:sz="0" w:space="0" w:color="auto"/>
                                  </w:divBdr>
                                  <w:divsChild>
                                    <w:div w:id="789937840">
                                      <w:marLeft w:val="0"/>
                                      <w:marRight w:val="0"/>
                                      <w:marTop w:val="0"/>
                                      <w:marBottom w:val="0"/>
                                      <w:divBdr>
                                        <w:top w:val="none" w:sz="0" w:space="0" w:color="auto"/>
                                        <w:left w:val="none" w:sz="0" w:space="0" w:color="auto"/>
                                        <w:bottom w:val="none" w:sz="0" w:space="0" w:color="auto"/>
                                        <w:right w:val="none" w:sz="0" w:space="0" w:color="auto"/>
                                      </w:divBdr>
                                      <w:divsChild>
                                        <w:div w:id="2035114806">
                                          <w:marLeft w:val="0"/>
                                          <w:marRight w:val="0"/>
                                          <w:marTop w:val="0"/>
                                          <w:marBottom w:val="0"/>
                                          <w:divBdr>
                                            <w:top w:val="none" w:sz="0" w:space="0" w:color="auto"/>
                                            <w:left w:val="none" w:sz="0" w:space="0" w:color="auto"/>
                                            <w:bottom w:val="none" w:sz="0" w:space="0" w:color="auto"/>
                                            <w:right w:val="none" w:sz="0" w:space="0" w:color="auto"/>
                                          </w:divBdr>
                                          <w:divsChild>
                                            <w:div w:id="724986967">
                                              <w:marLeft w:val="0"/>
                                              <w:marRight w:val="0"/>
                                              <w:marTop w:val="0"/>
                                              <w:marBottom w:val="0"/>
                                              <w:divBdr>
                                                <w:top w:val="none" w:sz="0" w:space="0" w:color="auto"/>
                                                <w:left w:val="none" w:sz="0" w:space="0" w:color="auto"/>
                                                <w:bottom w:val="none" w:sz="0" w:space="0" w:color="auto"/>
                                                <w:right w:val="none" w:sz="0" w:space="0" w:color="auto"/>
                                              </w:divBdr>
                                              <w:divsChild>
                                                <w:div w:id="4011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603893">
      <w:bodyDiv w:val="1"/>
      <w:marLeft w:val="0"/>
      <w:marRight w:val="0"/>
      <w:marTop w:val="0"/>
      <w:marBottom w:val="0"/>
      <w:divBdr>
        <w:top w:val="none" w:sz="0" w:space="0" w:color="auto"/>
        <w:left w:val="none" w:sz="0" w:space="0" w:color="auto"/>
        <w:bottom w:val="none" w:sz="0" w:space="0" w:color="auto"/>
        <w:right w:val="none" w:sz="0" w:space="0" w:color="auto"/>
      </w:divBdr>
    </w:div>
    <w:div w:id="1057050507">
      <w:bodyDiv w:val="1"/>
      <w:marLeft w:val="0"/>
      <w:marRight w:val="0"/>
      <w:marTop w:val="0"/>
      <w:marBottom w:val="0"/>
      <w:divBdr>
        <w:top w:val="none" w:sz="0" w:space="0" w:color="auto"/>
        <w:left w:val="none" w:sz="0" w:space="0" w:color="auto"/>
        <w:bottom w:val="none" w:sz="0" w:space="0" w:color="auto"/>
        <w:right w:val="none" w:sz="0" w:space="0" w:color="auto"/>
      </w:divBdr>
      <w:divsChild>
        <w:div w:id="1994599178">
          <w:marLeft w:val="0"/>
          <w:marRight w:val="0"/>
          <w:marTop w:val="0"/>
          <w:marBottom w:val="0"/>
          <w:divBdr>
            <w:top w:val="none" w:sz="0" w:space="0" w:color="auto"/>
            <w:left w:val="none" w:sz="0" w:space="0" w:color="auto"/>
            <w:bottom w:val="none" w:sz="0" w:space="0" w:color="auto"/>
            <w:right w:val="none" w:sz="0" w:space="0" w:color="auto"/>
          </w:divBdr>
          <w:divsChild>
            <w:div w:id="342174362">
              <w:marLeft w:val="0"/>
              <w:marRight w:val="0"/>
              <w:marTop w:val="0"/>
              <w:marBottom w:val="0"/>
              <w:divBdr>
                <w:top w:val="none" w:sz="0" w:space="0" w:color="auto"/>
                <w:left w:val="none" w:sz="0" w:space="0" w:color="auto"/>
                <w:bottom w:val="none" w:sz="0" w:space="0" w:color="auto"/>
                <w:right w:val="none" w:sz="0" w:space="0" w:color="auto"/>
              </w:divBdr>
              <w:divsChild>
                <w:div w:id="270430987">
                  <w:marLeft w:val="0"/>
                  <w:marRight w:val="0"/>
                  <w:marTop w:val="0"/>
                  <w:marBottom w:val="0"/>
                  <w:divBdr>
                    <w:top w:val="none" w:sz="0" w:space="0" w:color="auto"/>
                    <w:left w:val="none" w:sz="0" w:space="0" w:color="auto"/>
                    <w:bottom w:val="none" w:sz="0" w:space="0" w:color="auto"/>
                    <w:right w:val="none" w:sz="0" w:space="0" w:color="auto"/>
                  </w:divBdr>
                  <w:divsChild>
                    <w:div w:id="2043364647">
                      <w:marLeft w:val="0"/>
                      <w:marRight w:val="0"/>
                      <w:marTop w:val="0"/>
                      <w:marBottom w:val="0"/>
                      <w:divBdr>
                        <w:top w:val="none" w:sz="0" w:space="0" w:color="auto"/>
                        <w:left w:val="none" w:sz="0" w:space="0" w:color="auto"/>
                        <w:bottom w:val="none" w:sz="0" w:space="0" w:color="auto"/>
                        <w:right w:val="none" w:sz="0" w:space="0" w:color="auto"/>
                      </w:divBdr>
                      <w:divsChild>
                        <w:div w:id="326245911">
                          <w:marLeft w:val="0"/>
                          <w:marRight w:val="0"/>
                          <w:marTop w:val="0"/>
                          <w:marBottom w:val="0"/>
                          <w:divBdr>
                            <w:top w:val="none" w:sz="0" w:space="0" w:color="auto"/>
                            <w:left w:val="none" w:sz="0" w:space="0" w:color="auto"/>
                            <w:bottom w:val="none" w:sz="0" w:space="0" w:color="auto"/>
                            <w:right w:val="none" w:sz="0" w:space="0" w:color="auto"/>
                          </w:divBdr>
                          <w:divsChild>
                            <w:div w:id="1844516169">
                              <w:marLeft w:val="0"/>
                              <w:marRight w:val="0"/>
                              <w:marTop w:val="0"/>
                              <w:marBottom w:val="0"/>
                              <w:divBdr>
                                <w:top w:val="none" w:sz="0" w:space="0" w:color="auto"/>
                                <w:left w:val="none" w:sz="0" w:space="0" w:color="auto"/>
                                <w:bottom w:val="none" w:sz="0" w:space="0" w:color="auto"/>
                                <w:right w:val="none" w:sz="0" w:space="0" w:color="auto"/>
                              </w:divBdr>
                              <w:divsChild>
                                <w:div w:id="1214465916">
                                  <w:marLeft w:val="0"/>
                                  <w:marRight w:val="0"/>
                                  <w:marTop w:val="0"/>
                                  <w:marBottom w:val="0"/>
                                  <w:divBdr>
                                    <w:top w:val="none" w:sz="0" w:space="0" w:color="auto"/>
                                    <w:left w:val="none" w:sz="0" w:space="0" w:color="auto"/>
                                    <w:bottom w:val="none" w:sz="0" w:space="0" w:color="auto"/>
                                    <w:right w:val="none" w:sz="0" w:space="0" w:color="auto"/>
                                  </w:divBdr>
                                  <w:divsChild>
                                    <w:div w:id="1136948698">
                                      <w:marLeft w:val="0"/>
                                      <w:marRight w:val="0"/>
                                      <w:marTop w:val="0"/>
                                      <w:marBottom w:val="0"/>
                                      <w:divBdr>
                                        <w:top w:val="none" w:sz="0" w:space="0" w:color="auto"/>
                                        <w:left w:val="none" w:sz="0" w:space="0" w:color="auto"/>
                                        <w:bottom w:val="none" w:sz="0" w:space="0" w:color="auto"/>
                                        <w:right w:val="none" w:sz="0" w:space="0" w:color="auto"/>
                                      </w:divBdr>
                                      <w:divsChild>
                                        <w:div w:id="1670131710">
                                          <w:marLeft w:val="0"/>
                                          <w:marRight w:val="0"/>
                                          <w:marTop w:val="0"/>
                                          <w:marBottom w:val="0"/>
                                          <w:divBdr>
                                            <w:top w:val="none" w:sz="0" w:space="0" w:color="auto"/>
                                            <w:left w:val="none" w:sz="0" w:space="0" w:color="auto"/>
                                            <w:bottom w:val="none" w:sz="0" w:space="0" w:color="auto"/>
                                            <w:right w:val="none" w:sz="0" w:space="0" w:color="auto"/>
                                          </w:divBdr>
                                          <w:divsChild>
                                            <w:div w:id="9117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1290084">
      <w:bodyDiv w:val="1"/>
      <w:marLeft w:val="0"/>
      <w:marRight w:val="0"/>
      <w:marTop w:val="0"/>
      <w:marBottom w:val="0"/>
      <w:divBdr>
        <w:top w:val="none" w:sz="0" w:space="0" w:color="auto"/>
        <w:left w:val="none" w:sz="0" w:space="0" w:color="auto"/>
        <w:bottom w:val="none" w:sz="0" w:space="0" w:color="auto"/>
        <w:right w:val="none" w:sz="0" w:space="0" w:color="auto"/>
      </w:divBdr>
      <w:divsChild>
        <w:div w:id="1080911437">
          <w:marLeft w:val="0"/>
          <w:marRight w:val="0"/>
          <w:marTop w:val="0"/>
          <w:marBottom w:val="0"/>
          <w:divBdr>
            <w:top w:val="none" w:sz="0" w:space="0" w:color="auto"/>
            <w:left w:val="none" w:sz="0" w:space="0" w:color="auto"/>
            <w:bottom w:val="none" w:sz="0" w:space="0" w:color="auto"/>
            <w:right w:val="none" w:sz="0" w:space="0" w:color="auto"/>
          </w:divBdr>
          <w:divsChild>
            <w:div w:id="1817726403">
              <w:marLeft w:val="0"/>
              <w:marRight w:val="0"/>
              <w:marTop w:val="0"/>
              <w:marBottom w:val="0"/>
              <w:divBdr>
                <w:top w:val="none" w:sz="0" w:space="0" w:color="auto"/>
                <w:left w:val="none" w:sz="0" w:space="0" w:color="auto"/>
                <w:bottom w:val="none" w:sz="0" w:space="0" w:color="auto"/>
                <w:right w:val="none" w:sz="0" w:space="0" w:color="auto"/>
              </w:divBdr>
              <w:divsChild>
                <w:div w:id="91710083">
                  <w:marLeft w:val="0"/>
                  <w:marRight w:val="0"/>
                  <w:marTop w:val="0"/>
                  <w:marBottom w:val="0"/>
                  <w:divBdr>
                    <w:top w:val="none" w:sz="0" w:space="0" w:color="auto"/>
                    <w:left w:val="none" w:sz="0" w:space="0" w:color="auto"/>
                    <w:bottom w:val="none" w:sz="0" w:space="0" w:color="auto"/>
                    <w:right w:val="none" w:sz="0" w:space="0" w:color="auto"/>
                  </w:divBdr>
                  <w:divsChild>
                    <w:div w:id="657535079">
                      <w:marLeft w:val="0"/>
                      <w:marRight w:val="0"/>
                      <w:marTop w:val="0"/>
                      <w:marBottom w:val="0"/>
                      <w:divBdr>
                        <w:top w:val="none" w:sz="0" w:space="0" w:color="auto"/>
                        <w:left w:val="none" w:sz="0" w:space="0" w:color="auto"/>
                        <w:bottom w:val="none" w:sz="0" w:space="0" w:color="auto"/>
                        <w:right w:val="none" w:sz="0" w:space="0" w:color="auto"/>
                      </w:divBdr>
                      <w:divsChild>
                        <w:div w:id="1075587236">
                          <w:marLeft w:val="0"/>
                          <w:marRight w:val="0"/>
                          <w:marTop w:val="0"/>
                          <w:marBottom w:val="0"/>
                          <w:divBdr>
                            <w:top w:val="none" w:sz="0" w:space="0" w:color="auto"/>
                            <w:left w:val="none" w:sz="0" w:space="0" w:color="auto"/>
                            <w:bottom w:val="none" w:sz="0" w:space="0" w:color="auto"/>
                            <w:right w:val="none" w:sz="0" w:space="0" w:color="auto"/>
                          </w:divBdr>
                          <w:divsChild>
                            <w:div w:id="452209161">
                              <w:marLeft w:val="0"/>
                              <w:marRight w:val="0"/>
                              <w:marTop w:val="0"/>
                              <w:marBottom w:val="0"/>
                              <w:divBdr>
                                <w:top w:val="none" w:sz="0" w:space="0" w:color="auto"/>
                                <w:left w:val="none" w:sz="0" w:space="0" w:color="auto"/>
                                <w:bottom w:val="none" w:sz="0" w:space="0" w:color="auto"/>
                                <w:right w:val="none" w:sz="0" w:space="0" w:color="auto"/>
                              </w:divBdr>
                              <w:divsChild>
                                <w:div w:id="363334541">
                                  <w:marLeft w:val="0"/>
                                  <w:marRight w:val="0"/>
                                  <w:marTop w:val="0"/>
                                  <w:marBottom w:val="0"/>
                                  <w:divBdr>
                                    <w:top w:val="none" w:sz="0" w:space="0" w:color="auto"/>
                                    <w:left w:val="none" w:sz="0" w:space="0" w:color="auto"/>
                                    <w:bottom w:val="none" w:sz="0" w:space="0" w:color="auto"/>
                                    <w:right w:val="none" w:sz="0" w:space="0" w:color="auto"/>
                                  </w:divBdr>
                                  <w:divsChild>
                                    <w:div w:id="561715299">
                                      <w:marLeft w:val="0"/>
                                      <w:marRight w:val="0"/>
                                      <w:marTop w:val="0"/>
                                      <w:marBottom w:val="0"/>
                                      <w:divBdr>
                                        <w:top w:val="none" w:sz="0" w:space="0" w:color="auto"/>
                                        <w:left w:val="none" w:sz="0" w:space="0" w:color="auto"/>
                                        <w:bottom w:val="none" w:sz="0" w:space="0" w:color="auto"/>
                                        <w:right w:val="none" w:sz="0" w:space="0" w:color="auto"/>
                                      </w:divBdr>
                                      <w:divsChild>
                                        <w:div w:id="26227492">
                                          <w:marLeft w:val="0"/>
                                          <w:marRight w:val="0"/>
                                          <w:marTop w:val="0"/>
                                          <w:marBottom w:val="0"/>
                                          <w:divBdr>
                                            <w:top w:val="none" w:sz="0" w:space="0" w:color="auto"/>
                                            <w:left w:val="none" w:sz="0" w:space="0" w:color="auto"/>
                                            <w:bottom w:val="none" w:sz="0" w:space="0" w:color="auto"/>
                                            <w:right w:val="none" w:sz="0" w:space="0" w:color="auto"/>
                                          </w:divBdr>
                                          <w:divsChild>
                                            <w:div w:id="75907013">
                                              <w:marLeft w:val="0"/>
                                              <w:marRight w:val="0"/>
                                              <w:marTop w:val="0"/>
                                              <w:marBottom w:val="0"/>
                                              <w:divBdr>
                                                <w:top w:val="none" w:sz="0" w:space="0" w:color="auto"/>
                                                <w:left w:val="none" w:sz="0" w:space="0" w:color="auto"/>
                                                <w:bottom w:val="none" w:sz="0" w:space="0" w:color="auto"/>
                                                <w:right w:val="none" w:sz="0" w:space="0" w:color="auto"/>
                                              </w:divBdr>
                                            </w:div>
                                            <w:div w:id="575744088">
                                              <w:marLeft w:val="0"/>
                                              <w:marRight w:val="0"/>
                                              <w:marTop w:val="0"/>
                                              <w:marBottom w:val="0"/>
                                              <w:divBdr>
                                                <w:top w:val="none" w:sz="0" w:space="0" w:color="auto"/>
                                                <w:left w:val="none" w:sz="0" w:space="0" w:color="auto"/>
                                                <w:bottom w:val="none" w:sz="0" w:space="0" w:color="auto"/>
                                                <w:right w:val="none" w:sz="0" w:space="0" w:color="auto"/>
                                              </w:divBdr>
                                              <w:divsChild>
                                                <w:div w:id="2142188121">
                                                  <w:marLeft w:val="0"/>
                                                  <w:marRight w:val="0"/>
                                                  <w:marTop w:val="0"/>
                                                  <w:marBottom w:val="0"/>
                                                  <w:divBdr>
                                                    <w:top w:val="none" w:sz="0" w:space="0" w:color="auto"/>
                                                    <w:left w:val="none" w:sz="0" w:space="0" w:color="auto"/>
                                                    <w:bottom w:val="none" w:sz="0" w:space="0" w:color="auto"/>
                                                    <w:right w:val="none" w:sz="0" w:space="0" w:color="auto"/>
                                                  </w:divBdr>
                                                </w:div>
                                              </w:divsChild>
                                            </w:div>
                                            <w:div w:id="1236626546">
                                              <w:marLeft w:val="0"/>
                                              <w:marRight w:val="0"/>
                                              <w:marTop w:val="0"/>
                                              <w:marBottom w:val="0"/>
                                              <w:divBdr>
                                                <w:top w:val="none" w:sz="0" w:space="0" w:color="auto"/>
                                                <w:left w:val="none" w:sz="0" w:space="0" w:color="auto"/>
                                                <w:bottom w:val="none" w:sz="0" w:space="0" w:color="auto"/>
                                                <w:right w:val="none" w:sz="0" w:space="0" w:color="auto"/>
                                              </w:divBdr>
                                            </w:div>
                                            <w:div w:id="1322730573">
                                              <w:marLeft w:val="0"/>
                                              <w:marRight w:val="0"/>
                                              <w:marTop w:val="0"/>
                                              <w:marBottom w:val="0"/>
                                              <w:divBdr>
                                                <w:top w:val="none" w:sz="0" w:space="0" w:color="auto"/>
                                                <w:left w:val="none" w:sz="0" w:space="0" w:color="auto"/>
                                                <w:bottom w:val="none" w:sz="0" w:space="0" w:color="auto"/>
                                                <w:right w:val="none" w:sz="0" w:space="0" w:color="auto"/>
                                              </w:divBdr>
                                            </w:div>
                                          </w:divsChild>
                                        </w:div>
                                        <w:div w:id="338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4454035">
      <w:bodyDiv w:val="1"/>
      <w:marLeft w:val="0"/>
      <w:marRight w:val="0"/>
      <w:marTop w:val="0"/>
      <w:marBottom w:val="0"/>
      <w:divBdr>
        <w:top w:val="none" w:sz="0" w:space="0" w:color="auto"/>
        <w:left w:val="none" w:sz="0" w:space="0" w:color="auto"/>
        <w:bottom w:val="none" w:sz="0" w:space="0" w:color="auto"/>
        <w:right w:val="none" w:sz="0" w:space="0" w:color="auto"/>
      </w:divBdr>
      <w:divsChild>
        <w:div w:id="416948038">
          <w:marLeft w:val="0"/>
          <w:marRight w:val="0"/>
          <w:marTop w:val="0"/>
          <w:marBottom w:val="0"/>
          <w:divBdr>
            <w:top w:val="none" w:sz="0" w:space="0" w:color="auto"/>
            <w:left w:val="none" w:sz="0" w:space="0" w:color="auto"/>
            <w:bottom w:val="none" w:sz="0" w:space="0" w:color="auto"/>
            <w:right w:val="none" w:sz="0" w:space="0" w:color="auto"/>
          </w:divBdr>
          <w:divsChild>
            <w:div w:id="1516188863">
              <w:marLeft w:val="0"/>
              <w:marRight w:val="0"/>
              <w:marTop w:val="0"/>
              <w:marBottom w:val="0"/>
              <w:divBdr>
                <w:top w:val="none" w:sz="0" w:space="0" w:color="auto"/>
                <w:left w:val="none" w:sz="0" w:space="0" w:color="auto"/>
                <w:bottom w:val="none" w:sz="0" w:space="0" w:color="auto"/>
                <w:right w:val="none" w:sz="0" w:space="0" w:color="auto"/>
              </w:divBdr>
              <w:divsChild>
                <w:div w:id="1992515983">
                  <w:marLeft w:val="0"/>
                  <w:marRight w:val="0"/>
                  <w:marTop w:val="0"/>
                  <w:marBottom w:val="0"/>
                  <w:divBdr>
                    <w:top w:val="none" w:sz="0" w:space="0" w:color="auto"/>
                    <w:left w:val="none" w:sz="0" w:space="0" w:color="auto"/>
                    <w:bottom w:val="none" w:sz="0" w:space="0" w:color="auto"/>
                    <w:right w:val="none" w:sz="0" w:space="0" w:color="auto"/>
                  </w:divBdr>
                  <w:divsChild>
                    <w:div w:id="753936543">
                      <w:marLeft w:val="0"/>
                      <w:marRight w:val="0"/>
                      <w:marTop w:val="0"/>
                      <w:marBottom w:val="0"/>
                      <w:divBdr>
                        <w:top w:val="none" w:sz="0" w:space="0" w:color="auto"/>
                        <w:left w:val="none" w:sz="0" w:space="0" w:color="auto"/>
                        <w:bottom w:val="none" w:sz="0" w:space="0" w:color="auto"/>
                        <w:right w:val="none" w:sz="0" w:space="0" w:color="auto"/>
                      </w:divBdr>
                      <w:divsChild>
                        <w:div w:id="849182443">
                          <w:marLeft w:val="0"/>
                          <w:marRight w:val="0"/>
                          <w:marTop w:val="0"/>
                          <w:marBottom w:val="0"/>
                          <w:divBdr>
                            <w:top w:val="none" w:sz="0" w:space="0" w:color="auto"/>
                            <w:left w:val="none" w:sz="0" w:space="0" w:color="auto"/>
                            <w:bottom w:val="none" w:sz="0" w:space="0" w:color="auto"/>
                            <w:right w:val="none" w:sz="0" w:space="0" w:color="auto"/>
                          </w:divBdr>
                          <w:divsChild>
                            <w:div w:id="552354628">
                              <w:marLeft w:val="0"/>
                              <w:marRight w:val="0"/>
                              <w:marTop w:val="0"/>
                              <w:marBottom w:val="0"/>
                              <w:divBdr>
                                <w:top w:val="none" w:sz="0" w:space="0" w:color="auto"/>
                                <w:left w:val="none" w:sz="0" w:space="0" w:color="auto"/>
                                <w:bottom w:val="none" w:sz="0" w:space="0" w:color="auto"/>
                                <w:right w:val="none" w:sz="0" w:space="0" w:color="auto"/>
                              </w:divBdr>
                              <w:divsChild>
                                <w:div w:id="309789527">
                                  <w:marLeft w:val="0"/>
                                  <w:marRight w:val="0"/>
                                  <w:marTop w:val="0"/>
                                  <w:marBottom w:val="0"/>
                                  <w:divBdr>
                                    <w:top w:val="none" w:sz="0" w:space="0" w:color="auto"/>
                                    <w:left w:val="none" w:sz="0" w:space="0" w:color="auto"/>
                                    <w:bottom w:val="none" w:sz="0" w:space="0" w:color="auto"/>
                                    <w:right w:val="none" w:sz="0" w:space="0" w:color="auto"/>
                                  </w:divBdr>
                                  <w:divsChild>
                                    <w:div w:id="1491865431">
                                      <w:marLeft w:val="0"/>
                                      <w:marRight w:val="0"/>
                                      <w:marTop w:val="0"/>
                                      <w:marBottom w:val="0"/>
                                      <w:divBdr>
                                        <w:top w:val="none" w:sz="0" w:space="0" w:color="auto"/>
                                        <w:left w:val="none" w:sz="0" w:space="0" w:color="auto"/>
                                        <w:bottom w:val="none" w:sz="0" w:space="0" w:color="auto"/>
                                        <w:right w:val="none" w:sz="0" w:space="0" w:color="auto"/>
                                      </w:divBdr>
                                      <w:divsChild>
                                        <w:div w:id="2118718915">
                                          <w:marLeft w:val="0"/>
                                          <w:marRight w:val="0"/>
                                          <w:marTop w:val="0"/>
                                          <w:marBottom w:val="0"/>
                                          <w:divBdr>
                                            <w:top w:val="none" w:sz="0" w:space="0" w:color="auto"/>
                                            <w:left w:val="none" w:sz="0" w:space="0" w:color="auto"/>
                                            <w:bottom w:val="none" w:sz="0" w:space="0" w:color="auto"/>
                                            <w:right w:val="none" w:sz="0" w:space="0" w:color="auto"/>
                                          </w:divBdr>
                                          <w:divsChild>
                                            <w:div w:id="1770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937804">
      <w:bodyDiv w:val="1"/>
      <w:marLeft w:val="0"/>
      <w:marRight w:val="0"/>
      <w:marTop w:val="0"/>
      <w:marBottom w:val="0"/>
      <w:divBdr>
        <w:top w:val="none" w:sz="0" w:space="0" w:color="auto"/>
        <w:left w:val="none" w:sz="0" w:space="0" w:color="auto"/>
        <w:bottom w:val="none" w:sz="0" w:space="0" w:color="auto"/>
        <w:right w:val="none" w:sz="0" w:space="0" w:color="auto"/>
      </w:divBdr>
    </w:div>
    <w:div w:id="1180007969">
      <w:bodyDiv w:val="1"/>
      <w:marLeft w:val="0"/>
      <w:marRight w:val="0"/>
      <w:marTop w:val="0"/>
      <w:marBottom w:val="0"/>
      <w:divBdr>
        <w:top w:val="none" w:sz="0" w:space="0" w:color="auto"/>
        <w:left w:val="none" w:sz="0" w:space="0" w:color="auto"/>
        <w:bottom w:val="none" w:sz="0" w:space="0" w:color="auto"/>
        <w:right w:val="none" w:sz="0" w:space="0" w:color="auto"/>
      </w:divBdr>
      <w:divsChild>
        <w:div w:id="334110500">
          <w:marLeft w:val="0"/>
          <w:marRight w:val="0"/>
          <w:marTop w:val="0"/>
          <w:marBottom w:val="0"/>
          <w:divBdr>
            <w:top w:val="none" w:sz="0" w:space="0" w:color="auto"/>
            <w:left w:val="none" w:sz="0" w:space="0" w:color="auto"/>
            <w:bottom w:val="none" w:sz="0" w:space="0" w:color="auto"/>
            <w:right w:val="none" w:sz="0" w:space="0" w:color="auto"/>
          </w:divBdr>
          <w:divsChild>
            <w:div w:id="791481892">
              <w:marLeft w:val="0"/>
              <w:marRight w:val="0"/>
              <w:marTop w:val="0"/>
              <w:marBottom w:val="0"/>
              <w:divBdr>
                <w:top w:val="none" w:sz="0" w:space="0" w:color="auto"/>
                <w:left w:val="none" w:sz="0" w:space="0" w:color="auto"/>
                <w:bottom w:val="none" w:sz="0" w:space="0" w:color="auto"/>
                <w:right w:val="none" w:sz="0" w:space="0" w:color="auto"/>
              </w:divBdr>
              <w:divsChild>
                <w:div w:id="759453653">
                  <w:marLeft w:val="0"/>
                  <w:marRight w:val="0"/>
                  <w:marTop w:val="0"/>
                  <w:marBottom w:val="0"/>
                  <w:divBdr>
                    <w:top w:val="none" w:sz="0" w:space="0" w:color="auto"/>
                    <w:left w:val="none" w:sz="0" w:space="0" w:color="auto"/>
                    <w:bottom w:val="none" w:sz="0" w:space="0" w:color="auto"/>
                    <w:right w:val="none" w:sz="0" w:space="0" w:color="auto"/>
                  </w:divBdr>
                  <w:divsChild>
                    <w:div w:id="1671718557">
                      <w:marLeft w:val="0"/>
                      <w:marRight w:val="0"/>
                      <w:marTop w:val="0"/>
                      <w:marBottom w:val="0"/>
                      <w:divBdr>
                        <w:top w:val="none" w:sz="0" w:space="0" w:color="auto"/>
                        <w:left w:val="none" w:sz="0" w:space="0" w:color="auto"/>
                        <w:bottom w:val="none" w:sz="0" w:space="0" w:color="auto"/>
                        <w:right w:val="none" w:sz="0" w:space="0" w:color="auto"/>
                      </w:divBdr>
                      <w:divsChild>
                        <w:div w:id="1166289071">
                          <w:marLeft w:val="0"/>
                          <w:marRight w:val="0"/>
                          <w:marTop w:val="0"/>
                          <w:marBottom w:val="0"/>
                          <w:divBdr>
                            <w:top w:val="none" w:sz="0" w:space="0" w:color="auto"/>
                            <w:left w:val="none" w:sz="0" w:space="0" w:color="auto"/>
                            <w:bottom w:val="none" w:sz="0" w:space="0" w:color="auto"/>
                            <w:right w:val="none" w:sz="0" w:space="0" w:color="auto"/>
                          </w:divBdr>
                          <w:divsChild>
                            <w:div w:id="1050148972">
                              <w:marLeft w:val="0"/>
                              <w:marRight w:val="0"/>
                              <w:marTop w:val="0"/>
                              <w:marBottom w:val="0"/>
                              <w:divBdr>
                                <w:top w:val="none" w:sz="0" w:space="0" w:color="auto"/>
                                <w:left w:val="none" w:sz="0" w:space="0" w:color="auto"/>
                                <w:bottom w:val="none" w:sz="0" w:space="0" w:color="auto"/>
                                <w:right w:val="none" w:sz="0" w:space="0" w:color="auto"/>
                              </w:divBdr>
                              <w:divsChild>
                                <w:div w:id="2019696760">
                                  <w:marLeft w:val="0"/>
                                  <w:marRight w:val="0"/>
                                  <w:marTop w:val="0"/>
                                  <w:marBottom w:val="0"/>
                                  <w:divBdr>
                                    <w:top w:val="none" w:sz="0" w:space="0" w:color="auto"/>
                                    <w:left w:val="none" w:sz="0" w:space="0" w:color="auto"/>
                                    <w:bottom w:val="none" w:sz="0" w:space="0" w:color="auto"/>
                                    <w:right w:val="none" w:sz="0" w:space="0" w:color="auto"/>
                                  </w:divBdr>
                                  <w:divsChild>
                                    <w:div w:id="104885445">
                                      <w:marLeft w:val="0"/>
                                      <w:marRight w:val="0"/>
                                      <w:marTop w:val="0"/>
                                      <w:marBottom w:val="0"/>
                                      <w:divBdr>
                                        <w:top w:val="none" w:sz="0" w:space="0" w:color="auto"/>
                                        <w:left w:val="none" w:sz="0" w:space="0" w:color="auto"/>
                                        <w:bottom w:val="none" w:sz="0" w:space="0" w:color="auto"/>
                                        <w:right w:val="none" w:sz="0" w:space="0" w:color="auto"/>
                                      </w:divBdr>
                                      <w:divsChild>
                                        <w:div w:id="196436772">
                                          <w:marLeft w:val="0"/>
                                          <w:marRight w:val="0"/>
                                          <w:marTop w:val="0"/>
                                          <w:marBottom w:val="0"/>
                                          <w:divBdr>
                                            <w:top w:val="none" w:sz="0" w:space="0" w:color="auto"/>
                                            <w:left w:val="none" w:sz="0" w:space="0" w:color="auto"/>
                                            <w:bottom w:val="none" w:sz="0" w:space="0" w:color="auto"/>
                                            <w:right w:val="none" w:sz="0" w:space="0" w:color="auto"/>
                                          </w:divBdr>
                                          <w:divsChild>
                                            <w:div w:id="2140490487">
                                              <w:marLeft w:val="0"/>
                                              <w:marRight w:val="0"/>
                                              <w:marTop w:val="0"/>
                                              <w:marBottom w:val="0"/>
                                              <w:divBdr>
                                                <w:top w:val="none" w:sz="0" w:space="0" w:color="auto"/>
                                                <w:left w:val="none" w:sz="0" w:space="0" w:color="auto"/>
                                                <w:bottom w:val="none" w:sz="0" w:space="0" w:color="auto"/>
                                                <w:right w:val="none" w:sz="0" w:space="0" w:color="auto"/>
                                              </w:divBdr>
                                              <w:divsChild>
                                                <w:div w:id="449590149">
                                                  <w:marLeft w:val="0"/>
                                                  <w:marRight w:val="0"/>
                                                  <w:marTop w:val="0"/>
                                                  <w:marBottom w:val="0"/>
                                                  <w:divBdr>
                                                    <w:top w:val="none" w:sz="0" w:space="0" w:color="auto"/>
                                                    <w:left w:val="none" w:sz="0" w:space="0" w:color="auto"/>
                                                    <w:bottom w:val="none" w:sz="0" w:space="0" w:color="auto"/>
                                                    <w:right w:val="none" w:sz="0" w:space="0" w:color="auto"/>
                                                  </w:divBdr>
                                                  <w:divsChild>
                                                    <w:div w:id="552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225853">
      <w:bodyDiv w:val="1"/>
      <w:marLeft w:val="0"/>
      <w:marRight w:val="0"/>
      <w:marTop w:val="0"/>
      <w:marBottom w:val="0"/>
      <w:divBdr>
        <w:top w:val="none" w:sz="0" w:space="0" w:color="auto"/>
        <w:left w:val="none" w:sz="0" w:space="0" w:color="auto"/>
        <w:bottom w:val="none" w:sz="0" w:space="0" w:color="auto"/>
        <w:right w:val="none" w:sz="0" w:space="0" w:color="auto"/>
      </w:divBdr>
      <w:divsChild>
        <w:div w:id="2128505989">
          <w:marLeft w:val="0"/>
          <w:marRight w:val="0"/>
          <w:marTop w:val="0"/>
          <w:marBottom w:val="0"/>
          <w:divBdr>
            <w:top w:val="none" w:sz="0" w:space="0" w:color="auto"/>
            <w:left w:val="none" w:sz="0" w:space="0" w:color="auto"/>
            <w:bottom w:val="none" w:sz="0" w:space="0" w:color="auto"/>
            <w:right w:val="none" w:sz="0" w:space="0" w:color="auto"/>
          </w:divBdr>
          <w:divsChild>
            <w:div w:id="1601140050">
              <w:marLeft w:val="0"/>
              <w:marRight w:val="0"/>
              <w:marTop w:val="0"/>
              <w:marBottom w:val="0"/>
              <w:divBdr>
                <w:top w:val="none" w:sz="0" w:space="0" w:color="auto"/>
                <w:left w:val="none" w:sz="0" w:space="0" w:color="auto"/>
                <w:bottom w:val="none" w:sz="0" w:space="0" w:color="auto"/>
                <w:right w:val="none" w:sz="0" w:space="0" w:color="auto"/>
              </w:divBdr>
              <w:divsChild>
                <w:div w:id="904292909">
                  <w:marLeft w:val="0"/>
                  <w:marRight w:val="0"/>
                  <w:marTop w:val="0"/>
                  <w:marBottom w:val="0"/>
                  <w:divBdr>
                    <w:top w:val="none" w:sz="0" w:space="0" w:color="auto"/>
                    <w:left w:val="none" w:sz="0" w:space="0" w:color="auto"/>
                    <w:bottom w:val="none" w:sz="0" w:space="0" w:color="auto"/>
                    <w:right w:val="none" w:sz="0" w:space="0" w:color="auto"/>
                  </w:divBdr>
                  <w:divsChild>
                    <w:div w:id="500852895">
                      <w:marLeft w:val="2850"/>
                      <w:marRight w:val="300"/>
                      <w:marTop w:val="0"/>
                      <w:marBottom w:val="0"/>
                      <w:divBdr>
                        <w:top w:val="single" w:sz="6" w:space="0" w:color="6E90A6"/>
                        <w:left w:val="single" w:sz="6" w:space="19" w:color="6E90A6"/>
                        <w:bottom w:val="none" w:sz="0" w:space="0" w:color="auto"/>
                        <w:right w:val="single" w:sz="6" w:space="19" w:color="6E90A6"/>
                      </w:divBdr>
                    </w:div>
                  </w:divsChild>
                </w:div>
              </w:divsChild>
            </w:div>
          </w:divsChild>
        </w:div>
      </w:divsChild>
    </w:div>
    <w:div w:id="1327056130">
      <w:bodyDiv w:val="1"/>
      <w:marLeft w:val="0"/>
      <w:marRight w:val="0"/>
      <w:marTop w:val="0"/>
      <w:marBottom w:val="0"/>
      <w:divBdr>
        <w:top w:val="none" w:sz="0" w:space="0" w:color="auto"/>
        <w:left w:val="none" w:sz="0" w:space="0" w:color="auto"/>
        <w:bottom w:val="none" w:sz="0" w:space="0" w:color="auto"/>
        <w:right w:val="none" w:sz="0" w:space="0" w:color="auto"/>
      </w:divBdr>
      <w:divsChild>
        <w:div w:id="1106925172">
          <w:marLeft w:val="0"/>
          <w:marRight w:val="0"/>
          <w:marTop w:val="0"/>
          <w:marBottom w:val="0"/>
          <w:divBdr>
            <w:top w:val="none" w:sz="0" w:space="0" w:color="auto"/>
            <w:left w:val="none" w:sz="0" w:space="0" w:color="auto"/>
            <w:bottom w:val="none" w:sz="0" w:space="0" w:color="auto"/>
            <w:right w:val="none" w:sz="0" w:space="0" w:color="auto"/>
          </w:divBdr>
          <w:divsChild>
            <w:div w:id="883441894">
              <w:marLeft w:val="0"/>
              <w:marRight w:val="0"/>
              <w:marTop w:val="0"/>
              <w:marBottom w:val="0"/>
              <w:divBdr>
                <w:top w:val="none" w:sz="0" w:space="0" w:color="auto"/>
                <w:left w:val="none" w:sz="0" w:space="0" w:color="auto"/>
                <w:bottom w:val="none" w:sz="0" w:space="0" w:color="auto"/>
                <w:right w:val="none" w:sz="0" w:space="0" w:color="auto"/>
              </w:divBdr>
              <w:divsChild>
                <w:div w:id="893469382">
                  <w:marLeft w:val="0"/>
                  <w:marRight w:val="0"/>
                  <w:marTop w:val="0"/>
                  <w:marBottom w:val="0"/>
                  <w:divBdr>
                    <w:top w:val="none" w:sz="0" w:space="0" w:color="auto"/>
                    <w:left w:val="none" w:sz="0" w:space="0" w:color="auto"/>
                    <w:bottom w:val="none" w:sz="0" w:space="0" w:color="auto"/>
                    <w:right w:val="none" w:sz="0" w:space="0" w:color="auto"/>
                  </w:divBdr>
                  <w:divsChild>
                    <w:div w:id="845826812">
                      <w:marLeft w:val="0"/>
                      <w:marRight w:val="0"/>
                      <w:marTop w:val="0"/>
                      <w:marBottom w:val="0"/>
                      <w:divBdr>
                        <w:top w:val="none" w:sz="0" w:space="0" w:color="auto"/>
                        <w:left w:val="none" w:sz="0" w:space="0" w:color="auto"/>
                        <w:bottom w:val="none" w:sz="0" w:space="0" w:color="auto"/>
                        <w:right w:val="none" w:sz="0" w:space="0" w:color="auto"/>
                      </w:divBdr>
                      <w:divsChild>
                        <w:div w:id="1747071881">
                          <w:marLeft w:val="0"/>
                          <w:marRight w:val="0"/>
                          <w:marTop w:val="0"/>
                          <w:marBottom w:val="0"/>
                          <w:divBdr>
                            <w:top w:val="none" w:sz="0" w:space="0" w:color="auto"/>
                            <w:left w:val="none" w:sz="0" w:space="0" w:color="auto"/>
                            <w:bottom w:val="none" w:sz="0" w:space="0" w:color="auto"/>
                            <w:right w:val="none" w:sz="0" w:space="0" w:color="auto"/>
                          </w:divBdr>
                          <w:divsChild>
                            <w:div w:id="1443913494">
                              <w:marLeft w:val="0"/>
                              <w:marRight w:val="0"/>
                              <w:marTop w:val="0"/>
                              <w:marBottom w:val="0"/>
                              <w:divBdr>
                                <w:top w:val="none" w:sz="0" w:space="0" w:color="auto"/>
                                <w:left w:val="none" w:sz="0" w:space="0" w:color="auto"/>
                                <w:bottom w:val="none" w:sz="0" w:space="0" w:color="auto"/>
                                <w:right w:val="none" w:sz="0" w:space="0" w:color="auto"/>
                              </w:divBdr>
                              <w:divsChild>
                                <w:div w:id="1694116259">
                                  <w:marLeft w:val="0"/>
                                  <w:marRight w:val="0"/>
                                  <w:marTop w:val="0"/>
                                  <w:marBottom w:val="0"/>
                                  <w:divBdr>
                                    <w:top w:val="none" w:sz="0" w:space="0" w:color="auto"/>
                                    <w:left w:val="none" w:sz="0" w:space="0" w:color="auto"/>
                                    <w:bottom w:val="none" w:sz="0" w:space="0" w:color="auto"/>
                                    <w:right w:val="none" w:sz="0" w:space="0" w:color="auto"/>
                                  </w:divBdr>
                                  <w:divsChild>
                                    <w:div w:id="3975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703833">
      <w:bodyDiv w:val="1"/>
      <w:marLeft w:val="0"/>
      <w:marRight w:val="0"/>
      <w:marTop w:val="0"/>
      <w:marBottom w:val="0"/>
      <w:divBdr>
        <w:top w:val="none" w:sz="0" w:space="0" w:color="auto"/>
        <w:left w:val="none" w:sz="0" w:space="0" w:color="auto"/>
        <w:bottom w:val="none" w:sz="0" w:space="0" w:color="auto"/>
        <w:right w:val="none" w:sz="0" w:space="0" w:color="auto"/>
      </w:divBdr>
      <w:divsChild>
        <w:div w:id="322396806">
          <w:marLeft w:val="0"/>
          <w:marRight w:val="0"/>
          <w:marTop w:val="0"/>
          <w:marBottom w:val="0"/>
          <w:divBdr>
            <w:top w:val="none" w:sz="0" w:space="0" w:color="auto"/>
            <w:left w:val="none" w:sz="0" w:space="0" w:color="auto"/>
            <w:bottom w:val="none" w:sz="0" w:space="0" w:color="auto"/>
            <w:right w:val="none" w:sz="0" w:space="0" w:color="auto"/>
          </w:divBdr>
          <w:divsChild>
            <w:div w:id="1487285949">
              <w:marLeft w:val="0"/>
              <w:marRight w:val="0"/>
              <w:marTop w:val="0"/>
              <w:marBottom w:val="0"/>
              <w:divBdr>
                <w:top w:val="none" w:sz="0" w:space="0" w:color="auto"/>
                <w:left w:val="none" w:sz="0" w:space="0" w:color="auto"/>
                <w:bottom w:val="none" w:sz="0" w:space="0" w:color="auto"/>
                <w:right w:val="none" w:sz="0" w:space="0" w:color="auto"/>
              </w:divBdr>
              <w:divsChild>
                <w:div w:id="982388422">
                  <w:marLeft w:val="0"/>
                  <w:marRight w:val="0"/>
                  <w:marTop w:val="0"/>
                  <w:marBottom w:val="0"/>
                  <w:divBdr>
                    <w:top w:val="none" w:sz="0" w:space="0" w:color="auto"/>
                    <w:left w:val="none" w:sz="0" w:space="0" w:color="auto"/>
                    <w:bottom w:val="none" w:sz="0" w:space="0" w:color="auto"/>
                    <w:right w:val="none" w:sz="0" w:space="0" w:color="auto"/>
                  </w:divBdr>
                  <w:divsChild>
                    <w:div w:id="1312641168">
                      <w:marLeft w:val="0"/>
                      <w:marRight w:val="0"/>
                      <w:marTop w:val="0"/>
                      <w:marBottom w:val="0"/>
                      <w:divBdr>
                        <w:top w:val="none" w:sz="0" w:space="0" w:color="auto"/>
                        <w:left w:val="none" w:sz="0" w:space="0" w:color="auto"/>
                        <w:bottom w:val="none" w:sz="0" w:space="0" w:color="auto"/>
                        <w:right w:val="none" w:sz="0" w:space="0" w:color="auto"/>
                      </w:divBdr>
                      <w:divsChild>
                        <w:div w:id="848298957">
                          <w:marLeft w:val="0"/>
                          <w:marRight w:val="0"/>
                          <w:marTop w:val="0"/>
                          <w:marBottom w:val="0"/>
                          <w:divBdr>
                            <w:top w:val="none" w:sz="0" w:space="0" w:color="auto"/>
                            <w:left w:val="none" w:sz="0" w:space="0" w:color="auto"/>
                            <w:bottom w:val="none" w:sz="0" w:space="0" w:color="auto"/>
                            <w:right w:val="none" w:sz="0" w:space="0" w:color="auto"/>
                          </w:divBdr>
                          <w:divsChild>
                            <w:div w:id="1979066866">
                              <w:marLeft w:val="0"/>
                              <w:marRight w:val="0"/>
                              <w:marTop w:val="0"/>
                              <w:marBottom w:val="0"/>
                              <w:divBdr>
                                <w:top w:val="none" w:sz="0" w:space="0" w:color="auto"/>
                                <w:left w:val="none" w:sz="0" w:space="0" w:color="auto"/>
                                <w:bottom w:val="none" w:sz="0" w:space="0" w:color="auto"/>
                                <w:right w:val="none" w:sz="0" w:space="0" w:color="auto"/>
                              </w:divBdr>
                              <w:divsChild>
                                <w:div w:id="89813767">
                                  <w:marLeft w:val="0"/>
                                  <w:marRight w:val="0"/>
                                  <w:marTop w:val="0"/>
                                  <w:marBottom w:val="0"/>
                                  <w:divBdr>
                                    <w:top w:val="none" w:sz="0" w:space="0" w:color="auto"/>
                                    <w:left w:val="none" w:sz="0" w:space="0" w:color="auto"/>
                                    <w:bottom w:val="none" w:sz="0" w:space="0" w:color="auto"/>
                                    <w:right w:val="none" w:sz="0" w:space="0" w:color="auto"/>
                                  </w:divBdr>
                                  <w:divsChild>
                                    <w:div w:id="3867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956516">
      <w:bodyDiv w:val="1"/>
      <w:marLeft w:val="0"/>
      <w:marRight w:val="0"/>
      <w:marTop w:val="0"/>
      <w:marBottom w:val="0"/>
      <w:divBdr>
        <w:top w:val="none" w:sz="0" w:space="0" w:color="auto"/>
        <w:left w:val="none" w:sz="0" w:space="0" w:color="auto"/>
        <w:bottom w:val="none" w:sz="0" w:space="0" w:color="auto"/>
        <w:right w:val="none" w:sz="0" w:space="0" w:color="auto"/>
      </w:divBdr>
    </w:div>
    <w:div w:id="1437604513">
      <w:bodyDiv w:val="1"/>
      <w:marLeft w:val="0"/>
      <w:marRight w:val="0"/>
      <w:marTop w:val="0"/>
      <w:marBottom w:val="0"/>
      <w:divBdr>
        <w:top w:val="none" w:sz="0" w:space="0" w:color="auto"/>
        <w:left w:val="none" w:sz="0" w:space="0" w:color="auto"/>
        <w:bottom w:val="none" w:sz="0" w:space="0" w:color="auto"/>
        <w:right w:val="none" w:sz="0" w:space="0" w:color="auto"/>
      </w:divBdr>
      <w:divsChild>
        <w:div w:id="1737968187">
          <w:marLeft w:val="0"/>
          <w:marRight w:val="0"/>
          <w:marTop w:val="0"/>
          <w:marBottom w:val="0"/>
          <w:divBdr>
            <w:top w:val="none" w:sz="0" w:space="0" w:color="auto"/>
            <w:left w:val="none" w:sz="0" w:space="0" w:color="auto"/>
            <w:bottom w:val="none" w:sz="0" w:space="0" w:color="auto"/>
            <w:right w:val="none" w:sz="0" w:space="0" w:color="auto"/>
          </w:divBdr>
          <w:divsChild>
            <w:div w:id="409741361">
              <w:marLeft w:val="0"/>
              <w:marRight w:val="0"/>
              <w:marTop w:val="0"/>
              <w:marBottom w:val="0"/>
              <w:divBdr>
                <w:top w:val="none" w:sz="0" w:space="0" w:color="auto"/>
                <w:left w:val="none" w:sz="0" w:space="0" w:color="auto"/>
                <w:bottom w:val="none" w:sz="0" w:space="0" w:color="auto"/>
                <w:right w:val="none" w:sz="0" w:space="0" w:color="auto"/>
              </w:divBdr>
              <w:divsChild>
                <w:div w:id="1780684672">
                  <w:marLeft w:val="0"/>
                  <w:marRight w:val="0"/>
                  <w:marTop w:val="0"/>
                  <w:marBottom w:val="0"/>
                  <w:divBdr>
                    <w:top w:val="none" w:sz="0" w:space="0" w:color="auto"/>
                    <w:left w:val="none" w:sz="0" w:space="0" w:color="auto"/>
                    <w:bottom w:val="none" w:sz="0" w:space="0" w:color="auto"/>
                    <w:right w:val="none" w:sz="0" w:space="0" w:color="auto"/>
                  </w:divBdr>
                  <w:divsChild>
                    <w:div w:id="1525971842">
                      <w:marLeft w:val="0"/>
                      <w:marRight w:val="0"/>
                      <w:marTop w:val="0"/>
                      <w:marBottom w:val="0"/>
                      <w:divBdr>
                        <w:top w:val="none" w:sz="0" w:space="0" w:color="auto"/>
                        <w:left w:val="none" w:sz="0" w:space="0" w:color="auto"/>
                        <w:bottom w:val="none" w:sz="0" w:space="0" w:color="auto"/>
                        <w:right w:val="none" w:sz="0" w:space="0" w:color="auto"/>
                      </w:divBdr>
                      <w:divsChild>
                        <w:div w:id="2132818994">
                          <w:marLeft w:val="0"/>
                          <w:marRight w:val="0"/>
                          <w:marTop w:val="0"/>
                          <w:marBottom w:val="0"/>
                          <w:divBdr>
                            <w:top w:val="none" w:sz="0" w:space="0" w:color="auto"/>
                            <w:left w:val="none" w:sz="0" w:space="0" w:color="auto"/>
                            <w:bottom w:val="none" w:sz="0" w:space="0" w:color="auto"/>
                            <w:right w:val="none" w:sz="0" w:space="0" w:color="auto"/>
                          </w:divBdr>
                          <w:divsChild>
                            <w:div w:id="561869919">
                              <w:marLeft w:val="0"/>
                              <w:marRight w:val="0"/>
                              <w:marTop w:val="0"/>
                              <w:marBottom w:val="0"/>
                              <w:divBdr>
                                <w:top w:val="none" w:sz="0" w:space="0" w:color="auto"/>
                                <w:left w:val="none" w:sz="0" w:space="0" w:color="auto"/>
                                <w:bottom w:val="none" w:sz="0" w:space="0" w:color="auto"/>
                                <w:right w:val="none" w:sz="0" w:space="0" w:color="auto"/>
                              </w:divBdr>
                              <w:divsChild>
                                <w:div w:id="1297754339">
                                  <w:marLeft w:val="0"/>
                                  <w:marRight w:val="0"/>
                                  <w:marTop w:val="0"/>
                                  <w:marBottom w:val="0"/>
                                  <w:divBdr>
                                    <w:top w:val="none" w:sz="0" w:space="0" w:color="auto"/>
                                    <w:left w:val="none" w:sz="0" w:space="0" w:color="auto"/>
                                    <w:bottom w:val="none" w:sz="0" w:space="0" w:color="auto"/>
                                    <w:right w:val="none" w:sz="0" w:space="0" w:color="auto"/>
                                  </w:divBdr>
                                  <w:divsChild>
                                    <w:div w:id="1068722816">
                                      <w:marLeft w:val="0"/>
                                      <w:marRight w:val="0"/>
                                      <w:marTop w:val="0"/>
                                      <w:marBottom w:val="0"/>
                                      <w:divBdr>
                                        <w:top w:val="none" w:sz="0" w:space="0" w:color="auto"/>
                                        <w:left w:val="none" w:sz="0" w:space="0" w:color="auto"/>
                                        <w:bottom w:val="none" w:sz="0" w:space="0" w:color="auto"/>
                                        <w:right w:val="none" w:sz="0" w:space="0" w:color="auto"/>
                                      </w:divBdr>
                                      <w:divsChild>
                                        <w:div w:id="137578766">
                                          <w:marLeft w:val="0"/>
                                          <w:marRight w:val="0"/>
                                          <w:marTop w:val="0"/>
                                          <w:marBottom w:val="0"/>
                                          <w:divBdr>
                                            <w:top w:val="none" w:sz="0" w:space="0" w:color="auto"/>
                                            <w:left w:val="none" w:sz="0" w:space="0" w:color="auto"/>
                                            <w:bottom w:val="none" w:sz="0" w:space="0" w:color="auto"/>
                                            <w:right w:val="none" w:sz="0" w:space="0" w:color="auto"/>
                                          </w:divBdr>
                                          <w:divsChild>
                                            <w:div w:id="962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833867">
      <w:bodyDiv w:val="1"/>
      <w:marLeft w:val="0"/>
      <w:marRight w:val="0"/>
      <w:marTop w:val="0"/>
      <w:marBottom w:val="0"/>
      <w:divBdr>
        <w:top w:val="none" w:sz="0" w:space="0" w:color="auto"/>
        <w:left w:val="none" w:sz="0" w:space="0" w:color="auto"/>
        <w:bottom w:val="none" w:sz="0" w:space="0" w:color="auto"/>
        <w:right w:val="none" w:sz="0" w:space="0" w:color="auto"/>
      </w:divBdr>
      <w:divsChild>
        <w:div w:id="996615480">
          <w:marLeft w:val="0"/>
          <w:marRight w:val="0"/>
          <w:marTop w:val="0"/>
          <w:marBottom w:val="0"/>
          <w:divBdr>
            <w:top w:val="none" w:sz="0" w:space="0" w:color="auto"/>
            <w:left w:val="none" w:sz="0" w:space="0" w:color="auto"/>
            <w:bottom w:val="none" w:sz="0" w:space="0" w:color="auto"/>
            <w:right w:val="none" w:sz="0" w:space="0" w:color="auto"/>
          </w:divBdr>
          <w:divsChild>
            <w:div w:id="1992519576">
              <w:marLeft w:val="0"/>
              <w:marRight w:val="0"/>
              <w:marTop w:val="0"/>
              <w:marBottom w:val="0"/>
              <w:divBdr>
                <w:top w:val="none" w:sz="0" w:space="0" w:color="auto"/>
                <w:left w:val="none" w:sz="0" w:space="0" w:color="auto"/>
                <w:bottom w:val="none" w:sz="0" w:space="0" w:color="auto"/>
                <w:right w:val="none" w:sz="0" w:space="0" w:color="auto"/>
              </w:divBdr>
              <w:divsChild>
                <w:div w:id="2099403655">
                  <w:marLeft w:val="0"/>
                  <w:marRight w:val="0"/>
                  <w:marTop w:val="0"/>
                  <w:marBottom w:val="0"/>
                  <w:divBdr>
                    <w:top w:val="none" w:sz="0" w:space="0" w:color="auto"/>
                    <w:left w:val="none" w:sz="0" w:space="0" w:color="auto"/>
                    <w:bottom w:val="none" w:sz="0" w:space="0" w:color="auto"/>
                    <w:right w:val="none" w:sz="0" w:space="0" w:color="auto"/>
                  </w:divBdr>
                  <w:divsChild>
                    <w:div w:id="2026127097">
                      <w:marLeft w:val="0"/>
                      <w:marRight w:val="0"/>
                      <w:marTop w:val="0"/>
                      <w:marBottom w:val="0"/>
                      <w:divBdr>
                        <w:top w:val="none" w:sz="0" w:space="0" w:color="auto"/>
                        <w:left w:val="none" w:sz="0" w:space="0" w:color="auto"/>
                        <w:bottom w:val="none" w:sz="0" w:space="0" w:color="auto"/>
                        <w:right w:val="none" w:sz="0" w:space="0" w:color="auto"/>
                      </w:divBdr>
                      <w:divsChild>
                        <w:div w:id="306934318">
                          <w:marLeft w:val="0"/>
                          <w:marRight w:val="0"/>
                          <w:marTop w:val="0"/>
                          <w:marBottom w:val="0"/>
                          <w:divBdr>
                            <w:top w:val="none" w:sz="0" w:space="0" w:color="auto"/>
                            <w:left w:val="none" w:sz="0" w:space="0" w:color="auto"/>
                            <w:bottom w:val="none" w:sz="0" w:space="0" w:color="auto"/>
                            <w:right w:val="none" w:sz="0" w:space="0" w:color="auto"/>
                          </w:divBdr>
                          <w:divsChild>
                            <w:div w:id="1421367399">
                              <w:marLeft w:val="0"/>
                              <w:marRight w:val="0"/>
                              <w:marTop w:val="0"/>
                              <w:marBottom w:val="0"/>
                              <w:divBdr>
                                <w:top w:val="none" w:sz="0" w:space="0" w:color="auto"/>
                                <w:left w:val="none" w:sz="0" w:space="0" w:color="auto"/>
                                <w:bottom w:val="none" w:sz="0" w:space="0" w:color="auto"/>
                                <w:right w:val="none" w:sz="0" w:space="0" w:color="auto"/>
                              </w:divBdr>
                              <w:divsChild>
                                <w:div w:id="1883325624">
                                  <w:marLeft w:val="0"/>
                                  <w:marRight w:val="0"/>
                                  <w:marTop w:val="0"/>
                                  <w:marBottom w:val="0"/>
                                  <w:divBdr>
                                    <w:top w:val="none" w:sz="0" w:space="0" w:color="auto"/>
                                    <w:left w:val="none" w:sz="0" w:space="0" w:color="auto"/>
                                    <w:bottom w:val="none" w:sz="0" w:space="0" w:color="auto"/>
                                    <w:right w:val="none" w:sz="0" w:space="0" w:color="auto"/>
                                  </w:divBdr>
                                  <w:divsChild>
                                    <w:div w:id="1335568296">
                                      <w:marLeft w:val="0"/>
                                      <w:marRight w:val="0"/>
                                      <w:marTop w:val="0"/>
                                      <w:marBottom w:val="0"/>
                                      <w:divBdr>
                                        <w:top w:val="none" w:sz="0" w:space="0" w:color="auto"/>
                                        <w:left w:val="none" w:sz="0" w:space="0" w:color="auto"/>
                                        <w:bottom w:val="none" w:sz="0" w:space="0" w:color="auto"/>
                                        <w:right w:val="none" w:sz="0" w:space="0" w:color="auto"/>
                                      </w:divBdr>
                                      <w:divsChild>
                                        <w:div w:id="346173542">
                                          <w:marLeft w:val="0"/>
                                          <w:marRight w:val="0"/>
                                          <w:marTop w:val="0"/>
                                          <w:marBottom w:val="0"/>
                                          <w:divBdr>
                                            <w:top w:val="none" w:sz="0" w:space="0" w:color="auto"/>
                                            <w:left w:val="none" w:sz="0" w:space="0" w:color="auto"/>
                                            <w:bottom w:val="none" w:sz="0" w:space="0" w:color="auto"/>
                                            <w:right w:val="none" w:sz="0" w:space="0" w:color="auto"/>
                                          </w:divBdr>
                                        </w:div>
                                        <w:div w:id="801075692">
                                          <w:marLeft w:val="0"/>
                                          <w:marRight w:val="0"/>
                                          <w:marTop w:val="0"/>
                                          <w:marBottom w:val="0"/>
                                          <w:divBdr>
                                            <w:top w:val="none" w:sz="0" w:space="0" w:color="auto"/>
                                            <w:left w:val="none" w:sz="0" w:space="0" w:color="auto"/>
                                            <w:bottom w:val="none" w:sz="0" w:space="0" w:color="auto"/>
                                            <w:right w:val="none" w:sz="0" w:space="0" w:color="auto"/>
                                          </w:divBdr>
                                        </w:div>
                                        <w:div w:id="1349136614">
                                          <w:marLeft w:val="0"/>
                                          <w:marRight w:val="0"/>
                                          <w:marTop w:val="0"/>
                                          <w:marBottom w:val="0"/>
                                          <w:divBdr>
                                            <w:top w:val="none" w:sz="0" w:space="0" w:color="auto"/>
                                            <w:left w:val="none" w:sz="0" w:space="0" w:color="auto"/>
                                            <w:bottom w:val="none" w:sz="0" w:space="0" w:color="auto"/>
                                            <w:right w:val="none" w:sz="0" w:space="0" w:color="auto"/>
                                          </w:divBdr>
                                        </w:div>
                                        <w:div w:id="1794057827">
                                          <w:marLeft w:val="0"/>
                                          <w:marRight w:val="0"/>
                                          <w:marTop w:val="0"/>
                                          <w:marBottom w:val="0"/>
                                          <w:divBdr>
                                            <w:top w:val="none" w:sz="0" w:space="0" w:color="auto"/>
                                            <w:left w:val="none" w:sz="0" w:space="0" w:color="auto"/>
                                            <w:bottom w:val="none" w:sz="0" w:space="0" w:color="auto"/>
                                            <w:right w:val="none" w:sz="0" w:space="0" w:color="auto"/>
                                          </w:divBdr>
                                        </w:div>
                                        <w:div w:id="1912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9516884">
      <w:bodyDiv w:val="1"/>
      <w:marLeft w:val="0"/>
      <w:marRight w:val="0"/>
      <w:marTop w:val="0"/>
      <w:marBottom w:val="0"/>
      <w:divBdr>
        <w:top w:val="none" w:sz="0" w:space="0" w:color="auto"/>
        <w:left w:val="none" w:sz="0" w:space="0" w:color="auto"/>
        <w:bottom w:val="none" w:sz="0" w:space="0" w:color="auto"/>
        <w:right w:val="none" w:sz="0" w:space="0" w:color="auto"/>
      </w:divBdr>
      <w:divsChild>
        <w:div w:id="428041649">
          <w:marLeft w:val="0"/>
          <w:marRight w:val="0"/>
          <w:marTop w:val="0"/>
          <w:marBottom w:val="0"/>
          <w:divBdr>
            <w:top w:val="none" w:sz="0" w:space="0" w:color="auto"/>
            <w:left w:val="none" w:sz="0" w:space="0" w:color="auto"/>
            <w:bottom w:val="none" w:sz="0" w:space="0" w:color="auto"/>
            <w:right w:val="none" w:sz="0" w:space="0" w:color="auto"/>
          </w:divBdr>
          <w:divsChild>
            <w:div w:id="1065564181">
              <w:marLeft w:val="0"/>
              <w:marRight w:val="0"/>
              <w:marTop w:val="0"/>
              <w:marBottom w:val="0"/>
              <w:divBdr>
                <w:top w:val="none" w:sz="0" w:space="0" w:color="auto"/>
                <w:left w:val="none" w:sz="0" w:space="0" w:color="auto"/>
                <w:bottom w:val="none" w:sz="0" w:space="0" w:color="auto"/>
                <w:right w:val="none" w:sz="0" w:space="0" w:color="auto"/>
              </w:divBdr>
              <w:divsChild>
                <w:div w:id="1740442776">
                  <w:marLeft w:val="0"/>
                  <w:marRight w:val="0"/>
                  <w:marTop w:val="0"/>
                  <w:marBottom w:val="0"/>
                  <w:divBdr>
                    <w:top w:val="none" w:sz="0" w:space="0" w:color="auto"/>
                    <w:left w:val="none" w:sz="0" w:space="0" w:color="auto"/>
                    <w:bottom w:val="none" w:sz="0" w:space="0" w:color="auto"/>
                    <w:right w:val="none" w:sz="0" w:space="0" w:color="auto"/>
                  </w:divBdr>
                  <w:divsChild>
                    <w:div w:id="2041543271">
                      <w:marLeft w:val="0"/>
                      <w:marRight w:val="0"/>
                      <w:marTop w:val="0"/>
                      <w:marBottom w:val="0"/>
                      <w:divBdr>
                        <w:top w:val="none" w:sz="0" w:space="0" w:color="auto"/>
                        <w:left w:val="none" w:sz="0" w:space="0" w:color="auto"/>
                        <w:bottom w:val="none" w:sz="0" w:space="0" w:color="auto"/>
                        <w:right w:val="none" w:sz="0" w:space="0" w:color="auto"/>
                      </w:divBdr>
                      <w:divsChild>
                        <w:div w:id="1485898969">
                          <w:marLeft w:val="0"/>
                          <w:marRight w:val="0"/>
                          <w:marTop w:val="0"/>
                          <w:marBottom w:val="0"/>
                          <w:divBdr>
                            <w:top w:val="none" w:sz="0" w:space="0" w:color="auto"/>
                            <w:left w:val="none" w:sz="0" w:space="0" w:color="auto"/>
                            <w:bottom w:val="none" w:sz="0" w:space="0" w:color="auto"/>
                            <w:right w:val="none" w:sz="0" w:space="0" w:color="auto"/>
                          </w:divBdr>
                          <w:divsChild>
                            <w:div w:id="340133707">
                              <w:marLeft w:val="0"/>
                              <w:marRight w:val="0"/>
                              <w:marTop w:val="0"/>
                              <w:marBottom w:val="0"/>
                              <w:divBdr>
                                <w:top w:val="none" w:sz="0" w:space="0" w:color="auto"/>
                                <w:left w:val="none" w:sz="0" w:space="0" w:color="auto"/>
                                <w:bottom w:val="none" w:sz="0" w:space="0" w:color="auto"/>
                                <w:right w:val="none" w:sz="0" w:space="0" w:color="auto"/>
                              </w:divBdr>
                              <w:divsChild>
                                <w:div w:id="627200590">
                                  <w:marLeft w:val="0"/>
                                  <w:marRight w:val="0"/>
                                  <w:marTop w:val="0"/>
                                  <w:marBottom w:val="0"/>
                                  <w:divBdr>
                                    <w:top w:val="none" w:sz="0" w:space="0" w:color="auto"/>
                                    <w:left w:val="none" w:sz="0" w:space="0" w:color="auto"/>
                                    <w:bottom w:val="none" w:sz="0" w:space="0" w:color="auto"/>
                                    <w:right w:val="none" w:sz="0" w:space="0" w:color="auto"/>
                                  </w:divBdr>
                                  <w:divsChild>
                                    <w:div w:id="1518695403">
                                      <w:marLeft w:val="0"/>
                                      <w:marRight w:val="0"/>
                                      <w:marTop w:val="0"/>
                                      <w:marBottom w:val="0"/>
                                      <w:divBdr>
                                        <w:top w:val="none" w:sz="0" w:space="0" w:color="auto"/>
                                        <w:left w:val="none" w:sz="0" w:space="0" w:color="auto"/>
                                        <w:bottom w:val="none" w:sz="0" w:space="0" w:color="auto"/>
                                        <w:right w:val="none" w:sz="0" w:space="0" w:color="auto"/>
                                      </w:divBdr>
                                      <w:divsChild>
                                        <w:div w:id="995454486">
                                          <w:marLeft w:val="0"/>
                                          <w:marRight w:val="0"/>
                                          <w:marTop w:val="0"/>
                                          <w:marBottom w:val="0"/>
                                          <w:divBdr>
                                            <w:top w:val="none" w:sz="0" w:space="0" w:color="auto"/>
                                            <w:left w:val="none" w:sz="0" w:space="0" w:color="auto"/>
                                            <w:bottom w:val="none" w:sz="0" w:space="0" w:color="auto"/>
                                            <w:right w:val="none" w:sz="0" w:space="0" w:color="auto"/>
                                          </w:divBdr>
                                          <w:divsChild>
                                            <w:div w:id="2397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9976325">
      <w:bodyDiv w:val="1"/>
      <w:marLeft w:val="0"/>
      <w:marRight w:val="0"/>
      <w:marTop w:val="0"/>
      <w:marBottom w:val="0"/>
      <w:divBdr>
        <w:top w:val="none" w:sz="0" w:space="0" w:color="auto"/>
        <w:left w:val="none" w:sz="0" w:space="0" w:color="auto"/>
        <w:bottom w:val="none" w:sz="0" w:space="0" w:color="auto"/>
        <w:right w:val="none" w:sz="0" w:space="0" w:color="auto"/>
      </w:divBdr>
      <w:divsChild>
        <w:div w:id="586773504">
          <w:marLeft w:val="0"/>
          <w:marRight w:val="0"/>
          <w:marTop w:val="0"/>
          <w:marBottom w:val="0"/>
          <w:divBdr>
            <w:top w:val="none" w:sz="0" w:space="0" w:color="auto"/>
            <w:left w:val="none" w:sz="0" w:space="0" w:color="auto"/>
            <w:bottom w:val="none" w:sz="0" w:space="0" w:color="auto"/>
            <w:right w:val="none" w:sz="0" w:space="0" w:color="auto"/>
          </w:divBdr>
          <w:divsChild>
            <w:div w:id="2143766617">
              <w:marLeft w:val="0"/>
              <w:marRight w:val="0"/>
              <w:marTop w:val="0"/>
              <w:marBottom w:val="0"/>
              <w:divBdr>
                <w:top w:val="none" w:sz="0" w:space="0" w:color="auto"/>
                <w:left w:val="none" w:sz="0" w:space="0" w:color="auto"/>
                <w:bottom w:val="none" w:sz="0" w:space="0" w:color="auto"/>
                <w:right w:val="none" w:sz="0" w:space="0" w:color="auto"/>
              </w:divBdr>
              <w:divsChild>
                <w:div w:id="881213127">
                  <w:marLeft w:val="0"/>
                  <w:marRight w:val="0"/>
                  <w:marTop w:val="0"/>
                  <w:marBottom w:val="0"/>
                  <w:divBdr>
                    <w:top w:val="none" w:sz="0" w:space="0" w:color="auto"/>
                    <w:left w:val="none" w:sz="0" w:space="0" w:color="auto"/>
                    <w:bottom w:val="none" w:sz="0" w:space="0" w:color="auto"/>
                    <w:right w:val="none" w:sz="0" w:space="0" w:color="auto"/>
                  </w:divBdr>
                  <w:divsChild>
                    <w:div w:id="875318162">
                      <w:marLeft w:val="0"/>
                      <w:marRight w:val="0"/>
                      <w:marTop w:val="0"/>
                      <w:marBottom w:val="0"/>
                      <w:divBdr>
                        <w:top w:val="none" w:sz="0" w:space="0" w:color="auto"/>
                        <w:left w:val="none" w:sz="0" w:space="0" w:color="auto"/>
                        <w:bottom w:val="none" w:sz="0" w:space="0" w:color="auto"/>
                        <w:right w:val="none" w:sz="0" w:space="0" w:color="auto"/>
                      </w:divBdr>
                      <w:divsChild>
                        <w:div w:id="1307322939">
                          <w:marLeft w:val="0"/>
                          <w:marRight w:val="0"/>
                          <w:marTop w:val="0"/>
                          <w:marBottom w:val="0"/>
                          <w:divBdr>
                            <w:top w:val="none" w:sz="0" w:space="0" w:color="auto"/>
                            <w:left w:val="none" w:sz="0" w:space="0" w:color="auto"/>
                            <w:bottom w:val="none" w:sz="0" w:space="0" w:color="auto"/>
                            <w:right w:val="none" w:sz="0" w:space="0" w:color="auto"/>
                          </w:divBdr>
                          <w:divsChild>
                            <w:div w:id="1362508422">
                              <w:marLeft w:val="0"/>
                              <w:marRight w:val="0"/>
                              <w:marTop w:val="0"/>
                              <w:marBottom w:val="0"/>
                              <w:divBdr>
                                <w:top w:val="none" w:sz="0" w:space="0" w:color="auto"/>
                                <w:left w:val="none" w:sz="0" w:space="0" w:color="auto"/>
                                <w:bottom w:val="none" w:sz="0" w:space="0" w:color="auto"/>
                                <w:right w:val="none" w:sz="0" w:space="0" w:color="auto"/>
                              </w:divBdr>
                              <w:divsChild>
                                <w:div w:id="1700156551">
                                  <w:marLeft w:val="0"/>
                                  <w:marRight w:val="0"/>
                                  <w:marTop w:val="0"/>
                                  <w:marBottom w:val="0"/>
                                  <w:divBdr>
                                    <w:top w:val="none" w:sz="0" w:space="0" w:color="auto"/>
                                    <w:left w:val="none" w:sz="0" w:space="0" w:color="auto"/>
                                    <w:bottom w:val="none" w:sz="0" w:space="0" w:color="auto"/>
                                    <w:right w:val="none" w:sz="0" w:space="0" w:color="auto"/>
                                  </w:divBdr>
                                  <w:divsChild>
                                    <w:div w:id="778180295">
                                      <w:marLeft w:val="0"/>
                                      <w:marRight w:val="0"/>
                                      <w:marTop w:val="0"/>
                                      <w:marBottom w:val="0"/>
                                      <w:divBdr>
                                        <w:top w:val="none" w:sz="0" w:space="0" w:color="auto"/>
                                        <w:left w:val="none" w:sz="0" w:space="0" w:color="auto"/>
                                        <w:bottom w:val="none" w:sz="0" w:space="0" w:color="auto"/>
                                        <w:right w:val="none" w:sz="0" w:space="0" w:color="auto"/>
                                      </w:divBdr>
                                      <w:divsChild>
                                        <w:div w:id="3326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078168">
      <w:bodyDiv w:val="1"/>
      <w:marLeft w:val="0"/>
      <w:marRight w:val="0"/>
      <w:marTop w:val="0"/>
      <w:marBottom w:val="0"/>
      <w:divBdr>
        <w:top w:val="none" w:sz="0" w:space="0" w:color="auto"/>
        <w:left w:val="none" w:sz="0" w:space="0" w:color="auto"/>
        <w:bottom w:val="none" w:sz="0" w:space="0" w:color="auto"/>
        <w:right w:val="none" w:sz="0" w:space="0" w:color="auto"/>
      </w:divBdr>
    </w:div>
    <w:div w:id="1580750360">
      <w:bodyDiv w:val="1"/>
      <w:marLeft w:val="0"/>
      <w:marRight w:val="0"/>
      <w:marTop w:val="0"/>
      <w:marBottom w:val="0"/>
      <w:divBdr>
        <w:top w:val="none" w:sz="0" w:space="0" w:color="auto"/>
        <w:left w:val="none" w:sz="0" w:space="0" w:color="auto"/>
        <w:bottom w:val="none" w:sz="0" w:space="0" w:color="auto"/>
        <w:right w:val="none" w:sz="0" w:space="0" w:color="auto"/>
      </w:divBdr>
      <w:divsChild>
        <w:div w:id="2109231045">
          <w:marLeft w:val="0"/>
          <w:marRight w:val="0"/>
          <w:marTop w:val="0"/>
          <w:marBottom w:val="0"/>
          <w:divBdr>
            <w:top w:val="none" w:sz="0" w:space="0" w:color="auto"/>
            <w:left w:val="none" w:sz="0" w:space="0" w:color="auto"/>
            <w:bottom w:val="none" w:sz="0" w:space="0" w:color="auto"/>
            <w:right w:val="none" w:sz="0" w:space="0" w:color="auto"/>
          </w:divBdr>
          <w:divsChild>
            <w:div w:id="684790415">
              <w:marLeft w:val="0"/>
              <w:marRight w:val="0"/>
              <w:marTop w:val="0"/>
              <w:marBottom w:val="0"/>
              <w:divBdr>
                <w:top w:val="none" w:sz="0" w:space="0" w:color="auto"/>
                <w:left w:val="none" w:sz="0" w:space="0" w:color="auto"/>
                <w:bottom w:val="none" w:sz="0" w:space="0" w:color="auto"/>
                <w:right w:val="none" w:sz="0" w:space="0" w:color="auto"/>
              </w:divBdr>
              <w:divsChild>
                <w:div w:id="400182872">
                  <w:marLeft w:val="0"/>
                  <w:marRight w:val="0"/>
                  <w:marTop w:val="0"/>
                  <w:marBottom w:val="0"/>
                  <w:divBdr>
                    <w:top w:val="none" w:sz="0" w:space="0" w:color="auto"/>
                    <w:left w:val="none" w:sz="0" w:space="0" w:color="auto"/>
                    <w:bottom w:val="none" w:sz="0" w:space="0" w:color="auto"/>
                    <w:right w:val="none" w:sz="0" w:space="0" w:color="auto"/>
                  </w:divBdr>
                  <w:divsChild>
                    <w:div w:id="2130053708">
                      <w:marLeft w:val="0"/>
                      <w:marRight w:val="0"/>
                      <w:marTop w:val="0"/>
                      <w:marBottom w:val="0"/>
                      <w:divBdr>
                        <w:top w:val="none" w:sz="0" w:space="0" w:color="auto"/>
                        <w:left w:val="none" w:sz="0" w:space="0" w:color="auto"/>
                        <w:bottom w:val="none" w:sz="0" w:space="0" w:color="auto"/>
                        <w:right w:val="none" w:sz="0" w:space="0" w:color="auto"/>
                      </w:divBdr>
                      <w:divsChild>
                        <w:div w:id="1961304066">
                          <w:marLeft w:val="0"/>
                          <w:marRight w:val="0"/>
                          <w:marTop w:val="0"/>
                          <w:marBottom w:val="0"/>
                          <w:divBdr>
                            <w:top w:val="none" w:sz="0" w:space="0" w:color="auto"/>
                            <w:left w:val="none" w:sz="0" w:space="0" w:color="auto"/>
                            <w:bottom w:val="none" w:sz="0" w:space="0" w:color="auto"/>
                            <w:right w:val="none" w:sz="0" w:space="0" w:color="auto"/>
                          </w:divBdr>
                          <w:divsChild>
                            <w:div w:id="1718119458">
                              <w:marLeft w:val="0"/>
                              <w:marRight w:val="0"/>
                              <w:marTop w:val="0"/>
                              <w:marBottom w:val="0"/>
                              <w:divBdr>
                                <w:top w:val="none" w:sz="0" w:space="0" w:color="auto"/>
                                <w:left w:val="none" w:sz="0" w:space="0" w:color="auto"/>
                                <w:bottom w:val="none" w:sz="0" w:space="0" w:color="auto"/>
                                <w:right w:val="none" w:sz="0" w:space="0" w:color="auto"/>
                              </w:divBdr>
                              <w:divsChild>
                                <w:div w:id="674191555">
                                  <w:marLeft w:val="0"/>
                                  <w:marRight w:val="0"/>
                                  <w:marTop w:val="0"/>
                                  <w:marBottom w:val="0"/>
                                  <w:divBdr>
                                    <w:top w:val="none" w:sz="0" w:space="0" w:color="auto"/>
                                    <w:left w:val="none" w:sz="0" w:space="0" w:color="auto"/>
                                    <w:bottom w:val="none" w:sz="0" w:space="0" w:color="auto"/>
                                    <w:right w:val="none" w:sz="0" w:space="0" w:color="auto"/>
                                  </w:divBdr>
                                  <w:divsChild>
                                    <w:div w:id="129246709">
                                      <w:marLeft w:val="0"/>
                                      <w:marRight w:val="0"/>
                                      <w:marTop w:val="0"/>
                                      <w:marBottom w:val="0"/>
                                      <w:divBdr>
                                        <w:top w:val="none" w:sz="0" w:space="0" w:color="auto"/>
                                        <w:left w:val="none" w:sz="0" w:space="0" w:color="auto"/>
                                        <w:bottom w:val="none" w:sz="0" w:space="0" w:color="auto"/>
                                        <w:right w:val="none" w:sz="0" w:space="0" w:color="auto"/>
                                      </w:divBdr>
                                      <w:divsChild>
                                        <w:div w:id="52387797">
                                          <w:marLeft w:val="0"/>
                                          <w:marRight w:val="0"/>
                                          <w:marTop w:val="0"/>
                                          <w:marBottom w:val="0"/>
                                          <w:divBdr>
                                            <w:top w:val="none" w:sz="0" w:space="0" w:color="auto"/>
                                            <w:left w:val="none" w:sz="0" w:space="0" w:color="auto"/>
                                            <w:bottom w:val="none" w:sz="0" w:space="0" w:color="auto"/>
                                            <w:right w:val="none" w:sz="0" w:space="0" w:color="auto"/>
                                          </w:divBdr>
                                          <w:divsChild>
                                            <w:div w:id="574121824">
                                              <w:marLeft w:val="0"/>
                                              <w:marRight w:val="0"/>
                                              <w:marTop w:val="0"/>
                                              <w:marBottom w:val="0"/>
                                              <w:divBdr>
                                                <w:top w:val="none" w:sz="0" w:space="0" w:color="auto"/>
                                                <w:left w:val="none" w:sz="0" w:space="0" w:color="auto"/>
                                                <w:bottom w:val="none" w:sz="0" w:space="0" w:color="auto"/>
                                                <w:right w:val="none" w:sz="0" w:space="0" w:color="auto"/>
                                              </w:divBdr>
                                              <w:divsChild>
                                                <w:div w:id="3417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9460976">
      <w:bodyDiv w:val="1"/>
      <w:marLeft w:val="0"/>
      <w:marRight w:val="0"/>
      <w:marTop w:val="0"/>
      <w:marBottom w:val="0"/>
      <w:divBdr>
        <w:top w:val="none" w:sz="0" w:space="0" w:color="auto"/>
        <w:left w:val="none" w:sz="0" w:space="0" w:color="auto"/>
        <w:bottom w:val="none" w:sz="0" w:space="0" w:color="auto"/>
        <w:right w:val="none" w:sz="0" w:space="0" w:color="auto"/>
      </w:divBdr>
    </w:div>
    <w:div w:id="1714112102">
      <w:bodyDiv w:val="1"/>
      <w:marLeft w:val="0"/>
      <w:marRight w:val="0"/>
      <w:marTop w:val="0"/>
      <w:marBottom w:val="0"/>
      <w:divBdr>
        <w:top w:val="none" w:sz="0" w:space="0" w:color="auto"/>
        <w:left w:val="none" w:sz="0" w:space="0" w:color="auto"/>
        <w:bottom w:val="none" w:sz="0" w:space="0" w:color="auto"/>
        <w:right w:val="none" w:sz="0" w:space="0" w:color="auto"/>
      </w:divBdr>
    </w:div>
    <w:div w:id="1779063140">
      <w:bodyDiv w:val="1"/>
      <w:marLeft w:val="0"/>
      <w:marRight w:val="0"/>
      <w:marTop w:val="0"/>
      <w:marBottom w:val="0"/>
      <w:divBdr>
        <w:top w:val="none" w:sz="0" w:space="0" w:color="auto"/>
        <w:left w:val="none" w:sz="0" w:space="0" w:color="auto"/>
        <w:bottom w:val="none" w:sz="0" w:space="0" w:color="auto"/>
        <w:right w:val="none" w:sz="0" w:space="0" w:color="auto"/>
      </w:divBdr>
    </w:div>
    <w:div w:id="1812287456">
      <w:bodyDiv w:val="1"/>
      <w:marLeft w:val="0"/>
      <w:marRight w:val="0"/>
      <w:marTop w:val="0"/>
      <w:marBottom w:val="0"/>
      <w:divBdr>
        <w:top w:val="none" w:sz="0" w:space="0" w:color="auto"/>
        <w:left w:val="none" w:sz="0" w:space="0" w:color="auto"/>
        <w:bottom w:val="none" w:sz="0" w:space="0" w:color="auto"/>
        <w:right w:val="none" w:sz="0" w:space="0" w:color="auto"/>
      </w:divBdr>
      <w:divsChild>
        <w:div w:id="1519614901">
          <w:marLeft w:val="0"/>
          <w:marRight w:val="0"/>
          <w:marTop w:val="0"/>
          <w:marBottom w:val="0"/>
          <w:divBdr>
            <w:top w:val="none" w:sz="0" w:space="0" w:color="auto"/>
            <w:left w:val="none" w:sz="0" w:space="0" w:color="auto"/>
            <w:bottom w:val="none" w:sz="0" w:space="0" w:color="auto"/>
            <w:right w:val="none" w:sz="0" w:space="0" w:color="auto"/>
          </w:divBdr>
          <w:divsChild>
            <w:div w:id="1709211346">
              <w:marLeft w:val="0"/>
              <w:marRight w:val="0"/>
              <w:marTop w:val="0"/>
              <w:marBottom w:val="0"/>
              <w:divBdr>
                <w:top w:val="none" w:sz="0" w:space="0" w:color="auto"/>
                <w:left w:val="none" w:sz="0" w:space="0" w:color="auto"/>
                <w:bottom w:val="none" w:sz="0" w:space="0" w:color="auto"/>
                <w:right w:val="none" w:sz="0" w:space="0" w:color="auto"/>
              </w:divBdr>
              <w:divsChild>
                <w:div w:id="715080374">
                  <w:marLeft w:val="0"/>
                  <w:marRight w:val="0"/>
                  <w:marTop w:val="0"/>
                  <w:marBottom w:val="0"/>
                  <w:divBdr>
                    <w:top w:val="none" w:sz="0" w:space="0" w:color="auto"/>
                    <w:left w:val="none" w:sz="0" w:space="0" w:color="auto"/>
                    <w:bottom w:val="none" w:sz="0" w:space="0" w:color="auto"/>
                    <w:right w:val="none" w:sz="0" w:space="0" w:color="auto"/>
                  </w:divBdr>
                  <w:divsChild>
                    <w:div w:id="1625967195">
                      <w:marLeft w:val="0"/>
                      <w:marRight w:val="0"/>
                      <w:marTop w:val="0"/>
                      <w:marBottom w:val="0"/>
                      <w:divBdr>
                        <w:top w:val="none" w:sz="0" w:space="0" w:color="auto"/>
                        <w:left w:val="none" w:sz="0" w:space="0" w:color="auto"/>
                        <w:bottom w:val="none" w:sz="0" w:space="0" w:color="auto"/>
                        <w:right w:val="none" w:sz="0" w:space="0" w:color="auto"/>
                      </w:divBdr>
                      <w:divsChild>
                        <w:div w:id="774322890">
                          <w:marLeft w:val="0"/>
                          <w:marRight w:val="0"/>
                          <w:marTop w:val="0"/>
                          <w:marBottom w:val="0"/>
                          <w:divBdr>
                            <w:top w:val="none" w:sz="0" w:space="0" w:color="auto"/>
                            <w:left w:val="none" w:sz="0" w:space="0" w:color="auto"/>
                            <w:bottom w:val="none" w:sz="0" w:space="0" w:color="auto"/>
                            <w:right w:val="none" w:sz="0" w:space="0" w:color="auto"/>
                          </w:divBdr>
                          <w:divsChild>
                            <w:div w:id="1159536810">
                              <w:marLeft w:val="0"/>
                              <w:marRight w:val="0"/>
                              <w:marTop w:val="0"/>
                              <w:marBottom w:val="0"/>
                              <w:divBdr>
                                <w:top w:val="none" w:sz="0" w:space="0" w:color="auto"/>
                                <w:left w:val="none" w:sz="0" w:space="0" w:color="auto"/>
                                <w:bottom w:val="none" w:sz="0" w:space="0" w:color="auto"/>
                                <w:right w:val="none" w:sz="0" w:space="0" w:color="auto"/>
                              </w:divBdr>
                              <w:divsChild>
                                <w:div w:id="74017141">
                                  <w:marLeft w:val="0"/>
                                  <w:marRight w:val="0"/>
                                  <w:marTop w:val="0"/>
                                  <w:marBottom w:val="0"/>
                                  <w:divBdr>
                                    <w:top w:val="none" w:sz="0" w:space="0" w:color="auto"/>
                                    <w:left w:val="none" w:sz="0" w:space="0" w:color="auto"/>
                                    <w:bottom w:val="none" w:sz="0" w:space="0" w:color="auto"/>
                                    <w:right w:val="none" w:sz="0" w:space="0" w:color="auto"/>
                                  </w:divBdr>
                                  <w:divsChild>
                                    <w:div w:id="2012441471">
                                      <w:marLeft w:val="0"/>
                                      <w:marRight w:val="0"/>
                                      <w:marTop w:val="0"/>
                                      <w:marBottom w:val="0"/>
                                      <w:divBdr>
                                        <w:top w:val="none" w:sz="0" w:space="0" w:color="auto"/>
                                        <w:left w:val="none" w:sz="0" w:space="0" w:color="auto"/>
                                        <w:bottom w:val="none" w:sz="0" w:space="0" w:color="auto"/>
                                        <w:right w:val="none" w:sz="0" w:space="0" w:color="auto"/>
                                      </w:divBdr>
                                      <w:divsChild>
                                        <w:div w:id="1220625953">
                                          <w:marLeft w:val="0"/>
                                          <w:marRight w:val="0"/>
                                          <w:marTop w:val="0"/>
                                          <w:marBottom w:val="0"/>
                                          <w:divBdr>
                                            <w:top w:val="none" w:sz="0" w:space="0" w:color="auto"/>
                                            <w:left w:val="none" w:sz="0" w:space="0" w:color="auto"/>
                                            <w:bottom w:val="none" w:sz="0" w:space="0" w:color="auto"/>
                                            <w:right w:val="none" w:sz="0" w:space="0" w:color="auto"/>
                                          </w:divBdr>
                                          <w:divsChild>
                                            <w:div w:id="2091154656">
                                              <w:marLeft w:val="0"/>
                                              <w:marRight w:val="0"/>
                                              <w:marTop w:val="0"/>
                                              <w:marBottom w:val="0"/>
                                              <w:divBdr>
                                                <w:top w:val="none" w:sz="0" w:space="0" w:color="auto"/>
                                                <w:left w:val="none" w:sz="0" w:space="0" w:color="auto"/>
                                                <w:bottom w:val="none" w:sz="0" w:space="0" w:color="auto"/>
                                                <w:right w:val="none" w:sz="0" w:space="0" w:color="auto"/>
                                              </w:divBdr>
                                              <w:divsChild>
                                                <w:div w:id="1473324405">
                                                  <w:marLeft w:val="0"/>
                                                  <w:marRight w:val="0"/>
                                                  <w:marTop w:val="0"/>
                                                  <w:marBottom w:val="0"/>
                                                  <w:divBdr>
                                                    <w:top w:val="none" w:sz="0" w:space="0" w:color="auto"/>
                                                    <w:left w:val="none" w:sz="0" w:space="0" w:color="auto"/>
                                                    <w:bottom w:val="none" w:sz="0" w:space="0" w:color="auto"/>
                                                    <w:right w:val="none" w:sz="0" w:space="0" w:color="auto"/>
                                                  </w:divBdr>
                                                  <w:divsChild>
                                                    <w:div w:id="3206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508069">
      <w:bodyDiv w:val="1"/>
      <w:marLeft w:val="0"/>
      <w:marRight w:val="0"/>
      <w:marTop w:val="0"/>
      <w:marBottom w:val="0"/>
      <w:divBdr>
        <w:top w:val="none" w:sz="0" w:space="0" w:color="auto"/>
        <w:left w:val="none" w:sz="0" w:space="0" w:color="auto"/>
        <w:bottom w:val="none" w:sz="0" w:space="0" w:color="auto"/>
        <w:right w:val="none" w:sz="0" w:space="0" w:color="auto"/>
      </w:divBdr>
    </w:div>
    <w:div w:id="1868444716">
      <w:bodyDiv w:val="1"/>
      <w:marLeft w:val="0"/>
      <w:marRight w:val="0"/>
      <w:marTop w:val="0"/>
      <w:marBottom w:val="0"/>
      <w:divBdr>
        <w:top w:val="none" w:sz="0" w:space="0" w:color="auto"/>
        <w:left w:val="none" w:sz="0" w:space="0" w:color="auto"/>
        <w:bottom w:val="none" w:sz="0" w:space="0" w:color="auto"/>
        <w:right w:val="none" w:sz="0" w:space="0" w:color="auto"/>
      </w:divBdr>
    </w:div>
    <w:div w:id="1884173671">
      <w:bodyDiv w:val="1"/>
      <w:marLeft w:val="0"/>
      <w:marRight w:val="0"/>
      <w:marTop w:val="0"/>
      <w:marBottom w:val="0"/>
      <w:divBdr>
        <w:top w:val="none" w:sz="0" w:space="0" w:color="auto"/>
        <w:left w:val="none" w:sz="0" w:space="0" w:color="auto"/>
        <w:bottom w:val="none" w:sz="0" w:space="0" w:color="auto"/>
        <w:right w:val="none" w:sz="0" w:space="0" w:color="auto"/>
      </w:divBdr>
    </w:div>
    <w:div w:id="1920365170">
      <w:bodyDiv w:val="1"/>
      <w:marLeft w:val="0"/>
      <w:marRight w:val="0"/>
      <w:marTop w:val="0"/>
      <w:marBottom w:val="0"/>
      <w:divBdr>
        <w:top w:val="none" w:sz="0" w:space="0" w:color="auto"/>
        <w:left w:val="none" w:sz="0" w:space="0" w:color="auto"/>
        <w:bottom w:val="none" w:sz="0" w:space="0" w:color="auto"/>
        <w:right w:val="none" w:sz="0" w:space="0" w:color="auto"/>
      </w:divBdr>
    </w:div>
    <w:div w:id="1957171591">
      <w:bodyDiv w:val="1"/>
      <w:marLeft w:val="0"/>
      <w:marRight w:val="0"/>
      <w:marTop w:val="0"/>
      <w:marBottom w:val="0"/>
      <w:divBdr>
        <w:top w:val="none" w:sz="0" w:space="0" w:color="auto"/>
        <w:left w:val="none" w:sz="0" w:space="0" w:color="auto"/>
        <w:bottom w:val="none" w:sz="0" w:space="0" w:color="auto"/>
        <w:right w:val="none" w:sz="0" w:space="0" w:color="auto"/>
      </w:divBdr>
      <w:divsChild>
        <w:div w:id="1267738259">
          <w:marLeft w:val="0"/>
          <w:marRight w:val="0"/>
          <w:marTop w:val="0"/>
          <w:marBottom w:val="0"/>
          <w:divBdr>
            <w:top w:val="none" w:sz="0" w:space="0" w:color="auto"/>
            <w:left w:val="none" w:sz="0" w:space="0" w:color="auto"/>
            <w:bottom w:val="none" w:sz="0" w:space="0" w:color="auto"/>
            <w:right w:val="none" w:sz="0" w:space="0" w:color="auto"/>
          </w:divBdr>
          <w:divsChild>
            <w:div w:id="1774470991">
              <w:marLeft w:val="0"/>
              <w:marRight w:val="0"/>
              <w:marTop w:val="0"/>
              <w:marBottom w:val="0"/>
              <w:divBdr>
                <w:top w:val="none" w:sz="0" w:space="0" w:color="auto"/>
                <w:left w:val="none" w:sz="0" w:space="0" w:color="auto"/>
                <w:bottom w:val="none" w:sz="0" w:space="0" w:color="auto"/>
                <w:right w:val="none" w:sz="0" w:space="0" w:color="auto"/>
              </w:divBdr>
              <w:divsChild>
                <w:div w:id="1825124278">
                  <w:marLeft w:val="0"/>
                  <w:marRight w:val="0"/>
                  <w:marTop w:val="0"/>
                  <w:marBottom w:val="0"/>
                  <w:divBdr>
                    <w:top w:val="none" w:sz="0" w:space="0" w:color="auto"/>
                    <w:left w:val="none" w:sz="0" w:space="0" w:color="auto"/>
                    <w:bottom w:val="none" w:sz="0" w:space="0" w:color="auto"/>
                    <w:right w:val="none" w:sz="0" w:space="0" w:color="auto"/>
                  </w:divBdr>
                  <w:divsChild>
                    <w:div w:id="1635671156">
                      <w:marLeft w:val="0"/>
                      <w:marRight w:val="0"/>
                      <w:marTop w:val="0"/>
                      <w:marBottom w:val="0"/>
                      <w:divBdr>
                        <w:top w:val="none" w:sz="0" w:space="0" w:color="auto"/>
                        <w:left w:val="none" w:sz="0" w:space="0" w:color="auto"/>
                        <w:bottom w:val="none" w:sz="0" w:space="0" w:color="auto"/>
                        <w:right w:val="none" w:sz="0" w:space="0" w:color="auto"/>
                      </w:divBdr>
                      <w:divsChild>
                        <w:div w:id="465902219">
                          <w:marLeft w:val="0"/>
                          <w:marRight w:val="0"/>
                          <w:marTop w:val="0"/>
                          <w:marBottom w:val="0"/>
                          <w:divBdr>
                            <w:top w:val="none" w:sz="0" w:space="0" w:color="auto"/>
                            <w:left w:val="none" w:sz="0" w:space="0" w:color="auto"/>
                            <w:bottom w:val="none" w:sz="0" w:space="0" w:color="auto"/>
                            <w:right w:val="none" w:sz="0" w:space="0" w:color="auto"/>
                          </w:divBdr>
                          <w:divsChild>
                            <w:div w:id="949315161">
                              <w:marLeft w:val="0"/>
                              <w:marRight w:val="0"/>
                              <w:marTop w:val="0"/>
                              <w:marBottom w:val="0"/>
                              <w:divBdr>
                                <w:top w:val="none" w:sz="0" w:space="0" w:color="auto"/>
                                <w:left w:val="none" w:sz="0" w:space="0" w:color="auto"/>
                                <w:bottom w:val="none" w:sz="0" w:space="0" w:color="auto"/>
                                <w:right w:val="none" w:sz="0" w:space="0" w:color="auto"/>
                              </w:divBdr>
                              <w:divsChild>
                                <w:div w:id="515729744">
                                  <w:marLeft w:val="0"/>
                                  <w:marRight w:val="0"/>
                                  <w:marTop w:val="0"/>
                                  <w:marBottom w:val="0"/>
                                  <w:divBdr>
                                    <w:top w:val="none" w:sz="0" w:space="0" w:color="auto"/>
                                    <w:left w:val="none" w:sz="0" w:space="0" w:color="auto"/>
                                    <w:bottom w:val="none" w:sz="0" w:space="0" w:color="auto"/>
                                    <w:right w:val="none" w:sz="0" w:space="0" w:color="auto"/>
                                  </w:divBdr>
                                  <w:divsChild>
                                    <w:div w:id="409741883">
                                      <w:marLeft w:val="0"/>
                                      <w:marRight w:val="0"/>
                                      <w:marTop w:val="0"/>
                                      <w:marBottom w:val="0"/>
                                      <w:divBdr>
                                        <w:top w:val="none" w:sz="0" w:space="0" w:color="auto"/>
                                        <w:left w:val="none" w:sz="0" w:space="0" w:color="auto"/>
                                        <w:bottom w:val="none" w:sz="0" w:space="0" w:color="auto"/>
                                        <w:right w:val="none" w:sz="0" w:space="0" w:color="auto"/>
                                      </w:divBdr>
                                      <w:divsChild>
                                        <w:div w:id="105777294">
                                          <w:marLeft w:val="0"/>
                                          <w:marRight w:val="0"/>
                                          <w:marTop w:val="0"/>
                                          <w:marBottom w:val="0"/>
                                          <w:divBdr>
                                            <w:top w:val="none" w:sz="0" w:space="0" w:color="auto"/>
                                            <w:left w:val="none" w:sz="0" w:space="0" w:color="auto"/>
                                            <w:bottom w:val="none" w:sz="0" w:space="0" w:color="auto"/>
                                            <w:right w:val="none" w:sz="0" w:space="0" w:color="auto"/>
                                          </w:divBdr>
                                        </w:div>
                                        <w:div w:id="664238830">
                                          <w:marLeft w:val="0"/>
                                          <w:marRight w:val="0"/>
                                          <w:marTop w:val="0"/>
                                          <w:marBottom w:val="0"/>
                                          <w:divBdr>
                                            <w:top w:val="none" w:sz="0" w:space="0" w:color="auto"/>
                                            <w:left w:val="none" w:sz="0" w:space="0" w:color="auto"/>
                                            <w:bottom w:val="none" w:sz="0" w:space="0" w:color="auto"/>
                                            <w:right w:val="none" w:sz="0" w:space="0" w:color="auto"/>
                                          </w:divBdr>
                                        </w:div>
                                        <w:div w:id="812871341">
                                          <w:marLeft w:val="0"/>
                                          <w:marRight w:val="0"/>
                                          <w:marTop w:val="0"/>
                                          <w:marBottom w:val="0"/>
                                          <w:divBdr>
                                            <w:top w:val="none" w:sz="0" w:space="0" w:color="auto"/>
                                            <w:left w:val="none" w:sz="0" w:space="0" w:color="auto"/>
                                            <w:bottom w:val="none" w:sz="0" w:space="0" w:color="auto"/>
                                            <w:right w:val="none" w:sz="0" w:space="0" w:color="auto"/>
                                          </w:divBdr>
                                        </w:div>
                                        <w:div w:id="1245262242">
                                          <w:marLeft w:val="0"/>
                                          <w:marRight w:val="0"/>
                                          <w:marTop w:val="0"/>
                                          <w:marBottom w:val="0"/>
                                          <w:divBdr>
                                            <w:top w:val="none" w:sz="0" w:space="0" w:color="auto"/>
                                            <w:left w:val="none" w:sz="0" w:space="0" w:color="auto"/>
                                            <w:bottom w:val="none" w:sz="0" w:space="0" w:color="auto"/>
                                            <w:right w:val="none" w:sz="0" w:space="0" w:color="auto"/>
                                          </w:divBdr>
                                        </w:div>
                                        <w:div w:id="12642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658897">
      <w:bodyDiv w:val="1"/>
      <w:marLeft w:val="0"/>
      <w:marRight w:val="0"/>
      <w:marTop w:val="0"/>
      <w:marBottom w:val="0"/>
      <w:divBdr>
        <w:top w:val="none" w:sz="0" w:space="0" w:color="auto"/>
        <w:left w:val="none" w:sz="0" w:space="0" w:color="auto"/>
        <w:bottom w:val="none" w:sz="0" w:space="0" w:color="auto"/>
        <w:right w:val="none" w:sz="0" w:space="0" w:color="auto"/>
      </w:divBdr>
      <w:divsChild>
        <w:div w:id="2045401521">
          <w:marLeft w:val="0"/>
          <w:marRight w:val="0"/>
          <w:marTop w:val="0"/>
          <w:marBottom w:val="0"/>
          <w:divBdr>
            <w:top w:val="none" w:sz="0" w:space="0" w:color="auto"/>
            <w:left w:val="none" w:sz="0" w:space="0" w:color="auto"/>
            <w:bottom w:val="none" w:sz="0" w:space="0" w:color="auto"/>
            <w:right w:val="none" w:sz="0" w:space="0" w:color="auto"/>
          </w:divBdr>
          <w:divsChild>
            <w:div w:id="288442233">
              <w:marLeft w:val="0"/>
              <w:marRight w:val="0"/>
              <w:marTop w:val="0"/>
              <w:marBottom w:val="0"/>
              <w:divBdr>
                <w:top w:val="none" w:sz="0" w:space="0" w:color="auto"/>
                <w:left w:val="none" w:sz="0" w:space="0" w:color="auto"/>
                <w:bottom w:val="none" w:sz="0" w:space="0" w:color="auto"/>
                <w:right w:val="none" w:sz="0" w:space="0" w:color="auto"/>
              </w:divBdr>
              <w:divsChild>
                <w:div w:id="1042250698">
                  <w:marLeft w:val="0"/>
                  <w:marRight w:val="0"/>
                  <w:marTop w:val="0"/>
                  <w:marBottom w:val="0"/>
                  <w:divBdr>
                    <w:top w:val="none" w:sz="0" w:space="0" w:color="auto"/>
                    <w:left w:val="none" w:sz="0" w:space="0" w:color="auto"/>
                    <w:bottom w:val="none" w:sz="0" w:space="0" w:color="auto"/>
                    <w:right w:val="none" w:sz="0" w:space="0" w:color="auto"/>
                  </w:divBdr>
                  <w:divsChild>
                    <w:div w:id="1071779359">
                      <w:marLeft w:val="0"/>
                      <w:marRight w:val="0"/>
                      <w:marTop w:val="0"/>
                      <w:marBottom w:val="0"/>
                      <w:divBdr>
                        <w:top w:val="none" w:sz="0" w:space="0" w:color="auto"/>
                        <w:left w:val="none" w:sz="0" w:space="0" w:color="auto"/>
                        <w:bottom w:val="none" w:sz="0" w:space="0" w:color="auto"/>
                        <w:right w:val="none" w:sz="0" w:space="0" w:color="auto"/>
                      </w:divBdr>
                      <w:divsChild>
                        <w:div w:id="154952746">
                          <w:marLeft w:val="0"/>
                          <w:marRight w:val="0"/>
                          <w:marTop w:val="0"/>
                          <w:marBottom w:val="0"/>
                          <w:divBdr>
                            <w:top w:val="none" w:sz="0" w:space="0" w:color="auto"/>
                            <w:left w:val="none" w:sz="0" w:space="0" w:color="auto"/>
                            <w:bottom w:val="none" w:sz="0" w:space="0" w:color="auto"/>
                            <w:right w:val="none" w:sz="0" w:space="0" w:color="auto"/>
                          </w:divBdr>
                          <w:divsChild>
                            <w:div w:id="1458571628">
                              <w:marLeft w:val="0"/>
                              <w:marRight w:val="0"/>
                              <w:marTop w:val="0"/>
                              <w:marBottom w:val="0"/>
                              <w:divBdr>
                                <w:top w:val="none" w:sz="0" w:space="0" w:color="auto"/>
                                <w:left w:val="none" w:sz="0" w:space="0" w:color="auto"/>
                                <w:bottom w:val="none" w:sz="0" w:space="0" w:color="auto"/>
                                <w:right w:val="none" w:sz="0" w:space="0" w:color="auto"/>
                              </w:divBdr>
                              <w:divsChild>
                                <w:div w:id="1440103017">
                                  <w:marLeft w:val="0"/>
                                  <w:marRight w:val="0"/>
                                  <w:marTop w:val="0"/>
                                  <w:marBottom w:val="0"/>
                                  <w:divBdr>
                                    <w:top w:val="none" w:sz="0" w:space="0" w:color="auto"/>
                                    <w:left w:val="none" w:sz="0" w:space="0" w:color="auto"/>
                                    <w:bottom w:val="none" w:sz="0" w:space="0" w:color="auto"/>
                                    <w:right w:val="none" w:sz="0" w:space="0" w:color="auto"/>
                                  </w:divBdr>
                                  <w:divsChild>
                                    <w:div w:id="173570501">
                                      <w:marLeft w:val="0"/>
                                      <w:marRight w:val="0"/>
                                      <w:marTop w:val="0"/>
                                      <w:marBottom w:val="0"/>
                                      <w:divBdr>
                                        <w:top w:val="none" w:sz="0" w:space="0" w:color="auto"/>
                                        <w:left w:val="none" w:sz="0" w:space="0" w:color="auto"/>
                                        <w:bottom w:val="none" w:sz="0" w:space="0" w:color="auto"/>
                                        <w:right w:val="none" w:sz="0" w:space="0" w:color="auto"/>
                                      </w:divBdr>
                                      <w:divsChild>
                                        <w:div w:id="1940485662">
                                          <w:marLeft w:val="0"/>
                                          <w:marRight w:val="0"/>
                                          <w:marTop w:val="0"/>
                                          <w:marBottom w:val="0"/>
                                          <w:divBdr>
                                            <w:top w:val="none" w:sz="0" w:space="0" w:color="auto"/>
                                            <w:left w:val="none" w:sz="0" w:space="0" w:color="auto"/>
                                            <w:bottom w:val="none" w:sz="0" w:space="0" w:color="auto"/>
                                            <w:right w:val="none" w:sz="0" w:space="0" w:color="auto"/>
                                          </w:divBdr>
                                        </w:div>
                                      </w:divsChild>
                                    </w:div>
                                    <w:div w:id="377819788">
                                      <w:marLeft w:val="0"/>
                                      <w:marRight w:val="0"/>
                                      <w:marTop w:val="0"/>
                                      <w:marBottom w:val="0"/>
                                      <w:divBdr>
                                        <w:top w:val="none" w:sz="0" w:space="0" w:color="auto"/>
                                        <w:left w:val="none" w:sz="0" w:space="0" w:color="auto"/>
                                        <w:bottom w:val="none" w:sz="0" w:space="0" w:color="auto"/>
                                        <w:right w:val="none" w:sz="0" w:space="0" w:color="auto"/>
                                      </w:divBdr>
                                    </w:div>
                                    <w:div w:id="474832141">
                                      <w:marLeft w:val="0"/>
                                      <w:marRight w:val="0"/>
                                      <w:marTop w:val="0"/>
                                      <w:marBottom w:val="0"/>
                                      <w:divBdr>
                                        <w:top w:val="none" w:sz="0" w:space="0" w:color="auto"/>
                                        <w:left w:val="none" w:sz="0" w:space="0" w:color="auto"/>
                                        <w:bottom w:val="none" w:sz="0" w:space="0" w:color="auto"/>
                                        <w:right w:val="none" w:sz="0" w:space="0" w:color="auto"/>
                                      </w:divBdr>
                                      <w:divsChild>
                                        <w:div w:id="808741696">
                                          <w:marLeft w:val="0"/>
                                          <w:marRight w:val="0"/>
                                          <w:marTop w:val="0"/>
                                          <w:marBottom w:val="0"/>
                                          <w:divBdr>
                                            <w:top w:val="none" w:sz="0" w:space="0" w:color="auto"/>
                                            <w:left w:val="none" w:sz="0" w:space="0" w:color="auto"/>
                                            <w:bottom w:val="none" w:sz="0" w:space="0" w:color="auto"/>
                                            <w:right w:val="none" w:sz="0" w:space="0" w:color="auto"/>
                                          </w:divBdr>
                                        </w:div>
                                        <w:div w:id="1154488169">
                                          <w:marLeft w:val="0"/>
                                          <w:marRight w:val="0"/>
                                          <w:marTop w:val="0"/>
                                          <w:marBottom w:val="0"/>
                                          <w:divBdr>
                                            <w:top w:val="none" w:sz="0" w:space="0" w:color="auto"/>
                                            <w:left w:val="none" w:sz="0" w:space="0" w:color="auto"/>
                                            <w:bottom w:val="none" w:sz="0" w:space="0" w:color="auto"/>
                                            <w:right w:val="none" w:sz="0" w:space="0" w:color="auto"/>
                                          </w:divBdr>
                                        </w:div>
                                      </w:divsChild>
                                    </w:div>
                                    <w:div w:id="738290535">
                                      <w:marLeft w:val="0"/>
                                      <w:marRight w:val="0"/>
                                      <w:marTop w:val="0"/>
                                      <w:marBottom w:val="0"/>
                                      <w:divBdr>
                                        <w:top w:val="none" w:sz="0" w:space="0" w:color="auto"/>
                                        <w:left w:val="none" w:sz="0" w:space="0" w:color="auto"/>
                                        <w:bottom w:val="none" w:sz="0" w:space="0" w:color="auto"/>
                                        <w:right w:val="none" w:sz="0" w:space="0" w:color="auto"/>
                                      </w:divBdr>
                                    </w:div>
                                    <w:div w:id="1285772553">
                                      <w:marLeft w:val="0"/>
                                      <w:marRight w:val="0"/>
                                      <w:marTop w:val="0"/>
                                      <w:marBottom w:val="0"/>
                                      <w:divBdr>
                                        <w:top w:val="none" w:sz="0" w:space="0" w:color="auto"/>
                                        <w:left w:val="none" w:sz="0" w:space="0" w:color="auto"/>
                                        <w:bottom w:val="none" w:sz="0" w:space="0" w:color="auto"/>
                                        <w:right w:val="none" w:sz="0" w:space="0" w:color="auto"/>
                                      </w:divBdr>
                                    </w:div>
                                    <w:div w:id="1369456714">
                                      <w:marLeft w:val="0"/>
                                      <w:marRight w:val="0"/>
                                      <w:marTop w:val="0"/>
                                      <w:marBottom w:val="0"/>
                                      <w:divBdr>
                                        <w:top w:val="none" w:sz="0" w:space="0" w:color="auto"/>
                                        <w:left w:val="none" w:sz="0" w:space="0" w:color="auto"/>
                                        <w:bottom w:val="none" w:sz="0" w:space="0" w:color="auto"/>
                                        <w:right w:val="none" w:sz="0" w:space="0" w:color="auto"/>
                                      </w:divBdr>
                                    </w:div>
                                    <w:div w:id="1798141655">
                                      <w:marLeft w:val="0"/>
                                      <w:marRight w:val="0"/>
                                      <w:marTop w:val="0"/>
                                      <w:marBottom w:val="0"/>
                                      <w:divBdr>
                                        <w:top w:val="none" w:sz="0" w:space="0" w:color="auto"/>
                                        <w:left w:val="none" w:sz="0" w:space="0" w:color="auto"/>
                                        <w:bottom w:val="none" w:sz="0" w:space="0" w:color="auto"/>
                                        <w:right w:val="none" w:sz="0" w:space="0" w:color="auto"/>
                                      </w:divBdr>
                                      <w:divsChild>
                                        <w:div w:id="19582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113846">
      <w:bodyDiv w:val="1"/>
      <w:marLeft w:val="0"/>
      <w:marRight w:val="0"/>
      <w:marTop w:val="0"/>
      <w:marBottom w:val="0"/>
      <w:divBdr>
        <w:top w:val="none" w:sz="0" w:space="0" w:color="auto"/>
        <w:left w:val="none" w:sz="0" w:space="0" w:color="auto"/>
        <w:bottom w:val="none" w:sz="0" w:space="0" w:color="auto"/>
        <w:right w:val="none" w:sz="0" w:space="0" w:color="auto"/>
      </w:divBdr>
      <w:divsChild>
        <w:div w:id="554315305">
          <w:marLeft w:val="0"/>
          <w:marRight w:val="0"/>
          <w:marTop w:val="0"/>
          <w:marBottom w:val="0"/>
          <w:divBdr>
            <w:top w:val="none" w:sz="0" w:space="0" w:color="auto"/>
            <w:left w:val="none" w:sz="0" w:space="0" w:color="auto"/>
            <w:bottom w:val="none" w:sz="0" w:space="0" w:color="auto"/>
            <w:right w:val="none" w:sz="0" w:space="0" w:color="auto"/>
          </w:divBdr>
          <w:divsChild>
            <w:div w:id="922181806">
              <w:marLeft w:val="0"/>
              <w:marRight w:val="0"/>
              <w:marTop w:val="0"/>
              <w:marBottom w:val="0"/>
              <w:divBdr>
                <w:top w:val="none" w:sz="0" w:space="0" w:color="auto"/>
                <w:left w:val="none" w:sz="0" w:space="0" w:color="auto"/>
                <w:bottom w:val="none" w:sz="0" w:space="0" w:color="auto"/>
                <w:right w:val="none" w:sz="0" w:space="0" w:color="auto"/>
              </w:divBdr>
              <w:divsChild>
                <w:div w:id="589169088">
                  <w:marLeft w:val="0"/>
                  <w:marRight w:val="0"/>
                  <w:marTop w:val="0"/>
                  <w:marBottom w:val="0"/>
                  <w:divBdr>
                    <w:top w:val="none" w:sz="0" w:space="0" w:color="auto"/>
                    <w:left w:val="none" w:sz="0" w:space="0" w:color="auto"/>
                    <w:bottom w:val="none" w:sz="0" w:space="0" w:color="auto"/>
                    <w:right w:val="none" w:sz="0" w:space="0" w:color="auto"/>
                  </w:divBdr>
                  <w:divsChild>
                    <w:div w:id="2006469218">
                      <w:marLeft w:val="0"/>
                      <w:marRight w:val="0"/>
                      <w:marTop w:val="0"/>
                      <w:marBottom w:val="0"/>
                      <w:divBdr>
                        <w:top w:val="none" w:sz="0" w:space="0" w:color="auto"/>
                        <w:left w:val="none" w:sz="0" w:space="0" w:color="auto"/>
                        <w:bottom w:val="none" w:sz="0" w:space="0" w:color="auto"/>
                        <w:right w:val="none" w:sz="0" w:space="0" w:color="auto"/>
                      </w:divBdr>
                      <w:divsChild>
                        <w:div w:id="544564294">
                          <w:marLeft w:val="0"/>
                          <w:marRight w:val="0"/>
                          <w:marTop w:val="0"/>
                          <w:marBottom w:val="0"/>
                          <w:divBdr>
                            <w:top w:val="none" w:sz="0" w:space="0" w:color="auto"/>
                            <w:left w:val="none" w:sz="0" w:space="0" w:color="auto"/>
                            <w:bottom w:val="none" w:sz="0" w:space="0" w:color="auto"/>
                            <w:right w:val="none" w:sz="0" w:space="0" w:color="auto"/>
                          </w:divBdr>
                          <w:divsChild>
                            <w:div w:id="784887710">
                              <w:marLeft w:val="0"/>
                              <w:marRight w:val="0"/>
                              <w:marTop w:val="0"/>
                              <w:marBottom w:val="0"/>
                              <w:divBdr>
                                <w:top w:val="none" w:sz="0" w:space="0" w:color="auto"/>
                                <w:left w:val="none" w:sz="0" w:space="0" w:color="auto"/>
                                <w:bottom w:val="none" w:sz="0" w:space="0" w:color="auto"/>
                                <w:right w:val="none" w:sz="0" w:space="0" w:color="auto"/>
                              </w:divBdr>
                              <w:divsChild>
                                <w:div w:id="2033874493">
                                  <w:marLeft w:val="0"/>
                                  <w:marRight w:val="0"/>
                                  <w:marTop w:val="0"/>
                                  <w:marBottom w:val="0"/>
                                  <w:divBdr>
                                    <w:top w:val="none" w:sz="0" w:space="0" w:color="auto"/>
                                    <w:left w:val="none" w:sz="0" w:space="0" w:color="auto"/>
                                    <w:bottom w:val="none" w:sz="0" w:space="0" w:color="auto"/>
                                    <w:right w:val="none" w:sz="0" w:space="0" w:color="auto"/>
                                  </w:divBdr>
                                  <w:divsChild>
                                    <w:div w:id="17777295">
                                      <w:marLeft w:val="0"/>
                                      <w:marRight w:val="0"/>
                                      <w:marTop w:val="0"/>
                                      <w:marBottom w:val="0"/>
                                      <w:divBdr>
                                        <w:top w:val="none" w:sz="0" w:space="0" w:color="auto"/>
                                        <w:left w:val="none" w:sz="0" w:space="0" w:color="auto"/>
                                        <w:bottom w:val="none" w:sz="0" w:space="0" w:color="auto"/>
                                        <w:right w:val="none" w:sz="0" w:space="0" w:color="auto"/>
                                      </w:divBdr>
                                      <w:divsChild>
                                        <w:div w:id="10906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non.scot.nhs.uk/audit/" TargetMode="External"/><Relationship Id="rId21" Type="http://schemas.openxmlformats.org/officeDocument/2006/relationships/hyperlink" Target="https://www.thebraintumourcharity.org/about-us/annual-report-and-accounts/" TargetMode="External"/><Relationship Id="rId42" Type="http://schemas.openxmlformats.org/officeDocument/2006/relationships/hyperlink" Target="https://www.nice.org.uk/guidance/ng99" TargetMode="External"/><Relationship Id="rId47" Type="http://schemas.openxmlformats.org/officeDocument/2006/relationships/hyperlink" Target="https://bmcfampract.biomedcentral.com/articles/10.1186/s12875-019-1003-y" TargetMode="External"/><Relationship Id="rId63" Type="http://schemas.openxmlformats.org/officeDocument/2006/relationships/hyperlink" Target="https://www.nice.org.uk/guidance/ng99" TargetMode="External"/><Relationship Id="rId68" Type="http://schemas.openxmlformats.org/officeDocument/2006/relationships/hyperlink" Target="https://www.gmc-uk.org/news/news-archive/shared-decision-making-is-key-to-good-patient-care---gmc-guidance" TargetMode="External"/><Relationship Id="rId84" Type="http://schemas.openxmlformats.org/officeDocument/2006/relationships/hyperlink" Target="https://www.nice.org.uk/guidance/ng99/chapter/Recommendations" TargetMode="External"/><Relationship Id="rId89" Type="http://schemas.openxmlformats.org/officeDocument/2006/relationships/hyperlink" Target="https://www.ncbi.nlm.nih.gov/pubmed/31987643" TargetMode="External"/><Relationship Id="rId16" Type="http://schemas.openxmlformats.org/officeDocument/2006/relationships/hyperlink" Target="https://www.nice.org.uk/guidance/csg10" TargetMode="External"/><Relationship Id="rId11" Type="http://schemas.openxmlformats.org/officeDocument/2006/relationships/hyperlink" Target="https://www.england.nhs.uk/statistics/statistical-work-areas/diagnostic-imaging-dataset/diagnostic-imaging-dataset-2019-20-data/" TargetMode="External"/><Relationship Id="rId32" Type="http://schemas.openxmlformats.org/officeDocument/2006/relationships/hyperlink" Target="https://www.thebraintumourcharity.org/about-us/our-publications/finding-myself/" TargetMode="External"/><Relationship Id="rId37" Type="http://schemas.openxmlformats.org/officeDocument/2006/relationships/hyperlink" Target="https://www.nice.org.uk/guidance/ng99/evidence/evidence-reviews-july-2018-4903134733?tab=evidence" TargetMode="External"/><Relationship Id="rId53" Type="http://schemas.openxmlformats.org/officeDocument/2006/relationships/hyperlink" Target="https://pubmed.ncbi.nlm.nih.gov/31099640/" TargetMode="External"/><Relationship Id="rId58" Type="http://schemas.openxmlformats.org/officeDocument/2006/relationships/hyperlink" Target="https://www.tessajowellbraincancermission.org/wp-content/uploads/2020/10/TJ-Centre-Designation-Standards-1.pdf" TargetMode="External"/><Relationship Id="rId74" Type="http://schemas.openxmlformats.org/officeDocument/2006/relationships/hyperlink" Target="https://brainstrust.org.uk/wp-content/uploads/2020/10/national-cancer-patient-experience-survey-2019.pdf" TargetMode="External"/><Relationship Id="rId79" Type="http://schemas.openxmlformats.org/officeDocument/2006/relationships/hyperlink" Target="https://www.ncpes.co.uk/wp-content/uploads/2020/06/CPES-2019-National-Report_V1.pdf" TargetMode="External"/><Relationship Id="rId102" Type="http://schemas.openxmlformats.org/officeDocument/2006/relationships/hyperlink" Target="https://www.thebraintumourcharity.org/living-with-a-brain-tumour/brian/" TargetMode="External"/><Relationship Id="rId5" Type="http://schemas.openxmlformats.org/officeDocument/2006/relationships/webSettings" Target="webSettings.xml"/><Relationship Id="rId90" Type="http://schemas.openxmlformats.org/officeDocument/2006/relationships/hyperlink" Target="https://www.england.nhs.uk/integratedcare/what-is-integrated-care/" TargetMode="External"/><Relationship Id="rId95" Type="http://schemas.openxmlformats.org/officeDocument/2006/relationships/hyperlink" Target="https://www.dignityindying.org.uk/wp-content/uploads/What-matters-to-me-Dignity-in-Dying-Nov-2019.pdf" TargetMode="External"/><Relationship Id="rId22" Type="http://schemas.openxmlformats.org/officeDocument/2006/relationships/hyperlink" Target="https://www.england.nhs.uk/commissioning/spec-services/npc-crg/group-b/b01/" TargetMode="External"/><Relationship Id="rId27" Type="http://schemas.openxmlformats.org/officeDocument/2006/relationships/hyperlink" Target="https://www.thebraintumourcharity.org/about-us/our-publications/finding-myself/" TargetMode="External"/><Relationship Id="rId43" Type="http://schemas.openxmlformats.org/officeDocument/2006/relationships/hyperlink" Target="https://bjgp.org/content/68/666/e63" TargetMode="External"/><Relationship Id="rId48" Type="http://schemas.openxmlformats.org/officeDocument/2006/relationships/hyperlink" Target="https://bjgp.org/content/69/681/e224" TargetMode="External"/><Relationship Id="rId64" Type="http://schemas.openxmlformats.org/officeDocument/2006/relationships/hyperlink" Target="https://www.ncbi.nlm.nih.gov/pubmed/16648043" TargetMode="External"/><Relationship Id="rId69" Type="http://schemas.openxmlformats.org/officeDocument/2006/relationships/hyperlink" Target="https://onlinelibrary.wiley.com/doi/abs/10.1002/pon.4906" TargetMode="External"/><Relationship Id="rId80" Type="http://schemas.openxmlformats.org/officeDocument/2006/relationships/image" Target="media/image4.png"/><Relationship Id="rId85" Type="http://schemas.openxmlformats.org/officeDocument/2006/relationships/hyperlink" Target="https://www.tessajowellbraincancermission.org/wp-content/uploads/2020/10/TJ-Centre-Designation-Standards-1.pdf" TargetMode="External"/><Relationship Id="rId12" Type="http://schemas.openxmlformats.org/officeDocument/2006/relationships/hyperlink" Target="https://www.ncpes.co.uk/" TargetMode="External"/><Relationship Id="rId17" Type="http://schemas.openxmlformats.org/officeDocument/2006/relationships/hyperlink" Target="https://www.nice.org.uk/guidance/csg10" TargetMode="External"/><Relationship Id="rId33" Type="http://schemas.openxmlformats.org/officeDocument/2006/relationships/hyperlink" Target="https://www.ncpes.co.uk/" TargetMode="External"/><Relationship Id="rId38" Type="http://schemas.openxmlformats.org/officeDocument/2006/relationships/hyperlink" Target="https://www.nice.org.uk/terms-and-conditions" TargetMode="External"/><Relationship Id="rId59" Type="http://schemas.openxmlformats.org/officeDocument/2006/relationships/hyperlink" Target="https://www.bmj.com/content/366/bmj.l5120.full" TargetMode="External"/><Relationship Id="rId103" Type="http://schemas.openxmlformats.org/officeDocument/2006/relationships/hyperlink" Target="https://cks.nice.org.uk/childhood-cancers-recognition-and-referral" TargetMode="External"/><Relationship Id="rId20" Type="http://schemas.openxmlformats.org/officeDocument/2006/relationships/hyperlink" Target="https://www.sanon.scot.nhs.uk/audit/" TargetMode="External"/><Relationship Id="rId41" Type="http://schemas.openxmlformats.org/officeDocument/2006/relationships/footer" Target="footer2.xml"/><Relationship Id="rId54" Type="http://schemas.openxmlformats.org/officeDocument/2006/relationships/hyperlink" Target="https://www.england.nhs.uk/publication/making-it-happen-multi-disciplinary-team-mdt-working/" TargetMode="External"/><Relationship Id="rId62" Type="http://schemas.openxmlformats.org/officeDocument/2006/relationships/hyperlink" Target="https://gettingitrightfirsttime.co.uk/surgical-specialty/cranial-neurosurgery/" TargetMode="External"/><Relationship Id="rId70" Type="http://schemas.openxmlformats.org/officeDocument/2006/relationships/hyperlink" Target="https://www.nice.org.uk/guidance/ng99" TargetMode="External"/><Relationship Id="rId75" Type="http://schemas.openxmlformats.org/officeDocument/2006/relationships/hyperlink" Target="https://www.scan.scot.nhs.uk/wp-content/uploads/2020/10/Final_BrainCNS_QPI_Audit_Report_2018_v1_0.pdf" TargetMode="External"/><Relationship Id="rId83" Type="http://schemas.openxmlformats.org/officeDocument/2006/relationships/hyperlink" Target="https://www.nice.org.uk/guidance/csg10" TargetMode="External"/><Relationship Id="rId88" Type="http://schemas.openxmlformats.org/officeDocument/2006/relationships/hyperlink" Target="https://www.nice.org.uk/guidance/ng99" TargetMode="External"/><Relationship Id="rId91" Type="http://schemas.openxmlformats.org/officeDocument/2006/relationships/image" Target="media/image5.png"/><Relationship Id="rId96" Type="http://schemas.openxmlformats.org/officeDocument/2006/relationships/hyperlink" Target="https://assets.publishing.service.gov.uk/government/uploads/system/uploads/attachment_data/file/318730/cm8884-valuing-every-voic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ice.org.uk/guidance/csg10" TargetMode="External"/><Relationship Id="rId23" Type="http://schemas.openxmlformats.org/officeDocument/2006/relationships/hyperlink" Target="https://www.england.nhs.uk/publication/clinical-commissioning-policy-stereotactic-radiosurgery-srs-and-stereotactic-radiotherapy-srt-to-the-surgical-cavity-following-resection-of-cerebral-metastases-all-ages/" TargetMode="External"/><Relationship Id="rId28" Type="http://schemas.openxmlformats.org/officeDocument/2006/relationships/hyperlink" Target="https://link.springer.com/article/10.1007/s00330-020-07387-3" TargetMode="External"/><Relationship Id="rId36" Type="http://schemas.openxmlformats.org/officeDocument/2006/relationships/hyperlink" Target="https://www.nice.org.uk/guidance/ng99" TargetMode="External"/><Relationship Id="rId49" Type="http://schemas.openxmlformats.org/officeDocument/2006/relationships/hyperlink" Target="https://doi.org/10.1186/s12875-019-1003-y" TargetMode="External"/><Relationship Id="rId57" Type="http://schemas.openxmlformats.org/officeDocument/2006/relationships/hyperlink" Target="https://www.sbns.org.uk/index.php/policies-and-publications/" TargetMode="External"/><Relationship Id="rId10" Type="http://schemas.openxmlformats.org/officeDocument/2006/relationships/hyperlink" Target="https://www.nice.org.uk/guidance/csg10" TargetMode="External"/><Relationship Id="rId31" Type="http://schemas.openxmlformats.org/officeDocument/2006/relationships/hyperlink" Target="https://brainstrust.org.uk/ncpes-2019/" TargetMode="External"/><Relationship Id="rId44" Type="http://schemas.openxmlformats.org/officeDocument/2006/relationships/hyperlink" Target="https://www.nice.org.uk/guidance/ng12" TargetMode="External"/><Relationship Id="rId52" Type="http://schemas.openxmlformats.org/officeDocument/2006/relationships/image" Target="media/image3.png"/><Relationship Id="rId60" Type="http://schemas.openxmlformats.org/officeDocument/2006/relationships/hyperlink" Target="https://www.macmillan.org.uk/healthcare-professionals/news-and-resources/guides/principles-and-guidance-for-prehabilitation" TargetMode="External"/><Relationship Id="rId65" Type="http://schemas.openxmlformats.org/officeDocument/2006/relationships/hyperlink" Target="https://www.nice.org.uk/guidance/ng99" TargetMode="External"/><Relationship Id="rId73" Type="http://schemas.openxmlformats.org/officeDocument/2006/relationships/hyperlink" Target="https://www.tessajowellbraincancermission.org/wp-content/uploads/2020/10/TJ-Centre-Designation-Standards-1.pdf" TargetMode="External"/><Relationship Id="rId78" Type="http://schemas.openxmlformats.org/officeDocument/2006/relationships/hyperlink" Target="https://www.nice.org.uk/guidance/ng99/chapter/Recommendations" TargetMode="External"/><Relationship Id="rId81" Type="http://schemas.openxmlformats.org/officeDocument/2006/relationships/hyperlink" Target="https://www.england.nhs.uk/ahp/about/" TargetMode="External"/><Relationship Id="rId86" Type="http://schemas.openxmlformats.org/officeDocument/2006/relationships/hyperlink" Target="https://www.thebraintumourcharity.org/about-us/our-publications/finding-myself/" TargetMode="External"/><Relationship Id="rId94" Type="http://schemas.openxmlformats.org/officeDocument/2006/relationships/hyperlink" Target="https://compassionindying.org.uk/library/i-wish-i-had-known/" TargetMode="External"/><Relationship Id="rId99" Type="http://schemas.openxmlformats.org/officeDocument/2006/relationships/hyperlink" Target="https://compassionindying.org.uk/library/advance-care-planning-in-general-practice-does-policy-match-reality/" TargetMode="External"/><Relationship Id="rId101" Type="http://schemas.openxmlformats.org/officeDocument/2006/relationships/hyperlink" Target="https://brainstrust.org.uk/brain-tumour-support/our-campaigns/quality-of-life/" TargetMode="External"/><Relationship Id="rId4" Type="http://schemas.openxmlformats.org/officeDocument/2006/relationships/settings" Target="settings.xml"/><Relationship Id="rId9" Type="http://schemas.openxmlformats.org/officeDocument/2006/relationships/hyperlink" Target="https://www.nice.org.uk/guidance/ng12" TargetMode="External"/><Relationship Id="rId13" Type="http://schemas.openxmlformats.org/officeDocument/2006/relationships/hyperlink" Target="https://bjgp.org/content/68/666/e63" TargetMode="External"/><Relationship Id="rId18" Type="http://schemas.openxmlformats.org/officeDocument/2006/relationships/hyperlink" Target="https://www.sanon.scot.nhs.uk/audit/" TargetMode="External"/><Relationship Id="rId39" Type="http://schemas.openxmlformats.org/officeDocument/2006/relationships/image" Target="media/image1.png"/><Relationship Id="rId34" Type="http://schemas.openxmlformats.org/officeDocument/2006/relationships/hyperlink" Target="https://www.sanon.scot.nhs.uk/audit/" TargetMode="External"/><Relationship Id="rId50" Type="http://schemas.openxmlformats.org/officeDocument/2006/relationships/hyperlink" Target="https://www.nice.org.uk/guidance/ng99/evidence/a-investigation-management-and-followup-of-glioma-pdf-4903134734" TargetMode="External"/><Relationship Id="rId55" Type="http://schemas.openxmlformats.org/officeDocument/2006/relationships/hyperlink" Target="https://www.gettingitrightfirsttime.co.uk" TargetMode="External"/><Relationship Id="rId76" Type="http://schemas.openxmlformats.org/officeDocument/2006/relationships/hyperlink" Target="https://www.england.nhs.uk/improvement-hub/wp-content/uploads/sites/44/2017/11/Clinical-Nurse-Specialists-in-Cancer-Care_Census-of-the-Nurse-Workforce_Eng-2011.pdf" TargetMode="External"/><Relationship Id="rId97" Type="http://schemas.openxmlformats.org/officeDocument/2006/relationships/hyperlink" Target="https://publications.parliament.uk/pa/cm201415/cmselect/cmhealth/805/805.pdf"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ongtermplan.nhs.uk/wp-content/uploads/2019/08/nhs-long-term-plan-version-1.2.pdf" TargetMode="External"/><Relationship Id="rId92" Type="http://schemas.openxmlformats.org/officeDocument/2006/relationships/hyperlink" Target="https://www.cancerresearchuk.org/about-cancer/brain-tumours/survival" TargetMode="External"/><Relationship Id="rId2" Type="http://schemas.openxmlformats.org/officeDocument/2006/relationships/numbering" Target="numbering.xml"/><Relationship Id="rId29" Type="http://schemas.openxmlformats.org/officeDocument/2006/relationships/hyperlink" Target="https://brainstrust.org.uk/ncpes-2019/" TargetMode="External"/><Relationship Id="rId24" Type="http://schemas.openxmlformats.org/officeDocument/2006/relationships/hyperlink" Target="https://gettingitrightfirsttime.co.uk/surgical-specialty/cranial-neurosurgery/" TargetMode="External"/><Relationship Id="rId40" Type="http://schemas.openxmlformats.org/officeDocument/2006/relationships/footer" Target="footer1.xml"/><Relationship Id="rId45" Type="http://schemas.openxmlformats.org/officeDocument/2006/relationships/hyperlink" Target="https://www.nice.org.uk/guidance/indevelopment/gid-qs10082" TargetMode="External"/><Relationship Id="rId66" Type="http://schemas.openxmlformats.org/officeDocument/2006/relationships/hyperlink" Target="https://doi.org/10.3390/cancers13030424" TargetMode="External"/><Relationship Id="rId87" Type="http://schemas.openxmlformats.org/officeDocument/2006/relationships/hyperlink" Target="https://www.nice.org.uk/guidance/ng99/chapter/Recommendations" TargetMode="External"/><Relationship Id="rId61" Type="http://schemas.openxmlformats.org/officeDocument/2006/relationships/hyperlink" Target="https://gettingitrightfirsttime.co.uk/surgical-specialty/cranial-neurosurgery/" TargetMode="External"/><Relationship Id="rId82" Type="http://schemas.openxmlformats.org/officeDocument/2006/relationships/hyperlink" Target="https://www.tessajowellbraincancermission.org/wp-content/uploads/2020/10/TJ-Centre-Designation-Standards-1.pdf" TargetMode="External"/><Relationship Id="rId19" Type="http://schemas.openxmlformats.org/officeDocument/2006/relationships/hyperlink" Target="https://gettingitrightfirsttime.co.uk/surgical-specialty/cranial-neurosurgery/" TargetMode="External"/><Relationship Id="rId14" Type="http://schemas.openxmlformats.org/officeDocument/2006/relationships/hyperlink" Target="https://www.sanon.scot.nhs.uk/audit/" TargetMode="External"/><Relationship Id="rId30" Type="http://schemas.openxmlformats.org/officeDocument/2006/relationships/hyperlink" Target="https://www.ncpes.co.uk/" TargetMode="External"/><Relationship Id="rId35" Type="http://schemas.openxmlformats.org/officeDocument/2006/relationships/hyperlink" Target="https://www.thebraintumourcharity.org/about-us/our-publications/finding-myself/" TargetMode="External"/><Relationship Id="rId56" Type="http://schemas.openxmlformats.org/officeDocument/2006/relationships/hyperlink" Target="https://www.nnap.org.uk" TargetMode="External"/><Relationship Id="rId77" Type="http://schemas.openxmlformats.org/officeDocument/2006/relationships/hyperlink" Target="https://www.nice.org.uk/guidance/csg10" TargetMode="External"/><Relationship Id="rId100" Type="http://schemas.openxmlformats.org/officeDocument/2006/relationships/hyperlink" Target="https://www.macmillan.org.uk/_images/quality-of-life_tcm9-355687.pdf" TargetMode="External"/><Relationship Id="rId105" Type="http://schemas.openxmlformats.org/officeDocument/2006/relationships/theme" Target="theme/theme1.xml"/><Relationship Id="rId8" Type="http://schemas.openxmlformats.org/officeDocument/2006/relationships/hyperlink" Target="https://www.nice.org.uk/guidance/ng99" TargetMode="External"/><Relationship Id="rId51" Type="http://schemas.openxmlformats.org/officeDocument/2006/relationships/image" Target="media/image2.png"/><Relationship Id="rId72" Type="http://schemas.openxmlformats.org/officeDocument/2006/relationships/hyperlink" Target="https://www.nice.org.uk/guidance/ng99/chapter/Recommendations" TargetMode="External"/><Relationship Id="rId93" Type="http://schemas.openxmlformats.org/officeDocument/2006/relationships/hyperlink" Target="https://www.brainsfordementiaresearch.org.uk/" TargetMode="External"/><Relationship Id="rId98" Type="http://schemas.openxmlformats.org/officeDocument/2006/relationships/hyperlink" Target="https://compassionindying.org.uk/library/the-role-of-ambulance-trusts-in-respecting-peoples-end-of-life-wishes/" TargetMode="External"/><Relationship Id="rId3" Type="http://schemas.openxmlformats.org/officeDocument/2006/relationships/styles" Target="styles.xml"/><Relationship Id="rId25" Type="http://schemas.openxmlformats.org/officeDocument/2006/relationships/hyperlink" Target="https://link.springer.com/article/10.1007/s00330-020-07387-3" TargetMode="External"/><Relationship Id="rId46" Type="http://schemas.openxmlformats.org/officeDocument/2006/relationships/hyperlink" Target="https://doi.org/10.1186/s12875-019-1003-y" TargetMode="External"/><Relationship Id="rId67" Type="http://schemas.openxmlformats.org/officeDocument/2006/relationships/hyperlink" Target="https://doi.org/10.3390/cancers13030424"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nice.org.uk/guidance/ng12" TargetMode="External"/><Relationship Id="rId2" Type="http://schemas.openxmlformats.org/officeDocument/2006/relationships/hyperlink" Target="https://bjgp.org/content/68/666/e63" TargetMode="External"/><Relationship Id="rId1" Type="http://schemas.openxmlformats.org/officeDocument/2006/relationships/hyperlink" Target="https://www.nice.org.uk/guidance/ng99" TargetMode="External"/><Relationship Id="rId4" Type="http://schemas.openxmlformats.org/officeDocument/2006/relationships/hyperlink" Target="https://www.nice.org.uk/guidance/indevelopment/gid-qs10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FF459-4370-4741-BBBE-B08963E37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19647</Words>
  <Characters>111988</Characters>
  <Application>Microsoft Office Word</Application>
  <DocSecurity>0</DocSecurity>
  <Lines>933</Lines>
  <Paragraphs>262</Paragraphs>
  <ScaleCrop>false</ScaleCrop>
  <Company/>
  <LinksUpToDate>false</LinksUpToDate>
  <CharactersWithSpaces>131373</CharactersWithSpaces>
  <SharedDoc>false</SharedDoc>
  <HLinks>
    <vt:vector size="102" baseType="variant">
      <vt:variant>
        <vt:i4>3014777</vt:i4>
      </vt:variant>
      <vt:variant>
        <vt:i4>189</vt:i4>
      </vt:variant>
      <vt:variant>
        <vt:i4>0</vt:i4>
      </vt:variant>
      <vt:variant>
        <vt:i4>5</vt:i4>
      </vt:variant>
      <vt:variant>
        <vt:lpwstr>http://publications.nice.org.uk/headaches-cg150/guidance</vt:lpwstr>
      </vt:variant>
      <vt:variant>
        <vt:lpwstr>diagnosis-2</vt:lpwstr>
      </vt:variant>
      <vt:variant>
        <vt:i4>1048592</vt:i4>
      </vt:variant>
      <vt:variant>
        <vt:i4>150</vt:i4>
      </vt:variant>
      <vt:variant>
        <vt:i4>0</vt:i4>
      </vt:variant>
      <vt:variant>
        <vt:i4>5</vt:i4>
      </vt:variant>
      <vt:variant>
        <vt:lpwstr>http://www.rcog.org.uk/orca/audit</vt:lpwstr>
      </vt:variant>
      <vt:variant>
        <vt:lpwstr/>
      </vt:variant>
      <vt:variant>
        <vt:i4>8192098</vt:i4>
      </vt:variant>
      <vt:variant>
        <vt:i4>108</vt:i4>
      </vt:variant>
      <vt:variant>
        <vt:i4>0</vt:i4>
      </vt:variant>
      <vt:variant>
        <vt:i4>5</vt:i4>
      </vt:variant>
      <vt:variant>
        <vt:lpwstr>https://www.gov.uk/government/publications/healthy-lives-healthy-people-improving-outcomes-and-supporting-transparency</vt:lpwstr>
      </vt:variant>
      <vt:variant>
        <vt:lpwstr/>
      </vt:variant>
      <vt:variant>
        <vt:i4>7798821</vt:i4>
      </vt:variant>
      <vt:variant>
        <vt:i4>102</vt:i4>
      </vt:variant>
      <vt:variant>
        <vt:i4>0</vt:i4>
      </vt:variant>
      <vt:variant>
        <vt:i4>5</vt:i4>
      </vt:variant>
      <vt:variant>
        <vt:lpwstr>https://www.gov.uk/government/publications/nhs-outcomes-framework-2013-to-2014</vt:lpwstr>
      </vt:variant>
      <vt:variant>
        <vt:lpwstr/>
      </vt:variant>
      <vt:variant>
        <vt:i4>4390998</vt:i4>
      </vt:variant>
      <vt:variant>
        <vt:i4>96</vt:i4>
      </vt:variant>
      <vt:variant>
        <vt:i4>0</vt:i4>
      </vt:variant>
      <vt:variant>
        <vt:i4>5</vt:i4>
      </vt:variant>
      <vt:variant>
        <vt:lpwstr>https://www.gov.uk/government/publications/the-adult-social-care-outcomes-framework-2013-to-2014</vt:lpwstr>
      </vt:variant>
      <vt:variant>
        <vt:lpwstr/>
      </vt:variant>
      <vt:variant>
        <vt:i4>7798821</vt:i4>
      </vt:variant>
      <vt:variant>
        <vt:i4>90</vt:i4>
      </vt:variant>
      <vt:variant>
        <vt:i4>0</vt:i4>
      </vt:variant>
      <vt:variant>
        <vt:i4>5</vt:i4>
      </vt:variant>
      <vt:variant>
        <vt:lpwstr>https://www.gov.uk/government/publications/nhs-outcomes-framework-2013-to-2014</vt:lpwstr>
      </vt:variant>
      <vt:variant>
        <vt:lpwstr/>
      </vt:variant>
      <vt:variant>
        <vt:i4>5111887</vt:i4>
      </vt:variant>
      <vt:variant>
        <vt:i4>63</vt:i4>
      </vt:variant>
      <vt:variant>
        <vt:i4>0</vt:i4>
      </vt:variant>
      <vt:variant>
        <vt:i4>5</vt:i4>
      </vt:variant>
      <vt:variant>
        <vt:lpwstr>http://www.nice.org.uk/guidance/CG85</vt:lpwstr>
      </vt:variant>
      <vt:variant>
        <vt:lpwstr/>
      </vt:variant>
      <vt:variant>
        <vt:i4>1048625</vt:i4>
      </vt:variant>
      <vt:variant>
        <vt:i4>53</vt:i4>
      </vt:variant>
      <vt:variant>
        <vt:i4>0</vt:i4>
      </vt:variant>
      <vt:variant>
        <vt:i4>5</vt:i4>
      </vt:variant>
      <vt:variant>
        <vt:lpwstr/>
      </vt:variant>
      <vt:variant>
        <vt:lpwstr>_Toc362005047</vt:lpwstr>
      </vt:variant>
      <vt:variant>
        <vt:i4>1048625</vt:i4>
      </vt:variant>
      <vt:variant>
        <vt:i4>47</vt:i4>
      </vt:variant>
      <vt:variant>
        <vt:i4>0</vt:i4>
      </vt:variant>
      <vt:variant>
        <vt:i4>5</vt:i4>
      </vt:variant>
      <vt:variant>
        <vt:lpwstr/>
      </vt:variant>
      <vt:variant>
        <vt:lpwstr>_Toc362005046</vt:lpwstr>
      </vt:variant>
      <vt:variant>
        <vt:i4>1048625</vt:i4>
      </vt:variant>
      <vt:variant>
        <vt:i4>41</vt:i4>
      </vt:variant>
      <vt:variant>
        <vt:i4>0</vt:i4>
      </vt:variant>
      <vt:variant>
        <vt:i4>5</vt:i4>
      </vt:variant>
      <vt:variant>
        <vt:lpwstr/>
      </vt:variant>
      <vt:variant>
        <vt:lpwstr>_Toc362005045</vt:lpwstr>
      </vt:variant>
      <vt:variant>
        <vt:i4>1048625</vt:i4>
      </vt:variant>
      <vt:variant>
        <vt:i4>35</vt:i4>
      </vt:variant>
      <vt:variant>
        <vt:i4>0</vt:i4>
      </vt:variant>
      <vt:variant>
        <vt:i4>5</vt:i4>
      </vt:variant>
      <vt:variant>
        <vt:lpwstr/>
      </vt:variant>
      <vt:variant>
        <vt:lpwstr>_Toc362005044</vt:lpwstr>
      </vt:variant>
      <vt:variant>
        <vt:i4>1048625</vt:i4>
      </vt:variant>
      <vt:variant>
        <vt:i4>29</vt:i4>
      </vt:variant>
      <vt:variant>
        <vt:i4>0</vt:i4>
      </vt:variant>
      <vt:variant>
        <vt:i4>5</vt:i4>
      </vt:variant>
      <vt:variant>
        <vt:lpwstr/>
      </vt:variant>
      <vt:variant>
        <vt:lpwstr>_Toc362005043</vt:lpwstr>
      </vt:variant>
      <vt:variant>
        <vt:i4>1048625</vt:i4>
      </vt:variant>
      <vt:variant>
        <vt:i4>23</vt:i4>
      </vt:variant>
      <vt:variant>
        <vt:i4>0</vt:i4>
      </vt:variant>
      <vt:variant>
        <vt:i4>5</vt:i4>
      </vt:variant>
      <vt:variant>
        <vt:lpwstr/>
      </vt:variant>
      <vt:variant>
        <vt:lpwstr>_Toc362005042</vt:lpwstr>
      </vt:variant>
      <vt:variant>
        <vt:i4>1048625</vt:i4>
      </vt:variant>
      <vt:variant>
        <vt:i4>17</vt:i4>
      </vt:variant>
      <vt:variant>
        <vt:i4>0</vt:i4>
      </vt:variant>
      <vt:variant>
        <vt:i4>5</vt:i4>
      </vt:variant>
      <vt:variant>
        <vt:lpwstr/>
      </vt:variant>
      <vt:variant>
        <vt:lpwstr>_Toc362005041</vt:lpwstr>
      </vt:variant>
      <vt:variant>
        <vt:i4>1048625</vt:i4>
      </vt:variant>
      <vt:variant>
        <vt:i4>11</vt:i4>
      </vt:variant>
      <vt:variant>
        <vt:i4>0</vt:i4>
      </vt:variant>
      <vt:variant>
        <vt:i4>5</vt:i4>
      </vt:variant>
      <vt:variant>
        <vt:lpwstr/>
      </vt:variant>
      <vt:variant>
        <vt:lpwstr>_Toc362005040</vt:lpwstr>
      </vt:variant>
      <vt:variant>
        <vt:i4>3801214</vt:i4>
      </vt:variant>
      <vt:variant>
        <vt:i4>0</vt:i4>
      </vt:variant>
      <vt:variant>
        <vt:i4>0</vt:i4>
      </vt:variant>
      <vt:variant>
        <vt:i4>5</vt:i4>
      </vt:variant>
      <vt:variant>
        <vt:lpwstr>http://intranet.nice.org.uk/NICEAndNicePeople/writingguides.cfm</vt:lpwstr>
      </vt:variant>
      <vt:variant>
        <vt:lpwstr/>
      </vt:variant>
      <vt:variant>
        <vt:i4>3342435</vt:i4>
      </vt:variant>
      <vt:variant>
        <vt:i4>0</vt:i4>
      </vt:variant>
      <vt:variant>
        <vt:i4>0</vt:i4>
      </vt:variant>
      <vt:variant>
        <vt:i4>5</vt:i4>
      </vt:variant>
      <vt:variant>
        <vt:lpwstr>http://www.rcpsych.ac.uk/quality/quality,accreditationaudit/communitycamhs.aspx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2021-07-28T14:29:00Z</dcterms:created>
  <dcterms:modified xsi:type="dcterms:W3CDTF">2021-07-28T14:29:00Z</dcterms:modified>
</cp:coreProperties>
</file>