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1BAF" w14:textId="24357E0C"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207709561"/>
      <w:bookmarkStart w:id="11" w:name="_Toc208847650"/>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p>
    <w:p w14:paraId="55A3DBF8" w14:textId="77777777" w:rsidR="002C296A" w:rsidRPr="0067455E" w:rsidRDefault="002C296A" w:rsidP="00CE4759">
      <w:pPr>
        <w:pStyle w:val="Title"/>
      </w:pPr>
      <w:bookmarkStart w:id="12" w:name="_Toc66781445"/>
      <w:bookmarkStart w:id="13" w:name="_Toc71289373"/>
      <w:bookmarkStart w:id="14" w:name="_Toc71289581"/>
      <w:bookmarkStart w:id="15" w:name="_Toc71289680"/>
      <w:bookmarkStart w:id="16" w:name="_Toc71290373"/>
      <w:bookmarkStart w:id="17" w:name="_Toc71542838"/>
      <w:bookmarkStart w:id="18" w:name="_Toc207709562"/>
      <w:bookmarkStart w:id="19" w:name="_Toc208847651"/>
      <w:bookmarkStart w:id="20" w:name="_Toc357694772"/>
      <w:bookmarkStart w:id="21" w:name="_Toc365024198"/>
      <w:bookmarkStart w:id="22" w:name="_Toc432164923"/>
      <w:bookmarkStart w:id="23" w:name="_Toc467141964"/>
      <w:r w:rsidRPr="0067455E">
        <w:t>Quality standards</w:t>
      </w:r>
      <w:bookmarkEnd w:id="12"/>
      <w:bookmarkEnd w:id="13"/>
      <w:bookmarkEnd w:id="14"/>
      <w:bookmarkEnd w:id="15"/>
      <w:bookmarkEnd w:id="16"/>
      <w:bookmarkEnd w:id="17"/>
      <w:bookmarkEnd w:id="18"/>
      <w:bookmarkEnd w:id="19"/>
      <w:r w:rsidRPr="0067455E">
        <w:t xml:space="preserve"> </w:t>
      </w:r>
      <w:bookmarkEnd w:id="20"/>
      <w:bookmarkEnd w:id="21"/>
      <w:bookmarkEnd w:id="22"/>
      <w:bookmarkEnd w:id="23"/>
    </w:p>
    <w:p w14:paraId="0A3A994E" w14:textId="640ADBEA" w:rsidR="002C296A" w:rsidRPr="0067455E" w:rsidRDefault="002C296A" w:rsidP="00CE4759">
      <w:pPr>
        <w:pStyle w:val="Title"/>
      </w:pPr>
      <w:bookmarkStart w:id="24" w:name="_Toc357694773"/>
      <w:bookmarkStart w:id="25" w:name="_Toc365024199"/>
      <w:bookmarkStart w:id="26" w:name="_Toc432164924"/>
      <w:bookmarkStart w:id="27" w:name="_Toc467141965"/>
      <w:bookmarkStart w:id="28" w:name="_Toc66781446"/>
      <w:bookmarkStart w:id="29" w:name="_Toc71289374"/>
      <w:bookmarkStart w:id="30" w:name="_Toc71289582"/>
      <w:bookmarkStart w:id="31" w:name="_Toc71289681"/>
      <w:bookmarkStart w:id="32" w:name="_Toc71290374"/>
      <w:bookmarkStart w:id="33" w:name="_Toc71542839"/>
      <w:bookmarkStart w:id="34" w:name="_Toc207709563"/>
      <w:bookmarkStart w:id="35" w:name="_Toc208847652"/>
      <w:r w:rsidRPr="0067455E">
        <w:t>Briefing paper</w:t>
      </w:r>
      <w:bookmarkEnd w:id="24"/>
      <w:bookmarkEnd w:id="25"/>
      <w:bookmarkEnd w:id="26"/>
      <w:bookmarkEnd w:id="27"/>
      <w:bookmarkEnd w:id="28"/>
      <w:r w:rsidR="008148A2">
        <w:t>:</w:t>
      </w:r>
      <w:bookmarkEnd w:id="29"/>
      <w:bookmarkEnd w:id="30"/>
      <w:bookmarkEnd w:id="31"/>
      <w:bookmarkEnd w:id="32"/>
      <w:bookmarkEnd w:id="33"/>
      <w:r w:rsidR="00D63A8A">
        <w:t xml:space="preserve"> Perioperative care in adults</w:t>
      </w:r>
      <w:bookmarkEnd w:id="34"/>
      <w:bookmarkEnd w:id="35"/>
    </w:p>
    <w:p w14:paraId="05180182" w14:textId="67434599" w:rsidR="008A6367" w:rsidRDefault="00DD1BFE" w:rsidP="00DD1BFE">
      <w:pPr>
        <w:pStyle w:val="Paragraph"/>
      </w:pPr>
      <w:r w:rsidRPr="00582451">
        <w:rPr>
          <w:b/>
          <w:bCs/>
        </w:rPr>
        <w:t>Quality Standards Advisory Committee meeting</w:t>
      </w:r>
      <w:r w:rsidRPr="000D48CF">
        <w:rPr>
          <w:rStyle w:val="Addbold"/>
        </w:rPr>
        <w:t>:</w:t>
      </w:r>
      <w:r w:rsidR="00D63A8A">
        <w:rPr>
          <w:rStyle w:val="Addbold"/>
        </w:rPr>
        <w:t xml:space="preserve"> 16</w:t>
      </w:r>
      <w:r w:rsidR="00D63A8A" w:rsidRPr="00D63A8A">
        <w:rPr>
          <w:rStyle w:val="Addbold"/>
          <w:vertAlign w:val="superscript"/>
        </w:rPr>
        <w:t>th</w:t>
      </w:r>
      <w:r w:rsidR="00D63A8A">
        <w:rPr>
          <w:rStyle w:val="Addbold"/>
        </w:rPr>
        <w:t xml:space="preserve"> October 2025</w:t>
      </w:r>
    </w:p>
    <w:p w14:paraId="38E96CF7" w14:textId="07CBB9C7" w:rsidR="00DB5FC5" w:rsidRPr="00DB5FC5" w:rsidRDefault="002C296A" w:rsidP="00DB5FC5">
      <w:pPr>
        <w:pStyle w:val="Heading1"/>
        <w:rPr>
          <w:noProof/>
        </w:rPr>
      </w:pPr>
      <w:bookmarkStart w:id="36" w:name="_Toc365024200"/>
      <w:bookmarkStart w:id="37" w:name="_Toc432164925"/>
      <w:bookmarkStart w:id="38" w:name="_Toc467141966"/>
      <w:bookmarkStart w:id="39" w:name="_Toc66781447"/>
      <w:bookmarkStart w:id="40" w:name="_Toc71289375"/>
      <w:bookmarkStart w:id="41" w:name="_Toc71289583"/>
      <w:bookmarkStart w:id="42" w:name="_Toc71289682"/>
      <w:bookmarkStart w:id="43" w:name="_Toc71290375"/>
      <w:bookmarkStart w:id="44" w:name="_Toc71542840"/>
      <w:bookmarkStart w:id="45" w:name="_Toc207709564"/>
      <w:bookmarkStart w:id="46" w:name="_Toc208847653"/>
      <w:r w:rsidRPr="0067455E">
        <w:t>Contents</w:t>
      </w:r>
      <w:bookmarkEnd w:id="36"/>
      <w:bookmarkEnd w:id="37"/>
      <w:bookmarkEnd w:id="38"/>
      <w:bookmarkEnd w:id="39"/>
      <w:bookmarkEnd w:id="40"/>
      <w:bookmarkEnd w:id="41"/>
      <w:bookmarkEnd w:id="42"/>
      <w:bookmarkEnd w:id="43"/>
      <w:bookmarkEnd w:id="44"/>
      <w:bookmarkEnd w:id="45"/>
      <w:bookmarkEnd w:id="46"/>
      <w:r w:rsidR="00702177">
        <w:fldChar w:fldCharType="begin"/>
      </w:r>
      <w:r w:rsidR="00702177">
        <w:instrText xml:space="preserve"> TOC \o "1-2" \h \z \u </w:instrText>
      </w:r>
      <w:r w:rsidR="00702177">
        <w:fldChar w:fldCharType="separate"/>
      </w:r>
    </w:p>
    <w:p w14:paraId="7735D411" w14:textId="1DAF2ED4"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54" w:history="1">
        <w:r w:rsidRPr="00DB5FC5">
          <w:rPr>
            <w:rStyle w:val="Hyperlink"/>
          </w:rPr>
          <w:t>1</w:t>
        </w:r>
        <w:r w:rsidRPr="00DB5FC5">
          <w:rPr>
            <w:rFonts w:asciiTheme="minorHAnsi" w:eastAsiaTheme="minorEastAsia" w:hAnsiTheme="minorHAnsi" w:cstheme="minorBidi"/>
            <w:kern w:val="2"/>
            <w:lang w:eastAsia="en-GB"/>
            <w14:ligatures w14:val="standardContextual"/>
          </w:rPr>
          <w:tab/>
        </w:r>
        <w:r w:rsidRPr="00DB5FC5">
          <w:rPr>
            <w:rStyle w:val="Hyperlink"/>
          </w:rPr>
          <w:t>Introduction</w:t>
        </w:r>
        <w:r w:rsidRPr="00DB5FC5">
          <w:rPr>
            <w:webHidden/>
          </w:rPr>
          <w:tab/>
        </w:r>
        <w:r w:rsidRPr="00DB5FC5">
          <w:rPr>
            <w:webHidden/>
          </w:rPr>
          <w:fldChar w:fldCharType="begin"/>
        </w:r>
        <w:r w:rsidRPr="00DB5FC5">
          <w:rPr>
            <w:webHidden/>
          </w:rPr>
          <w:instrText xml:space="preserve"> PAGEREF _Toc208847654 \h </w:instrText>
        </w:r>
        <w:r w:rsidRPr="00DB5FC5">
          <w:rPr>
            <w:webHidden/>
          </w:rPr>
        </w:r>
        <w:r w:rsidRPr="00DB5FC5">
          <w:rPr>
            <w:webHidden/>
          </w:rPr>
          <w:fldChar w:fldCharType="separate"/>
        </w:r>
        <w:r w:rsidR="00E70E80">
          <w:rPr>
            <w:webHidden/>
          </w:rPr>
          <w:t>2</w:t>
        </w:r>
        <w:r w:rsidRPr="00DB5FC5">
          <w:rPr>
            <w:webHidden/>
          </w:rPr>
          <w:fldChar w:fldCharType="end"/>
        </w:r>
      </w:hyperlink>
    </w:p>
    <w:p w14:paraId="405F35D9" w14:textId="62798CD1"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56" w:history="1">
        <w:r w:rsidRPr="00DB5FC5">
          <w:rPr>
            <w:rStyle w:val="Hyperlink"/>
          </w:rPr>
          <w:t>2</w:t>
        </w:r>
        <w:r w:rsidRPr="00DB5FC5">
          <w:rPr>
            <w:rFonts w:asciiTheme="minorHAnsi" w:eastAsiaTheme="minorEastAsia" w:hAnsiTheme="minorHAnsi" w:cstheme="minorBidi"/>
            <w:kern w:val="2"/>
            <w:lang w:eastAsia="en-GB"/>
            <w14:ligatures w14:val="standardContextual"/>
          </w:rPr>
          <w:tab/>
        </w:r>
        <w:r w:rsidRPr="00DB5FC5">
          <w:rPr>
            <w:rStyle w:val="Hyperlink"/>
          </w:rPr>
          <w:t>Overview</w:t>
        </w:r>
        <w:r w:rsidRPr="00DB5FC5">
          <w:rPr>
            <w:webHidden/>
          </w:rPr>
          <w:tab/>
        </w:r>
        <w:r w:rsidRPr="00DB5FC5">
          <w:rPr>
            <w:webHidden/>
          </w:rPr>
          <w:fldChar w:fldCharType="begin"/>
        </w:r>
        <w:r w:rsidRPr="00DB5FC5">
          <w:rPr>
            <w:webHidden/>
          </w:rPr>
          <w:instrText xml:space="preserve"> PAGEREF _Toc208847656 \h </w:instrText>
        </w:r>
        <w:r w:rsidRPr="00DB5FC5">
          <w:rPr>
            <w:webHidden/>
          </w:rPr>
        </w:r>
        <w:r w:rsidRPr="00DB5FC5">
          <w:rPr>
            <w:webHidden/>
          </w:rPr>
          <w:fldChar w:fldCharType="separate"/>
        </w:r>
        <w:r w:rsidR="00E70E80">
          <w:rPr>
            <w:webHidden/>
          </w:rPr>
          <w:t>2</w:t>
        </w:r>
        <w:r w:rsidRPr="00DB5FC5">
          <w:rPr>
            <w:webHidden/>
          </w:rPr>
          <w:fldChar w:fldCharType="end"/>
        </w:r>
      </w:hyperlink>
    </w:p>
    <w:p w14:paraId="09B2F6FB" w14:textId="22128529"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62" w:history="1">
        <w:r w:rsidRPr="00DB5FC5">
          <w:rPr>
            <w:rStyle w:val="Hyperlink"/>
          </w:rPr>
          <w:t>3</w:t>
        </w:r>
        <w:r w:rsidRPr="00DB5FC5">
          <w:rPr>
            <w:rFonts w:asciiTheme="minorHAnsi" w:eastAsiaTheme="minorEastAsia" w:hAnsiTheme="minorHAnsi" w:cstheme="minorBidi"/>
            <w:kern w:val="2"/>
            <w:lang w:eastAsia="en-GB"/>
            <w14:ligatures w14:val="standardContextual"/>
          </w:rPr>
          <w:tab/>
        </w:r>
        <w:r w:rsidRPr="00DB5FC5">
          <w:rPr>
            <w:rStyle w:val="Hyperlink"/>
          </w:rPr>
          <w:t>Summary of suggestions</w:t>
        </w:r>
        <w:r w:rsidRPr="00DB5FC5">
          <w:rPr>
            <w:webHidden/>
          </w:rPr>
          <w:tab/>
        </w:r>
        <w:r w:rsidRPr="00DB5FC5">
          <w:rPr>
            <w:webHidden/>
          </w:rPr>
          <w:fldChar w:fldCharType="begin"/>
        </w:r>
        <w:r w:rsidRPr="00DB5FC5">
          <w:rPr>
            <w:webHidden/>
          </w:rPr>
          <w:instrText xml:space="preserve"> PAGEREF _Toc208847662 \h </w:instrText>
        </w:r>
        <w:r w:rsidRPr="00DB5FC5">
          <w:rPr>
            <w:webHidden/>
          </w:rPr>
        </w:r>
        <w:r w:rsidRPr="00DB5FC5">
          <w:rPr>
            <w:webHidden/>
          </w:rPr>
          <w:fldChar w:fldCharType="separate"/>
        </w:r>
        <w:r w:rsidR="00E70E80">
          <w:rPr>
            <w:webHidden/>
          </w:rPr>
          <w:t>5</w:t>
        </w:r>
        <w:r w:rsidRPr="00DB5FC5">
          <w:rPr>
            <w:webHidden/>
          </w:rPr>
          <w:fldChar w:fldCharType="end"/>
        </w:r>
      </w:hyperlink>
    </w:p>
    <w:p w14:paraId="3B8B19C6" w14:textId="31BA613D"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64" w:history="1">
        <w:r w:rsidRPr="00DB5FC5">
          <w:rPr>
            <w:rStyle w:val="Hyperlink"/>
          </w:rPr>
          <w:t>4</w:t>
        </w:r>
        <w:r w:rsidRPr="00DB5FC5">
          <w:rPr>
            <w:rFonts w:asciiTheme="minorHAnsi" w:eastAsiaTheme="minorEastAsia" w:hAnsiTheme="minorHAnsi" w:cstheme="minorBidi"/>
            <w:kern w:val="2"/>
            <w:lang w:eastAsia="en-GB"/>
            <w14:ligatures w14:val="standardContextual"/>
          </w:rPr>
          <w:tab/>
        </w:r>
        <w:r w:rsidRPr="00DB5FC5">
          <w:rPr>
            <w:rStyle w:val="Hyperlink"/>
          </w:rPr>
          <w:t>Suggested improvement areas</w:t>
        </w:r>
        <w:r w:rsidRPr="00DB5FC5">
          <w:rPr>
            <w:webHidden/>
          </w:rPr>
          <w:tab/>
        </w:r>
        <w:r w:rsidRPr="00DB5FC5">
          <w:rPr>
            <w:webHidden/>
          </w:rPr>
          <w:fldChar w:fldCharType="begin"/>
        </w:r>
        <w:r w:rsidRPr="00DB5FC5">
          <w:rPr>
            <w:webHidden/>
          </w:rPr>
          <w:instrText xml:space="preserve"> PAGEREF _Toc208847664 \h </w:instrText>
        </w:r>
        <w:r w:rsidRPr="00DB5FC5">
          <w:rPr>
            <w:webHidden/>
          </w:rPr>
        </w:r>
        <w:r w:rsidRPr="00DB5FC5">
          <w:rPr>
            <w:webHidden/>
          </w:rPr>
          <w:fldChar w:fldCharType="separate"/>
        </w:r>
        <w:r w:rsidR="00E70E80">
          <w:rPr>
            <w:webHidden/>
          </w:rPr>
          <w:t>7</w:t>
        </w:r>
        <w:r w:rsidRPr="00DB5FC5">
          <w:rPr>
            <w:webHidden/>
          </w:rPr>
          <w:fldChar w:fldCharType="end"/>
        </w:r>
      </w:hyperlink>
    </w:p>
    <w:p w14:paraId="62689778" w14:textId="58D97611"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5" w:history="1">
        <w:r w:rsidRPr="00DB5FC5">
          <w:rPr>
            <w:rStyle w:val="Hyperlink"/>
            <w:noProof/>
          </w:rPr>
          <w:t>4.1</w:t>
        </w:r>
        <w:r w:rsidRPr="00DB5FC5">
          <w:rPr>
            <w:rFonts w:asciiTheme="minorHAnsi" w:eastAsiaTheme="minorEastAsia" w:hAnsiTheme="minorHAnsi" w:cstheme="minorBidi"/>
            <w:noProof/>
            <w:kern w:val="2"/>
            <w14:ligatures w14:val="standardContextual"/>
          </w:rPr>
          <w:tab/>
        </w:r>
        <w:r w:rsidRPr="00DB5FC5">
          <w:rPr>
            <w:rStyle w:val="Hyperlink"/>
            <w:noProof/>
          </w:rPr>
          <w:t>Perioperative programs</w:t>
        </w:r>
        <w:r w:rsidRPr="00DB5FC5">
          <w:rPr>
            <w:noProof/>
            <w:webHidden/>
          </w:rPr>
          <w:tab/>
        </w:r>
        <w:r w:rsidRPr="00DB5FC5">
          <w:rPr>
            <w:noProof/>
            <w:webHidden/>
          </w:rPr>
          <w:fldChar w:fldCharType="begin"/>
        </w:r>
        <w:r w:rsidRPr="00DB5FC5">
          <w:rPr>
            <w:noProof/>
            <w:webHidden/>
          </w:rPr>
          <w:instrText xml:space="preserve"> PAGEREF _Toc208847665 \h </w:instrText>
        </w:r>
        <w:r w:rsidRPr="00DB5FC5">
          <w:rPr>
            <w:noProof/>
            <w:webHidden/>
          </w:rPr>
        </w:r>
        <w:r w:rsidRPr="00DB5FC5">
          <w:rPr>
            <w:noProof/>
            <w:webHidden/>
          </w:rPr>
          <w:fldChar w:fldCharType="separate"/>
        </w:r>
        <w:r w:rsidR="00E70E80">
          <w:rPr>
            <w:noProof/>
            <w:webHidden/>
          </w:rPr>
          <w:t>7</w:t>
        </w:r>
        <w:r w:rsidRPr="00DB5FC5">
          <w:rPr>
            <w:noProof/>
            <w:webHidden/>
          </w:rPr>
          <w:fldChar w:fldCharType="end"/>
        </w:r>
      </w:hyperlink>
    </w:p>
    <w:p w14:paraId="6187CEED" w14:textId="430FDD06"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6" w:history="1">
        <w:r w:rsidRPr="00DB5FC5">
          <w:rPr>
            <w:rStyle w:val="Hyperlink"/>
            <w:noProof/>
          </w:rPr>
          <w:t>4.2</w:t>
        </w:r>
        <w:r w:rsidRPr="00DB5FC5">
          <w:rPr>
            <w:rFonts w:asciiTheme="minorHAnsi" w:eastAsiaTheme="minorEastAsia" w:hAnsiTheme="minorHAnsi" w:cstheme="minorBidi"/>
            <w:noProof/>
            <w:kern w:val="2"/>
            <w14:ligatures w14:val="standardContextual"/>
          </w:rPr>
          <w:tab/>
        </w:r>
        <w:r w:rsidRPr="00DB5FC5">
          <w:rPr>
            <w:rStyle w:val="Hyperlink"/>
            <w:noProof/>
          </w:rPr>
          <w:t>Preoperative care</w:t>
        </w:r>
        <w:r w:rsidRPr="00DB5FC5">
          <w:rPr>
            <w:noProof/>
            <w:webHidden/>
          </w:rPr>
          <w:tab/>
        </w:r>
        <w:r w:rsidRPr="00DB5FC5">
          <w:rPr>
            <w:noProof/>
            <w:webHidden/>
          </w:rPr>
          <w:fldChar w:fldCharType="begin"/>
        </w:r>
        <w:r w:rsidRPr="00DB5FC5">
          <w:rPr>
            <w:noProof/>
            <w:webHidden/>
          </w:rPr>
          <w:instrText xml:space="preserve"> PAGEREF _Toc208847666 \h </w:instrText>
        </w:r>
        <w:r w:rsidRPr="00DB5FC5">
          <w:rPr>
            <w:noProof/>
            <w:webHidden/>
          </w:rPr>
        </w:r>
        <w:r w:rsidRPr="00DB5FC5">
          <w:rPr>
            <w:noProof/>
            <w:webHidden/>
          </w:rPr>
          <w:fldChar w:fldCharType="separate"/>
        </w:r>
        <w:r w:rsidR="00E70E80">
          <w:rPr>
            <w:noProof/>
            <w:webHidden/>
          </w:rPr>
          <w:t>11</w:t>
        </w:r>
        <w:r w:rsidRPr="00DB5FC5">
          <w:rPr>
            <w:noProof/>
            <w:webHidden/>
          </w:rPr>
          <w:fldChar w:fldCharType="end"/>
        </w:r>
      </w:hyperlink>
    </w:p>
    <w:p w14:paraId="321A4F5D" w14:textId="615FD8CF"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7" w:history="1">
        <w:r w:rsidRPr="00DB5FC5">
          <w:rPr>
            <w:rStyle w:val="Hyperlink"/>
            <w:noProof/>
          </w:rPr>
          <w:t>4.3</w:t>
        </w:r>
        <w:r w:rsidRPr="00DB5FC5">
          <w:rPr>
            <w:rFonts w:asciiTheme="minorHAnsi" w:eastAsiaTheme="minorEastAsia" w:hAnsiTheme="minorHAnsi" w:cstheme="minorBidi"/>
            <w:noProof/>
            <w:kern w:val="2"/>
            <w14:ligatures w14:val="standardContextual"/>
          </w:rPr>
          <w:tab/>
        </w:r>
        <w:r w:rsidRPr="00DB5FC5">
          <w:rPr>
            <w:rStyle w:val="Hyperlink"/>
            <w:noProof/>
          </w:rPr>
          <w:t>Intraoperative care</w:t>
        </w:r>
        <w:r w:rsidRPr="00DB5FC5">
          <w:rPr>
            <w:noProof/>
            <w:webHidden/>
          </w:rPr>
          <w:tab/>
        </w:r>
        <w:r w:rsidRPr="00DB5FC5">
          <w:rPr>
            <w:noProof/>
            <w:webHidden/>
          </w:rPr>
          <w:fldChar w:fldCharType="begin"/>
        </w:r>
        <w:r w:rsidRPr="00DB5FC5">
          <w:rPr>
            <w:noProof/>
            <w:webHidden/>
          </w:rPr>
          <w:instrText xml:space="preserve"> PAGEREF _Toc208847667 \h </w:instrText>
        </w:r>
        <w:r w:rsidRPr="00DB5FC5">
          <w:rPr>
            <w:noProof/>
            <w:webHidden/>
          </w:rPr>
        </w:r>
        <w:r w:rsidRPr="00DB5FC5">
          <w:rPr>
            <w:noProof/>
            <w:webHidden/>
          </w:rPr>
          <w:fldChar w:fldCharType="separate"/>
        </w:r>
        <w:r w:rsidR="00E70E80">
          <w:rPr>
            <w:noProof/>
            <w:webHidden/>
          </w:rPr>
          <w:t>21</w:t>
        </w:r>
        <w:r w:rsidRPr="00DB5FC5">
          <w:rPr>
            <w:noProof/>
            <w:webHidden/>
          </w:rPr>
          <w:fldChar w:fldCharType="end"/>
        </w:r>
      </w:hyperlink>
    </w:p>
    <w:p w14:paraId="36636087" w14:textId="3EB77ABE"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8" w:history="1">
        <w:r w:rsidRPr="00DB5FC5">
          <w:rPr>
            <w:rStyle w:val="Hyperlink"/>
            <w:noProof/>
          </w:rPr>
          <w:t>4.4</w:t>
        </w:r>
        <w:r w:rsidRPr="00DB5FC5">
          <w:rPr>
            <w:rFonts w:asciiTheme="minorHAnsi" w:eastAsiaTheme="minorEastAsia" w:hAnsiTheme="minorHAnsi" w:cstheme="minorBidi"/>
            <w:noProof/>
            <w:kern w:val="2"/>
            <w14:ligatures w14:val="standardContextual"/>
          </w:rPr>
          <w:tab/>
        </w:r>
        <w:r w:rsidRPr="00DB5FC5">
          <w:rPr>
            <w:rStyle w:val="Hyperlink"/>
            <w:noProof/>
          </w:rPr>
          <w:t>Managing pain</w:t>
        </w:r>
        <w:r w:rsidRPr="00DB5FC5">
          <w:rPr>
            <w:noProof/>
            <w:webHidden/>
          </w:rPr>
          <w:tab/>
        </w:r>
        <w:r w:rsidRPr="00DB5FC5">
          <w:rPr>
            <w:noProof/>
            <w:webHidden/>
          </w:rPr>
          <w:fldChar w:fldCharType="begin"/>
        </w:r>
        <w:r w:rsidRPr="00DB5FC5">
          <w:rPr>
            <w:noProof/>
            <w:webHidden/>
          </w:rPr>
          <w:instrText xml:space="preserve"> PAGEREF _Toc208847668 \h </w:instrText>
        </w:r>
        <w:r w:rsidRPr="00DB5FC5">
          <w:rPr>
            <w:noProof/>
            <w:webHidden/>
          </w:rPr>
        </w:r>
        <w:r w:rsidRPr="00DB5FC5">
          <w:rPr>
            <w:noProof/>
            <w:webHidden/>
          </w:rPr>
          <w:fldChar w:fldCharType="separate"/>
        </w:r>
        <w:r w:rsidR="00E70E80">
          <w:rPr>
            <w:noProof/>
            <w:webHidden/>
          </w:rPr>
          <w:t>27</w:t>
        </w:r>
        <w:r w:rsidRPr="00DB5FC5">
          <w:rPr>
            <w:noProof/>
            <w:webHidden/>
          </w:rPr>
          <w:fldChar w:fldCharType="end"/>
        </w:r>
      </w:hyperlink>
    </w:p>
    <w:p w14:paraId="1D7AE84C" w14:textId="13AAE4C4"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9" w:history="1">
        <w:r w:rsidRPr="00DB5FC5">
          <w:rPr>
            <w:rStyle w:val="Hyperlink"/>
            <w:noProof/>
          </w:rPr>
          <w:t>4.5</w:t>
        </w:r>
        <w:r w:rsidRPr="00DB5FC5">
          <w:rPr>
            <w:rFonts w:asciiTheme="minorHAnsi" w:eastAsiaTheme="minorEastAsia" w:hAnsiTheme="minorHAnsi" w:cstheme="minorBidi"/>
            <w:noProof/>
            <w:kern w:val="2"/>
            <w14:ligatures w14:val="standardContextual"/>
          </w:rPr>
          <w:tab/>
        </w:r>
        <w:r w:rsidRPr="00DB5FC5">
          <w:rPr>
            <w:rStyle w:val="Hyperlink"/>
            <w:noProof/>
          </w:rPr>
          <w:t>Information and support for people having surgery</w:t>
        </w:r>
        <w:r w:rsidRPr="00DB5FC5">
          <w:rPr>
            <w:noProof/>
            <w:webHidden/>
          </w:rPr>
          <w:tab/>
        </w:r>
        <w:r w:rsidRPr="00DB5FC5">
          <w:rPr>
            <w:noProof/>
            <w:webHidden/>
          </w:rPr>
          <w:fldChar w:fldCharType="begin"/>
        </w:r>
        <w:r w:rsidRPr="00DB5FC5">
          <w:rPr>
            <w:noProof/>
            <w:webHidden/>
          </w:rPr>
          <w:instrText xml:space="preserve"> PAGEREF _Toc208847669 \h </w:instrText>
        </w:r>
        <w:r w:rsidRPr="00DB5FC5">
          <w:rPr>
            <w:noProof/>
            <w:webHidden/>
          </w:rPr>
        </w:r>
        <w:r w:rsidRPr="00DB5FC5">
          <w:rPr>
            <w:noProof/>
            <w:webHidden/>
          </w:rPr>
          <w:fldChar w:fldCharType="separate"/>
        </w:r>
        <w:r w:rsidR="00E70E80">
          <w:rPr>
            <w:noProof/>
            <w:webHidden/>
          </w:rPr>
          <w:t>31</w:t>
        </w:r>
        <w:r w:rsidRPr="00DB5FC5">
          <w:rPr>
            <w:noProof/>
            <w:webHidden/>
          </w:rPr>
          <w:fldChar w:fldCharType="end"/>
        </w:r>
      </w:hyperlink>
    </w:p>
    <w:p w14:paraId="0F2E6981" w14:textId="12122B87" w:rsidR="00DB5FC5" w:rsidRPr="00DB5FC5" w:rsidRDefault="00DB5FC5">
      <w:pPr>
        <w:pStyle w:val="TOC2"/>
        <w:tabs>
          <w:tab w:val="left" w:pos="1276"/>
          <w:tab w:val="right" w:leader="dot" w:pos="9016"/>
        </w:tabs>
        <w:rPr>
          <w:rStyle w:val="Hyperlink"/>
          <w:noProof/>
        </w:rPr>
      </w:pPr>
      <w:hyperlink w:anchor="_Toc208847670" w:history="1">
        <w:r w:rsidRPr="00DB5FC5">
          <w:rPr>
            <w:rStyle w:val="Hyperlink"/>
            <w:noProof/>
          </w:rPr>
          <w:t>4.6</w:t>
        </w:r>
        <w:r w:rsidRPr="00DB5FC5">
          <w:rPr>
            <w:rFonts w:asciiTheme="minorHAnsi" w:eastAsiaTheme="minorEastAsia" w:hAnsiTheme="minorHAnsi" w:cstheme="minorBidi"/>
            <w:noProof/>
            <w:kern w:val="2"/>
            <w14:ligatures w14:val="standardContextual"/>
          </w:rPr>
          <w:tab/>
        </w:r>
        <w:r w:rsidRPr="00DB5FC5">
          <w:rPr>
            <w:rStyle w:val="Hyperlink"/>
            <w:noProof/>
          </w:rPr>
          <w:t>Additional areas</w:t>
        </w:r>
        <w:r w:rsidRPr="00DB5FC5">
          <w:rPr>
            <w:noProof/>
            <w:webHidden/>
          </w:rPr>
          <w:tab/>
        </w:r>
        <w:r w:rsidRPr="00DB5FC5">
          <w:rPr>
            <w:noProof/>
            <w:webHidden/>
          </w:rPr>
          <w:fldChar w:fldCharType="begin"/>
        </w:r>
        <w:r w:rsidRPr="00DB5FC5">
          <w:rPr>
            <w:noProof/>
            <w:webHidden/>
          </w:rPr>
          <w:instrText xml:space="preserve"> PAGEREF _Toc208847670 \h </w:instrText>
        </w:r>
        <w:r w:rsidRPr="00DB5FC5">
          <w:rPr>
            <w:noProof/>
            <w:webHidden/>
          </w:rPr>
        </w:r>
        <w:r w:rsidRPr="00DB5FC5">
          <w:rPr>
            <w:noProof/>
            <w:webHidden/>
          </w:rPr>
          <w:fldChar w:fldCharType="separate"/>
        </w:r>
        <w:r w:rsidR="00E70E80">
          <w:rPr>
            <w:noProof/>
            <w:webHidden/>
          </w:rPr>
          <w:t>36</w:t>
        </w:r>
        <w:r w:rsidRPr="00DB5FC5">
          <w:rPr>
            <w:noProof/>
            <w:webHidden/>
          </w:rPr>
          <w:fldChar w:fldCharType="end"/>
        </w:r>
      </w:hyperlink>
    </w:p>
    <w:p w14:paraId="55265D48" w14:textId="77777777" w:rsidR="00DB5FC5" w:rsidRPr="00DB5FC5" w:rsidRDefault="00DB5FC5" w:rsidP="00DB5FC5">
      <w:pPr>
        <w:rPr>
          <w:rFonts w:eastAsiaTheme="minorEastAsia"/>
          <w:noProof/>
          <w:lang w:eastAsia="en-GB"/>
        </w:rPr>
      </w:pPr>
    </w:p>
    <w:p w14:paraId="02922EB1" w14:textId="6D7DAF5D"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71" w:history="1">
        <w:r w:rsidRPr="00DB5FC5">
          <w:rPr>
            <w:rStyle w:val="Hyperlink"/>
          </w:rPr>
          <w:t>Appendix 1: Response log for key stakeholders</w:t>
        </w:r>
        <w:r w:rsidRPr="00DB5FC5">
          <w:rPr>
            <w:webHidden/>
          </w:rPr>
          <w:tab/>
        </w:r>
        <w:r w:rsidRPr="00DB5FC5">
          <w:rPr>
            <w:webHidden/>
          </w:rPr>
          <w:fldChar w:fldCharType="begin"/>
        </w:r>
        <w:r w:rsidRPr="00DB5FC5">
          <w:rPr>
            <w:webHidden/>
          </w:rPr>
          <w:instrText xml:space="preserve"> PAGEREF _Toc208847671 \h </w:instrText>
        </w:r>
        <w:r w:rsidRPr="00DB5FC5">
          <w:rPr>
            <w:webHidden/>
          </w:rPr>
        </w:r>
        <w:r w:rsidRPr="00DB5FC5">
          <w:rPr>
            <w:webHidden/>
          </w:rPr>
          <w:fldChar w:fldCharType="separate"/>
        </w:r>
        <w:r w:rsidR="00E70E80">
          <w:rPr>
            <w:webHidden/>
          </w:rPr>
          <w:t>37</w:t>
        </w:r>
        <w:r w:rsidRPr="00DB5FC5">
          <w:rPr>
            <w:webHidden/>
          </w:rPr>
          <w:fldChar w:fldCharType="end"/>
        </w:r>
      </w:hyperlink>
    </w:p>
    <w:p w14:paraId="3D15F1F3" w14:textId="2969F004"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72" w:history="1">
        <w:r w:rsidRPr="00DB5FC5">
          <w:rPr>
            <w:rStyle w:val="Hyperlink"/>
          </w:rPr>
          <w:t>Appendix 2: Suggestions from registered stakeholders</w:t>
        </w:r>
        <w:r w:rsidRPr="00DB5FC5">
          <w:rPr>
            <w:webHidden/>
          </w:rPr>
          <w:tab/>
        </w:r>
        <w:r w:rsidRPr="00DB5FC5">
          <w:rPr>
            <w:webHidden/>
          </w:rPr>
          <w:fldChar w:fldCharType="begin"/>
        </w:r>
        <w:r w:rsidRPr="00DB5FC5">
          <w:rPr>
            <w:webHidden/>
          </w:rPr>
          <w:instrText xml:space="preserve"> PAGEREF _Toc208847672 \h </w:instrText>
        </w:r>
        <w:r w:rsidRPr="00DB5FC5">
          <w:rPr>
            <w:webHidden/>
          </w:rPr>
        </w:r>
        <w:r w:rsidRPr="00DB5FC5">
          <w:rPr>
            <w:webHidden/>
          </w:rPr>
          <w:fldChar w:fldCharType="separate"/>
        </w:r>
        <w:r w:rsidR="00E70E80">
          <w:rPr>
            <w:webHidden/>
          </w:rPr>
          <w:t>38</w:t>
        </w:r>
        <w:r w:rsidRPr="00DB5FC5">
          <w:rPr>
            <w:webHidden/>
          </w:rPr>
          <w:fldChar w:fldCharType="end"/>
        </w:r>
      </w:hyperlink>
    </w:p>
    <w:p w14:paraId="4486D0F4" w14:textId="7547D547" w:rsidR="00DB5FC5" w:rsidRDefault="00DB5FC5">
      <w:pPr>
        <w:pStyle w:val="TOC1"/>
        <w:rPr>
          <w:rFonts w:asciiTheme="minorHAnsi" w:eastAsiaTheme="minorEastAsia" w:hAnsiTheme="minorHAnsi" w:cstheme="minorBidi"/>
          <w:kern w:val="2"/>
          <w:lang w:eastAsia="en-GB"/>
          <w14:ligatures w14:val="standardContextual"/>
        </w:rPr>
      </w:pPr>
      <w:hyperlink w:anchor="_Toc208847674" w:history="1"/>
    </w:p>
    <w:p w14:paraId="134F2F1E" w14:textId="77777777" w:rsidR="00A673EB" w:rsidRDefault="00702177" w:rsidP="00A673EB">
      <w:pPr>
        <w:pStyle w:val="NICEnormal"/>
      </w:pPr>
      <w:r>
        <w:fldChar w:fldCharType="end"/>
      </w:r>
    </w:p>
    <w:p w14:paraId="5FCF53E9" w14:textId="77777777" w:rsidR="00A673EB" w:rsidRDefault="00A673EB">
      <w:pPr>
        <w:rPr>
          <w:rFonts w:ascii="Arial" w:hAnsi="Arial"/>
        </w:rPr>
      </w:pPr>
      <w:r>
        <w:br w:type="page"/>
      </w:r>
    </w:p>
    <w:p w14:paraId="2FD2EC75" w14:textId="77777777" w:rsidR="002C296A" w:rsidRDefault="002C296A" w:rsidP="00A673EB">
      <w:pPr>
        <w:pStyle w:val="Numberedheading1"/>
      </w:pPr>
      <w:bookmarkStart w:id="47" w:name="_Toc208847654"/>
      <w:r w:rsidRPr="00A673EB">
        <w:lastRenderedPageBreak/>
        <w:t>Introduction</w:t>
      </w:r>
      <w:bookmarkEnd w:id="47"/>
    </w:p>
    <w:p w14:paraId="49C6240A" w14:textId="00719EF7" w:rsidR="002C296A" w:rsidRPr="00E10156" w:rsidRDefault="002C296A" w:rsidP="00BB4634">
      <w:pPr>
        <w:pStyle w:val="Paragraph"/>
      </w:pPr>
      <w:r w:rsidRPr="00623619">
        <w:t xml:space="preserve">This briefing paper presents a structured </w:t>
      </w:r>
      <w:r>
        <w:t>overview of potential quality improvement areas for</w:t>
      </w:r>
      <w:r w:rsidR="003B2F1A">
        <w:t xml:space="preserve"> perioperative care in adults.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51615DD0"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1F58C7A9"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2BF062BB" w14:textId="77777777" w:rsidR="00C22DED" w:rsidRPr="00D862D3" w:rsidRDefault="000750FD" w:rsidP="00D862D3">
      <w:pPr>
        <w:pStyle w:val="Numberedheading2"/>
      </w:pPr>
      <w:bookmarkStart w:id="48" w:name="_Toc71289585"/>
      <w:bookmarkStart w:id="49" w:name="_Toc71289684"/>
      <w:bookmarkStart w:id="50" w:name="_Toc71290377"/>
      <w:bookmarkStart w:id="51" w:name="_Toc71542842"/>
      <w:bookmarkStart w:id="52" w:name="_Toc207709566"/>
      <w:bookmarkStart w:id="53" w:name="_Toc208847655"/>
      <w:r w:rsidRPr="00D862D3">
        <w:t>D</w:t>
      </w:r>
      <w:r w:rsidR="00C22DED" w:rsidRPr="00D862D3">
        <w:t>evelopment source</w:t>
      </w:r>
      <w:bookmarkEnd w:id="48"/>
      <w:bookmarkEnd w:id="49"/>
      <w:bookmarkEnd w:id="50"/>
      <w:bookmarkEnd w:id="51"/>
      <w:bookmarkEnd w:id="52"/>
      <w:bookmarkEnd w:id="53"/>
    </w:p>
    <w:p w14:paraId="40086C96" w14:textId="7C86C9D5" w:rsidR="00C22DED" w:rsidRDefault="003B6DDC" w:rsidP="002C296A">
      <w:pPr>
        <w:pStyle w:val="Paragraph"/>
      </w:pPr>
      <w:r>
        <w:t>T</w:t>
      </w:r>
      <w:r w:rsidR="00C22DED">
        <w:t>he key development source referenced in this briefing paper</w:t>
      </w:r>
      <w:r w:rsidR="00766AE9">
        <w:t xml:space="preserve"> is</w:t>
      </w:r>
      <w:r w:rsidR="00C22DED">
        <w:t>:</w:t>
      </w:r>
    </w:p>
    <w:p w14:paraId="5A0415D5" w14:textId="140A85C2" w:rsidR="002F356B" w:rsidRDefault="007A338F" w:rsidP="002C296A">
      <w:pPr>
        <w:pStyle w:val="Paragraph"/>
      </w:pPr>
      <w:hyperlink r:id="rId8" w:history="1">
        <w:r w:rsidRPr="00F20276">
          <w:rPr>
            <w:rStyle w:val="Hyperlink"/>
          </w:rPr>
          <w:t>Perioperative care in adults</w:t>
        </w:r>
        <w:r w:rsidR="00120658">
          <w:rPr>
            <w:rStyle w:val="Hyperlink"/>
          </w:rPr>
          <w:t>.</w:t>
        </w:r>
        <w:r w:rsidR="00913707" w:rsidRPr="00F20276">
          <w:rPr>
            <w:rStyle w:val="Hyperlink"/>
          </w:rPr>
          <w:t xml:space="preserve"> NICE guideline </w:t>
        </w:r>
        <w:r w:rsidR="0083285B" w:rsidRPr="00F20276">
          <w:rPr>
            <w:rStyle w:val="Hyperlink"/>
          </w:rPr>
          <w:t>NG180</w:t>
        </w:r>
      </w:hyperlink>
      <w:r w:rsidR="00F20276">
        <w:t xml:space="preserve"> (2020)</w:t>
      </w:r>
    </w:p>
    <w:p w14:paraId="0CE30418" w14:textId="77777777" w:rsidR="00663C5D" w:rsidRDefault="00663C5D" w:rsidP="004619CE">
      <w:pPr>
        <w:pStyle w:val="Paragraph"/>
      </w:pPr>
      <w:r>
        <w:t>The development source referenced in the intraoperative care section in this briefing paper is:</w:t>
      </w:r>
    </w:p>
    <w:p w14:paraId="5EB36CAD" w14:textId="1AA2000F" w:rsidR="004619CE" w:rsidRPr="00E10156" w:rsidRDefault="00663C5D" w:rsidP="002C296A">
      <w:pPr>
        <w:pStyle w:val="Paragraph"/>
      </w:pPr>
      <w:hyperlink r:id="rId9" w:history="1">
        <w:r>
          <w:rPr>
            <w:rStyle w:val="Hyperlink"/>
          </w:rPr>
          <w:t>Hypothermia: prevention and management in adults having surgery. NICE guideline CG65</w:t>
        </w:r>
      </w:hyperlink>
      <w:r>
        <w:t xml:space="preserve"> (2008, </w:t>
      </w:r>
      <w:r w:rsidR="00FC6325">
        <w:t>Last u</w:t>
      </w:r>
      <w:r>
        <w:t>pdated 2016)</w:t>
      </w:r>
    </w:p>
    <w:p w14:paraId="6D6A5267" w14:textId="77777777" w:rsidR="002C296A" w:rsidRDefault="002C296A" w:rsidP="002C296A">
      <w:pPr>
        <w:pStyle w:val="Numberedheading1"/>
      </w:pPr>
      <w:bookmarkStart w:id="54" w:name="_Toc208847656"/>
      <w:r>
        <w:t>Overview</w:t>
      </w:r>
      <w:bookmarkEnd w:id="54"/>
    </w:p>
    <w:p w14:paraId="22E819C7" w14:textId="77777777" w:rsidR="002C296A" w:rsidRDefault="002C296A" w:rsidP="002C296A">
      <w:pPr>
        <w:pStyle w:val="Numberedheading2"/>
      </w:pPr>
      <w:bookmarkStart w:id="55" w:name="_Toc71289587"/>
      <w:bookmarkStart w:id="56" w:name="_Toc71289686"/>
      <w:bookmarkStart w:id="57" w:name="_Toc71290379"/>
      <w:bookmarkStart w:id="58" w:name="_Toc71542844"/>
      <w:bookmarkStart w:id="59" w:name="_Toc207709568"/>
      <w:bookmarkStart w:id="60" w:name="_Toc208847657"/>
      <w:r>
        <w:t>Focus of quality standard</w:t>
      </w:r>
      <w:bookmarkEnd w:id="55"/>
      <w:bookmarkEnd w:id="56"/>
      <w:bookmarkEnd w:id="57"/>
      <w:bookmarkEnd w:id="58"/>
      <w:bookmarkEnd w:id="59"/>
      <w:bookmarkEnd w:id="60"/>
    </w:p>
    <w:p w14:paraId="13E4BF31" w14:textId="77777777" w:rsidR="00E25274" w:rsidRDefault="005156E6" w:rsidP="00933944">
      <w:pPr>
        <w:pStyle w:val="Paragraph"/>
      </w:pPr>
      <w:r w:rsidRPr="005156E6">
        <w:t>Th</w:t>
      </w:r>
      <w:r>
        <w:t>e</w:t>
      </w:r>
      <w:r w:rsidRPr="005156E6">
        <w:t xml:space="preserve"> quality standard </w:t>
      </w:r>
      <w:r>
        <w:t xml:space="preserve">will </w:t>
      </w:r>
      <w:r w:rsidRPr="005156E6">
        <w:t xml:space="preserve">cover care in adults (people aged 18 years and over) during the preoperative, intraoperative and postoperative periods. It </w:t>
      </w:r>
      <w:r w:rsidR="00CE6138">
        <w:t xml:space="preserve">will </w:t>
      </w:r>
      <w:r w:rsidRPr="005156E6">
        <w:t xml:space="preserve">include secondary and tertiary healthcare </w:t>
      </w:r>
      <w:r w:rsidR="00352084">
        <w:t xml:space="preserve">settings </w:t>
      </w:r>
      <w:r w:rsidR="00CA130E">
        <w:t xml:space="preserve">and general dental practices </w:t>
      </w:r>
      <w:r w:rsidRPr="005156E6">
        <w:t xml:space="preserve">but </w:t>
      </w:r>
      <w:r w:rsidR="00594093">
        <w:t xml:space="preserve">will </w:t>
      </w:r>
      <w:r w:rsidRPr="005156E6">
        <w:t xml:space="preserve">exclude minor surgery in outpatient clinics. </w:t>
      </w:r>
    </w:p>
    <w:p w14:paraId="3D31B18C" w14:textId="6D724F4C" w:rsidR="00BF70EA" w:rsidRDefault="00E25274" w:rsidP="00933944">
      <w:pPr>
        <w:pStyle w:val="Paragraph"/>
      </w:pPr>
      <w:r>
        <w:t xml:space="preserve">This </w:t>
      </w:r>
      <w:r w:rsidR="00647380">
        <w:t>is</w:t>
      </w:r>
      <w:r w:rsidR="005156E6" w:rsidRPr="005156E6">
        <w:t xml:space="preserve"> a new </w:t>
      </w:r>
      <w:r>
        <w:t>quality standard that we expect to publish in July 2026</w:t>
      </w:r>
      <w:r w:rsidR="00621C7A">
        <w:t>.</w:t>
      </w:r>
    </w:p>
    <w:p w14:paraId="7C100D40" w14:textId="77777777" w:rsidR="002C296A" w:rsidRDefault="002C296A" w:rsidP="00BF70EA">
      <w:pPr>
        <w:pStyle w:val="Numberedheading2"/>
      </w:pPr>
      <w:bookmarkStart w:id="61" w:name="_Toc71289588"/>
      <w:bookmarkStart w:id="62" w:name="_Toc71289687"/>
      <w:bookmarkStart w:id="63" w:name="_Toc71290380"/>
      <w:bookmarkStart w:id="64" w:name="_Toc71542845"/>
      <w:bookmarkStart w:id="65" w:name="_Toc207709569"/>
      <w:bookmarkStart w:id="66" w:name="_Toc208847658"/>
      <w:r>
        <w:t>Definition</w:t>
      </w:r>
      <w:bookmarkEnd w:id="61"/>
      <w:bookmarkEnd w:id="62"/>
      <w:bookmarkEnd w:id="63"/>
      <w:bookmarkEnd w:id="64"/>
      <w:bookmarkEnd w:id="65"/>
      <w:bookmarkEnd w:id="66"/>
    </w:p>
    <w:p w14:paraId="0ED94238" w14:textId="4A30B964" w:rsidR="00BF70EA" w:rsidRDefault="00D722BB" w:rsidP="00933944">
      <w:pPr>
        <w:pStyle w:val="Paragraph"/>
      </w:pPr>
      <w:r>
        <w:t xml:space="preserve">Perioperative care </w:t>
      </w:r>
      <w:r w:rsidR="008D2FBD">
        <w:t xml:space="preserve">refers to care during the preoperative, intraoperative, </w:t>
      </w:r>
      <w:r w:rsidR="00007EE8">
        <w:t>and postoperative period.</w:t>
      </w:r>
      <w:r w:rsidR="0074266C" w:rsidRPr="0074266C">
        <w:t xml:space="preserve"> </w:t>
      </w:r>
      <w:r w:rsidR="0074266C">
        <w:t>T</w:t>
      </w:r>
      <w:r w:rsidR="0074266C" w:rsidRPr="0074266C">
        <w:t>he perioperative period starts when the person is booked for surgery and ends when they are discharged from care after surgery</w:t>
      </w:r>
      <w:r w:rsidR="007A63AC">
        <w:t xml:space="preserve">. </w:t>
      </w:r>
    </w:p>
    <w:p w14:paraId="307837E9" w14:textId="34AA94C9" w:rsidR="002C296A" w:rsidRPr="00FF20A8" w:rsidRDefault="00563C27" w:rsidP="002C296A">
      <w:pPr>
        <w:pStyle w:val="Numberedheading2"/>
      </w:pPr>
      <w:r>
        <w:lastRenderedPageBreak/>
        <w:t>Trends in surgical practice</w:t>
      </w:r>
    </w:p>
    <w:p w14:paraId="0079368D" w14:textId="77777777" w:rsidR="00E25274" w:rsidRDefault="00F65BF2" w:rsidP="007A6AEB">
      <w:pPr>
        <w:pStyle w:val="Paragraph"/>
      </w:pPr>
      <w:r>
        <w:t xml:space="preserve">Approximately </w:t>
      </w:r>
      <w:r w:rsidR="007A7DD9">
        <w:t xml:space="preserve">4.4 million people undergo surgical procedures in the NHS in England each year. </w:t>
      </w:r>
      <w:r w:rsidR="00AD364F">
        <w:t>According to data from the Hospital Episode Statistics for Admitted Patient Care (HES-APC), m</w:t>
      </w:r>
      <w:r w:rsidR="00CB2753">
        <w:t xml:space="preserve">ore than 23 million surgical </w:t>
      </w:r>
      <w:r w:rsidR="00954421">
        <w:t>procedure</w:t>
      </w:r>
      <w:r w:rsidR="00CB2753">
        <w:t xml:space="preserve">s were </w:t>
      </w:r>
      <w:r w:rsidR="00954421">
        <w:t xml:space="preserve">performed in </w:t>
      </w:r>
      <w:r w:rsidR="000C1F7A">
        <w:t>England be</w:t>
      </w:r>
      <w:r w:rsidR="00EF5DFA">
        <w:t xml:space="preserve">tween January 1, </w:t>
      </w:r>
      <w:r w:rsidR="00D517FF">
        <w:t>2016,</w:t>
      </w:r>
      <w:r w:rsidR="00EF5DFA">
        <w:t xml:space="preserve"> and December 31, 2020 (</w:t>
      </w:r>
      <w:hyperlink r:id="rId10" w:history="1">
        <w:r w:rsidR="00D517FF" w:rsidRPr="009D5923">
          <w:rPr>
            <w:rStyle w:val="Hyperlink"/>
          </w:rPr>
          <w:t>The lifetime risk of surgery in England: a nationwide observational cohort study</w:t>
        </w:r>
      </w:hyperlink>
      <w:r w:rsidR="009D5923">
        <w:t>, 2024)</w:t>
      </w:r>
      <w:r w:rsidR="00755FB2">
        <w:t xml:space="preserve">. </w:t>
      </w:r>
    </w:p>
    <w:p w14:paraId="5CF95AF2" w14:textId="2E976137" w:rsidR="00D20E78" w:rsidRDefault="002F1166" w:rsidP="007A6AEB">
      <w:pPr>
        <w:pStyle w:val="Paragraph"/>
      </w:pPr>
      <w:r>
        <w:t>T</w:t>
      </w:r>
      <w:r w:rsidR="00823795">
        <w:t>he most common surgical proce</w:t>
      </w:r>
      <w:r w:rsidR="004004D0">
        <w:t xml:space="preserve">dures </w:t>
      </w:r>
      <w:r w:rsidR="000B6E97">
        <w:t>are</w:t>
      </w:r>
      <w:r w:rsidR="004004D0">
        <w:t xml:space="preserve"> cataract surgery, caesarean section, hernia repairs, hip and knee replacements, cholecystectomy and tonsillectomy</w:t>
      </w:r>
      <w:r>
        <w:t xml:space="preserve"> </w:t>
      </w:r>
      <w:r w:rsidR="00A3193A">
        <w:t>(HES</w:t>
      </w:r>
      <w:r w:rsidR="00CC2DCE">
        <w:t xml:space="preserve">, </w:t>
      </w:r>
      <w:r w:rsidR="00A3193A">
        <w:t>2018/19)</w:t>
      </w:r>
      <w:r w:rsidR="004004D0">
        <w:t xml:space="preserve">. </w:t>
      </w:r>
      <w:r w:rsidR="00C33118">
        <w:t xml:space="preserve">Data reported in the Getting it Right First Time </w:t>
      </w:r>
      <w:hyperlink r:id="rId11" w:history="1">
        <w:r w:rsidR="00C33118">
          <w:rPr>
            <w:rStyle w:val="Hyperlink"/>
          </w:rPr>
          <w:t>(GIRFT) Programme National Specialty Report on Anaesthesia and Perioperative Medicine</w:t>
        </w:r>
      </w:hyperlink>
      <w:r w:rsidR="00C33118">
        <w:t xml:space="preserve"> (</w:t>
      </w:r>
      <w:r w:rsidR="00C33118" w:rsidRPr="00655B42">
        <w:t>September 2021)</w:t>
      </w:r>
      <w:r w:rsidR="00C33118">
        <w:t xml:space="preserve"> showed that total elective and emergency hospital admissions were rising at rate of around 3% year on year, with the highest number of hospital admissions in 2018/19 in people aged between 70 and 74 years.</w:t>
      </w:r>
      <w:r w:rsidR="000B6E97">
        <w:t xml:space="preserve"> </w:t>
      </w:r>
      <w:r w:rsidR="00D20E78" w:rsidRPr="00D20E78">
        <w:t>There are many factors impacting on the successful delivery of perioperative care in adults including high surgical waiting lists, an ageing and increasingly comorbid population, and the growing complexity of surgical procedures.</w:t>
      </w:r>
    </w:p>
    <w:p w14:paraId="6254BC81" w14:textId="7C233151" w:rsidR="00D20E78" w:rsidRDefault="00D20E78" w:rsidP="007A6AEB">
      <w:pPr>
        <w:pStyle w:val="Paragraph"/>
      </w:pPr>
      <w:r>
        <w:t>The COVID-19 pandemic influenced surgical trends and volume, especially elective surgical services. In 2020 in England and Wales, there was a 33.6% decrease in surgical volume in NHS hospitals, representing the cancellation or postponement of more than 1.5 million surgeries (</w:t>
      </w:r>
      <w:hyperlink r:id="rId12" w:history="1">
        <w:r w:rsidRPr="00526118">
          <w:rPr>
            <w:rStyle w:val="Hyperlink"/>
          </w:rPr>
          <w:t>Surgical activity in England and Wales during the COVID-19</w:t>
        </w:r>
      </w:hyperlink>
      <w:r>
        <w:t xml:space="preserve">, 2021). To tackle the significant backlog in elective care and recover to pre-pandemic levels, surgical pathways were reviewed and this has impacted on the delivery of perioperative care. The NHS England report on </w:t>
      </w:r>
      <w:hyperlink r:id="rId13" w:history="1">
        <w:r w:rsidRPr="00B17FCA">
          <w:rPr>
            <w:rStyle w:val="Hyperlink"/>
          </w:rPr>
          <w:t>Theatres, surgery and perioperative care. A clinical and operational improvement guide</w:t>
        </w:r>
      </w:hyperlink>
      <w:r>
        <w:t xml:space="preserve"> (Feb</w:t>
      </w:r>
      <w:r w:rsidR="00497C1E">
        <w:t>r</w:t>
      </w:r>
      <w:r>
        <w:t>uary 2025), set a focus on increasing the percentage of patients waiting &lt;18 weeks for their first appointment in elective care, and reducing the proportion of beds occupied by long stay patients (7+ days)</w:t>
      </w:r>
      <w:r w:rsidRPr="00A42094">
        <w:t xml:space="preserve"> </w:t>
      </w:r>
      <w:r>
        <w:t xml:space="preserve">in </w:t>
      </w:r>
      <w:r w:rsidRPr="00A42094">
        <w:t>urgent and emergency care</w:t>
      </w:r>
      <w:r>
        <w:t>.</w:t>
      </w:r>
    </w:p>
    <w:p w14:paraId="3BABCF3D" w14:textId="5B338FB7" w:rsidR="007A6AEB" w:rsidRDefault="00926905" w:rsidP="007A6AEB">
      <w:pPr>
        <w:pStyle w:val="Paragraph"/>
      </w:pPr>
      <w:r>
        <w:t>The UK</w:t>
      </w:r>
      <w:r w:rsidR="00DA5827">
        <w:t xml:space="preserve"> is </w:t>
      </w:r>
      <w:r w:rsidR="004F427C">
        <w:t xml:space="preserve">also </w:t>
      </w:r>
      <w:r w:rsidR="00DA5827">
        <w:t>facing an ageing</w:t>
      </w:r>
      <w:r>
        <w:t xml:space="preserve"> </w:t>
      </w:r>
      <w:r w:rsidR="00C21646">
        <w:t>population</w:t>
      </w:r>
      <w:r w:rsidR="00D812E1">
        <w:t xml:space="preserve">, </w:t>
      </w:r>
      <w:r>
        <w:t>with estimates of an extra 8.2 million people aged 65 and over in the UK by 2068</w:t>
      </w:r>
      <w:r w:rsidR="00806887">
        <w:t>. I</w:t>
      </w:r>
      <w:r>
        <w:t>ncreased life expectancy bring</w:t>
      </w:r>
      <w:r w:rsidR="00806887">
        <w:t>s</w:t>
      </w:r>
      <w:r>
        <w:t xml:space="preserve"> challenges</w:t>
      </w:r>
      <w:r w:rsidR="00806887">
        <w:t xml:space="preserve"> </w:t>
      </w:r>
      <w:r w:rsidR="0026435A">
        <w:t>including an increase in the</w:t>
      </w:r>
      <w:r w:rsidR="00806887">
        <w:t xml:space="preserve"> d</w:t>
      </w:r>
      <w:r>
        <w:t xml:space="preserve">emand for surgical care as </w:t>
      </w:r>
      <w:r w:rsidR="006B394B">
        <w:t>older</w:t>
      </w:r>
      <w:r w:rsidR="0067370F">
        <w:t xml:space="preserve"> people</w:t>
      </w:r>
      <w:r w:rsidR="0026435A">
        <w:t xml:space="preserve"> </w:t>
      </w:r>
      <w:r>
        <w:t>are often living with multiple long-term health conditions that require more medical care</w:t>
      </w:r>
      <w:r w:rsidR="0079082B">
        <w:t xml:space="preserve">. </w:t>
      </w:r>
      <w:r w:rsidR="007A6AEB">
        <w:t xml:space="preserve">Along </w:t>
      </w:r>
      <w:r w:rsidR="0079082B">
        <w:t xml:space="preserve">with </w:t>
      </w:r>
      <w:r w:rsidR="007A6AEB">
        <w:t xml:space="preserve">the continuing high demand for surgery, there is a </w:t>
      </w:r>
      <w:r w:rsidR="002F0C5D">
        <w:t>need</w:t>
      </w:r>
      <w:r w:rsidR="007A6AEB">
        <w:t xml:space="preserve"> to advance the prevention and care of post-surgical</w:t>
      </w:r>
      <w:r w:rsidR="002F0C5D">
        <w:t xml:space="preserve"> </w:t>
      </w:r>
      <w:r w:rsidR="007A6AEB">
        <w:t xml:space="preserve">complications </w:t>
      </w:r>
      <w:r w:rsidR="00D22786">
        <w:t>such as</w:t>
      </w:r>
      <w:r w:rsidR="007A6AEB">
        <w:t xml:space="preserve"> sepsis or myocardial injury.</w:t>
      </w:r>
      <w:r w:rsidR="00D22786">
        <w:t xml:space="preserve"> </w:t>
      </w:r>
      <w:r w:rsidR="00FB0F8E">
        <w:t>I</w:t>
      </w:r>
      <w:r w:rsidR="007A6AEB">
        <w:t xml:space="preserve">t is estimated </w:t>
      </w:r>
      <w:r w:rsidR="00771AD3">
        <w:t xml:space="preserve">that </w:t>
      </w:r>
      <w:r w:rsidR="007A6AEB">
        <w:t xml:space="preserve">around 250,000 of ‘high-risk’ patients </w:t>
      </w:r>
      <w:r w:rsidR="00FB6600">
        <w:t xml:space="preserve">(an </w:t>
      </w:r>
      <w:r w:rsidR="00FB6600" w:rsidRPr="00FB6600">
        <w:t>increasingly complex group of mostly older patients with multiple co-morbidities</w:t>
      </w:r>
      <w:r w:rsidR="00FB6600">
        <w:t>)</w:t>
      </w:r>
      <w:r w:rsidR="00FB6600" w:rsidRPr="00FB6600">
        <w:t xml:space="preserve"> </w:t>
      </w:r>
      <w:r w:rsidR="007A6AEB">
        <w:t>undergo surgery each year in the NHS</w:t>
      </w:r>
      <w:r w:rsidR="00FB6600">
        <w:t xml:space="preserve"> </w:t>
      </w:r>
      <w:r w:rsidR="007A6AEB">
        <w:t xml:space="preserve">and </w:t>
      </w:r>
      <w:r w:rsidR="009A1560">
        <w:t xml:space="preserve">account for </w:t>
      </w:r>
      <w:r w:rsidR="00771AD3">
        <w:t xml:space="preserve">the occurrence of </w:t>
      </w:r>
      <w:r w:rsidR="007A6AEB">
        <w:t>over 80% of major complications</w:t>
      </w:r>
      <w:r w:rsidR="00435319">
        <w:t xml:space="preserve"> (</w:t>
      </w:r>
      <w:hyperlink r:id="rId14" w:history="1">
        <w:r w:rsidR="00435319" w:rsidRPr="00435319">
          <w:rPr>
            <w:rStyle w:val="Hyperlink"/>
          </w:rPr>
          <w:t>GIRFT 2021</w:t>
        </w:r>
      </w:hyperlink>
      <w:r w:rsidR="00435319">
        <w:t>)</w:t>
      </w:r>
      <w:r w:rsidR="007A6AEB">
        <w:t>.</w:t>
      </w:r>
      <w:r w:rsidR="00D817B2" w:rsidRPr="00D817B2">
        <w:t xml:space="preserve"> </w:t>
      </w:r>
    </w:p>
    <w:p w14:paraId="76DDDCC5" w14:textId="53927D0D" w:rsidR="00D20E78" w:rsidRDefault="004F427C" w:rsidP="007A6AEB">
      <w:pPr>
        <w:pStyle w:val="Paragraph"/>
      </w:pPr>
      <w:r>
        <w:t>Finally, s</w:t>
      </w:r>
      <w:r w:rsidR="00D20E78">
        <w:t xml:space="preserve">urgical procedures are growing </w:t>
      </w:r>
      <w:r w:rsidR="00EA6C2F">
        <w:t>increasingly</w:t>
      </w:r>
      <w:r w:rsidR="00D20E78">
        <w:t xml:space="preserve"> complex</w:t>
      </w:r>
      <w:r>
        <w:t>. I</w:t>
      </w:r>
      <w:r w:rsidR="00D20E78">
        <w:t xml:space="preserve">n 2023/24, </w:t>
      </w:r>
      <w:r>
        <w:t xml:space="preserve">data from the </w:t>
      </w:r>
      <w:hyperlink r:id="rId15" w:history="1">
        <w:r w:rsidRPr="00732111">
          <w:rPr>
            <w:rStyle w:val="Hyperlink"/>
          </w:rPr>
          <w:t>Perioperative Quality Improvement Programme (PQIP) Report 5</w:t>
        </w:r>
      </w:hyperlink>
      <w:r>
        <w:t xml:space="preserve"> reported that </w:t>
      </w:r>
      <w:r w:rsidR="00D20E78">
        <w:lastRenderedPageBreak/>
        <w:t xml:space="preserve">60% of procedures in </w:t>
      </w:r>
      <w:r>
        <w:t xml:space="preserve">PQIP </w:t>
      </w:r>
      <w:r w:rsidR="00D20E78">
        <w:t>patients were taking longer than three hours and around 20% taking over six hours.</w:t>
      </w:r>
    </w:p>
    <w:p w14:paraId="08914F3F" w14:textId="4368F188" w:rsidR="002C296A" w:rsidRDefault="00D44D8A" w:rsidP="002C296A">
      <w:pPr>
        <w:pStyle w:val="Numberedheading2"/>
      </w:pPr>
      <w:bookmarkStart w:id="67" w:name="_Toc71289590"/>
      <w:bookmarkStart w:id="68" w:name="_Toc71289689"/>
      <w:bookmarkStart w:id="69" w:name="_Toc71290382"/>
      <w:bookmarkStart w:id="70" w:name="_Toc71542847"/>
      <w:bookmarkStart w:id="71" w:name="_Toc207709571"/>
      <w:bookmarkStart w:id="72" w:name="_Toc208847660"/>
      <w:r>
        <w:t>Current service delivery and management</w:t>
      </w:r>
      <w:bookmarkEnd w:id="67"/>
      <w:bookmarkEnd w:id="68"/>
      <w:bookmarkEnd w:id="69"/>
      <w:bookmarkEnd w:id="70"/>
      <w:bookmarkEnd w:id="71"/>
      <w:bookmarkEnd w:id="72"/>
    </w:p>
    <w:p w14:paraId="5E452350" w14:textId="6F21322E" w:rsidR="00093E1E" w:rsidRDefault="00ED11DD" w:rsidP="007E0C63">
      <w:pPr>
        <w:pStyle w:val="Paragraph"/>
      </w:pPr>
      <w:r>
        <w:t>P</w:t>
      </w:r>
      <w:r w:rsidR="00C908B8">
        <w:t xml:space="preserve">erioperative care </w:t>
      </w:r>
      <w:r w:rsidR="004E2931">
        <w:t>is the</w:t>
      </w:r>
      <w:r w:rsidR="00A972DB">
        <w:t xml:space="preserve"> </w:t>
      </w:r>
      <w:r w:rsidR="004E2931">
        <w:t>deliver</w:t>
      </w:r>
      <w:r w:rsidR="00F82176">
        <w:t>y of</w:t>
      </w:r>
      <w:r w:rsidR="004E2931">
        <w:t xml:space="preserve"> </w:t>
      </w:r>
      <w:r w:rsidR="00C908B8">
        <w:t>patient-centred multidisciplinary and integrated care from</w:t>
      </w:r>
      <w:r w:rsidR="00A972DB">
        <w:t xml:space="preserve"> </w:t>
      </w:r>
      <w:r w:rsidR="003E40B2">
        <w:t>contemplation of surgery</w:t>
      </w:r>
      <w:r w:rsidR="00ED0917">
        <w:t xml:space="preserve"> </w:t>
      </w:r>
      <w:r w:rsidR="00C908B8">
        <w:t xml:space="preserve">to full recovery. </w:t>
      </w:r>
      <w:r w:rsidR="004C3B5A">
        <w:t xml:space="preserve">It covers both elective and emergency procedures across various surgical specialities. </w:t>
      </w:r>
      <w:r w:rsidR="004D3F3B" w:rsidRPr="004D3F3B">
        <w:t>The perioperative pathway includes three periods</w:t>
      </w:r>
      <w:r w:rsidR="00093E1E">
        <w:t>:</w:t>
      </w:r>
    </w:p>
    <w:p w14:paraId="7D42E8A2" w14:textId="6E36AD17" w:rsidR="00093E1E" w:rsidRDefault="0035042A" w:rsidP="00237E74">
      <w:pPr>
        <w:pStyle w:val="Paragraph"/>
        <w:numPr>
          <w:ilvl w:val="0"/>
          <w:numId w:val="23"/>
        </w:numPr>
      </w:pPr>
      <w:r w:rsidRPr="004D3F3B">
        <w:t>P</w:t>
      </w:r>
      <w:r w:rsidR="004D3F3B" w:rsidRPr="004D3F3B">
        <w:t>reoperative</w:t>
      </w:r>
      <w:r>
        <w:t xml:space="preserve">: </w:t>
      </w:r>
      <w:r w:rsidR="004D3F3B" w:rsidRPr="004D3F3B">
        <w:t xml:space="preserve">referral, preoperative </w:t>
      </w:r>
      <w:r w:rsidR="000A5DA5">
        <w:t xml:space="preserve">risk </w:t>
      </w:r>
      <w:r w:rsidR="004D3F3B" w:rsidRPr="004D3F3B">
        <w:t xml:space="preserve">assessment and </w:t>
      </w:r>
      <w:r w:rsidR="00654BCA">
        <w:t xml:space="preserve">the </w:t>
      </w:r>
      <w:r w:rsidR="004D3F3B" w:rsidRPr="004D3F3B">
        <w:t>optimisation</w:t>
      </w:r>
      <w:r w:rsidR="000A5DA5">
        <w:t xml:space="preserve"> of comorbidities</w:t>
      </w:r>
    </w:p>
    <w:p w14:paraId="18354A53" w14:textId="599A8B1C" w:rsidR="00093E1E" w:rsidRDefault="0035042A" w:rsidP="00237E74">
      <w:pPr>
        <w:pStyle w:val="Paragraph"/>
        <w:numPr>
          <w:ilvl w:val="0"/>
          <w:numId w:val="23"/>
        </w:numPr>
      </w:pPr>
      <w:r w:rsidRPr="004D3F3B">
        <w:t>I</w:t>
      </w:r>
      <w:r w:rsidR="004D3F3B" w:rsidRPr="004D3F3B">
        <w:t>ntraoperative</w:t>
      </w:r>
      <w:r>
        <w:t xml:space="preserve">: </w:t>
      </w:r>
      <w:r w:rsidR="004D3F3B" w:rsidRPr="004D3F3B">
        <w:t>intraoperative care and surgery</w:t>
      </w:r>
      <w:r>
        <w:t>,</w:t>
      </w:r>
      <w:r w:rsidR="004D3F3B" w:rsidRPr="004D3F3B">
        <w:t xml:space="preserve"> and </w:t>
      </w:r>
    </w:p>
    <w:p w14:paraId="3FB22EFC" w14:textId="22C2C3D2" w:rsidR="00093E1E" w:rsidRDefault="0035042A" w:rsidP="00237E74">
      <w:pPr>
        <w:pStyle w:val="Paragraph"/>
        <w:numPr>
          <w:ilvl w:val="0"/>
          <w:numId w:val="23"/>
        </w:numPr>
      </w:pPr>
      <w:r w:rsidRPr="004D3F3B">
        <w:t>P</w:t>
      </w:r>
      <w:r w:rsidR="004D3F3B" w:rsidRPr="004D3F3B">
        <w:t>ostoperative</w:t>
      </w:r>
      <w:r>
        <w:t xml:space="preserve">: </w:t>
      </w:r>
      <w:r w:rsidR="004D3F3B" w:rsidRPr="004D3F3B">
        <w:t xml:space="preserve">early postoperative recovery and rehabilitation and follow-up </w:t>
      </w:r>
    </w:p>
    <w:p w14:paraId="2E16B2E0" w14:textId="4E7BD666" w:rsidR="00D16CB2" w:rsidRDefault="00726FE9" w:rsidP="001154BD">
      <w:pPr>
        <w:pStyle w:val="Paragraph"/>
      </w:pPr>
      <w:r>
        <w:t>The Centre for Perioperative Care (</w:t>
      </w:r>
      <w:r w:rsidRPr="00726FE9">
        <w:t>CPOC</w:t>
      </w:r>
      <w:r>
        <w:t xml:space="preserve">) highlight in the </w:t>
      </w:r>
      <w:hyperlink r:id="rId16" w:history="1">
        <w:r w:rsidRPr="00726FE9">
          <w:rPr>
            <w:rStyle w:val="Hyperlink"/>
          </w:rPr>
          <w:t>CPOC strategy 2023-2026</w:t>
        </w:r>
      </w:hyperlink>
      <w:r>
        <w:t xml:space="preserve">, that the key </w:t>
      </w:r>
      <w:r w:rsidR="004D3F3B" w:rsidRPr="004D3F3B">
        <w:t xml:space="preserve">principles </w:t>
      </w:r>
      <w:r w:rsidR="002D267D">
        <w:t xml:space="preserve">of the perioperative pathway </w:t>
      </w:r>
      <w:r>
        <w:t>include</w:t>
      </w:r>
      <w:r w:rsidR="004D3F3B" w:rsidRPr="004D3F3B">
        <w:t xml:space="preserve"> patient</w:t>
      </w:r>
      <w:r w:rsidR="007231E1">
        <w:t xml:space="preserve"> centred care, shared decision-making, joined up team working and technology that works</w:t>
      </w:r>
      <w:r>
        <w:t>. However,</w:t>
      </w:r>
      <w:r w:rsidR="00271DD4">
        <w:t xml:space="preserve"> there is </w:t>
      </w:r>
      <w:r w:rsidR="00D16CB2">
        <w:t xml:space="preserve">variation in </w:t>
      </w:r>
      <w:r w:rsidR="00F82176">
        <w:t xml:space="preserve">the way </w:t>
      </w:r>
      <w:r w:rsidR="00D16CB2">
        <w:t>perioperative pathways</w:t>
      </w:r>
      <w:r w:rsidR="00F82176">
        <w:t xml:space="preserve"> are implemented across the UK</w:t>
      </w:r>
      <w:r w:rsidR="00D16CB2">
        <w:t xml:space="preserve">. </w:t>
      </w:r>
    </w:p>
    <w:p w14:paraId="7F6B1827" w14:textId="6E0B71A4" w:rsidR="000723A4" w:rsidRDefault="00726FE9" w:rsidP="007E0C63">
      <w:pPr>
        <w:pStyle w:val="Paragraph"/>
      </w:pPr>
      <w:r>
        <w:t xml:space="preserve">To support the delivery of clinical and operational excellent across the theatre, surgical and perioperative pathway, the NHS England report on </w:t>
      </w:r>
      <w:hyperlink r:id="rId17" w:history="1">
        <w:r w:rsidRPr="00B17FCA">
          <w:rPr>
            <w:rStyle w:val="Hyperlink"/>
          </w:rPr>
          <w:t>Theatres, surgery and perioperative care. A clinical and operational improvement guide</w:t>
        </w:r>
      </w:hyperlink>
      <w:r>
        <w:t xml:space="preserve"> highlight</w:t>
      </w:r>
      <w:r w:rsidR="000723A4">
        <w:t xml:space="preserve"> </w:t>
      </w:r>
      <w:r>
        <w:t>e</w:t>
      </w:r>
      <w:r w:rsidRPr="00726FE9">
        <w:t>arlier screening, risk assessment and health optimisation</w:t>
      </w:r>
      <w:r>
        <w:t xml:space="preserve"> as high impact interventions in preoperative care. </w:t>
      </w:r>
      <w:r w:rsidR="000723A4">
        <w:t xml:space="preserve">For intraoperative care, </w:t>
      </w:r>
      <w:r w:rsidR="000723A4" w:rsidRPr="000723A4">
        <w:t xml:space="preserve">implementation of the golden patient methodology, automatic send and reduction in turnaround times in theatre are </w:t>
      </w:r>
      <w:r w:rsidR="000723A4">
        <w:t xml:space="preserve">highlighted as </w:t>
      </w:r>
      <w:r w:rsidR="000723A4" w:rsidRPr="000723A4">
        <w:t xml:space="preserve">high-impact interventions that </w:t>
      </w:r>
      <w:r w:rsidR="000723A4">
        <w:t xml:space="preserve">would </w:t>
      </w:r>
      <w:r w:rsidR="000723A4" w:rsidRPr="000723A4">
        <w:t>enhance surgical productivity and reduce the potential of starting a procedure later than planned.</w:t>
      </w:r>
      <w:r w:rsidR="000723A4">
        <w:t xml:space="preserve"> For postoperative care, the report highlights the effective implementation of Drinking, Eating and Mobilising (</w:t>
      </w:r>
      <w:proofErr w:type="spellStart"/>
      <w:r w:rsidR="000723A4">
        <w:t>DrEaMing</w:t>
      </w:r>
      <w:proofErr w:type="spellEnd"/>
      <w:r w:rsidR="000723A4">
        <w:t>) which f</w:t>
      </w:r>
      <w:r w:rsidR="000723A4" w:rsidRPr="000723A4">
        <w:t xml:space="preserve">ocuses on delivering care via </w:t>
      </w:r>
      <w:r w:rsidR="009A3A47" w:rsidRPr="000723A4">
        <w:t>day case</w:t>
      </w:r>
      <w:r w:rsidR="000723A4" w:rsidRPr="000723A4">
        <w:t xml:space="preserve">, recovery, and enhanced ambulatory models, </w:t>
      </w:r>
      <w:r w:rsidR="000723A4">
        <w:t>thus</w:t>
      </w:r>
      <w:r w:rsidR="000723A4" w:rsidRPr="000723A4">
        <w:t xml:space="preserve"> prioritis</w:t>
      </w:r>
      <w:r w:rsidR="000723A4">
        <w:t>ing</w:t>
      </w:r>
      <w:r w:rsidR="000723A4" w:rsidRPr="000723A4">
        <w:t xml:space="preserve"> efficient patient pathways, reduc</w:t>
      </w:r>
      <w:r w:rsidR="000723A4">
        <w:t>ing</w:t>
      </w:r>
      <w:r w:rsidR="000723A4" w:rsidRPr="000723A4">
        <w:t xml:space="preserve"> hospital admissions, and improv</w:t>
      </w:r>
      <w:r w:rsidR="000723A4">
        <w:t>ing</w:t>
      </w:r>
      <w:r w:rsidR="000723A4" w:rsidRPr="000723A4">
        <w:t xml:space="preserve"> patient flow</w:t>
      </w:r>
      <w:r w:rsidR="000723A4">
        <w:t>.</w:t>
      </w:r>
    </w:p>
    <w:p w14:paraId="736F97E3" w14:textId="48BAF259" w:rsidR="000C135B" w:rsidRPr="003F70B8" w:rsidRDefault="00466B16" w:rsidP="00466B16">
      <w:pPr>
        <w:pStyle w:val="Numberedheading2"/>
      </w:pPr>
      <w:bookmarkStart w:id="73" w:name="_Toc340835232"/>
      <w:bookmarkStart w:id="74" w:name="_Toc71289591"/>
      <w:bookmarkStart w:id="75" w:name="_Toc71289690"/>
      <w:bookmarkStart w:id="76" w:name="_Toc71290383"/>
      <w:bookmarkStart w:id="77" w:name="_Toc71542848"/>
      <w:bookmarkStart w:id="78" w:name="_Toc207709572"/>
      <w:bookmarkStart w:id="79" w:name="_Toc208847661"/>
      <w:bookmarkEnd w:id="73"/>
      <w:r>
        <w:t>Resource impact</w:t>
      </w:r>
      <w:bookmarkEnd w:id="74"/>
      <w:bookmarkEnd w:id="75"/>
      <w:bookmarkEnd w:id="76"/>
      <w:bookmarkEnd w:id="77"/>
      <w:bookmarkEnd w:id="78"/>
      <w:bookmarkEnd w:id="79"/>
    </w:p>
    <w:p w14:paraId="654F5FDA" w14:textId="7835C185" w:rsidR="003F70B8" w:rsidRDefault="008F29C5" w:rsidP="003F70B8">
      <w:pPr>
        <w:pStyle w:val="Paragraph"/>
      </w:pPr>
      <w:r w:rsidRPr="008F29C5">
        <w:t xml:space="preserve">The suggested improvement areas highlighted in this briefing paper do not fall within areas which were expected to have significant costs when the guideline was developed.  During development of </w:t>
      </w:r>
      <w:r>
        <w:t xml:space="preserve">NICE’s guideline on </w:t>
      </w:r>
      <w:hyperlink r:id="rId18" w:history="1">
        <w:r>
          <w:rPr>
            <w:rStyle w:val="Hyperlink"/>
          </w:rPr>
          <w:t>perioperative care in adults NG180</w:t>
        </w:r>
      </w:hyperlink>
      <w:r w:rsidRPr="008F29C5">
        <w:t>, the use of specialist recovery areas for people following major, complex or high risk surgery was highlighted as a driver of increased resource use due to the requirement for increased staffing for (or potential establishment of) these units.</w:t>
      </w:r>
      <w:r w:rsidR="00466B16">
        <w:t xml:space="preserve"> </w:t>
      </w:r>
    </w:p>
    <w:p w14:paraId="311D0D95" w14:textId="77777777" w:rsidR="002C296A" w:rsidRDefault="00381592" w:rsidP="002C296A">
      <w:pPr>
        <w:pStyle w:val="Numberedheading1"/>
      </w:pPr>
      <w:r>
        <w:br w:type="page"/>
      </w:r>
      <w:bookmarkStart w:id="80" w:name="_Toc208847662"/>
      <w:r w:rsidR="002C296A">
        <w:lastRenderedPageBreak/>
        <w:t>Summary of suggestions</w:t>
      </w:r>
      <w:bookmarkEnd w:id="80"/>
    </w:p>
    <w:p w14:paraId="429EC95F" w14:textId="77777777" w:rsidR="002C296A" w:rsidRPr="007D4B1A" w:rsidRDefault="002C296A" w:rsidP="002C296A">
      <w:pPr>
        <w:pStyle w:val="Numberedheading2"/>
      </w:pPr>
      <w:bookmarkStart w:id="81" w:name="_Toc71289593"/>
      <w:bookmarkStart w:id="82" w:name="_Toc71289692"/>
      <w:bookmarkStart w:id="83" w:name="_Toc71290385"/>
      <w:bookmarkStart w:id="84" w:name="_Toc71542850"/>
      <w:bookmarkStart w:id="85" w:name="_Toc207709574"/>
      <w:bookmarkStart w:id="86" w:name="_Toc208847663"/>
      <w:r>
        <w:t>Responses</w:t>
      </w:r>
      <w:bookmarkEnd w:id="81"/>
      <w:bookmarkEnd w:id="82"/>
      <w:bookmarkEnd w:id="83"/>
      <w:bookmarkEnd w:id="84"/>
      <w:bookmarkEnd w:id="85"/>
      <w:bookmarkEnd w:id="86"/>
    </w:p>
    <w:p w14:paraId="60A01CD9" w14:textId="55DC7521" w:rsidR="00F6784F" w:rsidRDefault="00F6784F" w:rsidP="00F6784F">
      <w:pPr>
        <w:pStyle w:val="Paragraph"/>
      </w:pPr>
      <w:r>
        <w:t xml:space="preserve">In total </w:t>
      </w:r>
      <w:r w:rsidR="00180779">
        <w:t>1</w:t>
      </w:r>
      <w:r w:rsidR="00DC5220">
        <w:t xml:space="preserve">0 </w:t>
      </w:r>
      <w:r>
        <w:t>registered stakeholders responded to the 2-week engagement exercise.</w:t>
      </w:r>
    </w:p>
    <w:p w14:paraId="797F9AC7" w14:textId="0B6F3C01" w:rsidR="00F6784F" w:rsidRDefault="006A0535" w:rsidP="00F6784F">
      <w:pPr>
        <w:pStyle w:val="Bulletparagraph"/>
      </w:pPr>
      <w:r>
        <w:t>1</w:t>
      </w:r>
      <w:r w:rsidR="00DC5220">
        <w:t>0</w:t>
      </w:r>
      <w:r>
        <w:t xml:space="preserve"> </w:t>
      </w:r>
      <w:r w:rsidR="00F6784F">
        <w:t>stakeholders suggested areas</w:t>
      </w:r>
    </w:p>
    <w:p w14:paraId="28F16144" w14:textId="77777777" w:rsidR="00BE1E72" w:rsidRDefault="00A53537" w:rsidP="00BE1E72">
      <w:pPr>
        <w:pStyle w:val="Bulletparagraphlast"/>
      </w:pPr>
      <w:r>
        <w:t>7</w:t>
      </w:r>
      <w:r w:rsidR="00841F89">
        <w:t xml:space="preserve"> </w:t>
      </w:r>
      <w:r w:rsidR="00F6784F">
        <w:t>specialist committee members suggested areas</w:t>
      </w:r>
    </w:p>
    <w:p w14:paraId="6D97A7AE" w14:textId="77777777" w:rsidR="002E472F" w:rsidRDefault="00BE1E72" w:rsidP="00BE1E72">
      <w:pPr>
        <w:pStyle w:val="Bulletparagraphlast"/>
        <w:numPr>
          <w:ilvl w:val="0"/>
          <w:numId w:val="0"/>
        </w:numPr>
      </w:pPr>
      <w:r>
        <w:t xml:space="preserve">Comments were also submitted from the </w:t>
      </w:r>
      <w:r w:rsidRPr="00BE1E72">
        <w:t>National Clinical Director for Critical and Perioperative Care</w:t>
      </w:r>
      <w:r>
        <w:t xml:space="preserve">. </w:t>
      </w:r>
    </w:p>
    <w:p w14:paraId="7ADF8C6C" w14:textId="53DA0250" w:rsidR="00F6784F" w:rsidRDefault="00F6784F" w:rsidP="00BE1E72">
      <w:pPr>
        <w:pStyle w:val="Bulletparagraphlast"/>
        <w:numPr>
          <w:ilvl w:val="0"/>
          <w:numId w:val="0"/>
        </w:numPr>
      </w:pPr>
      <w:r w:rsidRPr="00F6784F">
        <w:t xml:space="preserve">The responses have been summarised in table </w:t>
      </w:r>
      <w:r w:rsidR="008B74BB">
        <w:t xml:space="preserve">1 </w:t>
      </w:r>
      <w:r w:rsidRPr="00F6784F">
        <w:t>for further consideration by the committee.</w:t>
      </w:r>
    </w:p>
    <w:p w14:paraId="6D1B0358" w14:textId="06A2CB33" w:rsidR="003B6DDC" w:rsidRDefault="0012414A" w:rsidP="0012414A">
      <w:pPr>
        <w:pStyle w:val="Paragraph"/>
      </w:pPr>
      <w:r>
        <w:t xml:space="preserve">NHS </w:t>
      </w:r>
      <w:r w:rsidR="00806424">
        <w:t xml:space="preserve">England’s </w:t>
      </w:r>
      <w:r>
        <w:t xml:space="preserve">patient safety division </w:t>
      </w:r>
      <w:r w:rsidRPr="00454048">
        <w:t>submitted comments during stakeholder engagement</w:t>
      </w:r>
      <w:r w:rsidR="001C7AC5" w:rsidRPr="00454048">
        <w:t>,</w:t>
      </w:r>
      <w:r w:rsidRPr="00454048">
        <w:t xml:space="preserve"> which are summarised in this paper and can be found in full in appendix </w:t>
      </w:r>
      <w:r w:rsidR="003A7B53">
        <w:t>2</w:t>
      </w:r>
      <w:r>
        <w:t>.</w:t>
      </w:r>
    </w:p>
    <w:p w14:paraId="405C2767" w14:textId="4632F43D" w:rsidR="005A61AD" w:rsidRPr="006E608E" w:rsidRDefault="005A61AD" w:rsidP="00B65D9F">
      <w:pPr>
        <w:pStyle w:val="Caption"/>
      </w:pPr>
      <w:r w:rsidRPr="006E608E">
        <w:t>Table</w:t>
      </w:r>
      <w:r w:rsidR="00CD229F">
        <w:t xml:space="preserve"> 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60BA9360" w14:textId="77777777" w:rsidTr="00AA3A48">
        <w:trPr>
          <w:tblHeader/>
        </w:trPr>
        <w:tc>
          <w:tcPr>
            <w:tcW w:w="3526" w:type="pct"/>
          </w:tcPr>
          <w:p w14:paraId="2A606B91" w14:textId="77777777" w:rsidR="00F04826" w:rsidRPr="00DD0BD8" w:rsidRDefault="00CE6D7B" w:rsidP="00DD0BD8">
            <w:pPr>
              <w:pStyle w:val="Tabletitle"/>
            </w:pPr>
            <w:r>
              <w:t>A</w:t>
            </w:r>
            <w:r w:rsidR="00F04826" w:rsidRPr="00DD0BD8">
              <w:t>rea for improvement</w:t>
            </w:r>
          </w:p>
        </w:tc>
        <w:tc>
          <w:tcPr>
            <w:tcW w:w="1474" w:type="pct"/>
          </w:tcPr>
          <w:p w14:paraId="500B68A6"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4D9C7920" w14:textId="77777777" w:rsidTr="00FC79F8">
        <w:trPr>
          <w:trHeight w:val="382"/>
        </w:trPr>
        <w:tc>
          <w:tcPr>
            <w:tcW w:w="3526" w:type="pct"/>
            <w:tcBorders>
              <w:top w:val="single" w:sz="4" w:space="0" w:color="auto"/>
              <w:left w:val="single" w:sz="4" w:space="0" w:color="auto"/>
              <w:right w:val="single" w:sz="4" w:space="0" w:color="auto"/>
            </w:tcBorders>
            <w:shd w:val="clear" w:color="auto" w:fill="FFFFFF" w:themeFill="background1"/>
          </w:tcPr>
          <w:p w14:paraId="60382FC7" w14:textId="5F46C0B6" w:rsidR="00E578AE" w:rsidRPr="00FC79F8" w:rsidRDefault="00C0457B" w:rsidP="00B65D9F">
            <w:pPr>
              <w:pStyle w:val="Tabletext"/>
              <w:rPr>
                <w:bCs/>
              </w:rPr>
            </w:pPr>
            <w:r w:rsidRPr="00FC79F8">
              <w:rPr>
                <w:b/>
                <w:bCs/>
              </w:rPr>
              <w:t xml:space="preserve"> </w:t>
            </w:r>
            <w:r w:rsidR="009C329D" w:rsidRPr="00FC79F8">
              <w:rPr>
                <w:b/>
                <w:bCs/>
              </w:rPr>
              <w:t>Perioperative programs</w:t>
            </w:r>
          </w:p>
          <w:p w14:paraId="35E623A2" w14:textId="06AAA28E" w:rsidR="00C0457B" w:rsidRPr="00FC79F8" w:rsidRDefault="00C0457B" w:rsidP="00D62381">
            <w:pPr>
              <w:pStyle w:val="Bulletstable"/>
              <w:numPr>
                <w:ilvl w:val="0"/>
                <w:numId w:val="0"/>
              </w:numPr>
            </w:pPr>
          </w:p>
        </w:tc>
        <w:tc>
          <w:tcPr>
            <w:tcW w:w="1474" w:type="pct"/>
            <w:tcBorders>
              <w:top w:val="single" w:sz="4" w:space="0" w:color="auto"/>
              <w:left w:val="single" w:sz="4" w:space="0" w:color="auto"/>
              <w:right w:val="single" w:sz="4" w:space="0" w:color="auto"/>
            </w:tcBorders>
            <w:shd w:val="clear" w:color="auto" w:fill="FFFFFF" w:themeFill="background1"/>
          </w:tcPr>
          <w:p w14:paraId="58F1C196" w14:textId="3420DED9" w:rsidR="00C0457B" w:rsidRPr="00FC79F8" w:rsidRDefault="000C01D6" w:rsidP="000C01D6">
            <w:pPr>
              <w:pStyle w:val="Tabletext"/>
            </w:pPr>
            <w:r>
              <w:t xml:space="preserve">CPOC, NCD, </w:t>
            </w:r>
            <w:r w:rsidR="00A41D1D">
              <w:t xml:space="preserve">SCM1, </w:t>
            </w:r>
            <w:r w:rsidR="008A5739">
              <w:t>SCM</w:t>
            </w:r>
            <w:r w:rsidR="00A41D1D">
              <w:t>2</w:t>
            </w:r>
            <w:r w:rsidR="008A5739">
              <w:t xml:space="preserve">, </w:t>
            </w:r>
            <w:r w:rsidR="00A41D1D">
              <w:t xml:space="preserve">SCM4, SCM5, SCM6, </w:t>
            </w:r>
            <w:r w:rsidR="0088255E">
              <w:t xml:space="preserve">SCM7, </w:t>
            </w:r>
            <w:r w:rsidR="00A41D1D">
              <w:t>YCR</w:t>
            </w:r>
          </w:p>
        </w:tc>
      </w:tr>
      <w:tr w:rsidR="00C0457B" w:rsidRPr="00F04826" w14:paraId="44A2B41F" w14:textId="77777777" w:rsidTr="00AA3A48">
        <w:trPr>
          <w:trHeight w:val="382"/>
        </w:trPr>
        <w:tc>
          <w:tcPr>
            <w:tcW w:w="3526" w:type="pct"/>
            <w:tcBorders>
              <w:top w:val="single" w:sz="4" w:space="0" w:color="auto"/>
              <w:left w:val="single" w:sz="4" w:space="0" w:color="auto"/>
              <w:right w:val="single" w:sz="4" w:space="0" w:color="auto"/>
            </w:tcBorders>
          </w:tcPr>
          <w:p w14:paraId="495B4E3E" w14:textId="6BCC1B6C" w:rsidR="00E578AE" w:rsidRPr="001C5CD5" w:rsidRDefault="005F7D56" w:rsidP="00B65D9F">
            <w:pPr>
              <w:pStyle w:val="Tabletext"/>
              <w:rPr>
                <w:bCs/>
              </w:rPr>
            </w:pPr>
            <w:r w:rsidRPr="001C5CD5">
              <w:rPr>
                <w:b/>
                <w:bCs/>
              </w:rPr>
              <w:t xml:space="preserve">Preoperative </w:t>
            </w:r>
            <w:r w:rsidR="004920CC">
              <w:rPr>
                <w:b/>
                <w:bCs/>
              </w:rPr>
              <w:t>c</w:t>
            </w:r>
            <w:r w:rsidRPr="001C5CD5">
              <w:rPr>
                <w:b/>
                <w:bCs/>
              </w:rPr>
              <w:t>are</w:t>
            </w:r>
          </w:p>
          <w:p w14:paraId="4ED56F59" w14:textId="592BE6FA" w:rsidR="00E578AE" w:rsidRPr="001C5CD5" w:rsidRDefault="005F7D56" w:rsidP="00E578AE">
            <w:pPr>
              <w:pStyle w:val="Bulletstable"/>
            </w:pPr>
            <w:r w:rsidRPr="001C5CD5">
              <w:t>Assessing the risks of surgery</w:t>
            </w:r>
          </w:p>
          <w:p w14:paraId="36E0B573" w14:textId="0843DB6B" w:rsidR="00C0457B" w:rsidRPr="001C5CD5" w:rsidRDefault="00C1294C" w:rsidP="009F3D9C">
            <w:pPr>
              <w:pStyle w:val="Bulletstable"/>
            </w:pPr>
            <w:r w:rsidRPr="001C5CD5">
              <w:t xml:space="preserve">Management of </w:t>
            </w:r>
            <w:r w:rsidR="00301918">
              <w:t>existing conditions</w:t>
            </w:r>
            <w:r w:rsidR="00504ED1">
              <w:t xml:space="preserve"> </w:t>
            </w:r>
          </w:p>
          <w:p w14:paraId="20BC7AF8" w14:textId="4603E928" w:rsidR="00C1294C" w:rsidRPr="001C5CD5" w:rsidRDefault="001C5CD5" w:rsidP="009F3D9C">
            <w:pPr>
              <w:pStyle w:val="Bulletstable"/>
            </w:pPr>
            <w:r w:rsidRPr="001C5CD5">
              <w:t>Nutritional assessment</w:t>
            </w:r>
          </w:p>
        </w:tc>
        <w:tc>
          <w:tcPr>
            <w:tcW w:w="1474" w:type="pct"/>
            <w:tcBorders>
              <w:top w:val="single" w:sz="4" w:space="0" w:color="auto"/>
              <w:left w:val="single" w:sz="4" w:space="0" w:color="auto"/>
              <w:right w:val="single" w:sz="4" w:space="0" w:color="auto"/>
            </w:tcBorders>
          </w:tcPr>
          <w:p w14:paraId="79C639C2" w14:textId="724B72A6" w:rsidR="00C0457B" w:rsidRPr="001C5CD5" w:rsidRDefault="0003163E" w:rsidP="00DD56F6">
            <w:pPr>
              <w:pStyle w:val="Tabletext"/>
            </w:pPr>
            <w:proofErr w:type="spellStart"/>
            <w:r>
              <w:t>AfN</w:t>
            </w:r>
            <w:proofErr w:type="spellEnd"/>
            <w:r>
              <w:t xml:space="preserve">, CPOC, </w:t>
            </w:r>
            <w:r w:rsidR="00706B2B">
              <w:t>D</w:t>
            </w:r>
            <w:r>
              <w:t>UK,</w:t>
            </w:r>
            <w:r w:rsidR="001E194C">
              <w:t xml:space="preserve"> </w:t>
            </w:r>
            <w:r>
              <w:t>NCD, NHSE</w:t>
            </w:r>
            <w:r w:rsidR="001E194C">
              <w:t xml:space="preserve"> </w:t>
            </w:r>
            <w:r w:rsidR="00706B2B">
              <w:t>PST</w:t>
            </w:r>
            <w:r>
              <w:t xml:space="preserve">, </w:t>
            </w:r>
            <w:r w:rsidR="00706B2B">
              <w:t>P</w:t>
            </w:r>
            <w:r w:rsidRPr="0003163E">
              <w:t>UK</w:t>
            </w:r>
            <w:r>
              <w:t xml:space="preserve">, RCN, SCM1, SCM2, SCM5, SCM6, </w:t>
            </w:r>
            <w:r w:rsidR="00675ABD">
              <w:t xml:space="preserve">SCM7, </w:t>
            </w:r>
            <w:r>
              <w:t>YCR</w:t>
            </w:r>
          </w:p>
        </w:tc>
      </w:tr>
      <w:tr w:rsidR="00C0457B" w:rsidRPr="00F04826" w14:paraId="5B17740F" w14:textId="77777777" w:rsidTr="001242A4">
        <w:trPr>
          <w:trHeight w:val="382"/>
        </w:trPr>
        <w:tc>
          <w:tcPr>
            <w:tcW w:w="3526" w:type="pct"/>
            <w:tcBorders>
              <w:top w:val="single" w:sz="4" w:space="0" w:color="auto"/>
              <w:left w:val="single" w:sz="4" w:space="0" w:color="auto"/>
              <w:right w:val="single" w:sz="4" w:space="0" w:color="auto"/>
            </w:tcBorders>
          </w:tcPr>
          <w:p w14:paraId="30E4F1CA" w14:textId="3E1A7C1F" w:rsidR="00CC4B4E" w:rsidRPr="00E3325A" w:rsidRDefault="00DC74AE" w:rsidP="00B65D9F">
            <w:pPr>
              <w:pStyle w:val="Tabletext"/>
              <w:rPr>
                <w:bCs/>
              </w:rPr>
            </w:pPr>
            <w:r w:rsidRPr="00E3325A">
              <w:rPr>
                <w:b/>
                <w:bCs/>
              </w:rPr>
              <w:t>Intraoperative care</w:t>
            </w:r>
          </w:p>
          <w:p w14:paraId="158420DC" w14:textId="2F78D122" w:rsidR="00E578AE" w:rsidRPr="00E3325A" w:rsidRDefault="00301918" w:rsidP="00E578AE">
            <w:pPr>
              <w:pStyle w:val="Bulletstable"/>
            </w:pPr>
            <w:r>
              <w:t>M</w:t>
            </w:r>
            <w:r w:rsidR="005D3D44" w:rsidRPr="00E3325A">
              <w:t>onitoring</w:t>
            </w:r>
          </w:p>
          <w:p w14:paraId="15F61140" w14:textId="6DF0F7D2" w:rsidR="00C0457B" w:rsidRPr="00E3325A" w:rsidRDefault="00E50254" w:rsidP="00D9682C">
            <w:pPr>
              <w:pStyle w:val="Bulletstable"/>
            </w:pPr>
            <w:r w:rsidRPr="00E3325A">
              <w:t>Surgical safety checklists</w:t>
            </w:r>
          </w:p>
        </w:tc>
        <w:tc>
          <w:tcPr>
            <w:tcW w:w="1474" w:type="pct"/>
            <w:tcBorders>
              <w:top w:val="single" w:sz="4" w:space="0" w:color="auto"/>
              <w:left w:val="single" w:sz="4" w:space="0" w:color="auto"/>
              <w:right w:val="single" w:sz="4" w:space="0" w:color="auto"/>
            </w:tcBorders>
          </w:tcPr>
          <w:p w14:paraId="1C0085BD" w14:textId="2737CA54" w:rsidR="00C0457B" w:rsidRPr="00381592" w:rsidRDefault="001242A4" w:rsidP="00DD0BD8">
            <w:pPr>
              <w:pStyle w:val="Tabletext"/>
              <w:rPr>
                <w:szCs w:val="22"/>
                <w:highlight w:val="cyan"/>
              </w:rPr>
            </w:pPr>
            <w:r w:rsidRPr="001242A4">
              <w:rPr>
                <w:szCs w:val="22"/>
              </w:rPr>
              <w:t xml:space="preserve"> NHSE</w:t>
            </w:r>
            <w:r w:rsidR="00706B2B">
              <w:rPr>
                <w:szCs w:val="22"/>
              </w:rPr>
              <w:t xml:space="preserve"> PST</w:t>
            </w:r>
            <w:r w:rsidRPr="001242A4">
              <w:rPr>
                <w:szCs w:val="22"/>
              </w:rPr>
              <w:t>, SCM4</w:t>
            </w:r>
          </w:p>
        </w:tc>
      </w:tr>
      <w:tr w:rsidR="00D9682C" w:rsidRPr="00F04826" w14:paraId="222AAEE1" w14:textId="77777777" w:rsidTr="00AA3A48">
        <w:trPr>
          <w:trHeight w:val="382"/>
        </w:trPr>
        <w:tc>
          <w:tcPr>
            <w:tcW w:w="3526" w:type="pct"/>
            <w:tcBorders>
              <w:top w:val="single" w:sz="4" w:space="0" w:color="auto"/>
              <w:left w:val="single" w:sz="4" w:space="0" w:color="auto"/>
              <w:right w:val="single" w:sz="4" w:space="0" w:color="auto"/>
            </w:tcBorders>
          </w:tcPr>
          <w:p w14:paraId="58D4BF6E" w14:textId="02C8B7E4" w:rsidR="00D9682C" w:rsidRPr="00E3325A" w:rsidRDefault="00D9682C" w:rsidP="00D9682C">
            <w:pPr>
              <w:pStyle w:val="Tabletext"/>
              <w:rPr>
                <w:bCs/>
              </w:rPr>
            </w:pPr>
            <w:r w:rsidRPr="00E3325A">
              <w:rPr>
                <w:b/>
                <w:bCs/>
              </w:rPr>
              <w:t>Managing pain</w:t>
            </w:r>
          </w:p>
        </w:tc>
        <w:tc>
          <w:tcPr>
            <w:tcW w:w="1474" w:type="pct"/>
            <w:tcBorders>
              <w:top w:val="single" w:sz="4" w:space="0" w:color="auto"/>
              <w:left w:val="single" w:sz="4" w:space="0" w:color="auto"/>
              <w:right w:val="single" w:sz="4" w:space="0" w:color="auto"/>
            </w:tcBorders>
          </w:tcPr>
          <w:p w14:paraId="74C0C3F6" w14:textId="30996DBC" w:rsidR="00D9682C" w:rsidRPr="00381592" w:rsidRDefault="001242A4" w:rsidP="00DD0BD8">
            <w:pPr>
              <w:pStyle w:val="Tabletext"/>
              <w:rPr>
                <w:szCs w:val="22"/>
                <w:highlight w:val="cyan"/>
              </w:rPr>
            </w:pPr>
            <w:r w:rsidRPr="001242A4">
              <w:rPr>
                <w:szCs w:val="22"/>
              </w:rPr>
              <w:t>RCOA, SCM3, SCM6</w:t>
            </w:r>
          </w:p>
        </w:tc>
      </w:tr>
      <w:tr w:rsidR="00D9682C" w:rsidRPr="00F04826" w14:paraId="08067545" w14:textId="77777777" w:rsidTr="00AA3A48">
        <w:trPr>
          <w:trHeight w:val="382"/>
        </w:trPr>
        <w:tc>
          <w:tcPr>
            <w:tcW w:w="3526" w:type="pct"/>
            <w:tcBorders>
              <w:top w:val="single" w:sz="4" w:space="0" w:color="auto"/>
              <w:left w:val="single" w:sz="4" w:space="0" w:color="auto"/>
              <w:right w:val="single" w:sz="4" w:space="0" w:color="auto"/>
            </w:tcBorders>
          </w:tcPr>
          <w:p w14:paraId="5FC0946F" w14:textId="7D2D401F" w:rsidR="00D9682C" w:rsidRPr="00E3325A" w:rsidRDefault="00D9682C" w:rsidP="00D9682C">
            <w:pPr>
              <w:pStyle w:val="Tabletext"/>
              <w:rPr>
                <w:bCs/>
              </w:rPr>
            </w:pPr>
            <w:r w:rsidRPr="00E3325A">
              <w:rPr>
                <w:b/>
                <w:bCs/>
              </w:rPr>
              <w:t>Informa</w:t>
            </w:r>
            <w:r w:rsidR="000735CD" w:rsidRPr="00E3325A">
              <w:rPr>
                <w:b/>
                <w:bCs/>
              </w:rPr>
              <w:t>tion and support for people having surgery</w:t>
            </w:r>
          </w:p>
          <w:p w14:paraId="7A0B597C" w14:textId="1252FB02" w:rsidR="00D9682C" w:rsidRPr="00E3325A" w:rsidRDefault="00E73C87" w:rsidP="00D9682C">
            <w:pPr>
              <w:pStyle w:val="Bulletstable"/>
            </w:pPr>
            <w:r>
              <w:t>Whole pathway approach</w:t>
            </w:r>
          </w:p>
          <w:p w14:paraId="19B95AF4" w14:textId="6310C07C" w:rsidR="000735CD" w:rsidRPr="00E3325A" w:rsidRDefault="000735CD" w:rsidP="00D9682C">
            <w:pPr>
              <w:pStyle w:val="Bulletstable"/>
            </w:pPr>
            <w:r w:rsidRPr="00E3325A">
              <w:t>Communicating and giving information</w:t>
            </w:r>
          </w:p>
          <w:p w14:paraId="24127D15" w14:textId="08F9C9AC" w:rsidR="00D9682C" w:rsidRPr="00E3325A" w:rsidRDefault="00E3325A" w:rsidP="00D9682C">
            <w:pPr>
              <w:pStyle w:val="Bulletstable"/>
            </w:pPr>
            <w:r w:rsidRPr="00E3325A">
              <w:t>Information and support for people with learning disabilities</w:t>
            </w:r>
          </w:p>
        </w:tc>
        <w:tc>
          <w:tcPr>
            <w:tcW w:w="1474" w:type="pct"/>
            <w:tcBorders>
              <w:top w:val="single" w:sz="4" w:space="0" w:color="auto"/>
              <w:left w:val="single" w:sz="4" w:space="0" w:color="auto"/>
              <w:right w:val="single" w:sz="4" w:space="0" w:color="auto"/>
            </w:tcBorders>
          </w:tcPr>
          <w:p w14:paraId="745550B7" w14:textId="0F070BE4" w:rsidR="00D9682C" w:rsidRPr="00381592" w:rsidRDefault="00DC68D6" w:rsidP="00DD0BD8">
            <w:pPr>
              <w:pStyle w:val="Tabletext"/>
              <w:rPr>
                <w:szCs w:val="22"/>
                <w:highlight w:val="cyan"/>
              </w:rPr>
            </w:pPr>
            <w:r w:rsidRPr="00DC68D6">
              <w:rPr>
                <w:szCs w:val="22"/>
              </w:rPr>
              <w:t xml:space="preserve">CPOC, NCD, </w:t>
            </w:r>
            <w:r w:rsidR="008126A0">
              <w:rPr>
                <w:szCs w:val="22"/>
              </w:rPr>
              <w:t>NHSE</w:t>
            </w:r>
            <w:r w:rsidR="00706B2B">
              <w:rPr>
                <w:szCs w:val="22"/>
              </w:rPr>
              <w:t xml:space="preserve"> LDE</w:t>
            </w:r>
            <w:r w:rsidR="008126A0">
              <w:rPr>
                <w:szCs w:val="22"/>
              </w:rPr>
              <w:t xml:space="preserve">, </w:t>
            </w:r>
            <w:r w:rsidRPr="00DC68D6">
              <w:rPr>
                <w:szCs w:val="22"/>
              </w:rPr>
              <w:t xml:space="preserve">NHSE </w:t>
            </w:r>
            <w:r w:rsidR="00706B2B">
              <w:rPr>
                <w:szCs w:val="22"/>
              </w:rPr>
              <w:t>PST</w:t>
            </w:r>
            <w:r w:rsidRPr="00DC68D6">
              <w:rPr>
                <w:szCs w:val="22"/>
              </w:rPr>
              <w:t>, SCM1, SCM2, SCM3, SCM5, SCM6</w:t>
            </w:r>
          </w:p>
        </w:tc>
      </w:tr>
      <w:tr w:rsidR="00C0457B" w:rsidRPr="00F04826" w14:paraId="7E4AF0F2"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tcPr>
          <w:p w14:paraId="2DCC3978" w14:textId="77777777" w:rsidR="00C0457B" w:rsidRPr="00066A64" w:rsidRDefault="00D41D49" w:rsidP="00B65D9F">
            <w:pPr>
              <w:pStyle w:val="Tabletext"/>
              <w:rPr>
                <w:bCs/>
              </w:rPr>
            </w:pPr>
            <w:r w:rsidRPr="00066A64">
              <w:rPr>
                <w:b/>
                <w:bCs/>
              </w:rPr>
              <w:t>Additional areas</w:t>
            </w:r>
          </w:p>
          <w:p w14:paraId="0EC57827" w14:textId="19DEED93" w:rsidR="00FA6FCE" w:rsidRPr="00066A64" w:rsidRDefault="00066A64" w:rsidP="00AB14D0">
            <w:pPr>
              <w:pStyle w:val="Bulletstable"/>
            </w:pPr>
            <w:r>
              <w:t>Workforce</w:t>
            </w:r>
          </w:p>
          <w:p w14:paraId="796BF845" w14:textId="1580E540" w:rsidR="00D41D49" w:rsidRPr="00066A64" w:rsidRDefault="00923EBE" w:rsidP="006A0054">
            <w:pPr>
              <w:pStyle w:val="Bulletstable"/>
            </w:pPr>
            <w:r>
              <w:t>Environmental impact of a</w:t>
            </w:r>
            <w:r w:rsidR="00066A64">
              <w:t xml:space="preserve">naesthesia </w:t>
            </w:r>
          </w:p>
        </w:tc>
        <w:tc>
          <w:tcPr>
            <w:tcW w:w="1474" w:type="pct"/>
            <w:tcBorders>
              <w:top w:val="single" w:sz="4" w:space="0" w:color="auto"/>
              <w:left w:val="single" w:sz="4" w:space="0" w:color="auto"/>
              <w:bottom w:val="single" w:sz="4" w:space="0" w:color="auto"/>
              <w:right w:val="single" w:sz="4" w:space="0" w:color="auto"/>
            </w:tcBorders>
          </w:tcPr>
          <w:p w14:paraId="3E207590" w14:textId="7553B596" w:rsidR="00C0457B" w:rsidRPr="00381592" w:rsidRDefault="008126A0" w:rsidP="0029335E">
            <w:pPr>
              <w:pStyle w:val="Tabletext"/>
              <w:rPr>
                <w:highlight w:val="cyan"/>
              </w:rPr>
            </w:pPr>
            <w:r w:rsidRPr="008126A0">
              <w:t>RCN, Sol</w:t>
            </w:r>
          </w:p>
        </w:tc>
      </w:tr>
    </w:tbl>
    <w:p w14:paraId="1C0A79BD" w14:textId="77777777" w:rsidR="00B65D9F" w:rsidRPr="0064529D" w:rsidRDefault="00E87C6E" w:rsidP="00E87C6E">
      <w:pPr>
        <w:pStyle w:val="Paragraph"/>
      </w:pPr>
      <w:bookmarkStart w:id="87" w:name="_Toc340835234"/>
      <w:bookmarkEnd w:id="87"/>
      <w:r w:rsidRPr="0064529D">
        <w:t xml:space="preserve">Abbreviations: </w:t>
      </w:r>
    </w:p>
    <w:p w14:paraId="0F7D3B3E" w14:textId="558D6EDA" w:rsidR="003D6A12" w:rsidRPr="0064529D" w:rsidRDefault="003D6A12" w:rsidP="00B65D9F">
      <w:pPr>
        <w:pStyle w:val="Bulletleft1"/>
      </w:pPr>
      <w:proofErr w:type="spellStart"/>
      <w:r w:rsidRPr="0064529D">
        <w:t>AfN</w:t>
      </w:r>
      <w:proofErr w:type="spellEnd"/>
      <w:r w:rsidRPr="0064529D">
        <w:t xml:space="preserve">, </w:t>
      </w:r>
      <w:r w:rsidR="00B20E3B" w:rsidRPr="0064529D">
        <w:t>Association for Nutrition</w:t>
      </w:r>
    </w:p>
    <w:p w14:paraId="6FAE89A9" w14:textId="07F6508F" w:rsidR="00497865" w:rsidRDefault="00497865" w:rsidP="00B65D9F">
      <w:pPr>
        <w:pStyle w:val="Bulletleft1"/>
      </w:pPr>
      <w:r w:rsidRPr="0064529D">
        <w:lastRenderedPageBreak/>
        <w:t xml:space="preserve">CPOC, Centre for </w:t>
      </w:r>
      <w:r w:rsidR="00E313FE" w:rsidRPr="0064529D">
        <w:t>Perioperative Care</w:t>
      </w:r>
    </w:p>
    <w:p w14:paraId="6A5EFABB" w14:textId="3DCFE44A" w:rsidR="00706B2B" w:rsidRPr="0064529D" w:rsidRDefault="00706B2B" w:rsidP="00B65D9F">
      <w:pPr>
        <w:pStyle w:val="Bulletleft1"/>
      </w:pPr>
      <w:r>
        <w:t>DUK, Diabetes UK</w:t>
      </w:r>
    </w:p>
    <w:p w14:paraId="649CB059" w14:textId="443E3FF3" w:rsidR="00251F77" w:rsidRPr="0064529D" w:rsidRDefault="00920E32" w:rsidP="001E194C">
      <w:pPr>
        <w:pStyle w:val="Bulletleft1"/>
      </w:pPr>
      <w:r w:rsidRPr="0064529D">
        <w:t xml:space="preserve">NCD, </w:t>
      </w:r>
      <w:r w:rsidR="0058444B" w:rsidRPr="0064529D">
        <w:t>National Clinical Director</w:t>
      </w:r>
      <w:r w:rsidR="00573417" w:rsidRPr="00573417">
        <w:t xml:space="preserve"> for Critical and Perioperative Care</w:t>
      </w:r>
    </w:p>
    <w:p w14:paraId="02DDDA22" w14:textId="324BB711" w:rsidR="001E194C" w:rsidRDefault="00655810" w:rsidP="00B65D9F">
      <w:pPr>
        <w:pStyle w:val="Bulletleft1"/>
      </w:pPr>
      <w:r w:rsidRPr="0064529D">
        <w:t>NHSE</w:t>
      </w:r>
      <w:r w:rsidR="001E194C">
        <w:t xml:space="preserve"> LDA, NHS England Learning Disability &amp; Autism Policy Team</w:t>
      </w:r>
    </w:p>
    <w:p w14:paraId="323E7787" w14:textId="7BB91CB9" w:rsidR="00655810" w:rsidRDefault="001E194C" w:rsidP="00B65D9F">
      <w:pPr>
        <w:pStyle w:val="Bulletleft1"/>
      </w:pPr>
      <w:r>
        <w:t>NHSE PST</w:t>
      </w:r>
      <w:r w:rsidR="00655810" w:rsidRPr="0064529D">
        <w:t xml:space="preserve">, </w:t>
      </w:r>
      <w:r w:rsidR="0002651A">
        <w:t>NHS</w:t>
      </w:r>
      <w:r w:rsidR="00655810" w:rsidRPr="0064529D">
        <w:t xml:space="preserve"> England</w:t>
      </w:r>
      <w:r w:rsidR="0002651A">
        <w:t xml:space="preserve"> </w:t>
      </w:r>
      <w:r>
        <w:t>National P</w:t>
      </w:r>
      <w:r w:rsidR="0002651A">
        <w:t xml:space="preserve">atient </w:t>
      </w:r>
      <w:r>
        <w:t>S</w:t>
      </w:r>
      <w:r w:rsidR="0002651A">
        <w:t xml:space="preserve">afety </w:t>
      </w:r>
      <w:r>
        <w:t>T</w:t>
      </w:r>
      <w:r w:rsidR="0002651A">
        <w:t>eam</w:t>
      </w:r>
    </w:p>
    <w:p w14:paraId="2FFCDECC" w14:textId="73B9B9E7" w:rsidR="00706B2B" w:rsidRPr="0064529D" w:rsidRDefault="00706B2B" w:rsidP="00B65D9F">
      <w:pPr>
        <w:pStyle w:val="Bulletleft1"/>
      </w:pPr>
      <w:r>
        <w:t xml:space="preserve">PUK, </w:t>
      </w:r>
      <w:proofErr w:type="spellStart"/>
      <w:r>
        <w:t>Pharmacosmos</w:t>
      </w:r>
      <w:proofErr w:type="spellEnd"/>
      <w:r>
        <w:t xml:space="preserve"> UK</w:t>
      </w:r>
    </w:p>
    <w:p w14:paraId="4FEB7019" w14:textId="4EBC375B" w:rsidR="0013223D" w:rsidRPr="0064529D" w:rsidRDefault="0013223D" w:rsidP="00B65D9F">
      <w:pPr>
        <w:pStyle w:val="Bulletleft1"/>
      </w:pPr>
      <w:r w:rsidRPr="0064529D">
        <w:t>RCN, Royal College of Nurs</w:t>
      </w:r>
      <w:r w:rsidR="00706B2B">
        <w:t>ing</w:t>
      </w:r>
    </w:p>
    <w:p w14:paraId="1338B1F8" w14:textId="1E91B287" w:rsidR="00EE1CF7" w:rsidRPr="0064529D" w:rsidRDefault="00EE1CF7" w:rsidP="00B65D9F">
      <w:pPr>
        <w:pStyle w:val="Bulletleft1"/>
      </w:pPr>
      <w:r w:rsidRPr="0064529D">
        <w:t xml:space="preserve">RCOA, </w:t>
      </w:r>
      <w:r w:rsidR="00515AA7" w:rsidRPr="0064529D">
        <w:t>Royal College of Anaesthetists</w:t>
      </w:r>
      <w:r w:rsidR="00706B2B">
        <w:t>, Faculty of Pain Medicine</w:t>
      </w:r>
    </w:p>
    <w:p w14:paraId="15E76176" w14:textId="7172E107" w:rsidR="0064529D" w:rsidRDefault="0064529D" w:rsidP="00B65D9F">
      <w:pPr>
        <w:pStyle w:val="Bulletleft1"/>
      </w:pPr>
      <w:r w:rsidRPr="0064529D">
        <w:t>SCM, Specialis</w:t>
      </w:r>
      <w:r w:rsidR="004562B3">
        <w:t>t</w:t>
      </w:r>
      <w:r w:rsidRPr="0064529D">
        <w:t xml:space="preserve"> Committee Member</w:t>
      </w:r>
    </w:p>
    <w:p w14:paraId="3866A241" w14:textId="06DB5194" w:rsidR="00706B2B" w:rsidRPr="0064529D" w:rsidRDefault="00706B2B" w:rsidP="00B65D9F">
      <w:pPr>
        <w:pStyle w:val="Bulletleft1"/>
      </w:pPr>
      <w:r>
        <w:t xml:space="preserve">Sol, </w:t>
      </w:r>
      <w:proofErr w:type="spellStart"/>
      <w:r>
        <w:t>Solventum</w:t>
      </w:r>
      <w:proofErr w:type="spellEnd"/>
      <w:r>
        <w:t xml:space="preserve"> </w:t>
      </w:r>
    </w:p>
    <w:p w14:paraId="4C516569" w14:textId="6419A995" w:rsidR="006858FE" w:rsidRPr="0064529D" w:rsidRDefault="006858FE" w:rsidP="00B65D9F">
      <w:pPr>
        <w:pStyle w:val="Bulletleft1"/>
      </w:pPr>
      <w:r w:rsidRPr="0064529D">
        <w:t>YCR, Yorkshire Cancer Research</w:t>
      </w:r>
    </w:p>
    <w:p w14:paraId="08138A94" w14:textId="5FCDFC74"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6D097E">
        <w:t>2</w:t>
      </w:r>
      <w:r w:rsidR="008126A0">
        <w:t xml:space="preserve"> </w:t>
      </w:r>
      <w:r w:rsidRPr="00E12A17">
        <w:t>for information.</w:t>
      </w:r>
    </w:p>
    <w:p w14:paraId="43FF3022" w14:textId="77777777" w:rsidR="003B6DDC" w:rsidRDefault="003B6DDC" w:rsidP="003116A1">
      <w:pPr>
        <w:pStyle w:val="Numberedheading1"/>
      </w:pPr>
      <w:r>
        <w:br w:type="page"/>
      </w:r>
      <w:bookmarkStart w:id="88" w:name="_Toc208847664"/>
      <w:r w:rsidR="002C296A">
        <w:lastRenderedPageBreak/>
        <w:t>Suggested improvement area</w:t>
      </w:r>
      <w:r>
        <w:t>s</w:t>
      </w:r>
      <w:bookmarkEnd w:id="88"/>
    </w:p>
    <w:p w14:paraId="2FE65D52"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3396EBE1" w14:textId="432F2DF2" w:rsidR="002C296A" w:rsidRPr="00433117" w:rsidRDefault="00BC2430" w:rsidP="003B6DDC">
      <w:pPr>
        <w:pStyle w:val="Numberedheading2"/>
      </w:pPr>
      <w:bookmarkStart w:id="89" w:name="_Toc208847665"/>
      <w:r>
        <w:t>P</w:t>
      </w:r>
      <w:r w:rsidR="00E76557">
        <w:t>erioperative programs</w:t>
      </w:r>
      <w:bookmarkEnd w:id="89"/>
    </w:p>
    <w:p w14:paraId="5139FC1B" w14:textId="4CB34E1C" w:rsidR="00807B1D" w:rsidRDefault="001A44B5" w:rsidP="00B65D9F">
      <w:pPr>
        <w:pStyle w:val="Paragraphnonumbers"/>
      </w:pPr>
      <w:r>
        <w:t xml:space="preserve">Stakeholders noted the importance of perioperative programs </w:t>
      </w:r>
      <w:r w:rsidR="00696C3C">
        <w:t>in improving surgical outcomes</w:t>
      </w:r>
      <w:r w:rsidR="003F3F92">
        <w:t xml:space="preserve">, </w:t>
      </w:r>
      <w:r w:rsidR="005E65AC">
        <w:t>reducing complications</w:t>
      </w:r>
      <w:r w:rsidR="003F3F92">
        <w:t xml:space="preserve">, enhancing recovery </w:t>
      </w:r>
      <w:r w:rsidR="00E67DBB">
        <w:t>and</w:t>
      </w:r>
      <w:r w:rsidR="005E65AC">
        <w:t xml:space="preserve"> encouraging </w:t>
      </w:r>
      <w:r w:rsidR="003F3F92">
        <w:t xml:space="preserve">ongoing </w:t>
      </w:r>
      <w:r w:rsidR="005E65AC">
        <w:t xml:space="preserve">healthy </w:t>
      </w:r>
      <w:r w:rsidR="001E6482">
        <w:t>behaviours</w:t>
      </w:r>
      <w:r w:rsidR="002D7BE5">
        <w:t>. Th</w:t>
      </w:r>
      <w:r w:rsidR="003F3F92">
        <w:t xml:space="preserve">ese </w:t>
      </w:r>
      <w:r w:rsidR="002D7BE5">
        <w:t xml:space="preserve">included </w:t>
      </w:r>
      <w:r w:rsidR="00C861CD">
        <w:t xml:space="preserve">Enhanced Recovery Programmes (ERPs), </w:t>
      </w:r>
      <w:r w:rsidR="00245440">
        <w:t>Enhanced Reco</w:t>
      </w:r>
      <w:r w:rsidR="00696C3C">
        <w:t>very after Surgery (ERAS)</w:t>
      </w:r>
      <w:r w:rsidR="00276DD8">
        <w:t xml:space="preserve">, Enhanced Recovery Units (ERUs), </w:t>
      </w:r>
      <w:r w:rsidR="00696C3C">
        <w:t>Prehabilitation</w:t>
      </w:r>
      <w:r w:rsidR="008A34F3">
        <w:t xml:space="preserve">, </w:t>
      </w:r>
      <w:r w:rsidR="003F3F92">
        <w:t xml:space="preserve">and </w:t>
      </w:r>
      <w:r w:rsidR="003F3F92" w:rsidRPr="003F3F92">
        <w:t>P</w:t>
      </w:r>
      <w:r w:rsidR="00143A4A">
        <w:t>erioperative care for</w:t>
      </w:r>
      <w:r w:rsidR="003F3F92" w:rsidRPr="003F3F92">
        <w:t xml:space="preserve"> </w:t>
      </w:r>
      <w:r w:rsidR="00143A4A">
        <w:t>O</w:t>
      </w:r>
      <w:r w:rsidR="003F3F92" w:rsidRPr="003F3F92">
        <w:t xml:space="preserve">lder </w:t>
      </w:r>
      <w:r w:rsidR="00143A4A">
        <w:t>People undergoing surgery</w:t>
      </w:r>
      <w:r w:rsidR="003F3F92">
        <w:t xml:space="preserve"> (POPs)</w:t>
      </w:r>
      <w:r w:rsidR="00696C3C">
        <w:t xml:space="preserve">. </w:t>
      </w:r>
      <w:r w:rsidR="006B24A1">
        <w:t>Perioperative programs were considered</w:t>
      </w:r>
      <w:r w:rsidR="00DB7C50">
        <w:t xml:space="preserve"> </w:t>
      </w:r>
      <w:r w:rsidR="006B24A1" w:rsidRPr="006B24A1">
        <w:t xml:space="preserve">particularly important for </w:t>
      </w:r>
      <w:r w:rsidR="0050688C">
        <w:t>people</w:t>
      </w:r>
      <w:r w:rsidR="006B24A1" w:rsidRPr="006B24A1">
        <w:t xml:space="preserve"> undergoing major surgery and </w:t>
      </w:r>
      <w:r w:rsidR="003A14B1">
        <w:t xml:space="preserve">for </w:t>
      </w:r>
      <w:r w:rsidR="0050688C">
        <w:t>people</w:t>
      </w:r>
      <w:r w:rsidR="006B24A1" w:rsidRPr="006B24A1">
        <w:t xml:space="preserve"> that were considered high risk. </w:t>
      </w:r>
    </w:p>
    <w:p w14:paraId="2774A5C9" w14:textId="538D1F21" w:rsidR="00807B1D" w:rsidRDefault="00807B1D" w:rsidP="00B65D9F">
      <w:pPr>
        <w:pStyle w:val="Paragraphnonumbers"/>
      </w:pPr>
      <w:r>
        <w:t>Stakeholders</w:t>
      </w:r>
      <w:r w:rsidR="001E402F">
        <w:t xml:space="preserve"> considered </w:t>
      </w:r>
      <w:r>
        <w:t xml:space="preserve">nutrition to be </w:t>
      </w:r>
      <w:r w:rsidR="001E402F">
        <w:t>a</w:t>
      </w:r>
      <w:r w:rsidR="001E402F" w:rsidRPr="001E402F">
        <w:t xml:space="preserve"> fundamental component of </w:t>
      </w:r>
      <w:r w:rsidR="001E402F">
        <w:t>ERP</w:t>
      </w:r>
      <w:r w:rsidR="00E80883">
        <w:t>s</w:t>
      </w:r>
      <w:r w:rsidR="001E402F" w:rsidRPr="001E402F">
        <w:t xml:space="preserve"> including preoperative carbohydrate loading, early postoperative feeding, and access to oral nutritional supplements where appropriate. </w:t>
      </w:r>
      <w:r w:rsidR="000856AB">
        <w:t>Stakeholders</w:t>
      </w:r>
      <w:r>
        <w:t xml:space="preserve"> felt that </w:t>
      </w:r>
      <w:r w:rsidR="0050688C">
        <w:t>people</w:t>
      </w:r>
      <w:r w:rsidR="001E402F" w:rsidRPr="001E402F">
        <w:t xml:space="preserve"> undergoing surgery should be continuously monitored for nutritional concerns in the postoperative </w:t>
      </w:r>
      <w:r w:rsidR="00347B51">
        <w:t>period</w:t>
      </w:r>
      <w:r w:rsidR="001E402F" w:rsidRPr="001E402F">
        <w:t>, and ongoing nutritional care should form part of the</w:t>
      </w:r>
      <w:r w:rsidR="003902E5">
        <w:t xml:space="preserve"> discharge planning process. </w:t>
      </w:r>
    </w:p>
    <w:p w14:paraId="291EA4DA" w14:textId="0E4B39DA" w:rsidR="00F653D3" w:rsidRDefault="0088255E" w:rsidP="00B65D9F">
      <w:pPr>
        <w:pStyle w:val="Paragraphnonumbers"/>
      </w:pPr>
      <w:r>
        <w:t>A</w:t>
      </w:r>
      <w:r w:rsidR="00C01A5F" w:rsidRPr="00C01A5F">
        <w:t xml:space="preserve"> stakeholder suggested the measurement of exercise capacity before major surgery to identify high-risk </w:t>
      </w:r>
      <w:r w:rsidR="0050688C">
        <w:t>people</w:t>
      </w:r>
      <w:r w:rsidR="00C01A5F" w:rsidRPr="00C01A5F">
        <w:t xml:space="preserve"> and to use this data to guide prehabilitation for </w:t>
      </w:r>
      <w:r w:rsidR="0050688C">
        <w:t>people</w:t>
      </w:r>
      <w:r w:rsidR="00C01A5F" w:rsidRPr="00C01A5F">
        <w:t xml:space="preserve"> at risk.</w:t>
      </w:r>
      <w:r w:rsidR="00C01A5F">
        <w:t xml:space="preserve"> </w:t>
      </w:r>
      <w:r>
        <w:t>Stakeholders suggested that e</w:t>
      </w:r>
      <w:r w:rsidRPr="0088255E">
        <w:t xml:space="preserve">xercise prehabilitation be offered to all </w:t>
      </w:r>
      <w:r w:rsidR="0050688C">
        <w:t>people</w:t>
      </w:r>
      <w:r w:rsidRPr="0088255E">
        <w:t xml:space="preserve"> undergoing planned surgery</w:t>
      </w:r>
      <w:r>
        <w:t xml:space="preserve">, and </w:t>
      </w:r>
      <w:r w:rsidR="00A36BBE">
        <w:t>w</w:t>
      </w:r>
      <w:r w:rsidR="006B24A1" w:rsidRPr="006B24A1">
        <w:t xml:space="preserve">here possible </w:t>
      </w:r>
      <w:r w:rsidR="0050688C">
        <w:t xml:space="preserve">they </w:t>
      </w:r>
      <w:r>
        <w:t>are</w:t>
      </w:r>
      <w:r w:rsidR="006B24A1" w:rsidRPr="006B24A1">
        <w:t xml:space="preserve"> offered early referral to prehabilitation, ideally from the point of diagnosis.</w:t>
      </w:r>
      <w:r w:rsidR="008A34F3">
        <w:t xml:space="preserve"> </w:t>
      </w:r>
    </w:p>
    <w:p w14:paraId="5C906716" w14:textId="390D392A" w:rsidR="001A44B5" w:rsidRDefault="008A34F3" w:rsidP="00B65D9F">
      <w:pPr>
        <w:pStyle w:val="Paragraphnonumbers"/>
      </w:pPr>
      <w:r>
        <w:t>One stakeholder felt that POPs should be offered to</w:t>
      </w:r>
      <w:r w:rsidRPr="008A34F3">
        <w:t xml:space="preserve"> </w:t>
      </w:r>
      <w:r>
        <w:t xml:space="preserve">older </w:t>
      </w:r>
      <w:r w:rsidR="0050688C">
        <w:t>people undergoing surgery</w:t>
      </w:r>
      <w:r w:rsidRPr="008A34F3">
        <w:t xml:space="preserve"> as standard in elective pathways.</w:t>
      </w:r>
    </w:p>
    <w:p w14:paraId="34B580B8" w14:textId="77777777" w:rsidR="00491FE4" w:rsidRPr="007B1C0E" w:rsidRDefault="00491FE4" w:rsidP="00B65D9F">
      <w:pPr>
        <w:pStyle w:val="Heading4"/>
      </w:pPr>
      <w:r>
        <w:t>S</w:t>
      </w:r>
      <w:r w:rsidRPr="00CD3D03">
        <w:t xml:space="preserve">elected recommendations </w:t>
      </w:r>
    </w:p>
    <w:p w14:paraId="584AA4FD" w14:textId="34441DFA" w:rsidR="000A1D82" w:rsidRDefault="00B65D9F" w:rsidP="00A410DF">
      <w:pPr>
        <w:pStyle w:val="Paragraph"/>
      </w:pPr>
      <w:r w:rsidRPr="0029685F">
        <w:t xml:space="preserve">NICE’s guideline on </w:t>
      </w:r>
      <w:hyperlink r:id="rId19" w:history="1">
        <w:r w:rsidR="009B193C">
          <w:rPr>
            <w:rStyle w:val="Hyperlink"/>
          </w:rPr>
          <w:t>perioperative care in adults (NG180)</w:t>
        </w:r>
      </w:hyperlink>
      <w:r w:rsidR="009B193C">
        <w:t>:</w:t>
      </w:r>
      <w:r w:rsidR="00B21F04" w:rsidRPr="0029685F">
        <w:t xml:space="preserve"> </w:t>
      </w:r>
    </w:p>
    <w:p w14:paraId="14A92FC8" w14:textId="6DD279D7" w:rsidR="003E6630" w:rsidRPr="0029685F" w:rsidRDefault="003E6630" w:rsidP="00A410DF">
      <w:pPr>
        <w:pStyle w:val="Paragraph"/>
      </w:pPr>
      <w:r w:rsidRPr="003E6630">
        <w:t>Enhanced recovery programmes</w:t>
      </w:r>
    </w:p>
    <w:p w14:paraId="30CE019F" w14:textId="71BCF798" w:rsidR="0028525C" w:rsidRPr="0029685F" w:rsidRDefault="0028525C" w:rsidP="001E7267">
      <w:pPr>
        <w:pStyle w:val="Paragraph"/>
      </w:pPr>
      <w:r w:rsidRPr="0029685F">
        <w:t>1.2.1 Offer an enhanced recovery programme to people having elective major or complex surgery.</w:t>
      </w:r>
    </w:p>
    <w:p w14:paraId="7FB52AB1" w14:textId="46ABFAD2" w:rsidR="00604C89" w:rsidRDefault="00604C89" w:rsidP="001E7267">
      <w:pPr>
        <w:pStyle w:val="Paragraph"/>
      </w:pPr>
      <w:r w:rsidRPr="0029685F">
        <w:t>1.2.2 Use an enhanced recovery programme that includes preoperative, intraoperative and postoperative components.</w:t>
      </w:r>
    </w:p>
    <w:p w14:paraId="11C8AB5A" w14:textId="50619A8E" w:rsidR="003E6630" w:rsidRDefault="003E6630" w:rsidP="001E7267">
      <w:pPr>
        <w:pStyle w:val="Paragraph"/>
      </w:pPr>
      <w:r w:rsidRPr="003E6630">
        <w:t>Preoperative optimisation clinics for older people</w:t>
      </w:r>
    </w:p>
    <w:p w14:paraId="29CE712C" w14:textId="5E9D9B61" w:rsidR="008A34F3" w:rsidRPr="0029685F" w:rsidRDefault="008A34F3" w:rsidP="001E7267">
      <w:pPr>
        <w:pStyle w:val="Paragraph"/>
      </w:pPr>
      <w:r>
        <w:lastRenderedPageBreak/>
        <w:t xml:space="preserve">1.3.3 </w:t>
      </w:r>
      <w:r w:rsidRPr="008A34F3">
        <w:t xml:space="preserve">Be aware that there was not enough clear evidence to show whether the benefits of preoperative optimisation clinics for older people outweigh the costs. Therefore, the committee made a </w:t>
      </w:r>
      <w:r w:rsidRPr="0050688C">
        <w:t>recommendation for research</w:t>
      </w:r>
      <w:r w:rsidRPr="008A34F3">
        <w:t>.</w:t>
      </w:r>
    </w:p>
    <w:p w14:paraId="11647A8A" w14:textId="77777777" w:rsidR="007B1C0E" w:rsidRDefault="002C296A" w:rsidP="00B65D9F">
      <w:pPr>
        <w:pStyle w:val="Heading4"/>
      </w:pPr>
      <w:r w:rsidRPr="00B0030E">
        <w:t>Current UK practice</w:t>
      </w:r>
    </w:p>
    <w:p w14:paraId="175F36AA" w14:textId="790F3EDD" w:rsidR="000F05BF" w:rsidRDefault="004127E8" w:rsidP="000F05BF">
      <w:pPr>
        <w:pStyle w:val="Paragraph"/>
      </w:pPr>
      <w:r>
        <w:t xml:space="preserve">Data from 144 UK NHS Trusts/Boards (England and Wales), Health and Social Care Trusts/Boards (Northern Ireland), and Health Boards (Scotland and Wales) that </w:t>
      </w:r>
      <w:r w:rsidR="000F05BF">
        <w:t xml:space="preserve">responded to a </w:t>
      </w:r>
      <w:r>
        <w:t>survey on prehabilitation practice between 20 December 2021 and 28 February 2022 (</w:t>
      </w:r>
      <w:hyperlink r:id="rId20" w:history="1">
        <w:r w:rsidRPr="004127E8">
          <w:rPr>
            <w:rStyle w:val="Hyperlink"/>
          </w:rPr>
          <w:t>Prehabilitation provision and practice in the UK: a freedom of information survey</w:t>
        </w:r>
      </w:hyperlink>
      <w:r>
        <w:t xml:space="preserve">) showed that: </w:t>
      </w:r>
    </w:p>
    <w:p w14:paraId="104499DA" w14:textId="1AE23D33" w:rsidR="000F05BF" w:rsidRDefault="00250F8D" w:rsidP="00237E74">
      <w:pPr>
        <w:pStyle w:val="Paragraph"/>
        <w:numPr>
          <w:ilvl w:val="0"/>
          <w:numId w:val="25"/>
        </w:numPr>
      </w:pPr>
      <w:r>
        <w:t>Overall, 54% of Trust/Boards offer</w:t>
      </w:r>
      <w:r w:rsidR="00127BBD">
        <w:t>ed</w:t>
      </w:r>
      <w:r>
        <w:t xml:space="preserve"> prehabilitation (78/144). This included </w:t>
      </w:r>
      <w:r w:rsidR="004127E8">
        <w:t xml:space="preserve">53% </w:t>
      </w:r>
      <w:r>
        <w:t>in</w:t>
      </w:r>
      <w:r w:rsidR="004127E8">
        <w:t xml:space="preserve"> England (64/122), 64% in Scotland (9/14), 50% in Wales (4/8), and 33% in Northern Ireland (1/3)</w:t>
      </w:r>
    </w:p>
    <w:p w14:paraId="70F8B168" w14:textId="77777777" w:rsidR="000F05BF" w:rsidRDefault="004127E8" w:rsidP="00237E74">
      <w:pPr>
        <w:pStyle w:val="Paragraph"/>
        <w:numPr>
          <w:ilvl w:val="0"/>
          <w:numId w:val="25"/>
        </w:numPr>
      </w:pPr>
      <w:r>
        <w:t xml:space="preserve">One-fifth of </w:t>
      </w:r>
      <w:r w:rsidR="000F05BF">
        <w:t xml:space="preserve">prehabilitation </w:t>
      </w:r>
      <w:r>
        <w:t xml:space="preserve">programmes (19%) </w:t>
      </w:r>
      <w:r w:rsidR="000F05BF">
        <w:t>were</w:t>
      </w:r>
      <w:r>
        <w:t xml:space="preserve"> set up </w:t>
      </w:r>
      <w:r w:rsidR="000F05BF">
        <w:t>in</w:t>
      </w:r>
      <w:r>
        <w:t xml:space="preserve"> the preceding 12 months </w:t>
      </w:r>
      <w:r w:rsidR="000F05BF">
        <w:t xml:space="preserve">of the survey </w:t>
      </w:r>
      <w:r>
        <w:t xml:space="preserve">(2021) and over one-third of all Trusts/Boards </w:t>
      </w:r>
      <w:r w:rsidR="000F05BF">
        <w:t>that did not</w:t>
      </w:r>
      <w:r>
        <w:t xml:space="preserve"> offe</w:t>
      </w:r>
      <w:r w:rsidR="000F05BF">
        <w:t xml:space="preserve">r </w:t>
      </w:r>
      <w:r>
        <w:t>prehabilitation planned to set up a service within the next 12 months</w:t>
      </w:r>
    </w:p>
    <w:p w14:paraId="2B86E55B" w14:textId="1126432C" w:rsidR="000F05BF" w:rsidRDefault="005E40F4" w:rsidP="00237E74">
      <w:pPr>
        <w:pStyle w:val="Paragraph"/>
        <w:numPr>
          <w:ilvl w:val="0"/>
          <w:numId w:val="25"/>
        </w:numPr>
      </w:pPr>
      <w:r>
        <w:t>P</w:t>
      </w:r>
      <w:r w:rsidR="000F05BF">
        <w:t xml:space="preserve">atient groups who were most likely to be offered prehabilitation were those undergoing elective orthopaedic surgery (55%) and colorectal surgery (46%). </w:t>
      </w:r>
      <w:r w:rsidR="00250F8D">
        <w:t>Between 19% and 22% of p</w:t>
      </w:r>
      <w:r w:rsidR="000F05BF">
        <w:t xml:space="preserve">atients undergoing gastrointestinal, urological, and gynaecological surgery were offered prehabilitation. </w:t>
      </w:r>
      <w:r w:rsidR="000F05BF" w:rsidRPr="000F05BF">
        <w:t>Surgical disciplines that were least likely to be offered prehabilitation were cardiac, thoracic, and vascular surgery (between 11 and 14%).</w:t>
      </w:r>
    </w:p>
    <w:p w14:paraId="185FA683" w14:textId="29A90244" w:rsidR="00250F8D" w:rsidRDefault="00250F8D" w:rsidP="00237E74">
      <w:pPr>
        <w:pStyle w:val="Paragraph"/>
        <w:numPr>
          <w:ilvl w:val="0"/>
          <w:numId w:val="25"/>
        </w:numPr>
      </w:pPr>
      <w:r>
        <w:t>80% of all trusts used physiotherapists to deliver the prehabilitation programmes, and approximately half used clinical nurse specialists, dietitians, and occupational health therapists</w:t>
      </w:r>
    </w:p>
    <w:p w14:paraId="7E323F45" w14:textId="047C8F27" w:rsidR="00250F8D" w:rsidRDefault="00250F8D" w:rsidP="00237E74">
      <w:pPr>
        <w:pStyle w:val="Paragraph"/>
        <w:numPr>
          <w:ilvl w:val="0"/>
          <w:numId w:val="25"/>
        </w:numPr>
      </w:pPr>
      <w:r>
        <w:t>Delivery was largely hospital focused, followed by community, and one in 10 Trusts/Boards reported referral to general practitioners</w:t>
      </w:r>
    </w:p>
    <w:p w14:paraId="141B2509" w14:textId="7D4FA9F3" w:rsidR="00C8366B" w:rsidRDefault="00C8366B" w:rsidP="00C8366B">
      <w:pPr>
        <w:pStyle w:val="Paragraph"/>
      </w:pPr>
      <w:r w:rsidRPr="008D095C">
        <w:t xml:space="preserve">Data from </w:t>
      </w:r>
      <w:hyperlink r:id="rId21" w:history="1">
        <w:r w:rsidRPr="008D095C">
          <w:rPr>
            <w:rStyle w:val="Hyperlink"/>
          </w:rPr>
          <w:t>Knowing the Risk</w:t>
        </w:r>
      </w:hyperlink>
      <w:r w:rsidRPr="008D095C">
        <w:t>, a review of the perioperative care of surgical patients by the National Confidential Enquiry into Patient Outcome and Death (NCEPOD, 2011) of NHS hospital in England, Wales and Northern Ireland, and hospitals in the independent sector and public hospitals in the Isle of Man, Guernsey and Jersey showed that:</w:t>
      </w:r>
      <w:r w:rsidRPr="00C01A73">
        <w:t xml:space="preserve"> </w:t>
      </w:r>
    </w:p>
    <w:p w14:paraId="706886BC" w14:textId="24E50D46" w:rsidR="00C8366B" w:rsidRDefault="00C8366B" w:rsidP="00237E74">
      <w:pPr>
        <w:pStyle w:val="Paragraph"/>
        <w:numPr>
          <w:ilvl w:val="0"/>
          <w:numId w:val="32"/>
        </w:numPr>
      </w:pPr>
      <w:r w:rsidRPr="00C01A73">
        <w:t xml:space="preserve">59.8% of hospitals </w:t>
      </w:r>
      <w:r w:rsidR="00E352FD">
        <w:t xml:space="preserve">(174/291) </w:t>
      </w:r>
      <w:r w:rsidRPr="00C01A73">
        <w:t>did not have the facility to undertake Cardiopulmonary exercise (CPEX) testing on their patients</w:t>
      </w:r>
    </w:p>
    <w:p w14:paraId="661BF99B" w14:textId="77777777" w:rsidR="00C8366B" w:rsidRDefault="00C8366B" w:rsidP="00C8366B">
      <w:pPr>
        <w:pStyle w:val="Paragraph"/>
      </w:pPr>
    </w:p>
    <w:p w14:paraId="27F0BBA9" w14:textId="6E186FEE" w:rsidR="00C8366B" w:rsidRDefault="00C8366B" w:rsidP="00C8366B">
      <w:pPr>
        <w:pStyle w:val="Paragraph"/>
      </w:pPr>
      <w:r>
        <w:lastRenderedPageBreak/>
        <w:t xml:space="preserve">Data from surgery specialities, including the </w:t>
      </w:r>
      <w:hyperlink r:id="rId22" w:history="1">
        <w:r w:rsidRPr="00990A94">
          <w:rPr>
            <w:rStyle w:val="Hyperlink"/>
          </w:rPr>
          <w:t>Ninth Patient Report of the National Emergency Laparotomy Audit</w:t>
        </w:r>
      </w:hyperlink>
      <w:r>
        <w:t xml:space="preserve"> (NELA) which examined the care received by NHS patients in England and Wales undergoing emergency laparotomy (emergency bowel surgery) in between December 2021 and March 2023</w:t>
      </w:r>
      <w:r w:rsidR="00472B83">
        <w:t xml:space="preserve"> </w:t>
      </w:r>
      <w:r>
        <w:t>(Year 9 of the audit)</w:t>
      </w:r>
      <w:r w:rsidR="00472B83">
        <w:t xml:space="preserve">, </w:t>
      </w:r>
      <w:r>
        <w:t>reported:</w:t>
      </w:r>
      <w:r w:rsidRPr="000F05BF">
        <w:t xml:space="preserve"> </w:t>
      </w:r>
    </w:p>
    <w:p w14:paraId="1FE17921" w14:textId="6428D4D0" w:rsidR="00C8366B" w:rsidRDefault="00C8366B" w:rsidP="00237E74">
      <w:pPr>
        <w:pStyle w:val="Paragraph"/>
        <w:numPr>
          <w:ilvl w:val="0"/>
          <w:numId w:val="26"/>
        </w:numPr>
      </w:pPr>
      <w:r w:rsidRPr="000F05BF">
        <w:t>13.9% of high-risk patients were discharged to a normal ward with no provision for enhanced care</w:t>
      </w:r>
    </w:p>
    <w:p w14:paraId="588C406D" w14:textId="26689F1A" w:rsidR="006B342B" w:rsidRDefault="004A4EDB" w:rsidP="006B342B">
      <w:pPr>
        <w:pStyle w:val="Paragraph"/>
      </w:pPr>
      <w:r>
        <w:t>Other d</w:t>
      </w:r>
      <w:r w:rsidR="006B342B">
        <w:t xml:space="preserve">ata </w:t>
      </w:r>
      <w:r>
        <w:t xml:space="preserve">on surgical specialities included </w:t>
      </w:r>
      <w:r w:rsidR="006B342B">
        <w:t>29 hospitals in England and Wales on prehabilitation for patients undergoing total hip replacements (THR) and total knee replacements (TKR), surveyed between July and September 2023 (</w:t>
      </w:r>
      <w:hyperlink r:id="rId23" w:history="1">
        <w:r w:rsidR="006B342B" w:rsidRPr="006B342B">
          <w:rPr>
            <w:rStyle w:val="Hyperlink"/>
          </w:rPr>
          <w:t>Pre-operative education and prehabilitation provision for patients undergoing hip and knee replacement: a national survey of current NHS practice</w:t>
        </w:r>
      </w:hyperlink>
      <w:r w:rsidR="006B342B">
        <w:t xml:space="preserve">) showed that: </w:t>
      </w:r>
    </w:p>
    <w:p w14:paraId="5A4EA4B4" w14:textId="6CB1BE6F" w:rsidR="006B342B" w:rsidRDefault="006B342B" w:rsidP="00237E74">
      <w:pPr>
        <w:pStyle w:val="Paragraph"/>
        <w:numPr>
          <w:ilvl w:val="0"/>
          <w:numId w:val="30"/>
        </w:numPr>
      </w:pPr>
      <w:r>
        <w:t>For patients waiting for TKR, 17 hospitals provided prehabilitation, 9 hospitals did not provide prehabilitation and 3 hospitals did not know if prehabilitation was provided or not.</w:t>
      </w:r>
      <w:r w:rsidRPr="006B342B">
        <w:t xml:space="preserve"> </w:t>
      </w:r>
      <w:r>
        <w:t>Of the 17 hospitals that provided prehabilitation, 8 provided prehabilitation to all patients waiting for TKR and 9 provided prehabilitation to patients who met certain criteria, most commonly referral by their surgeon or GP or based on frailty, patient history or having a city postcode.</w:t>
      </w:r>
    </w:p>
    <w:p w14:paraId="7B230F8F" w14:textId="30CF4E39" w:rsidR="006B342B" w:rsidRDefault="006B342B" w:rsidP="00237E74">
      <w:pPr>
        <w:pStyle w:val="Paragraph"/>
        <w:numPr>
          <w:ilvl w:val="0"/>
          <w:numId w:val="30"/>
        </w:numPr>
      </w:pPr>
      <w:r>
        <w:t xml:space="preserve">For patients waiting for THR, 14 hospitals provided prehabilitation, 11 hospitals did not provide prehabilitation and 4 hospitals did not know if prehabilitation was provided or not. Of the 14 hospitals that provided prehabilitation, 10 provided the same prehabilitation as </w:t>
      </w:r>
      <w:r w:rsidR="006A5385">
        <w:t xml:space="preserve">those </w:t>
      </w:r>
      <w:r>
        <w:t>patients wait</w:t>
      </w:r>
      <w:r w:rsidR="006A5385">
        <w:t>ing for TKR, 2 hospitals did not know whether prehabilitation was different for patients waiting for TKR or THR, and 2 hospitals provided different pr</w:t>
      </w:r>
      <w:r w:rsidR="006A2686">
        <w:t>e</w:t>
      </w:r>
      <w:r w:rsidR="006A5385">
        <w:t>habilitation for THR.</w:t>
      </w:r>
    </w:p>
    <w:p w14:paraId="46AB4252" w14:textId="06E6B881" w:rsidR="00C01A73" w:rsidRDefault="004A4EDB" w:rsidP="00C01A73">
      <w:pPr>
        <w:pStyle w:val="Paragraph"/>
      </w:pPr>
      <w:bookmarkStart w:id="90" w:name="_Hlk207978736"/>
      <w:bookmarkStart w:id="91" w:name="_Hlk207619375"/>
      <w:r>
        <w:t>D</w:t>
      </w:r>
      <w:r w:rsidR="00C01A73">
        <w:t xml:space="preserve">ata </w:t>
      </w:r>
      <w:r>
        <w:t xml:space="preserve">on surgery for cancer </w:t>
      </w:r>
      <w:r w:rsidR="00C01A73">
        <w:t xml:space="preserve">from </w:t>
      </w:r>
      <w:hyperlink r:id="rId24" w:history="1">
        <w:r w:rsidR="00C01A73" w:rsidRPr="00C01A73">
          <w:rPr>
            <w:rStyle w:val="Hyperlink"/>
          </w:rPr>
          <w:t>Variation in perioperative practice in elective colorectal cancer surgery: opportunities for quality improvement</w:t>
        </w:r>
      </w:hyperlink>
      <w:r w:rsidR="00C01A73">
        <w:t xml:space="preserve">, an audit on </w:t>
      </w:r>
      <w:r w:rsidR="00044261">
        <w:t xml:space="preserve">216 </w:t>
      </w:r>
      <w:r w:rsidR="00C01A73">
        <w:t>patients attending for surgery for colorectal cancer at 14 Hospital Trusts within the YCR BCIP region (Yorkshire and the Humber) showed that:</w:t>
      </w:r>
    </w:p>
    <w:bookmarkEnd w:id="90"/>
    <w:p w14:paraId="03F6E46D" w14:textId="1F8962E6" w:rsidR="00C01A73" w:rsidRDefault="00C01A73" w:rsidP="00237E74">
      <w:pPr>
        <w:pStyle w:val="Paragraph"/>
        <w:numPr>
          <w:ilvl w:val="0"/>
          <w:numId w:val="32"/>
        </w:numPr>
      </w:pPr>
      <w:r w:rsidRPr="00C01A73">
        <w:t>A functional assessment was performed on</w:t>
      </w:r>
      <w:r w:rsidR="0059558C">
        <w:t xml:space="preserve"> </w:t>
      </w:r>
      <w:r w:rsidRPr="00C01A73">
        <w:t>47%</w:t>
      </w:r>
      <w:r w:rsidR="0059558C">
        <w:t xml:space="preserve"> of </w:t>
      </w:r>
      <w:r w:rsidRPr="00C01A73">
        <w:t xml:space="preserve">patients </w:t>
      </w:r>
      <w:r w:rsidR="0059558C">
        <w:t xml:space="preserve">(102/216) </w:t>
      </w:r>
      <w:r w:rsidRPr="00C01A73">
        <w:t xml:space="preserve">and this varied across </w:t>
      </w:r>
      <w:r w:rsidR="00DF14AE">
        <w:t>t</w:t>
      </w:r>
      <w:r w:rsidRPr="00C01A73">
        <w:t>rusts</w:t>
      </w:r>
    </w:p>
    <w:p w14:paraId="0005258A" w14:textId="1BFEF887" w:rsidR="00DF14AE" w:rsidRDefault="00C01A73" w:rsidP="00237E74">
      <w:pPr>
        <w:pStyle w:val="Paragraph"/>
        <w:numPr>
          <w:ilvl w:val="0"/>
          <w:numId w:val="32"/>
        </w:numPr>
      </w:pPr>
      <w:r>
        <w:t xml:space="preserve">CPEX testing was performed on </w:t>
      </w:r>
      <w:r w:rsidR="005376EB">
        <w:t xml:space="preserve">40% of patients (86/216) which included </w:t>
      </w:r>
      <w:r>
        <w:t>100% of patients at 3 trusts</w:t>
      </w:r>
      <w:r w:rsidR="00DF14AE">
        <w:t xml:space="preserve">, and </w:t>
      </w:r>
      <w:r w:rsidR="005376EB">
        <w:t>no patients</w:t>
      </w:r>
      <w:r w:rsidR="00DF14AE">
        <w:t xml:space="preserve"> in 6 trusts</w:t>
      </w:r>
    </w:p>
    <w:p w14:paraId="1B40522F" w14:textId="77777777" w:rsidR="0059558C" w:rsidRDefault="00044261" w:rsidP="00237E74">
      <w:pPr>
        <w:pStyle w:val="Paragraph"/>
        <w:numPr>
          <w:ilvl w:val="0"/>
          <w:numId w:val="32"/>
        </w:numPr>
      </w:pPr>
      <w:r>
        <w:t xml:space="preserve">An ERAS nurse was </w:t>
      </w:r>
      <w:r w:rsidR="0059558C">
        <w:t>involved in the care for 33% of patients (71/216)</w:t>
      </w:r>
    </w:p>
    <w:p w14:paraId="1D3A1AB0" w14:textId="03EB9A72" w:rsidR="00044261" w:rsidRDefault="0059558C" w:rsidP="00237E74">
      <w:pPr>
        <w:pStyle w:val="Paragraph"/>
        <w:numPr>
          <w:ilvl w:val="0"/>
          <w:numId w:val="32"/>
        </w:numPr>
      </w:pPr>
      <w:r>
        <w:lastRenderedPageBreak/>
        <w:t xml:space="preserve">An ERAS nurse was </w:t>
      </w:r>
      <w:r w:rsidR="00044261">
        <w:t xml:space="preserve">not in place at the postoperative destination for </w:t>
      </w:r>
      <w:r>
        <w:t>66% of</w:t>
      </w:r>
      <w:r w:rsidR="00044261">
        <w:t xml:space="preserve"> patients </w:t>
      </w:r>
      <w:r>
        <w:t>(143/216)</w:t>
      </w:r>
    </w:p>
    <w:p w14:paraId="4D63F739" w14:textId="18AF4D14" w:rsidR="005E40F4" w:rsidRDefault="005E40F4" w:rsidP="00EC7287">
      <w:pPr>
        <w:pStyle w:val="Paragraph"/>
      </w:pPr>
      <w:r>
        <w:t xml:space="preserve">Data </w:t>
      </w:r>
      <w:r w:rsidR="004A4EDB">
        <w:t xml:space="preserve">on transplantation surgery </w:t>
      </w:r>
      <w:r>
        <w:t xml:space="preserve">from </w:t>
      </w:r>
      <w:hyperlink r:id="rId25" w:anchor=":~:text=Most%20respondents%20routinely%20remove%20urinary,%E2%80%9310%20days%2C%20respectively)." w:history="1">
        <w:r w:rsidR="00EC7287" w:rsidRPr="00EC7287">
          <w:rPr>
            <w:rStyle w:val="Hyperlink"/>
          </w:rPr>
          <w:t>A national survey on enhanced recovery for renal transplant recipients: current practices and trends in the UK</w:t>
        </w:r>
      </w:hyperlink>
      <w:r w:rsidR="00EC7287">
        <w:t>, a national web-based survey sent to consultant surgeons at</w:t>
      </w:r>
      <w:r>
        <w:t xml:space="preserve"> 23 </w:t>
      </w:r>
      <w:r w:rsidR="00EC7287">
        <w:t>UK adult r</w:t>
      </w:r>
      <w:r>
        <w:t xml:space="preserve">enal </w:t>
      </w:r>
      <w:r w:rsidR="00EC7287">
        <w:t xml:space="preserve">transplant </w:t>
      </w:r>
      <w:r>
        <w:t xml:space="preserve">units </w:t>
      </w:r>
      <w:r w:rsidR="00EC7287">
        <w:t xml:space="preserve">between May and July 2020 </w:t>
      </w:r>
      <w:r>
        <w:t>showed that:</w:t>
      </w:r>
    </w:p>
    <w:p w14:paraId="33B036BA" w14:textId="17C3A574" w:rsidR="005E40F4" w:rsidRDefault="005E40F4" w:rsidP="00237E74">
      <w:pPr>
        <w:pStyle w:val="Paragraph"/>
        <w:numPr>
          <w:ilvl w:val="0"/>
          <w:numId w:val="34"/>
        </w:numPr>
      </w:pPr>
      <w:r>
        <w:t>3 units had implemented a formal ERAS pathway for recipients of both deceased and living donor transplants, and a further 3 units had implemented a formal ERAS pathway for recipients of living donor transplants only</w:t>
      </w:r>
    </w:p>
    <w:p w14:paraId="0EB17637" w14:textId="39306A67" w:rsidR="00686479" w:rsidRDefault="005E40F4" w:rsidP="00237E74">
      <w:pPr>
        <w:pStyle w:val="Paragraph"/>
        <w:numPr>
          <w:ilvl w:val="0"/>
          <w:numId w:val="34"/>
        </w:numPr>
      </w:pPr>
      <w:r>
        <w:t>13.1% of respondents had a formal prehabilitation programme as part of their departmental preoperative assessment process for renal transplant recipients (psychology, weight loss and smoking cessation support were the most common components of the programmes)</w:t>
      </w:r>
    </w:p>
    <w:p w14:paraId="56850F3E" w14:textId="77777777" w:rsidR="0067426A" w:rsidRDefault="0067426A" w:rsidP="00B65D9F">
      <w:pPr>
        <w:pStyle w:val="Heading3"/>
      </w:pPr>
      <w:bookmarkStart w:id="92" w:name="_Hlk61966644"/>
      <w:bookmarkEnd w:id="91"/>
      <w:r w:rsidRPr="0067426A">
        <w:t>Issues for consideration</w:t>
      </w:r>
    </w:p>
    <w:bookmarkEnd w:id="92"/>
    <w:p w14:paraId="0D539852" w14:textId="58BE066E" w:rsidR="006918DB" w:rsidRDefault="006918DB" w:rsidP="006918DB">
      <w:pPr>
        <w:pStyle w:val="Paragraph"/>
        <w:rPr>
          <w:b/>
          <w:bCs/>
        </w:rPr>
      </w:pPr>
      <w:r w:rsidRPr="00A6218A">
        <w:rPr>
          <w:b/>
          <w:bCs/>
        </w:rPr>
        <w:t xml:space="preserve">For </w:t>
      </w:r>
      <w:r>
        <w:rPr>
          <w:b/>
          <w:bCs/>
        </w:rPr>
        <w:t>discussion</w:t>
      </w:r>
      <w:r w:rsidRPr="00A6218A">
        <w:rPr>
          <w:b/>
          <w:bCs/>
        </w:rPr>
        <w:t>:</w:t>
      </w:r>
    </w:p>
    <w:p w14:paraId="4115A578" w14:textId="77777777" w:rsidR="006918DB" w:rsidRDefault="006918DB" w:rsidP="006918DB">
      <w:pPr>
        <w:pStyle w:val="Panelbullet1"/>
        <w:spacing w:after="240"/>
      </w:pPr>
      <w:r>
        <w:t>What is the priority for improvement?</w:t>
      </w:r>
    </w:p>
    <w:p w14:paraId="5DEEC6A1" w14:textId="2F2AB764" w:rsidR="006918DB" w:rsidRPr="003C5329" w:rsidRDefault="006918DB" w:rsidP="00F1252A">
      <w:pPr>
        <w:pStyle w:val="Panelbullet1"/>
        <w:numPr>
          <w:ilvl w:val="0"/>
          <w:numId w:val="43"/>
        </w:numPr>
        <w:spacing w:after="240"/>
      </w:pPr>
      <w:r>
        <w:t>There are r</w:t>
      </w:r>
      <w:r w:rsidRPr="003C5329">
        <w:t xml:space="preserve">ecommendations </w:t>
      </w:r>
      <w:r>
        <w:t>on</w:t>
      </w:r>
      <w:r w:rsidRPr="003C5329">
        <w:t xml:space="preserve"> enhanced recovery programmes </w:t>
      </w:r>
      <w:r>
        <w:t xml:space="preserve">but not </w:t>
      </w:r>
      <w:r w:rsidR="00AA6052">
        <w:t xml:space="preserve">for </w:t>
      </w:r>
      <w:r>
        <w:t>all perioperative programs</w:t>
      </w:r>
      <w:r w:rsidR="00A173E8">
        <w:t>.</w:t>
      </w:r>
    </w:p>
    <w:p w14:paraId="397F3600" w14:textId="5A1F6A0E" w:rsidR="006918DB" w:rsidRDefault="00BE1E72" w:rsidP="00F1252A">
      <w:pPr>
        <w:pStyle w:val="Panelbullet1"/>
        <w:numPr>
          <w:ilvl w:val="0"/>
          <w:numId w:val="43"/>
        </w:numPr>
        <w:spacing w:after="240"/>
      </w:pPr>
      <w:bookmarkStart w:id="93" w:name="_Hlk209181599"/>
      <w:r>
        <w:t>There is</w:t>
      </w:r>
      <w:r w:rsidR="000E6939">
        <w:t xml:space="preserve"> a research </w:t>
      </w:r>
      <w:r w:rsidR="006918DB" w:rsidRPr="0055725B">
        <w:t xml:space="preserve">recommendation </w:t>
      </w:r>
      <w:r w:rsidR="00135319">
        <w:t xml:space="preserve">for </w:t>
      </w:r>
      <w:r w:rsidRPr="00BE1E72">
        <w:t>preoperative optimisation clinics for older people</w:t>
      </w:r>
      <w:r w:rsidR="000E6939">
        <w:t>. Recommendations for research</w:t>
      </w:r>
      <w:r>
        <w:t xml:space="preserve"> </w:t>
      </w:r>
      <w:r w:rsidR="006918DB" w:rsidRPr="0055725B">
        <w:t xml:space="preserve">cannot be used to underpin a quality statement as </w:t>
      </w:r>
      <w:r w:rsidR="000E6939">
        <w:t>they are</w:t>
      </w:r>
      <w:r w:rsidR="006918DB" w:rsidRPr="0055725B">
        <w:t xml:space="preserve"> not measurable.</w:t>
      </w:r>
      <w:r w:rsidR="006918DB">
        <w:t xml:space="preserve"> </w:t>
      </w:r>
      <w:bookmarkEnd w:id="93"/>
    </w:p>
    <w:p w14:paraId="7679CED2" w14:textId="77777777" w:rsidR="006918DB" w:rsidRDefault="006918DB" w:rsidP="006918DB">
      <w:pPr>
        <w:pStyle w:val="Panelbullet1"/>
        <w:spacing w:after="240"/>
      </w:pPr>
      <w:r>
        <w:t>What is the key action that will lead to improvement?</w:t>
      </w:r>
    </w:p>
    <w:p w14:paraId="3A005383" w14:textId="77777777" w:rsidR="006918DB" w:rsidRDefault="006918DB" w:rsidP="006918DB">
      <w:pPr>
        <w:pStyle w:val="Panelbullet1"/>
        <w:spacing w:after="240"/>
      </w:pPr>
      <w:r>
        <w:t>Could we focus on a specific audience or setting?</w:t>
      </w:r>
    </w:p>
    <w:p w14:paraId="4145F09F" w14:textId="1E9E29B1" w:rsidR="006918DB" w:rsidRDefault="006918DB" w:rsidP="00F1252A">
      <w:pPr>
        <w:pStyle w:val="Panelbullet1"/>
        <w:numPr>
          <w:ilvl w:val="0"/>
          <w:numId w:val="44"/>
        </w:numPr>
        <w:spacing w:after="240"/>
      </w:pPr>
      <w:r>
        <w:t>Perioperative programs may only be accessible for people undergoing elective surger</w:t>
      </w:r>
      <w:r w:rsidR="00856C21">
        <w:t>y (excluding those undergoing</w:t>
      </w:r>
      <w:r>
        <w:t xml:space="preserve"> emergency surgery</w:t>
      </w:r>
      <w:r w:rsidR="00856C21">
        <w:t>)</w:t>
      </w:r>
      <w:r w:rsidR="00A173E8">
        <w:t>.</w:t>
      </w:r>
    </w:p>
    <w:p w14:paraId="04EADC64" w14:textId="1819AD2A" w:rsidR="006918DB" w:rsidRPr="006918DB" w:rsidRDefault="006918DB" w:rsidP="006918DB">
      <w:pPr>
        <w:pStyle w:val="Panelbullet1"/>
        <w:spacing w:after="240"/>
      </w:pPr>
      <w:r>
        <w:t>Can we develop a specific, measurable statement?</w:t>
      </w:r>
    </w:p>
    <w:p w14:paraId="33DABBCB" w14:textId="77777777" w:rsidR="00414915" w:rsidRPr="00A6218A" w:rsidRDefault="00414915" w:rsidP="00414915">
      <w:pPr>
        <w:pStyle w:val="Paragraph"/>
        <w:rPr>
          <w:b/>
          <w:bCs/>
        </w:rPr>
      </w:pPr>
      <w:r w:rsidRPr="00A6218A">
        <w:rPr>
          <w:b/>
          <w:bCs/>
        </w:rPr>
        <w:t>For decision:</w:t>
      </w:r>
    </w:p>
    <w:p w14:paraId="69633CE6" w14:textId="77777777" w:rsidR="006A5EF3" w:rsidRDefault="00414915" w:rsidP="00B65D9F">
      <w:pPr>
        <w:pStyle w:val="Bulletleft1"/>
      </w:pPr>
      <w:r w:rsidRPr="00624810">
        <w:t>Should this area be prioritised for inclusion in the quality standard?</w:t>
      </w:r>
    </w:p>
    <w:p w14:paraId="1F2441D0" w14:textId="77777777" w:rsidR="00910C02" w:rsidRDefault="004510E0" w:rsidP="00B65D9F">
      <w:pPr>
        <w:pStyle w:val="Bulletleft1"/>
      </w:pPr>
      <w:r>
        <w:br w:type="page"/>
      </w:r>
    </w:p>
    <w:p w14:paraId="4CFD7E83" w14:textId="101C606C" w:rsidR="004510E0" w:rsidRPr="00433117" w:rsidRDefault="000E6778" w:rsidP="00910C02">
      <w:pPr>
        <w:pStyle w:val="Numberedheading2"/>
      </w:pPr>
      <w:bookmarkStart w:id="94" w:name="_Toc208847666"/>
      <w:r>
        <w:lastRenderedPageBreak/>
        <w:t>P</w:t>
      </w:r>
      <w:r w:rsidR="001567B7">
        <w:t>re</w:t>
      </w:r>
      <w:r>
        <w:t>operative care</w:t>
      </w:r>
      <w:bookmarkEnd w:id="94"/>
    </w:p>
    <w:p w14:paraId="33EB390A" w14:textId="24161168" w:rsidR="004510E0" w:rsidRDefault="001567B7" w:rsidP="004510E0">
      <w:pPr>
        <w:pStyle w:val="Numberedheading3"/>
      </w:pPr>
      <w:r>
        <w:t>Assessing the risks of surgery</w:t>
      </w:r>
    </w:p>
    <w:p w14:paraId="0FC9E581" w14:textId="6E740941" w:rsidR="00127A47" w:rsidRDefault="00BC76F1" w:rsidP="00BC76F1">
      <w:pPr>
        <w:pStyle w:val="Paragraph"/>
      </w:pPr>
      <w:r>
        <w:t xml:space="preserve">Stakeholders felt that the </w:t>
      </w:r>
      <w:r w:rsidR="00CF4DB0">
        <w:t>i</w:t>
      </w:r>
      <w:r>
        <w:t xml:space="preserve">mplementation of a standardised, evidence based, </w:t>
      </w:r>
      <w:r w:rsidR="00CF4DB0">
        <w:t xml:space="preserve">preoperative </w:t>
      </w:r>
      <w:r>
        <w:t xml:space="preserve">risk assessment scoring tool </w:t>
      </w:r>
      <w:r w:rsidR="00CF4DB0">
        <w:t>was needed</w:t>
      </w:r>
      <w:r w:rsidR="00884C34">
        <w:t xml:space="preserve"> to estimate a </w:t>
      </w:r>
      <w:r w:rsidR="00D043D2">
        <w:t xml:space="preserve">person’s </w:t>
      </w:r>
      <w:r w:rsidR="00884C34">
        <w:t xml:space="preserve"> perioperative risk</w:t>
      </w:r>
      <w:r w:rsidR="00CF4DB0">
        <w:t xml:space="preserve">. </w:t>
      </w:r>
      <w:r w:rsidR="009C52DA">
        <w:t>A</w:t>
      </w:r>
      <w:r w:rsidR="00884C34">
        <w:t xml:space="preserve"> suggested example was </w:t>
      </w:r>
      <w:r w:rsidR="009C52DA">
        <w:t>the</w:t>
      </w:r>
      <w:r w:rsidR="009C52DA" w:rsidRPr="009C52DA">
        <w:t xml:space="preserve"> Surgical Outcome Risk Tool (SORT) </w:t>
      </w:r>
      <w:r w:rsidR="006E7291">
        <w:t xml:space="preserve">which has been validated for inpatient surgical procedures. Stakeholders felt </w:t>
      </w:r>
      <w:r w:rsidR="00884C34">
        <w:t>that any implemented preoperative risk assessment scoring</w:t>
      </w:r>
      <w:r w:rsidR="00404A15">
        <w:t xml:space="preserve"> tool </w:t>
      </w:r>
      <w:r w:rsidR="00884C34">
        <w:t xml:space="preserve">should </w:t>
      </w:r>
      <w:r w:rsidR="006B6F34">
        <w:t>allow</w:t>
      </w:r>
      <w:r w:rsidR="00CF4DB0" w:rsidRPr="00CF4DB0">
        <w:t xml:space="preserve"> </w:t>
      </w:r>
      <w:r w:rsidR="006B6F34">
        <w:t xml:space="preserve">for </w:t>
      </w:r>
      <w:r w:rsidR="00CF4DB0" w:rsidRPr="00CF4DB0">
        <w:t xml:space="preserve">shared decision making </w:t>
      </w:r>
      <w:r w:rsidR="006B6F34">
        <w:t xml:space="preserve">and </w:t>
      </w:r>
      <w:r w:rsidR="00CF4DB0" w:rsidRPr="00CF4DB0">
        <w:t xml:space="preserve">support conversations with </w:t>
      </w:r>
      <w:r w:rsidR="00D043D2">
        <w:t>people undergoing surgery</w:t>
      </w:r>
      <w:r w:rsidR="006B6F34">
        <w:t xml:space="preserve"> </w:t>
      </w:r>
      <w:r w:rsidR="00D043D2">
        <w:t xml:space="preserve">and their families, </w:t>
      </w:r>
      <w:r w:rsidR="00884C34">
        <w:t>including on</w:t>
      </w:r>
      <w:r>
        <w:t xml:space="preserve"> treatment choice.</w:t>
      </w:r>
      <w:r w:rsidR="00324E45">
        <w:t xml:space="preserve"> </w:t>
      </w:r>
      <w:r w:rsidR="00A14990">
        <w:t xml:space="preserve">Further, </w:t>
      </w:r>
      <w:r w:rsidR="00792A7B">
        <w:t xml:space="preserve">there should be </w:t>
      </w:r>
      <w:r w:rsidR="00A14990">
        <w:t xml:space="preserve">evidence that every </w:t>
      </w:r>
      <w:r w:rsidR="00B82A4D">
        <w:t>person</w:t>
      </w:r>
      <w:r w:rsidR="00A14990">
        <w:t xml:space="preserve"> undergo</w:t>
      </w:r>
      <w:r w:rsidR="00B82A4D">
        <w:t>ing surgery has</w:t>
      </w:r>
      <w:r w:rsidR="00A14990">
        <w:t xml:space="preserve"> a risk assessment. </w:t>
      </w:r>
    </w:p>
    <w:p w14:paraId="2AFA15B3" w14:textId="77777777" w:rsidR="00A7586F" w:rsidRDefault="00CD33D9" w:rsidP="00BC76F1">
      <w:pPr>
        <w:pStyle w:val="Paragraph"/>
      </w:pPr>
      <w:r>
        <w:t>Stakeholders felt that</w:t>
      </w:r>
      <w:r w:rsidRPr="00CD33D9">
        <w:t xml:space="preserve"> frailty scoring </w:t>
      </w:r>
      <w:r>
        <w:t>should be i</w:t>
      </w:r>
      <w:r w:rsidRPr="00CD33D9">
        <w:t>n</w:t>
      </w:r>
      <w:r>
        <w:t xml:space="preserve">cluded in </w:t>
      </w:r>
      <w:r w:rsidRPr="00CD33D9">
        <w:t>preoperative assessment</w:t>
      </w:r>
      <w:r w:rsidR="00330BCB">
        <w:t xml:space="preserve">, </w:t>
      </w:r>
      <w:r>
        <w:t xml:space="preserve">and </w:t>
      </w:r>
      <w:r w:rsidR="00330BCB">
        <w:t xml:space="preserve">there should be </w:t>
      </w:r>
      <w:r>
        <w:t>i</w:t>
      </w:r>
      <w:r w:rsidRPr="00CD33D9">
        <w:t>ncreased access to frailty specialists for older people living with frailty across the perioperative pathway</w:t>
      </w:r>
      <w:r w:rsidR="00BA6DE3">
        <w:t xml:space="preserve">. </w:t>
      </w:r>
      <w:r w:rsidR="002036AC">
        <w:t xml:space="preserve">One stakeholder </w:t>
      </w:r>
      <w:r w:rsidR="00D87A00">
        <w:t>suggested the implementation of a Comprehensive Geriatric Assessment (CGA)</w:t>
      </w:r>
      <w:r w:rsidR="003841F6">
        <w:t xml:space="preserve"> for </w:t>
      </w:r>
      <w:r w:rsidR="00A7586F">
        <w:t>people</w:t>
      </w:r>
      <w:r w:rsidR="003841F6">
        <w:t xml:space="preserve"> living with </w:t>
      </w:r>
      <w:r w:rsidR="00C9155D">
        <w:t xml:space="preserve">frailty, dementia and </w:t>
      </w:r>
      <w:r w:rsidR="003841F6">
        <w:t>multiple long term conditions</w:t>
      </w:r>
      <w:r w:rsidR="00D87A00">
        <w:t xml:space="preserve">. </w:t>
      </w:r>
      <w:r w:rsidR="00380FD5">
        <w:t>Stakeholder</w:t>
      </w:r>
      <w:r w:rsidR="00D87A00">
        <w:t xml:space="preserve">s </w:t>
      </w:r>
      <w:r w:rsidR="00B0135E">
        <w:t xml:space="preserve">also </w:t>
      </w:r>
      <w:r w:rsidR="00380FD5">
        <w:t>indicated the need for</w:t>
      </w:r>
      <w:r w:rsidR="008C3282" w:rsidRPr="008C3282">
        <w:t xml:space="preserve"> screening for predictors of adverse outcome</w:t>
      </w:r>
      <w:r w:rsidR="00F32A96">
        <w:t>s</w:t>
      </w:r>
      <w:r w:rsidR="008C3282" w:rsidRPr="008C3282">
        <w:t xml:space="preserve"> </w:t>
      </w:r>
      <w:r w:rsidR="00C9155D">
        <w:t>(such as</w:t>
      </w:r>
      <w:r w:rsidR="00380FD5">
        <w:t xml:space="preserve"> frailty,</w:t>
      </w:r>
      <w:r w:rsidR="008C3282" w:rsidRPr="008C3282">
        <w:t xml:space="preserve"> anaemia, diabetes, hypertension</w:t>
      </w:r>
      <w:r w:rsidR="00B0135E">
        <w:t xml:space="preserve"> and </w:t>
      </w:r>
      <w:r w:rsidR="008C3282" w:rsidRPr="008C3282">
        <w:t>dementia</w:t>
      </w:r>
      <w:r w:rsidR="00C9155D">
        <w:t>)</w:t>
      </w:r>
      <w:r w:rsidR="008C3282" w:rsidRPr="008C3282">
        <w:t xml:space="preserve"> in preoperative assessment clinic</w:t>
      </w:r>
      <w:r w:rsidR="00380FD5">
        <w:t>s</w:t>
      </w:r>
      <w:r w:rsidR="008C3282" w:rsidRPr="008C3282">
        <w:t xml:space="preserve"> and emergency surgery</w:t>
      </w:r>
      <w:r w:rsidR="00380FD5">
        <w:t xml:space="preserve">. </w:t>
      </w:r>
    </w:p>
    <w:p w14:paraId="65576233" w14:textId="41F7A2E5" w:rsidR="00A7586F" w:rsidRPr="00A7586F" w:rsidRDefault="00A7586F" w:rsidP="00BC76F1">
      <w:pPr>
        <w:pStyle w:val="Paragraph"/>
        <w:rPr>
          <w:highlight w:val="yellow"/>
        </w:rPr>
      </w:pPr>
      <w:r w:rsidRPr="00A7586F">
        <w:t xml:space="preserve">Stakeholders highlighted emergency </w:t>
      </w:r>
      <w:r w:rsidR="000F3536">
        <w:t>surgery</w:t>
      </w:r>
      <w:r w:rsidRPr="00A7586F">
        <w:t xml:space="preserve"> as an area</w:t>
      </w:r>
      <w:r>
        <w:t xml:space="preserve"> </w:t>
      </w:r>
      <w:r w:rsidRPr="00A7586F">
        <w:t>for quality improvement. T</w:t>
      </w:r>
      <w:r>
        <w:t>hey felt that there was disparity between elective and emergency care pathways, and</w:t>
      </w:r>
      <w:r w:rsidRPr="00A7586F">
        <w:t xml:space="preserve"> that organisations providing emergency care should have clear pathways</w:t>
      </w:r>
      <w:r>
        <w:t>.</w:t>
      </w:r>
    </w:p>
    <w:p w14:paraId="4EB62771" w14:textId="66036301" w:rsidR="000D43BC" w:rsidRDefault="00B737C5" w:rsidP="00BC76F1">
      <w:pPr>
        <w:pStyle w:val="Paragraph"/>
      </w:pPr>
      <w:r>
        <w:t>Stakeholders suggested that a</w:t>
      </w:r>
      <w:r w:rsidR="00CA4FE8" w:rsidRPr="00CA4FE8">
        <w:t xml:space="preserve">ccess to and effective use of community data and records to </w:t>
      </w:r>
      <w:r w:rsidRPr="00CA4FE8">
        <w:t>facilitate</w:t>
      </w:r>
      <w:r w:rsidR="00CA4FE8" w:rsidRPr="00CA4FE8">
        <w:t xml:space="preserve"> profiling and segmentation of the surgical waiting list </w:t>
      </w:r>
      <w:r>
        <w:t>would help to</w:t>
      </w:r>
      <w:r w:rsidR="00CA4FE8" w:rsidRPr="00CA4FE8">
        <w:t xml:space="preserve"> deliver the right care in the right place by the right team at the right time</w:t>
      </w:r>
      <w:r w:rsidR="00F67946">
        <w:t xml:space="preserve">. </w:t>
      </w:r>
    </w:p>
    <w:p w14:paraId="2641540F" w14:textId="757DC50A" w:rsidR="00FA30B3" w:rsidRDefault="005B2F94" w:rsidP="00532417">
      <w:pPr>
        <w:pStyle w:val="Paragraph"/>
      </w:pPr>
      <w:r>
        <w:t>Stakeholders</w:t>
      </w:r>
      <w:r w:rsidR="006D5CCC">
        <w:t xml:space="preserve"> highlighted the need to d</w:t>
      </w:r>
      <w:r w:rsidR="00F45122" w:rsidRPr="00F45122">
        <w:t>evelop</w:t>
      </w:r>
      <w:r w:rsidR="006D5CCC">
        <w:t xml:space="preserve"> </w:t>
      </w:r>
      <w:r w:rsidR="00F45122" w:rsidRPr="00F45122">
        <w:t xml:space="preserve">strategies to empower people to engage with </w:t>
      </w:r>
      <w:r w:rsidR="00127A47">
        <w:t xml:space="preserve">their </w:t>
      </w:r>
      <w:r w:rsidR="00F45122" w:rsidRPr="00F45122">
        <w:t>own health management preoperatively.</w:t>
      </w:r>
      <w:r>
        <w:t xml:space="preserve"> </w:t>
      </w:r>
      <w:r w:rsidR="00FA30B3">
        <w:t xml:space="preserve">One stakeholder suggested that </w:t>
      </w:r>
      <w:r>
        <w:t>a</w:t>
      </w:r>
      <w:r w:rsidR="00FA30B3" w:rsidRPr="00FA30B3">
        <w:t>ll people who smoke should be automatically enrolled into smoking cessation services whilst awaiting surgery.</w:t>
      </w:r>
    </w:p>
    <w:p w14:paraId="011CCE7E" w14:textId="77777777" w:rsidR="004510E0" w:rsidRPr="00F45FBA" w:rsidRDefault="004510E0" w:rsidP="00A673EB">
      <w:pPr>
        <w:pStyle w:val="Heading4"/>
      </w:pPr>
      <w:r>
        <w:t>S</w:t>
      </w:r>
      <w:r w:rsidRPr="00CD3D03">
        <w:t xml:space="preserve">elected recommendations </w:t>
      </w:r>
    </w:p>
    <w:p w14:paraId="492A5C0A" w14:textId="2992BC50" w:rsidR="00A673EB" w:rsidRPr="00D85A0E" w:rsidRDefault="00A673EB" w:rsidP="00A673EB">
      <w:pPr>
        <w:pStyle w:val="Paragraph"/>
      </w:pPr>
      <w:r w:rsidRPr="00D85A0E">
        <w:t xml:space="preserve">NICE’s guideline on </w:t>
      </w:r>
      <w:hyperlink r:id="rId26" w:history="1">
        <w:r w:rsidR="00D85A0E" w:rsidRPr="00D85A0E">
          <w:rPr>
            <w:rStyle w:val="Hyperlink"/>
          </w:rPr>
          <w:t>perioperative care in adults</w:t>
        </w:r>
        <w:r w:rsidRPr="00D85A0E">
          <w:rPr>
            <w:rStyle w:val="Hyperlink"/>
          </w:rPr>
          <w:t xml:space="preserve"> (NG</w:t>
        </w:r>
        <w:r w:rsidR="00D85A0E" w:rsidRPr="00D85A0E">
          <w:rPr>
            <w:rStyle w:val="Hyperlink"/>
          </w:rPr>
          <w:t>180</w:t>
        </w:r>
        <w:r w:rsidRPr="00D85A0E">
          <w:rPr>
            <w:rStyle w:val="Hyperlink"/>
          </w:rPr>
          <w:t>)</w:t>
        </w:r>
      </w:hyperlink>
      <w:r w:rsidR="00AE13B7" w:rsidRPr="00D85A0E">
        <w:t>:</w:t>
      </w:r>
    </w:p>
    <w:p w14:paraId="45ABF0B9" w14:textId="745B9FCC" w:rsidR="0001339C" w:rsidRDefault="0001339C" w:rsidP="00A673EB">
      <w:pPr>
        <w:pStyle w:val="Paragraph"/>
      </w:pPr>
      <w:r>
        <w:t xml:space="preserve">1.3.1 </w:t>
      </w:r>
      <w:r w:rsidRPr="0001339C">
        <w:t>Use a validated risk stratification tool to supplement clinical assessment when planning surgery, including dental surgery. Discuss the person's risks and surgical options with them to allow for informed shared decision making.</w:t>
      </w:r>
    </w:p>
    <w:p w14:paraId="11F19AFD" w14:textId="7769F7C6" w:rsidR="0001339C" w:rsidRDefault="0001339C" w:rsidP="00A673EB">
      <w:pPr>
        <w:pStyle w:val="Paragraph"/>
      </w:pPr>
      <w:r>
        <w:lastRenderedPageBreak/>
        <w:t xml:space="preserve">1.3.2 </w:t>
      </w:r>
      <w:r w:rsidR="00D85A0E" w:rsidRPr="00D85A0E">
        <w:t xml:space="preserve">Discuss lifestyle modifications with people having surgery, for example stopping smoking and reducing alcohol consumption. Follow the relevant </w:t>
      </w:r>
      <w:r w:rsidR="00D85A0E" w:rsidRPr="000F3536">
        <w:t>NICE guidance on lifestyle and wellbeing</w:t>
      </w:r>
      <w:r w:rsidR="00D85A0E" w:rsidRPr="00D85A0E">
        <w:t>.</w:t>
      </w:r>
    </w:p>
    <w:p w14:paraId="31BF86FA" w14:textId="06ABF973" w:rsidR="004510E0" w:rsidRDefault="00925A79" w:rsidP="00A673EB">
      <w:pPr>
        <w:pStyle w:val="Heading4"/>
      </w:pPr>
      <w:r>
        <w:t>Existing quality statement</w:t>
      </w:r>
    </w:p>
    <w:p w14:paraId="1DA38360" w14:textId="1A2A8E34" w:rsidR="00152549" w:rsidRDefault="007B4C7E" w:rsidP="00925A79">
      <w:pPr>
        <w:pStyle w:val="Paragraph"/>
      </w:pPr>
      <w:r>
        <w:t xml:space="preserve">NICE’s quality standard on </w:t>
      </w:r>
      <w:hyperlink r:id="rId27" w:history="1">
        <w:r w:rsidRPr="007B4C7E">
          <w:rPr>
            <w:rStyle w:val="Hyperlink"/>
          </w:rPr>
          <w:t>Tobacco: treating dependence</w:t>
        </w:r>
      </w:hyperlink>
      <w:r>
        <w:t xml:space="preserve"> (QS207)</w:t>
      </w:r>
    </w:p>
    <w:p w14:paraId="4E0CB7A8" w14:textId="5E319500" w:rsidR="00152549" w:rsidRDefault="00152549" w:rsidP="00925A79">
      <w:pPr>
        <w:pStyle w:val="Paragraph"/>
      </w:pPr>
      <w:r w:rsidRPr="00152549">
        <w:t>Quality statement 5: Treatment to stop smoking in hospital</w:t>
      </w:r>
    </w:p>
    <w:p w14:paraId="3168A431" w14:textId="7368B28F" w:rsidR="00152549" w:rsidRPr="00925A79" w:rsidRDefault="00152549" w:rsidP="00925A79">
      <w:pPr>
        <w:pStyle w:val="Paragraph"/>
      </w:pPr>
      <w:r w:rsidRPr="00152549">
        <w:t>People who smoke receive treatment to stop smoking on admission to hospital</w:t>
      </w:r>
    </w:p>
    <w:p w14:paraId="66524A4B" w14:textId="2EA03C7F" w:rsidR="00EC24A4" w:rsidRDefault="001F2D39" w:rsidP="001F48C8">
      <w:pPr>
        <w:pStyle w:val="Heading4"/>
      </w:pPr>
      <w:r>
        <w:t>Current UK practice</w:t>
      </w:r>
    </w:p>
    <w:p w14:paraId="2FE63396" w14:textId="3C92FA01" w:rsidR="001F48C8" w:rsidRDefault="001F48C8" w:rsidP="001F48C8">
      <w:pPr>
        <w:pStyle w:val="Paragraph"/>
      </w:pPr>
      <w:r>
        <w:t xml:space="preserve">The </w:t>
      </w:r>
      <w:hyperlink r:id="rId28" w:history="1">
        <w:r w:rsidRPr="00732111">
          <w:rPr>
            <w:rStyle w:val="Hyperlink"/>
          </w:rPr>
          <w:t>Perioperative Quality Improvement Programme (PQIP) Report 5</w:t>
        </w:r>
      </w:hyperlink>
      <w:r>
        <w:t xml:space="preserve"> (March 2023 to March 2024) included 173 hospitals across the UK and showed that:</w:t>
      </w:r>
    </w:p>
    <w:p w14:paraId="2D55DE54" w14:textId="7DCAC66A" w:rsidR="001F48C8" w:rsidRDefault="001F48C8" w:rsidP="00237E74">
      <w:pPr>
        <w:pStyle w:val="Paragraph"/>
        <w:numPr>
          <w:ilvl w:val="0"/>
          <w:numId w:val="16"/>
        </w:numPr>
      </w:pPr>
      <w:r>
        <w:t>the proportion of patients without a documented individualised risk assessment was around 30%, a figure which has persisted since PQIP started in 2016.</w:t>
      </w:r>
    </w:p>
    <w:p w14:paraId="523F1860" w14:textId="672AC16C" w:rsidR="001F48C8" w:rsidRDefault="001F48C8" w:rsidP="00237E74">
      <w:pPr>
        <w:pStyle w:val="Paragraph"/>
        <w:numPr>
          <w:ilvl w:val="0"/>
          <w:numId w:val="16"/>
        </w:numPr>
      </w:pPr>
      <w:r>
        <w:t xml:space="preserve">86% of </w:t>
      </w:r>
      <w:r w:rsidRPr="00B709CA">
        <w:t>patients (</w:t>
      </w:r>
      <w:r>
        <w:t>7</w:t>
      </w:r>
      <w:r w:rsidR="00F920EF">
        <w:t>,</w:t>
      </w:r>
      <w:r>
        <w:t>475</w:t>
      </w:r>
      <w:r w:rsidRPr="00B709CA">
        <w:t>) had a recorded frailty assessment of which 3,470 were over 65 years of age</w:t>
      </w:r>
      <w:r>
        <w:t>.</w:t>
      </w:r>
    </w:p>
    <w:p w14:paraId="20AFD152" w14:textId="5282C4F5" w:rsidR="001F48C8" w:rsidRDefault="001F48C8" w:rsidP="00237E74">
      <w:pPr>
        <w:pStyle w:val="Paragraph"/>
        <w:numPr>
          <w:ilvl w:val="0"/>
          <w:numId w:val="16"/>
        </w:numPr>
      </w:pPr>
      <w:r>
        <w:t xml:space="preserve">75% of diabetic patients </w:t>
      </w:r>
      <w:r w:rsidR="00F920EF">
        <w:t xml:space="preserve">(700/929) </w:t>
      </w:r>
      <w:r>
        <w:t>had an HbA1c measured prior to surgery, a figure mostly unchanged since first measured in 2016/18.</w:t>
      </w:r>
      <w:r w:rsidRPr="00892CB7">
        <w:t xml:space="preserve"> </w:t>
      </w:r>
      <w:r>
        <w:t xml:space="preserve">The highest incidence of poor diabetes control (HbA1c &gt;69 mmol/mol) was seen in patients undergoing gynaecological surgery, where 34% had a HbA1c &gt;69 mmol/mol. </w:t>
      </w:r>
    </w:p>
    <w:p w14:paraId="00C1B136" w14:textId="2E2E5D39" w:rsidR="005E5D94" w:rsidRDefault="005E5D94" w:rsidP="005E5D94">
      <w:pPr>
        <w:pStyle w:val="Paragraph"/>
      </w:pPr>
      <w:r>
        <w:t xml:space="preserve">Data from </w:t>
      </w:r>
      <w:hyperlink r:id="rId29" w:history="1">
        <w:r w:rsidRPr="00160BEB">
          <w:rPr>
            <w:rStyle w:val="Hyperlink"/>
          </w:rPr>
          <w:t>Knowing the Risk</w:t>
        </w:r>
      </w:hyperlink>
      <w:r>
        <w:t>, a review of the perioperative care of surgical patients by the National Confidential Enquiry into Patient Outcome and Death (NCEPOD, 2011) of NHS hospital</w:t>
      </w:r>
      <w:r w:rsidR="001F2CE8">
        <w:t>s</w:t>
      </w:r>
      <w:r>
        <w:t xml:space="preserve"> in England, Wales and Northern Ireland, and hospitals in the independent sector and public hospitals in the Isle of Man, Guernsey and Jersey showed that:</w:t>
      </w:r>
    </w:p>
    <w:p w14:paraId="21B80AAF" w14:textId="77777777" w:rsidR="005E5D94" w:rsidRDefault="005E5D94" w:rsidP="00237E74">
      <w:pPr>
        <w:pStyle w:val="Paragraph"/>
        <w:numPr>
          <w:ilvl w:val="0"/>
          <w:numId w:val="22"/>
        </w:numPr>
      </w:pPr>
      <w:r>
        <w:t>17% of hospitals (48/283) did not provide pre-admission surgical assessment clinics, and 16% of hospitals (44/283) did not provide pre-admission anaesthetic assessment clinics</w:t>
      </w:r>
    </w:p>
    <w:p w14:paraId="1A24619E" w14:textId="6126DE8C" w:rsidR="005E5D94" w:rsidRDefault="005E5D94" w:rsidP="00237E74">
      <w:pPr>
        <w:pStyle w:val="Paragraph"/>
        <w:numPr>
          <w:ilvl w:val="0"/>
          <w:numId w:val="22"/>
        </w:numPr>
      </w:pPr>
      <w:r>
        <w:t xml:space="preserve">88.1% of hospitals (259/294) had a protocol for the perioperative management of diabetes mellitus </w:t>
      </w:r>
    </w:p>
    <w:p w14:paraId="37D5477A" w14:textId="693C7054" w:rsidR="00805130" w:rsidRDefault="00B37B2B" w:rsidP="00805130">
      <w:pPr>
        <w:pStyle w:val="Paragraph"/>
      </w:pPr>
      <w:r>
        <w:t>Data from specialities including t</w:t>
      </w:r>
      <w:r w:rsidR="00356AAE">
        <w:t xml:space="preserve">he </w:t>
      </w:r>
      <w:hyperlink r:id="rId30" w:history="1">
        <w:r w:rsidR="00356AAE" w:rsidRPr="00990A94">
          <w:rPr>
            <w:rStyle w:val="Hyperlink"/>
          </w:rPr>
          <w:t>Ninth Patient Report of the National Emergency Lap</w:t>
        </w:r>
        <w:r w:rsidR="00990A94" w:rsidRPr="00990A94">
          <w:rPr>
            <w:rStyle w:val="Hyperlink"/>
          </w:rPr>
          <w:t>a</w:t>
        </w:r>
        <w:r w:rsidR="00356AAE" w:rsidRPr="00990A94">
          <w:rPr>
            <w:rStyle w:val="Hyperlink"/>
          </w:rPr>
          <w:t>rotomy Audit</w:t>
        </w:r>
      </w:hyperlink>
      <w:r w:rsidR="00356AAE">
        <w:t xml:space="preserve"> </w:t>
      </w:r>
      <w:r w:rsidR="00322FFD">
        <w:t xml:space="preserve">(NELA) </w:t>
      </w:r>
      <w:r w:rsidR="003313CA">
        <w:t xml:space="preserve"> reported</w:t>
      </w:r>
      <w:r w:rsidR="00D4239A">
        <w:t>:</w:t>
      </w:r>
      <w:r w:rsidR="00805130" w:rsidRPr="00805130">
        <w:t xml:space="preserve"> </w:t>
      </w:r>
    </w:p>
    <w:p w14:paraId="34DEA568" w14:textId="762C2DDA" w:rsidR="00805130" w:rsidRDefault="00805130" w:rsidP="00237E74">
      <w:pPr>
        <w:pStyle w:val="Paragraph"/>
        <w:numPr>
          <w:ilvl w:val="0"/>
          <w:numId w:val="33"/>
        </w:numPr>
      </w:pPr>
      <w:r w:rsidRPr="00805130">
        <w:lastRenderedPageBreak/>
        <w:t>a drop to below target for preoperative assessment of risk, to 84.6% in 2021/23 after peaking at 86.8% in 2020/21</w:t>
      </w:r>
    </w:p>
    <w:p w14:paraId="43834B66" w14:textId="37B37620" w:rsidR="00805130" w:rsidRDefault="00805130" w:rsidP="00237E74">
      <w:pPr>
        <w:pStyle w:val="Paragraph"/>
        <w:numPr>
          <w:ilvl w:val="0"/>
          <w:numId w:val="33"/>
        </w:numPr>
      </w:pPr>
      <w:r w:rsidRPr="00805130">
        <w:t>for patients aged over 65 years or older, 84.8% had a preoperative formal assessment of frailty (using a validated scoring system such as the Clinical Frailty Scale, CFS) in 2021/23, compared to 86.5% in 2020/2</w:t>
      </w:r>
      <w:r w:rsidR="00B37B2B">
        <w:t>1</w:t>
      </w:r>
    </w:p>
    <w:p w14:paraId="08415059" w14:textId="48E65FDE" w:rsidR="00805130" w:rsidRDefault="00805130" w:rsidP="00237E74">
      <w:pPr>
        <w:pStyle w:val="Paragraph"/>
        <w:numPr>
          <w:ilvl w:val="0"/>
          <w:numId w:val="33"/>
        </w:numPr>
      </w:pPr>
      <w:r w:rsidRPr="00805130">
        <w:t>for patients aged 65 years or older and living with frailty, or aged 80 years of older regardless of frailty status, 33.2% received multidisciplinary perioperative input by members of a geriatrician-led team in 2021/23, compared to 31.8% in 2020/21</w:t>
      </w:r>
    </w:p>
    <w:p w14:paraId="3DF6ED58" w14:textId="4EF7B60B" w:rsidR="00BD58DD" w:rsidRDefault="00683F8C" w:rsidP="00237E74">
      <w:pPr>
        <w:pStyle w:val="Paragraph"/>
        <w:numPr>
          <w:ilvl w:val="0"/>
          <w:numId w:val="33"/>
        </w:numPr>
      </w:pPr>
      <w:r>
        <w:t xml:space="preserve">29.4% </w:t>
      </w:r>
      <w:r w:rsidR="00715A89">
        <w:t>o</w:t>
      </w:r>
      <w:r>
        <w:t xml:space="preserve">f patients with a risk </w:t>
      </w:r>
      <w:r w:rsidR="005B2455">
        <w:t>&lt;</w:t>
      </w:r>
      <w:r>
        <w:t>5% were admitted to critical care</w:t>
      </w:r>
      <w:r w:rsidR="00715A89">
        <w:t xml:space="preserve"> </w:t>
      </w:r>
      <w:r w:rsidR="00B37B2B">
        <w:t xml:space="preserve">in </w:t>
      </w:r>
      <w:r w:rsidR="00715A89">
        <w:t>2021/23</w:t>
      </w:r>
    </w:p>
    <w:p w14:paraId="79F775BF" w14:textId="77777777" w:rsidR="0025073B" w:rsidRDefault="0025073B" w:rsidP="0025073B">
      <w:pPr>
        <w:pStyle w:val="Paragraph"/>
      </w:pPr>
      <w:r>
        <w:t>Using d</w:t>
      </w:r>
      <w:r w:rsidRPr="00C50E46">
        <w:t>ata from the Emergency Laparotomy and Laparoscopic Scottish Audit (ELLSA)</w:t>
      </w:r>
      <w:r>
        <w:t xml:space="preserve">, a study into </w:t>
      </w:r>
      <w:hyperlink r:id="rId31" w:anchor="google_vignette" w:history="1">
        <w:r w:rsidRPr="00C50E46">
          <w:rPr>
            <w:rStyle w:val="Hyperlink"/>
          </w:rPr>
          <w:t>The Role of a Frailty Team to improve Perioperative Care for ELLSA Patients</w:t>
        </w:r>
      </w:hyperlink>
      <w:r w:rsidRPr="00C50E46">
        <w:t xml:space="preserve"> </w:t>
      </w:r>
      <w:r>
        <w:t xml:space="preserve">reviewed the frailty assessment of 152 patients aged </w:t>
      </w:r>
      <w:r>
        <w:rPr>
          <w:rFonts w:cs="Arial"/>
        </w:rPr>
        <w:t>≥</w:t>
      </w:r>
      <w:r>
        <w:t>65 years admitted to a Scottish hospital between November 2022 and November 2023. It showed that:</w:t>
      </w:r>
    </w:p>
    <w:p w14:paraId="256D2024" w14:textId="77777777" w:rsidR="0025073B" w:rsidRDefault="0025073B" w:rsidP="00237E74">
      <w:pPr>
        <w:pStyle w:val="Paragraph"/>
        <w:numPr>
          <w:ilvl w:val="0"/>
          <w:numId w:val="35"/>
        </w:numPr>
      </w:pPr>
      <w:r>
        <w:t>100% of patients had a documented Clinical Frailty Scale (CFS) score</w:t>
      </w:r>
    </w:p>
    <w:p w14:paraId="6676D360" w14:textId="77777777" w:rsidR="0025073B" w:rsidRDefault="0025073B" w:rsidP="00237E74">
      <w:pPr>
        <w:pStyle w:val="Paragraph"/>
        <w:numPr>
          <w:ilvl w:val="0"/>
          <w:numId w:val="35"/>
        </w:numPr>
      </w:pPr>
      <w:r>
        <w:t>47.4% (72/152) of patients had a preoperative frailty review</w:t>
      </w:r>
    </w:p>
    <w:p w14:paraId="779802F5" w14:textId="77777777" w:rsidR="0025073B" w:rsidRDefault="0025073B" w:rsidP="00237E74">
      <w:pPr>
        <w:pStyle w:val="Paragraph"/>
        <w:numPr>
          <w:ilvl w:val="0"/>
          <w:numId w:val="35"/>
        </w:numPr>
      </w:pPr>
      <w:r>
        <w:t xml:space="preserve">68.4% of patients (104/152) had their initial frailty assessment by a consultant geriatrician </w:t>
      </w:r>
    </w:p>
    <w:p w14:paraId="17C84B25" w14:textId="49517D94" w:rsidR="0025073B" w:rsidRDefault="0025073B" w:rsidP="00237E74">
      <w:pPr>
        <w:pStyle w:val="Paragraph"/>
        <w:numPr>
          <w:ilvl w:val="0"/>
          <w:numId w:val="35"/>
        </w:numPr>
      </w:pPr>
      <w:r>
        <w:t>19.7% of patients (30/152) were reviewed by a frailty advanced nurse practitioner or clinical fellow</w:t>
      </w:r>
    </w:p>
    <w:p w14:paraId="4FBA9364" w14:textId="4655A399" w:rsidR="00A11DE5" w:rsidRDefault="00A11DE5" w:rsidP="00A11DE5">
      <w:pPr>
        <w:pStyle w:val="Paragraph"/>
      </w:pPr>
      <w:r>
        <w:t>Policy data from current and historic clinical commissioning group (CCG) hip and knee arthroplasty policies in England in June 2021</w:t>
      </w:r>
      <w:r w:rsidR="00621C7A" w:rsidRPr="00621C7A">
        <w:t xml:space="preserve"> </w:t>
      </w:r>
      <w:r w:rsidR="00621C7A">
        <w:t>(</w:t>
      </w:r>
      <w:hyperlink r:id="rId32" w:history="1">
        <w:r w:rsidR="00AE39E4">
          <w:rPr>
            <w:rStyle w:val="Hyperlink"/>
          </w:rPr>
          <w:t>Access to hip and knee arthroplasty in England: commissioners' policies for body mass index and smoking status and implications for integrated care systems</w:t>
        </w:r>
      </w:hyperlink>
      <w:r w:rsidR="00621C7A">
        <w:t>) showed that</w:t>
      </w:r>
      <w:r>
        <w:t>:</w:t>
      </w:r>
    </w:p>
    <w:p w14:paraId="20CEA107" w14:textId="742F5F18" w:rsidR="00A11DE5" w:rsidRDefault="00A11DE5" w:rsidP="00237E74">
      <w:pPr>
        <w:pStyle w:val="Paragraph"/>
        <w:numPr>
          <w:ilvl w:val="0"/>
          <w:numId w:val="29"/>
        </w:numPr>
      </w:pPr>
      <w:r>
        <w:t>75% (80/106) of CCGs had a smoking policy for hip or knee arthroplasty, and 39% (31/80) of these policies required that patients accept referral for smoking cessation support, wait extra time before surgery or that patients must quit smoking to access surgery. For policies that specified the extra wait times, this ranged between 8 weeks to 6 months</w:t>
      </w:r>
    </w:p>
    <w:p w14:paraId="0B3C0B8F" w14:textId="1994278C" w:rsidR="004E094D" w:rsidRPr="004E094D" w:rsidRDefault="004E094D" w:rsidP="004E094D">
      <w:pPr>
        <w:rPr>
          <w:rFonts w:ascii="Arial" w:hAnsi="Arial"/>
        </w:rPr>
      </w:pPr>
      <w:r>
        <w:br w:type="page"/>
      </w:r>
    </w:p>
    <w:p w14:paraId="4A72A5E0" w14:textId="6333EE65" w:rsidR="00C52B80" w:rsidRDefault="00C52B80" w:rsidP="00C52B80">
      <w:pPr>
        <w:pStyle w:val="Numberedheading3"/>
      </w:pPr>
      <w:r>
        <w:lastRenderedPageBreak/>
        <w:t xml:space="preserve">Management of </w:t>
      </w:r>
      <w:r w:rsidR="00F81230">
        <w:t xml:space="preserve">existing conditions </w:t>
      </w:r>
    </w:p>
    <w:p w14:paraId="0906B0E9" w14:textId="38838110" w:rsidR="00C94E63" w:rsidRDefault="00C52B80" w:rsidP="00C52B80">
      <w:pPr>
        <w:pStyle w:val="Paragraph"/>
      </w:pPr>
      <w:r>
        <w:t>Stakeholders felt</w:t>
      </w:r>
      <w:r w:rsidR="0086077A">
        <w:t xml:space="preserve"> that</w:t>
      </w:r>
      <w:r w:rsidR="0086077A" w:rsidRPr="0086077A">
        <w:t xml:space="preserve"> </w:t>
      </w:r>
      <w:r w:rsidR="00F81230">
        <w:t>people</w:t>
      </w:r>
      <w:r w:rsidR="0086077A">
        <w:t xml:space="preserve"> with </w:t>
      </w:r>
      <w:r w:rsidR="0086077A" w:rsidRPr="0086077A">
        <w:t xml:space="preserve">iron-deficiency anaemia </w:t>
      </w:r>
      <w:r w:rsidR="0086077A">
        <w:t>who are scheduled for</w:t>
      </w:r>
      <w:r w:rsidR="0086077A" w:rsidRPr="0086077A">
        <w:t xml:space="preserve"> surgery, </w:t>
      </w:r>
      <w:r w:rsidR="0086077A">
        <w:t>s</w:t>
      </w:r>
      <w:r w:rsidR="007337DB" w:rsidRPr="007337DB">
        <w:t xml:space="preserve">hould be screened and treated </w:t>
      </w:r>
      <w:r w:rsidR="0086077A">
        <w:t xml:space="preserve">for their iron-deficiency anaemia </w:t>
      </w:r>
      <w:r w:rsidR="007337DB" w:rsidRPr="007337DB">
        <w:t xml:space="preserve">at least </w:t>
      </w:r>
      <w:r w:rsidR="00F81230">
        <w:t xml:space="preserve">four </w:t>
      </w:r>
      <w:r w:rsidR="007337DB" w:rsidRPr="007337DB">
        <w:t>weeks</w:t>
      </w:r>
      <w:r w:rsidR="0086077A">
        <w:t xml:space="preserve"> </w:t>
      </w:r>
      <w:r w:rsidR="00F81230">
        <w:t>before</w:t>
      </w:r>
      <w:r w:rsidR="0086077A">
        <w:t xml:space="preserve"> surgery. This includes optimising </w:t>
      </w:r>
      <w:r w:rsidR="007337DB" w:rsidRPr="007337DB">
        <w:t>haemoglobin and iron measurements</w:t>
      </w:r>
      <w:r w:rsidR="0086077A">
        <w:t>.</w:t>
      </w:r>
      <w:r w:rsidR="00C94E63" w:rsidRPr="00C94E63">
        <w:t xml:space="preserve"> </w:t>
      </w:r>
      <w:r w:rsidR="00C94E63">
        <w:t>H</w:t>
      </w:r>
      <w:r w:rsidR="00C94E63" w:rsidRPr="00C94E63">
        <w:t>igh dose intravenous iron therapies to correct anaemia prior to discharge</w:t>
      </w:r>
      <w:r w:rsidR="00C94E63">
        <w:t xml:space="preserve"> should be considered for people with </w:t>
      </w:r>
      <w:r w:rsidR="00C94E63" w:rsidRPr="00C94E63">
        <w:t>low post operative haemoglobin, iron levels or moderate to high blood loss</w:t>
      </w:r>
      <w:r w:rsidR="00C94E63">
        <w:t xml:space="preserve">. </w:t>
      </w:r>
    </w:p>
    <w:p w14:paraId="553A0C58" w14:textId="2B4BF551" w:rsidR="007337DB" w:rsidRDefault="0086077A" w:rsidP="00C52B80">
      <w:pPr>
        <w:pStyle w:val="Paragraph"/>
      </w:pPr>
      <w:r>
        <w:t>Stakeholders felt that there should be effective m</w:t>
      </w:r>
      <w:r w:rsidR="007337DB" w:rsidRPr="007337DB">
        <w:t xml:space="preserve">anagement of perioperative anticoagulation for </w:t>
      </w:r>
      <w:r w:rsidR="0076464A">
        <w:t>people</w:t>
      </w:r>
      <w:r w:rsidR="007337DB" w:rsidRPr="007337DB">
        <w:t xml:space="preserve"> on long term therapy</w:t>
      </w:r>
      <w:r w:rsidR="0076464A">
        <w:t>. T</w:t>
      </w:r>
      <w:r>
        <w:t xml:space="preserve">his was particularly important for </w:t>
      </w:r>
      <w:r w:rsidR="0076464A">
        <w:t>people undergoing surgery</w:t>
      </w:r>
      <w:r>
        <w:t xml:space="preserve"> who </w:t>
      </w:r>
      <w:r w:rsidR="000B25DE">
        <w:t xml:space="preserve">temporarily </w:t>
      </w:r>
      <w:r>
        <w:t>s</w:t>
      </w:r>
      <w:r w:rsidR="007337DB" w:rsidRPr="007337DB">
        <w:t xml:space="preserve">top and </w:t>
      </w:r>
      <w:r w:rsidR="000B25DE">
        <w:t>re</w:t>
      </w:r>
      <w:r w:rsidR="007337DB" w:rsidRPr="007337DB">
        <w:t>start anticoagulation</w:t>
      </w:r>
      <w:r w:rsidR="000B25DE">
        <w:t xml:space="preserve">, </w:t>
      </w:r>
      <w:r w:rsidR="0076464A">
        <w:t>a</w:t>
      </w:r>
      <w:r w:rsidR="000B25DE">
        <w:t>s</w:t>
      </w:r>
      <w:r w:rsidR="0076464A">
        <w:t xml:space="preserve"> </w:t>
      </w:r>
      <w:r w:rsidR="000B25DE">
        <w:t>this</w:t>
      </w:r>
      <w:r w:rsidR="0076464A">
        <w:t xml:space="preserve"> may increase the risk of</w:t>
      </w:r>
      <w:r w:rsidR="0076464A" w:rsidRPr="0076464A">
        <w:t xml:space="preserve"> venous thromboembolism</w:t>
      </w:r>
      <w:r>
        <w:t>.</w:t>
      </w:r>
    </w:p>
    <w:p w14:paraId="12607361" w14:textId="77777777" w:rsidR="00C52B80" w:rsidRPr="00F45FBA" w:rsidRDefault="00C52B80" w:rsidP="00C52B80">
      <w:pPr>
        <w:pStyle w:val="Heading4"/>
      </w:pPr>
      <w:r>
        <w:t>S</w:t>
      </w:r>
      <w:r w:rsidRPr="00CD3D03">
        <w:t xml:space="preserve">elected recommendations </w:t>
      </w:r>
    </w:p>
    <w:p w14:paraId="19370810" w14:textId="77777777" w:rsidR="00C52B80" w:rsidRDefault="00C52B80" w:rsidP="00C52B80">
      <w:pPr>
        <w:pStyle w:val="Paragraph"/>
      </w:pPr>
      <w:r w:rsidRPr="00D85A0E">
        <w:t xml:space="preserve">NICE’s guideline on </w:t>
      </w:r>
      <w:hyperlink r:id="rId33" w:history="1">
        <w:r w:rsidRPr="00D85A0E">
          <w:rPr>
            <w:rStyle w:val="Hyperlink"/>
          </w:rPr>
          <w:t>perioperative care in adults (NG180)</w:t>
        </w:r>
      </w:hyperlink>
      <w:r w:rsidRPr="00D85A0E">
        <w:t>:</w:t>
      </w:r>
    </w:p>
    <w:p w14:paraId="7152FAA5" w14:textId="1FDBE267" w:rsidR="00FF0B65" w:rsidRDefault="00FF0B65" w:rsidP="00C52B80">
      <w:pPr>
        <w:pStyle w:val="Paragraph"/>
      </w:pPr>
      <w:r w:rsidRPr="00FF0B65">
        <w:t>Managing iron-deficiency anaemia</w:t>
      </w:r>
    </w:p>
    <w:p w14:paraId="3862DE5D" w14:textId="78AA5E01" w:rsidR="00FF0B65" w:rsidRPr="00D85A0E" w:rsidRDefault="00FF0B65" w:rsidP="00C52B80">
      <w:pPr>
        <w:pStyle w:val="Paragraph"/>
      </w:pPr>
      <w:r w:rsidRPr="00FF0B65">
        <w:t>Iron supplementation</w:t>
      </w:r>
    </w:p>
    <w:p w14:paraId="6F3D0DA6" w14:textId="37CD0A22" w:rsidR="00C52B80" w:rsidRDefault="00C52B80" w:rsidP="00C52B80">
      <w:pPr>
        <w:pStyle w:val="Paragraph"/>
      </w:pPr>
      <w:r>
        <w:t xml:space="preserve">1.3.4 </w:t>
      </w:r>
      <w:r w:rsidRPr="00C52B80">
        <w:t>For people with iron-deficiency anaemia having surgery, follow the recommendations on intravenous and oral iron in the NICE guideline on blood transfusion.</w:t>
      </w:r>
    </w:p>
    <w:p w14:paraId="5C534A61" w14:textId="67231419" w:rsidR="00FF0B65" w:rsidRDefault="00FF0B65" w:rsidP="00C52B80">
      <w:pPr>
        <w:pStyle w:val="Paragraph"/>
      </w:pPr>
      <w:r w:rsidRPr="00FF0B65">
        <w:t>Oral iron regimens</w:t>
      </w:r>
    </w:p>
    <w:p w14:paraId="14419038" w14:textId="333034B4" w:rsidR="00C52B80" w:rsidRDefault="00C52B80" w:rsidP="00C52B80">
      <w:pPr>
        <w:pStyle w:val="Paragraph"/>
      </w:pPr>
      <w:r>
        <w:t xml:space="preserve">1.3.5 </w:t>
      </w:r>
      <w:r w:rsidRPr="00C52B80">
        <w:t>Consider an alternate-day oral iron regimen for people who have side effects from taking oral iron every day.</w:t>
      </w:r>
    </w:p>
    <w:p w14:paraId="2F448037" w14:textId="0FCFF350" w:rsidR="00FF0B65" w:rsidRDefault="00FF0B65" w:rsidP="00C52B80">
      <w:pPr>
        <w:pStyle w:val="Paragraph"/>
      </w:pPr>
      <w:r w:rsidRPr="00FF0B65">
        <w:t>When to start oral iron supplementation</w:t>
      </w:r>
    </w:p>
    <w:p w14:paraId="69875D84" w14:textId="6D3E66D6" w:rsidR="00C52B80" w:rsidRDefault="00C52B80" w:rsidP="00C52B80">
      <w:pPr>
        <w:pStyle w:val="Paragraph"/>
      </w:pPr>
      <w:r>
        <w:t>1.3.6 Be aware that there was no evidence comparing different starting times for iron supplementation, so the committee made a recommendation for research.</w:t>
      </w:r>
    </w:p>
    <w:p w14:paraId="1C16CAA8" w14:textId="77AB1A06" w:rsidR="00FF0B65" w:rsidRDefault="00FF0B65" w:rsidP="00880CF2">
      <w:pPr>
        <w:pStyle w:val="Paragraph"/>
      </w:pPr>
      <w:r w:rsidRPr="00FF0B65">
        <w:t>Reducing the risk of venous thromboembolism</w:t>
      </w:r>
    </w:p>
    <w:p w14:paraId="6C63A157" w14:textId="7DC6D310" w:rsidR="00880CF2" w:rsidRDefault="00880CF2" w:rsidP="00880CF2">
      <w:pPr>
        <w:pStyle w:val="Paragraph"/>
      </w:pPr>
      <w:r>
        <w:t xml:space="preserve">1.3.8 </w:t>
      </w:r>
      <w:r w:rsidRPr="00880CF2">
        <w:t>Follow the recommendations on assessing and reducing the risk of venous thromboembolism for people having surgery in the NICE guideline on venous thromboembolism in over 16s.</w:t>
      </w:r>
    </w:p>
    <w:p w14:paraId="2DE3AD31" w14:textId="6D5B3752" w:rsidR="00FF0B65" w:rsidRDefault="00FF0B65" w:rsidP="00880CF2">
      <w:pPr>
        <w:pStyle w:val="Paragraph"/>
      </w:pPr>
      <w:r w:rsidRPr="00FF0B65">
        <w:t>Anticoagulation for people taking a vitamin K antagonist who need bridging therapy</w:t>
      </w:r>
    </w:p>
    <w:p w14:paraId="23C57788" w14:textId="734EF24F" w:rsidR="00C52B80" w:rsidRDefault="00880CF2" w:rsidP="00C52B80">
      <w:pPr>
        <w:pStyle w:val="Paragraph"/>
      </w:pPr>
      <w:r>
        <w:t xml:space="preserve">1.3.9 </w:t>
      </w:r>
      <w:r w:rsidRPr="00880CF2">
        <w:t xml:space="preserve">Be aware that there was no evidence comparing low molecular weight heparin with unfractionated heparin used as perioperative anticoagulant bridging therapy for </w:t>
      </w:r>
      <w:r w:rsidRPr="00880CF2">
        <w:lastRenderedPageBreak/>
        <w:t>people taking a vitamin K antagonist. The committee therefore made a recommendation for research.</w:t>
      </w:r>
    </w:p>
    <w:p w14:paraId="35D58FC4" w14:textId="77777777" w:rsidR="006E6A45" w:rsidRDefault="006E6A45" w:rsidP="006E6A45">
      <w:pPr>
        <w:pStyle w:val="Heading4"/>
      </w:pPr>
      <w:r>
        <w:t>Existing quality statement</w:t>
      </w:r>
    </w:p>
    <w:p w14:paraId="1F77110B" w14:textId="232C2A3A" w:rsidR="006E6A45" w:rsidRDefault="00546110" w:rsidP="00C52B80">
      <w:pPr>
        <w:pStyle w:val="Paragraph"/>
      </w:pPr>
      <w:r>
        <w:t xml:space="preserve">NICE’s quality standard on </w:t>
      </w:r>
      <w:hyperlink r:id="rId34" w:history="1">
        <w:r w:rsidRPr="00546110">
          <w:rPr>
            <w:rStyle w:val="Hyperlink"/>
          </w:rPr>
          <w:t>Blood transfusion</w:t>
        </w:r>
      </w:hyperlink>
      <w:r>
        <w:t xml:space="preserve"> (QS138)</w:t>
      </w:r>
    </w:p>
    <w:p w14:paraId="34F544DE" w14:textId="502F5CCD" w:rsidR="00546110" w:rsidRDefault="008A0332" w:rsidP="00C52B80">
      <w:pPr>
        <w:pStyle w:val="Paragraph"/>
      </w:pPr>
      <w:r>
        <w:t xml:space="preserve">Quality </w:t>
      </w:r>
      <w:r w:rsidR="00546110">
        <w:t>Statement 1: Iron supplementation</w:t>
      </w:r>
    </w:p>
    <w:p w14:paraId="1A0A84B9" w14:textId="19E624B8" w:rsidR="00546110" w:rsidRDefault="00546110" w:rsidP="00C52B80">
      <w:pPr>
        <w:pStyle w:val="Paragraph"/>
      </w:pPr>
      <w:bookmarkStart w:id="95" w:name="_Hlk209181002"/>
      <w:r w:rsidRPr="00546110">
        <w:t xml:space="preserve">People with iron-deficiency anaemia </w:t>
      </w:r>
      <w:bookmarkEnd w:id="95"/>
      <w:r w:rsidRPr="00546110">
        <w:t>who are having surgery receive iron supplementation before surgery.</w:t>
      </w:r>
    </w:p>
    <w:p w14:paraId="3627C885" w14:textId="674C1657" w:rsidR="008A0332" w:rsidRDefault="008A0332" w:rsidP="00C52B80">
      <w:pPr>
        <w:pStyle w:val="Paragraph"/>
      </w:pPr>
      <w:r>
        <w:t xml:space="preserve">NICE’s quality standard on </w:t>
      </w:r>
      <w:hyperlink r:id="rId35" w:history="1">
        <w:r w:rsidRPr="008A0332">
          <w:rPr>
            <w:rStyle w:val="Hyperlink"/>
          </w:rPr>
          <w:t>Venous thromboembolism in adults</w:t>
        </w:r>
      </w:hyperlink>
      <w:r>
        <w:t xml:space="preserve"> (QS201)</w:t>
      </w:r>
    </w:p>
    <w:p w14:paraId="0106AC7B" w14:textId="598CE4BC" w:rsidR="008A0332" w:rsidRDefault="008A0332" w:rsidP="00C52B80">
      <w:pPr>
        <w:pStyle w:val="Paragraph"/>
      </w:pPr>
      <w:r w:rsidRPr="008A0332">
        <w:t>Quality statement 1: Timing of pharmacological venous thromboembolism prophylaxis</w:t>
      </w:r>
    </w:p>
    <w:p w14:paraId="001EC6F9" w14:textId="63CAC264" w:rsidR="008A0332" w:rsidRDefault="008A0332" w:rsidP="00C52B80">
      <w:pPr>
        <w:pStyle w:val="Paragraph"/>
      </w:pPr>
      <w:r w:rsidRPr="008A0332">
        <w:t>People aged 16 and over who are in hospital and assessed as needing pharmacological venous thromboembolism (VTE) prophylaxis start it as soon as possible and within 14 hours of hospital admission.</w:t>
      </w:r>
    </w:p>
    <w:p w14:paraId="23B2F617" w14:textId="41DCC254" w:rsidR="007337DB" w:rsidRDefault="00C52B80" w:rsidP="00655B42">
      <w:pPr>
        <w:pStyle w:val="Heading4"/>
      </w:pPr>
      <w:r>
        <w:t>Current UK practice</w:t>
      </w:r>
    </w:p>
    <w:p w14:paraId="2BB95EF2" w14:textId="77777777" w:rsidR="006E6A45" w:rsidRDefault="006E6A45" w:rsidP="006E6A45">
      <w:pPr>
        <w:pStyle w:val="Paragraph"/>
      </w:pPr>
      <w:bookmarkStart w:id="96" w:name="_Hlk207287947"/>
      <w:r>
        <w:t xml:space="preserve">Data from the </w:t>
      </w:r>
      <w:hyperlink r:id="rId36" w:history="1">
        <w:r w:rsidRPr="00732111">
          <w:rPr>
            <w:rStyle w:val="Hyperlink"/>
          </w:rPr>
          <w:t>Perioperative Quality Improvement Programme (PQIP) Report 5</w:t>
        </w:r>
      </w:hyperlink>
      <w:r>
        <w:t xml:space="preserve"> (March 2023 to March 2025) showed that :</w:t>
      </w:r>
    </w:p>
    <w:p w14:paraId="017C23B0" w14:textId="22B5C673" w:rsidR="006E6A45" w:rsidRDefault="006E6A45" w:rsidP="006E6A45">
      <w:pPr>
        <w:pStyle w:val="Paragraph"/>
        <w:numPr>
          <w:ilvl w:val="0"/>
          <w:numId w:val="14"/>
        </w:numPr>
      </w:pPr>
      <w:r>
        <w:t xml:space="preserve">the proportion of patients presenting for surgery with moderate to severe anaemia (defined as last measured haemoglobin prior to surgery &lt;110g/L) decreased from 11.3% in 2016/18 to 7.4% in 2023/24. </w:t>
      </w:r>
    </w:p>
    <w:p w14:paraId="507B780D" w14:textId="176D54B9" w:rsidR="006E6A45" w:rsidRDefault="006E6A45" w:rsidP="00655B42">
      <w:pPr>
        <w:pStyle w:val="Paragraph"/>
        <w:numPr>
          <w:ilvl w:val="0"/>
          <w:numId w:val="14"/>
        </w:numPr>
      </w:pPr>
      <w:r>
        <w:t>67% of anaemic patients had no treatment for preoperative anaemia, including 31% of patients with severe anaemia</w:t>
      </w:r>
      <w:r w:rsidRPr="001E6BAA">
        <w:t xml:space="preserve"> </w:t>
      </w:r>
      <w:r>
        <w:t>in</w:t>
      </w:r>
      <w:r w:rsidRPr="001E6BAA">
        <w:t xml:space="preserve"> 2023/24 </w:t>
      </w:r>
    </w:p>
    <w:p w14:paraId="633B4990" w14:textId="5C7A076B" w:rsidR="001E6BAA" w:rsidRDefault="00677A74" w:rsidP="00655B42">
      <w:pPr>
        <w:pStyle w:val="Paragraph"/>
      </w:pPr>
      <w:r>
        <w:t>The</w:t>
      </w:r>
      <w:r w:rsidR="00655B42">
        <w:t xml:space="preserve"> </w:t>
      </w:r>
      <w:hyperlink r:id="rId37" w:history="1">
        <w:r w:rsidR="00655B42">
          <w:rPr>
            <w:rStyle w:val="Hyperlink"/>
          </w:rPr>
          <w:t>(GIRFT) Programme National Specialty Report on Anaesthesia and Perioperative Medicine</w:t>
        </w:r>
      </w:hyperlink>
      <w:r w:rsidR="00655B42">
        <w:t xml:space="preserve"> (</w:t>
      </w:r>
      <w:r w:rsidR="00655B42" w:rsidRPr="00655B42">
        <w:t xml:space="preserve">September 2021) </w:t>
      </w:r>
      <w:r w:rsidR="00555D5C">
        <w:t xml:space="preserve">identified </w:t>
      </w:r>
      <w:r w:rsidR="005F1D73" w:rsidRPr="005F1D73">
        <w:t>hospitals and specialist centres with anaesthetic services in 134 trusts</w:t>
      </w:r>
      <w:r w:rsidR="00555D5C">
        <w:t xml:space="preserve"> and carried out </w:t>
      </w:r>
      <w:r w:rsidR="00C43135">
        <w:t>visits</w:t>
      </w:r>
      <w:r w:rsidR="005660DF">
        <w:t xml:space="preserve">, </w:t>
      </w:r>
      <w:r w:rsidR="00F04570">
        <w:t xml:space="preserve">and sought </w:t>
      </w:r>
      <w:r w:rsidR="005660DF">
        <w:t xml:space="preserve">data packs </w:t>
      </w:r>
      <w:r w:rsidR="00C43135">
        <w:t>and questionnaire</w:t>
      </w:r>
      <w:r w:rsidR="00AA5033">
        <w:t xml:space="preserve"> responses</w:t>
      </w:r>
      <w:r w:rsidR="000D5EFB">
        <w:t xml:space="preserve"> to </w:t>
      </w:r>
      <w:r w:rsidR="00903435">
        <w:t>review</w:t>
      </w:r>
      <w:r w:rsidR="000D5EFB">
        <w:t xml:space="preserve"> </w:t>
      </w:r>
      <w:r w:rsidR="00DE0D55">
        <w:t>how trusts were performing</w:t>
      </w:r>
      <w:r w:rsidR="00C43135">
        <w:t xml:space="preserve">. </w:t>
      </w:r>
      <w:r w:rsidR="00F04570">
        <w:t>Analysis</w:t>
      </w:r>
      <w:r>
        <w:t xml:space="preserve"> from the report </w:t>
      </w:r>
      <w:r w:rsidR="00655B42" w:rsidRPr="00655B42">
        <w:t>showed that</w:t>
      </w:r>
      <w:r w:rsidR="001E6BAA">
        <w:t>:</w:t>
      </w:r>
    </w:p>
    <w:bookmarkEnd w:id="96"/>
    <w:p w14:paraId="34D1045A" w14:textId="45F1CF9F" w:rsidR="00655B42" w:rsidRDefault="00655B42" w:rsidP="00A546D0">
      <w:pPr>
        <w:pStyle w:val="Paragraph"/>
        <w:numPr>
          <w:ilvl w:val="0"/>
          <w:numId w:val="15"/>
        </w:numPr>
      </w:pPr>
      <w:r w:rsidRPr="00655B42">
        <w:t xml:space="preserve">92% of trusts were giving intravenous iron, but </w:t>
      </w:r>
      <w:r>
        <w:t>without</w:t>
      </w:r>
      <w:r w:rsidRPr="00655B42">
        <w:t xml:space="preserve"> consistency as to where this had been established </w:t>
      </w:r>
      <w:r>
        <w:t xml:space="preserve">(such as </w:t>
      </w:r>
      <w:r w:rsidRPr="00655B42">
        <w:t>within haematology departments, perioperative clinics or medical departments</w:t>
      </w:r>
      <w:r>
        <w:t>).</w:t>
      </w:r>
    </w:p>
    <w:p w14:paraId="309B6738" w14:textId="300E4974" w:rsidR="00EE748A" w:rsidRDefault="00EE748A" w:rsidP="00446F47">
      <w:pPr>
        <w:pStyle w:val="Paragraph"/>
        <w:numPr>
          <w:ilvl w:val="0"/>
          <w:numId w:val="15"/>
        </w:numPr>
      </w:pPr>
      <w:r>
        <w:t>there was acceptance of the need for preoperative oral iron treatment as the default option</w:t>
      </w:r>
      <w:r w:rsidR="00F34ABE">
        <w:t xml:space="preserve"> </w:t>
      </w:r>
      <w:r>
        <w:t xml:space="preserve">where there was no urgent requirement for surgery, </w:t>
      </w:r>
      <w:r w:rsidR="00446F47">
        <w:t xml:space="preserve">however </w:t>
      </w:r>
      <w:r>
        <w:lastRenderedPageBreak/>
        <w:t>many (60%) units referred non-urgent elective patients back to primary</w:t>
      </w:r>
      <w:r w:rsidR="00446F47">
        <w:t xml:space="preserve"> </w:t>
      </w:r>
      <w:r>
        <w:t>care for treatment, thereby passing responsibility back to the GP</w:t>
      </w:r>
    </w:p>
    <w:p w14:paraId="562A3B0C" w14:textId="54A5A110" w:rsidR="00F16B87" w:rsidRDefault="00F16B87" w:rsidP="009F0FC2">
      <w:pPr>
        <w:pStyle w:val="Paragraph"/>
      </w:pPr>
      <w:r>
        <w:t xml:space="preserve">Data </w:t>
      </w:r>
      <w:r w:rsidR="00084AF8">
        <w:t>from</w:t>
      </w:r>
      <w:r w:rsidR="00084AF8" w:rsidRPr="00084AF8">
        <w:t xml:space="preserve"> </w:t>
      </w:r>
      <w:r w:rsidR="00084AF8">
        <w:t xml:space="preserve">a </w:t>
      </w:r>
      <w:r w:rsidR="00084AF8" w:rsidRPr="00084AF8">
        <w:t>retrospective audit</w:t>
      </w:r>
      <w:r w:rsidR="00084AF8">
        <w:t xml:space="preserve"> of </w:t>
      </w:r>
      <w:hyperlink r:id="rId38" w:anchor="google_vignette" w:history="1">
        <w:r w:rsidR="00084AF8" w:rsidRPr="00084AF8">
          <w:rPr>
            <w:rStyle w:val="Hyperlink"/>
          </w:rPr>
          <w:t>Pre-operative Coagulation Screening in General Surgery</w:t>
        </w:r>
      </w:hyperlink>
      <w:r w:rsidR="00084AF8">
        <w:t xml:space="preserve"> </w:t>
      </w:r>
      <w:r w:rsidR="00FB7663">
        <w:t>in</w:t>
      </w:r>
      <w:r w:rsidR="00302DD3">
        <w:t xml:space="preserve"> </w:t>
      </w:r>
      <w:r w:rsidR="003B14B8">
        <w:t xml:space="preserve">148 postoperative patients in Northwick </w:t>
      </w:r>
      <w:r w:rsidR="00FB7663">
        <w:t>Park</w:t>
      </w:r>
      <w:r w:rsidR="003B14B8">
        <w:t xml:space="preserve"> Hospital </w:t>
      </w:r>
      <w:r w:rsidR="00E402FC">
        <w:t xml:space="preserve">in England </w:t>
      </w:r>
      <w:r w:rsidR="00F01920">
        <w:t xml:space="preserve">who presented to the </w:t>
      </w:r>
      <w:r w:rsidR="003718BC">
        <w:t>Surgical</w:t>
      </w:r>
      <w:r w:rsidR="00F01920">
        <w:t xml:space="preserve"> assessment Unit between April and May 2021</w:t>
      </w:r>
      <w:r w:rsidR="003718BC">
        <w:t xml:space="preserve"> </w:t>
      </w:r>
      <w:r w:rsidR="00F01920">
        <w:t xml:space="preserve">and September </w:t>
      </w:r>
      <w:r w:rsidR="003718BC">
        <w:t>and October 2021</w:t>
      </w:r>
      <w:r w:rsidR="009B015E" w:rsidRPr="009B015E">
        <w:t xml:space="preserve"> </w:t>
      </w:r>
      <w:r w:rsidR="009B015E">
        <w:t>examined a</w:t>
      </w:r>
      <w:r w:rsidR="009B015E" w:rsidRPr="009B015E">
        <w:t xml:space="preserve">ppropriate requests </w:t>
      </w:r>
      <w:r w:rsidR="009B015E">
        <w:t>(</w:t>
      </w:r>
      <w:r w:rsidR="009B015E" w:rsidRPr="009B015E">
        <w:t>those that were either not requested as no significant medical history or requested as clinically indicated</w:t>
      </w:r>
      <w:r w:rsidR="009B015E">
        <w:t>). The audit</w:t>
      </w:r>
      <w:r w:rsidR="002E497C">
        <w:t xml:space="preserve"> </w:t>
      </w:r>
      <w:r w:rsidR="003718BC">
        <w:t xml:space="preserve">showed that: </w:t>
      </w:r>
    </w:p>
    <w:p w14:paraId="2C2CB851" w14:textId="7BC9D504" w:rsidR="009E534E" w:rsidRDefault="009E534E" w:rsidP="00237E74">
      <w:pPr>
        <w:pStyle w:val="Paragraph"/>
        <w:numPr>
          <w:ilvl w:val="0"/>
          <w:numId w:val="20"/>
        </w:numPr>
      </w:pPr>
      <w:r>
        <w:t>19% of patients had appropriate requests (initial audit over a 6-week period between 1 April 2021 and 14 May 2021)</w:t>
      </w:r>
    </w:p>
    <w:p w14:paraId="78495160" w14:textId="1800F400" w:rsidR="00140BE1" w:rsidRDefault="00EC5545" w:rsidP="00237E74">
      <w:pPr>
        <w:pStyle w:val="Paragraph"/>
        <w:numPr>
          <w:ilvl w:val="0"/>
          <w:numId w:val="20"/>
        </w:numPr>
      </w:pPr>
      <w:r>
        <w:t xml:space="preserve">This </w:t>
      </w:r>
      <w:r w:rsidR="00C30A25">
        <w:t xml:space="preserve">increased to </w:t>
      </w:r>
      <w:r w:rsidR="009E534E">
        <w:t xml:space="preserve">56% of patients </w:t>
      </w:r>
      <w:r w:rsidR="00C30A25">
        <w:t>with</w:t>
      </w:r>
      <w:r w:rsidR="009E534E">
        <w:t xml:space="preserve"> appropriate </w:t>
      </w:r>
      <w:r w:rsidR="009E534E" w:rsidRPr="009E534E">
        <w:t>requests (</w:t>
      </w:r>
      <w:r w:rsidR="009E534E">
        <w:t>re-audit</w:t>
      </w:r>
      <w:r w:rsidR="009E534E" w:rsidRPr="009E534E">
        <w:t xml:space="preserve"> between </w:t>
      </w:r>
      <w:r w:rsidR="009E534E">
        <w:t>20</w:t>
      </w:r>
      <w:r w:rsidR="009E534E" w:rsidRPr="009E534E">
        <w:t xml:space="preserve"> </w:t>
      </w:r>
      <w:r w:rsidR="009E534E">
        <w:t>September</w:t>
      </w:r>
      <w:r w:rsidR="009E534E" w:rsidRPr="009E534E">
        <w:t xml:space="preserve"> 2021 and </w:t>
      </w:r>
      <w:r w:rsidR="009E534E">
        <w:t>7</w:t>
      </w:r>
      <w:r w:rsidR="009E534E" w:rsidRPr="009E534E">
        <w:t xml:space="preserve"> </w:t>
      </w:r>
      <w:r w:rsidR="009E534E">
        <w:t>October</w:t>
      </w:r>
      <w:r w:rsidR="009E534E" w:rsidRPr="009E534E">
        <w:t xml:space="preserve"> 2021)</w:t>
      </w:r>
    </w:p>
    <w:p w14:paraId="6BD2E4B3" w14:textId="06787F6C" w:rsidR="008C70CA" w:rsidRDefault="008C70CA" w:rsidP="009F0FC2">
      <w:pPr>
        <w:pStyle w:val="Paragraph"/>
      </w:pPr>
      <w:r>
        <w:t xml:space="preserve">Data from a </w:t>
      </w:r>
      <w:r w:rsidR="00163F81">
        <w:t xml:space="preserve">single centre review </w:t>
      </w:r>
      <w:r w:rsidR="002A4C61">
        <w:t xml:space="preserve">of </w:t>
      </w:r>
      <w:hyperlink r:id="rId39" w:history="1">
        <w:r w:rsidR="00163F81" w:rsidRPr="002A4C61">
          <w:rPr>
            <w:rStyle w:val="Hyperlink"/>
          </w:rPr>
          <w:t>Preoperative Indications for Coagulation Screening in the Elective Setting</w:t>
        </w:r>
      </w:hyperlink>
      <w:r w:rsidR="000B165A">
        <w:t xml:space="preserve"> </w:t>
      </w:r>
      <w:r w:rsidR="00756D77">
        <w:t xml:space="preserve">(2022) </w:t>
      </w:r>
      <w:r w:rsidR="000B165A">
        <w:t xml:space="preserve">in </w:t>
      </w:r>
      <w:r w:rsidR="00756D77">
        <w:t>64 patients undergoing elective procedures in a district general hospital</w:t>
      </w:r>
      <w:r w:rsidR="0019318B">
        <w:t xml:space="preserve"> showed that:</w:t>
      </w:r>
    </w:p>
    <w:p w14:paraId="135E56AF" w14:textId="739146EB" w:rsidR="00226F73" w:rsidRDefault="007059F2" w:rsidP="00237E74">
      <w:pPr>
        <w:pStyle w:val="Paragraph"/>
        <w:numPr>
          <w:ilvl w:val="0"/>
          <w:numId w:val="21"/>
        </w:numPr>
      </w:pPr>
      <w:r>
        <w:t xml:space="preserve">pre-operative coagulation </w:t>
      </w:r>
      <w:r w:rsidR="00226F73" w:rsidRPr="00226F73">
        <w:t xml:space="preserve">screening was </w:t>
      </w:r>
      <w:r w:rsidR="00226F73">
        <w:t xml:space="preserve">indicated </w:t>
      </w:r>
      <w:r w:rsidR="00226F73" w:rsidRPr="00226F73">
        <w:t xml:space="preserve">in 39.1% of </w:t>
      </w:r>
      <w:r w:rsidR="00DF62DE" w:rsidRPr="00226F73">
        <w:t>patients but</w:t>
      </w:r>
      <w:r w:rsidR="00226F73" w:rsidRPr="00226F73">
        <w:t xml:space="preserve"> performed in 3.1%</w:t>
      </w:r>
      <w:r w:rsidR="00DF62DE">
        <w:t xml:space="preserve"> (19</w:t>
      </w:r>
      <w:r w:rsidR="00DF62DE" w:rsidRPr="00DF62DE">
        <w:t xml:space="preserve"> patients had an ASA of 3 or 4, </w:t>
      </w:r>
      <w:r>
        <w:t>and</w:t>
      </w:r>
      <w:r w:rsidR="00DF62DE" w:rsidRPr="00DF62DE">
        <w:t xml:space="preserve"> </w:t>
      </w:r>
      <w:r>
        <w:t>1</w:t>
      </w:r>
      <w:r w:rsidR="00DF62DE" w:rsidRPr="00DF62DE">
        <w:t xml:space="preserve"> </w:t>
      </w:r>
      <w:r>
        <w:t xml:space="preserve">of these </w:t>
      </w:r>
      <w:r w:rsidR="00DF62DE" w:rsidRPr="00DF62DE">
        <w:t>patient</w:t>
      </w:r>
      <w:r>
        <w:t>s</w:t>
      </w:r>
      <w:r w:rsidR="00DF62DE" w:rsidRPr="00DF62DE">
        <w:t xml:space="preserve"> underwent a pre-operative coagulation screen. </w:t>
      </w:r>
      <w:r>
        <w:t>4</w:t>
      </w:r>
      <w:r w:rsidR="00DF62DE" w:rsidRPr="00DF62DE">
        <w:t xml:space="preserve"> patients were taking anticoagulation medication prior to their procedure, </w:t>
      </w:r>
      <w:r>
        <w:t>and 1</w:t>
      </w:r>
      <w:r w:rsidR="00DF62DE" w:rsidRPr="00DF62DE">
        <w:t xml:space="preserve"> </w:t>
      </w:r>
      <w:r>
        <w:t xml:space="preserve">of these </w:t>
      </w:r>
      <w:r w:rsidR="00DF62DE" w:rsidRPr="00DF62DE">
        <w:t>patient</w:t>
      </w:r>
      <w:r>
        <w:t>s</w:t>
      </w:r>
      <w:r w:rsidR="00DF62DE" w:rsidRPr="00DF62DE">
        <w:t xml:space="preserve"> underwent pre-operative screening</w:t>
      </w:r>
      <w:r>
        <w:t>)</w:t>
      </w:r>
    </w:p>
    <w:p w14:paraId="7506B957" w14:textId="77777777" w:rsidR="0056477A" w:rsidRDefault="0056477A" w:rsidP="0056477A">
      <w:pPr>
        <w:pStyle w:val="Paragraph"/>
      </w:pPr>
      <w:r w:rsidRPr="008D095C">
        <w:t xml:space="preserve">Data from </w:t>
      </w:r>
      <w:hyperlink r:id="rId40" w:history="1">
        <w:r w:rsidRPr="008D095C">
          <w:rPr>
            <w:rStyle w:val="Hyperlink"/>
          </w:rPr>
          <w:t>Knowing the Risk</w:t>
        </w:r>
      </w:hyperlink>
      <w:r w:rsidRPr="008D095C">
        <w:t>, a review of the perioperative care of surgical patients by the National Confidential Enquiry into Patient Outcome and Death (NCEPOD, 2011) of NHS hospital in England, Wales and Northern Ireland, and hospitals in the independent sector and public hospitals in the Isle of Man, Guernsey and Jersey showed that:</w:t>
      </w:r>
    </w:p>
    <w:p w14:paraId="1E013C6A" w14:textId="5EC58992" w:rsidR="0056477A" w:rsidRPr="00347B51" w:rsidRDefault="0023205F" w:rsidP="00237E74">
      <w:pPr>
        <w:pStyle w:val="Paragraph"/>
        <w:numPr>
          <w:ilvl w:val="0"/>
          <w:numId w:val="18"/>
        </w:numPr>
      </w:pPr>
      <w:r>
        <w:t>99.3</w:t>
      </w:r>
      <w:r w:rsidR="0056477A">
        <w:t xml:space="preserve">% of hospitals </w:t>
      </w:r>
      <w:r>
        <w:t>had a protocol for prophylaxis of venous thrombo</w:t>
      </w:r>
      <w:r w:rsidR="002964B0">
        <w:t>embolism</w:t>
      </w:r>
    </w:p>
    <w:p w14:paraId="4C0FE039" w14:textId="12339C1D" w:rsidR="00F62C6B" w:rsidRDefault="00F62C6B">
      <w:pPr>
        <w:rPr>
          <w:rFonts w:ascii="Arial" w:hAnsi="Arial"/>
        </w:rPr>
      </w:pPr>
      <w:r>
        <w:br w:type="page"/>
      </w:r>
    </w:p>
    <w:p w14:paraId="7D49EE46" w14:textId="286F618D" w:rsidR="00C52B80" w:rsidRDefault="00880CF2" w:rsidP="00C52B80">
      <w:pPr>
        <w:pStyle w:val="Numberedheading3"/>
      </w:pPr>
      <w:bookmarkStart w:id="97" w:name="_Hlk206770734"/>
      <w:r>
        <w:lastRenderedPageBreak/>
        <w:t xml:space="preserve">Nutritional assessment </w:t>
      </w:r>
    </w:p>
    <w:p w14:paraId="28D55203" w14:textId="2D0D940C" w:rsidR="00127A47" w:rsidRDefault="00C52B80" w:rsidP="00C52B80">
      <w:pPr>
        <w:pStyle w:val="Paragraph"/>
      </w:pPr>
      <w:r>
        <w:t xml:space="preserve">Stakeholders felt </w:t>
      </w:r>
      <w:r w:rsidR="0011765D">
        <w:t xml:space="preserve">that all </w:t>
      </w:r>
      <w:r w:rsidR="007C6F1A">
        <w:t>people</w:t>
      </w:r>
      <w:r w:rsidR="0011765D" w:rsidRPr="0011765D">
        <w:t xml:space="preserve"> scheduled for surgery should </w:t>
      </w:r>
      <w:r w:rsidR="001E1E81">
        <w:t xml:space="preserve">undergo </w:t>
      </w:r>
      <w:r w:rsidR="00CD331D">
        <w:t xml:space="preserve">nutritional </w:t>
      </w:r>
      <w:r w:rsidR="00CD331D" w:rsidRPr="0011765D">
        <w:t>assessment</w:t>
      </w:r>
      <w:r w:rsidR="001E1E81">
        <w:t xml:space="preserve">, </w:t>
      </w:r>
      <w:r w:rsidR="0011765D" w:rsidRPr="0011765D">
        <w:t xml:space="preserve">and if appropriate referred for nutrition support during the preoperative </w:t>
      </w:r>
      <w:r w:rsidR="0011765D">
        <w:t xml:space="preserve">and postoperative </w:t>
      </w:r>
      <w:r w:rsidR="0011765D" w:rsidRPr="0011765D">
        <w:t>period</w:t>
      </w:r>
      <w:r w:rsidR="0011765D">
        <w:t>s. S</w:t>
      </w:r>
      <w:r w:rsidR="0011765D" w:rsidRPr="0011765D">
        <w:t xml:space="preserve">upport </w:t>
      </w:r>
      <w:r w:rsidR="0011765D">
        <w:t xml:space="preserve">should extend </w:t>
      </w:r>
      <w:r w:rsidR="0011765D" w:rsidRPr="0011765D">
        <w:t>beyond oral nutrition supplementation and</w:t>
      </w:r>
      <w:r w:rsidR="0011765D">
        <w:t xml:space="preserve"> include </w:t>
      </w:r>
      <w:r w:rsidR="0011765D" w:rsidRPr="0011765D">
        <w:t>weight management and lifestyle support</w:t>
      </w:r>
      <w:r w:rsidR="0011765D">
        <w:t xml:space="preserve">. </w:t>
      </w:r>
      <w:r w:rsidR="00127A47">
        <w:t xml:space="preserve">This included </w:t>
      </w:r>
      <w:r w:rsidR="007C6F1A">
        <w:t>people</w:t>
      </w:r>
      <w:r w:rsidR="00127A47" w:rsidRPr="00127A47">
        <w:t xml:space="preserve"> identified to be living with severe and complex obesity</w:t>
      </w:r>
      <w:r w:rsidR="00127A47">
        <w:t xml:space="preserve">, and </w:t>
      </w:r>
      <w:r w:rsidR="00540A58">
        <w:t xml:space="preserve">it was suggested that </w:t>
      </w:r>
      <w:r w:rsidR="007C6F1A">
        <w:t>they</w:t>
      </w:r>
      <w:r w:rsidR="00127A47">
        <w:t xml:space="preserve"> </w:t>
      </w:r>
      <w:r w:rsidR="00540A58">
        <w:t>are</w:t>
      </w:r>
      <w:r w:rsidR="00127A47" w:rsidRPr="00127A47">
        <w:t xml:space="preserve"> offered treatment for this modifiable comorbidity prior to surgery</w:t>
      </w:r>
      <w:r w:rsidR="00127A47">
        <w:t>.</w:t>
      </w:r>
    </w:p>
    <w:p w14:paraId="18323D74" w14:textId="769FED2D" w:rsidR="0011765D" w:rsidRDefault="0011765D" w:rsidP="00C52B80">
      <w:pPr>
        <w:pStyle w:val="Paragraph"/>
      </w:pPr>
      <w:r>
        <w:t xml:space="preserve">Stakeholders felt that </w:t>
      </w:r>
      <w:r w:rsidRPr="0011765D">
        <w:t xml:space="preserve">early nutritional </w:t>
      </w:r>
      <w:r w:rsidR="001E1E81">
        <w:t>assessment</w:t>
      </w:r>
      <w:r>
        <w:t xml:space="preserve"> </w:t>
      </w:r>
      <w:r w:rsidRPr="0011765D">
        <w:t>using a validated screening tool</w:t>
      </w:r>
      <w:r w:rsidR="001E1E81">
        <w:t xml:space="preserve"> </w:t>
      </w:r>
      <w:r>
        <w:t>should be embedded into perioperative care</w:t>
      </w:r>
      <w:r w:rsidRPr="0011765D">
        <w:t xml:space="preserve"> at </w:t>
      </w:r>
      <w:r w:rsidR="00540A58">
        <w:t xml:space="preserve">the </w:t>
      </w:r>
      <w:r w:rsidRPr="0011765D">
        <w:t>point of surgical referral</w:t>
      </w:r>
      <w:r w:rsidR="001E1E81">
        <w:t xml:space="preserve">, with </w:t>
      </w:r>
      <w:r w:rsidRPr="0011765D">
        <w:t xml:space="preserve">timely referral to a dietitian or nutrition support team if </w:t>
      </w:r>
      <w:r w:rsidR="001E1E81">
        <w:t xml:space="preserve">the </w:t>
      </w:r>
      <w:r w:rsidR="007C6F1A">
        <w:t>person</w:t>
      </w:r>
      <w:r w:rsidR="001E1E81">
        <w:t xml:space="preserve"> is </w:t>
      </w:r>
      <w:r w:rsidR="007C6F1A">
        <w:t>considered</w:t>
      </w:r>
      <w:r w:rsidR="001E1E81">
        <w:t xml:space="preserve"> </w:t>
      </w:r>
      <w:r w:rsidRPr="0011765D">
        <w:t>at risk</w:t>
      </w:r>
      <w:r w:rsidR="00A8327B">
        <w:t xml:space="preserve"> for malnutrition</w:t>
      </w:r>
      <w:r w:rsidRPr="0011765D">
        <w:t>.</w:t>
      </w:r>
    </w:p>
    <w:p w14:paraId="75D7D5C4" w14:textId="77777777" w:rsidR="00C52B80" w:rsidRPr="00F45FBA" w:rsidRDefault="00C52B80" w:rsidP="00C52B80">
      <w:pPr>
        <w:pStyle w:val="Heading4"/>
      </w:pPr>
      <w:r>
        <w:t>S</w:t>
      </w:r>
      <w:r w:rsidRPr="00CD3D03">
        <w:t xml:space="preserve">elected recommendations </w:t>
      </w:r>
    </w:p>
    <w:p w14:paraId="7430C0A1" w14:textId="77777777" w:rsidR="00C52B80" w:rsidRPr="00D85A0E" w:rsidRDefault="00C52B80" w:rsidP="00C52B80">
      <w:pPr>
        <w:pStyle w:val="Paragraph"/>
      </w:pPr>
      <w:r w:rsidRPr="00D85A0E">
        <w:t xml:space="preserve">NICE’s guideline on </w:t>
      </w:r>
      <w:hyperlink r:id="rId41" w:history="1">
        <w:r w:rsidRPr="00D85A0E">
          <w:rPr>
            <w:rStyle w:val="Hyperlink"/>
          </w:rPr>
          <w:t>perioperative care in adults (NG180)</w:t>
        </w:r>
      </w:hyperlink>
      <w:r w:rsidRPr="00D85A0E">
        <w:t>:</w:t>
      </w:r>
    </w:p>
    <w:p w14:paraId="0D5AC738" w14:textId="43A1C467" w:rsidR="00C52B80" w:rsidRDefault="00C52B80" w:rsidP="00C52B80">
      <w:pPr>
        <w:pStyle w:val="Paragraph"/>
      </w:pPr>
      <w:r>
        <w:t>1.3.1</w:t>
      </w:r>
      <w:r w:rsidR="00880CF2">
        <w:t>0</w:t>
      </w:r>
      <w:r>
        <w:t xml:space="preserve"> </w:t>
      </w:r>
      <w:r w:rsidR="00880CF2" w:rsidRPr="00880CF2">
        <w:t>Offer preoperative nutritional screening to people having intermediate surgery or major or complex surgery.</w:t>
      </w:r>
    </w:p>
    <w:p w14:paraId="7CCACB4C" w14:textId="1BC67D1D" w:rsidR="00880CF2" w:rsidRDefault="00C52B80" w:rsidP="00880CF2">
      <w:pPr>
        <w:pStyle w:val="Paragraph"/>
      </w:pPr>
      <w:r>
        <w:t>1.3.</w:t>
      </w:r>
      <w:r w:rsidR="00880CF2">
        <w:t>11</w:t>
      </w:r>
      <w:r>
        <w:t xml:space="preserve"> </w:t>
      </w:r>
      <w:r w:rsidR="00880CF2">
        <w:t xml:space="preserve">Follow the recommendations in the </w:t>
      </w:r>
      <w:r w:rsidR="00880CF2" w:rsidRPr="00303EA1">
        <w:t>NICE guideline on nutrition support for adults</w:t>
      </w:r>
      <w:r w:rsidR="00880CF2">
        <w:t xml:space="preserve"> on:</w:t>
      </w:r>
    </w:p>
    <w:p w14:paraId="2A0B83B1" w14:textId="28F93DF6" w:rsidR="00880CF2" w:rsidRDefault="00880CF2" w:rsidP="00A546D0">
      <w:pPr>
        <w:pStyle w:val="Paragraph"/>
        <w:numPr>
          <w:ilvl w:val="0"/>
          <w:numId w:val="7"/>
        </w:numPr>
      </w:pPr>
      <w:r>
        <w:t>screening for malnutrition</w:t>
      </w:r>
    </w:p>
    <w:p w14:paraId="0FD41817" w14:textId="77777777" w:rsidR="00880CF2" w:rsidRDefault="00880CF2" w:rsidP="00A546D0">
      <w:pPr>
        <w:pStyle w:val="Paragraph"/>
        <w:numPr>
          <w:ilvl w:val="0"/>
          <w:numId w:val="7"/>
        </w:numPr>
      </w:pPr>
      <w:r>
        <w:t>indications for nutrition support</w:t>
      </w:r>
    </w:p>
    <w:p w14:paraId="6E996404" w14:textId="56B3D773" w:rsidR="00C52B80" w:rsidRDefault="00880CF2" w:rsidP="00A546D0">
      <w:pPr>
        <w:pStyle w:val="Paragraph"/>
        <w:numPr>
          <w:ilvl w:val="0"/>
          <w:numId w:val="7"/>
        </w:numPr>
      </w:pPr>
      <w:r>
        <w:t>what to give</w:t>
      </w:r>
    </w:p>
    <w:p w14:paraId="1092658F" w14:textId="5882201A" w:rsidR="002172EF" w:rsidRDefault="003E0093" w:rsidP="00C52B80">
      <w:pPr>
        <w:pStyle w:val="Heading4"/>
      </w:pPr>
      <w:r>
        <w:t>Existing quality statement</w:t>
      </w:r>
      <w:r w:rsidR="004C6E87">
        <w:t>s</w:t>
      </w:r>
    </w:p>
    <w:p w14:paraId="48C000B7" w14:textId="38D0C896" w:rsidR="0051629C" w:rsidRDefault="0051629C" w:rsidP="00435E21">
      <w:pPr>
        <w:pStyle w:val="Paragraph"/>
      </w:pPr>
      <w:r>
        <w:t xml:space="preserve">NICE’s </w:t>
      </w:r>
      <w:r w:rsidR="007E306A">
        <w:t>q</w:t>
      </w:r>
      <w:r>
        <w:t xml:space="preserve">uality </w:t>
      </w:r>
      <w:r w:rsidR="007E306A">
        <w:t>s</w:t>
      </w:r>
      <w:r>
        <w:t>tandard on</w:t>
      </w:r>
      <w:r w:rsidRPr="0051629C">
        <w:t xml:space="preserve"> </w:t>
      </w:r>
      <w:hyperlink r:id="rId42" w:history="1">
        <w:r w:rsidRPr="006F2029">
          <w:rPr>
            <w:rStyle w:val="Hyperlink"/>
          </w:rPr>
          <w:t>Nutrition support in adults</w:t>
        </w:r>
      </w:hyperlink>
      <w:r w:rsidR="007E306A">
        <w:t xml:space="preserve"> (QS24)</w:t>
      </w:r>
    </w:p>
    <w:p w14:paraId="61523A7E" w14:textId="77777777" w:rsidR="00EA5975" w:rsidRDefault="007A42EB" w:rsidP="00435E21">
      <w:pPr>
        <w:pStyle w:val="Paragraph"/>
      </w:pPr>
      <w:r>
        <w:t xml:space="preserve">Quality statement </w:t>
      </w:r>
      <w:r w:rsidR="00FF2595">
        <w:t>1</w:t>
      </w:r>
      <w:r>
        <w:t xml:space="preserve">: </w:t>
      </w:r>
      <w:r w:rsidR="00EA5975">
        <w:t>Screening for the risk of malnutrition</w:t>
      </w:r>
    </w:p>
    <w:p w14:paraId="4D69DACA" w14:textId="2335C84F" w:rsidR="00FF2595" w:rsidRDefault="00FF2595" w:rsidP="00435E21">
      <w:pPr>
        <w:pStyle w:val="Paragraph"/>
      </w:pPr>
      <w:r w:rsidRPr="00FF2595">
        <w:t>People in care settings are screened for the risk of malnutrition using a validated screening tool.</w:t>
      </w:r>
    </w:p>
    <w:p w14:paraId="3EEB770F" w14:textId="77777777" w:rsidR="002232E8" w:rsidRDefault="00170610" w:rsidP="00435E21">
      <w:pPr>
        <w:pStyle w:val="Paragraph"/>
      </w:pPr>
      <w:r>
        <w:t>Quality statement 2: Treatment</w:t>
      </w:r>
    </w:p>
    <w:p w14:paraId="5588D874" w14:textId="213665C8" w:rsidR="004C6E87" w:rsidRDefault="004C6E87" w:rsidP="00435E21">
      <w:pPr>
        <w:pStyle w:val="Paragraph"/>
      </w:pPr>
      <w:r w:rsidRPr="004C6E87">
        <w:t xml:space="preserve">People who are </w:t>
      </w:r>
      <w:bookmarkStart w:id="98" w:name="_Hlk209175950"/>
      <w:r w:rsidRPr="004C6E87">
        <w:t xml:space="preserve">malnourished or at risk of malnutrition </w:t>
      </w:r>
      <w:bookmarkEnd w:id="98"/>
      <w:r w:rsidRPr="004C6E87">
        <w:t>have a management care plan that aims to meet their complete nutritional requirements.</w:t>
      </w:r>
    </w:p>
    <w:p w14:paraId="5C04A8AF" w14:textId="5A9F508B" w:rsidR="004C6E87" w:rsidRDefault="004C6E87" w:rsidP="00435E21">
      <w:pPr>
        <w:pStyle w:val="Paragraph"/>
      </w:pPr>
      <w:r>
        <w:lastRenderedPageBreak/>
        <w:t xml:space="preserve">Quality statement 3: </w:t>
      </w:r>
      <w:r w:rsidRPr="004C6E87">
        <w:t>Documentation and communication of results and nutrition support goals</w:t>
      </w:r>
    </w:p>
    <w:p w14:paraId="6353EA76" w14:textId="4876E05C" w:rsidR="003E4025" w:rsidRDefault="003E4025" w:rsidP="00435E21">
      <w:pPr>
        <w:pStyle w:val="Paragraph"/>
      </w:pPr>
      <w:r w:rsidRPr="003E4025">
        <w:t>All people who are screened for the risk of malnutrition have their screening results and nutrition support goals (if applicable), documented and communicated in writing within and between settings.</w:t>
      </w:r>
    </w:p>
    <w:p w14:paraId="0D9EE1E5" w14:textId="7556734E" w:rsidR="00C52B80" w:rsidRDefault="00C52B80" w:rsidP="00C52B80">
      <w:pPr>
        <w:pStyle w:val="Heading4"/>
      </w:pPr>
      <w:r>
        <w:t>Current UK practice</w:t>
      </w:r>
    </w:p>
    <w:p w14:paraId="0959661B" w14:textId="2DF691F6" w:rsidR="007C3D5F" w:rsidRDefault="007C3D5F" w:rsidP="007C3D5F">
      <w:pPr>
        <w:pStyle w:val="Paragraph"/>
      </w:pPr>
      <w:bookmarkStart w:id="99" w:name="_Hlk207889608"/>
      <w:bookmarkEnd w:id="97"/>
      <w:r>
        <w:t xml:space="preserve">Data from </w:t>
      </w:r>
      <w:hyperlink r:id="rId43" w:history="1">
        <w:r w:rsidRPr="00160BEB">
          <w:rPr>
            <w:rStyle w:val="Hyperlink"/>
          </w:rPr>
          <w:t>Knowing the Risk</w:t>
        </w:r>
      </w:hyperlink>
      <w:r>
        <w:t xml:space="preserve"> (NCEPOD, 2011) showed that:</w:t>
      </w:r>
    </w:p>
    <w:p w14:paraId="45AECCFC" w14:textId="77777777" w:rsidR="007C3D5F" w:rsidRDefault="007C3D5F" w:rsidP="00237E74">
      <w:pPr>
        <w:pStyle w:val="Paragraph"/>
        <w:numPr>
          <w:ilvl w:val="0"/>
          <w:numId w:val="22"/>
        </w:numPr>
      </w:pPr>
      <w:r>
        <w:t xml:space="preserve">81.1% of hospitals had a policy for assessing nutritional status, and of these 72.2% included the involvement of a dietician in the policy </w:t>
      </w:r>
    </w:p>
    <w:p w14:paraId="558587A6" w14:textId="77777777" w:rsidR="007C3D5F" w:rsidRDefault="007C3D5F" w:rsidP="007C3D5F">
      <w:pPr>
        <w:pStyle w:val="Paragraph"/>
      </w:pPr>
      <w:r w:rsidRPr="007B4A5E">
        <w:t>Data from the British Association for Parenteral and Enteral Nutrition (BAPEN)</w:t>
      </w:r>
      <w:r>
        <w:t xml:space="preserve"> </w:t>
      </w:r>
      <w:hyperlink r:id="rId44" w:history="1">
        <w:r w:rsidRPr="00CF596A">
          <w:rPr>
            <w:rStyle w:val="Hyperlink"/>
          </w:rPr>
          <w:t>Nutritional Screening Surveys in Hospitals in the UK, 2007-2011</w:t>
        </w:r>
      </w:hyperlink>
      <w:r>
        <w:t>: A report based on the amalgamated data from four Nutritional Screening Week surveys undertaken by BAPEN in 2007, 2008, 2010 and 2011 (including 661 hospital centres in England, Scotland, Wales and Northern Ireland) showed that:</w:t>
      </w:r>
    </w:p>
    <w:p w14:paraId="7EB1BF72" w14:textId="77777777" w:rsidR="007C3D5F" w:rsidRDefault="007C3D5F" w:rsidP="00237E74">
      <w:pPr>
        <w:pStyle w:val="Paragraph"/>
        <w:numPr>
          <w:ilvl w:val="0"/>
          <w:numId w:val="19"/>
        </w:numPr>
      </w:pPr>
      <w:r>
        <w:t>the prevalence of patients admitted to UK hospitals with malnutrition was 29%. The prevalence was highest in England (30%), and lowest in Scotland (24%).</w:t>
      </w:r>
    </w:p>
    <w:p w14:paraId="040A77F2" w14:textId="77777777" w:rsidR="007C3D5F" w:rsidRDefault="007C3D5F" w:rsidP="00237E74">
      <w:pPr>
        <w:pStyle w:val="Paragraph"/>
        <w:numPr>
          <w:ilvl w:val="0"/>
          <w:numId w:val="19"/>
        </w:numPr>
      </w:pPr>
      <w:r>
        <w:t>86% of UK hospitals had a nutritional screening policy (2007-2011)</w:t>
      </w:r>
    </w:p>
    <w:p w14:paraId="20A83863" w14:textId="77777777" w:rsidR="007C3D5F" w:rsidRDefault="007C3D5F" w:rsidP="00237E74">
      <w:pPr>
        <w:pStyle w:val="Paragraph"/>
        <w:numPr>
          <w:ilvl w:val="0"/>
          <w:numId w:val="19"/>
        </w:numPr>
      </w:pPr>
      <w:r>
        <w:t>83% of UK hospitals conducted an audit of nutritional screening (2007-2011), with 70% of UK hospitals conducting the audit every year, 10% every 2 years, and 5% every 3 years of more (15% didn’t know or didn’t respond to the survey)</w:t>
      </w:r>
    </w:p>
    <w:p w14:paraId="7087EDA7" w14:textId="77777777" w:rsidR="007C3D5F" w:rsidRDefault="007C3D5F" w:rsidP="00237E74">
      <w:pPr>
        <w:pStyle w:val="Paragraph"/>
        <w:numPr>
          <w:ilvl w:val="0"/>
          <w:numId w:val="19"/>
        </w:numPr>
      </w:pPr>
      <w:r>
        <w:t>55% of UK hospitals had access to a nutrition support team (2007-2011)</w:t>
      </w:r>
    </w:p>
    <w:p w14:paraId="29B508A5" w14:textId="77777777" w:rsidR="007C3D5F" w:rsidRPr="00ED42E1" w:rsidRDefault="007C3D5F" w:rsidP="00237E74">
      <w:pPr>
        <w:pStyle w:val="ListParagraph"/>
        <w:numPr>
          <w:ilvl w:val="0"/>
          <w:numId w:val="19"/>
        </w:numPr>
        <w:rPr>
          <w:rFonts w:ascii="Arial" w:eastAsia="Times New Roman" w:hAnsi="Arial"/>
          <w:lang w:eastAsia="en-US"/>
        </w:rPr>
      </w:pPr>
      <w:r w:rsidRPr="00ED42E1">
        <w:rPr>
          <w:rFonts w:ascii="Arial" w:eastAsia="Times New Roman" w:hAnsi="Arial"/>
          <w:lang w:eastAsia="en-US"/>
        </w:rPr>
        <w:t xml:space="preserve">50% of UK hospitals conducted nutritional screening </w:t>
      </w:r>
      <w:r>
        <w:rPr>
          <w:rFonts w:ascii="Arial" w:eastAsia="Times New Roman" w:hAnsi="Arial"/>
          <w:lang w:eastAsia="en-US"/>
        </w:rPr>
        <w:t>in 76-100% of patients (2007-2011), and of these, 94% linked the nutritional screening results to a care plan</w:t>
      </w:r>
    </w:p>
    <w:p w14:paraId="211967DA" w14:textId="77777777" w:rsidR="007C3D5F" w:rsidRDefault="007C3D5F" w:rsidP="00237E74">
      <w:pPr>
        <w:pStyle w:val="Paragraph"/>
        <w:numPr>
          <w:ilvl w:val="0"/>
          <w:numId w:val="19"/>
        </w:numPr>
      </w:pPr>
      <w:r>
        <w:t xml:space="preserve"> the Malnutrition Universal Screening Tool (MUST) was used by 82% of UK hospitals in 2011, making it the most used screening tool</w:t>
      </w:r>
    </w:p>
    <w:p w14:paraId="66B1DBBA" w14:textId="77777777" w:rsidR="007C3D5F" w:rsidRDefault="007C3D5F" w:rsidP="00237E74">
      <w:pPr>
        <w:pStyle w:val="Paragraph"/>
        <w:numPr>
          <w:ilvl w:val="0"/>
          <w:numId w:val="19"/>
        </w:numPr>
      </w:pPr>
      <w:r>
        <w:t>15% of UK hospitals always included nutritional information in discharge communication, 31% usually did, 36% sometimes did, and 2% never did (6% didn’t know or didn’t respond to the survey, 2008-2011)</w:t>
      </w:r>
    </w:p>
    <w:p w14:paraId="0BE118EA" w14:textId="77777777" w:rsidR="007C3D5F" w:rsidRDefault="007C3D5F" w:rsidP="006C117F">
      <w:pPr>
        <w:pStyle w:val="Paragraph"/>
      </w:pPr>
    </w:p>
    <w:bookmarkEnd w:id="99"/>
    <w:p w14:paraId="0DF5299C" w14:textId="2FF95BEF" w:rsidR="00AC36D9" w:rsidRDefault="007C3D5F" w:rsidP="00AC36D9">
      <w:pPr>
        <w:pStyle w:val="Paragraph"/>
      </w:pPr>
      <w:r>
        <w:lastRenderedPageBreak/>
        <w:t>Data from surgical specialities, including p</w:t>
      </w:r>
      <w:r w:rsidR="00AC36D9">
        <w:t>olicy data from current and historic clinical commissioning group (CCG) hip and knee arthroplasty policies in England in June 2021 (</w:t>
      </w:r>
      <w:hyperlink r:id="rId45" w:history="1">
        <w:r w:rsidR="00AC36D9" w:rsidRPr="00AC36D9">
          <w:rPr>
            <w:rStyle w:val="Hyperlink"/>
          </w:rPr>
          <w:t>Access to hip and knee arthroplasty in England: commissioners’ policies for body mass index and smoking status and implications for integrated care systems</w:t>
        </w:r>
      </w:hyperlink>
      <w:r w:rsidR="00AC36D9">
        <w:t>) showed that of 72 policies in use:</w:t>
      </w:r>
    </w:p>
    <w:p w14:paraId="7411B743" w14:textId="64DDBF4D" w:rsidR="00AC36D9" w:rsidRDefault="00AC36D9" w:rsidP="00237E74">
      <w:pPr>
        <w:pStyle w:val="Paragraph"/>
        <w:numPr>
          <w:ilvl w:val="0"/>
          <w:numId w:val="28"/>
        </w:numPr>
      </w:pPr>
      <w:r>
        <w:t xml:space="preserve">86% (62/72) of policies that </w:t>
      </w:r>
      <w:r w:rsidRPr="00AC36D9">
        <w:t>alter</w:t>
      </w:r>
      <w:r>
        <w:t>ed</w:t>
      </w:r>
      <w:r w:rsidRPr="00AC36D9">
        <w:t>, limit</w:t>
      </w:r>
      <w:r>
        <w:t>ed</w:t>
      </w:r>
      <w:r w:rsidRPr="00AC36D9">
        <w:t xml:space="preserve"> or delay</w:t>
      </w:r>
      <w:r>
        <w:t>ed</w:t>
      </w:r>
      <w:r w:rsidRPr="00AC36D9">
        <w:t xml:space="preserve"> access to surgery for patients based on their identification as overweight or obese, </w:t>
      </w:r>
      <w:r>
        <w:t>specified a BMI threshold, ranging from 25 to 45kg/m</w:t>
      </w:r>
      <w:r w:rsidRPr="00AC36D9">
        <w:rPr>
          <w:vertAlign w:val="superscript"/>
        </w:rPr>
        <w:t>2</w:t>
      </w:r>
      <w:r>
        <w:t>. In some cases, this was used only to identify which patients would be offered advice on weight management</w:t>
      </w:r>
    </w:p>
    <w:p w14:paraId="030B6A7F" w14:textId="6B1CFC8A" w:rsidR="00AC36D9" w:rsidRDefault="00AC36D9" w:rsidP="00237E74">
      <w:pPr>
        <w:pStyle w:val="Paragraph"/>
        <w:numPr>
          <w:ilvl w:val="0"/>
          <w:numId w:val="28"/>
        </w:numPr>
      </w:pPr>
      <w:r>
        <w:t xml:space="preserve">37% (27/72) </w:t>
      </w:r>
      <w:r w:rsidR="00A11DE5">
        <w:t xml:space="preserve">of policies </w:t>
      </w:r>
      <w:r>
        <w:t>specified a BMI threshold for whether it was mandatory for a patient to engage with weight management or wait for extra time before surgery</w:t>
      </w:r>
    </w:p>
    <w:p w14:paraId="6C6C452F" w14:textId="512AC05B" w:rsidR="00AC36D9" w:rsidRDefault="00AC36D9" w:rsidP="00237E74">
      <w:pPr>
        <w:pStyle w:val="Paragraph"/>
        <w:numPr>
          <w:ilvl w:val="0"/>
          <w:numId w:val="28"/>
        </w:numPr>
      </w:pPr>
      <w:r w:rsidRPr="00AC36D9">
        <w:t xml:space="preserve">61% (44/72) </w:t>
      </w:r>
      <w:r w:rsidR="00A11DE5">
        <w:t xml:space="preserve">of policies </w:t>
      </w:r>
      <w:r w:rsidRPr="00AC36D9">
        <w:t>specified an extra waiting time requirement for accessing surgery. This extra waiting time was added</w:t>
      </w:r>
      <w:r>
        <w:t xml:space="preserve"> to the patient pathway before </w:t>
      </w:r>
      <w:r w:rsidR="00A11DE5">
        <w:t>the patient</w:t>
      </w:r>
      <w:r>
        <w:t xml:space="preserve"> could be listed for surgery (between 3 months and 1 year)</w:t>
      </w:r>
      <w:r w:rsidR="00A11DE5">
        <w:t xml:space="preserve">. Of these CCGs (12/44), patients must meet a particular BMI threshold before being able to access surgery rather than wait a specified extra time period. </w:t>
      </w:r>
    </w:p>
    <w:p w14:paraId="13D0EAB7" w14:textId="77777777" w:rsidR="00624810" w:rsidRPr="0067426A" w:rsidRDefault="00624810" w:rsidP="00624810">
      <w:pPr>
        <w:pStyle w:val="Numberedheading3"/>
      </w:pPr>
      <w:r w:rsidRPr="0067426A">
        <w:t>Issues for consideration</w:t>
      </w:r>
    </w:p>
    <w:p w14:paraId="50C937FC" w14:textId="77777777" w:rsidR="00A673EB" w:rsidRPr="00B413F2" w:rsidRDefault="00A673EB" w:rsidP="00A673EB">
      <w:pPr>
        <w:pStyle w:val="Paragraph"/>
        <w:rPr>
          <w:b/>
          <w:bCs/>
        </w:rPr>
      </w:pPr>
      <w:r w:rsidRPr="00A6218A">
        <w:rPr>
          <w:b/>
          <w:bCs/>
        </w:rPr>
        <w:t>For discussion:</w:t>
      </w:r>
    </w:p>
    <w:p w14:paraId="51A047FA" w14:textId="77777777" w:rsidR="001B657A" w:rsidRPr="001B657A" w:rsidRDefault="001B657A" w:rsidP="001B657A">
      <w:pPr>
        <w:pStyle w:val="Panelbullet1"/>
        <w:spacing w:after="240"/>
      </w:pPr>
      <w:r w:rsidRPr="001B657A">
        <w:t>What is the priority for improvement?</w:t>
      </w:r>
    </w:p>
    <w:p w14:paraId="473E0495" w14:textId="3AB16EFF" w:rsidR="001B657A" w:rsidRDefault="00EA5975" w:rsidP="00F1252A">
      <w:pPr>
        <w:pStyle w:val="Panelbullet1"/>
        <w:numPr>
          <w:ilvl w:val="0"/>
          <w:numId w:val="45"/>
        </w:numPr>
        <w:spacing w:after="240"/>
      </w:pPr>
      <w:r w:rsidRPr="00EA5975">
        <w:t>The recommendations on lifestyle and wellbeing, venous thromboembolism and nutritional support</w:t>
      </w:r>
      <w:r>
        <w:t xml:space="preserve">, </w:t>
      </w:r>
      <w:r w:rsidRPr="00EA5975">
        <w:t>link to corresponding NICE guidelines</w:t>
      </w:r>
      <w:r w:rsidR="00637450">
        <w:t>. As a result,</w:t>
      </w:r>
      <w:r>
        <w:t xml:space="preserve"> there are </w:t>
      </w:r>
      <w:r w:rsidR="001B657A" w:rsidRPr="00BB7A72">
        <w:t>existing quality statement</w:t>
      </w:r>
      <w:r w:rsidR="001B657A">
        <w:t>s</w:t>
      </w:r>
      <w:r w:rsidR="001B657A" w:rsidRPr="00BB7A72">
        <w:t xml:space="preserve"> </w:t>
      </w:r>
      <w:r w:rsidR="00637450">
        <w:t xml:space="preserve">covered </w:t>
      </w:r>
      <w:r w:rsidR="003B02FE">
        <w:t>in</w:t>
      </w:r>
      <w:r w:rsidR="00637450">
        <w:t xml:space="preserve"> other quality standards </w:t>
      </w:r>
      <w:r w:rsidR="00B95979">
        <w:t>for</w:t>
      </w:r>
      <w:r w:rsidR="001B657A" w:rsidRPr="00BB7A72">
        <w:t xml:space="preserve"> </w:t>
      </w:r>
      <w:r w:rsidR="001B657A">
        <w:t>the following suggested quality improvement areas:</w:t>
      </w:r>
    </w:p>
    <w:p w14:paraId="3142A1D2" w14:textId="77777777" w:rsidR="001B657A" w:rsidRDefault="001B657A" w:rsidP="00F1252A">
      <w:pPr>
        <w:pStyle w:val="Panelbullet1"/>
        <w:numPr>
          <w:ilvl w:val="1"/>
          <w:numId w:val="41"/>
        </w:numPr>
        <w:spacing w:after="240"/>
      </w:pPr>
      <w:r w:rsidRPr="00BB7A72">
        <w:t>treatment to stop smoking in hospital</w:t>
      </w:r>
    </w:p>
    <w:p w14:paraId="6446B906" w14:textId="59E4E84C" w:rsidR="001B657A" w:rsidRDefault="001B657A" w:rsidP="00F1252A">
      <w:pPr>
        <w:pStyle w:val="Panelbullet1"/>
        <w:numPr>
          <w:ilvl w:val="1"/>
          <w:numId w:val="41"/>
        </w:numPr>
        <w:spacing w:after="240"/>
      </w:pPr>
      <w:r>
        <w:t>i</w:t>
      </w:r>
      <w:r w:rsidRPr="00BB7A72">
        <w:t>ron supplementation</w:t>
      </w:r>
      <w:r w:rsidR="00A173E8" w:rsidRPr="00A173E8">
        <w:t xml:space="preserve"> </w:t>
      </w:r>
      <w:r w:rsidR="00A173E8">
        <w:t>for p</w:t>
      </w:r>
      <w:r w:rsidR="00A173E8" w:rsidRPr="00A173E8">
        <w:t>eople with iron-deficiency anaemia</w:t>
      </w:r>
    </w:p>
    <w:p w14:paraId="0834FCD1" w14:textId="77777777" w:rsidR="001B657A" w:rsidRDefault="001B657A" w:rsidP="00F1252A">
      <w:pPr>
        <w:pStyle w:val="Panelbullet1"/>
        <w:numPr>
          <w:ilvl w:val="1"/>
          <w:numId w:val="41"/>
        </w:numPr>
        <w:spacing w:after="240"/>
      </w:pPr>
      <w:r>
        <w:t>t</w:t>
      </w:r>
      <w:r w:rsidRPr="00BB7A72">
        <w:t>iming of pharmacological venous thromboembolism prophylaxis</w:t>
      </w:r>
    </w:p>
    <w:p w14:paraId="73D38509" w14:textId="77777777" w:rsidR="001B657A" w:rsidRDefault="001B657A" w:rsidP="00F1252A">
      <w:pPr>
        <w:pStyle w:val="Panelbullet1"/>
        <w:numPr>
          <w:ilvl w:val="1"/>
          <w:numId w:val="41"/>
        </w:numPr>
        <w:spacing w:after="240"/>
      </w:pPr>
      <w:r>
        <w:t>screening</w:t>
      </w:r>
    </w:p>
    <w:p w14:paraId="14A3A36E" w14:textId="77777777" w:rsidR="001B657A" w:rsidRDefault="001B657A" w:rsidP="00F1252A">
      <w:pPr>
        <w:pStyle w:val="Panelbullet1"/>
        <w:numPr>
          <w:ilvl w:val="1"/>
          <w:numId w:val="41"/>
        </w:numPr>
        <w:spacing w:after="240"/>
      </w:pPr>
      <w:r>
        <w:t xml:space="preserve">treatment for people who are </w:t>
      </w:r>
      <w:r w:rsidRPr="00BB7A72">
        <w:t>malnourished or at risk of malnutrition</w:t>
      </w:r>
    </w:p>
    <w:p w14:paraId="141B2D87" w14:textId="77E55A38" w:rsidR="001B657A" w:rsidRPr="001B657A" w:rsidRDefault="001B657A" w:rsidP="00F1252A">
      <w:pPr>
        <w:pStyle w:val="Panelbullet1"/>
        <w:numPr>
          <w:ilvl w:val="1"/>
          <w:numId w:val="41"/>
        </w:numPr>
        <w:spacing w:after="240"/>
      </w:pPr>
      <w:r>
        <w:t>d</w:t>
      </w:r>
      <w:r w:rsidRPr="00BB7A72">
        <w:t xml:space="preserve">ocumentation and communication of </w:t>
      </w:r>
      <w:r w:rsidR="00A173E8">
        <w:t xml:space="preserve">nutrition screening </w:t>
      </w:r>
      <w:r w:rsidRPr="00BB7A72">
        <w:t>results and nutrition support goals</w:t>
      </w:r>
    </w:p>
    <w:p w14:paraId="123EFA41" w14:textId="7C04CE85" w:rsidR="001B657A" w:rsidRDefault="00EA5975" w:rsidP="00F1252A">
      <w:pPr>
        <w:pStyle w:val="Panelbullet1"/>
        <w:numPr>
          <w:ilvl w:val="0"/>
          <w:numId w:val="46"/>
        </w:numPr>
        <w:spacing w:after="240"/>
      </w:pPr>
      <w:r>
        <w:t xml:space="preserve">There is a consider recommendation on oral iron regimens and consider recommendations </w:t>
      </w:r>
      <w:r w:rsidR="001B657A" w:rsidRPr="003E7CE0">
        <w:t xml:space="preserve">cannot be used to underpin a quality statement as </w:t>
      </w:r>
      <w:r>
        <w:t>they</w:t>
      </w:r>
      <w:r w:rsidR="001B657A" w:rsidRPr="003E7CE0">
        <w:t xml:space="preserve"> </w:t>
      </w:r>
      <w:r>
        <w:t>are</w:t>
      </w:r>
      <w:r w:rsidR="001B657A" w:rsidRPr="003E7CE0">
        <w:t xml:space="preserve"> not measurable. </w:t>
      </w:r>
    </w:p>
    <w:p w14:paraId="385B4E5B" w14:textId="68019F79" w:rsidR="00135319" w:rsidRDefault="00762B7E" w:rsidP="00F1252A">
      <w:pPr>
        <w:pStyle w:val="Panelbullet1"/>
        <w:numPr>
          <w:ilvl w:val="0"/>
          <w:numId w:val="46"/>
        </w:numPr>
        <w:spacing w:after="240"/>
      </w:pPr>
      <w:bookmarkStart w:id="100" w:name="_Hlk209701564"/>
      <w:r w:rsidRPr="00762B7E">
        <w:t xml:space="preserve">There </w:t>
      </w:r>
      <w:r>
        <w:t>are</w:t>
      </w:r>
      <w:r w:rsidRPr="00762B7E">
        <w:t xml:space="preserve"> </w:t>
      </w:r>
      <w:r w:rsidR="005151D9">
        <w:t xml:space="preserve">research </w:t>
      </w:r>
      <w:r w:rsidRPr="00762B7E">
        <w:t>recommendation</w:t>
      </w:r>
      <w:r>
        <w:t>s</w:t>
      </w:r>
      <w:r w:rsidRPr="00762B7E">
        <w:t xml:space="preserve"> for starting oral iron supplementation and anticoagulation for people taking a vitamin K antagonist who need bridging therapy</w:t>
      </w:r>
      <w:r w:rsidR="005151D9">
        <w:t xml:space="preserve">. Recommendations for research </w:t>
      </w:r>
      <w:r w:rsidRPr="00762B7E">
        <w:t xml:space="preserve">cannot be used to underpin a quality statement as </w:t>
      </w:r>
      <w:r>
        <w:t>they</w:t>
      </w:r>
      <w:r w:rsidRPr="00762B7E">
        <w:t xml:space="preserve"> </w:t>
      </w:r>
      <w:r>
        <w:t>are</w:t>
      </w:r>
      <w:r w:rsidRPr="00762B7E">
        <w:t xml:space="preserve"> not measurable</w:t>
      </w:r>
      <w:r w:rsidR="00135319">
        <w:t>.</w:t>
      </w:r>
    </w:p>
    <w:bookmarkEnd w:id="100"/>
    <w:p w14:paraId="0CF63477" w14:textId="17D3E800" w:rsidR="001B657A" w:rsidRPr="001B657A" w:rsidRDefault="001B657A" w:rsidP="001B657A">
      <w:pPr>
        <w:pStyle w:val="Panelbullet1"/>
        <w:spacing w:after="240"/>
      </w:pPr>
      <w:r w:rsidRPr="001B657A">
        <w:lastRenderedPageBreak/>
        <w:t>What is the key action that will lead to improvement?</w:t>
      </w:r>
    </w:p>
    <w:p w14:paraId="5C476942" w14:textId="77777777" w:rsidR="001B657A" w:rsidRPr="001B657A" w:rsidRDefault="001B657A" w:rsidP="001B657A">
      <w:pPr>
        <w:pStyle w:val="Panelbullet1"/>
        <w:spacing w:after="240"/>
      </w:pPr>
      <w:r w:rsidRPr="001B657A">
        <w:t>Could we focus on a specific audience or setting?</w:t>
      </w:r>
    </w:p>
    <w:p w14:paraId="3619B370" w14:textId="225BC42B" w:rsidR="001B657A" w:rsidRPr="001B657A" w:rsidRDefault="001B657A" w:rsidP="00F1252A">
      <w:pPr>
        <w:pStyle w:val="Panelbullet1"/>
        <w:numPr>
          <w:ilvl w:val="0"/>
          <w:numId w:val="47"/>
        </w:numPr>
      </w:pPr>
      <w:r w:rsidRPr="001B657A">
        <w:t>Some of the suggested improvement areas may only apply to elective surgery and not emergency surgery (such as the screening and treatment for iron-deficiency anaemia four weeks before surgery)</w:t>
      </w:r>
      <w:r w:rsidR="00A173E8">
        <w:t>.</w:t>
      </w:r>
    </w:p>
    <w:p w14:paraId="0B56C336" w14:textId="3242B549" w:rsidR="001B657A" w:rsidRPr="001B657A" w:rsidRDefault="001B657A" w:rsidP="001B657A">
      <w:pPr>
        <w:pStyle w:val="Panelbullet1"/>
        <w:spacing w:after="240"/>
      </w:pPr>
      <w:r w:rsidRPr="001B657A">
        <w:t>Can we develop a specific, measurable statement?</w:t>
      </w:r>
    </w:p>
    <w:p w14:paraId="4B772750" w14:textId="77777777" w:rsidR="00A673EB" w:rsidRPr="00A6218A" w:rsidRDefault="00A673EB" w:rsidP="00A673EB">
      <w:pPr>
        <w:pStyle w:val="Paragraph"/>
        <w:rPr>
          <w:b/>
          <w:bCs/>
        </w:rPr>
      </w:pPr>
      <w:r w:rsidRPr="00A6218A">
        <w:rPr>
          <w:b/>
          <w:bCs/>
        </w:rPr>
        <w:t>For decision:</w:t>
      </w:r>
    </w:p>
    <w:p w14:paraId="352C1695" w14:textId="77777777" w:rsidR="00A673EB" w:rsidRDefault="00A673EB" w:rsidP="00A673EB">
      <w:pPr>
        <w:pStyle w:val="Bulletleft1"/>
      </w:pPr>
      <w:r w:rsidRPr="00624810">
        <w:t>Should this area be prioritised for inclusion in the quality standard?</w:t>
      </w:r>
    </w:p>
    <w:p w14:paraId="4A406566" w14:textId="393BDFB9" w:rsidR="00C52B80" w:rsidRPr="00147837" w:rsidRDefault="00C52B80" w:rsidP="00147837">
      <w:pPr>
        <w:rPr>
          <w:rFonts w:ascii="Arial" w:hAnsi="Arial"/>
        </w:rPr>
      </w:pPr>
      <w:r>
        <w:br w:type="page"/>
      </w:r>
    </w:p>
    <w:p w14:paraId="3DB6DE33" w14:textId="3C6E8913" w:rsidR="00C52B80" w:rsidRPr="00433117" w:rsidRDefault="00C52B80" w:rsidP="00C52B80">
      <w:pPr>
        <w:pStyle w:val="Numberedheading2"/>
      </w:pPr>
      <w:bookmarkStart w:id="101" w:name="_Toc208847667"/>
      <w:r>
        <w:lastRenderedPageBreak/>
        <w:t>Intraoperative care</w:t>
      </w:r>
      <w:bookmarkEnd w:id="101"/>
    </w:p>
    <w:p w14:paraId="2B772B09" w14:textId="0442749A" w:rsidR="00C52B80" w:rsidRDefault="00301918" w:rsidP="00C52B80">
      <w:pPr>
        <w:pStyle w:val="Numberedheading3"/>
      </w:pPr>
      <w:bookmarkStart w:id="102" w:name="_Hlk206764766"/>
      <w:r>
        <w:t>M</w:t>
      </w:r>
      <w:r w:rsidR="00504ED1">
        <w:t>onitoring</w:t>
      </w:r>
    </w:p>
    <w:p w14:paraId="3AD650F3" w14:textId="6F18808E" w:rsidR="00C52B80" w:rsidRDefault="00433968" w:rsidP="00C52B80">
      <w:pPr>
        <w:pStyle w:val="Paragraph"/>
      </w:pPr>
      <w:r>
        <w:t>A stakeholder highlighted s</w:t>
      </w:r>
      <w:r w:rsidRPr="00433968">
        <w:t>tandards for</w:t>
      </w:r>
      <w:r>
        <w:t xml:space="preserve"> the</w:t>
      </w:r>
      <w:r w:rsidRPr="00433968">
        <w:t xml:space="preserve"> intr</w:t>
      </w:r>
      <w:r>
        <w:t>aoperative</w:t>
      </w:r>
      <w:r w:rsidRPr="00433968">
        <w:t xml:space="preserve"> and postoperative monitoring of patients as an area for quality improvement</w:t>
      </w:r>
      <w:r>
        <w:t>. T</w:t>
      </w:r>
      <w:r w:rsidR="00147837">
        <w:t>he u</w:t>
      </w:r>
      <w:r w:rsidR="00147837" w:rsidRPr="00147837">
        <w:t>se of cardiac output monitoring to guide fluid and inotropic therapies for patients during and after major surgery</w:t>
      </w:r>
      <w:r>
        <w:t xml:space="preserve"> was also </w:t>
      </w:r>
      <w:r w:rsidR="003647A6">
        <w:t>highlighted, as t</w:t>
      </w:r>
      <w:r w:rsidR="000D5B8F">
        <w:t>here is</w:t>
      </w:r>
      <w:r>
        <w:t xml:space="preserve"> current</w:t>
      </w:r>
      <w:r w:rsidRPr="00433968">
        <w:t xml:space="preserve"> uncertainty for anaesthetists regarding whether to use cardiac output monitoring and </w:t>
      </w:r>
      <w:r>
        <w:t xml:space="preserve">for </w:t>
      </w:r>
      <w:r w:rsidRPr="00433968">
        <w:t>which treatments</w:t>
      </w:r>
      <w:r w:rsidR="000D5B8F">
        <w:t xml:space="preserve"> it should be applied</w:t>
      </w:r>
      <w:r>
        <w:t xml:space="preserve">. </w:t>
      </w:r>
    </w:p>
    <w:p w14:paraId="37D4356B" w14:textId="78A495EE" w:rsidR="006A0054" w:rsidRDefault="00D72A39" w:rsidP="00C52B80">
      <w:pPr>
        <w:pStyle w:val="Paragraph"/>
      </w:pPr>
      <w:r>
        <w:t>A s</w:t>
      </w:r>
      <w:r w:rsidR="006A0054" w:rsidRPr="007E541D">
        <w:t xml:space="preserve">takeholder highlighted that the correct method of recording core temperature and introducing pre-warming for all surgical patients was not being implemented fully into clinical care. </w:t>
      </w:r>
    </w:p>
    <w:p w14:paraId="4AEC437B" w14:textId="77777777" w:rsidR="00C52B80" w:rsidRPr="00F45FBA" w:rsidRDefault="00C52B80" w:rsidP="00C52B80">
      <w:pPr>
        <w:pStyle w:val="Heading4"/>
      </w:pPr>
      <w:r>
        <w:t>S</w:t>
      </w:r>
      <w:r w:rsidRPr="00CD3D03">
        <w:t xml:space="preserve">elected recommendations </w:t>
      </w:r>
    </w:p>
    <w:p w14:paraId="64E5B147" w14:textId="77777777" w:rsidR="00C52B80" w:rsidRDefault="00C52B80" w:rsidP="00C52B80">
      <w:pPr>
        <w:pStyle w:val="Paragraph"/>
      </w:pPr>
      <w:r w:rsidRPr="00D85A0E">
        <w:t xml:space="preserve">NICE’s guideline on </w:t>
      </w:r>
      <w:hyperlink r:id="rId46" w:history="1">
        <w:r w:rsidRPr="00D85A0E">
          <w:rPr>
            <w:rStyle w:val="Hyperlink"/>
          </w:rPr>
          <w:t>perioperative care in adults (NG180)</w:t>
        </w:r>
      </w:hyperlink>
      <w:r w:rsidRPr="00D85A0E">
        <w:t>:</w:t>
      </w:r>
    </w:p>
    <w:p w14:paraId="64EF28C1" w14:textId="5A3D4069" w:rsidR="00B07A96" w:rsidRPr="00D85A0E" w:rsidRDefault="00B07A96" w:rsidP="00C52B80">
      <w:pPr>
        <w:pStyle w:val="Paragraph"/>
      </w:pPr>
      <w:r>
        <w:t xml:space="preserve">Cardiac output monitoring </w:t>
      </w:r>
    </w:p>
    <w:p w14:paraId="5ACEEAB3" w14:textId="5DAD4742" w:rsidR="00C52B80" w:rsidRDefault="00C52B80" w:rsidP="00C52B80">
      <w:pPr>
        <w:pStyle w:val="Paragraph"/>
      </w:pPr>
      <w:r>
        <w:t>1.</w:t>
      </w:r>
      <w:r w:rsidR="00504ED1">
        <w:t>4.5</w:t>
      </w:r>
      <w:r>
        <w:t xml:space="preserve"> </w:t>
      </w:r>
      <w:r w:rsidR="00504ED1" w:rsidRPr="00504ED1">
        <w:t>Consider cardiac output monitoring for people having major or complex surgery or high-risk surgery.</w:t>
      </w:r>
    </w:p>
    <w:p w14:paraId="17A3AF9D" w14:textId="09639E6D" w:rsidR="007D1AA8" w:rsidRDefault="007D1AA8" w:rsidP="00C52B80">
      <w:pPr>
        <w:pStyle w:val="Paragraph"/>
      </w:pPr>
      <w:r w:rsidRPr="007D1AA8">
        <w:t xml:space="preserve">NICE’s guideline on </w:t>
      </w:r>
      <w:hyperlink r:id="rId47" w:history="1">
        <w:r w:rsidRPr="007D1AA8">
          <w:rPr>
            <w:rStyle w:val="Hyperlink"/>
          </w:rPr>
          <w:t>Hypothermia: prevention and management in adults having surgery (CG65)</w:t>
        </w:r>
      </w:hyperlink>
      <w:r w:rsidR="00D141CB">
        <w:t>:</w:t>
      </w:r>
    </w:p>
    <w:p w14:paraId="7D586075" w14:textId="77777777" w:rsidR="00E507CD" w:rsidRDefault="00E507CD" w:rsidP="00E507CD">
      <w:pPr>
        <w:pStyle w:val="Paragraph"/>
      </w:pPr>
      <w:r>
        <w:t>Perioperative care</w:t>
      </w:r>
    </w:p>
    <w:p w14:paraId="7A4B17F7" w14:textId="26C56249" w:rsidR="00E507CD" w:rsidRDefault="00E507CD" w:rsidP="00E507CD">
      <w:pPr>
        <w:pStyle w:val="Paragraph"/>
      </w:pPr>
      <w:r>
        <w:t>1.1.4 When using any device to measure patient temperature, healthcare professionals should:</w:t>
      </w:r>
    </w:p>
    <w:p w14:paraId="39A9CC3B" w14:textId="77777777" w:rsidR="00E507CD" w:rsidRDefault="00E507CD" w:rsidP="00E507CD">
      <w:pPr>
        <w:pStyle w:val="Paragraph"/>
        <w:numPr>
          <w:ilvl w:val="0"/>
          <w:numId w:val="36"/>
        </w:numPr>
      </w:pPr>
      <w:r>
        <w:t>be aware of, and carry out, any adjustments that need to be made in order to obtain an estimate of core temperature from that recorded at the site of measurement; core temperature is the temperature of the blood and internal organs.</w:t>
      </w:r>
    </w:p>
    <w:p w14:paraId="214D4941" w14:textId="6E1C063B" w:rsidR="00E507CD" w:rsidRDefault="00E507CD" w:rsidP="00E507CD">
      <w:pPr>
        <w:pStyle w:val="Paragraph"/>
        <w:numPr>
          <w:ilvl w:val="0"/>
          <w:numId w:val="36"/>
        </w:numPr>
      </w:pPr>
      <w:r>
        <w:t xml:space="preserve">be aware of any such adjustments that are made automatically by the device used. </w:t>
      </w:r>
    </w:p>
    <w:p w14:paraId="7D491017" w14:textId="4AFB7025" w:rsidR="00E507CD" w:rsidRDefault="00E507CD" w:rsidP="00E507CD">
      <w:pPr>
        <w:pStyle w:val="Paragraph"/>
      </w:pPr>
      <w:r>
        <w:t>1.1.5 Measure the patient's temperature using a site that produces either:</w:t>
      </w:r>
    </w:p>
    <w:p w14:paraId="20D91240" w14:textId="77777777" w:rsidR="00E507CD" w:rsidRDefault="00E507CD" w:rsidP="00E507CD">
      <w:pPr>
        <w:pStyle w:val="Paragraph"/>
        <w:numPr>
          <w:ilvl w:val="0"/>
          <w:numId w:val="37"/>
        </w:numPr>
      </w:pPr>
      <w:r>
        <w:t>a direct measurement of core temperature, or</w:t>
      </w:r>
    </w:p>
    <w:p w14:paraId="40F2FBD2" w14:textId="77777777" w:rsidR="00E507CD" w:rsidRDefault="00E507CD" w:rsidP="00E507CD">
      <w:pPr>
        <w:pStyle w:val="Paragraph"/>
        <w:numPr>
          <w:ilvl w:val="0"/>
          <w:numId w:val="37"/>
        </w:numPr>
      </w:pPr>
      <w:r>
        <w:t xml:space="preserve">a direct estimate of core temperature that has been shown in research studies to be accurate to within 0.5ºC of direct measurement; a direct estimate of core </w:t>
      </w:r>
      <w:r>
        <w:lastRenderedPageBreak/>
        <w:t>temperature is the reading produced by a thermometer with no correction factors applied.</w:t>
      </w:r>
    </w:p>
    <w:p w14:paraId="371CCD43" w14:textId="77777777" w:rsidR="00E507CD" w:rsidRDefault="00E507CD" w:rsidP="00E507CD">
      <w:pPr>
        <w:pStyle w:val="Paragraph"/>
      </w:pPr>
      <w:r>
        <w:t>At the time of publication these sites are:</w:t>
      </w:r>
    </w:p>
    <w:p w14:paraId="1EB332FE" w14:textId="77777777" w:rsidR="00E507CD" w:rsidRDefault="00E507CD" w:rsidP="00E507CD">
      <w:pPr>
        <w:pStyle w:val="Paragraph"/>
        <w:numPr>
          <w:ilvl w:val="0"/>
          <w:numId w:val="38"/>
        </w:numPr>
      </w:pPr>
      <w:r>
        <w:t>pulmonary artery catheter</w:t>
      </w:r>
    </w:p>
    <w:p w14:paraId="3A930BA3" w14:textId="77777777" w:rsidR="00E507CD" w:rsidRDefault="00E507CD" w:rsidP="00E507CD">
      <w:pPr>
        <w:pStyle w:val="Paragraph"/>
        <w:numPr>
          <w:ilvl w:val="0"/>
          <w:numId w:val="38"/>
        </w:numPr>
      </w:pPr>
      <w:r>
        <w:t>distal oesophagus</w:t>
      </w:r>
    </w:p>
    <w:p w14:paraId="41CA77DA" w14:textId="77777777" w:rsidR="00E507CD" w:rsidRDefault="00E507CD" w:rsidP="00E507CD">
      <w:pPr>
        <w:pStyle w:val="Paragraph"/>
        <w:numPr>
          <w:ilvl w:val="0"/>
          <w:numId w:val="38"/>
        </w:numPr>
      </w:pPr>
      <w:r>
        <w:t>urinary bladder</w:t>
      </w:r>
    </w:p>
    <w:p w14:paraId="2883BB4B" w14:textId="77777777" w:rsidR="00E507CD" w:rsidRDefault="00E507CD" w:rsidP="00E507CD">
      <w:pPr>
        <w:pStyle w:val="Paragraph"/>
        <w:numPr>
          <w:ilvl w:val="0"/>
          <w:numId w:val="38"/>
        </w:numPr>
      </w:pPr>
      <w:r>
        <w:t>zero heat-flux (deep forehead)</w:t>
      </w:r>
    </w:p>
    <w:p w14:paraId="1BA8EC50" w14:textId="77777777" w:rsidR="00E507CD" w:rsidRDefault="00E507CD" w:rsidP="00E507CD">
      <w:pPr>
        <w:pStyle w:val="Paragraph"/>
        <w:numPr>
          <w:ilvl w:val="0"/>
          <w:numId w:val="38"/>
        </w:numPr>
      </w:pPr>
      <w:r>
        <w:t>sublingual; be aware of possible inaccuracies in core temperature estimation when using peripheral sites, such as sublingual or axilla, in patients whose core temperature is outside the normothermic range (36.5°C to 37.5°C).</w:t>
      </w:r>
    </w:p>
    <w:p w14:paraId="221BF905" w14:textId="77777777" w:rsidR="00E507CD" w:rsidRDefault="00E507CD" w:rsidP="00E507CD">
      <w:pPr>
        <w:pStyle w:val="Paragraph"/>
        <w:numPr>
          <w:ilvl w:val="0"/>
          <w:numId w:val="38"/>
        </w:numPr>
      </w:pPr>
      <w:r>
        <w:t>axilla; be aware of possible inaccuracies in core temperature estimation when using peripheral sites, such as sublingual or axilla, in patients whose core temperature is outside the normothermic range (36.5°C to 37.5°C).</w:t>
      </w:r>
    </w:p>
    <w:p w14:paraId="7C43751B" w14:textId="16317CDB" w:rsidR="00E507CD" w:rsidRDefault="00E507CD" w:rsidP="00E507CD">
      <w:pPr>
        <w:pStyle w:val="Paragraph"/>
        <w:numPr>
          <w:ilvl w:val="0"/>
          <w:numId w:val="38"/>
        </w:numPr>
      </w:pPr>
      <w:r>
        <w:t xml:space="preserve">rectum. </w:t>
      </w:r>
    </w:p>
    <w:p w14:paraId="17CB042E" w14:textId="38FD7270" w:rsidR="00E507CD" w:rsidRDefault="00E507CD" w:rsidP="00E507CD">
      <w:pPr>
        <w:pStyle w:val="Paragraph"/>
      </w:pPr>
      <w:r>
        <w:t xml:space="preserve">1.1.6 </w:t>
      </w:r>
      <w:r w:rsidRPr="00E507CD">
        <w:t>Do not use indirect estimates of core temperature in adults having surgery. An indirect estimate of core temperature is the reading produced by a thermometer after a correction factor has been applied. Examples include infrared tympanic, infrared temporal, infrared forehead and forehead strips.</w:t>
      </w:r>
    </w:p>
    <w:p w14:paraId="1E704BED" w14:textId="7243EE51" w:rsidR="00E507CD" w:rsidRDefault="00E507CD" w:rsidP="00E507CD">
      <w:pPr>
        <w:pStyle w:val="Paragraph"/>
      </w:pPr>
      <w:r>
        <w:t>Intraoperative phase</w:t>
      </w:r>
    </w:p>
    <w:p w14:paraId="5D39A72B" w14:textId="58DB6A10" w:rsidR="00E507CD" w:rsidRDefault="00E507CD" w:rsidP="00E507CD">
      <w:pPr>
        <w:pStyle w:val="Paragraph"/>
      </w:pPr>
      <w:r>
        <w:t xml:space="preserve">1.3.1 The patient's temperature should be measured and documented before induction of anaesthesia and then every 30 minutes until the end of surgery. </w:t>
      </w:r>
    </w:p>
    <w:p w14:paraId="37D62D78" w14:textId="0D85F355" w:rsidR="00E507CD" w:rsidRDefault="00E507CD" w:rsidP="00E507CD">
      <w:pPr>
        <w:pStyle w:val="Paragraph"/>
      </w:pPr>
      <w:r>
        <w:t xml:space="preserve">1.3.2 Standard critical incident reporting should be considered for any patient arriving at the theatre suite with a temperature below 36.0°C. </w:t>
      </w:r>
    </w:p>
    <w:p w14:paraId="470A47AA" w14:textId="794044F9" w:rsidR="00E507CD" w:rsidRDefault="00E507CD" w:rsidP="00E507CD">
      <w:pPr>
        <w:pStyle w:val="Paragraph"/>
      </w:pPr>
      <w:r>
        <w:t>1.3.3 Induction of anaesthesia should not begin unless the patient's temperature is 36.0°C or above (unless there is a need to expedite surgery because of clinical urgency, for example bleeding or critical limb ischaemia).</w:t>
      </w:r>
    </w:p>
    <w:p w14:paraId="21807B65" w14:textId="77777777" w:rsidR="00E507CD" w:rsidRDefault="00E507CD" w:rsidP="00E507CD">
      <w:pPr>
        <w:pStyle w:val="Paragraph"/>
      </w:pPr>
      <w:r>
        <w:t xml:space="preserve">1.3.4 In the theatre suite: </w:t>
      </w:r>
    </w:p>
    <w:p w14:paraId="64ABC074" w14:textId="0E2AF833" w:rsidR="00E507CD" w:rsidRDefault="00E507CD" w:rsidP="00E507CD">
      <w:pPr>
        <w:pStyle w:val="Paragraph"/>
        <w:numPr>
          <w:ilvl w:val="0"/>
          <w:numId w:val="39"/>
        </w:numPr>
      </w:pPr>
      <w:r>
        <w:t>the ambient temperature should be at least 21°C while the patient is exposed</w:t>
      </w:r>
    </w:p>
    <w:p w14:paraId="2752D271" w14:textId="77777777" w:rsidR="00E507CD" w:rsidRDefault="00E507CD" w:rsidP="00E507CD">
      <w:pPr>
        <w:pStyle w:val="Paragraph"/>
        <w:numPr>
          <w:ilvl w:val="0"/>
          <w:numId w:val="39"/>
        </w:numPr>
      </w:pPr>
      <w:r>
        <w:t>once active warming is established, the ambient temperature may be reduced to allow better working conditions</w:t>
      </w:r>
    </w:p>
    <w:p w14:paraId="41DB8379" w14:textId="3B4772A3" w:rsidR="00E507CD" w:rsidRDefault="00E507CD" w:rsidP="00747E20">
      <w:pPr>
        <w:pStyle w:val="Paragraph"/>
        <w:numPr>
          <w:ilvl w:val="0"/>
          <w:numId w:val="39"/>
        </w:numPr>
      </w:pPr>
      <w:r>
        <w:t xml:space="preserve">using equipment to cool the surgical team should also be considered. </w:t>
      </w:r>
    </w:p>
    <w:p w14:paraId="0F525E35" w14:textId="1C494288" w:rsidR="00E507CD" w:rsidRDefault="00E507CD" w:rsidP="00E507CD">
      <w:pPr>
        <w:pStyle w:val="Paragraph"/>
      </w:pPr>
      <w:r>
        <w:lastRenderedPageBreak/>
        <w:t>1.3.5 The patient should be adequately covered throughout the intraoperative phase to conserve heat, and exposed only during surgical preparation.</w:t>
      </w:r>
    </w:p>
    <w:p w14:paraId="28106362" w14:textId="24CB427C" w:rsidR="00E507CD" w:rsidRDefault="00E507CD" w:rsidP="00E507CD">
      <w:pPr>
        <w:pStyle w:val="Paragraph"/>
      </w:pPr>
      <w:r>
        <w:t>1.3.6 Intravenous fluids (500 ml or more) and blood products should be warmed to 37°C using a fluid warming device.</w:t>
      </w:r>
    </w:p>
    <w:p w14:paraId="24FD62E8" w14:textId="76D0AD15" w:rsidR="00E507CD" w:rsidRDefault="00E507CD" w:rsidP="00E507CD">
      <w:pPr>
        <w:pStyle w:val="Paragraph"/>
      </w:pPr>
      <w:r>
        <w:t>1.3.7 Warm patients intraoperatively from induction of anaesthesia, using a forced-air warming device, if they are:</w:t>
      </w:r>
    </w:p>
    <w:p w14:paraId="46DE91C7" w14:textId="77777777" w:rsidR="00E507CD" w:rsidRDefault="00E507CD" w:rsidP="00F1252A">
      <w:pPr>
        <w:pStyle w:val="Paragraph"/>
        <w:numPr>
          <w:ilvl w:val="0"/>
          <w:numId w:val="40"/>
        </w:numPr>
      </w:pPr>
      <w:r>
        <w:t>having anaesthesia for more than 30 minutes or</w:t>
      </w:r>
    </w:p>
    <w:p w14:paraId="75ECA7BE" w14:textId="77777777" w:rsidR="00E507CD" w:rsidRDefault="00E507CD" w:rsidP="00F1252A">
      <w:pPr>
        <w:pStyle w:val="Paragraph"/>
        <w:numPr>
          <w:ilvl w:val="0"/>
          <w:numId w:val="40"/>
        </w:numPr>
      </w:pPr>
      <w:r>
        <w:t>having anaesthesia for less than 30 minutes and are at higher risk of inadvertent perioperative hypothermia (see recommendation 1.2.1).</w:t>
      </w:r>
    </w:p>
    <w:p w14:paraId="0636EDD7" w14:textId="653E135B" w:rsidR="00E507CD" w:rsidRDefault="00E507CD" w:rsidP="00E507CD">
      <w:pPr>
        <w:pStyle w:val="Paragraph"/>
      </w:pPr>
      <w:r>
        <w:t xml:space="preserve">Consider a resistive heating mattress or resistive heating blanket if a forced-air warming device is unsuitable. </w:t>
      </w:r>
    </w:p>
    <w:p w14:paraId="1167C893" w14:textId="3634C537" w:rsidR="00E507CD" w:rsidRDefault="00E507CD" w:rsidP="00E507CD">
      <w:pPr>
        <w:pStyle w:val="Paragraph"/>
      </w:pPr>
      <w:r>
        <w:t>1.3.8 The temperature setting on forced-air warming devices should be set at maximum and then adjusted to maintain a patient temperature of at least 36.5°C.</w:t>
      </w:r>
    </w:p>
    <w:p w14:paraId="4BB84F34" w14:textId="5B93C6BE" w:rsidR="00E507CD" w:rsidRDefault="00E507CD" w:rsidP="00E507CD">
      <w:pPr>
        <w:pStyle w:val="Paragraph"/>
      </w:pPr>
      <w:r>
        <w:t xml:space="preserve">1.3.9 All irrigation fluids used intraoperatively should be warmed in a thermostatically controlled cabinet to a temperature of 38°C to 40°C. </w:t>
      </w:r>
    </w:p>
    <w:p w14:paraId="04624947" w14:textId="77777777" w:rsidR="00C52B80" w:rsidRDefault="00C52B80" w:rsidP="00C52B80">
      <w:pPr>
        <w:pStyle w:val="Heading4"/>
      </w:pPr>
      <w:r>
        <w:t>Current UK practice</w:t>
      </w:r>
    </w:p>
    <w:bookmarkEnd w:id="102"/>
    <w:p w14:paraId="0B75DBA9" w14:textId="6831561F" w:rsidR="00551A03" w:rsidRDefault="00551A03" w:rsidP="00C52B80">
      <w:pPr>
        <w:pStyle w:val="Paragraph"/>
      </w:pPr>
      <w:r>
        <w:t xml:space="preserve">Data from a 1-day observational </w:t>
      </w:r>
      <w:hyperlink r:id="rId48" w:history="1">
        <w:r w:rsidRPr="00551A03">
          <w:rPr>
            <w:rStyle w:val="Hyperlink"/>
          </w:rPr>
          <w:t>Audit of compliance with minimum monitoring standards during anaesthetic induction, maintenance, emergence, transfer and recovery</w:t>
        </w:r>
      </w:hyperlink>
      <w:r>
        <w:t xml:space="preserve"> (2022) on 39 surgical cases involving an anaesthetist within the main theatre complex at one UK hospital showed that:</w:t>
      </w:r>
    </w:p>
    <w:p w14:paraId="46EC248B" w14:textId="30CB7FDD" w:rsidR="00551A03" w:rsidRDefault="00551A03" w:rsidP="00237E74">
      <w:pPr>
        <w:pStyle w:val="Paragraph"/>
        <w:numPr>
          <w:ilvl w:val="0"/>
          <w:numId w:val="22"/>
        </w:numPr>
      </w:pPr>
      <w:r>
        <w:t xml:space="preserve">Among 34 general anaesthesia (GA) cases, </w:t>
      </w:r>
      <w:r w:rsidRPr="00551A03">
        <w:t>compliance with full basic monitoring was 94% at induction of anaesthesia, 100% during maintenance, and 41% at emergence. All patients lacked any monitoring during transfer from theatre to recovery</w:t>
      </w:r>
    </w:p>
    <w:p w14:paraId="34F079A0" w14:textId="09F50FF7" w:rsidR="00551A03" w:rsidRDefault="00551A03" w:rsidP="00237E74">
      <w:pPr>
        <w:pStyle w:val="Paragraph"/>
        <w:numPr>
          <w:ilvl w:val="0"/>
          <w:numId w:val="22"/>
        </w:numPr>
      </w:pPr>
      <w:r w:rsidRPr="00551A03">
        <w:t>When patients were in recovery, there was no ECG monitoring and, for those with an artificial airway still in situ (38% of GA cases), there was no capnography</w:t>
      </w:r>
    </w:p>
    <w:p w14:paraId="49118CC7" w14:textId="4BA132FA" w:rsidR="002B0305" w:rsidRDefault="00551A03" w:rsidP="00237E74">
      <w:pPr>
        <w:pStyle w:val="Paragraph"/>
        <w:numPr>
          <w:ilvl w:val="0"/>
          <w:numId w:val="22"/>
        </w:numPr>
      </w:pPr>
      <w:r>
        <w:t>50% of</w:t>
      </w:r>
      <w:r w:rsidRPr="00551A03">
        <w:t xml:space="preserve"> patients receiving GA were paralysed. Of these, only 82% had neuromuscular blockade monitoring. Although quantitative monitoring </w:t>
      </w:r>
      <w:r>
        <w:t>was</w:t>
      </w:r>
      <w:r w:rsidRPr="00551A03">
        <w:t xml:space="preserve"> available </w:t>
      </w:r>
      <w:r>
        <w:t xml:space="preserve">in the </w:t>
      </w:r>
      <w:r w:rsidRPr="00551A03">
        <w:t>hospital, this was not utilised for any patient. Temperature was not measured in 79% of cases exceeding 30 min.</w:t>
      </w:r>
    </w:p>
    <w:p w14:paraId="4477E2F3" w14:textId="3231770E" w:rsidR="002B0305" w:rsidRDefault="002B0305" w:rsidP="00FB119D">
      <w:pPr>
        <w:pStyle w:val="Paragraph"/>
      </w:pPr>
      <w:r>
        <w:t xml:space="preserve">Data from a </w:t>
      </w:r>
      <w:r w:rsidRPr="002B0305">
        <w:t xml:space="preserve">prospective audit of 50 emergency cases </w:t>
      </w:r>
      <w:r>
        <w:t xml:space="preserve">at one Hospital </w:t>
      </w:r>
      <w:r w:rsidR="00E85196">
        <w:t xml:space="preserve">in England </w:t>
      </w:r>
      <w:r w:rsidRPr="002B0305">
        <w:t xml:space="preserve">was conducted </w:t>
      </w:r>
      <w:r>
        <w:t xml:space="preserve">to determine the </w:t>
      </w:r>
      <w:hyperlink r:id="rId49" w:history="1">
        <w:r w:rsidRPr="002B0305">
          <w:rPr>
            <w:rStyle w:val="Hyperlink"/>
          </w:rPr>
          <w:t xml:space="preserve">Intra-operative temperature monitoring during </w:t>
        </w:r>
        <w:r w:rsidRPr="002B0305">
          <w:rPr>
            <w:rStyle w:val="Hyperlink"/>
          </w:rPr>
          <w:lastRenderedPageBreak/>
          <w:t>emergency surgery</w:t>
        </w:r>
      </w:hyperlink>
      <w:r>
        <w:t xml:space="preserve"> (2023) </w:t>
      </w:r>
      <w:r w:rsidRPr="002B0305">
        <w:t>against NICE standards.</w:t>
      </w:r>
      <w:r>
        <w:t xml:space="preserve"> </w:t>
      </w:r>
      <w:r w:rsidRPr="002B0305">
        <w:t xml:space="preserve">Anaesthetic charts were reviewed for the presence of temperature readings and </w:t>
      </w:r>
      <w:r>
        <w:t xml:space="preserve">the </w:t>
      </w:r>
      <w:r w:rsidRPr="002B0305">
        <w:t xml:space="preserve">use of </w:t>
      </w:r>
      <w:r>
        <w:t>forced-air warmers (FAWs).</w:t>
      </w:r>
      <w:r w:rsidR="00F7367E">
        <w:t xml:space="preserve"> A</w:t>
      </w:r>
      <w:r w:rsidR="00F7367E" w:rsidRPr="00F7367E">
        <w:t xml:space="preserve"> re-audit </w:t>
      </w:r>
      <w:r w:rsidR="00F7367E">
        <w:t xml:space="preserve">was conducted </w:t>
      </w:r>
      <w:r w:rsidR="00F7367E" w:rsidRPr="00F7367E">
        <w:t>at 16 months after interventions were implemented including ensuring the availability of measurement devices, reminder stickers on machines, emails to staff outlining NICE guidance and discussion at clinical governance meetings</w:t>
      </w:r>
      <w:r w:rsidR="00F7367E">
        <w:t xml:space="preserve">. </w:t>
      </w:r>
      <w:r>
        <w:t>The audit showed that:</w:t>
      </w:r>
    </w:p>
    <w:p w14:paraId="1A2509B2" w14:textId="335AF519" w:rsidR="002B0305" w:rsidRDefault="002B0305" w:rsidP="00237E74">
      <w:pPr>
        <w:pStyle w:val="Paragraph"/>
        <w:numPr>
          <w:ilvl w:val="0"/>
          <w:numId w:val="22"/>
        </w:numPr>
      </w:pPr>
      <w:r>
        <w:t>O</w:t>
      </w:r>
      <w:r w:rsidRPr="002B0305">
        <w:t>ver 50% of theatres did not have a nasal temperature probe available. Infrared thermometers were the most readily available device</w:t>
      </w:r>
      <w:r>
        <w:t xml:space="preserve"> (however these were</w:t>
      </w:r>
      <w:r w:rsidRPr="002B0305">
        <w:t xml:space="preserve"> not recommended by NICE</w:t>
      </w:r>
      <w:r>
        <w:t>)</w:t>
      </w:r>
    </w:p>
    <w:p w14:paraId="6D27154C" w14:textId="2ABD5B35" w:rsidR="002B0305" w:rsidRDefault="002B0305" w:rsidP="00237E74">
      <w:pPr>
        <w:pStyle w:val="Paragraph"/>
        <w:numPr>
          <w:ilvl w:val="0"/>
          <w:numId w:val="22"/>
        </w:numPr>
      </w:pPr>
      <w:r>
        <w:t xml:space="preserve">58% of theatres had </w:t>
      </w:r>
      <w:r w:rsidRPr="002B0305">
        <w:t xml:space="preserve">evidence of temperature monitoring </w:t>
      </w:r>
      <w:r>
        <w:t xml:space="preserve">(this figure </w:t>
      </w:r>
      <w:r w:rsidR="00F7367E">
        <w:t>increased</w:t>
      </w:r>
      <w:r w:rsidRPr="002B0305">
        <w:t xml:space="preserve"> </w:t>
      </w:r>
      <w:r>
        <w:t>to</w:t>
      </w:r>
      <w:r w:rsidRPr="002B0305">
        <w:t xml:space="preserve"> </w:t>
      </w:r>
      <w:r>
        <w:t>7</w:t>
      </w:r>
      <w:r w:rsidRPr="002B0305">
        <w:t>8%</w:t>
      </w:r>
      <w:r>
        <w:t xml:space="preserve"> at </w:t>
      </w:r>
      <w:r w:rsidR="00F7367E">
        <w:t xml:space="preserve">the re-audit) </w:t>
      </w:r>
    </w:p>
    <w:p w14:paraId="39F2915E" w14:textId="79B66CBE" w:rsidR="002B0305" w:rsidRDefault="002B0305" w:rsidP="00237E74">
      <w:pPr>
        <w:pStyle w:val="Paragraph"/>
        <w:numPr>
          <w:ilvl w:val="0"/>
          <w:numId w:val="22"/>
        </w:numPr>
      </w:pPr>
      <w:r>
        <w:t>The use of FAWs was 86%</w:t>
      </w:r>
      <w:r w:rsidR="00F7367E">
        <w:t xml:space="preserve"> (this figure increased to </w:t>
      </w:r>
      <w:r>
        <w:t>92% at the re-audit</w:t>
      </w:r>
      <w:r w:rsidR="00F7367E">
        <w:t xml:space="preserve">) </w:t>
      </w:r>
    </w:p>
    <w:p w14:paraId="28FAB236" w14:textId="20B684FA" w:rsidR="002B0305" w:rsidRDefault="00F7367E" w:rsidP="00237E74">
      <w:pPr>
        <w:pStyle w:val="Paragraph"/>
        <w:numPr>
          <w:ilvl w:val="0"/>
          <w:numId w:val="22"/>
        </w:numPr>
      </w:pPr>
      <w:r>
        <w:t xml:space="preserve">No cases </w:t>
      </w:r>
      <w:r w:rsidRPr="00F7367E">
        <w:t>had a temperature reading every 30 min</w:t>
      </w:r>
      <w:r>
        <w:t xml:space="preserve"> (this figure increased to 30% at the re-audit)</w:t>
      </w:r>
    </w:p>
    <w:p w14:paraId="735EDECE" w14:textId="75DB5FDF" w:rsidR="00E85196" w:rsidRDefault="00E85196" w:rsidP="00E85196">
      <w:pPr>
        <w:pStyle w:val="Paragraph"/>
      </w:pPr>
      <w:r>
        <w:t xml:space="preserve">Data from the monthly surgical site infection audit at another Hospital in England, which included a </w:t>
      </w:r>
      <w:r w:rsidRPr="00E85196">
        <w:t xml:space="preserve">sample of anaesthetic records from </w:t>
      </w:r>
      <w:r>
        <w:t xml:space="preserve">36 </w:t>
      </w:r>
      <w:r w:rsidRPr="00E85196">
        <w:t>patients undergoing elective and emergency surgery in April 2021 were reviewed in recovery and documented vital signs and surgical timings were taken from Cerner medical records.</w:t>
      </w:r>
      <w:r>
        <w:t xml:space="preserve"> The audit (</w:t>
      </w:r>
      <w:hyperlink r:id="rId50" w:history="1">
        <w:r w:rsidRPr="00E85196">
          <w:rPr>
            <w:rStyle w:val="Hyperlink"/>
          </w:rPr>
          <w:t>The surgical patient who came in from the cold. Reducing hypothermia in the post-anaesthetic care unit</w:t>
        </w:r>
      </w:hyperlink>
      <w:r>
        <w:t xml:space="preserve">) showed that: </w:t>
      </w:r>
    </w:p>
    <w:p w14:paraId="0A24DC8E" w14:textId="285420C7" w:rsidR="00E85196" w:rsidRDefault="00E85196" w:rsidP="00237E74">
      <w:pPr>
        <w:pStyle w:val="Paragraph"/>
        <w:numPr>
          <w:ilvl w:val="0"/>
          <w:numId w:val="22"/>
        </w:numPr>
      </w:pPr>
      <w:r>
        <w:t xml:space="preserve">19% </w:t>
      </w:r>
      <w:r w:rsidR="003C55CB">
        <w:t xml:space="preserve">of patients </w:t>
      </w:r>
      <w:r>
        <w:t>(7/36) h</w:t>
      </w:r>
      <w:r w:rsidRPr="00E85196">
        <w:t>ad a temperature documented on their anaesthetic chart.</w:t>
      </w:r>
    </w:p>
    <w:p w14:paraId="59624D47" w14:textId="2FAA1EA8" w:rsidR="00E85196" w:rsidRDefault="003C55CB" w:rsidP="00237E74">
      <w:pPr>
        <w:pStyle w:val="Paragraph"/>
        <w:numPr>
          <w:ilvl w:val="0"/>
          <w:numId w:val="22"/>
        </w:numPr>
      </w:pPr>
      <w:r>
        <w:t xml:space="preserve">42% of </w:t>
      </w:r>
      <w:r w:rsidRPr="003C55CB">
        <w:t>patients (</w:t>
      </w:r>
      <w:r>
        <w:t>15/36</w:t>
      </w:r>
      <w:r w:rsidRPr="003C55CB">
        <w:t>) arrived in recovery with a temperature &lt; 36°C, of these over half (8/15) required active warming initiated in recovery.</w:t>
      </w:r>
    </w:p>
    <w:p w14:paraId="08725522" w14:textId="79E8A022" w:rsidR="00E85196" w:rsidRDefault="003C55CB" w:rsidP="00237E74">
      <w:pPr>
        <w:pStyle w:val="Paragraph"/>
        <w:numPr>
          <w:ilvl w:val="0"/>
          <w:numId w:val="22"/>
        </w:numPr>
      </w:pPr>
      <w:r w:rsidRPr="003C55CB">
        <w:t>All seven patients who had a temperature documented intra-operatively arrived in the post-anaesthetic care unit with temperature &gt; 36°C. All patients received &gt; 500 ml of intravenous fluids; however, only eight (22%) had their fluids warmed</w:t>
      </w:r>
    </w:p>
    <w:p w14:paraId="76F346C8" w14:textId="30C0AAFB" w:rsidR="003C55CB" w:rsidRDefault="003C55CB" w:rsidP="00237E74">
      <w:pPr>
        <w:pStyle w:val="Paragraph"/>
        <w:numPr>
          <w:ilvl w:val="0"/>
          <w:numId w:val="22"/>
        </w:numPr>
      </w:pPr>
      <w:r w:rsidRPr="003C55CB">
        <w:t>75%</w:t>
      </w:r>
      <w:r>
        <w:t xml:space="preserve"> of patients (27/36)</w:t>
      </w:r>
      <w:r w:rsidRPr="003C55CB">
        <w:t xml:space="preserve"> had a forced-air warmer used intra-operatively.</w:t>
      </w:r>
    </w:p>
    <w:p w14:paraId="06259C81" w14:textId="009E0424" w:rsidR="00F45166" w:rsidRPr="00551A03" w:rsidRDefault="00F45166" w:rsidP="002B0305">
      <w:pPr>
        <w:pStyle w:val="Paragraph"/>
        <w:ind w:left="3247"/>
      </w:pPr>
      <w:r>
        <w:br w:type="page"/>
      </w:r>
    </w:p>
    <w:p w14:paraId="0F3D1363" w14:textId="1F5B7759" w:rsidR="00504ED1" w:rsidRDefault="00504ED1" w:rsidP="00504ED1">
      <w:pPr>
        <w:pStyle w:val="Numberedheading3"/>
      </w:pPr>
      <w:r>
        <w:lastRenderedPageBreak/>
        <w:t>Surgical safety checklists</w:t>
      </w:r>
    </w:p>
    <w:p w14:paraId="351D7636" w14:textId="4AECAD85" w:rsidR="00504ED1" w:rsidRDefault="000D5B8F" w:rsidP="000D5B8F">
      <w:pPr>
        <w:pStyle w:val="Paragraph"/>
      </w:pPr>
      <w:r>
        <w:t>A s</w:t>
      </w:r>
      <w:r w:rsidR="00504ED1">
        <w:t xml:space="preserve">takeholder </w:t>
      </w:r>
      <w:r>
        <w:t xml:space="preserve">highlighted the </w:t>
      </w:r>
      <w:r w:rsidR="00EA721E">
        <w:t>World Health organization (</w:t>
      </w:r>
      <w:bookmarkStart w:id="103" w:name="_Hlk206772870"/>
      <w:r w:rsidRPr="000D5B8F">
        <w:t>WHO</w:t>
      </w:r>
      <w:r w:rsidR="00EA721E">
        <w:t>)</w:t>
      </w:r>
      <w:r w:rsidRPr="000D5B8F">
        <w:t xml:space="preserve"> S</w:t>
      </w:r>
      <w:r w:rsidR="00EA721E">
        <w:t xml:space="preserve">urgical Safety </w:t>
      </w:r>
      <w:r w:rsidRPr="000D5B8F">
        <w:t>Checklist</w:t>
      </w:r>
      <w:bookmarkEnd w:id="103"/>
      <w:r w:rsidR="00EA721E">
        <w:t xml:space="preserve">, </w:t>
      </w:r>
      <w:r w:rsidRPr="000D5B8F">
        <w:t xml:space="preserve">including </w:t>
      </w:r>
      <w:r>
        <w:t>t</w:t>
      </w:r>
      <w:r w:rsidRPr="000D5B8F">
        <w:t>eam brief and debrief</w:t>
      </w:r>
      <w:r>
        <w:t xml:space="preserve"> as an area of quality improvement. </w:t>
      </w:r>
      <w:r w:rsidR="00EA721E">
        <w:t xml:space="preserve">The </w:t>
      </w:r>
      <w:r w:rsidR="00EA721E" w:rsidRPr="00EA721E">
        <w:t>WHO</w:t>
      </w:r>
      <w:r w:rsidR="00EA721E">
        <w:t xml:space="preserve"> </w:t>
      </w:r>
      <w:r w:rsidR="00EA721E" w:rsidRPr="00EA721E">
        <w:t xml:space="preserve">Surgical Safety Checklist </w:t>
      </w:r>
      <w:r>
        <w:t>is a widely used tool by surgical teams to reduce avoidable errors and complications before, during, and after surgery</w:t>
      </w:r>
      <w:r w:rsidR="00EA721E">
        <w:t>.</w:t>
      </w:r>
      <w:r>
        <w:t xml:space="preserve"> </w:t>
      </w:r>
      <w:r w:rsidR="00D02CC1">
        <w:t>However,</w:t>
      </w:r>
      <w:r>
        <w:t xml:space="preserve"> </w:t>
      </w:r>
      <w:r w:rsidR="00EA721E">
        <w:t xml:space="preserve">it was noted that </w:t>
      </w:r>
      <w:r>
        <w:t xml:space="preserve">there </w:t>
      </w:r>
      <w:r w:rsidR="00D32187">
        <w:t>is</w:t>
      </w:r>
      <w:r>
        <w:t xml:space="preserve"> </w:t>
      </w:r>
      <w:r w:rsidR="00EA721E">
        <w:t>variability</w:t>
      </w:r>
      <w:r>
        <w:t xml:space="preserve"> in practices and documentation</w:t>
      </w:r>
      <w:r w:rsidR="00EA721E">
        <w:t xml:space="preserve">, and </w:t>
      </w:r>
      <w:r>
        <w:t>in</w:t>
      </w:r>
      <w:r w:rsidRPr="000D5B8F">
        <w:t xml:space="preserve"> attitudes towards the </w:t>
      </w:r>
      <w:r w:rsidR="00EA721E">
        <w:t xml:space="preserve">checklist. </w:t>
      </w:r>
      <w:r>
        <w:t xml:space="preserve"> </w:t>
      </w:r>
    </w:p>
    <w:p w14:paraId="464CC6C4" w14:textId="77777777" w:rsidR="00504ED1" w:rsidRPr="00F45FBA" w:rsidRDefault="00504ED1" w:rsidP="00504ED1">
      <w:pPr>
        <w:pStyle w:val="Heading4"/>
      </w:pPr>
      <w:r>
        <w:t>S</w:t>
      </w:r>
      <w:r w:rsidRPr="00CD3D03">
        <w:t xml:space="preserve">elected recommendations </w:t>
      </w:r>
    </w:p>
    <w:p w14:paraId="0A721C2E" w14:textId="77777777" w:rsidR="00504ED1" w:rsidRDefault="00504ED1" w:rsidP="00504ED1">
      <w:pPr>
        <w:pStyle w:val="Paragraph"/>
      </w:pPr>
      <w:r w:rsidRPr="00D85A0E">
        <w:t xml:space="preserve">NICE’s guideline on </w:t>
      </w:r>
      <w:hyperlink r:id="rId51" w:history="1">
        <w:r w:rsidRPr="00D85A0E">
          <w:rPr>
            <w:rStyle w:val="Hyperlink"/>
          </w:rPr>
          <w:t>perioperative care in adults (NG180)</w:t>
        </w:r>
      </w:hyperlink>
      <w:r w:rsidRPr="00D85A0E">
        <w:t>:</w:t>
      </w:r>
    </w:p>
    <w:p w14:paraId="0554B2DC" w14:textId="6A479BB9" w:rsidR="00B07A96" w:rsidRPr="00D85A0E" w:rsidRDefault="00B07A96" w:rsidP="00504ED1">
      <w:pPr>
        <w:pStyle w:val="Paragraph"/>
      </w:pPr>
      <w:r>
        <w:t>Surgical safety checklists</w:t>
      </w:r>
    </w:p>
    <w:p w14:paraId="56AFD56B" w14:textId="53FCD0D1" w:rsidR="00504ED1" w:rsidRDefault="00504ED1" w:rsidP="00504ED1">
      <w:pPr>
        <w:pStyle w:val="Paragraph"/>
      </w:pPr>
      <w:r>
        <w:t xml:space="preserve">1.4.8 </w:t>
      </w:r>
      <w:r w:rsidRPr="00504ED1">
        <w:t>Ensure that the World Health Organization (WHO) surgical safety checklist is completed for each surgical procedure, including dental procedures.</w:t>
      </w:r>
    </w:p>
    <w:p w14:paraId="329B595E" w14:textId="424C8047" w:rsidR="00504ED1" w:rsidRDefault="00504ED1" w:rsidP="00504ED1">
      <w:pPr>
        <w:pStyle w:val="Paragraph"/>
      </w:pPr>
      <w:r>
        <w:t xml:space="preserve">1.4.9  </w:t>
      </w:r>
      <w:r w:rsidRPr="00504ED1">
        <w:t>Consider adding steps to the WHO surgical safety checklist to eliminate preventable events reported locally or nationally, such as those in NHS Improvement's national patient safety alerts and surgical 'never events'. Follow the WHO surgical safety checklist implementation manual when adding steps to the checklist.</w:t>
      </w:r>
    </w:p>
    <w:p w14:paraId="46A7F1EC" w14:textId="77777777" w:rsidR="00504ED1" w:rsidRDefault="00504ED1" w:rsidP="00504ED1">
      <w:pPr>
        <w:pStyle w:val="Heading4"/>
      </w:pPr>
      <w:r>
        <w:t>Current UK practice</w:t>
      </w:r>
    </w:p>
    <w:p w14:paraId="21F70800" w14:textId="7C146E5E" w:rsidR="00B12837" w:rsidRDefault="00B12837" w:rsidP="00C52B80">
      <w:pPr>
        <w:pStyle w:val="Paragraph"/>
      </w:pPr>
      <w:r>
        <w:t xml:space="preserve">The NHS </w:t>
      </w:r>
      <w:hyperlink r:id="rId52" w:anchor="never-events" w:history="1">
        <w:r w:rsidRPr="00B12837">
          <w:rPr>
            <w:rStyle w:val="Hyperlink"/>
          </w:rPr>
          <w:t>Provisional publication of Never Events reported as occurring between 1 April 2024 and 31 March 2025</w:t>
        </w:r>
      </w:hyperlink>
      <w:r>
        <w:t xml:space="preserve"> (extracted on 24 April 2025) showed that:</w:t>
      </w:r>
    </w:p>
    <w:p w14:paraId="7BA8A704" w14:textId="4A1C930A" w:rsidR="00B12837" w:rsidRDefault="00B12837" w:rsidP="00237E74">
      <w:pPr>
        <w:pStyle w:val="Paragraph"/>
        <w:numPr>
          <w:ilvl w:val="0"/>
          <w:numId w:val="22"/>
        </w:numPr>
      </w:pPr>
      <w:r w:rsidRPr="00B12837">
        <w:t xml:space="preserve">403 patient safety incidents on the </w:t>
      </w:r>
      <w:r>
        <w:t>Strategic Executive Information System (</w:t>
      </w:r>
      <w:r w:rsidRPr="00B12837">
        <w:t>StEIS</w:t>
      </w:r>
      <w:r>
        <w:t>)</w:t>
      </w:r>
      <w:r w:rsidRPr="00B12837">
        <w:t xml:space="preserve"> met the definition of a Never Event </w:t>
      </w:r>
      <w:r>
        <w:t>according to the</w:t>
      </w:r>
      <w:r w:rsidRPr="00B12837">
        <w:t xml:space="preserve"> Never Events list 2018 (published 28 February 2018)</w:t>
      </w:r>
    </w:p>
    <w:p w14:paraId="21E94524" w14:textId="77777777" w:rsidR="00C52B80" w:rsidRPr="0067426A" w:rsidRDefault="00C52B80" w:rsidP="00C52B80">
      <w:pPr>
        <w:pStyle w:val="Numberedheading3"/>
      </w:pPr>
      <w:r w:rsidRPr="0067426A">
        <w:t>Issues for consideration</w:t>
      </w:r>
    </w:p>
    <w:p w14:paraId="0D0E3FA9" w14:textId="77777777" w:rsidR="00C52B80" w:rsidRPr="00B413F2" w:rsidRDefault="00C52B80" w:rsidP="00C52B80">
      <w:pPr>
        <w:pStyle w:val="Paragraph"/>
        <w:rPr>
          <w:b/>
          <w:bCs/>
        </w:rPr>
      </w:pPr>
      <w:r w:rsidRPr="00A6218A">
        <w:rPr>
          <w:b/>
          <w:bCs/>
        </w:rPr>
        <w:t>For discussion:</w:t>
      </w:r>
    </w:p>
    <w:p w14:paraId="33842284" w14:textId="77777777" w:rsidR="009033AB" w:rsidRDefault="009033AB" w:rsidP="009033AB">
      <w:pPr>
        <w:pStyle w:val="Panelbullet1"/>
      </w:pPr>
      <w:r>
        <w:t>What is the priority for improvement?</w:t>
      </w:r>
    </w:p>
    <w:p w14:paraId="10B5F95C" w14:textId="77DCEE13" w:rsidR="009033AB" w:rsidRDefault="009033AB" w:rsidP="00F1252A">
      <w:pPr>
        <w:pStyle w:val="Panelbullet1"/>
        <w:numPr>
          <w:ilvl w:val="0"/>
          <w:numId w:val="48"/>
        </w:numPr>
      </w:pPr>
      <w:r w:rsidRPr="009033AB">
        <w:t>There are no existing quality statements for the suggested quality improvement areas</w:t>
      </w:r>
      <w:r w:rsidR="0047193A">
        <w:t xml:space="preserve"> on intraoperative care</w:t>
      </w:r>
      <w:r w:rsidR="00AD0BCE">
        <w:t>.</w:t>
      </w:r>
    </w:p>
    <w:p w14:paraId="4C9BFB68" w14:textId="3B531EB1" w:rsidR="009033AB" w:rsidRPr="001E7D61" w:rsidRDefault="00304DF3" w:rsidP="001E7D61">
      <w:pPr>
        <w:pStyle w:val="ListParagraph"/>
        <w:numPr>
          <w:ilvl w:val="0"/>
          <w:numId w:val="48"/>
        </w:numPr>
        <w:rPr>
          <w:rFonts w:ascii="Arial" w:eastAsia="Times New Roman" w:hAnsi="Arial"/>
          <w:lang w:eastAsia="en-US"/>
        </w:rPr>
      </w:pPr>
      <w:r w:rsidRPr="00304DF3">
        <w:rPr>
          <w:rFonts w:ascii="Arial" w:eastAsia="Times New Roman" w:hAnsi="Arial"/>
          <w:lang w:eastAsia="en-US"/>
        </w:rPr>
        <w:t xml:space="preserve">There </w:t>
      </w:r>
      <w:r>
        <w:rPr>
          <w:rFonts w:ascii="Arial" w:eastAsia="Times New Roman" w:hAnsi="Arial"/>
          <w:lang w:eastAsia="en-US"/>
        </w:rPr>
        <w:t>are</w:t>
      </w:r>
      <w:r w:rsidRPr="00304DF3">
        <w:rPr>
          <w:rFonts w:ascii="Arial" w:eastAsia="Times New Roman" w:hAnsi="Arial"/>
          <w:lang w:eastAsia="en-US"/>
        </w:rPr>
        <w:t xml:space="preserve"> consider recommendation</w:t>
      </w:r>
      <w:r>
        <w:rPr>
          <w:rFonts w:ascii="Arial" w:eastAsia="Times New Roman" w:hAnsi="Arial"/>
          <w:lang w:eastAsia="en-US"/>
        </w:rPr>
        <w:t>s</w:t>
      </w:r>
      <w:r w:rsidRPr="00304DF3">
        <w:rPr>
          <w:rFonts w:ascii="Arial" w:eastAsia="Times New Roman" w:hAnsi="Arial"/>
          <w:lang w:eastAsia="en-US"/>
        </w:rPr>
        <w:t xml:space="preserve"> </w:t>
      </w:r>
      <w:r w:rsidR="005C115C">
        <w:rPr>
          <w:rFonts w:ascii="Arial" w:eastAsia="Times New Roman" w:hAnsi="Arial"/>
          <w:lang w:eastAsia="en-US"/>
        </w:rPr>
        <w:t>for</w:t>
      </w:r>
      <w:r w:rsidRPr="00304DF3">
        <w:rPr>
          <w:rFonts w:ascii="Arial" w:eastAsia="Times New Roman" w:hAnsi="Arial"/>
          <w:lang w:eastAsia="en-US"/>
        </w:rPr>
        <w:t xml:space="preserve"> cardiac output monitoring and adding steps to the WHO surgical safety checklist</w:t>
      </w:r>
      <w:r w:rsidR="00A402C9">
        <w:rPr>
          <w:rFonts w:ascii="Arial" w:eastAsia="Times New Roman" w:hAnsi="Arial"/>
          <w:lang w:eastAsia="en-US"/>
        </w:rPr>
        <w:t>. C</w:t>
      </w:r>
      <w:r w:rsidRPr="00304DF3">
        <w:rPr>
          <w:rFonts w:ascii="Arial" w:eastAsia="Times New Roman" w:hAnsi="Arial"/>
          <w:lang w:eastAsia="en-US"/>
        </w:rPr>
        <w:t xml:space="preserve">onsider recommendations cannot be used to underpin a quality statement as they are not measurable. </w:t>
      </w:r>
    </w:p>
    <w:p w14:paraId="6F2CF02D" w14:textId="77777777" w:rsidR="009033AB" w:rsidRDefault="009033AB" w:rsidP="009033AB">
      <w:pPr>
        <w:pStyle w:val="Panelbullet1"/>
      </w:pPr>
      <w:r>
        <w:t>What is the key action that will lead to improvement?</w:t>
      </w:r>
    </w:p>
    <w:p w14:paraId="2A06E077" w14:textId="77777777" w:rsidR="009033AB" w:rsidRDefault="009033AB" w:rsidP="009033AB">
      <w:pPr>
        <w:pStyle w:val="Panelbullet1"/>
      </w:pPr>
      <w:r>
        <w:t>Could we focus on a specific audience or setting?</w:t>
      </w:r>
    </w:p>
    <w:p w14:paraId="64DE0148" w14:textId="77777777" w:rsidR="009033AB" w:rsidRDefault="009033AB" w:rsidP="009033AB">
      <w:pPr>
        <w:pStyle w:val="Panelbullet1"/>
      </w:pPr>
      <w:r>
        <w:lastRenderedPageBreak/>
        <w:t>Can we develop a specific, measurable statement?</w:t>
      </w:r>
    </w:p>
    <w:p w14:paraId="1457CEDE" w14:textId="77777777" w:rsidR="00C52B80" w:rsidRPr="00A6218A" w:rsidRDefault="00C52B80" w:rsidP="00C52B80">
      <w:pPr>
        <w:pStyle w:val="Paragraph"/>
        <w:rPr>
          <w:b/>
          <w:bCs/>
        </w:rPr>
      </w:pPr>
      <w:r w:rsidRPr="00A6218A">
        <w:rPr>
          <w:b/>
          <w:bCs/>
        </w:rPr>
        <w:t>For decision:</w:t>
      </w:r>
    </w:p>
    <w:p w14:paraId="07A7E4AE" w14:textId="77777777" w:rsidR="00C52B80" w:rsidRDefault="00C52B80" w:rsidP="00C52B80">
      <w:pPr>
        <w:pStyle w:val="Bulletleft1"/>
      </w:pPr>
      <w:r w:rsidRPr="00624810">
        <w:t>Should this area be prioritised for inclusion in the quality standard?</w:t>
      </w:r>
    </w:p>
    <w:p w14:paraId="2B19098A" w14:textId="03F22F4D" w:rsidR="00C52B80" w:rsidRPr="00147837" w:rsidRDefault="00147837" w:rsidP="00147837">
      <w:pPr>
        <w:rPr>
          <w:rFonts w:ascii="Arial" w:hAnsi="Arial"/>
        </w:rPr>
      </w:pPr>
      <w:r>
        <w:br w:type="page"/>
      </w:r>
    </w:p>
    <w:p w14:paraId="4EC3AB0F" w14:textId="6A6435A7" w:rsidR="00C52B80" w:rsidRPr="00433117" w:rsidRDefault="00147837" w:rsidP="00C52B80">
      <w:pPr>
        <w:pStyle w:val="Numberedheading2"/>
      </w:pPr>
      <w:bookmarkStart w:id="104" w:name="_Toc208847668"/>
      <w:r>
        <w:lastRenderedPageBreak/>
        <w:t>Managing pain</w:t>
      </w:r>
      <w:bookmarkEnd w:id="104"/>
    </w:p>
    <w:p w14:paraId="1EB0184B" w14:textId="083518BF" w:rsidR="00185D81" w:rsidRDefault="00C52B80" w:rsidP="00C52B80">
      <w:pPr>
        <w:pStyle w:val="Paragraph"/>
      </w:pPr>
      <w:r>
        <w:t xml:space="preserve">Stakeholders </w:t>
      </w:r>
      <w:r w:rsidR="0051389F">
        <w:t xml:space="preserve">highlighted </w:t>
      </w:r>
      <w:r w:rsidR="00185D81">
        <w:t>the</w:t>
      </w:r>
      <w:r w:rsidR="0051389F">
        <w:t xml:space="preserve"> identification of patients </w:t>
      </w:r>
      <w:r w:rsidR="00185D81">
        <w:t xml:space="preserve">at </w:t>
      </w:r>
      <w:r w:rsidR="00185D81" w:rsidRPr="00185D81">
        <w:t xml:space="preserve">risk of pain complications </w:t>
      </w:r>
      <w:r w:rsidR="00185D81">
        <w:t>including those with pre-existing chronic pain conditions</w:t>
      </w:r>
      <w:r w:rsidR="00651BA6">
        <w:t xml:space="preserve"> in the</w:t>
      </w:r>
      <w:r w:rsidR="00185D81">
        <w:t xml:space="preserve"> perioperative pathway </w:t>
      </w:r>
      <w:r w:rsidR="0051389F">
        <w:t>as an area for quality improvement</w:t>
      </w:r>
      <w:r w:rsidR="00185D81">
        <w:t>. A stakeholder</w:t>
      </w:r>
      <w:r w:rsidR="0051389F">
        <w:t xml:space="preserve"> felt that preoperative preparation for surgery should include optimising patients</w:t>
      </w:r>
      <w:r w:rsidR="0051389F" w:rsidRPr="0051389F">
        <w:t xml:space="preserve"> health and well-being, education</w:t>
      </w:r>
      <w:r w:rsidR="00185D81">
        <w:t>al provision</w:t>
      </w:r>
      <w:r w:rsidR="0051389F" w:rsidRPr="0051389F">
        <w:t xml:space="preserve"> about the surgical pathway</w:t>
      </w:r>
      <w:r w:rsidR="00185D81">
        <w:t>, and the management of</w:t>
      </w:r>
      <w:r w:rsidR="00185D81" w:rsidRPr="00185D81">
        <w:t xml:space="preserve"> expectations</w:t>
      </w:r>
      <w:r w:rsidR="00185D81">
        <w:t xml:space="preserve">, to </w:t>
      </w:r>
      <w:r w:rsidR="0051389F">
        <w:t xml:space="preserve">reduce the risk of pain related complications. </w:t>
      </w:r>
      <w:r w:rsidR="00185D81">
        <w:t>P</w:t>
      </w:r>
      <w:r w:rsidR="00185D81" w:rsidRPr="00185D81">
        <w:t xml:space="preserve">ain management </w:t>
      </w:r>
      <w:r w:rsidR="00185D81">
        <w:t>should</w:t>
      </w:r>
      <w:r w:rsidR="00185D81" w:rsidRPr="00185D81">
        <w:t xml:space="preserve"> </w:t>
      </w:r>
      <w:r w:rsidR="00651BA6">
        <w:t xml:space="preserve">be improved intra and post operatively to </w:t>
      </w:r>
      <w:r w:rsidR="00185D81" w:rsidRPr="00185D81">
        <w:t>support recovery</w:t>
      </w:r>
      <w:r w:rsidR="00185D81">
        <w:t xml:space="preserve">, and </w:t>
      </w:r>
      <w:r w:rsidR="00185D81" w:rsidRPr="00185D81">
        <w:t xml:space="preserve">be patient centred </w:t>
      </w:r>
      <w:r w:rsidR="00185D81">
        <w:t>throughout</w:t>
      </w:r>
      <w:r w:rsidR="00651BA6">
        <w:t xml:space="preserve"> the perioperative period. </w:t>
      </w:r>
    </w:p>
    <w:p w14:paraId="0B192566" w14:textId="21060057" w:rsidR="00185D81" w:rsidRDefault="00185D81" w:rsidP="00C52B80">
      <w:pPr>
        <w:pStyle w:val="Paragraph"/>
      </w:pPr>
      <w:r>
        <w:t>Stakeholders also highlighted the p</w:t>
      </w:r>
      <w:r w:rsidRPr="00185D81">
        <w:t xml:space="preserve">ostoperative identification of </w:t>
      </w:r>
      <w:r w:rsidR="00651BA6">
        <w:t>patients</w:t>
      </w:r>
      <w:r w:rsidRPr="00185D81">
        <w:t xml:space="preserve"> </w:t>
      </w:r>
      <w:r w:rsidR="00651BA6">
        <w:t>who develop</w:t>
      </w:r>
      <w:r w:rsidRPr="00185D81">
        <w:t xml:space="preserve"> problematic pain in </w:t>
      </w:r>
      <w:r>
        <w:t xml:space="preserve">the </w:t>
      </w:r>
      <w:r w:rsidRPr="00185D81">
        <w:t>absence of postoperative complications</w:t>
      </w:r>
      <w:r>
        <w:t xml:space="preserve">. Some patients do not follow </w:t>
      </w:r>
      <w:r w:rsidR="00651BA6">
        <w:t>a</w:t>
      </w:r>
      <w:r>
        <w:t xml:space="preserve"> </w:t>
      </w:r>
      <w:r w:rsidRPr="00185D81">
        <w:t xml:space="preserve">trajectory of decreasing pain and decreasing opioid use after surgery </w:t>
      </w:r>
      <w:r>
        <w:t xml:space="preserve">and these patients </w:t>
      </w:r>
      <w:r w:rsidRPr="00185D81">
        <w:t>should be reviewed in a transitional pain clinic</w:t>
      </w:r>
      <w:r w:rsidR="00651BA6">
        <w:t xml:space="preserve"> (</w:t>
      </w:r>
      <w:r w:rsidRPr="00185D81">
        <w:t>a bridge between acute pain and chronic pain services</w:t>
      </w:r>
      <w:r w:rsidR="00651BA6">
        <w:t>)</w:t>
      </w:r>
      <w:r>
        <w:t xml:space="preserve">. </w:t>
      </w:r>
      <w:r w:rsidR="00651BA6">
        <w:t xml:space="preserve">A stakeholder felt that the </w:t>
      </w:r>
      <w:r w:rsidR="00651BA6" w:rsidRPr="00651BA6">
        <w:t>use of multi modal analgesia in the perioperative period with an emphasis on opioid stewardship</w:t>
      </w:r>
      <w:r w:rsidR="00651BA6">
        <w:t xml:space="preserve"> is an area for quality improvement</w:t>
      </w:r>
      <w:r w:rsidR="00B21F7A">
        <w:t>. The stakeholder highlighted that m</w:t>
      </w:r>
      <w:r w:rsidR="00651BA6">
        <w:t>odified release</w:t>
      </w:r>
      <w:r w:rsidR="00651BA6" w:rsidRPr="00651BA6">
        <w:t xml:space="preserve"> opioids should not be used for post-operative pain.  </w:t>
      </w:r>
    </w:p>
    <w:p w14:paraId="15A5ADB5" w14:textId="77777777" w:rsidR="00C52B80" w:rsidRPr="00F45FBA" w:rsidRDefault="00C52B80" w:rsidP="00C52B80">
      <w:pPr>
        <w:pStyle w:val="Heading4"/>
      </w:pPr>
      <w:r>
        <w:t>S</w:t>
      </w:r>
      <w:r w:rsidRPr="00CD3D03">
        <w:t xml:space="preserve">elected recommendations </w:t>
      </w:r>
    </w:p>
    <w:p w14:paraId="1005BF0A" w14:textId="77777777" w:rsidR="00C52B80" w:rsidRDefault="00C52B80" w:rsidP="00C52B80">
      <w:pPr>
        <w:pStyle w:val="Paragraph"/>
      </w:pPr>
      <w:r w:rsidRPr="00D85A0E">
        <w:t xml:space="preserve">NICE’s guideline on </w:t>
      </w:r>
      <w:hyperlink r:id="rId53" w:history="1">
        <w:r w:rsidRPr="00D85A0E">
          <w:rPr>
            <w:rStyle w:val="Hyperlink"/>
          </w:rPr>
          <w:t>perioperative care in adults (NG180)</w:t>
        </w:r>
      </w:hyperlink>
      <w:r w:rsidRPr="00D85A0E">
        <w:t>:</w:t>
      </w:r>
    </w:p>
    <w:p w14:paraId="7BF293CB" w14:textId="028D37D9" w:rsidR="00B21F7A" w:rsidRPr="00B07A96" w:rsidRDefault="00B21F7A" w:rsidP="00C52B80">
      <w:pPr>
        <w:pStyle w:val="Paragraph"/>
      </w:pPr>
      <w:r w:rsidRPr="00B07A96">
        <w:t>Planning pain management</w:t>
      </w:r>
    </w:p>
    <w:p w14:paraId="6F43217C" w14:textId="19ABFAE0" w:rsidR="00651BA6" w:rsidRDefault="00C52B80" w:rsidP="00651BA6">
      <w:pPr>
        <w:pStyle w:val="Paragraph"/>
      </w:pPr>
      <w:r>
        <w:t>1.</w:t>
      </w:r>
      <w:r w:rsidR="00B21F7A">
        <w:t>6</w:t>
      </w:r>
      <w:r>
        <w:t xml:space="preserve">.1 </w:t>
      </w:r>
      <w:r w:rsidR="00651BA6">
        <w:t>Discuss the options for postoperative pain management with people before they have surgery, including dental surgery.</w:t>
      </w:r>
    </w:p>
    <w:p w14:paraId="2C193D1B" w14:textId="77777777" w:rsidR="00651BA6" w:rsidRDefault="00651BA6" w:rsidP="00651BA6">
      <w:pPr>
        <w:pStyle w:val="Paragraph"/>
      </w:pPr>
      <w:r>
        <w:t>Take into account:</w:t>
      </w:r>
    </w:p>
    <w:p w14:paraId="32E7F89B" w14:textId="77777777" w:rsidR="00651BA6" w:rsidRDefault="00651BA6" w:rsidP="00A546D0">
      <w:pPr>
        <w:pStyle w:val="Paragraph"/>
        <w:numPr>
          <w:ilvl w:val="0"/>
          <w:numId w:val="9"/>
        </w:numPr>
      </w:pPr>
      <w:r>
        <w:t>clinical features including comorbidities, age, frailty, renal and liver function, allergies, current medicines and cognitive function</w:t>
      </w:r>
    </w:p>
    <w:p w14:paraId="10CD689B" w14:textId="77777777" w:rsidR="00651BA6" w:rsidRDefault="00651BA6" w:rsidP="00A546D0">
      <w:pPr>
        <w:pStyle w:val="Paragraph"/>
        <w:numPr>
          <w:ilvl w:val="0"/>
          <w:numId w:val="9"/>
        </w:numPr>
      </w:pPr>
      <w:r>
        <w:t>whether the surgery is immediate, urgent, expedited or elective.</w:t>
      </w:r>
    </w:p>
    <w:p w14:paraId="3C4F27DD" w14:textId="77777777" w:rsidR="00651BA6" w:rsidRDefault="00651BA6" w:rsidP="00651BA6">
      <w:pPr>
        <w:pStyle w:val="Paragraph"/>
      </w:pPr>
      <w:r>
        <w:t>Include in the discussion:</w:t>
      </w:r>
    </w:p>
    <w:p w14:paraId="2F829FF0" w14:textId="77777777" w:rsidR="00651BA6" w:rsidRDefault="00651BA6" w:rsidP="00A546D0">
      <w:pPr>
        <w:pStyle w:val="Paragraph"/>
        <w:numPr>
          <w:ilvl w:val="0"/>
          <w:numId w:val="8"/>
        </w:numPr>
      </w:pPr>
      <w:r>
        <w:t>the likely impact of the procedure on the person's pain</w:t>
      </w:r>
    </w:p>
    <w:p w14:paraId="16C7B8FB" w14:textId="77777777" w:rsidR="00651BA6" w:rsidRDefault="00651BA6" w:rsidP="00A546D0">
      <w:pPr>
        <w:pStyle w:val="Paragraph"/>
        <w:numPr>
          <w:ilvl w:val="0"/>
          <w:numId w:val="8"/>
        </w:numPr>
      </w:pPr>
      <w:r>
        <w:t>the person's preferences and expectations</w:t>
      </w:r>
    </w:p>
    <w:p w14:paraId="1159740E" w14:textId="77777777" w:rsidR="00651BA6" w:rsidRDefault="00651BA6" w:rsidP="00A546D0">
      <w:pPr>
        <w:pStyle w:val="Paragraph"/>
        <w:numPr>
          <w:ilvl w:val="0"/>
          <w:numId w:val="8"/>
        </w:numPr>
      </w:pPr>
      <w:r>
        <w:t>their pain history</w:t>
      </w:r>
    </w:p>
    <w:p w14:paraId="567423F3" w14:textId="77777777" w:rsidR="00651BA6" w:rsidRDefault="00651BA6" w:rsidP="00A546D0">
      <w:pPr>
        <w:pStyle w:val="Paragraph"/>
        <w:numPr>
          <w:ilvl w:val="0"/>
          <w:numId w:val="8"/>
        </w:numPr>
      </w:pPr>
      <w:r>
        <w:t>the potential benefits and risks, including long-term risks, of different types of pain relief</w:t>
      </w:r>
    </w:p>
    <w:p w14:paraId="477EA4A5" w14:textId="0B799884" w:rsidR="00C52B80" w:rsidRDefault="00651BA6" w:rsidP="00A546D0">
      <w:pPr>
        <w:pStyle w:val="Paragraph"/>
        <w:numPr>
          <w:ilvl w:val="0"/>
          <w:numId w:val="8"/>
        </w:numPr>
      </w:pPr>
      <w:r>
        <w:lastRenderedPageBreak/>
        <w:t>plans for discharge.</w:t>
      </w:r>
    </w:p>
    <w:p w14:paraId="662E5559" w14:textId="7F993042" w:rsidR="00651BA6" w:rsidRDefault="00C52B80" w:rsidP="00651BA6">
      <w:pPr>
        <w:pStyle w:val="Paragraph"/>
      </w:pPr>
      <w:r>
        <w:t>1.</w:t>
      </w:r>
      <w:r w:rsidR="00B21F7A">
        <w:t>6</w:t>
      </w:r>
      <w:r>
        <w:t xml:space="preserve">.2 </w:t>
      </w:r>
      <w:r w:rsidR="00651BA6" w:rsidRPr="00651BA6">
        <w:t xml:space="preserve"> </w:t>
      </w:r>
      <w:r w:rsidR="00651BA6">
        <w:t>Offer a multimodal approach in which analgesics from different classes are combined to manage postoperative pain. Take into account the factors listed in recommendation 1.6.1.</w:t>
      </w:r>
    </w:p>
    <w:p w14:paraId="48E5C0EC" w14:textId="4B467923" w:rsidR="00651BA6" w:rsidRDefault="00651BA6" w:rsidP="00651BA6">
      <w:pPr>
        <w:pStyle w:val="Paragraph"/>
      </w:pPr>
      <w:r>
        <w:t>1.6.3</w:t>
      </w:r>
      <w:r w:rsidR="00B21F7A">
        <w:t xml:space="preserve"> </w:t>
      </w:r>
      <w:r>
        <w:t>If controlled drugs are used, follow the recommendations on prescribing controlled drugs in the NICE guideline on controlled drugs.</w:t>
      </w:r>
    </w:p>
    <w:p w14:paraId="607F28C1" w14:textId="1EE05536" w:rsidR="00C52B80" w:rsidRDefault="00651BA6" w:rsidP="00651BA6">
      <w:pPr>
        <w:pStyle w:val="Paragraph"/>
      </w:pPr>
      <w:r>
        <w:t>1.6.4</w:t>
      </w:r>
      <w:r w:rsidR="00B21F7A">
        <w:t xml:space="preserve"> </w:t>
      </w:r>
      <w:r>
        <w:t>Consider prescribing pre-emptive analgesia for use when local anaesthesia wears off.</w:t>
      </w:r>
    </w:p>
    <w:p w14:paraId="57C12950" w14:textId="7B234A3A" w:rsidR="00B21F7A" w:rsidRDefault="00B21F7A" w:rsidP="00B21F7A">
      <w:pPr>
        <w:pStyle w:val="Paragraph"/>
      </w:pPr>
      <w:r>
        <w:t>1.6.5 Offer oral paracetamol before and after surgery, including dental surgery, irrespective of pain severity.</w:t>
      </w:r>
    </w:p>
    <w:p w14:paraId="323F32D1" w14:textId="6E0E2A8A" w:rsidR="00B21F7A" w:rsidRDefault="00B21F7A" w:rsidP="00B21F7A">
      <w:pPr>
        <w:pStyle w:val="Paragraph"/>
      </w:pPr>
      <w:r>
        <w:t>1.6.6 Do not offer intravenous paracetamol unless the person cannot take oral medicine.</w:t>
      </w:r>
    </w:p>
    <w:p w14:paraId="7152FD67" w14:textId="79A2C951" w:rsidR="00B21F7A" w:rsidRDefault="00B21F7A" w:rsidP="00B21F7A">
      <w:pPr>
        <w:pStyle w:val="Paragraph"/>
      </w:pPr>
      <w:r>
        <w:t>1.6.7 Offer oral ibuprofen to manage immediate postoperative pain of all severities (including pain after dental surgery) unless the person has had surgery for hip fracture (see the recommendations on analgesia in the NICE guideline on hip fracture).</w:t>
      </w:r>
    </w:p>
    <w:p w14:paraId="4888B5B8" w14:textId="78E62A9A" w:rsidR="00B21F7A" w:rsidRDefault="00B21F7A" w:rsidP="00B21F7A">
      <w:pPr>
        <w:pStyle w:val="Paragraph"/>
      </w:pPr>
      <w:r>
        <w:t>1.6.8 Do not offer an intravenous NSAID to manage immediate postoperative pain (including pain after dental surgery) unless the person cannot take oral medicine.</w:t>
      </w:r>
    </w:p>
    <w:p w14:paraId="4EEE563D" w14:textId="1EDA14A6" w:rsidR="00B21F7A" w:rsidRDefault="00B21F7A" w:rsidP="00B21F7A">
      <w:pPr>
        <w:pStyle w:val="Paragraph"/>
      </w:pPr>
      <w:r>
        <w:t>1.6.9 If offering an intravenous NSAID to manage immediate postoperative pain, choose a traditional NSAID rather than a COX</w:t>
      </w:r>
      <w:r>
        <w:rPr>
          <w:rFonts w:ascii="Cambria Math" w:hAnsi="Cambria Math" w:cs="Cambria Math"/>
        </w:rPr>
        <w:t>‑</w:t>
      </w:r>
      <w:r>
        <w:t>2 (cyclo-oxygenase</w:t>
      </w:r>
      <w:r>
        <w:rPr>
          <w:rFonts w:ascii="Cambria Math" w:hAnsi="Cambria Math" w:cs="Cambria Math"/>
        </w:rPr>
        <w:t>‑</w:t>
      </w:r>
      <w:r>
        <w:t>2) inhibitor.</w:t>
      </w:r>
    </w:p>
    <w:p w14:paraId="091DBFF2" w14:textId="037D5128" w:rsidR="00B21F7A" w:rsidRDefault="00B21F7A" w:rsidP="00B21F7A">
      <w:pPr>
        <w:pStyle w:val="Paragraph"/>
      </w:pPr>
      <w:r>
        <w:t>1.6.10 Offer an oral immediate-release opioid only if immediate postoperative pain is expected to be moderate to severe. When giving an oral opioid:</w:t>
      </w:r>
    </w:p>
    <w:p w14:paraId="61746E69" w14:textId="77777777" w:rsidR="00B21F7A" w:rsidRDefault="00B21F7A" w:rsidP="00A546D0">
      <w:pPr>
        <w:pStyle w:val="Paragraph"/>
        <w:numPr>
          <w:ilvl w:val="0"/>
          <w:numId w:val="12"/>
        </w:numPr>
      </w:pPr>
      <w:r>
        <w:t>give the opioid as soon as the person can eat and drink after surgery</w:t>
      </w:r>
    </w:p>
    <w:p w14:paraId="35F67369" w14:textId="4080BB21" w:rsidR="00B21F7A" w:rsidRDefault="00B21F7A" w:rsidP="00A546D0">
      <w:pPr>
        <w:pStyle w:val="Paragraph"/>
        <w:numPr>
          <w:ilvl w:val="0"/>
          <w:numId w:val="12"/>
        </w:numPr>
      </w:pPr>
      <w:r>
        <w:t>adjust the dose to help the person achieve functional recovery (such as coughing and mobilising) as soon as possible.</w:t>
      </w:r>
    </w:p>
    <w:p w14:paraId="4FF2715D" w14:textId="4E9AA714" w:rsidR="00B21F7A" w:rsidRDefault="00B21F7A" w:rsidP="00B21F7A">
      <w:pPr>
        <w:pStyle w:val="Paragraph"/>
      </w:pPr>
      <w:r>
        <w:t>1.6.11 For people who cannot take oral opioids, offer a choice of PCA (patient-controlled analgesia) or a continuous epidural to relieve pain after surgery. Take into account the benefits of a continuous epidural for people who:</w:t>
      </w:r>
    </w:p>
    <w:p w14:paraId="7E3E7826" w14:textId="77777777" w:rsidR="00B21F7A" w:rsidRDefault="00B21F7A" w:rsidP="00A546D0">
      <w:pPr>
        <w:pStyle w:val="Paragraph"/>
        <w:numPr>
          <w:ilvl w:val="0"/>
          <w:numId w:val="11"/>
        </w:numPr>
      </w:pPr>
      <w:r>
        <w:t>are having major or complex open</w:t>
      </w:r>
      <w:r>
        <w:rPr>
          <w:rFonts w:ascii="Cambria Math" w:hAnsi="Cambria Math" w:cs="Cambria Math"/>
        </w:rPr>
        <w:t>‑</w:t>
      </w:r>
      <w:r>
        <w:t>torso surgery or</w:t>
      </w:r>
    </w:p>
    <w:p w14:paraId="7C66A65D" w14:textId="77777777" w:rsidR="00B21F7A" w:rsidRDefault="00B21F7A" w:rsidP="00A546D0">
      <w:pPr>
        <w:pStyle w:val="Paragraph"/>
        <w:numPr>
          <w:ilvl w:val="0"/>
          <w:numId w:val="11"/>
        </w:numPr>
      </w:pPr>
      <w:r>
        <w:t>are expected to have severe pain or</w:t>
      </w:r>
    </w:p>
    <w:p w14:paraId="2617C2BB" w14:textId="43ACF872" w:rsidR="00B21F7A" w:rsidRDefault="00B21F7A" w:rsidP="00A546D0">
      <w:pPr>
        <w:pStyle w:val="Paragraph"/>
        <w:numPr>
          <w:ilvl w:val="0"/>
          <w:numId w:val="11"/>
        </w:numPr>
      </w:pPr>
      <w:r>
        <w:t>have cognitive impairment.</w:t>
      </w:r>
    </w:p>
    <w:p w14:paraId="5CAD5F46" w14:textId="0F38B0B2" w:rsidR="00B21F7A" w:rsidRDefault="00B21F7A" w:rsidP="00B21F7A">
      <w:pPr>
        <w:pStyle w:val="Paragraph"/>
      </w:pPr>
      <w:r>
        <w:lastRenderedPageBreak/>
        <w:t>1.6.12 Consider a single dose (0.25 mg/kg to 1 mg/kg) of intravenous ketamine given either during or immediately after surgery to supplement other types of pain relief if:</w:t>
      </w:r>
    </w:p>
    <w:p w14:paraId="0D795DD8" w14:textId="77777777" w:rsidR="00B21F7A" w:rsidRDefault="00B21F7A" w:rsidP="00A546D0">
      <w:pPr>
        <w:pStyle w:val="Paragraph"/>
        <w:numPr>
          <w:ilvl w:val="0"/>
          <w:numId w:val="10"/>
        </w:numPr>
      </w:pPr>
      <w:r>
        <w:t>the person's pain is expected to be moderate to severe and an intravenous opioid alone does not provide adequate pain relief or</w:t>
      </w:r>
    </w:p>
    <w:p w14:paraId="3F4AF916" w14:textId="77777777" w:rsidR="00B21F7A" w:rsidRDefault="00B21F7A" w:rsidP="00A546D0">
      <w:pPr>
        <w:pStyle w:val="Paragraph"/>
        <w:numPr>
          <w:ilvl w:val="0"/>
          <w:numId w:val="10"/>
        </w:numPr>
      </w:pPr>
      <w:r>
        <w:t>the person has opioid sensitivity.</w:t>
      </w:r>
    </w:p>
    <w:p w14:paraId="464E022A" w14:textId="25ED6991" w:rsidR="00B21F7A" w:rsidRDefault="00B21F7A" w:rsidP="00B21F7A">
      <w:pPr>
        <w:pStyle w:val="Paragraph"/>
      </w:pPr>
      <w:r>
        <w:t>In August 2020, this was an off</w:t>
      </w:r>
      <w:r>
        <w:rPr>
          <w:rFonts w:ascii="Cambria Math" w:hAnsi="Cambria Math" w:cs="Cambria Math"/>
        </w:rPr>
        <w:t>‑</w:t>
      </w:r>
      <w:r>
        <w:t>label use of intravenous ketamine. See NICE's information on prescribing medicines.</w:t>
      </w:r>
    </w:p>
    <w:p w14:paraId="2FBDEB0E" w14:textId="5F82AD46" w:rsidR="00B21F7A" w:rsidRPr="00B07A96" w:rsidRDefault="00B21F7A" w:rsidP="00B21F7A">
      <w:pPr>
        <w:pStyle w:val="Paragraph"/>
      </w:pPr>
      <w:r w:rsidRPr="00B07A96">
        <w:t>Gabapentin</w:t>
      </w:r>
    </w:p>
    <w:p w14:paraId="77E37031" w14:textId="1EA88687" w:rsidR="00B21F7A" w:rsidRDefault="00B21F7A" w:rsidP="00B21F7A">
      <w:pPr>
        <w:pStyle w:val="Paragraph"/>
      </w:pPr>
      <w:r>
        <w:t>1.6.13 Be aware that, although there was evidence showing that the use of gabapentin to supplement other types of pain relief can be beneficial, the evidence about when to give gabapentin, and how much to give, was inconclusive. The committee therefore made a recommendation for research.</w:t>
      </w:r>
    </w:p>
    <w:p w14:paraId="094B53A7" w14:textId="77777777" w:rsidR="00C52B80" w:rsidRDefault="00C52B80" w:rsidP="00C52B80">
      <w:pPr>
        <w:pStyle w:val="Heading4"/>
      </w:pPr>
      <w:r>
        <w:t>Current UK practice</w:t>
      </w:r>
    </w:p>
    <w:p w14:paraId="18691AF5" w14:textId="7E51A415" w:rsidR="00A546D0" w:rsidRDefault="00A546D0" w:rsidP="00A546D0">
      <w:pPr>
        <w:pStyle w:val="Paragraph"/>
      </w:pPr>
      <w:r>
        <w:t xml:space="preserve">Data from the </w:t>
      </w:r>
      <w:hyperlink r:id="rId54" w:history="1">
        <w:r w:rsidRPr="00732111">
          <w:rPr>
            <w:rStyle w:val="Hyperlink"/>
          </w:rPr>
          <w:t>Perioperative Quality Improvement Programme (PQIP) Report 5</w:t>
        </w:r>
      </w:hyperlink>
      <w:r>
        <w:t xml:space="preserve"> (March 2023 to March 2024) showed that:</w:t>
      </w:r>
    </w:p>
    <w:p w14:paraId="6AA3D9C8" w14:textId="133E3D61" w:rsidR="008E050B" w:rsidRDefault="008E050B" w:rsidP="00237E74">
      <w:pPr>
        <w:pStyle w:val="Paragraph"/>
        <w:numPr>
          <w:ilvl w:val="0"/>
          <w:numId w:val="17"/>
        </w:numPr>
      </w:pPr>
      <w:r>
        <w:t xml:space="preserve">pain at the surgical site was an issue for patients and was the </w:t>
      </w:r>
      <w:r w:rsidR="006D4F92">
        <w:t>most reported</w:t>
      </w:r>
      <w:r>
        <w:t xml:space="preserve"> anaesthetic-related discomfort in </w:t>
      </w:r>
      <w:r w:rsidR="00607755" w:rsidRPr="00607755">
        <w:t>2023/24</w:t>
      </w:r>
      <w:r>
        <w:t xml:space="preserve"> with 18% of patients reporting severe pain</w:t>
      </w:r>
      <w:r w:rsidR="0061364F">
        <w:t xml:space="preserve"> with 24 hours of surgery</w:t>
      </w:r>
    </w:p>
    <w:p w14:paraId="25A1D2F5" w14:textId="2E15E96A" w:rsidR="00A546D0" w:rsidRDefault="0061364F" w:rsidP="00237E74">
      <w:pPr>
        <w:pStyle w:val="Paragraph"/>
        <w:numPr>
          <w:ilvl w:val="0"/>
          <w:numId w:val="17"/>
        </w:numPr>
      </w:pPr>
      <w:r>
        <w:t xml:space="preserve">despite this, </w:t>
      </w:r>
      <w:r w:rsidR="00A546D0" w:rsidRPr="00A546D0">
        <w:t>95% of patients report</w:t>
      </w:r>
      <w:r w:rsidR="00FE7F66">
        <w:t>ed</w:t>
      </w:r>
      <w:r w:rsidR="00A546D0" w:rsidRPr="00A546D0">
        <w:t xml:space="preserve"> being either satisfied or very satisfied with perioperative pain management</w:t>
      </w:r>
    </w:p>
    <w:p w14:paraId="5C85BD68" w14:textId="796FBD7A" w:rsidR="00C06A4B" w:rsidRDefault="00C06A4B" w:rsidP="005A6944">
      <w:pPr>
        <w:pStyle w:val="Paragraph"/>
      </w:pPr>
      <w:r>
        <w:t>Data from an audit of 88 patients undergoing the Enhanced Recovery After Surgery (ERAS</w:t>
      </w:r>
      <w:r w:rsidR="005A6944">
        <w:t>)</w:t>
      </w:r>
      <w:r>
        <w:t xml:space="preserve"> pathway between January and June 2022 </w:t>
      </w:r>
      <w:r w:rsidR="005A6944">
        <w:t xml:space="preserve">at a UK hospital </w:t>
      </w:r>
      <w:r>
        <w:t xml:space="preserve">was analysed for junior doctor adherence to </w:t>
      </w:r>
      <w:r w:rsidR="005A6944">
        <w:t xml:space="preserve">ERAS </w:t>
      </w:r>
      <w:r>
        <w:t xml:space="preserve">recommendations on postoperative </w:t>
      </w:r>
      <w:r w:rsidR="005A6944">
        <w:t>opioid</w:t>
      </w:r>
      <w:r>
        <w:t xml:space="preserve"> prescribing within the </w:t>
      </w:r>
      <w:r w:rsidR="005A6944">
        <w:t>colorectal</w:t>
      </w:r>
      <w:r>
        <w:t xml:space="preserve"> department </w:t>
      </w:r>
      <w:r w:rsidR="005A6944">
        <w:t>(</w:t>
      </w:r>
      <w:hyperlink r:id="rId55" w:history="1">
        <w:r w:rsidR="005A6944" w:rsidRPr="005A6944">
          <w:rPr>
            <w:rStyle w:val="Hyperlink"/>
          </w:rPr>
          <w:t>ERAS Audit: Junior Doctor Compliance with the Elective Colorectal Enhanced Recovery After Surgery (ERAS) Pathway at Bristol Royal Infirmary</w:t>
        </w:r>
      </w:hyperlink>
      <w:r w:rsidR="005A6944">
        <w:t xml:space="preserve">). It </w:t>
      </w:r>
      <w:r>
        <w:t xml:space="preserve">showed that: </w:t>
      </w:r>
    </w:p>
    <w:p w14:paraId="73FC98CD" w14:textId="121B0B6F" w:rsidR="005A6944" w:rsidRDefault="005A6944" w:rsidP="00237E74">
      <w:pPr>
        <w:pStyle w:val="Paragraph"/>
        <w:numPr>
          <w:ilvl w:val="0"/>
          <w:numId w:val="17"/>
        </w:numPr>
      </w:pPr>
      <w:r>
        <w:t>Avoidance of systemic opioids was achieved in 7 patients (7.9%)</w:t>
      </w:r>
    </w:p>
    <w:p w14:paraId="75E33E54" w14:textId="3ED8E89C" w:rsidR="0059558C" w:rsidRDefault="00092A97" w:rsidP="005A6944">
      <w:pPr>
        <w:pStyle w:val="Paragraph"/>
      </w:pPr>
      <w:r>
        <w:t>An example from surgical specialities (cancer), included d</w:t>
      </w:r>
      <w:r w:rsidR="0059558C">
        <w:t xml:space="preserve">ata from </w:t>
      </w:r>
      <w:r>
        <w:t xml:space="preserve">the </w:t>
      </w:r>
      <w:hyperlink r:id="rId56" w:history="1">
        <w:r w:rsidR="0059558C" w:rsidRPr="00C01A73">
          <w:rPr>
            <w:rStyle w:val="Hyperlink"/>
          </w:rPr>
          <w:t>Variation in perioperative practice in elective colorectal cancer surgery: opportunities for quality improvement</w:t>
        </w:r>
      </w:hyperlink>
      <w:r w:rsidR="0059558C">
        <w:t>, an audit on 216 patients attending for surgery for colorectal cancer at 14 Hospital Trusts within the YCR BCIP region (Yorkshire and the Humber)</w:t>
      </w:r>
      <w:r>
        <w:t xml:space="preserve">. The audit </w:t>
      </w:r>
      <w:r w:rsidR="0059558C">
        <w:t>showed that:</w:t>
      </w:r>
    </w:p>
    <w:p w14:paraId="1F2E1AE6" w14:textId="64D32349" w:rsidR="0059558C" w:rsidRDefault="0059558C" w:rsidP="00237E74">
      <w:pPr>
        <w:pStyle w:val="Paragraph"/>
        <w:numPr>
          <w:ilvl w:val="0"/>
          <w:numId w:val="17"/>
        </w:numPr>
      </w:pPr>
      <w:r>
        <w:lastRenderedPageBreak/>
        <w:t>57% of patients (123/216) were seen by an acute pain team on day 1</w:t>
      </w:r>
    </w:p>
    <w:p w14:paraId="3D70F0D0" w14:textId="77777777" w:rsidR="00C52B80" w:rsidRPr="0067426A" w:rsidRDefault="00C52B80" w:rsidP="00C52B80">
      <w:pPr>
        <w:pStyle w:val="Numberedheading3"/>
      </w:pPr>
      <w:r w:rsidRPr="0067426A">
        <w:t>Issues for consideration</w:t>
      </w:r>
    </w:p>
    <w:p w14:paraId="30D33494" w14:textId="77777777" w:rsidR="00C52B80" w:rsidRPr="00B413F2" w:rsidRDefault="00C52B80" w:rsidP="00C52B80">
      <w:pPr>
        <w:pStyle w:val="Paragraph"/>
        <w:rPr>
          <w:b/>
          <w:bCs/>
        </w:rPr>
      </w:pPr>
      <w:r w:rsidRPr="00A6218A">
        <w:rPr>
          <w:b/>
          <w:bCs/>
        </w:rPr>
        <w:t>For discussion:</w:t>
      </w:r>
    </w:p>
    <w:p w14:paraId="21F28E85" w14:textId="77777777" w:rsidR="00F1252A" w:rsidRPr="005034CA" w:rsidRDefault="00F1252A" w:rsidP="00F1252A">
      <w:pPr>
        <w:pStyle w:val="Panelbullet1"/>
      </w:pPr>
      <w:r>
        <w:t xml:space="preserve">What </w:t>
      </w:r>
      <w:r w:rsidRPr="005034CA">
        <w:t>is the priority for improvement?</w:t>
      </w:r>
    </w:p>
    <w:p w14:paraId="132D72A0" w14:textId="3D25690B" w:rsidR="00F1252A" w:rsidRPr="005034CA" w:rsidRDefault="00F1252A" w:rsidP="00F1252A">
      <w:pPr>
        <w:pStyle w:val="Panelbullet1"/>
        <w:numPr>
          <w:ilvl w:val="0"/>
          <w:numId w:val="50"/>
        </w:numPr>
      </w:pPr>
      <w:r w:rsidRPr="005034CA">
        <w:t>There are no existing quality statements for the suggested quality improvement areas.</w:t>
      </w:r>
    </w:p>
    <w:p w14:paraId="0E8E5326" w14:textId="1056F398" w:rsidR="00F1252A" w:rsidRPr="005034CA" w:rsidRDefault="005034CA" w:rsidP="00F1252A">
      <w:pPr>
        <w:pStyle w:val="Panelbullet1"/>
        <w:numPr>
          <w:ilvl w:val="0"/>
          <w:numId w:val="50"/>
        </w:numPr>
      </w:pPr>
      <w:r w:rsidRPr="005034CA">
        <w:t xml:space="preserve">The recommendations on controlled drugs and non-steroidal anti-inflammatory drugs after surgery for hip fracture link to corresponding NICE guidelines. As a result, these areas overlap with the scope of existing quality standards and may not be appropriate </w:t>
      </w:r>
      <w:r>
        <w:t>for this quality standard</w:t>
      </w:r>
      <w:r w:rsidR="00F1252A" w:rsidRPr="005034CA">
        <w:t>.</w:t>
      </w:r>
    </w:p>
    <w:p w14:paraId="29BF9783" w14:textId="420F760D" w:rsidR="00F1252A" w:rsidRPr="005034CA" w:rsidRDefault="005034CA" w:rsidP="00F1252A">
      <w:pPr>
        <w:pStyle w:val="ListParagraph"/>
        <w:numPr>
          <w:ilvl w:val="0"/>
          <w:numId w:val="50"/>
        </w:numPr>
        <w:rPr>
          <w:rFonts w:ascii="Arial" w:eastAsia="Times New Roman" w:hAnsi="Arial"/>
          <w:lang w:eastAsia="en-US"/>
        </w:rPr>
      </w:pPr>
      <w:r w:rsidRPr="005034CA">
        <w:rPr>
          <w:rFonts w:ascii="Arial" w:eastAsia="Times New Roman" w:hAnsi="Arial"/>
          <w:lang w:eastAsia="en-US"/>
        </w:rPr>
        <w:t>There are consider recommendations on selecting analgesia and intravenous ketamine. Consider recommendations cannot be used to underpin a quality statement as they are not measurable</w:t>
      </w:r>
      <w:r w:rsidR="00F1252A" w:rsidRPr="005034CA">
        <w:rPr>
          <w:rFonts w:ascii="Arial" w:eastAsia="Times New Roman" w:hAnsi="Arial"/>
          <w:lang w:eastAsia="en-US"/>
        </w:rPr>
        <w:t>.</w:t>
      </w:r>
    </w:p>
    <w:p w14:paraId="31D75887" w14:textId="4B3097BB" w:rsidR="005034CA" w:rsidRPr="005034CA" w:rsidRDefault="005034CA" w:rsidP="005034CA">
      <w:pPr>
        <w:pStyle w:val="ListParagraph"/>
        <w:numPr>
          <w:ilvl w:val="0"/>
          <w:numId w:val="50"/>
        </w:numPr>
        <w:rPr>
          <w:rFonts w:ascii="Arial" w:eastAsia="Times New Roman" w:hAnsi="Arial"/>
          <w:lang w:eastAsia="en-US"/>
        </w:rPr>
      </w:pPr>
      <w:r w:rsidRPr="005034CA">
        <w:rPr>
          <w:rFonts w:ascii="Arial" w:eastAsia="Times New Roman" w:hAnsi="Arial"/>
          <w:lang w:eastAsia="en-US"/>
        </w:rPr>
        <w:t>There is a research recommendation for gabapentin</w:t>
      </w:r>
      <w:r w:rsidR="005C115C">
        <w:rPr>
          <w:rFonts w:ascii="Arial" w:eastAsia="Times New Roman" w:hAnsi="Arial"/>
          <w:lang w:eastAsia="en-US"/>
        </w:rPr>
        <w:t>. R</w:t>
      </w:r>
      <w:r w:rsidRPr="005034CA">
        <w:rPr>
          <w:rFonts w:ascii="Arial" w:eastAsia="Times New Roman" w:hAnsi="Arial"/>
          <w:lang w:eastAsia="en-US"/>
        </w:rPr>
        <w:t>ecommendations for research cannot be used to underpin a quality statement as they are not measurable.</w:t>
      </w:r>
    </w:p>
    <w:p w14:paraId="71524D12" w14:textId="77777777" w:rsidR="00F1252A" w:rsidRPr="005034CA" w:rsidRDefault="00F1252A" w:rsidP="00F1252A">
      <w:pPr>
        <w:pStyle w:val="Panelbullet1"/>
      </w:pPr>
      <w:r w:rsidRPr="005034CA">
        <w:t>What is the key action that will lead to improvement?</w:t>
      </w:r>
    </w:p>
    <w:p w14:paraId="7D6393B0" w14:textId="77777777" w:rsidR="00F1252A" w:rsidRPr="005034CA" w:rsidRDefault="00F1252A" w:rsidP="00F1252A">
      <w:pPr>
        <w:pStyle w:val="Panelbullet1"/>
      </w:pPr>
      <w:r w:rsidRPr="005034CA">
        <w:t>Could we focus on a specific audience or setting?</w:t>
      </w:r>
    </w:p>
    <w:p w14:paraId="19378184" w14:textId="5B6126C1" w:rsidR="00F1252A" w:rsidRPr="005034CA" w:rsidRDefault="00F1252A" w:rsidP="00F1252A">
      <w:pPr>
        <w:pStyle w:val="Panelbullet1"/>
      </w:pPr>
      <w:r w:rsidRPr="005034CA">
        <w:t>Can we develop a specific, measurable statement?</w:t>
      </w:r>
    </w:p>
    <w:p w14:paraId="02B92965" w14:textId="77777777" w:rsidR="00C52B80" w:rsidRPr="00A6218A" w:rsidRDefault="00C52B80" w:rsidP="00C52B80">
      <w:pPr>
        <w:pStyle w:val="Paragraph"/>
        <w:rPr>
          <w:b/>
          <w:bCs/>
        </w:rPr>
      </w:pPr>
      <w:r w:rsidRPr="00A6218A">
        <w:rPr>
          <w:b/>
          <w:bCs/>
        </w:rPr>
        <w:t>For decision:</w:t>
      </w:r>
    </w:p>
    <w:p w14:paraId="1BF126A3" w14:textId="48F02B0E" w:rsidR="00C52B80" w:rsidRDefault="00C52B80" w:rsidP="00C52B80">
      <w:pPr>
        <w:pStyle w:val="Bulletleft1"/>
      </w:pPr>
      <w:r w:rsidRPr="00624810">
        <w:t>Should this area be prioritised for inclusion in the quality standard?</w:t>
      </w:r>
    </w:p>
    <w:p w14:paraId="78C5C114" w14:textId="1E6ADF0C" w:rsidR="00986706" w:rsidRPr="00253476" w:rsidRDefault="00253476" w:rsidP="00253476">
      <w:pPr>
        <w:rPr>
          <w:rFonts w:ascii="Arial" w:hAnsi="Arial"/>
        </w:rPr>
      </w:pPr>
      <w:r>
        <w:br w:type="page"/>
      </w:r>
    </w:p>
    <w:p w14:paraId="6F9F5DED" w14:textId="3F444347" w:rsidR="00C52B80" w:rsidRPr="00433117" w:rsidRDefault="00147837" w:rsidP="00C52B80">
      <w:pPr>
        <w:pStyle w:val="Numberedheading2"/>
      </w:pPr>
      <w:bookmarkStart w:id="105" w:name="_Toc208847669"/>
      <w:r>
        <w:lastRenderedPageBreak/>
        <w:t>Information and support for people having surgery</w:t>
      </w:r>
      <w:bookmarkEnd w:id="105"/>
    </w:p>
    <w:p w14:paraId="4FE33253" w14:textId="50A6416C" w:rsidR="00C52B80" w:rsidRDefault="00236BA9" w:rsidP="00C52B80">
      <w:pPr>
        <w:pStyle w:val="Numberedheading3"/>
      </w:pPr>
      <w:r>
        <w:t>W</w:t>
      </w:r>
      <w:r w:rsidR="009D0DD7">
        <w:t xml:space="preserve">hole </w:t>
      </w:r>
      <w:r w:rsidR="00A04D55">
        <w:t>pathway</w:t>
      </w:r>
      <w:r w:rsidR="009D0DD7">
        <w:t xml:space="preserve"> approach</w:t>
      </w:r>
    </w:p>
    <w:p w14:paraId="5A0E8347" w14:textId="7A83A3BD" w:rsidR="00C52B80" w:rsidRDefault="00C52B80" w:rsidP="00C52B80">
      <w:pPr>
        <w:pStyle w:val="Paragraph"/>
      </w:pPr>
      <w:r>
        <w:t xml:space="preserve">Stakeholders felt </w:t>
      </w:r>
      <w:r w:rsidR="00D32187">
        <w:t>that the perioperative point of contact was an area for quality improvement. A stakeholder suggested the</w:t>
      </w:r>
      <w:r w:rsidR="00D32187" w:rsidRPr="00D32187">
        <w:t xml:space="preserve"> establishment and regular review of work by a named lead for perioperative care</w:t>
      </w:r>
      <w:r w:rsidR="003C38E4">
        <w:t xml:space="preserve">, </w:t>
      </w:r>
      <w:r w:rsidR="004E4B23">
        <w:t>who has</w:t>
      </w:r>
      <w:r w:rsidR="003C38E4">
        <w:t xml:space="preserve"> the scope </w:t>
      </w:r>
      <w:r w:rsidR="00D32187">
        <w:t xml:space="preserve">to </w:t>
      </w:r>
      <w:r w:rsidR="00D32187" w:rsidRPr="00D32187">
        <w:t>lead and deliver a whole pathway approach from contemplation of surgery to recovery</w:t>
      </w:r>
      <w:r w:rsidR="00D32187">
        <w:t xml:space="preserve">. </w:t>
      </w:r>
    </w:p>
    <w:p w14:paraId="1031A928" w14:textId="33B71886" w:rsidR="00D32187" w:rsidRDefault="00D32187" w:rsidP="00C52B80">
      <w:pPr>
        <w:pStyle w:val="Paragraph"/>
      </w:pPr>
      <w:r>
        <w:t>A stakeholder highlighted the n</w:t>
      </w:r>
      <w:r w:rsidRPr="00D32187">
        <w:t>eed to integrate digital systems</w:t>
      </w:r>
      <w:r>
        <w:t>, such as</w:t>
      </w:r>
      <w:r w:rsidRPr="00D32187">
        <w:t xml:space="preserve"> </w:t>
      </w:r>
      <w:r w:rsidR="004738A3">
        <w:t>Electronic Patient Record (</w:t>
      </w:r>
      <w:r w:rsidRPr="00D32187">
        <w:t>EPR</w:t>
      </w:r>
      <w:r w:rsidR="004738A3">
        <w:t>)</w:t>
      </w:r>
      <w:r>
        <w:t xml:space="preserve"> and</w:t>
      </w:r>
      <w:r w:rsidRPr="00D32187">
        <w:t xml:space="preserve"> </w:t>
      </w:r>
      <w:r w:rsidR="002E7BA2">
        <w:t>Electronic Prescribing Medicines Administration (</w:t>
      </w:r>
      <w:proofErr w:type="spellStart"/>
      <w:r w:rsidR="00583AF9">
        <w:t>e</w:t>
      </w:r>
      <w:r w:rsidRPr="00D32187">
        <w:t>PMA</w:t>
      </w:r>
      <w:proofErr w:type="spellEnd"/>
      <w:r w:rsidR="002E7BA2">
        <w:t>)</w:t>
      </w:r>
      <w:r>
        <w:t xml:space="preserve"> </w:t>
      </w:r>
      <w:r w:rsidR="004E4B23">
        <w:t>in</w:t>
      </w:r>
      <w:r w:rsidRPr="00D32187">
        <w:t xml:space="preserve"> surgery and theatres to ensure a coordinated approach across the full patient pathway</w:t>
      </w:r>
      <w:r>
        <w:t xml:space="preserve">. </w:t>
      </w:r>
      <w:r w:rsidR="003C38E4">
        <w:t>Currently</w:t>
      </w:r>
      <w:r>
        <w:t xml:space="preserve"> </w:t>
      </w:r>
      <w:r w:rsidRPr="00D32187">
        <w:t xml:space="preserve">there are areas where patients are administered </w:t>
      </w:r>
      <w:r>
        <w:t>medications</w:t>
      </w:r>
      <w:r w:rsidRPr="00D32187">
        <w:t xml:space="preserve"> in recovery</w:t>
      </w:r>
      <w:r>
        <w:t xml:space="preserve">, and </w:t>
      </w:r>
      <w:r w:rsidR="000765DC">
        <w:t>since</w:t>
      </w:r>
      <w:r>
        <w:t xml:space="preserve"> </w:t>
      </w:r>
      <w:r w:rsidRPr="00D32187">
        <w:t xml:space="preserve">the </w:t>
      </w:r>
      <w:proofErr w:type="spellStart"/>
      <w:r w:rsidR="008E6BD3">
        <w:t>e</w:t>
      </w:r>
      <w:r w:rsidRPr="00D32187">
        <w:t>PMA</w:t>
      </w:r>
      <w:proofErr w:type="spellEnd"/>
      <w:r w:rsidRPr="00D32187">
        <w:t xml:space="preserve"> system is not aligned with the theatre system</w:t>
      </w:r>
      <w:r>
        <w:t xml:space="preserve">, </w:t>
      </w:r>
      <w:r w:rsidR="000E2BC5">
        <w:t xml:space="preserve">there is </w:t>
      </w:r>
      <w:r w:rsidR="004E4B23">
        <w:t xml:space="preserve">the potential for overdosing as </w:t>
      </w:r>
      <w:r w:rsidRPr="00D32187">
        <w:t xml:space="preserve">doses </w:t>
      </w:r>
      <w:r w:rsidR="004E4B23">
        <w:t>can be</w:t>
      </w:r>
      <w:r w:rsidRPr="00D32187">
        <w:t xml:space="preserve"> administered</w:t>
      </w:r>
      <w:r w:rsidR="000765DC">
        <w:t xml:space="preserve"> </w:t>
      </w:r>
      <w:r w:rsidR="003C38E4">
        <w:t>without knowledge</w:t>
      </w:r>
      <w:r w:rsidRPr="00D32187">
        <w:t>.</w:t>
      </w:r>
    </w:p>
    <w:p w14:paraId="79CF0E8F" w14:textId="77777777" w:rsidR="00C52B80" w:rsidRPr="00F45FBA" w:rsidRDefault="00C52B80" w:rsidP="00C52B80">
      <w:pPr>
        <w:pStyle w:val="Heading4"/>
      </w:pPr>
      <w:r>
        <w:t>S</w:t>
      </w:r>
      <w:r w:rsidRPr="00CD3D03">
        <w:t xml:space="preserve">elected recommendations </w:t>
      </w:r>
    </w:p>
    <w:p w14:paraId="176E8700" w14:textId="77777777" w:rsidR="00C52B80" w:rsidRDefault="00C52B80" w:rsidP="00C52B80">
      <w:pPr>
        <w:pStyle w:val="Paragraph"/>
      </w:pPr>
      <w:r w:rsidRPr="00D85A0E">
        <w:t xml:space="preserve">NICE’s guideline on </w:t>
      </w:r>
      <w:hyperlink r:id="rId57" w:history="1">
        <w:r w:rsidRPr="00D85A0E">
          <w:rPr>
            <w:rStyle w:val="Hyperlink"/>
          </w:rPr>
          <w:t>perioperative care in adults (NG180)</w:t>
        </w:r>
      </w:hyperlink>
      <w:r w:rsidRPr="00D85A0E">
        <w:t>:</w:t>
      </w:r>
    </w:p>
    <w:p w14:paraId="063DD901" w14:textId="06749B09" w:rsidR="00C52B80" w:rsidRDefault="00C52B80" w:rsidP="00C52B80">
      <w:pPr>
        <w:pStyle w:val="Paragraph"/>
      </w:pPr>
      <w:r>
        <w:t>1.</w:t>
      </w:r>
      <w:r w:rsidR="00D32187">
        <w:t>1</w:t>
      </w:r>
      <w:r>
        <w:t xml:space="preserve">.1 </w:t>
      </w:r>
      <w:r w:rsidR="00D32187" w:rsidRPr="00D32187">
        <w:t>When booking surgery, give people a point of contact within the perioperative care team who can be approached for information and support before and after their surgery.</w:t>
      </w:r>
    </w:p>
    <w:p w14:paraId="5D456B77" w14:textId="091389E4" w:rsidR="008E6BD3" w:rsidRPr="008E6BD3" w:rsidRDefault="008E6BD3" w:rsidP="008E6BD3">
      <w:pPr>
        <w:pStyle w:val="Heading4"/>
      </w:pPr>
      <w:r>
        <w:t>Current UK practice</w:t>
      </w:r>
    </w:p>
    <w:p w14:paraId="24850EE8" w14:textId="6D181027" w:rsidR="003D0887" w:rsidRDefault="003D0887" w:rsidP="00C52B80">
      <w:pPr>
        <w:pStyle w:val="Paragraph"/>
      </w:pPr>
      <w:r>
        <w:t xml:space="preserve">The Health Services Safety Investigations Body in their </w:t>
      </w:r>
      <w:hyperlink r:id="rId58" w:history="1">
        <w:r w:rsidRPr="006404CB">
          <w:rPr>
            <w:rStyle w:val="Hyperlink"/>
          </w:rPr>
          <w:t>Investigation report: Electronic prescribing and medicines administration systems and safe discharge</w:t>
        </w:r>
      </w:hyperlink>
      <w:r>
        <w:t xml:space="preserve"> (2019) </w:t>
      </w:r>
      <w:r w:rsidR="00BF4750">
        <w:t xml:space="preserve">reported on the </w:t>
      </w:r>
      <w:r w:rsidR="00641CB4" w:rsidRPr="00641CB4">
        <w:t>simultaneous prescription of two anticoagulation medications</w:t>
      </w:r>
      <w:r w:rsidR="00BF4750">
        <w:t xml:space="preserve"> and</w:t>
      </w:r>
      <w:r w:rsidR="00641CB4">
        <w:t xml:space="preserve"> </w:t>
      </w:r>
      <w:r w:rsidR="005971C5">
        <w:t>h</w:t>
      </w:r>
      <w:r w:rsidR="005971C5" w:rsidRPr="005971C5">
        <w:t>ighlighted risks associated with prescribing medicines for patients during a stay in hospital and on discharge, particularly when patients are taking unusual medication treatments at home prior to admission.</w:t>
      </w:r>
      <w:r w:rsidR="00897463">
        <w:t xml:space="preserve"> The investigation </w:t>
      </w:r>
      <w:r>
        <w:t>showed that:</w:t>
      </w:r>
    </w:p>
    <w:p w14:paraId="7C6FFD66" w14:textId="04CD0ED5" w:rsidR="00574086" w:rsidRDefault="00574086" w:rsidP="00237E74">
      <w:pPr>
        <w:pStyle w:val="Paragraph"/>
        <w:numPr>
          <w:ilvl w:val="0"/>
          <w:numId w:val="17"/>
        </w:numPr>
      </w:pPr>
      <w:r w:rsidRPr="00574086">
        <w:t xml:space="preserve">2,036,657 incidents were reported to the National Reporting and Learning System (NRLS) as occurring in England </w:t>
      </w:r>
      <w:r w:rsidR="0087262C">
        <w:t xml:space="preserve">(between </w:t>
      </w:r>
      <w:r w:rsidRPr="00574086">
        <w:t>April 2018 and March 2019</w:t>
      </w:r>
      <w:r w:rsidR="0087262C">
        <w:t>), and of</w:t>
      </w:r>
      <w:r w:rsidRPr="00574086">
        <w:t xml:space="preserve"> these, 216,154 were classified as medication incidents, with approximately 1% of the medication incidents reported as resulting in moderate harm, severe harm or death</w:t>
      </w:r>
      <w:r w:rsidR="006404CB">
        <w:t xml:space="preserve"> (</w:t>
      </w:r>
      <w:r w:rsidR="006404CB" w:rsidRPr="006404CB">
        <w:t>data published by NHS Improvement on 25 September 2019</w:t>
      </w:r>
      <w:r w:rsidR="006404CB">
        <w:t>)</w:t>
      </w:r>
    </w:p>
    <w:p w14:paraId="1DA6E6DF" w14:textId="25601A19" w:rsidR="008612B1" w:rsidRDefault="008612B1" w:rsidP="00237E74">
      <w:pPr>
        <w:pStyle w:val="Paragraph"/>
        <w:numPr>
          <w:ilvl w:val="0"/>
          <w:numId w:val="17"/>
        </w:numPr>
      </w:pPr>
      <w:r w:rsidRPr="008612B1">
        <w:t xml:space="preserve">35% of acute trusts had </w:t>
      </w:r>
      <w:proofErr w:type="spellStart"/>
      <w:r w:rsidRPr="008612B1">
        <w:t>ePMA</w:t>
      </w:r>
      <w:proofErr w:type="spellEnd"/>
      <w:r w:rsidRPr="008612B1">
        <w:t xml:space="preserve"> supported inpatient prescribing </w:t>
      </w:r>
      <w:r w:rsidR="003007AA">
        <w:t>(</w:t>
      </w:r>
      <w:r w:rsidR="00D60D05">
        <w:t xml:space="preserve">between January 2016 </w:t>
      </w:r>
      <w:r w:rsidR="003007AA" w:rsidRPr="003007AA">
        <w:t>November 2017</w:t>
      </w:r>
      <w:r w:rsidR="003007AA">
        <w:t>)</w:t>
      </w:r>
    </w:p>
    <w:p w14:paraId="65FE9035" w14:textId="4A0E19AF" w:rsidR="00B07A96" w:rsidRPr="00150EA4" w:rsidRDefault="00E95BA8" w:rsidP="00237E74">
      <w:pPr>
        <w:pStyle w:val="Paragraph"/>
        <w:numPr>
          <w:ilvl w:val="0"/>
          <w:numId w:val="17"/>
        </w:numPr>
      </w:pPr>
      <w:r>
        <w:t>d</w:t>
      </w:r>
      <w:r w:rsidRPr="00E95BA8">
        <w:t xml:space="preserve">igital maturity around </w:t>
      </w:r>
      <w:proofErr w:type="spellStart"/>
      <w:r w:rsidRPr="00E95BA8">
        <w:t>ePrescribing</w:t>
      </w:r>
      <w:proofErr w:type="spellEnd"/>
      <w:r w:rsidRPr="00E95BA8">
        <w:t xml:space="preserve"> across trusts ranged from 0% to 71%, with the average being 21%</w:t>
      </w:r>
      <w:r w:rsidR="00C0747A">
        <w:t xml:space="preserve"> (2017)</w:t>
      </w:r>
    </w:p>
    <w:p w14:paraId="20101504" w14:textId="20E3D873" w:rsidR="00147837" w:rsidRDefault="00147837" w:rsidP="00147837">
      <w:pPr>
        <w:pStyle w:val="Numberedheading3"/>
      </w:pPr>
      <w:r>
        <w:lastRenderedPageBreak/>
        <w:t xml:space="preserve">Communicating and giving information </w:t>
      </w:r>
    </w:p>
    <w:p w14:paraId="24030E13" w14:textId="2A5CB285" w:rsidR="00147837" w:rsidRDefault="00147837" w:rsidP="00147837">
      <w:pPr>
        <w:pStyle w:val="Paragraph"/>
      </w:pPr>
      <w:r>
        <w:t xml:space="preserve">Stakeholders felt </w:t>
      </w:r>
      <w:r w:rsidR="00D83CB0">
        <w:t xml:space="preserve">that all </w:t>
      </w:r>
      <w:r w:rsidR="00A71CA8">
        <w:t>people undergoing surgery</w:t>
      </w:r>
      <w:r w:rsidR="00D83CB0" w:rsidRPr="00D83CB0">
        <w:t xml:space="preserve"> </w:t>
      </w:r>
      <w:r w:rsidR="00D83CB0">
        <w:t xml:space="preserve">(regardless of surgery type) </w:t>
      </w:r>
      <w:r w:rsidR="00D83CB0" w:rsidRPr="00D83CB0">
        <w:t xml:space="preserve">should be involved in </w:t>
      </w:r>
      <w:r w:rsidR="00D83CB0">
        <w:t>s</w:t>
      </w:r>
      <w:r w:rsidR="00D83CB0" w:rsidRPr="00D83CB0">
        <w:t xml:space="preserve">hared </w:t>
      </w:r>
      <w:r w:rsidR="00D83CB0">
        <w:t>d</w:t>
      </w:r>
      <w:r w:rsidR="00D83CB0" w:rsidRPr="00D83CB0">
        <w:t xml:space="preserve">ecision </w:t>
      </w:r>
      <w:r w:rsidR="00D83CB0">
        <w:t>m</w:t>
      </w:r>
      <w:r w:rsidR="00D83CB0" w:rsidRPr="00D83CB0">
        <w:t>aking</w:t>
      </w:r>
      <w:r w:rsidR="00D83CB0">
        <w:t xml:space="preserve"> before </w:t>
      </w:r>
      <w:r w:rsidR="00D83CB0" w:rsidRPr="00D83CB0">
        <w:t>surgery</w:t>
      </w:r>
      <w:r w:rsidR="00D83CB0">
        <w:t xml:space="preserve">. </w:t>
      </w:r>
      <w:r w:rsidR="00D83CB0" w:rsidRPr="00D83CB0">
        <w:t xml:space="preserve">Effective two way communication processes </w:t>
      </w:r>
      <w:r w:rsidR="00D83CB0">
        <w:t>were considered</w:t>
      </w:r>
      <w:r w:rsidR="00D83CB0" w:rsidRPr="00D83CB0">
        <w:t xml:space="preserve"> vital </w:t>
      </w:r>
      <w:r w:rsidR="00D83CB0">
        <w:t xml:space="preserve">for </w:t>
      </w:r>
      <w:r w:rsidR="00111344">
        <w:t xml:space="preserve">achieving </w:t>
      </w:r>
      <w:r w:rsidR="00D83CB0" w:rsidRPr="00D83CB0">
        <w:t>consistent high quality perioperative care outcomes</w:t>
      </w:r>
      <w:r w:rsidR="00D83CB0">
        <w:t>. A stakeholder suggested e</w:t>
      </w:r>
      <w:r w:rsidR="00D83CB0" w:rsidRPr="00D83CB0">
        <w:t xml:space="preserve">mbedding a standardised </w:t>
      </w:r>
      <w:r w:rsidR="00111344">
        <w:t>s</w:t>
      </w:r>
      <w:r w:rsidR="00D83CB0" w:rsidRPr="00D83CB0">
        <w:t xml:space="preserve">hared decision making tool in perioperative care </w:t>
      </w:r>
      <w:r w:rsidR="00036DB3">
        <w:t>to</w:t>
      </w:r>
      <w:r w:rsidR="00D83CB0" w:rsidRPr="00D83CB0">
        <w:t xml:space="preserve"> empower patients to take a lead in their care </w:t>
      </w:r>
      <w:r w:rsidR="00111344">
        <w:t>and</w:t>
      </w:r>
      <w:r w:rsidR="00D83CB0" w:rsidRPr="00D83CB0">
        <w:t xml:space="preserve"> </w:t>
      </w:r>
      <w:r w:rsidR="00111344">
        <w:t>provide</w:t>
      </w:r>
      <w:r w:rsidR="00D83CB0" w:rsidRPr="00D83CB0">
        <w:t xml:space="preserve"> clinicians a framework for treatment decision making</w:t>
      </w:r>
      <w:r w:rsidR="00036DB3">
        <w:t xml:space="preserve">. </w:t>
      </w:r>
    </w:p>
    <w:p w14:paraId="19829A9F" w14:textId="4F92FA89" w:rsidR="00D83CB0" w:rsidRDefault="00111344" w:rsidP="00147837">
      <w:pPr>
        <w:pStyle w:val="Paragraph"/>
      </w:pPr>
      <w:r>
        <w:t>Stakeholders</w:t>
      </w:r>
      <w:r w:rsidR="00036DB3">
        <w:t xml:space="preserve"> fel</w:t>
      </w:r>
      <w:r>
        <w:t>t</w:t>
      </w:r>
      <w:r w:rsidR="00036DB3">
        <w:t xml:space="preserve"> that the c</w:t>
      </w:r>
      <w:r w:rsidR="00D83CB0" w:rsidRPr="00D83CB0">
        <w:t>ommunication</w:t>
      </w:r>
      <w:r w:rsidR="00036DB3">
        <w:t xml:space="preserve"> of i</w:t>
      </w:r>
      <w:r w:rsidR="00D83CB0" w:rsidRPr="00D83CB0">
        <w:t>nformation</w:t>
      </w:r>
      <w:r w:rsidR="00036DB3">
        <w:t xml:space="preserve">, and the </w:t>
      </w:r>
      <w:r w:rsidRPr="00D83CB0">
        <w:t>involvement</w:t>
      </w:r>
      <w:r w:rsidR="00D83CB0" w:rsidRPr="00D83CB0">
        <w:t xml:space="preserve"> of family members and carers </w:t>
      </w:r>
      <w:r w:rsidR="00036DB3">
        <w:t xml:space="preserve">was </w:t>
      </w:r>
      <w:r w:rsidR="00D83CB0" w:rsidRPr="00D83CB0">
        <w:t xml:space="preserve">particularly </w:t>
      </w:r>
      <w:r>
        <w:t xml:space="preserve">important </w:t>
      </w:r>
      <w:r w:rsidR="00D83CB0" w:rsidRPr="00D83CB0">
        <w:t xml:space="preserve">for high risk </w:t>
      </w:r>
      <w:r w:rsidR="00A71CA8">
        <w:t>people</w:t>
      </w:r>
      <w:r w:rsidR="00036DB3">
        <w:t>. The s</w:t>
      </w:r>
      <w:r w:rsidR="00036DB3" w:rsidRPr="00036DB3">
        <w:t>urgical care pathway should make provision for patient educatio</w:t>
      </w:r>
      <w:r w:rsidR="00036DB3">
        <w:t>n</w:t>
      </w:r>
      <w:r w:rsidR="006A4AAB">
        <w:t>,</w:t>
      </w:r>
      <w:r w:rsidR="00036DB3">
        <w:t xml:space="preserve"> and s</w:t>
      </w:r>
      <w:r w:rsidR="00036DB3" w:rsidRPr="00036DB3">
        <w:t xml:space="preserve">urgery schools </w:t>
      </w:r>
      <w:r w:rsidR="00036DB3">
        <w:t>were suggested</w:t>
      </w:r>
      <w:r w:rsidR="00036DB3" w:rsidRPr="00036DB3">
        <w:t xml:space="preserve"> a</w:t>
      </w:r>
      <w:r w:rsidR="00036DB3">
        <w:t>s an appropriate</w:t>
      </w:r>
      <w:r w:rsidR="00036DB3" w:rsidRPr="00036DB3">
        <w:t xml:space="preserve"> method </w:t>
      </w:r>
      <w:r>
        <w:t>for</w:t>
      </w:r>
      <w:r w:rsidR="00036DB3" w:rsidRPr="00036DB3">
        <w:t xml:space="preserve"> achieving this</w:t>
      </w:r>
      <w:r w:rsidR="00036DB3">
        <w:t xml:space="preserve">. One stakeholder felt that all </w:t>
      </w:r>
      <w:r w:rsidR="00A71CA8">
        <w:t>people</w:t>
      </w:r>
      <w:r w:rsidR="00D83CB0" w:rsidRPr="00D83CB0">
        <w:t xml:space="preserve"> </w:t>
      </w:r>
      <w:r w:rsidR="00036DB3">
        <w:t xml:space="preserve">scheduled </w:t>
      </w:r>
      <w:r w:rsidR="00D83CB0" w:rsidRPr="00D83CB0">
        <w:t xml:space="preserve">for </w:t>
      </w:r>
      <w:r w:rsidR="00036DB3">
        <w:t xml:space="preserve">elective </w:t>
      </w:r>
      <w:r w:rsidR="00D83CB0" w:rsidRPr="00D83CB0">
        <w:t>major surgery should attend a surgery school.</w:t>
      </w:r>
      <w:r w:rsidR="00036DB3" w:rsidRPr="00036DB3">
        <w:t xml:space="preserve"> </w:t>
      </w:r>
    </w:p>
    <w:p w14:paraId="243FBDA7" w14:textId="77777777" w:rsidR="00147837" w:rsidRPr="00F45FBA" w:rsidRDefault="00147837" w:rsidP="00147837">
      <w:pPr>
        <w:pStyle w:val="Heading4"/>
      </w:pPr>
      <w:r>
        <w:t>S</w:t>
      </w:r>
      <w:r w:rsidRPr="00CD3D03">
        <w:t xml:space="preserve">elected recommendations </w:t>
      </w:r>
    </w:p>
    <w:p w14:paraId="3C5B85D6" w14:textId="77777777" w:rsidR="00147837" w:rsidRDefault="00147837" w:rsidP="00147837">
      <w:pPr>
        <w:pStyle w:val="Paragraph"/>
      </w:pPr>
      <w:r w:rsidRPr="00D85A0E">
        <w:t xml:space="preserve">NICE’s guideline on </w:t>
      </w:r>
      <w:hyperlink r:id="rId59" w:history="1">
        <w:r w:rsidRPr="00D85A0E">
          <w:rPr>
            <w:rStyle w:val="Hyperlink"/>
          </w:rPr>
          <w:t>perioperative care in adults (NG180)</w:t>
        </w:r>
      </w:hyperlink>
      <w:r w:rsidRPr="00D85A0E">
        <w:t>:</w:t>
      </w:r>
    </w:p>
    <w:p w14:paraId="2AB41849" w14:textId="45BCB454" w:rsidR="00C74D79" w:rsidRDefault="00C74D79" w:rsidP="00C74D79">
      <w:pPr>
        <w:pStyle w:val="Paragraph"/>
      </w:pPr>
      <w:r>
        <w:t xml:space="preserve">1.1.2 Follow the recommendations in the </w:t>
      </w:r>
      <w:r w:rsidRPr="00A71CA8">
        <w:t>NICE guidelines on patient experience in adult NHS services</w:t>
      </w:r>
      <w:r>
        <w:t xml:space="preserve"> and shared decision making, particularly relating to:</w:t>
      </w:r>
    </w:p>
    <w:p w14:paraId="5A95B1BF" w14:textId="77777777" w:rsidR="00C74D79" w:rsidRDefault="00C74D79" w:rsidP="00A546D0">
      <w:pPr>
        <w:pStyle w:val="Paragraph"/>
        <w:numPr>
          <w:ilvl w:val="0"/>
          <w:numId w:val="13"/>
        </w:numPr>
      </w:pPr>
      <w:r>
        <w:t>involvement of family members and carers</w:t>
      </w:r>
    </w:p>
    <w:p w14:paraId="5570B84C" w14:textId="77777777" w:rsidR="00C74D79" w:rsidRDefault="00C74D79" w:rsidP="00A546D0">
      <w:pPr>
        <w:pStyle w:val="Paragraph"/>
        <w:numPr>
          <w:ilvl w:val="0"/>
          <w:numId w:val="13"/>
        </w:numPr>
      </w:pPr>
      <w:r>
        <w:t>communication</w:t>
      </w:r>
    </w:p>
    <w:p w14:paraId="2543A10F" w14:textId="77777777" w:rsidR="00C74D79" w:rsidRDefault="00C74D79" w:rsidP="00A546D0">
      <w:pPr>
        <w:pStyle w:val="Paragraph"/>
        <w:numPr>
          <w:ilvl w:val="0"/>
          <w:numId w:val="13"/>
        </w:numPr>
      </w:pPr>
      <w:r>
        <w:t>information</w:t>
      </w:r>
    </w:p>
    <w:p w14:paraId="5021C2D0" w14:textId="415C7D04" w:rsidR="0027044E" w:rsidRPr="00D85A0E" w:rsidRDefault="00C74D79" w:rsidP="0027044E">
      <w:pPr>
        <w:pStyle w:val="Paragraph"/>
        <w:numPr>
          <w:ilvl w:val="0"/>
          <w:numId w:val="13"/>
        </w:numPr>
      </w:pPr>
      <w:r>
        <w:t>shared decision making.</w:t>
      </w:r>
    </w:p>
    <w:p w14:paraId="6B657192" w14:textId="55464E0A" w:rsidR="009328E9" w:rsidRDefault="009328E9" w:rsidP="009328E9">
      <w:pPr>
        <w:pStyle w:val="Heading4"/>
      </w:pPr>
      <w:r>
        <w:t>Existing quality statements</w:t>
      </w:r>
    </w:p>
    <w:p w14:paraId="2141C2A1" w14:textId="430365DE" w:rsidR="00C1509B" w:rsidRDefault="00C1509B" w:rsidP="00C1509B">
      <w:pPr>
        <w:pStyle w:val="Paragraph"/>
      </w:pPr>
      <w:r>
        <w:t xml:space="preserve">NICE’s quality standard on </w:t>
      </w:r>
      <w:hyperlink r:id="rId60" w:history="1">
        <w:r w:rsidR="00D31B34" w:rsidRPr="008620D7">
          <w:rPr>
            <w:rStyle w:val="Hyperlink"/>
          </w:rPr>
          <w:t>Patient experience in adult NHS services</w:t>
        </w:r>
      </w:hyperlink>
      <w:r w:rsidR="00D31B34" w:rsidRPr="00D31B34">
        <w:t xml:space="preserve"> </w:t>
      </w:r>
      <w:r>
        <w:t>(QS</w:t>
      </w:r>
      <w:r w:rsidR="00D31B34">
        <w:t>15</w:t>
      </w:r>
      <w:r>
        <w:t>):</w:t>
      </w:r>
    </w:p>
    <w:p w14:paraId="5866409B" w14:textId="79456177" w:rsidR="00C1509B" w:rsidRDefault="00C1509B" w:rsidP="00C1509B">
      <w:pPr>
        <w:pStyle w:val="Paragraph"/>
      </w:pPr>
      <w:r>
        <w:t xml:space="preserve">Quality statement </w:t>
      </w:r>
      <w:r w:rsidR="00D31B34">
        <w:t>4: Individualised care</w:t>
      </w:r>
    </w:p>
    <w:p w14:paraId="55AE0990" w14:textId="1F52D28D" w:rsidR="00E45B00" w:rsidRDefault="00E45B00" w:rsidP="00C1509B">
      <w:pPr>
        <w:pStyle w:val="Paragraph"/>
      </w:pPr>
      <w:r w:rsidRPr="00E45B00">
        <w:t>People using adult NHS services experience care and treatment that is tailored to their needs and preferences.</w:t>
      </w:r>
    </w:p>
    <w:p w14:paraId="6759666E" w14:textId="35457655" w:rsidR="00E45B00" w:rsidRDefault="00E45B00" w:rsidP="00C1509B">
      <w:pPr>
        <w:pStyle w:val="Paragraph"/>
      </w:pPr>
      <w:r>
        <w:t xml:space="preserve">Quality statement 5: </w:t>
      </w:r>
      <w:r w:rsidRPr="00E45B00">
        <w:t>Preferences for sharing information</w:t>
      </w:r>
    </w:p>
    <w:p w14:paraId="4BBD248B" w14:textId="052D1294" w:rsidR="001B221E" w:rsidRDefault="001B221E" w:rsidP="00C1509B">
      <w:pPr>
        <w:pStyle w:val="Paragraph"/>
      </w:pPr>
      <w:r w:rsidRPr="001B221E">
        <w:t>People using adult NHS services have their preferences for sharing information with their family members and carers established, respected and reviewed throughout their care.</w:t>
      </w:r>
    </w:p>
    <w:p w14:paraId="6B28006C" w14:textId="7B2931AD" w:rsidR="001B221E" w:rsidRDefault="001B221E" w:rsidP="00C1509B">
      <w:pPr>
        <w:pStyle w:val="Paragraph"/>
      </w:pPr>
      <w:r>
        <w:lastRenderedPageBreak/>
        <w:t xml:space="preserve">Quality statement 6: </w:t>
      </w:r>
      <w:r w:rsidRPr="001B221E">
        <w:t>Decision making</w:t>
      </w:r>
    </w:p>
    <w:p w14:paraId="69306A20" w14:textId="2487214D" w:rsidR="001B221E" w:rsidRPr="00C1509B" w:rsidRDefault="001B221E" w:rsidP="00C1509B">
      <w:pPr>
        <w:pStyle w:val="Paragraph"/>
      </w:pPr>
      <w:r w:rsidRPr="001B221E">
        <w:t>People using adult NHS services are supported in shared decision making.</w:t>
      </w:r>
    </w:p>
    <w:p w14:paraId="69D80DDC" w14:textId="6B00A878" w:rsidR="0027044E" w:rsidRPr="0027044E" w:rsidRDefault="0027044E" w:rsidP="0027044E">
      <w:pPr>
        <w:pStyle w:val="Heading4"/>
      </w:pPr>
      <w:r>
        <w:t>Current UK practice</w:t>
      </w:r>
    </w:p>
    <w:p w14:paraId="3F8E2AE8" w14:textId="77777777" w:rsidR="000B4261" w:rsidRDefault="000B4261" w:rsidP="000B4261">
      <w:pPr>
        <w:pStyle w:val="Paragraph"/>
      </w:pPr>
      <w:r>
        <w:t xml:space="preserve">Data from the </w:t>
      </w:r>
      <w:hyperlink r:id="rId61" w:history="1">
        <w:r w:rsidRPr="00732111">
          <w:rPr>
            <w:rStyle w:val="Hyperlink"/>
          </w:rPr>
          <w:t>Perioperative Quality Improvement Programme (PQIP) Report 5</w:t>
        </w:r>
      </w:hyperlink>
      <w:r>
        <w:t xml:space="preserve"> (March 2023 to March 2024) showed that:</w:t>
      </w:r>
    </w:p>
    <w:p w14:paraId="4C10D016" w14:textId="54A244EB" w:rsidR="000B4261" w:rsidRDefault="000B4261" w:rsidP="00237E74">
      <w:pPr>
        <w:pStyle w:val="Paragraph"/>
        <w:numPr>
          <w:ilvl w:val="0"/>
          <w:numId w:val="17"/>
        </w:numPr>
      </w:pPr>
      <w:r w:rsidRPr="00A546D0">
        <w:t>9</w:t>
      </w:r>
      <w:r w:rsidR="0073137C">
        <w:t>8</w:t>
      </w:r>
      <w:r w:rsidRPr="00A546D0">
        <w:t>% of patients report</w:t>
      </w:r>
      <w:r>
        <w:t>ed</w:t>
      </w:r>
      <w:r w:rsidRPr="00A546D0">
        <w:t xml:space="preserve"> </w:t>
      </w:r>
      <w:r w:rsidR="0073137C">
        <w:t>satisfaction with the information shared by their anaesthetist</w:t>
      </w:r>
    </w:p>
    <w:p w14:paraId="7D7C68C6" w14:textId="242723EA" w:rsidR="006A2686" w:rsidRDefault="00A71CA8" w:rsidP="006A2686">
      <w:pPr>
        <w:pStyle w:val="Paragraph"/>
      </w:pPr>
      <w:r>
        <w:t>An example from surgical specialities included d</w:t>
      </w:r>
      <w:r w:rsidR="006A2686">
        <w:t>ata from 29 hospitals in England and Wales on pre-operative education for patients undergoing total hip replacements (THR) and total knee replacements (TKR), surveyed between July and September 2023 (</w:t>
      </w:r>
      <w:hyperlink r:id="rId62" w:history="1">
        <w:r w:rsidR="006A2686" w:rsidRPr="006B342B">
          <w:rPr>
            <w:rStyle w:val="Hyperlink"/>
          </w:rPr>
          <w:t>Pre-operative education and prehabilitation provision for patients undergoing hip and knee replacement: a national survey of current NHS practice</w:t>
        </w:r>
      </w:hyperlink>
      <w:r w:rsidR="006A2686">
        <w:t>)</w:t>
      </w:r>
      <w:r>
        <w:t xml:space="preserve">. The survey </w:t>
      </w:r>
      <w:r w:rsidR="006A2686">
        <w:t xml:space="preserve">showed that: </w:t>
      </w:r>
    </w:p>
    <w:p w14:paraId="4788D144" w14:textId="3498D56A" w:rsidR="006A2686" w:rsidRDefault="006A2686" w:rsidP="00237E74">
      <w:pPr>
        <w:pStyle w:val="Paragraph"/>
        <w:numPr>
          <w:ilvl w:val="0"/>
          <w:numId w:val="31"/>
        </w:numPr>
      </w:pPr>
      <w:r>
        <w:t>28 hospitals provided p</w:t>
      </w:r>
      <w:r w:rsidRPr="006A2686">
        <w:t xml:space="preserve">re-operative education to patients waiting for TKR and THR </w:t>
      </w:r>
      <w:r>
        <w:t>(primarily provided in a single face-to-face session with talks/presentations led by nurses, physiotherapists and occupational therapists, with provision of written information/booklets. Some hospitals offered virtual, video, website or other electronic formats)</w:t>
      </w:r>
    </w:p>
    <w:p w14:paraId="50EF0AC1" w14:textId="77777777" w:rsidR="006A2686" w:rsidRDefault="006A2686" w:rsidP="006A2686">
      <w:pPr>
        <w:pStyle w:val="Paragraph"/>
      </w:pPr>
    </w:p>
    <w:p w14:paraId="72C48269" w14:textId="77777777" w:rsidR="00386DF7" w:rsidRDefault="00386DF7" w:rsidP="00386DF7">
      <w:pPr>
        <w:pStyle w:val="Paragraph"/>
      </w:pPr>
    </w:p>
    <w:p w14:paraId="2A9F2CE4" w14:textId="32E59D62" w:rsidR="000F4AB9" w:rsidRDefault="000F4AB9" w:rsidP="000F4AB9">
      <w:pPr>
        <w:pStyle w:val="Paragraph"/>
      </w:pPr>
    </w:p>
    <w:p w14:paraId="295AEE14" w14:textId="0C998B39" w:rsidR="00253476" w:rsidRPr="00253476" w:rsidRDefault="00B07A96" w:rsidP="00253476">
      <w:r>
        <w:br w:type="page"/>
      </w:r>
    </w:p>
    <w:p w14:paraId="672D76EB" w14:textId="2F4505AB" w:rsidR="00147837" w:rsidRDefault="00147837" w:rsidP="00147837">
      <w:pPr>
        <w:pStyle w:val="Numberedheading3"/>
      </w:pPr>
      <w:r>
        <w:lastRenderedPageBreak/>
        <w:t xml:space="preserve">Information and support for people with learning disabilities </w:t>
      </w:r>
    </w:p>
    <w:p w14:paraId="3E3BC618" w14:textId="567436A6" w:rsidR="00F92F4E" w:rsidRDefault="00147837" w:rsidP="00147837">
      <w:pPr>
        <w:pStyle w:val="Paragraph"/>
      </w:pPr>
      <w:r>
        <w:t xml:space="preserve">Stakeholders </w:t>
      </w:r>
      <w:r w:rsidR="00F92F4E">
        <w:t xml:space="preserve">highlighted perioperative communication and support for </w:t>
      </w:r>
      <w:r w:rsidR="00A71CA8">
        <w:t>people</w:t>
      </w:r>
      <w:r w:rsidR="00F92F4E">
        <w:t xml:space="preserve"> with a learning disability </w:t>
      </w:r>
      <w:r w:rsidR="00A71CA8">
        <w:t xml:space="preserve">undergoing surgery </w:t>
      </w:r>
      <w:r w:rsidR="00F92F4E">
        <w:t xml:space="preserve">as an area of quality improvement. Stakeholders felt that staff should be aware of the communication and support needs of </w:t>
      </w:r>
      <w:r w:rsidR="00347465">
        <w:t>people</w:t>
      </w:r>
      <w:r w:rsidR="00F92F4E">
        <w:t xml:space="preserve"> with a learning disability so that they can respond to </w:t>
      </w:r>
      <w:r w:rsidR="00347465">
        <w:t xml:space="preserve">them and allow </w:t>
      </w:r>
      <w:r w:rsidR="00F92F4E" w:rsidRPr="00F92F4E">
        <w:t xml:space="preserve">time </w:t>
      </w:r>
      <w:r w:rsidR="00F92F4E">
        <w:t xml:space="preserve">to offer additional </w:t>
      </w:r>
      <w:r w:rsidR="00F92F4E" w:rsidRPr="00F92F4E">
        <w:t>explana</w:t>
      </w:r>
      <w:r w:rsidR="00F92F4E">
        <w:t>tion</w:t>
      </w:r>
      <w:r w:rsidR="00F92F4E" w:rsidRPr="00F92F4E">
        <w:t xml:space="preserve"> and reassu</w:t>
      </w:r>
      <w:r w:rsidR="00F92F4E">
        <w:t>rance when needed</w:t>
      </w:r>
      <w:r w:rsidR="00F92F4E" w:rsidRPr="00F92F4E">
        <w:t>.</w:t>
      </w:r>
      <w:r w:rsidR="00F92F4E">
        <w:t xml:space="preserve"> </w:t>
      </w:r>
      <w:r w:rsidR="00F92F4E" w:rsidRPr="00F92F4E">
        <w:t xml:space="preserve">At the preoperative assessment of </w:t>
      </w:r>
      <w:r w:rsidR="00F92F4E">
        <w:t xml:space="preserve">a </w:t>
      </w:r>
      <w:r w:rsidR="00347465">
        <w:t>person</w:t>
      </w:r>
      <w:r w:rsidR="00F92F4E" w:rsidRPr="00F92F4E">
        <w:t xml:space="preserve"> </w:t>
      </w:r>
      <w:r w:rsidR="00F92F4E">
        <w:t>with</w:t>
      </w:r>
      <w:r w:rsidR="00F92F4E" w:rsidRPr="00F92F4E">
        <w:t xml:space="preserve"> </w:t>
      </w:r>
      <w:r w:rsidR="00F92F4E">
        <w:t xml:space="preserve">a </w:t>
      </w:r>
      <w:r w:rsidR="00F92F4E" w:rsidRPr="00F92F4E">
        <w:t>learning disability</w:t>
      </w:r>
      <w:r w:rsidR="00F92F4E">
        <w:t xml:space="preserve">, </w:t>
      </w:r>
      <w:r w:rsidR="00F92F4E" w:rsidRPr="00F92F4E">
        <w:t>consideration should be given to the admission of an adult carer</w:t>
      </w:r>
      <w:r w:rsidR="00F92F4E">
        <w:t xml:space="preserve">, </w:t>
      </w:r>
      <w:r w:rsidR="00F92F4E" w:rsidRPr="00F92F4E">
        <w:t>parent</w:t>
      </w:r>
      <w:r w:rsidR="00F92F4E">
        <w:t xml:space="preserve"> or </w:t>
      </w:r>
      <w:r w:rsidR="00F92F4E" w:rsidRPr="00F92F4E">
        <w:t>advocate including the provision of overnight accommodation.</w:t>
      </w:r>
    </w:p>
    <w:p w14:paraId="48BF2A98" w14:textId="0B2F488B" w:rsidR="00591270" w:rsidRDefault="00F92F4E" w:rsidP="00147837">
      <w:pPr>
        <w:pStyle w:val="Paragraph"/>
      </w:pPr>
      <w:r>
        <w:t>Stakeholders felt that e</w:t>
      </w:r>
      <w:r w:rsidR="00591270" w:rsidRPr="00591270">
        <w:t xml:space="preserve">veryone involved in the admission </w:t>
      </w:r>
      <w:r>
        <w:t>of a patient with a</w:t>
      </w:r>
      <w:r w:rsidR="00591270" w:rsidRPr="00591270">
        <w:t xml:space="preserve"> learning disability </w:t>
      </w:r>
      <w:r>
        <w:t>should</w:t>
      </w:r>
      <w:r w:rsidR="00591270" w:rsidRPr="00591270">
        <w:t xml:space="preserve"> be mandated to consult the </w:t>
      </w:r>
      <w:r w:rsidR="00347465">
        <w:t>person’s</w:t>
      </w:r>
      <w:r w:rsidR="00591270" w:rsidRPr="00591270">
        <w:t xml:space="preserve"> Hospital Passport (Health Passport) at the first contact and ensure that the </w:t>
      </w:r>
      <w:r w:rsidR="00955B84">
        <w:t xml:space="preserve">necessary </w:t>
      </w:r>
      <w:r w:rsidR="00591270" w:rsidRPr="00591270">
        <w:t xml:space="preserve">information </w:t>
      </w:r>
      <w:r w:rsidR="00955B84">
        <w:t>within it, is</w:t>
      </w:r>
      <w:r w:rsidR="00591270" w:rsidRPr="00591270">
        <w:t xml:space="preserve"> passed on to other wards and departments</w:t>
      </w:r>
      <w:r>
        <w:t>. In addition, consideration should be given to e</w:t>
      </w:r>
      <w:r w:rsidRPr="00F92F4E">
        <w:t>nvironmental factors</w:t>
      </w:r>
      <w:r w:rsidR="00955B84">
        <w:t xml:space="preserve"> (</w:t>
      </w:r>
      <w:r>
        <w:t xml:space="preserve">particularly as hospitals can be </w:t>
      </w:r>
      <w:r w:rsidRPr="00F92F4E">
        <w:t xml:space="preserve">disorienting and confusing </w:t>
      </w:r>
      <w:r>
        <w:t>place</w:t>
      </w:r>
      <w:r w:rsidR="00955B84">
        <w:t>s)</w:t>
      </w:r>
      <w:r w:rsidRPr="00F92F4E">
        <w:t xml:space="preserve"> </w:t>
      </w:r>
      <w:r>
        <w:t>and e</w:t>
      </w:r>
      <w:r w:rsidRPr="00F92F4E">
        <w:t>fforts</w:t>
      </w:r>
      <w:r w:rsidR="00955B84">
        <w:t xml:space="preserve"> made</w:t>
      </w:r>
      <w:r w:rsidRPr="00F92F4E">
        <w:t xml:space="preserve"> to </w:t>
      </w:r>
      <w:r>
        <w:t xml:space="preserve">make reasonable </w:t>
      </w:r>
      <w:r w:rsidRPr="00F92F4E">
        <w:t>adjust</w:t>
      </w:r>
      <w:r>
        <w:t>ments</w:t>
      </w:r>
      <w:r w:rsidRPr="00F92F4E">
        <w:t xml:space="preserve"> to suit the needs of the </w:t>
      </w:r>
      <w:r w:rsidR="00347465">
        <w:t>person</w:t>
      </w:r>
      <w:r w:rsidRPr="00F92F4E">
        <w:t xml:space="preserve">. </w:t>
      </w:r>
      <w:r>
        <w:t>Stakeholders highlighted that the</w:t>
      </w:r>
      <w:r w:rsidRPr="00F92F4E">
        <w:t xml:space="preserve"> rate of perioperative complications </w:t>
      </w:r>
      <w:r>
        <w:t xml:space="preserve">was </w:t>
      </w:r>
      <w:r w:rsidRPr="00F92F4E">
        <w:t xml:space="preserve">higher in </w:t>
      </w:r>
      <w:r w:rsidR="00347465">
        <w:t>people</w:t>
      </w:r>
      <w:r w:rsidRPr="00F92F4E">
        <w:t xml:space="preserve"> with </w:t>
      </w:r>
      <w:r w:rsidR="00955B84">
        <w:t xml:space="preserve">a </w:t>
      </w:r>
      <w:r w:rsidRPr="00F92F4E">
        <w:t xml:space="preserve">learning disability </w:t>
      </w:r>
      <w:r>
        <w:t xml:space="preserve">and </w:t>
      </w:r>
      <w:r w:rsidR="00E14203">
        <w:t xml:space="preserve">that </w:t>
      </w:r>
      <w:r>
        <w:t>p</w:t>
      </w:r>
      <w:r w:rsidRPr="00F92F4E">
        <w:t xml:space="preserve">ain detection and management is </w:t>
      </w:r>
      <w:r>
        <w:t xml:space="preserve">particularly </w:t>
      </w:r>
      <w:r w:rsidRPr="00F92F4E">
        <w:t>challenging</w:t>
      </w:r>
      <w:r>
        <w:t xml:space="preserve"> in th</w:t>
      </w:r>
      <w:r w:rsidR="00E14203">
        <w:t>is group of</w:t>
      </w:r>
      <w:r>
        <w:t xml:space="preserve"> </w:t>
      </w:r>
      <w:r w:rsidR="00347465">
        <w:t>people</w:t>
      </w:r>
      <w:r w:rsidRPr="00F92F4E">
        <w:t>.</w:t>
      </w:r>
    </w:p>
    <w:p w14:paraId="3C0E8EB6" w14:textId="77777777" w:rsidR="00147837" w:rsidRPr="00F45FBA" w:rsidRDefault="00147837" w:rsidP="00147837">
      <w:pPr>
        <w:pStyle w:val="Heading4"/>
      </w:pPr>
      <w:r>
        <w:t>S</w:t>
      </w:r>
      <w:r w:rsidRPr="00CD3D03">
        <w:t xml:space="preserve">elected recommendations </w:t>
      </w:r>
    </w:p>
    <w:p w14:paraId="1585AACB" w14:textId="77777777" w:rsidR="00147837" w:rsidRPr="00D85A0E" w:rsidRDefault="00147837" w:rsidP="00147837">
      <w:pPr>
        <w:pStyle w:val="Paragraph"/>
      </w:pPr>
      <w:r w:rsidRPr="00D85A0E">
        <w:t xml:space="preserve">NICE’s guideline on </w:t>
      </w:r>
      <w:hyperlink r:id="rId63" w:history="1">
        <w:r w:rsidRPr="00D85A0E">
          <w:rPr>
            <w:rStyle w:val="Hyperlink"/>
          </w:rPr>
          <w:t>perioperative care in adults (NG180)</w:t>
        </w:r>
      </w:hyperlink>
      <w:r w:rsidRPr="00D85A0E">
        <w:t>:</w:t>
      </w:r>
    </w:p>
    <w:p w14:paraId="4EF5A987" w14:textId="412B9569" w:rsidR="00147837" w:rsidRDefault="00C20C4B" w:rsidP="00C20C4B">
      <w:pPr>
        <w:pStyle w:val="Paragraph"/>
      </w:pPr>
      <w:r>
        <w:t xml:space="preserve">1.1.3 For people with a learning disability, follow the </w:t>
      </w:r>
      <w:r w:rsidRPr="00347465">
        <w:t>recommendations on communicating and making information accessible in the NICE guideline on care and support of people growing older with learning disabilities</w:t>
      </w:r>
      <w:r>
        <w:t>.</w:t>
      </w:r>
    </w:p>
    <w:p w14:paraId="4175832C" w14:textId="141D35E8" w:rsidR="00147837" w:rsidRDefault="00477A5F" w:rsidP="00147837">
      <w:pPr>
        <w:pStyle w:val="Heading4"/>
      </w:pPr>
      <w:r>
        <w:t>Existing quality statement</w:t>
      </w:r>
    </w:p>
    <w:p w14:paraId="0BA72B01" w14:textId="78BAD921" w:rsidR="00CB0E7D" w:rsidRDefault="00BC12A2" w:rsidP="00CB0E7D">
      <w:pPr>
        <w:pStyle w:val="Paragraph"/>
      </w:pPr>
      <w:r>
        <w:t xml:space="preserve">NICE’s quality standard on </w:t>
      </w:r>
      <w:hyperlink r:id="rId64" w:history="1">
        <w:r>
          <w:rPr>
            <w:rStyle w:val="Hyperlink"/>
          </w:rPr>
          <w:t>Learning disability: care and support of people growing older</w:t>
        </w:r>
      </w:hyperlink>
      <w:r w:rsidR="000552EE" w:rsidRPr="000552EE">
        <w:t xml:space="preserve"> </w:t>
      </w:r>
      <w:r w:rsidR="00CB0E7D">
        <w:t>(QS</w:t>
      </w:r>
      <w:r w:rsidR="000552EE">
        <w:t>187</w:t>
      </w:r>
      <w:r w:rsidR="00CB0E7D">
        <w:t>):</w:t>
      </w:r>
    </w:p>
    <w:p w14:paraId="712CA497" w14:textId="386C270E" w:rsidR="00477A5F" w:rsidRDefault="00477A5F" w:rsidP="00CB0E7D">
      <w:pPr>
        <w:pStyle w:val="Paragraph"/>
      </w:pPr>
      <w:r w:rsidRPr="00477A5F">
        <w:t>Quality statement 5</w:t>
      </w:r>
      <w:r>
        <w:t>: Hospital admissions</w:t>
      </w:r>
    </w:p>
    <w:p w14:paraId="19714873" w14:textId="13C14AAB" w:rsidR="000552EE" w:rsidRPr="00CB0E7D" w:rsidRDefault="000552EE" w:rsidP="00CB0E7D">
      <w:pPr>
        <w:pStyle w:val="Paragraph"/>
      </w:pPr>
      <w:r w:rsidRPr="000552EE">
        <w:t>People growing older with a learning disability meet hospital staff before any planned hospital admission to agree arrangements that make the stay easier for them.</w:t>
      </w:r>
    </w:p>
    <w:p w14:paraId="174F0AA9" w14:textId="77777777" w:rsidR="00CB0E7D" w:rsidRDefault="00CB0E7D" w:rsidP="00CB0E7D">
      <w:pPr>
        <w:pStyle w:val="Heading4"/>
      </w:pPr>
      <w:r>
        <w:t>Current UK practice</w:t>
      </w:r>
    </w:p>
    <w:p w14:paraId="41FCF356" w14:textId="609AFD15" w:rsidR="00147837" w:rsidRDefault="00B07A96" w:rsidP="00C52B80">
      <w:pPr>
        <w:pStyle w:val="Paragraph"/>
      </w:pPr>
      <w:r w:rsidRPr="00EA5F3B">
        <w:t>No published studies on current practice were highlighted for this suggested area for quality improvement; this area is based on stakeholder’s knowledge and experience.</w:t>
      </w:r>
    </w:p>
    <w:p w14:paraId="25C293C9" w14:textId="77777777" w:rsidR="00C52B80" w:rsidRPr="0067426A" w:rsidRDefault="00C52B80" w:rsidP="00C52B80">
      <w:pPr>
        <w:pStyle w:val="Numberedheading3"/>
      </w:pPr>
      <w:r w:rsidRPr="0067426A">
        <w:lastRenderedPageBreak/>
        <w:t>Issues for consideration</w:t>
      </w:r>
    </w:p>
    <w:p w14:paraId="34AC5E10" w14:textId="77777777" w:rsidR="00C52B80" w:rsidRPr="00B413F2" w:rsidRDefault="00C52B80" w:rsidP="00C52B80">
      <w:pPr>
        <w:pStyle w:val="Paragraph"/>
        <w:rPr>
          <w:b/>
          <w:bCs/>
        </w:rPr>
      </w:pPr>
      <w:r w:rsidRPr="00A6218A">
        <w:rPr>
          <w:b/>
          <w:bCs/>
        </w:rPr>
        <w:t>For discussion:</w:t>
      </w:r>
    </w:p>
    <w:p w14:paraId="03D87AEC" w14:textId="77777777" w:rsidR="0037509A" w:rsidRPr="00D03B17" w:rsidRDefault="0037509A" w:rsidP="0037509A">
      <w:pPr>
        <w:pStyle w:val="Panelbullet1"/>
      </w:pPr>
      <w:r w:rsidRPr="00D03B17">
        <w:t>What is the priority for improvement?</w:t>
      </w:r>
    </w:p>
    <w:p w14:paraId="6B3D0AC2" w14:textId="479FDE6C" w:rsidR="0037509A" w:rsidRPr="00D03B17" w:rsidRDefault="00D03B17" w:rsidP="00D03B17">
      <w:pPr>
        <w:pStyle w:val="ListParagraph"/>
        <w:numPr>
          <w:ilvl w:val="0"/>
          <w:numId w:val="51"/>
        </w:numPr>
        <w:rPr>
          <w:rFonts w:ascii="Arial" w:eastAsia="Times New Roman" w:hAnsi="Arial"/>
          <w:lang w:eastAsia="en-US"/>
        </w:rPr>
      </w:pPr>
      <w:r w:rsidRPr="00D03B17">
        <w:rPr>
          <w:rFonts w:ascii="Arial" w:eastAsia="Times New Roman" w:hAnsi="Arial"/>
          <w:lang w:eastAsia="en-US"/>
        </w:rPr>
        <w:t>The recommendations on the involvement of family members and carers, communication, information, shared decision making, and people with a learning disability link to corresponding NICE guidelines. As a result, there are existing quality statements covered in other quality standards for the following suggested quality improvement areas:</w:t>
      </w:r>
    </w:p>
    <w:p w14:paraId="1FD2B0A3" w14:textId="77777777" w:rsidR="0037509A" w:rsidRPr="00D03B17" w:rsidRDefault="0037509A" w:rsidP="0037509A">
      <w:pPr>
        <w:pStyle w:val="Panelbullet1"/>
        <w:numPr>
          <w:ilvl w:val="1"/>
          <w:numId w:val="51"/>
        </w:numPr>
      </w:pPr>
      <w:r w:rsidRPr="00D03B17">
        <w:t>individualised care</w:t>
      </w:r>
    </w:p>
    <w:p w14:paraId="70CF0FF0" w14:textId="77777777" w:rsidR="0037509A" w:rsidRPr="00D03B17" w:rsidRDefault="0037509A" w:rsidP="0037509A">
      <w:pPr>
        <w:pStyle w:val="Panelbullet1"/>
        <w:numPr>
          <w:ilvl w:val="1"/>
          <w:numId w:val="51"/>
        </w:numPr>
      </w:pPr>
      <w:r w:rsidRPr="00D03B17">
        <w:t>preferences for sharing information</w:t>
      </w:r>
    </w:p>
    <w:p w14:paraId="52A36944" w14:textId="77777777" w:rsidR="0037509A" w:rsidRPr="00D03B17" w:rsidRDefault="0037509A" w:rsidP="0037509A">
      <w:pPr>
        <w:pStyle w:val="Panelbullet1"/>
        <w:numPr>
          <w:ilvl w:val="1"/>
          <w:numId w:val="51"/>
        </w:numPr>
      </w:pPr>
      <w:r w:rsidRPr="00D03B17">
        <w:t>decision making</w:t>
      </w:r>
    </w:p>
    <w:p w14:paraId="311EE056" w14:textId="53FF3D1A" w:rsidR="0037509A" w:rsidRPr="00D03B17" w:rsidRDefault="0037509A" w:rsidP="0037509A">
      <w:pPr>
        <w:pStyle w:val="Panelbullet1"/>
        <w:numPr>
          <w:ilvl w:val="1"/>
          <w:numId w:val="51"/>
        </w:numPr>
      </w:pPr>
      <w:r w:rsidRPr="00D03B17">
        <w:t>hospital admissions for people with a learning disability</w:t>
      </w:r>
    </w:p>
    <w:p w14:paraId="22F05174" w14:textId="77777777" w:rsidR="0037509A" w:rsidRDefault="0037509A" w:rsidP="0037509A">
      <w:pPr>
        <w:pStyle w:val="Panelbullet1"/>
      </w:pPr>
      <w:r>
        <w:t>What is the key action that will lead to improvement?</w:t>
      </w:r>
    </w:p>
    <w:p w14:paraId="78719EF0" w14:textId="77777777" w:rsidR="0037509A" w:rsidRDefault="0037509A" w:rsidP="0037509A">
      <w:pPr>
        <w:pStyle w:val="Panelbullet1"/>
      </w:pPr>
      <w:r>
        <w:t>Could we focus on a specific audience or setting?</w:t>
      </w:r>
    </w:p>
    <w:p w14:paraId="39EB4830" w14:textId="77777777" w:rsidR="0037509A" w:rsidRDefault="0037509A" w:rsidP="0037509A">
      <w:pPr>
        <w:pStyle w:val="Panelbullet1"/>
      </w:pPr>
      <w:r>
        <w:t>Can we develop a specific, measurable statement?</w:t>
      </w:r>
    </w:p>
    <w:p w14:paraId="7147FDEB" w14:textId="77777777" w:rsidR="00C52B80" w:rsidRPr="00A6218A" w:rsidRDefault="00C52B80" w:rsidP="00C52B80">
      <w:pPr>
        <w:pStyle w:val="Paragraph"/>
        <w:rPr>
          <w:b/>
          <w:bCs/>
        </w:rPr>
      </w:pPr>
      <w:r w:rsidRPr="00A6218A">
        <w:rPr>
          <w:b/>
          <w:bCs/>
        </w:rPr>
        <w:t>For decision:</w:t>
      </w:r>
    </w:p>
    <w:p w14:paraId="71E52105" w14:textId="77777777" w:rsidR="00C52B80" w:rsidRDefault="00C52B80" w:rsidP="00C52B80">
      <w:pPr>
        <w:pStyle w:val="Bulletleft1"/>
      </w:pPr>
      <w:r w:rsidRPr="00624810">
        <w:t>Should this area be prioritised for inclusion in the quality standard?</w:t>
      </w:r>
    </w:p>
    <w:p w14:paraId="776B28E5" w14:textId="77777777" w:rsidR="00B86518" w:rsidRPr="00427135" w:rsidRDefault="00B86518" w:rsidP="00A813F7">
      <w:pPr>
        <w:pStyle w:val="Paragraph"/>
      </w:pPr>
      <w:r w:rsidRPr="00427135">
        <w:br w:type="page"/>
      </w:r>
    </w:p>
    <w:p w14:paraId="650CC011" w14:textId="5A44EBD3" w:rsidR="00626943" w:rsidRPr="00427135" w:rsidRDefault="00626943" w:rsidP="00427135">
      <w:pPr>
        <w:pStyle w:val="Numberedheading2"/>
      </w:pPr>
      <w:bookmarkStart w:id="106" w:name="_Toc208847670"/>
      <w:r w:rsidRPr="00427135">
        <w:lastRenderedPageBreak/>
        <w:t>Additional areas</w:t>
      </w:r>
      <w:bookmarkEnd w:id="106"/>
    </w:p>
    <w:p w14:paraId="35313527" w14:textId="77777777" w:rsidR="00626943" w:rsidRPr="00E80EE3" w:rsidRDefault="00626943" w:rsidP="00427135">
      <w:pPr>
        <w:pStyle w:val="Heading3"/>
      </w:pPr>
      <w:r w:rsidRPr="00E80EE3">
        <w:t>Summary of suggestions</w:t>
      </w:r>
    </w:p>
    <w:p w14:paraId="3BD0DF00"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5707E7ED"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655962A3" w14:textId="64AB9AAE" w:rsidR="00910D5A" w:rsidRDefault="003647A6" w:rsidP="00F04347">
      <w:pPr>
        <w:pStyle w:val="Caption"/>
      </w:pPr>
      <w:r>
        <w:t xml:space="preserve">Table 2 </w:t>
      </w:r>
      <w:r w:rsidR="00F96905" w:rsidRPr="00F96905">
        <w:t xml:space="preserve">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10A40805" w14:textId="77777777" w:rsidTr="00C7040C">
        <w:trPr>
          <w:tblHeader/>
        </w:trPr>
        <w:tc>
          <w:tcPr>
            <w:tcW w:w="2089" w:type="pct"/>
          </w:tcPr>
          <w:p w14:paraId="3129E480" w14:textId="77777777" w:rsidR="00910D5A" w:rsidRPr="00910B42" w:rsidRDefault="00910D5A" w:rsidP="00F04347">
            <w:pPr>
              <w:pStyle w:val="Tabletitle"/>
            </w:pPr>
            <w:r w:rsidRPr="5A137D12">
              <w:t>Suggested area for improvement</w:t>
            </w:r>
          </w:p>
        </w:tc>
        <w:tc>
          <w:tcPr>
            <w:tcW w:w="726" w:type="pct"/>
          </w:tcPr>
          <w:p w14:paraId="2F2FE1CF" w14:textId="77777777" w:rsidR="00910D5A" w:rsidRPr="00910B42" w:rsidRDefault="00910D5A" w:rsidP="00F04347">
            <w:pPr>
              <w:pStyle w:val="Tabletitle"/>
            </w:pPr>
            <w:r>
              <w:t>Within remit of NICE QS</w:t>
            </w:r>
          </w:p>
        </w:tc>
        <w:tc>
          <w:tcPr>
            <w:tcW w:w="730" w:type="pct"/>
          </w:tcPr>
          <w:p w14:paraId="5AF69DD6" w14:textId="77777777" w:rsidR="00910D5A" w:rsidRDefault="00910D5A" w:rsidP="00F04347">
            <w:pPr>
              <w:pStyle w:val="Tabletitle"/>
            </w:pPr>
            <w:r w:rsidRPr="00910B42">
              <w:t>In scope</w:t>
            </w:r>
          </w:p>
          <w:p w14:paraId="4211FA33" w14:textId="77777777" w:rsidR="00910D5A" w:rsidRPr="00910B42" w:rsidRDefault="00910D5A" w:rsidP="00F04347">
            <w:pPr>
              <w:pStyle w:val="Tabletitle"/>
            </w:pPr>
          </w:p>
        </w:tc>
        <w:tc>
          <w:tcPr>
            <w:tcW w:w="726" w:type="pct"/>
          </w:tcPr>
          <w:p w14:paraId="46B8601A" w14:textId="77777777" w:rsidR="00910D5A" w:rsidRPr="00910B42" w:rsidRDefault="00910D5A" w:rsidP="00F04347">
            <w:pPr>
              <w:pStyle w:val="Tabletitle"/>
            </w:pPr>
            <w:r w:rsidRPr="00910B42">
              <w:t>Guideline recs</w:t>
            </w:r>
          </w:p>
        </w:tc>
        <w:tc>
          <w:tcPr>
            <w:tcW w:w="729" w:type="pct"/>
          </w:tcPr>
          <w:p w14:paraId="2A4B9CAA" w14:textId="77777777" w:rsidR="00910D5A" w:rsidRDefault="00910D5A" w:rsidP="00F04347">
            <w:pPr>
              <w:pStyle w:val="Tabletitle"/>
            </w:pPr>
            <w:r>
              <w:t xml:space="preserve">Relevant </w:t>
            </w:r>
          </w:p>
          <w:p w14:paraId="31C5E9B8" w14:textId="77777777" w:rsidR="00910D5A" w:rsidRPr="00910B42" w:rsidRDefault="00910D5A" w:rsidP="00F04347">
            <w:pPr>
              <w:pStyle w:val="Tabletitle"/>
            </w:pPr>
            <w:r>
              <w:t>e</w:t>
            </w:r>
            <w:r w:rsidRPr="00910B42">
              <w:t xml:space="preserve">xisting QS </w:t>
            </w:r>
          </w:p>
        </w:tc>
      </w:tr>
      <w:tr w:rsidR="00910D5A" w:rsidRPr="00910B42" w14:paraId="38B2DE27" w14:textId="77777777" w:rsidTr="00C7040C">
        <w:trPr>
          <w:trHeight w:val="382"/>
        </w:trPr>
        <w:tc>
          <w:tcPr>
            <w:tcW w:w="2089" w:type="pct"/>
            <w:tcBorders>
              <w:top w:val="single" w:sz="4" w:space="0" w:color="auto"/>
              <w:left w:val="single" w:sz="4" w:space="0" w:color="auto"/>
              <w:right w:val="single" w:sz="4" w:space="0" w:color="auto"/>
            </w:tcBorders>
          </w:tcPr>
          <w:p w14:paraId="7FD468ED" w14:textId="62C7D51F" w:rsidR="00910D5A" w:rsidRPr="00910B42" w:rsidRDefault="00460274" w:rsidP="00F04347">
            <w:pPr>
              <w:pStyle w:val="Tabletext"/>
            </w:pPr>
            <w:r>
              <w:t>Workforce</w:t>
            </w:r>
          </w:p>
        </w:tc>
        <w:tc>
          <w:tcPr>
            <w:tcW w:w="726" w:type="pct"/>
          </w:tcPr>
          <w:p w14:paraId="12CA4662" w14:textId="11BE0C9E" w:rsidR="00910D5A" w:rsidRPr="00460274" w:rsidRDefault="00073057" w:rsidP="00F04347">
            <w:pPr>
              <w:pStyle w:val="Tabletext"/>
            </w:pPr>
            <w:r>
              <w:t>No</w:t>
            </w:r>
          </w:p>
        </w:tc>
        <w:tc>
          <w:tcPr>
            <w:tcW w:w="730" w:type="pct"/>
          </w:tcPr>
          <w:p w14:paraId="74FAE1DC" w14:textId="552A122A" w:rsidR="00910D5A" w:rsidRPr="00460274" w:rsidRDefault="004C2D61" w:rsidP="00F04347">
            <w:pPr>
              <w:pStyle w:val="Tabletext"/>
            </w:pPr>
            <w:r>
              <w:t>No</w:t>
            </w:r>
            <w:r w:rsidRPr="00460274">
              <w:t xml:space="preserve"> </w:t>
            </w:r>
          </w:p>
        </w:tc>
        <w:tc>
          <w:tcPr>
            <w:tcW w:w="726" w:type="pct"/>
          </w:tcPr>
          <w:p w14:paraId="57B7A0F8" w14:textId="6393009D" w:rsidR="00910D5A" w:rsidRPr="00460274" w:rsidRDefault="00460274" w:rsidP="00F04347">
            <w:pPr>
              <w:pStyle w:val="Tabletext"/>
            </w:pPr>
            <w:r>
              <w:t>N</w:t>
            </w:r>
            <w:r w:rsidR="00910D5A" w:rsidRPr="00460274">
              <w:t>o</w:t>
            </w:r>
          </w:p>
        </w:tc>
        <w:tc>
          <w:tcPr>
            <w:tcW w:w="729" w:type="pct"/>
          </w:tcPr>
          <w:p w14:paraId="3AA7213C" w14:textId="300DEEC7" w:rsidR="00910D5A" w:rsidRPr="00460274" w:rsidRDefault="00460274" w:rsidP="00F04347">
            <w:pPr>
              <w:pStyle w:val="Tabletext"/>
            </w:pPr>
            <w:r>
              <w:t>No</w:t>
            </w:r>
          </w:p>
        </w:tc>
      </w:tr>
      <w:tr w:rsidR="00910D5A" w:rsidRPr="00910B42" w14:paraId="5C4EF9AB" w14:textId="77777777" w:rsidTr="00C7040C">
        <w:trPr>
          <w:trHeight w:val="382"/>
        </w:trPr>
        <w:tc>
          <w:tcPr>
            <w:tcW w:w="2089" w:type="pct"/>
            <w:tcBorders>
              <w:top w:val="single" w:sz="4" w:space="0" w:color="auto"/>
              <w:left w:val="single" w:sz="4" w:space="0" w:color="auto"/>
              <w:right w:val="single" w:sz="4" w:space="0" w:color="auto"/>
            </w:tcBorders>
          </w:tcPr>
          <w:p w14:paraId="41015276" w14:textId="06779745" w:rsidR="00910D5A" w:rsidRPr="00910B42" w:rsidRDefault="00876011" w:rsidP="00F04347">
            <w:pPr>
              <w:pStyle w:val="Tabletext"/>
            </w:pPr>
            <w:r>
              <w:t xml:space="preserve">Environmental impact of </w:t>
            </w:r>
            <w:r w:rsidR="003647A6">
              <w:t>Anaesthesia</w:t>
            </w:r>
          </w:p>
        </w:tc>
        <w:tc>
          <w:tcPr>
            <w:tcW w:w="726" w:type="pct"/>
          </w:tcPr>
          <w:p w14:paraId="6AC55FF7" w14:textId="6EC6BA3D" w:rsidR="00910D5A" w:rsidRPr="00910B42" w:rsidRDefault="004C2D61" w:rsidP="00F04347">
            <w:pPr>
              <w:pStyle w:val="Tabletext"/>
            </w:pPr>
            <w:r>
              <w:t>No</w:t>
            </w:r>
          </w:p>
        </w:tc>
        <w:tc>
          <w:tcPr>
            <w:tcW w:w="730" w:type="pct"/>
          </w:tcPr>
          <w:p w14:paraId="30FF8489" w14:textId="1D29D4F6" w:rsidR="00910D5A" w:rsidRPr="00910B42" w:rsidRDefault="004C2D61" w:rsidP="00F04347">
            <w:pPr>
              <w:pStyle w:val="Tabletext"/>
            </w:pPr>
            <w:r>
              <w:t>No</w:t>
            </w:r>
          </w:p>
        </w:tc>
        <w:tc>
          <w:tcPr>
            <w:tcW w:w="726" w:type="pct"/>
          </w:tcPr>
          <w:p w14:paraId="558C54B5" w14:textId="49255194" w:rsidR="00910D5A" w:rsidRPr="00910B42" w:rsidRDefault="003647A6" w:rsidP="00F04347">
            <w:pPr>
              <w:pStyle w:val="Tabletext"/>
            </w:pPr>
            <w:r>
              <w:t>No</w:t>
            </w:r>
          </w:p>
        </w:tc>
        <w:tc>
          <w:tcPr>
            <w:tcW w:w="729" w:type="pct"/>
          </w:tcPr>
          <w:p w14:paraId="039A94E6" w14:textId="145D2BD8" w:rsidR="00910D5A" w:rsidRPr="00910B42" w:rsidRDefault="003647A6" w:rsidP="00F04347">
            <w:pPr>
              <w:pStyle w:val="Tabletext"/>
            </w:pPr>
            <w:r>
              <w:t>No</w:t>
            </w:r>
          </w:p>
        </w:tc>
      </w:tr>
    </w:tbl>
    <w:p w14:paraId="2AB02F9F" w14:textId="04BD58DF" w:rsidR="00230249" w:rsidRPr="00CF3C8C" w:rsidRDefault="00D2430E" w:rsidP="00DD0BD8">
      <w:pPr>
        <w:pStyle w:val="Heading3"/>
      </w:pPr>
      <w:bookmarkStart w:id="107" w:name="_Toc404587491"/>
      <w:r w:rsidRPr="00CF3C8C">
        <w:t>Workforce</w:t>
      </w:r>
    </w:p>
    <w:p w14:paraId="29F25C49" w14:textId="5ABEB198" w:rsidR="00EB33D3" w:rsidRPr="00CF3C8C" w:rsidRDefault="00CF3C8C" w:rsidP="00EB33D3">
      <w:pPr>
        <w:pStyle w:val="Paragraph"/>
      </w:pPr>
      <w:r>
        <w:t>The w</w:t>
      </w:r>
      <w:r w:rsidR="004E27F2" w:rsidRPr="00CF3C8C">
        <w:t>orkforce</w:t>
      </w:r>
      <w:r w:rsidR="00EB33D3" w:rsidRPr="00CF3C8C">
        <w:t xml:space="preserve"> </w:t>
      </w:r>
      <w:r w:rsidR="00A53685" w:rsidRPr="00CF3C8C">
        <w:t xml:space="preserve">standards </w:t>
      </w:r>
      <w:r w:rsidR="00B07A96">
        <w:t>of</w:t>
      </w:r>
      <w:r w:rsidR="003C0717">
        <w:t xml:space="preserve"> </w:t>
      </w:r>
      <w:r w:rsidR="00B07A96">
        <w:t xml:space="preserve">the </w:t>
      </w:r>
      <w:r w:rsidR="003C0717">
        <w:t xml:space="preserve">nursing </w:t>
      </w:r>
      <w:r w:rsidR="00B07A96">
        <w:t xml:space="preserve">division </w:t>
      </w:r>
      <w:r w:rsidR="004E27F2" w:rsidRPr="00CF3C8C">
        <w:t xml:space="preserve">relevant to the perioperative care pathway </w:t>
      </w:r>
      <w:r w:rsidR="00A53685" w:rsidRPr="00CF3C8C">
        <w:t>was</w:t>
      </w:r>
      <w:r w:rsidR="00EB33D3" w:rsidRPr="00CF3C8C">
        <w:t xml:space="preserve"> suggested as an area of quality improvement.</w:t>
      </w:r>
    </w:p>
    <w:p w14:paraId="64107840" w14:textId="18412FA0" w:rsidR="00EB33D3" w:rsidRPr="00CF3C8C" w:rsidRDefault="00EB33D3" w:rsidP="00CF3C8C">
      <w:pPr>
        <w:pStyle w:val="Paragraph"/>
      </w:pPr>
      <w:r w:rsidRPr="00CF3C8C">
        <w:t xml:space="preserve">This suggestion has not been progressed. Quality statements focus on actions that demonstrate high quality care or support, not the </w:t>
      </w:r>
      <w:r w:rsidR="00C208CC">
        <w:t>workforce standards</w:t>
      </w:r>
      <w:r w:rsidRPr="00CF3C8C">
        <w:t xml:space="preserve"> that enables the actions to take place. The committee should consider which parts of care and support would be improved by increased </w:t>
      </w:r>
      <w:r w:rsidR="00CF3C8C" w:rsidRPr="00CF3C8C">
        <w:t>workforce standards</w:t>
      </w:r>
      <w:r w:rsidRPr="00CF3C8C">
        <w:t xml:space="preserve">. </w:t>
      </w:r>
      <w:r w:rsidR="00D92EDD">
        <w:t>Workforce standards</w:t>
      </w:r>
      <w:r w:rsidRPr="00CF3C8C">
        <w:t xml:space="preserve"> may be referred to in the audience descriptors.</w:t>
      </w:r>
    </w:p>
    <w:p w14:paraId="441FA0FB" w14:textId="5D606967" w:rsidR="007C6EB9" w:rsidRPr="00CD6A17" w:rsidRDefault="006409B2" w:rsidP="007C6EB9">
      <w:pPr>
        <w:pStyle w:val="Heading3"/>
      </w:pPr>
      <w:bookmarkStart w:id="108" w:name="_Toc404063922"/>
      <w:bookmarkStart w:id="109" w:name="_Toc404587493"/>
      <w:bookmarkStart w:id="110" w:name="_Toc432164930"/>
      <w:bookmarkStart w:id="111" w:name="_Toc467141920"/>
      <w:bookmarkStart w:id="112" w:name="_Toc467141971"/>
      <w:bookmarkEnd w:id="107"/>
      <w:r w:rsidRPr="00CD6A17">
        <w:t>Environmental impact</w:t>
      </w:r>
      <w:r w:rsidR="00203F39" w:rsidRPr="00CD6A17">
        <w:t xml:space="preserve"> of </w:t>
      </w:r>
      <w:r w:rsidR="001B031D" w:rsidRPr="00CD6A17">
        <w:t>anaesthesia</w:t>
      </w:r>
    </w:p>
    <w:p w14:paraId="0C6F9C32" w14:textId="48710091" w:rsidR="007C6EB9" w:rsidRPr="00CD6A17" w:rsidRDefault="007C6EB9" w:rsidP="007C6EB9">
      <w:pPr>
        <w:pStyle w:val="Paragraph"/>
      </w:pPr>
      <w:r w:rsidRPr="00CD6A17">
        <w:t xml:space="preserve">The </w:t>
      </w:r>
      <w:r w:rsidR="007326CD" w:rsidRPr="00CD6A17">
        <w:t>environmental impact of intra</w:t>
      </w:r>
      <w:r w:rsidR="00281929" w:rsidRPr="00CD6A17">
        <w:t xml:space="preserve">venous </w:t>
      </w:r>
      <w:r w:rsidR="002A26A1" w:rsidRPr="00CD6A17">
        <w:t xml:space="preserve">and inhalational general </w:t>
      </w:r>
      <w:r w:rsidR="00E818D9" w:rsidRPr="00CD6A17">
        <w:t>anaesthesia</w:t>
      </w:r>
      <w:r w:rsidR="002A26A1" w:rsidRPr="00CD6A17">
        <w:t xml:space="preserve"> was suggested as an area of </w:t>
      </w:r>
      <w:r w:rsidRPr="00CD6A17">
        <w:t xml:space="preserve">quality </w:t>
      </w:r>
      <w:r w:rsidR="00E818D9" w:rsidRPr="00CD6A17">
        <w:t xml:space="preserve">improvement. </w:t>
      </w:r>
      <w:r w:rsidR="00642838" w:rsidRPr="00CD6A17">
        <w:t>Strategies to improve sustainability</w:t>
      </w:r>
      <w:r w:rsidR="00C00662" w:rsidRPr="00CD6A17">
        <w:t xml:space="preserve"> and reduce contributions to global warming</w:t>
      </w:r>
      <w:r w:rsidR="00642838" w:rsidRPr="00CD6A17">
        <w:t xml:space="preserve"> were highlighted. </w:t>
      </w:r>
    </w:p>
    <w:p w14:paraId="182E5760" w14:textId="58E39E76" w:rsidR="00E9784F" w:rsidRPr="00A813F7" w:rsidRDefault="00AC78E8" w:rsidP="00A813F7">
      <w:pPr>
        <w:pStyle w:val="Paragraph"/>
      </w:pPr>
      <w:r w:rsidRPr="00CD6A17">
        <w:t xml:space="preserve">This area has not been progressed because quality standards focus on areas for quality improvement that can be addressed by local commissioners. National </w:t>
      </w:r>
      <w:r w:rsidR="00CD6A17" w:rsidRPr="00CD6A17">
        <w:t>strategies</w:t>
      </w:r>
      <w:r w:rsidRPr="00CD6A17">
        <w:t xml:space="preserve"> are outside the scope of quality standards.</w:t>
      </w:r>
      <w:bookmarkEnd w:id="108"/>
      <w:bookmarkEnd w:id="109"/>
      <w:bookmarkEnd w:id="110"/>
      <w:bookmarkEnd w:id="111"/>
      <w:bookmarkEnd w:id="112"/>
    </w:p>
    <w:p w14:paraId="6CD77794" w14:textId="1B5A7C04" w:rsidR="00435EA3" w:rsidRDefault="008D5584" w:rsidP="00B45295">
      <w:pPr>
        <w:pStyle w:val="Paragraph"/>
      </w:pPr>
      <w:r w:rsidRPr="00A813F7">
        <w:t>© NICE</w:t>
      </w:r>
      <w:r w:rsidR="000A0291">
        <w:t xml:space="preserve"> 2025</w:t>
      </w:r>
      <w:r w:rsidRPr="00A813F7">
        <w:t xml:space="preserve">. All rights reserved. </w:t>
      </w:r>
      <w:r w:rsidR="008A5E6E" w:rsidRPr="00A813F7">
        <w:t xml:space="preserve">Subject to </w:t>
      </w:r>
      <w:hyperlink r:id="rId65" w:anchor="notice-of-rights" w:history="1">
        <w:r w:rsidR="008A5E6E">
          <w:rPr>
            <w:rStyle w:val="Hyperlink"/>
            <w:rFonts w:cs="Arial"/>
          </w:rPr>
          <w:t>Notice of rights</w:t>
        </w:r>
      </w:hyperlink>
      <w:r w:rsidRPr="00A813F7">
        <w:t>.</w:t>
      </w:r>
      <w:bookmarkStart w:id="113" w:name="_Appendix_1:_Additional"/>
      <w:bookmarkEnd w:id="113"/>
    </w:p>
    <w:p w14:paraId="7F0556FA" w14:textId="2DFF9B34" w:rsidR="00EF3298" w:rsidRDefault="00EF3298" w:rsidP="00EF3298">
      <w:pPr>
        <w:pStyle w:val="Heading1"/>
      </w:pPr>
      <w:bookmarkStart w:id="114" w:name="_Toc208847671"/>
      <w:r w:rsidRPr="00B37F1E">
        <w:lastRenderedPageBreak/>
        <w:t xml:space="preserve">Appendix </w:t>
      </w:r>
      <w:r w:rsidR="00B45295">
        <w:t>1</w:t>
      </w:r>
      <w:r w:rsidRPr="00B37F1E">
        <w:t>:</w:t>
      </w:r>
      <w:r>
        <w:t xml:space="preserve"> Response log for key stakeholders</w:t>
      </w:r>
      <w:bookmarkEnd w:id="114"/>
    </w:p>
    <w:p w14:paraId="0AE6B7A6" w14:textId="77777777" w:rsidR="00A673EB" w:rsidRDefault="00A673EB" w:rsidP="00A673EB">
      <w:pPr>
        <w:pStyle w:val="NICEnormal"/>
      </w:pPr>
      <w:bookmarkStart w:id="115" w:name="_Hlk71544661"/>
      <w:r>
        <w:t>Responses from key stakeholders and action taken:</w:t>
      </w:r>
    </w:p>
    <w:p w14:paraId="07B09E6F" w14:textId="25C85B59" w:rsidR="00890966" w:rsidRPr="00890966" w:rsidRDefault="00890966" w:rsidP="00A673EB">
      <w:pPr>
        <w:pStyle w:val="Bulletleft1"/>
      </w:pPr>
      <w:r>
        <w:rPr>
          <w:b/>
          <w:bCs/>
        </w:rPr>
        <w:t xml:space="preserve">British Anaesthetic and Recovery Nurses Association: </w:t>
      </w:r>
      <w:r w:rsidRPr="00890966">
        <w:t>No response received</w:t>
      </w:r>
    </w:p>
    <w:p w14:paraId="04FA34FB" w14:textId="1DF4C3EC" w:rsidR="00890966" w:rsidRDefault="00890966" w:rsidP="00A673EB">
      <w:pPr>
        <w:pStyle w:val="Bulletleft1"/>
        <w:rPr>
          <w:b/>
          <w:bCs/>
        </w:rPr>
      </w:pPr>
      <w:r>
        <w:rPr>
          <w:b/>
          <w:bCs/>
        </w:rPr>
        <w:t xml:space="preserve">British Orthopaedic Association: </w:t>
      </w:r>
      <w:r w:rsidRPr="00890966">
        <w:t>No response received</w:t>
      </w:r>
    </w:p>
    <w:p w14:paraId="60274D34" w14:textId="6E927E0A" w:rsidR="00890966" w:rsidRDefault="00890966" w:rsidP="00A673EB">
      <w:pPr>
        <w:pStyle w:val="Bulletleft1"/>
        <w:rPr>
          <w:b/>
          <w:bCs/>
        </w:rPr>
      </w:pPr>
      <w:r>
        <w:rPr>
          <w:b/>
          <w:bCs/>
        </w:rPr>
        <w:t xml:space="preserve">Centre for Perioperative Care: </w:t>
      </w:r>
      <w:r w:rsidRPr="00890966">
        <w:t>Comments received</w:t>
      </w:r>
    </w:p>
    <w:p w14:paraId="1CF8FBB7" w14:textId="48EBB8AC" w:rsidR="00890966" w:rsidRDefault="00890966" w:rsidP="00A673EB">
      <w:pPr>
        <w:pStyle w:val="Bulletleft1"/>
        <w:rPr>
          <w:b/>
          <w:bCs/>
        </w:rPr>
      </w:pPr>
      <w:r>
        <w:rPr>
          <w:b/>
          <w:bCs/>
        </w:rPr>
        <w:t xml:space="preserve">Diabetes UK: </w:t>
      </w:r>
      <w:r w:rsidRPr="00890966">
        <w:t>Comments received</w:t>
      </w:r>
    </w:p>
    <w:p w14:paraId="6D394650" w14:textId="2D959FFC" w:rsidR="00890966" w:rsidRPr="00890966" w:rsidRDefault="00890966" w:rsidP="00A673EB">
      <w:pPr>
        <w:pStyle w:val="Bulletleft1"/>
        <w:rPr>
          <w:b/>
          <w:bCs/>
        </w:rPr>
      </w:pPr>
      <w:r w:rsidRPr="00890966">
        <w:rPr>
          <w:b/>
          <w:bCs/>
        </w:rPr>
        <w:t xml:space="preserve">Royal College of Anaesthetists: </w:t>
      </w:r>
      <w:r w:rsidRPr="00890966">
        <w:t>Comments received from the Faculty of Pain Medicine</w:t>
      </w:r>
    </w:p>
    <w:p w14:paraId="0ADF54F2" w14:textId="390C20AB" w:rsidR="00890966" w:rsidRDefault="00890966" w:rsidP="00A673EB">
      <w:pPr>
        <w:pStyle w:val="Bulletleft1"/>
        <w:rPr>
          <w:b/>
          <w:bCs/>
        </w:rPr>
      </w:pPr>
      <w:r>
        <w:rPr>
          <w:b/>
          <w:bCs/>
        </w:rPr>
        <w:t xml:space="preserve">Royal College of Nursing: </w:t>
      </w:r>
      <w:r w:rsidRPr="00890966">
        <w:t>Comments received</w:t>
      </w:r>
    </w:p>
    <w:p w14:paraId="4CCAFE17" w14:textId="020D97F8" w:rsidR="00890966" w:rsidRDefault="00890966" w:rsidP="00A673EB">
      <w:pPr>
        <w:pStyle w:val="Bulletleft1"/>
        <w:rPr>
          <w:b/>
          <w:bCs/>
        </w:rPr>
      </w:pPr>
      <w:r>
        <w:rPr>
          <w:b/>
          <w:bCs/>
        </w:rPr>
        <w:t xml:space="preserve">Royal College of Surgeons of England: </w:t>
      </w:r>
      <w:r w:rsidRPr="00890966">
        <w:t>No response received</w:t>
      </w:r>
    </w:p>
    <w:p w14:paraId="438841A0" w14:textId="0C59DD7B" w:rsidR="00890966" w:rsidRDefault="00890966" w:rsidP="00A673EB">
      <w:pPr>
        <w:pStyle w:val="Bulletleft1"/>
        <w:rPr>
          <w:b/>
          <w:bCs/>
        </w:rPr>
      </w:pPr>
      <w:r>
        <w:rPr>
          <w:b/>
          <w:bCs/>
        </w:rPr>
        <w:t xml:space="preserve">The Association of Perioperative Practice: </w:t>
      </w:r>
      <w:r w:rsidRPr="00890966">
        <w:t>No response received</w:t>
      </w:r>
    </w:p>
    <w:p w14:paraId="455987FA" w14:textId="587DF744" w:rsidR="00890966" w:rsidRPr="00890966" w:rsidRDefault="00890966" w:rsidP="00A673EB">
      <w:pPr>
        <w:pStyle w:val="Bulletleft1"/>
        <w:rPr>
          <w:b/>
          <w:bCs/>
        </w:rPr>
      </w:pPr>
      <w:r>
        <w:rPr>
          <w:b/>
          <w:bCs/>
        </w:rPr>
        <w:t xml:space="preserve">Thrombosis UK: </w:t>
      </w:r>
      <w:r w:rsidRPr="00890966">
        <w:t>No response received</w:t>
      </w:r>
    </w:p>
    <w:p w14:paraId="05BFF0FF" w14:textId="77777777" w:rsidR="00890966" w:rsidRDefault="00890966" w:rsidP="00890966">
      <w:pPr>
        <w:pStyle w:val="Bulletleft1"/>
        <w:numPr>
          <w:ilvl w:val="0"/>
          <w:numId w:val="0"/>
        </w:numPr>
        <w:ind w:left="284"/>
        <w:rPr>
          <w:b/>
          <w:bCs/>
        </w:rPr>
      </w:pPr>
    </w:p>
    <w:bookmarkEnd w:id="115"/>
    <w:p w14:paraId="7BD994FD" w14:textId="04FD9555" w:rsidR="0001392D" w:rsidRPr="0001392D" w:rsidRDefault="0001392D" w:rsidP="00890966">
      <w:pPr>
        <w:pStyle w:val="Bulletleft1"/>
        <w:numPr>
          <w:ilvl w:val="0"/>
          <w:numId w:val="0"/>
        </w:numPr>
        <w:ind w:left="284" w:hanging="284"/>
        <w:sectPr w:rsidR="0001392D" w:rsidRPr="0001392D" w:rsidSect="00AC6B77">
          <w:footerReference w:type="default" r:id="rId66"/>
          <w:footerReference w:type="first" r:id="rId67"/>
          <w:pgSz w:w="11906" w:h="16838"/>
          <w:pgMar w:top="1440" w:right="1440" w:bottom="1440" w:left="1440" w:header="708" w:footer="708" w:gutter="0"/>
          <w:cols w:space="708"/>
          <w:titlePg/>
          <w:docGrid w:linePitch="360"/>
        </w:sectPr>
      </w:pPr>
    </w:p>
    <w:p w14:paraId="265455B8" w14:textId="58B5E958" w:rsidR="00DC2522" w:rsidRDefault="005C6F10" w:rsidP="006C0248">
      <w:pPr>
        <w:pStyle w:val="Heading1"/>
      </w:pPr>
      <w:bookmarkStart w:id="116" w:name="_Toc208847672"/>
      <w:r w:rsidRPr="00FC11EC">
        <w:lastRenderedPageBreak/>
        <w:t xml:space="preserve">Appendix </w:t>
      </w:r>
      <w:r w:rsidR="003A7B53">
        <w:t>2</w:t>
      </w:r>
      <w:r w:rsidR="00603263">
        <w:t xml:space="preserve">: </w:t>
      </w:r>
      <w:r w:rsidR="002C296A" w:rsidRPr="00FC11EC">
        <w:t xml:space="preserve">Suggestions from </w:t>
      </w:r>
      <w:r w:rsidR="00626943">
        <w:t>registered stakeholders</w:t>
      </w:r>
      <w:bookmarkEnd w:id="116"/>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563"/>
        <w:gridCol w:w="1417"/>
        <w:gridCol w:w="3259"/>
        <w:gridCol w:w="4113"/>
        <w:gridCol w:w="2687"/>
        <w:gridCol w:w="2629"/>
      </w:tblGrid>
      <w:tr w:rsidR="008E5EE3" w:rsidRPr="00190D4B" w14:paraId="5E714560" w14:textId="77777777" w:rsidTr="00477F9C">
        <w:trPr>
          <w:tblHeader/>
        </w:trPr>
        <w:tc>
          <w:tcPr>
            <w:tcW w:w="192" w:type="pct"/>
          </w:tcPr>
          <w:p w14:paraId="0C694957" w14:textId="77777777" w:rsidR="00854E61" w:rsidRPr="00190D4B" w:rsidRDefault="00854E61" w:rsidP="00192DC7">
            <w:pPr>
              <w:pStyle w:val="Tabletitle"/>
              <w:spacing w:after="120"/>
              <w:rPr>
                <w:rFonts w:cs="Arial"/>
                <w:sz w:val="20"/>
                <w:szCs w:val="20"/>
              </w:rPr>
            </w:pPr>
            <w:r w:rsidRPr="00190D4B">
              <w:rPr>
                <w:rFonts w:cs="Arial"/>
                <w:sz w:val="20"/>
                <w:szCs w:val="20"/>
              </w:rPr>
              <w:t>ID</w:t>
            </w:r>
          </w:p>
        </w:tc>
        <w:tc>
          <w:tcPr>
            <w:tcW w:w="483" w:type="pct"/>
          </w:tcPr>
          <w:p w14:paraId="3E2F4BBF" w14:textId="77777777" w:rsidR="00854E61" w:rsidRPr="00190D4B" w:rsidRDefault="00854E61" w:rsidP="00192DC7">
            <w:pPr>
              <w:pStyle w:val="Tabletitle"/>
              <w:spacing w:after="120"/>
              <w:rPr>
                <w:rFonts w:cs="Arial"/>
                <w:sz w:val="20"/>
                <w:szCs w:val="20"/>
              </w:rPr>
            </w:pPr>
            <w:r w:rsidRPr="00190D4B">
              <w:rPr>
                <w:rFonts w:cs="Arial"/>
                <w:sz w:val="20"/>
                <w:szCs w:val="20"/>
              </w:rPr>
              <w:t>Stakeholder</w:t>
            </w:r>
          </w:p>
        </w:tc>
        <w:tc>
          <w:tcPr>
            <w:tcW w:w="1111" w:type="pct"/>
          </w:tcPr>
          <w:p w14:paraId="3779C09E" w14:textId="77777777" w:rsidR="00854E61" w:rsidRPr="00190D4B" w:rsidRDefault="00854E61" w:rsidP="00192DC7">
            <w:pPr>
              <w:pStyle w:val="Tabletitle"/>
              <w:spacing w:after="120"/>
              <w:rPr>
                <w:rFonts w:cs="Arial"/>
                <w:sz w:val="20"/>
                <w:szCs w:val="20"/>
              </w:rPr>
            </w:pPr>
            <w:r w:rsidRPr="00190D4B">
              <w:rPr>
                <w:rFonts w:cs="Arial"/>
                <w:sz w:val="20"/>
                <w:szCs w:val="20"/>
              </w:rPr>
              <w:t>Suggested key area for quality improvement</w:t>
            </w:r>
          </w:p>
        </w:tc>
        <w:tc>
          <w:tcPr>
            <w:tcW w:w="1402" w:type="pct"/>
          </w:tcPr>
          <w:p w14:paraId="54DF4C42" w14:textId="77777777" w:rsidR="00854E61" w:rsidRPr="00190D4B" w:rsidRDefault="00854E61" w:rsidP="00192DC7">
            <w:pPr>
              <w:pStyle w:val="Tabletitle"/>
              <w:spacing w:after="120"/>
              <w:rPr>
                <w:rFonts w:cs="Arial"/>
                <w:sz w:val="20"/>
                <w:szCs w:val="20"/>
              </w:rPr>
            </w:pPr>
            <w:r w:rsidRPr="00190D4B">
              <w:rPr>
                <w:rFonts w:cs="Arial"/>
                <w:sz w:val="20"/>
                <w:szCs w:val="20"/>
              </w:rPr>
              <w:t>Why is this a key area for quality improvement?</w:t>
            </w:r>
          </w:p>
        </w:tc>
        <w:tc>
          <w:tcPr>
            <w:tcW w:w="916" w:type="pct"/>
          </w:tcPr>
          <w:p w14:paraId="157D582C" w14:textId="77777777" w:rsidR="00854E61" w:rsidRPr="00190D4B" w:rsidRDefault="00854E61" w:rsidP="00192DC7">
            <w:pPr>
              <w:pStyle w:val="Tabletitle"/>
              <w:spacing w:after="120"/>
              <w:rPr>
                <w:rFonts w:cs="Arial"/>
                <w:sz w:val="20"/>
                <w:szCs w:val="20"/>
              </w:rPr>
            </w:pPr>
            <w:r w:rsidRPr="00190D4B">
              <w:rPr>
                <w:rFonts w:cs="Arial"/>
                <w:sz w:val="20"/>
                <w:szCs w:val="20"/>
              </w:rPr>
              <w:t>Data sources</w:t>
            </w:r>
          </w:p>
        </w:tc>
        <w:tc>
          <w:tcPr>
            <w:tcW w:w="896" w:type="pct"/>
          </w:tcPr>
          <w:p w14:paraId="04AC3B72" w14:textId="77777777" w:rsidR="00854E61" w:rsidRPr="00190D4B" w:rsidRDefault="00854E61" w:rsidP="00192DC7">
            <w:pPr>
              <w:pStyle w:val="Tabletitle"/>
              <w:spacing w:after="120"/>
              <w:rPr>
                <w:rFonts w:cs="Arial"/>
                <w:sz w:val="20"/>
                <w:szCs w:val="20"/>
              </w:rPr>
            </w:pPr>
            <w:r w:rsidRPr="00190D4B">
              <w:rPr>
                <w:rFonts w:cs="Arial"/>
                <w:sz w:val="20"/>
                <w:szCs w:val="20"/>
              </w:rPr>
              <w:t>Supporting information</w:t>
            </w:r>
          </w:p>
        </w:tc>
      </w:tr>
      <w:tr w:rsidR="00BA0774" w:rsidRPr="00190D4B" w14:paraId="467EB544" w14:textId="77777777" w:rsidTr="002F30E1">
        <w:trPr>
          <w:trHeight w:val="282"/>
        </w:trPr>
        <w:tc>
          <w:tcPr>
            <w:tcW w:w="5000" w:type="pct"/>
            <w:gridSpan w:val="6"/>
          </w:tcPr>
          <w:p w14:paraId="2655D951" w14:textId="174333D0" w:rsidR="00BA0774" w:rsidRPr="00190D4B" w:rsidRDefault="00BA0774" w:rsidP="00192DC7">
            <w:pPr>
              <w:pStyle w:val="Tabletext"/>
              <w:spacing w:after="120"/>
              <w:rPr>
                <w:rFonts w:cs="Arial"/>
                <w:b/>
                <w:bCs/>
                <w:sz w:val="20"/>
                <w:szCs w:val="20"/>
                <w:highlight w:val="cyan"/>
              </w:rPr>
            </w:pPr>
            <w:r w:rsidRPr="00190D4B">
              <w:rPr>
                <w:rFonts w:cs="Arial"/>
                <w:b/>
                <w:bCs/>
                <w:sz w:val="20"/>
                <w:szCs w:val="20"/>
              </w:rPr>
              <w:t>Perioperative Programs</w:t>
            </w:r>
          </w:p>
        </w:tc>
      </w:tr>
      <w:tr w:rsidR="002F30E1" w:rsidRPr="00190D4B" w14:paraId="15003C3F" w14:textId="77777777" w:rsidTr="00477F9C">
        <w:trPr>
          <w:trHeight w:val="282"/>
        </w:trPr>
        <w:tc>
          <w:tcPr>
            <w:tcW w:w="192" w:type="pct"/>
          </w:tcPr>
          <w:p w14:paraId="3D3D813C" w14:textId="2FEA359B" w:rsidR="002F30E1" w:rsidRPr="00190D4B" w:rsidRDefault="002C610D" w:rsidP="00192DC7">
            <w:pPr>
              <w:pStyle w:val="Tabletext"/>
              <w:spacing w:after="120"/>
              <w:rPr>
                <w:rFonts w:cs="Arial"/>
                <w:color w:val="000000"/>
                <w:sz w:val="20"/>
                <w:szCs w:val="20"/>
                <w:lang w:eastAsia="en-GB"/>
              </w:rPr>
            </w:pPr>
            <w:r>
              <w:rPr>
                <w:rFonts w:cs="Arial"/>
                <w:color w:val="000000"/>
                <w:sz w:val="20"/>
                <w:szCs w:val="20"/>
                <w:lang w:eastAsia="en-GB"/>
              </w:rPr>
              <w:t>1</w:t>
            </w:r>
          </w:p>
        </w:tc>
        <w:tc>
          <w:tcPr>
            <w:tcW w:w="483" w:type="pct"/>
          </w:tcPr>
          <w:p w14:paraId="7B93B77B" w14:textId="2499ED4C" w:rsidR="002F30E1" w:rsidRPr="00190D4B" w:rsidRDefault="002F30E1" w:rsidP="00192DC7">
            <w:pPr>
              <w:pStyle w:val="Tabletext"/>
              <w:spacing w:after="120"/>
              <w:rPr>
                <w:rFonts w:cs="Arial"/>
                <w:sz w:val="20"/>
                <w:szCs w:val="20"/>
              </w:rPr>
            </w:pPr>
            <w:r w:rsidRPr="00190D4B">
              <w:rPr>
                <w:rFonts w:cs="Arial"/>
                <w:sz w:val="20"/>
                <w:szCs w:val="20"/>
              </w:rPr>
              <w:t>CPOC</w:t>
            </w:r>
          </w:p>
        </w:tc>
        <w:tc>
          <w:tcPr>
            <w:tcW w:w="1111" w:type="pct"/>
          </w:tcPr>
          <w:p w14:paraId="6CF2DDF8" w14:textId="6FA5818E" w:rsidR="002F30E1" w:rsidRPr="00190D4B" w:rsidRDefault="002F30E1" w:rsidP="00192DC7">
            <w:pPr>
              <w:pStyle w:val="Tabletext"/>
              <w:spacing w:after="120"/>
              <w:rPr>
                <w:rFonts w:cs="Arial"/>
                <w:sz w:val="20"/>
                <w:szCs w:val="20"/>
              </w:rPr>
            </w:pPr>
            <w:r w:rsidRPr="00190D4B">
              <w:rPr>
                <w:rFonts w:cs="Arial"/>
                <w:sz w:val="20"/>
                <w:szCs w:val="20"/>
              </w:rPr>
              <w:t>All elective patients for major surgery should attend a prehabilitation programme</w:t>
            </w:r>
          </w:p>
        </w:tc>
        <w:tc>
          <w:tcPr>
            <w:tcW w:w="1402" w:type="pct"/>
          </w:tcPr>
          <w:p w14:paraId="3C3A6FB3" w14:textId="3B681FD8" w:rsidR="002F30E1" w:rsidRPr="00190D4B" w:rsidRDefault="002F30E1" w:rsidP="00192DC7">
            <w:pPr>
              <w:pStyle w:val="Tabletext"/>
              <w:spacing w:after="120"/>
              <w:rPr>
                <w:rFonts w:cs="Arial"/>
                <w:sz w:val="20"/>
                <w:szCs w:val="20"/>
              </w:rPr>
            </w:pPr>
            <w:r w:rsidRPr="00190D4B">
              <w:rPr>
                <w:rFonts w:cs="Arial"/>
                <w:sz w:val="20"/>
                <w:szCs w:val="20"/>
              </w:rPr>
              <w:t xml:space="preserve">Patients who are frail or physically inactive have an increased risk of complications. </w:t>
            </w:r>
          </w:p>
        </w:tc>
        <w:tc>
          <w:tcPr>
            <w:tcW w:w="916" w:type="pct"/>
          </w:tcPr>
          <w:p w14:paraId="249A73AB" w14:textId="77777777" w:rsidR="002F30E1" w:rsidRPr="00190D4B" w:rsidRDefault="002F30E1" w:rsidP="00192DC7">
            <w:pPr>
              <w:pStyle w:val="Paragraphnonumbers"/>
              <w:spacing w:after="120" w:line="240" w:lineRule="auto"/>
              <w:rPr>
                <w:rFonts w:cs="Arial"/>
                <w:sz w:val="20"/>
                <w:szCs w:val="20"/>
              </w:rPr>
            </w:pPr>
          </w:p>
          <w:p w14:paraId="28DC0291" w14:textId="77777777" w:rsidR="002F30E1" w:rsidRPr="00190D4B" w:rsidRDefault="002F30E1" w:rsidP="00192DC7">
            <w:pPr>
              <w:pStyle w:val="Tabletext"/>
              <w:spacing w:after="120"/>
              <w:rPr>
                <w:rFonts w:cs="Arial"/>
                <w:sz w:val="20"/>
                <w:szCs w:val="20"/>
              </w:rPr>
            </w:pPr>
          </w:p>
        </w:tc>
        <w:tc>
          <w:tcPr>
            <w:tcW w:w="896" w:type="pct"/>
          </w:tcPr>
          <w:p w14:paraId="1B5B34AB" w14:textId="54542490" w:rsidR="002F30E1" w:rsidRPr="00190D4B" w:rsidRDefault="002F30E1" w:rsidP="00192DC7">
            <w:pPr>
              <w:pStyle w:val="Tabletext"/>
              <w:spacing w:after="120"/>
              <w:rPr>
                <w:rFonts w:cs="Arial"/>
                <w:sz w:val="20"/>
                <w:szCs w:val="20"/>
                <w:highlight w:val="cyan"/>
              </w:rPr>
            </w:pPr>
            <w:r w:rsidRPr="00190D4B">
              <w:rPr>
                <w:rFonts w:cs="Arial"/>
                <w:sz w:val="20"/>
                <w:szCs w:val="20"/>
              </w:rPr>
              <w:t xml:space="preserve">REFS within: </w:t>
            </w:r>
            <w:hyperlink r:id="rId68" w:history="1">
              <w:r w:rsidRPr="00190D4B">
                <w:rPr>
                  <w:rStyle w:val="Hyperlink"/>
                  <w:rFonts w:cs="Arial"/>
                  <w:sz w:val="20"/>
                  <w:szCs w:val="20"/>
                </w:rPr>
                <w:t>https://www.cpoc.org.uk/guidelines-and-resources/guidelines-resources/resources/key-reducing-waiting-lists</w:t>
              </w:r>
            </w:hyperlink>
            <w:r w:rsidRPr="00190D4B">
              <w:rPr>
                <w:rFonts w:cs="Arial"/>
                <w:sz w:val="20"/>
                <w:szCs w:val="20"/>
              </w:rPr>
              <w:t xml:space="preserve"> </w:t>
            </w:r>
          </w:p>
        </w:tc>
      </w:tr>
      <w:tr w:rsidR="00DB50C9" w:rsidRPr="00190D4B" w14:paraId="43288082" w14:textId="77777777" w:rsidTr="00477F9C">
        <w:trPr>
          <w:trHeight w:val="282"/>
        </w:trPr>
        <w:tc>
          <w:tcPr>
            <w:tcW w:w="192" w:type="pct"/>
          </w:tcPr>
          <w:p w14:paraId="02D0FF81" w14:textId="635E792B" w:rsidR="00DB50C9" w:rsidRPr="00190D4B" w:rsidRDefault="002C610D" w:rsidP="00192DC7">
            <w:pPr>
              <w:pStyle w:val="Tabletext"/>
              <w:spacing w:after="120"/>
              <w:rPr>
                <w:rFonts w:cs="Arial"/>
                <w:color w:val="000000"/>
                <w:sz w:val="20"/>
                <w:szCs w:val="20"/>
                <w:lang w:eastAsia="en-GB"/>
              </w:rPr>
            </w:pPr>
            <w:r>
              <w:rPr>
                <w:rFonts w:cs="Arial"/>
                <w:color w:val="000000"/>
                <w:sz w:val="20"/>
                <w:szCs w:val="20"/>
                <w:lang w:eastAsia="en-GB"/>
              </w:rPr>
              <w:t>2</w:t>
            </w:r>
          </w:p>
        </w:tc>
        <w:tc>
          <w:tcPr>
            <w:tcW w:w="483" w:type="pct"/>
          </w:tcPr>
          <w:p w14:paraId="26E6A832" w14:textId="09F731B5" w:rsidR="00DB50C9" w:rsidRPr="00190D4B" w:rsidRDefault="00DB50C9" w:rsidP="00192DC7">
            <w:pPr>
              <w:pStyle w:val="Tabletext"/>
              <w:spacing w:after="120"/>
              <w:rPr>
                <w:rFonts w:cs="Arial"/>
                <w:sz w:val="20"/>
                <w:szCs w:val="20"/>
              </w:rPr>
            </w:pPr>
            <w:r w:rsidRPr="00190D4B">
              <w:rPr>
                <w:rFonts w:cs="Arial"/>
                <w:sz w:val="20"/>
                <w:szCs w:val="20"/>
              </w:rPr>
              <w:t>NCD</w:t>
            </w:r>
          </w:p>
        </w:tc>
        <w:tc>
          <w:tcPr>
            <w:tcW w:w="1111" w:type="pct"/>
          </w:tcPr>
          <w:p w14:paraId="79CF3FB5" w14:textId="70BAFA78" w:rsidR="00DB50C9" w:rsidRPr="00190D4B" w:rsidRDefault="00FA425C" w:rsidP="00192DC7">
            <w:pPr>
              <w:pStyle w:val="Tabletext"/>
              <w:spacing w:after="120"/>
              <w:rPr>
                <w:rFonts w:cs="Arial"/>
                <w:sz w:val="20"/>
                <w:szCs w:val="20"/>
              </w:rPr>
            </w:pPr>
            <w:r w:rsidRPr="00190D4B">
              <w:rPr>
                <w:rFonts w:cs="Arial"/>
                <w:sz w:val="20"/>
                <w:szCs w:val="20"/>
              </w:rPr>
              <w:t>Recommendation 1.5.1 - postoperative care</w:t>
            </w:r>
          </w:p>
        </w:tc>
        <w:tc>
          <w:tcPr>
            <w:tcW w:w="1402" w:type="pct"/>
          </w:tcPr>
          <w:p w14:paraId="1ECC06C8" w14:textId="77777777" w:rsidR="00DB50C9" w:rsidRPr="00190D4B" w:rsidRDefault="00DB50C9" w:rsidP="00192DC7">
            <w:pPr>
              <w:pStyle w:val="Tabletext"/>
              <w:spacing w:after="120"/>
              <w:rPr>
                <w:rFonts w:cs="Arial"/>
                <w:sz w:val="20"/>
                <w:szCs w:val="20"/>
              </w:rPr>
            </w:pPr>
          </w:p>
        </w:tc>
        <w:tc>
          <w:tcPr>
            <w:tcW w:w="916" w:type="pct"/>
          </w:tcPr>
          <w:p w14:paraId="142CDC3C" w14:textId="77777777" w:rsidR="00DB50C9" w:rsidRPr="00190D4B" w:rsidRDefault="00DB50C9" w:rsidP="00192DC7">
            <w:pPr>
              <w:pStyle w:val="Tabletext"/>
              <w:spacing w:after="120"/>
              <w:rPr>
                <w:rFonts w:cs="Arial"/>
                <w:sz w:val="20"/>
                <w:szCs w:val="20"/>
              </w:rPr>
            </w:pPr>
          </w:p>
        </w:tc>
        <w:tc>
          <w:tcPr>
            <w:tcW w:w="896" w:type="pct"/>
          </w:tcPr>
          <w:p w14:paraId="18099868" w14:textId="77777777" w:rsidR="00DB50C9" w:rsidRPr="00190D4B" w:rsidRDefault="00DB50C9" w:rsidP="00192DC7">
            <w:pPr>
              <w:pStyle w:val="Tabletext"/>
              <w:spacing w:after="120"/>
              <w:rPr>
                <w:rFonts w:cs="Arial"/>
                <w:sz w:val="20"/>
                <w:szCs w:val="20"/>
                <w:highlight w:val="cyan"/>
              </w:rPr>
            </w:pPr>
          </w:p>
        </w:tc>
      </w:tr>
      <w:tr w:rsidR="008E5EE3" w:rsidRPr="00190D4B" w14:paraId="528ADFB0" w14:textId="77777777" w:rsidTr="00477F9C">
        <w:trPr>
          <w:trHeight w:val="282"/>
        </w:trPr>
        <w:tc>
          <w:tcPr>
            <w:tcW w:w="192" w:type="pct"/>
          </w:tcPr>
          <w:p w14:paraId="05FCDE6E" w14:textId="5AC774E6" w:rsidR="00854E61" w:rsidRPr="00190D4B" w:rsidRDefault="002C610D" w:rsidP="00192DC7">
            <w:pPr>
              <w:pStyle w:val="Tabletext"/>
              <w:spacing w:after="120"/>
              <w:rPr>
                <w:rFonts w:cs="Arial"/>
                <w:color w:val="000000"/>
                <w:sz w:val="20"/>
                <w:szCs w:val="20"/>
                <w:lang w:eastAsia="en-GB"/>
              </w:rPr>
            </w:pPr>
            <w:r>
              <w:rPr>
                <w:rFonts w:cs="Arial"/>
                <w:color w:val="000000"/>
                <w:sz w:val="20"/>
                <w:szCs w:val="20"/>
                <w:lang w:eastAsia="en-GB"/>
              </w:rPr>
              <w:t>3</w:t>
            </w:r>
          </w:p>
        </w:tc>
        <w:tc>
          <w:tcPr>
            <w:tcW w:w="483" w:type="pct"/>
          </w:tcPr>
          <w:p w14:paraId="50EDC494" w14:textId="5FA616EB" w:rsidR="00854E61" w:rsidRPr="00190D4B" w:rsidRDefault="004451E9" w:rsidP="00192DC7">
            <w:pPr>
              <w:pStyle w:val="Tabletext"/>
              <w:spacing w:after="120"/>
              <w:rPr>
                <w:rFonts w:cs="Arial"/>
                <w:sz w:val="20"/>
                <w:szCs w:val="20"/>
                <w:highlight w:val="cyan"/>
              </w:rPr>
            </w:pPr>
            <w:r w:rsidRPr="00190D4B">
              <w:rPr>
                <w:rFonts w:cs="Arial"/>
                <w:sz w:val="20"/>
                <w:szCs w:val="20"/>
              </w:rPr>
              <w:t>SCM2</w:t>
            </w:r>
          </w:p>
        </w:tc>
        <w:tc>
          <w:tcPr>
            <w:tcW w:w="1111" w:type="pct"/>
          </w:tcPr>
          <w:p w14:paraId="4C9B3875" w14:textId="4D589694" w:rsidR="00854E61" w:rsidRPr="00190D4B" w:rsidRDefault="00EB757E" w:rsidP="00192DC7">
            <w:pPr>
              <w:pStyle w:val="Tabletext"/>
              <w:spacing w:after="120"/>
              <w:rPr>
                <w:rFonts w:cs="Arial"/>
                <w:sz w:val="20"/>
                <w:szCs w:val="20"/>
                <w:highlight w:val="cyan"/>
              </w:rPr>
            </w:pPr>
            <w:r w:rsidRPr="00190D4B">
              <w:rPr>
                <w:rFonts w:cs="Arial"/>
                <w:sz w:val="20"/>
                <w:szCs w:val="20"/>
              </w:rPr>
              <w:t>Enhanced recovery programmes should be offered for all major/overnight stay surgical patients</w:t>
            </w:r>
          </w:p>
        </w:tc>
        <w:tc>
          <w:tcPr>
            <w:tcW w:w="1402" w:type="pct"/>
          </w:tcPr>
          <w:p w14:paraId="7355D65A" w14:textId="3B9A59FA" w:rsidR="00B1447B" w:rsidRPr="00190D4B" w:rsidRDefault="00B1447B" w:rsidP="00192DC7">
            <w:pPr>
              <w:pStyle w:val="Tabletext"/>
              <w:spacing w:after="120"/>
              <w:rPr>
                <w:rFonts w:cs="Arial"/>
                <w:sz w:val="20"/>
                <w:szCs w:val="20"/>
              </w:rPr>
            </w:pPr>
            <w:r w:rsidRPr="00190D4B">
              <w:rPr>
                <w:rFonts w:cs="Arial"/>
                <w:sz w:val="20"/>
                <w:szCs w:val="20"/>
              </w:rPr>
              <w:t>Lot in evidence base, with the use of EPRs associated with reduced LOS, better short and long-term outcomes including survival in colorectal cancer patients.</w:t>
            </w:r>
          </w:p>
          <w:p w14:paraId="3F0D4144" w14:textId="77777777" w:rsidR="00B1447B" w:rsidRPr="00190D4B" w:rsidRDefault="00B1447B" w:rsidP="00192DC7">
            <w:pPr>
              <w:pStyle w:val="Tabletext"/>
              <w:spacing w:after="120"/>
              <w:rPr>
                <w:rFonts w:cs="Arial"/>
                <w:sz w:val="20"/>
                <w:szCs w:val="20"/>
              </w:rPr>
            </w:pPr>
          </w:p>
          <w:p w14:paraId="7A8DB03B" w14:textId="77777777" w:rsidR="00B1447B" w:rsidRPr="00190D4B" w:rsidRDefault="00B1447B" w:rsidP="00192DC7">
            <w:pPr>
              <w:pStyle w:val="Tabletext"/>
              <w:spacing w:after="120"/>
              <w:rPr>
                <w:rFonts w:cs="Arial"/>
                <w:sz w:val="20"/>
                <w:szCs w:val="20"/>
              </w:rPr>
            </w:pPr>
            <w:r w:rsidRPr="00190D4B">
              <w:rPr>
                <w:rFonts w:cs="Arial"/>
                <w:sz w:val="20"/>
                <w:szCs w:val="20"/>
              </w:rPr>
              <w:t>Recent GIRFT study published in BJA in June 2025, confirmed that EPR can help to minimise hospital stay</w:t>
            </w:r>
          </w:p>
          <w:p w14:paraId="79D1C069" w14:textId="28AEC22B" w:rsidR="00854E61" w:rsidRPr="00190D4B" w:rsidRDefault="00B1447B" w:rsidP="00192DC7">
            <w:pPr>
              <w:pStyle w:val="Tabletext"/>
              <w:spacing w:after="120"/>
              <w:rPr>
                <w:rFonts w:cs="Arial"/>
                <w:sz w:val="20"/>
                <w:szCs w:val="20"/>
                <w:highlight w:val="cyan"/>
              </w:rPr>
            </w:pPr>
            <w:r w:rsidRPr="00190D4B">
              <w:rPr>
                <w:rFonts w:cs="Arial"/>
                <w:sz w:val="20"/>
                <w:szCs w:val="20"/>
              </w:rPr>
              <w:t>https://gettingitrightfirsttime.co.uk/girft-study-shows-that-enhanced-recovery-pathways-following-elective-surgery-can-help-minimise-hospital-stay/#:~:text=A%20GIRFT%20study%20has%20found,and%20rectal%20surgery%20in%20England</w:t>
            </w:r>
          </w:p>
        </w:tc>
        <w:tc>
          <w:tcPr>
            <w:tcW w:w="916" w:type="pct"/>
          </w:tcPr>
          <w:p w14:paraId="66983E56" w14:textId="2B51737C" w:rsidR="002D1F2C" w:rsidRPr="00190D4B" w:rsidRDefault="002D1F2C" w:rsidP="00192DC7">
            <w:pPr>
              <w:pStyle w:val="Tabletext"/>
              <w:spacing w:after="120"/>
              <w:rPr>
                <w:rFonts w:cs="Arial"/>
                <w:sz w:val="20"/>
                <w:szCs w:val="20"/>
              </w:rPr>
            </w:pPr>
            <w:r w:rsidRPr="00190D4B">
              <w:rPr>
                <w:rFonts w:cs="Arial"/>
                <w:sz w:val="20"/>
                <w:szCs w:val="20"/>
              </w:rPr>
              <w:t>Data – can be generated from hospital EPRs.</w:t>
            </w:r>
          </w:p>
          <w:p w14:paraId="799C4C4C" w14:textId="77777777" w:rsidR="002D1F2C" w:rsidRPr="00190D4B" w:rsidRDefault="002D1F2C" w:rsidP="00192DC7">
            <w:pPr>
              <w:pStyle w:val="Tabletext"/>
              <w:spacing w:after="120"/>
              <w:rPr>
                <w:rFonts w:cs="Arial"/>
                <w:sz w:val="20"/>
                <w:szCs w:val="20"/>
              </w:rPr>
            </w:pPr>
            <w:r w:rsidRPr="00190D4B">
              <w:rPr>
                <w:rFonts w:cs="Arial"/>
                <w:sz w:val="20"/>
                <w:szCs w:val="20"/>
              </w:rPr>
              <w:t>Freedom of information to ensure all hospitals deliver EPR with nurse support to help with ward level delivery.</w:t>
            </w:r>
          </w:p>
          <w:p w14:paraId="7ECF6929" w14:textId="7C27E9DB" w:rsidR="00854E61" w:rsidRPr="00190D4B" w:rsidRDefault="002D1F2C" w:rsidP="00192DC7">
            <w:pPr>
              <w:pStyle w:val="Tabletext"/>
              <w:spacing w:after="120"/>
              <w:rPr>
                <w:rFonts w:cs="Arial"/>
                <w:sz w:val="20"/>
                <w:szCs w:val="20"/>
              </w:rPr>
            </w:pPr>
            <w:r w:rsidRPr="00190D4B">
              <w:rPr>
                <w:rFonts w:cs="Arial"/>
                <w:sz w:val="20"/>
                <w:szCs w:val="20"/>
              </w:rPr>
              <w:t>Could enhance this with explicit asking if sites have named nurse resource.</w:t>
            </w:r>
          </w:p>
        </w:tc>
        <w:tc>
          <w:tcPr>
            <w:tcW w:w="896" w:type="pct"/>
          </w:tcPr>
          <w:p w14:paraId="7602552F" w14:textId="6EC83236" w:rsidR="00854E61" w:rsidRPr="00190D4B" w:rsidRDefault="00854E61" w:rsidP="00192DC7">
            <w:pPr>
              <w:pStyle w:val="Tabletext"/>
              <w:spacing w:after="120"/>
              <w:rPr>
                <w:rFonts w:cs="Arial"/>
                <w:sz w:val="20"/>
                <w:szCs w:val="20"/>
                <w:highlight w:val="cyan"/>
              </w:rPr>
            </w:pPr>
          </w:p>
        </w:tc>
      </w:tr>
      <w:tr w:rsidR="0038251D" w:rsidRPr="00190D4B" w14:paraId="632A49C4" w14:textId="77777777" w:rsidTr="00477F9C">
        <w:trPr>
          <w:trHeight w:val="282"/>
        </w:trPr>
        <w:tc>
          <w:tcPr>
            <w:tcW w:w="192" w:type="pct"/>
          </w:tcPr>
          <w:p w14:paraId="0BD652BE" w14:textId="30DC81AF" w:rsidR="0038251D" w:rsidRPr="00190D4B" w:rsidRDefault="0038251D" w:rsidP="00192DC7">
            <w:pPr>
              <w:pStyle w:val="Tabletext"/>
              <w:spacing w:after="120"/>
              <w:rPr>
                <w:rFonts w:cs="Arial"/>
                <w:sz w:val="20"/>
                <w:szCs w:val="20"/>
                <w:lang w:eastAsia="en-GB"/>
              </w:rPr>
            </w:pPr>
            <w:r w:rsidRPr="00190D4B">
              <w:rPr>
                <w:rFonts w:cs="Arial"/>
                <w:sz w:val="20"/>
                <w:szCs w:val="20"/>
                <w:lang w:eastAsia="en-GB"/>
              </w:rPr>
              <w:t>4</w:t>
            </w:r>
          </w:p>
        </w:tc>
        <w:tc>
          <w:tcPr>
            <w:tcW w:w="483" w:type="pct"/>
          </w:tcPr>
          <w:p w14:paraId="3830EF15" w14:textId="5AB6C28C" w:rsidR="0038251D" w:rsidRPr="00190D4B" w:rsidRDefault="0038251D" w:rsidP="00192DC7">
            <w:pPr>
              <w:pStyle w:val="Tabletext"/>
              <w:spacing w:after="120"/>
              <w:rPr>
                <w:rFonts w:cs="Arial"/>
                <w:sz w:val="20"/>
                <w:szCs w:val="20"/>
              </w:rPr>
            </w:pPr>
            <w:r w:rsidRPr="00190D4B">
              <w:rPr>
                <w:rFonts w:cs="Arial"/>
                <w:sz w:val="20"/>
                <w:szCs w:val="20"/>
              </w:rPr>
              <w:t>SCM3</w:t>
            </w:r>
          </w:p>
        </w:tc>
        <w:tc>
          <w:tcPr>
            <w:tcW w:w="1111" w:type="pct"/>
          </w:tcPr>
          <w:p w14:paraId="133CD4C7"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t xml:space="preserve">Ensuring that all patients, particularly those with cancer are advised of improving fitness before surgery include nutrition </w:t>
            </w:r>
            <w:r w:rsidRPr="00190D4B">
              <w:rPr>
                <w:rFonts w:cs="Arial"/>
                <w:sz w:val="20"/>
                <w:szCs w:val="20"/>
              </w:rPr>
              <w:lastRenderedPageBreak/>
              <w:t>and psychological well-being – universal prehab.</w:t>
            </w:r>
          </w:p>
          <w:p w14:paraId="1FBBA4BF"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t>Consider explicit support for all high-risk patients – targeted prehab.</w:t>
            </w:r>
          </w:p>
          <w:p w14:paraId="4850CAFA" w14:textId="78249E88" w:rsidR="0038251D" w:rsidRPr="00190D4B" w:rsidRDefault="0038251D" w:rsidP="00192DC7">
            <w:pPr>
              <w:pStyle w:val="Paragraphnonumbers"/>
              <w:spacing w:after="120" w:line="240" w:lineRule="auto"/>
              <w:rPr>
                <w:rFonts w:cs="Arial"/>
                <w:sz w:val="20"/>
                <w:szCs w:val="20"/>
              </w:rPr>
            </w:pPr>
            <w:r w:rsidRPr="00190D4B">
              <w:rPr>
                <w:rFonts w:cs="Arial"/>
                <w:sz w:val="20"/>
                <w:szCs w:val="20"/>
              </w:rPr>
              <w:t xml:space="preserve">This aligns with CPOC and RCOA/Macmillan </w:t>
            </w:r>
            <w:r w:rsidR="003109E5" w:rsidRPr="00190D4B">
              <w:rPr>
                <w:rFonts w:cs="Arial"/>
                <w:sz w:val="20"/>
                <w:szCs w:val="20"/>
              </w:rPr>
              <w:t>guidance</w:t>
            </w:r>
          </w:p>
        </w:tc>
        <w:tc>
          <w:tcPr>
            <w:tcW w:w="1402" w:type="pct"/>
          </w:tcPr>
          <w:p w14:paraId="6ACA1230"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lastRenderedPageBreak/>
              <w:t>National prehab guidance being updated and due to be released in September 2025, which supports the care of cancer patient</w:t>
            </w:r>
          </w:p>
          <w:p w14:paraId="65289D84" w14:textId="77777777" w:rsidR="0038251D" w:rsidRPr="00190D4B" w:rsidRDefault="0038251D" w:rsidP="00192DC7">
            <w:pPr>
              <w:pStyle w:val="Paragraphnonumbers"/>
              <w:spacing w:after="120" w:line="240" w:lineRule="auto"/>
              <w:rPr>
                <w:rFonts w:cs="Arial"/>
                <w:sz w:val="20"/>
                <w:szCs w:val="20"/>
              </w:rPr>
            </w:pPr>
          </w:p>
          <w:p w14:paraId="622FC850"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t xml:space="preserve">Centre for perioperative care/RCOA - </w:t>
            </w:r>
            <w:hyperlink r:id="rId69" w:history="1">
              <w:r w:rsidRPr="00190D4B">
                <w:rPr>
                  <w:rStyle w:val="Hyperlink"/>
                  <w:rFonts w:cs="Arial"/>
                  <w:sz w:val="20"/>
                  <w:szCs w:val="20"/>
                </w:rPr>
                <w:t>https://www.cpoc.org.uk/sites/cpoc/files/documents/2021-06/Preoperative%20assessment%20and%20optimisation%20guidance.pdf</w:t>
              </w:r>
            </w:hyperlink>
            <w:r w:rsidRPr="00190D4B">
              <w:rPr>
                <w:rFonts w:cs="Arial"/>
                <w:sz w:val="20"/>
                <w:szCs w:val="20"/>
              </w:rPr>
              <w:t>.</w:t>
            </w:r>
          </w:p>
          <w:p w14:paraId="5E87A432" w14:textId="7EFD769E" w:rsidR="0038251D" w:rsidRPr="00190D4B" w:rsidRDefault="0038251D" w:rsidP="00192DC7">
            <w:pPr>
              <w:pStyle w:val="Paragraphnonumbers"/>
              <w:spacing w:after="120" w:line="240" w:lineRule="auto"/>
              <w:rPr>
                <w:rFonts w:cs="Arial"/>
                <w:sz w:val="20"/>
                <w:szCs w:val="20"/>
              </w:rPr>
            </w:pPr>
            <w:r w:rsidRPr="00190D4B">
              <w:rPr>
                <w:rFonts w:cs="Arial"/>
                <w:color w:val="1C1D1E"/>
                <w:sz w:val="20"/>
                <w:szCs w:val="20"/>
                <w:shd w:val="clear" w:color="auto" w:fill="FFFFFF"/>
              </w:rPr>
              <w:t>Moore, J., Beaney, A., Humphreys, L., Merchant, Z., Parmar, K.K. and Levett, D. (2025), Optimisation of the patient having oncological surgical through prehabilitation: a narrative review. Anaesthesia, 80: 85-94. </w:t>
            </w:r>
            <w:hyperlink r:id="rId70" w:history="1">
              <w:r w:rsidRPr="00190D4B">
                <w:rPr>
                  <w:rFonts w:cs="Arial"/>
                  <w:color w:val="000000"/>
                  <w:sz w:val="20"/>
                  <w:szCs w:val="20"/>
                  <w:u w:val="single"/>
                  <w:shd w:val="clear" w:color="auto" w:fill="FFFFFF"/>
                </w:rPr>
                <w:t>https://doi.org/10.1111/anae.16513</w:t>
              </w:r>
            </w:hyperlink>
          </w:p>
        </w:tc>
        <w:tc>
          <w:tcPr>
            <w:tcW w:w="916" w:type="pct"/>
          </w:tcPr>
          <w:p w14:paraId="14B30807" w14:textId="3B2D7E2F" w:rsidR="0038251D" w:rsidRPr="00190D4B" w:rsidRDefault="0038251D" w:rsidP="00192DC7">
            <w:pPr>
              <w:pStyle w:val="Paragraphnonumbers"/>
              <w:spacing w:after="120" w:line="240" w:lineRule="auto"/>
              <w:rPr>
                <w:rFonts w:cs="Arial"/>
                <w:sz w:val="20"/>
                <w:szCs w:val="20"/>
              </w:rPr>
            </w:pPr>
            <w:r w:rsidRPr="00190D4B">
              <w:rPr>
                <w:rFonts w:cs="Arial"/>
                <w:sz w:val="20"/>
                <w:szCs w:val="20"/>
              </w:rPr>
              <w:lastRenderedPageBreak/>
              <w:t>Access through hospital and regional cancer alliances.</w:t>
            </w:r>
          </w:p>
        </w:tc>
        <w:tc>
          <w:tcPr>
            <w:tcW w:w="896" w:type="pct"/>
          </w:tcPr>
          <w:p w14:paraId="3347C3AB" w14:textId="77777777" w:rsidR="0038251D" w:rsidRPr="00190D4B" w:rsidRDefault="0038251D" w:rsidP="00192DC7">
            <w:pPr>
              <w:shd w:val="clear" w:color="auto" w:fill="FFFFFF"/>
              <w:spacing w:after="120"/>
              <w:outlineLvl w:val="2"/>
              <w:rPr>
                <w:rFonts w:ascii="Arial" w:hAnsi="Arial" w:cs="Arial"/>
                <w:color w:val="000000"/>
                <w:sz w:val="20"/>
                <w:szCs w:val="20"/>
              </w:rPr>
            </w:pPr>
          </w:p>
        </w:tc>
      </w:tr>
      <w:tr w:rsidR="008E5EE3" w:rsidRPr="00190D4B" w14:paraId="71ABC205" w14:textId="77777777" w:rsidTr="00477F9C">
        <w:trPr>
          <w:trHeight w:val="282"/>
        </w:trPr>
        <w:tc>
          <w:tcPr>
            <w:tcW w:w="192" w:type="pct"/>
          </w:tcPr>
          <w:p w14:paraId="34B44744" w14:textId="1667E028" w:rsidR="008E5EE3" w:rsidRPr="00190D4B" w:rsidRDefault="008E5EE3" w:rsidP="00192DC7">
            <w:pPr>
              <w:pStyle w:val="Tabletext"/>
              <w:spacing w:after="120"/>
              <w:rPr>
                <w:rFonts w:cs="Arial"/>
                <w:sz w:val="20"/>
                <w:szCs w:val="20"/>
              </w:rPr>
            </w:pPr>
            <w:r w:rsidRPr="00190D4B">
              <w:rPr>
                <w:rFonts w:cs="Arial"/>
                <w:sz w:val="20"/>
                <w:szCs w:val="20"/>
                <w:lang w:eastAsia="en-GB"/>
              </w:rPr>
              <w:t>5</w:t>
            </w:r>
          </w:p>
        </w:tc>
        <w:tc>
          <w:tcPr>
            <w:tcW w:w="483" w:type="pct"/>
          </w:tcPr>
          <w:p w14:paraId="031EDDDD" w14:textId="561978D8" w:rsidR="008E5EE3" w:rsidRPr="00190D4B" w:rsidRDefault="008E5EE3" w:rsidP="00192DC7">
            <w:pPr>
              <w:pStyle w:val="Tabletext"/>
              <w:spacing w:after="120"/>
              <w:rPr>
                <w:rFonts w:cs="Arial"/>
                <w:sz w:val="20"/>
                <w:szCs w:val="20"/>
              </w:rPr>
            </w:pPr>
            <w:r w:rsidRPr="00190D4B">
              <w:rPr>
                <w:rFonts w:cs="Arial"/>
                <w:sz w:val="20"/>
                <w:szCs w:val="20"/>
              </w:rPr>
              <w:t>SCM4</w:t>
            </w:r>
          </w:p>
        </w:tc>
        <w:tc>
          <w:tcPr>
            <w:tcW w:w="1111" w:type="pct"/>
          </w:tcPr>
          <w:p w14:paraId="48DCB136" w14:textId="22446D25" w:rsidR="008E5EE3" w:rsidRPr="00190D4B" w:rsidRDefault="008E5EE3" w:rsidP="00192DC7">
            <w:pPr>
              <w:pStyle w:val="Paragraphnonumbers"/>
              <w:spacing w:after="120" w:line="240" w:lineRule="auto"/>
              <w:rPr>
                <w:rFonts w:cs="Arial"/>
                <w:sz w:val="20"/>
                <w:szCs w:val="20"/>
              </w:rPr>
            </w:pPr>
            <w:r w:rsidRPr="00190D4B">
              <w:rPr>
                <w:rFonts w:cs="Arial"/>
                <w:sz w:val="20"/>
                <w:szCs w:val="20"/>
              </w:rPr>
              <w:t>Key area for quality improvement 2</w:t>
            </w:r>
          </w:p>
          <w:p w14:paraId="523218D0" w14:textId="0A3BB698" w:rsidR="008E5EE3" w:rsidRPr="00190D4B" w:rsidRDefault="008E5EE3" w:rsidP="00192DC7">
            <w:pPr>
              <w:pStyle w:val="Paragraphnonumbers"/>
              <w:spacing w:after="120" w:line="240" w:lineRule="auto"/>
              <w:rPr>
                <w:rFonts w:cs="Arial"/>
                <w:sz w:val="20"/>
                <w:szCs w:val="20"/>
              </w:rPr>
            </w:pPr>
            <w:r w:rsidRPr="00190D4B">
              <w:rPr>
                <w:rFonts w:cs="Arial"/>
                <w:sz w:val="20"/>
                <w:szCs w:val="20"/>
              </w:rPr>
              <w:t>Recovery enhanced recovery unit</w:t>
            </w:r>
          </w:p>
          <w:p w14:paraId="66EEBFE0" w14:textId="2C4A81BF" w:rsidR="008E5EE3" w:rsidRPr="00190D4B" w:rsidRDefault="008E5EE3" w:rsidP="00192DC7">
            <w:pPr>
              <w:pStyle w:val="Tabletext"/>
              <w:spacing w:after="120"/>
              <w:rPr>
                <w:rFonts w:cs="Arial"/>
                <w:sz w:val="20"/>
                <w:szCs w:val="20"/>
              </w:rPr>
            </w:pPr>
          </w:p>
        </w:tc>
        <w:tc>
          <w:tcPr>
            <w:tcW w:w="1402" w:type="pct"/>
          </w:tcPr>
          <w:p w14:paraId="4F3934E7" w14:textId="77777777" w:rsidR="008E5EE3" w:rsidRPr="00190D4B" w:rsidRDefault="008E5EE3" w:rsidP="00192DC7">
            <w:pPr>
              <w:shd w:val="clear" w:color="auto" w:fill="FFFFFF"/>
              <w:spacing w:after="120"/>
              <w:outlineLvl w:val="2"/>
              <w:rPr>
                <w:rFonts w:ascii="Arial" w:hAnsi="Arial" w:cs="Arial"/>
                <w:color w:val="000000"/>
                <w:sz w:val="20"/>
                <w:szCs w:val="20"/>
              </w:rPr>
            </w:pPr>
            <w:r w:rsidRPr="00190D4B">
              <w:rPr>
                <w:rFonts w:ascii="Arial" w:hAnsi="Arial" w:cs="Arial"/>
                <w:color w:val="000000"/>
                <w:sz w:val="20"/>
                <w:szCs w:val="20"/>
              </w:rPr>
              <w:t>The enhanced recovery unit (ERU) is intended for people who are predicted to be in critical care for fewer than 48 hours following their operation, before being discharged to the surgical ward.</w:t>
            </w:r>
          </w:p>
          <w:p w14:paraId="14D52165" w14:textId="77777777" w:rsidR="008E5EE3" w:rsidRPr="00190D4B" w:rsidRDefault="008E5EE3" w:rsidP="00192DC7">
            <w:pPr>
              <w:pStyle w:val="Tabletext"/>
              <w:spacing w:after="120"/>
              <w:rPr>
                <w:rFonts w:cs="Arial"/>
                <w:sz w:val="20"/>
                <w:szCs w:val="20"/>
              </w:rPr>
            </w:pPr>
          </w:p>
        </w:tc>
        <w:tc>
          <w:tcPr>
            <w:tcW w:w="916" w:type="pct"/>
          </w:tcPr>
          <w:p w14:paraId="4428FE96" w14:textId="77777777" w:rsidR="008E5EE3" w:rsidRPr="00190D4B" w:rsidRDefault="008E5EE3" w:rsidP="00192DC7">
            <w:pPr>
              <w:pStyle w:val="Paragraphnonumbers"/>
              <w:spacing w:after="120" w:line="240" w:lineRule="auto"/>
              <w:rPr>
                <w:rFonts w:cs="Arial"/>
                <w:sz w:val="20"/>
                <w:szCs w:val="20"/>
              </w:rPr>
            </w:pPr>
            <w:r w:rsidRPr="00190D4B">
              <w:rPr>
                <w:rFonts w:cs="Arial"/>
                <w:sz w:val="20"/>
                <w:szCs w:val="20"/>
              </w:rPr>
              <w:t>CPOC &amp; FICM 2020 Guidance on Establishing and Delivering Enhanced Perioperative Care Services</w:t>
            </w:r>
          </w:p>
          <w:p w14:paraId="4F6ED2A4" w14:textId="73BB96CF" w:rsidR="008E5EE3" w:rsidRPr="00190D4B" w:rsidRDefault="008E5EE3" w:rsidP="00192DC7">
            <w:pPr>
              <w:pStyle w:val="Tabletext"/>
              <w:spacing w:after="120"/>
              <w:rPr>
                <w:rFonts w:eastAsia="Calibri" w:cs="Arial"/>
                <w:sz w:val="20"/>
                <w:szCs w:val="20"/>
              </w:rPr>
            </w:pPr>
            <w:r w:rsidRPr="00190D4B">
              <w:rPr>
                <w:rFonts w:cs="Arial"/>
                <w:sz w:val="20"/>
                <w:szCs w:val="20"/>
              </w:rPr>
              <w:t xml:space="preserve">FICM 2020 </w:t>
            </w:r>
            <w:hyperlink r:id="rId71" w:tgtFrame="_blank" w:history="1">
              <w:r w:rsidRPr="00190D4B">
                <w:rPr>
                  <w:rFonts w:cs="Arial"/>
                  <w:sz w:val="20"/>
                  <w:szCs w:val="20"/>
                  <w:bdr w:val="none" w:sz="0" w:space="0" w:color="auto" w:frame="1"/>
                </w:rPr>
                <w:t>Enhanced Care: guidance on service development in the hospital setting</w:t>
              </w:r>
            </w:hyperlink>
            <w:r w:rsidRPr="00190D4B">
              <w:rPr>
                <w:rFonts w:cs="Arial"/>
                <w:i/>
                <w:iCs/>
                <w:color w:val="4C5056"/>
                <w:sz w:val="20"/>
                <w:szCs w:val="20"/>
                <w:bdr w:val="none" w:sz="0" w:space="0" w:color="auto" w:frame="1"/>
                <w:shd w:val="clear" w:color="auto" w:fill="FFFFFF"/>
              </w:rPr>
              <w:t> </w:t>
            </w:r>
          </w:p>
        </w:tc>
        <w:tc>
          <w:tcPr>
            <w:tcW w:w="896" w:type="pct"/>
          </w:tcPr>
          <w:p w14:paraId="448F09D3" w14:textId="77777777" w:rsidR="008E5EE3" w:rsidRPr="00190D4B" w:rsidRDefault="008E5EE3" w:rsidP="00192DC7">
            <w:pPr>
              <w:shd w:val="clear" w:color="auto" w:fill="FFFFFF"/>
              <w:spacing w:after="120"/>
              <w:outlineLvl w:val="2"/>
              <w:rPr>
                <w:rFonts w:ascii="Arial" w:hAnsi="Arial" w:cs="Arial"/>
                <w:color w:val="000000"/>
                <w:sz w:val="20"/>
                <w:szCs w:val="20"/>
              </w:rPr>
            </w:pPr>
            <w:r w:rsidRPr="00190D4B">
              <w:rPr>
                <w:rFonts w:ascii="Arial" w:hAnsi="Arial" w:cs="Arial"/>
                <w:color w:val="000000"/>
                <w:sz w:val="20"/>
                <w:szCs w:val="20"/>
              </w:rPr>
              <w:t>These are a relatively new model in the recovery area.</w:t>
            </w:r>
          </w:p>
          <w:p w14:paraId="65E73366" w14:textId="7E9566A0" w:rsidR="008E5EE3" w:rsidRPr="00190D4B" w:rsidRDefault="008E5EE3" w:rsidP="00192DC7">
            <w:pPr>
              <w:pStyle w:val="Tabletext"/>
              <w:spacing w:after="120"/>
              <w:rPr>
                <w:rFonts w:cs="Arial"/>
                <w:sz w:val="20"/>
                <w:szCs w:val="20"/>
              </w:rPr>
            </w:pPr>
          </w:p>
        </w:tc>
      </w:tr>
      <w:tr w:rsidR="00A2596B" w:rsidRPr="00190D4B" w14:paraId="0D1CBBE4" w14:textId="77777777" w:rsidTr="00477F9C">
        <w:trPr>
          <w:trHeight w:val="282"/>
        </w:trPr>
        <w:tc>
          <w:tcPr>
            <w:tcW w:w="192" w:type="pct"/>
          </w:tcPr>
          <w:p w14:paraId="0FCBAB81" w14:textId="4DB5C1AB" w:rsidR="00A2596B" w:rsidRPr="00190D4B" w:rsidRDefault="002C610D" w:rsidP="00192DC7">
            <w:pPr>
              <w:pStyle w:val="Tabletext"/>
              <w:spacing w:after="120"/>
              <w:rPr>
                <w:rFonts w:cs="Arial"/>
                <w:sz w:val="20"/>
                <w:szCs w:val="20"/>
                <w:lang w:eastAsia="en-GB"/>
              </w:rPr>
            </w:pPr>
            <w:r>
              <w:rPr>
                <w:rFonts w:cs="Arial"/>
                <w:sz w:val="20"/>
                <w:szCs w:val="20"/>
                <w:lang w:eastAsia="en-GB"/>
              </w:rPr>
              <w:t>6</w:t>
            </w:r>
          </w:p>
        </w:tc>
        <w:tc>
          <w:tcPr>
            <w:tcW w:w="483" w:type="pct"/>
          </w:tcPr>
          <w:p w14:paraId="137F2578" w14:textId="422E5A1A" w:rsidR="00A2596B" w:rsidRPr="00190D4B" w:rsidRDefault="00A2596B" w:rsidP="00192DC7">
            <w:pPr>
              <w:pStyle w:val="Tabletext"/>
              <w:spacing w:after="120"/>
              <w:rPr>
                <w:rFonts w:cs="Arial"/>
                <w:sz w:val="20"/>
                <w:szCs w:val="20"/>
              </w:rPr>
            </w:pPr>
            <w:r w:rsidRPr="00190D4B">
              <w:rPr>
                <w:rFonts w:cs="Arial"/>
                <w:sz w:val="20"/>
                <w:szCs w:val="20"/>
              </w:rPr>
              <w:t>SCM4</w:t>
            </w:r>
          </w:p>
        </w:tc>
        <w:tc>
          <w:tcPr>
            <w:tcW w:w="1111" w:type="pct"/>
          </w:tcPr>
          <w:p w14:paraId="62523382" w14:textId="77777777" w:rsidR="00A2596B" w:rsidRPr="00190D4B" w:rsidRDefault="00A2596B" w:rsidP="00192DC7">
            <w:pPr>
              <w:pStyle w:val="Paragraphnonumbers"/>
              <w:spacing w:after="120" w:line="240" w:lineRule="auto"/>
              <w:rPr>
                <w:rFonts w:cs="Arial"/>
                <w:sz w:val="20"/>
                <w:szCs w:val="20"/>
              </w:rPr>
            </w:pPr>
            <w:r w:rsidRPr="00190D4B">
              <w:rPr>
                <w:rFonts w:cs="Arial"/>
                <w:sz w:val="20"/>
                <w:szCs w:val="20"/>
              </w:rPr>
              <w:t>Key area for quality improvement 1</w:t>
            </w:r>
          </w:p>
          <w:p w14:paraId="0FCD2984" w14:textId="068EE237" w:rsidR="00A2596B" w:rsidRPr="00190D4B" w:rsidRDefault="00A2596B" w:rsidP="00192DC7">
            <w:pPr>
              <w:pStyle w:val="Paragraphnonumbers"/>
              <w:spacing w:after="120" w:line="240" w:lineRule="auto"/>
              <w:rPr>
                <w:rFonts w:cs="Arial"/>
                <w:sz w:val="20"/>
                <w:szCs w:val="20"/>
              </w:rPr>
            </w:pPr>
            <w:r w:rsidRPr="00190D4B">
              <w:rPr>
                <w:rFonts w:cs="Arial"/>
                <w:sz w:val="20"/>
                <w:szCs w:val="20"/>
              </w:rPr>
              <w:t>Prehabilitation for all surgical patients</w:t>
            </w:r>
          </w:p>
        </w:tc>
        <w:tc>
          <w:tcPr>
            <w:tcW w:w="1402" w:type="pct"/>
          </w:tcPr>
          <w:p w14:paraId="3288FF3E" w14:textId="77777777" w:rsidR="00A2596B" w:rsidRPr="00190D4B" w:rsidRDefault="00A2596B" w:rsidP="00192DC7">
            <w:pPr>
              <w:pStyle w:val="Paragraphnonumbers"/>
              <w:spacing w:after="120" w:line="240" w:lineRule="auto"/>
              <w:rPr>
                <w:rFonts w:cs="Arial"/>
                <w:sz w:val="20"/>
                <w:szCs w:val="20"/>
              </w:rPr>
            </w:pPr>
            <w:r w:rsidRPr="00190D4B">
              <w:rPr>
                <w:rStyle w:val="Strong"/>
                <w:rFonts w:cs="Arial"/>
                <w:b w:val="0"/>
                <w:bCs w:val="0"/>
                <w:sz w:val="20"/>
                <w:szCs w:val="20"/>
              </w:rPr>
              <w:t>Prehabilitation for Surgery</w:t>
            </w:r>
            <w:r w:rsidRPr="00190D4B">
              <w:rPr>
                <w:rFonts w:cs="Arial"/>
                <w:sz w:val="20"/>
                <w:szCs w:val="20"/>
              </w:rPr>
              <w:t xml:space="preserve"> is a proactive, multidisciplinary approach that prepares patients physically and mentally before surgery to improve recovery, reduce complications, and enhance overall outcomes. </w:t>
            </w:r>
          </w:p>
          <w:p w14:paraId="4CBE53EA" w14:textId="77777777" w:rsidR="00A2596B" w:rsidRPr="00190D4B" w:rsidRDefault="00A2596B" w:rsidP="00192DC7">
            <w:pPr>
              <w:shd w:val="clear" w:color="auto" w:fill="FFFFFF"/>
              <w:spacing w:after="120"/>
              <w:outlineLvl w:val="2"/>
              <w:rPr>
                <w:rFonts w:ascii="Arial" w:hAnsi="Arial" w:cs="Arial"/>
                <w:color w:val="000000"/>
                <w:sz w:val="20"/>
                <w:szCs w:val="20"/>
              </w:rPr>
            </w:pPr>
          </w:p>
        </w:tc>
        <w:tc>
          <w:tcPr>
            <w:tcW w:w="916" w:type="pct"/>
          </w:tcPr>
          <w:p w14:paraId="3CA6233B" w14:textId="1427DC6E" w:rsidR="00A2596B" w:rsidRPr="00192DC7" w:rsidRDefault="00A2596B" w:rsidP="00192DC7">
            <w:pPr>
              <w:pStyle w:val="Heading1"/>
              <w:shd w:val="clear" w:color="auto" w:fill="FFFFFF"/>
              <w:spacing w:before="0" w:line="240" w:lineRule="auto"/>
              <w:textAlignment w:val="baseline"/>
              <w:rPr>
                <w:b w:val="0"/>
                <w:bCs w:val="0"/>
                <w:color w:val="202A30"/>
                <w:kern w:val="36"/>
                <w:sz w:val="20"/>
                <w:szCs w:val="20"/>
              </w:rPr>
            </w:pPr>
            <w:bookmarkStart w:id="117" w:name="_Toc208847673"/>
            <w:r w:rsidRPr="00190D4B">
              <w:rPr>
                <w:b w:val="0"/>
                <w:bCs w:val="0"/>
                <w:sz w:val="20"/>
                <w:szCs w:val="20"/>
              </w:rPr>
              <w:t xml:space="preserve">GIRFT </w:t>
            </w:r>
            <w:r w:rsidRPr="00190D4B">
              <w:rPr>
                <w:b w:val="0"/>
                <w:bCs w:val="0"/>
                <w:color w:val="202A30"/>
                <w:kern w:val="36"/>
                <w:sz w:val="20"/>
                <w:szCs w:val="20"/>
              </w:rPr>
              <w:t>Earlier screening, risk assessment and health optimisation in perioperative pathways: guide for providers and integrated care boards 2025</w:t>
            </w:r>
            <w:bookmarkEnd w:id="117"/>
          </w:p>
        </w:tc>
        <w:tc>
          <w:tcPr>
            <w:tcW w:w="896" w:type="pct"/>
          </w:tcPr>
          <w:p w14:paraId="4CA26580" w14:textId="4F59808F" w:rsidR="00A2596B" w:rsidRPr="00190D4B" w:rsidRDefault="00A2596B" w:rsidP="00192DC7">
            <w:pPr>
              <w:shd w:val="clear" w:color="auto" w:fill="FFFFFF"/>
              <w:spacing w:after="120"/>
              <w:outlineLvl w:val="2"/>
              <w:rPr>
                <w:rFonts w:ascii="Arial" w:hAnsi="Arial" w:cs="Arial"/>
                <w:color w:val="000000"/>
                <w:sz w:val="20"/>
                <w:szCs w:val="20"/>
              </w:rPr>
            </w:pPr>
            <w:r w:rsidRPr="00190D4B">
              <w:rPr>
                <w:rFonts w:ascii="Arial" w:hAnsi="Arial" w:cs="Arial"/>
                <w:sz w:val="20"/>
                <w:szCs w:val="20"/>
              </w:rPr>
              <w:t>There is variability in the prehabilitation of surgical patients</w:t>
            </w:r>
          </w:p>
        </w:tc>
      </w:tr>
      <w:tr w:rsidR="00B65700" w:rsidRPr="00190D4B" w14:paraId="5B881767" w14:textId="77777777" w:rsidTr="00477F9C">
        <w:trPr>
          <w:trHeight w:val="282"/>
        </w:trPr>
        <w:tc>
          <w:tcPr>
            <w:tcW w:w="192" w:type="pct"/>
          </w:tcPr>
          <w:p w14:paraId="6977D747" w14:textId="59CAC114" w:rsidR="00B65700" w:rsidRPr="00190D4B" w:rsidRDefault="002C610D" w:rsidP="00192DC7">
            <w:pPr>
              <w:pStyle w:val="Tabletext"/>
              <w:spacing w:after="120"/>
              <w:rPr>
                <w:rFonts w:cs="Arial"/>
                <w:sz w:val="20"/>
                <w:szCs w:val="20"/>
                <w:lang w:eastAsia="en-GB"/>
              </w:rPr>
            </w:pPr>
            <w:r>
              <w:rPr>
                <w:rFonts w:cs="Arial"/>
                <w:sz w:val="20"/>
                <w:szCs w:val="20"/>
                <w:lang w:eastAsia="en-GB"/>
              </w:rPr>
              <w:t>7</w:t>
            </w:r>
          </w:p>
        </w:tc>
        <w:tc>
          <w:tcPr>
            <w:tcW w:w="483" w:type="pct"/>
          </w:tcPr>
          <w:p w14:paraId="358AAB84" w14:textId="07F6E71D" w:rsidR="00B65700" w:rsidRPr="00190D4B" w:rsidRDefault="00B65700" w:rsidP="00192DC7">
            <w:pPr>
              <w:pStyle w:val="Tabletext"/>
              <w:spacing w:after="120"/>
              <w:rPr>
                <w:rFonts w:cs="Arial"/>
                <w:sz w:val="20"/>
                <w:szCs w:val="20"/>
              </w:rPr>
            </w:pPr>
            <w:r w:rsidRPr="00190D4B">
              <w:rPr>
                <w:rFonts w:cs="Arial"/>
                <w:sz w:val="20"/>
                <w:szCs w:val="20"/>
              </w:rPr>
              <w:t>SCM5</w:t>
            </w:r>
          </w:p>
        </w:tc>
        <w:tc>
          <w:tcPr>
            <w:tcW w:w="1111" w:type="pct"/>
          </w:tcPr>
          <w:p w14:paraId="5B289EFA" w14:textId="77777777" w:rsidR="00B65700" w:rsidRPr="00190D4B" w:rsidRDefault="00B65700" w:rsidP="00192DC7">
            <w:pPr>
              <w:pStyle w:val="Paragraphnonumbers"/>
              <w:spacing w:after="120" w:line="240" w:lineRule="auto"/>
              <w:rPr>
                <w:rFonts w:cs="Arial"/>
                <w:sz w:val="20"/>
                <w:szCs w:val="20"/>
              </w:rPr>
            </w:pPr>
            <w:r w:rsidRPr="00190D4B">
              <w:rPr>
                <w:rFonts w:cs="Arial"/>
                <w:sz w:val="20"/>
                <w:szCs w:val="20"/>
              </w:rPr>
              <w:t>Key area for quality improvement 4</w:t>
            </w:r>
          </w:p>
          <w:p w14:paraId="23E2AFEF" w14:textId="4067B4C9" w:rsidR="00B65700" w:rsidRPr="00190D4B" w:rsidRDefault="00B65700" w:rsidP="00192DC7">
            <w:pPr>
              <w:pStyle w:val="Paragraphnonumbers"/>
              <w:spacing w:after="120" w:line="240" w:lineRule="auto"/>
              <w:rPr>
                <w:rFonts w:cs="Arial"/>
                <w:sz w:val="20"/>
                <w:szCs w:val="20"/>
              </w:rPr>
            </w:pPr>
            <w:r w:rsidRPr="00190D4B">
              <w:rPr>
                <w:rFonts w:cs="Arial"/>
                <w:sz w:val="20"/>
                <w:szCs w:val="20"/>
              </w:rPr>
              <w:lastRenderedPageBreak/>
              <w:t xml:space="preserve">Early referral, uptake and adherence to prehabilitation programmes </w:t>
            </w:r>
          </w:p>
        </w:tc>
        <w:tc>
          <w:tcPr>
            <w:tcW w:w="1402" w:type="pct"/>
          </w:tcPr>
          <w:p w14:paraId="4A843A84" w14:textId="658F664C" w:rsidR="00B65700" w:rsidRPr="00190D4B" w:rsidRDefault="00B65700" w:rsidP="00192DC7">
            <w:pPr>
              <w:pStyle w:val="Paragraphnonumbers"/>
              <w:spacing w:after="120" w:line="240" w:lineRule="auto"/>
              <w:rPr>
                <w:rStyle w:val="Strong"/>
                <w:rFonts w:cs="Arial"/>
                <w:sz w:val="20"/>
                <w:szCs w:val="20"/>
              </w:rPr>
            </w:pPr>
            <w:r w:rsidRPr="00190D4B">
              <w:rPr>
                <w:rFonts w:cs="Arial"/>
                <w:sz w:val="20"/>
                <w:szCs w:val="20"/>
              </w:rPr>
              <w:lastRenderedPageBreak/>
              <w:t xml:space="preserve">Research data illustrates variable referral, uptake and adherence of evidence based prehab programmes </w:t>
            </w:r>
          </w:p>
        </w:tc>
        <w:tc>
          <w:tcPr>
            <w:tcW w:w="916" w:type="pct"/>
          </w:tcPr>
          <w:p w14:paraId="4693685C" w14:textId="77777777" w:rsidR="00D437F7" w:rsidRDefault="00B65700" w:rsidP="00192DC7">
            <w:pPr>
              <w:pStyle w:val="Paragraphnonumbers"/>
              <w:spacing w:after="120" w:line="240" w:lineRule="auto"/>
              <w:rPr>
                <w:rFonts w:cs="Arial"/>
                <w:sz w:val="20"/>
                <w:szCs w:val="20"/>
              </w:rPr>
            </w:pPr>
            <w:r w:rsidRPr="00190D4B">
              <w:rPr>
                <w:rFonts w:cs="Arial"/>
                <w:sz w:val="20"/>
                <w:szCs w:val="20"/>
              </w:rPr>
              <w:t>Prehab programmes reduce</w:t>
            </w:r>
          </w:p>
          <w:p w14:paraId="45BEFFD5" w14:textId="5D029177" w:rsidR="00B65700" w:rsidRPr="00190D4B" w:rsidRDefault="00B65700" w:rsidP="00192DC7">
            <w:pPr>
              <w:pStyle w:val="Paragraphnonumbers"/>
              <w:spacing w:after="120" w:line="240" w:lineRule="auto"/>
              <w:rPr>
                <w:rFonts w:cs="Arial"/>
                <w:sz w:val="20"/>
                <w:szCs w:val="20"/>
              </w:rPr>
            </w:pPr>
            <w:r w:rsidRPr="00190D4B">
              <w:rPr>
                <w:rFonts w:cs="Arial"/>
                <w:sz w:val="20"/>
                <w:szCs w:val="20"/>
              </w:rPr>
              <w:t>Complications</w:t>
            </w:r>
          </w:p>
          <w:p w14:paraId="2452BB6E" w14:textId="77777777" w:rsidR="00D437F7" w:rsidRDefault="00B65700" w:rsidP="00192DC7">
            <w:pPr>
              <w:pStyle w:val="Paragraphnonumbers"/>
              <w:spacing w:after="120" w:line="240" w:lineRule="auto"/>
              <w:rPr>
                <w:rFonts w:cs="Arial"/>
                <w:sz w:val="20"/>
                <w:szCs w:val="20"/>
              </w:rPr>
            </w:pPr>
            <w:r w:rsidRPr="00190D4B">
              <w:rPr>
                <w:rFonts w:cs="Arial"/>
                <w:sz w:val="20"/>
                <w:szCs w:val="20"/>
              </w:rPr>
              <w:lastRenderedPageBreak/>
              <w:t>Length of hospital stay</w:t>
            </w:r>
          </w:p>
          <w:p w14:paraId="4DC5B9DC" w14:textId="6AD77C46" w:rsidR="00B65700" w:rsidRPr="00190D4B" w:rsidRDefault="00B65700" w:rsidP="00192DC7">
            <w:pPr>
              <w:pStyle w:val="Paragraphnonumbers"/>
              <w:spacing w:after="120" w:line="240" w:lineRule="auto"/>
              <w:rPr>
                <w:rFonts w:cs="Arial"/>
                <w:sz w:val="20"/>
                <w:szCs w:val="20"/>
              </w:rPr>
            </w:pPr>
            <w:r w:rsidRPr="00190D4B">
              <w:rPr>
                <w:rFonts w:cs="Arial"/>
                <w:sz w:val="20"/>
                <w:szCs w:val="20"/>
              </w:rPr>
              <w:t xml:space="preserve"> </w:t>
            </w:r>
            <w:r w:rsidR="00D437F7">
              <w:rPr>
                <w:rFonts w:cs="Arial"/>
                <w:sz w:val="20"/>
                <w:szCs w:val="20"/>
              </w:rPr>
              <w:t>R</w:t>
            </w:r>
            <w:r w:rsidRPr="00190D4B">
              <w:rPr>
                <w:rFonts w:cs="Arial"/>
                <w:sz w:val="20"/>
                <w:szCs w:val="20"/>
              </w:rPr>
              <w:t xml:space="preserve">esult in improved longer term healthy behaviours </w:t>
            </w:r>
          </w:p>
        </w:tc>
        <w:tc>
          <w:tcPr>
            <w:tcW w:w="896" w:type="pct"/>
          </w:tcPr>
          <w:p w14:paraId="357819F2" w14:textId="77777777" w:rsidR="00B65700" w:rsidRPr="00190D4B" w:rsidRDefault="00B65700" w:rsidP="00192DC7">
            <w:pPr>
              <w:shd w:val="clear" w:color="auto" w:fill="FFFFFF"/>
              <w:spacing w:after="120"/>
              <w:outlineLvl w:val="2"/>
              <w:rPr>
                <w:rFonts w:ascii="Arial" w:hAnsi="Arial" w:cs="Arial"/>
                <w:sz w:val="20"/>
                <w:szCs w:val="20"/>
              </w:rPr>
            </w:pPr>
          </w:p>
        </w:tc>
      </w:tr>
      <w:tr w:rsidR="008E5EE3" w:rsidRPr="00190D4B" w14:paraId="166870DE" w14:textId="77777777" w:rsidTr="00477F9C">
        <w:trPr>
          <w:trHeight w:val="282"/>
        </w:trPr>
        <w:tc>
          <w:tcPr>
            <w:tcW w:w="192" w:type="pct"/>
          </w:tcPr>
          <w:p w14:paraId="653F1E38" w14:textId="2E5B5545" w:rsidR="008A1B2B" w:rsidRPr="00190D4B" w:rsidRDefault="002C610D" w:rsidP="00192DC7">
            <w:pPr>
              <w:pStyle w:val="Tabletext"/>
              <w:spacing w:after="120"/>
              <w:rPr>
                <w:rFonts w:cs="Arial"/>
                <w:sz w:val="20"/>
                <w:szCs w:val="20"/>
              </w:rPr>
            </w:pPr>
            <w:r>
              <w:rPr>
                <w:rFonts w:cs="Arial"/>
                <w:sz w:val="20"/>
                <w:szCs w:val="20"/>
              </w:rPr>
              <w:t>8</w:t>
            </w:r>
          </w:p>
        </w:tc>
        <w:tc>
          <w:tcPr>
            <w:tcW w:w="483" w:type="pct"/>
          </w:tcPr>
          <w:p w14:paraId="41773378" w14:textId="1A58930C" w:rsidR="008A1B2B" w:rsidRPr="00190D4B" w:rsidRDefault="008A1B2B" w:rsidP="00192DC7">
            <w:pPr>
              <w:pStyle w:val="Tabletext"/>
              <w:spacing w:after="120"/>
              <w:rPr>
                <w:rFonts w:cs="Arial"/>
                <w:sz w:val="20"/>
                <w:szCs w:val="20"/>
              </w:rPr>
            </w:pPr>
            <w:r w:rsidRPr="00190D4B">
              <w:rPr>
                <w:rFonts w:cs="Arial"/>
                <w:sz w:val="20"/>
                <w:szCs w:val="20"/>
              </w:rPr>
              <w:t>SCM</w:t>
            </w:r>
            <w:r w:rsidR="00600734" w:rsidRPr="00190D4B">
              <w:rPr>
                <w:rFonts w:cs="Arial"/>
                <w:sz w:val="20"/>
                <w:szCs w:val="20"/>
              </w:rPr>
              <w:t>6</w:t>
            </w:r>
          </w:p>
        </w:tc>
        <w:tc>
          <w:tcPr>
            <w:tcW w:w="1111" w:type="pct"/>
          </w:tcPr>
          <w:p w14:paraId="094080D6" w14:textId="77777777" w:rsidR="008A1B2B" w:rsidRPr="00190D4B" w:rsidRDefault="00546762" w:rsidP="00192DC7">
            <w:pPr>
              <w:pStyle w:val="Tabletext"/>
              <w:spacing w:after="120"/>
              <w:rPr>
                <w:rFonts w:cs="Arial"/>
                <w:sz w:val="20"/>
                <w:szCs w:val="20"/>
              </w:rPr>
            </w:pPr>
            <w:r w:rsidRPr="00190D4B">
              <w:rPr>
                <w:rFonts w:cs="Arial"/>
                <w:sz w:val="20"/>
                <w:szCs w:val="20"/>
              </w:rPr>
              <w:t>Prehab/ Optimisation pre-surgery</w:t>
            </w:r>
          </w:p>
          <w:p w14:paraId="6A3130E9" w14:textId="77777777" w:rsidR="006E5870" w:rsidRPr="00190D4B" w:rsidRDefault="006E5870" w:rsidP="00192DC7">
            <w:pPr>
              <w:pStyle w:val="Tabletext"/>
              <w:spacing w:after="120"/>
              <w:rPr>
                <w:rFonts w:cs="Arial"/>
                <w:sz w:val="20"/>
                <w:szCs w:val="20"/>
              </w:rPr>
            </w:pPr>
          </w:p>
          <w:p w14:paraId="7C440A78" w14:textId="59328AC6" w:rsidR="006E5870" w:rsidRPr="00190D4B" w:rsidRDefault="006E5870" w:rsidP="00192DC7">
            <w:pPr>
              <w:pStyle w:val="Tabletext"/>
              <w:spacing w:after="120"/>
              <w:rPr>
                <w:rFonts w:cs="Arial"/>
                <w:sz w:val="20"/>
                <w:szCs w:val="20"/>
              </w:rPr>
            </w:pPr>
            <w:r w:rsidRPr="00190D4B">
              <w:rPr>
                <w:rFonts w:cs="Arial"/>
                <w:sz w:val="20"/>
                <w:szCs w:val="20"/>
              </w:rPr>
              <w:t>Definition of ‘good post-op care’</w:t>
            </w:r>
          </w:p>
        </w:tc>
        <w:tc>
          <w:tcPr>
            <w:tcW w:w="1402" w:type="pct"/>
          </w:tcPr>
          <w:p w14:paraId="2FAA496E" w14:textId="1D38ACA8" w:rsidR="008A1B2B" w:rsidRPr="00190D4B" w:rsidRDefault="007B1418" w:rsidP="00192DC7">
            <w:pPr>
              <w:pStyle w:val="Tabletext"/>
              <w:spacing w:after="120"/>
              <w:rPr>
                <w:rFonts w:cs="Arial"/>
                <w:sz w:val="20"/>
                <w:szCs w:val="20"/>
                <w:highlight w:val="cyan"/>
              </w:rPr>
            </w:pPr>
            <w:r w:rsidRPr="00190D4B">
              <w:rPr>
                <w:rFonts w:cs="Arial"/>
                <w:sz w:val="20"/>
                <w:szCs w:val="20"/>
              </w:rPr>
              <w:t>Other topics need to be optimised in elective surgery.</w:t>
            </w:r>
          </w:p>
        </w:tc>
        <w:tc>
          <w:tcPr>
            <w:tcW w:w="916" w:type="pct"/>
          </w:tcPr>
          <w:p w14:paraId="1E32D8B0" w14:textId="6D2172AB" w:rsidR="008A1B2B" w:rsidRPr="00190D4B" w:rsidRDefault="00334B0F" w:rsidP="00192DC7">
            <w:pPr>
              <w:spacing w:after="120"/>
              <w:rPr>
                <w:rFonts w:ascii="Arial" w:hAnsi="Arial" w:cs="Arial"/>
                <w:sz w:val="20"/>
                <w:szCs w:val="20"/>
                <w:highlight w:val="cyan"/>
              </w:rPr>
            </w:pPr>
            <w:r w:rsidRPr="00190D4B">
              <w:rPr>
                <w:rFonts w:ascii="Arial" w:hAnsi="Arial" w:cs="Arial"/>
                <w:sz w:val="20"/>
                <w:szCs w:val="20"/>
              </w:rPr>
              <w:t xml:space="preserve">Prehab/ optimisation- lots of publications (NIHR, </w:t>
            </w:r>
            <w:proofErr w:type="spellStart"/>
            <w:r w:rsidRPr="00190D4B">
              <w:rPr>
                <w:rFonts w:ascii="Arial" w:hAnsi="Arial" w:cs="Arial"/>
                <w:sz w:val="20"/>
                <w:szCs w:val="20"/>
              </w:rPr>
              <w:t>RCoA</w:t>
            </w:r>
            <w:proofErr w:type="spellEnd"/>
            <w:r w:rsidRPr="00190D4B">
              <w:rPr>
                <w:rFonts w:ascii="Arial" w:hAnsi="Arial" w:cs="Arial"/>
                <w:sz w:val="20"/>
                <w:szCs w:val="20"/>
              </w:rPr>
              <w:t xml:space="preserve"> Guidance) and Centre for </w:t>
            </w:r>
            <w:proofErr w:type="spellStart"/>
            <w:r w:rsidRPr="00190D4B">
              <w:rPr>
                <w:rFonts w:ascii="Arial" w:hAnsi="Arial" w:cs="Arial"/>
                <w:sz w:val="20"/>
                <w:szCs w:val="20"/>
              </w:rPr>
              <w:t>Periop</w:t>
            </w:r>
            <w:proofErr w:type="spellEnd"/>
            <w:r w:rsidRPr="00190D4B">
              <w:rPr>
                <w:rFonts w:ascii="Arial" w:hAnsi="Arial" w:cs="Arial"/>
                <w:sz w:val="20"/>
                <w:szCs w:val="20"/>
              </w:rPr>
              <w:t xml:space="preserve"> care</w:t>
            </w:r>
          </w:p>
        </w:tc>
        <w:tc>
          <w:tcPr>
            <w:tcW w:w="896" w:type="pct"/>
          </w:tcPr>
          <w:p w14:paraId="41312BC1" w14:textId="10E53DCC" w:rsidR="008A1B2B" w:rsidRPr="00190D4B" w:rsidRDefault="008A1B2B" w:rsidP="00192DC7">
            <w:pPr>
              <w:spacing w:after="120"/>
              <w:rPr>
                <w:rFonts w:ascii="Arial" w:hAnsi="Arial" w:cs="Arial"/>
                <w:sz w:val="20"/>
                <w:szCs w:val="20"/>
                <w:highlight w:val="cyan"/>
              </w:rPr>
            </w:pPr>
            <w:r w:rsidRPr="00190D4B">
              <w:rPr>
                <w:rFonts w:ascii="Arial" w:hAnsi="Arial" w:cs="Arial"/>
                <w:sz w:val="20"/>
                <w:szCs w:val="20"/>
                <w:highlight w:val="cyan"/>
              </w:rPr>
              <w:t xml:space="preserve"> </w:t>
            </w:r>
          </w:p>
        </w:tc>
      </w:tr>
      <w:tr w:rsidR="00D00BB3" w:rsidRPr="00190D4B" w14:paraId="3A38E8D9" w14:textId="77777777" w:rsidTr="00477F9C">
        <w:trPr>
          <w:trHeight w:val="282"/>
        </w:trPr>
        <w:tc>
          <w:tcPr>
            <w:tcW w:w="192" w:type="pct"/>
          </w:tcPr>
          <w:p w14:paraId="6A8F787A" w14:textId="6CFAB7CF" w:rsidR="00D00BB3" w:rsidRPr="00190D4B" w:rsidRDefault="002C610D" w:rsidP="00192DC7">
            <w:pPr>
              <w:pStyle w:val="Tabletext"/>
              <w:spacing w:after="120"/>
              <w:rPr>
                <w:rFonts w:cs="Arial"/>
                <w:sz w:val="20"/>
                <w:szCs w:val="20"/>
              </w:rPr>
            </w:pPr>
            <w:r>
              <w:rPr>
                <w:rFonts w:cs="Arial"/>
                <w:sz w:val="20"/>
                <w:szCs w:val="20"/>
              </w:rPr>
              <w:t>9</w:t>
            </w:r>
          </w:p>
        </w:tc>
        <w:tc>
          <w:tcPr>
            <w:tcW w:w="483" w:type="pct"/>
          </w:tcPr>
          <w:p w14:paraId="1D0DBD75" w14:textId="183C3050" w:rsidR="00D00BB3" w:rsidRPr="00190D4B" w:rsidRDefault="00D00BB3" w:rsidP="00192DC7">
            <w:pPr>
              <w:pStyle w:val="Tabletext"/>
              <w:spacing w:after="120"/>
              <w:rPr>
                <w:rFonts w:cs="Arial"/>
                <w:sz w:val="20"/>
                <w:szCs w:val="20"/>
              </w:rPr>
            </w:pPr>
            <w:r w:rsidRPr="00190D4B">
              <w:rPr>
                <w:rFonts w:cs="Arial"/>
                <w:sz w:val="20"/>
                <w:szCs w:val="20"/>
              </w:rPr>
              <w:t>SCM7</w:t>
            </w:r>
          </w:p>
        </w:tc>
        <w:tc>
          <w:tcPr>
            <w:tcW w:w="1111" w:type="pct"/>
          </w:tcPr>
          <w:p w14:paraId="332A02E1" w14:textId="4EF7A19D" w:rsidR="00D00BB3" w:rsidRPr="00190D4B" w:rsidRDefault="00D00BB3" w:rsidP="00192DC7">
            <w:pPr>
              <w:pStyle w:val="Tabletext"/>
              <w:spacing w:after="120"/>
              <w:rPr>
                <w:rFonts w:cs="Arial"/>
                <w:sz w:val="20"/>
                <w:szCs w:val="20"/>
              </w:rPr>
            </w:pPr>
            <w:r w:rsidRPr="00190D4B">
              <w:rPr>
                <w:rFonts w:cs="Arial"/>
                <w:sz w:val="20"/>
                <w:szCs w:val="20"/>
              </w:rPr>
              <w:t>Exercise prehabilitation should be offered to all patients undergoing planned surgery</w:t>
            </w:r>
          </w:p>
        </w:tc>
        <w:tc>
          <w:tcPr>
            <w:tcW w:w="1402" w:type="pct"/>
          </w:tcPr>
          <w:p w14:paraId="5364AC25" w14:textId="77777777" w:rsidR="00D00BB3" w:rsidRPr="00190D4B" w:rsidRDefault="00D00BB3" w:rsidP="00192DC7">
            <w:pPr>
              <w:pStyle w:val="Tabletext"/>
              <w:spacing w:after="120"/>
              <w:rPr>
                <w:rFonts w:cs="Arial"/>
                <w:sz w:val="20"/>
                <w:szCs w:val="20"/>
              </w:rPr>
            </w:pPr>
            <w:r w:rsidRPr="00190D4B">
              <w:rPr>
                <w:rFonts w:cs="Arial"/>
                <w:sz w:val="20"/>
                <w:szCs w:val="20"/>
              </w:rPr>
              <w:t>Freedom of information request to all NHS trusts show variable delivery of exercise prehabilitation across the NHS</w:t>
            </w:r>
          </w:p>
          <w:p w14:paraId="582CDD62" w14:textId="77777777" w:rsidR="00D00BB3" w:rsidRPr="00190D4B" w:rsidRDefault="00D00BB3" w:rsidP="00192DC7">
            <w:pPr>
              <w:pStyle w:val="Tabletext"/>
              <w:spacing w:after="120"/>
              <w:rPr>
                <w:rFonts w:cs="Arial"/>
                <w:sz w:val="20"/>
                <w:szCs w:val="20"/>
              </w:rPr>
            </w:pPr>
          </w:p>
          <w:p w14:paraId="6DBD2F40" w14:textId="4C35DF8D" w:rsidR="00D00BB3" w:rsidRPr="00190D4B" w:rsidRDefault="00D00BB3" w:rsidP="00192DC7">
            <w:pPr>
              <w:pStyle w:val="Tabletext"/>
              <w:spacing w:after="120"/>
              <w:rPr>
                <w:rFonts w:cs="Arial"/>
                <w:sz w:val="20"/>
                <w:szCs w:val="20"/>
              </w:rPr>
            </w:pPr>
            <w:proofErr w:type="spellStart"/>
            <w:r w:rsidRPr="00190D4B">
              <w:rPr>
                <w:rFonts w:cs="Arial"/>
                <w:sz w:val="20"/>
                <w:szCs w:val="20"/>
              </w:rPr>
              <w:t>Pufulete</w:t>
            </w:r>
            <w:proofErr w:type="spellEnd"/>
            <w:r w:rsidRPr="00190D4B">
              <w:rPr>
                <w:rFonts w:cs="Arial"/>
                <w:sz w:val="20"/>
                <w:szCs w:val="20"/>
              </w:rPr>
              <w:t xml:space="preserve"> et al (2025) Prehabilitation provision and practice in the UK: a freedom of information survey. British Journal of Anaesthesia, Volume 132, Issue 4, 815 - 819</w:t>
            </w:r>
          </w:p>
        </w:tc>
        <w:tc>
          <w:tcPr>
            <w:tcW w:w="916" w:type="pct"/>
          </w:tcPr>
          <w:p w14:paraId="0DCAAF53" w14:textId="60ED3D8A" w:rsidR="00D00BB3" w:rsidRPr="00190D4B" w:rsidRDefault="00D00BB3" w:rsidP="00192DC7">
            <w:pPr>
              <w:spacing w:after="120"/>
              <w:rPr>
                <w:rFonts w:ascii="Arial" w:hAnsi="Arial" w:cs="Arial"/>
                <w:sz w:val="20"/>
                <w:szCs w:val="20"/>
              </w:rPr>
            </w:pPr>
            <w:r w:rsidRPr="00190D4B">
              <w:rPr>
                <w:rFonts w:ascii="Arial" w:hAnsi="Arial" w:cs="Arial"/>
                <w:sz w:val="20"/>
                <w:szCs w:val="20"/>
              </w:rPr>
              <w:t xml:space="preserve">PQIP national cohort reports discuss use of </w:t>
            </w:r>
            <w:proofErr w:type="spellStart"/>
            <w:r w:rsidRPr="00190D4B">
              <w:rPr>
                <w:rFonts w:ascii="Arial" w:hAnsi="Arial" w:cs="Arial"/>
                <w:sz w:val="20"/>
                <w:szCs w:val="20"/>
              </w:rPr>
              <w:t>prehabiliation</w:t>
            </w:r>
            <w:proofErr w:type="spellEnd"/>
          </w:p>
        </w:tc>
        <w:tc>
          <w:tcPr>
            <w:tcW w:w="896" w:type="pct"/>
          </w:tcPr>
          <w:p w14:paraId="2DC2C5C5" w14:textId="77777777" w:rsidR="00D00BB3" w:rsidRPr="00190D4B" w:rsidRDefault="00D00BB3" w:rsidP="00192DC7">
            <w:pPr>
              <w:spacing w:after="120"/>
              <w:rPr>
                <w:rFonts w:ascii="Arial" w:hAnsi="Arial" w:cs="Arial"/>
                <w:sz w:val="20"/>
                <w:szCs w:val="20"/>
              </w:rPr>
            </w:pPr>
            <w:r w:rsidRPr="00190D4B">
              <w:rPr>
                <w:rFonts w:ascii="Arial" w:hAnsi="Arial" w:cs="Arial"/>
                <w:sz w:val="20"/>
                <w:szCs w:val="20"/>
              </w:rPr>
              <w:t xml:space="preserve">The trial of patients undergoing major abdominal surgery published by Barberan-Garcia et al. randomised 73 out of 144 patients to a personalised (with motivational interviewing techniques), combination program of both unsupervised and supervised exercise prehabilitation for high risk patients for 6 weeks before undergoing major abdominal surgery. 41% of the operations were segmental colon resection followed by rectal resection (16%) and gastric bypass (10%). The primary outcome was the incidence of complications, defined as any deviation from the normal postoperative course and classified using the guidelines ‘Standards </w:t>
            </w:r>
            <w:r w:rsidRPr="00190D4B">
              <w:rPr>
                <w:rFonts w:ascii="Arial" w:hAnsi="Arial" w:cs="Arial"/>
                <w:sz w:val="20"/>
                <w:szCs w:val="20"/>
              </w:rPr>
              <w:lastRenderedPageBreak/>
              <w:t xml:space="preserve">for definitions and use of outcome measures for clinical effectiveness research in perioperative medicine: European Perioperative Clinical Outcome (EPCO) definitions'. This is a more detailed classification system than the </w:t>
            </w:r>
            <w:proofErr w:type="spellStart"/>
            <w:r w:rsidRPr="00190D4B">
              <w:rPr>
                <w:rFonts w:ascii="Arial" w:hAnsi="Arial" w:cs="Arial"/>
                <w:sz w:val="20"/>
                <w:szCs w:val="20"/>
              </w:rPr>
              <w:t>Clavien</w:t>
            </w:r>
            <w:proofErr w:type="spellEnd"/>
            <w:r w:rsidRPr="00190D4B">
              <w:rPr>
                <w:rFonts w:ascii="Arial" w:hAnsi="Arial" w:cs="Arial"/>
                <w:sz w:val="20"/>
                <w:szCs w:val="20"/>
              </w:rPr>
              <w:t xml:space="preserve">-Dindo classification used by most other studies and includes choices of complication category from 10 medical complications and 6 surgical complications. The incidence of complications in the prehabilitation group was significantly lower than the control group (31% vs. 62%, p = 0.001), accounted for by three complications with significantly lower incidence in the intervention group: cardiovascular complications, infection of uncertain source and paralytic ileus. There was no significant difference in planned postoperative ITU stay, length of hospital stay, transfusion requirement or </w:t>
            </w:r>
            <w:r w:rsidRPr="00190D4B">
              <w:rPr>
                <w:rFonts w:ascii="Arial" w:hAnsi="Arial" w:cs="Arial"/>
                <w:sz w:val="20"/>
                <w:szCs w:val="20"/>
              </w:rPr>
              <w:lastRenderedPageBreak/>
              <w:t xml:space="preserve">reintervention rate. Interestingly there was a significant increase in endurance time (as measured by time able to cycle at 80% power on a cycle ergometer) in the intervention group from baseline to pre-surgery. Mean endurance time increased from 325 seconds to 765 seconds in the prehabilitation group, and only increased from 323 seconds to 362 seconds in the control group. </w:t>
            </w:r>
          </w:p>
          <w:p w14:paraId="2429EB2A" w14:textId="77777777" w:rsidR="00D00BB3" w:rsidRPr="00190D4B" w:rsidRDefault="00D00BB3" w:rsidP="00192DC7">
            <w:pPr>
              <w:spacing w:after="120"/>
              <w:rPr>
                <w:rFonts w:ascii="Arial" w:hAnsi="Arial" w:cs="Arial"/>
                <w:sz w:val="20"/>
                <w:szCs w:val="20"/>
              </w:rPr>
            </w:pPr>
          </w:p>
          <w:p w14:paraId="33B4CD68" w14:textId="772F6081" w:rsidR="00D00BB3" w:rsidRPr="00190D4B" w:rsidRDefault="00D00BB3" w:rsidP="00192DC7">
            <w:pPr>
              <w:spacing w:after="120"/>
              <w:rPr>
                <w:rFonts w:ascii="Arial" w:hAnsi="Arial" w:cs="Arial"/>
                <w:sz w:val="20"/>
                <w:szCs w:val="20"/>
                <w:highlight w:val="cyan"/>
              </w:rPr>
            </w:pPr>
            <w:r w:rsidRPr="00E25274">
              <w:rPr>
                <w:rFonts w:ascii="Arial" w:hAnsi="Arial" w:cs="Arial"/>
                <w:sz w:val="20"/>
                <w:szCs w:val="20"/>
                <w:lang w:val="it-IT"/>
              </w:rPr>
              <w:t xml:space="preserve">Barberan-Garcia, A. et al. </w:t>
            </w:r>
            <w:r w:rsidRPr="00190D4B">
              <w:rPr>
                <w:rFonts w:ascii="Arial" w:hAnsi="Arial" w:cs="Arial"/>
                <w:sz w:val="20"/>
                <w:szCs w:val="20"/>
              </w:rPr>
              <w:t>Personalised Prehabilitation in High-risk Patients Undergoing Elective Major Abdominal Surgery: A Randomized Blinded Controlled Trial. Ann. Surg. 267, 50–56 (2018).</w:t>
            </w:r>
          </w:p>
        </w:tc>
      </w:tr>
      <w:tr w:rsidR="00B61C62" w:rsidRPr="00190D4B" w14:paraId="63A5F011" w14:textId="77777777" w:rsidTr="00477F9C">
        <w:trPr>
          <w:trHeight w:val="282"/>
        </w:trPr>
        <w:tc>
          <w:tcPr>
            <w:tcW w:w="192" w:type="pct"/>
          </w:tcPr>
          <w:p w14:paraId="6C57BAF9" w14:textId="55A31448" w:rsidR="00B61C62" w:rsidRPr="00190D4B" w:rsidRDefault="002C610D" w:rsidP="00192DC7">
            <w:pPr>
              <w:pStyle w:val="Tabletext"/>
              <w:spacing w:after="120"/>
              <w:rPr>
                <w:rFonts w:cs="Arial"/>
                <w:sz w:val="20"/>
                <w:szCs w:val="20"/>
              </w:rPr>
            </w:pPr>
            <w:r>
              <w:rPr>
                <w:rFonts w:cs="Arial"/>
                <w:sz w:val="20"/>
                <w:szCs w:val="20"/>
              </w:rPr>
              <w:lastRenderedPageBreak/>
              <w:t>10</w:t>
            </w:r>
          </w:p>
        </w:tc>
        <w:tc>
          <w:tcPr>
            <w:tcW w:w="483" w:type="pct"/>
          </w:tcPr>
          <w:p w14:paraId="7CACC4C2" w14:textId="23FC61F7" w:rsidR="00B61C62" w:rsidRPr="00190D4B" w:rsidRDefault="00477F9C" w:rsidP="00192DC7">
            <w:pPr>
              <w:pStyle w:val="Tabletext"/>
              <w:spacing w:after="120"/>
              <w:rPr>
                <w:rFonts w:cs="Arial"/>
                <w:sz w:val="20"/>
                <w:szCs w:val="20"/>
              </w:rPr>
            </w:pPr>
            <w:r>
              <w:rPr>
                <w:rFonts w:cs="Arial"/>
                <w:sz w:val="20"/>
                <w:szCs w:val="20"/>
              </w:rPr>
              <w:t>YCR</w:t>
            </w:r>
          </w:p>
        </w:tc>
        <w:tc>
          <w:tcPr>
            <w:tcW w:w="1111" w:type="pct"/>
          </w:tcPr>
          <w:p w14:paraId="0B0552AC" w14:textId="49740B59" w:rsidR="00B61C62" w:rsidRPr="00190D4B" w:rsidRDefault="00B61C62" w:rsidP="00192DC7">
            <w:pPr>
              <w:pStyle w:val="Tabletext"/>
              <w:spacing w:after="120"/>
              <w:rPr>
                <w:rFonts w:cs="Arial"/>
                <w:sz w:val="20"/>
                <w:szCs w:val="20"/>
              </w:rPr>
            </w:pPr>
            <w:r w:rsidRPr="00190D4B">
              <w:rPr>
                <w:rFonts w:eastAsia="Arial" w:cs="Arial"/>
                <w:sz w:val="20"/>
                <w:szCs w:val="20"/>
              </w:rPr>
              <w:t xml:space="preserve">Maximising the duration of ‘Enhanced recovery programmes’. Where possible patients should be offered prehabilitation from the point of diagnosis. </w:t>
            </w:r>
          </w:p>
        </w:tc>
        <w:tc>
          <w:tcPr>
            <w:tcW w:w="1402" w:type="pct"/>
          </w:tcPr>
          <w:p w14:paraId="03E43DDC" w14:textId="77777777" w:rsidR="00B61C62" w:rsidRPr="00190D4B" w:rsidRDefault="00B61C62" w:rsidP="00192DC7">
            <w:pPr>
              <w:spacing w:after="120"/>
              <w:rPr>
                <w:rFonts w:ascii="Arial" w:eastAsia="Arial" w:hAnsi="Arial" w:cs="Arial"/>
                <w:sz w:val="20"/>
                <w:szCs w:val="20"/>
              </w:rPr>
            </w:pPr>
            <w:r w:rsidRPr="00190D4B">
              <w:rPr>
                <w:rFonts w:ascii="Arial" w:eastAsia="Arial" w:hAnsi="Arial" w:cs="Arial"/>
                <w:sz w:val="20"/>
                <w:szCs w:val="20"/>
              </w:rPr>
              <w:t>It is important that the prehabilitation or preoperative element of ‘Enhanced recovery programmes’ are long enough for clinically significant improvement and where possible are offered from the point of diagnosis.</w:t>
            </w:r>
          </w:p>
          <w:p w14:paraId="6625E34E" w14:textId="77777777" w:rsidR="00B61C62" w:rsidRPr="00190D4B" w:rsidRDefault="00B61C62" w:rsidP="00192DC7">
            <w:pPr>
              <w:spacing w:after="120"/>
              <w:rPr>
                <w:rFonts w:ascii="Arial" w:eastAsia="Arial" w:hAnsi="Arial" w:cs="Arial"/>
                <w:sz w:val="20"/>
                <w:szCs w:val="20"/>
              </w:rPr>
            </w:pPr>
          </w:p>
          <w:p w14:paraId="568E24FD" w14:textId="77777777" w:rsidR="00B61C62" w:rsidRPr="00190D4B" w:rsidRDefault="00B61C62" w:rsidP="00192DC7">
            <w:pPr>
              <w:spacing w:after="120"/>
              <w:rPr>
                <w:rFonts w:ascii="Arial" w:eastAsia="Arial" w:hAnsi="Arial" w:cs="Arial"/>
                <w:sz w:val="20"/>
                <w:szCs w:val="20"/>
              </w:rPr>
            </w:pPr>
            <w:r w:rsidRPr="00190D4B">
              <w:rPr>
                <w:rFonts w:ascii="Arial" w:eastAsia="Arial" w:hAnsi="Arial" w:cs="Arial"/>
                <w:sz w:val="20"/>
                <w:szCs w:val="20"/>
              </w:rPr>
              <w:t>For example, evidence for people with cancer demonstrates that a three-week intensive prehabilitation programme can reduce the risk of surgical complications. Shorter interventions lasting around two weeks also improve functional capacity, although further research is needed to confirm their clinical impact.</w:t>
            </w:r>
          </w:p>
          <w:p w14:paraId="262DEF34" w14:textId="77777777" w:rsidR="00B61C62" w:rsidRPr="00190D4B" w:rsidRDefault="00B61C62" w:rsidP="00192DC7">
            <w:pPr>
              <w:spacing w:after="120"/>
              <w:rPr>
                <w:rFonts w:ascii="Arial" w:eastAsia="Arial" w:hAnsi="Arial" w:cs="Arial"/>
                <w:sz w:val="20"/>
                <w:szCs w:val="20"/>
                <w:highlight w:val="yellow"/>
              </w:rPr>
            </w:pPr>
          </w:p>
          <w:p w14:paraId="4B3E69F1" w14:textId="77777777" w:rsidR="00B61C62" w:rsidRPr="00190D4B" w:rsidRDefault="00B61C62" w:rsidP="00192DC7">
            <w:pPr>
              <w:spacing w:after="120"/>
              <w:rPr>
                <w:rFonts w:ascii="Arial" w:eastAsia="Arial" w:hAnsi="Arial" w:cs="Arial"/>
                <w:sz w:val="20"/>
                <w:szCs w:val="20"/>
              </w:rPr>
            </w:pPr>
            <w:r w:rsidRPr="00190D4B">
              <w:rPr>
                <w:rFonts w:ascii="Arial" w:eastAsia="Arial" w:hAnsi="Arial" w:cs="Arial"/>
                <w:sz w:val="20"/>
                <w:szCs w:val="20"/>
              </w:rPr>
              <w:t>Active Together provides exercise, nutrition and wellbeing support for people before during and after cancer treatment. Active Together in Sheffield has been associated with an overall 10% improvement in survival for people with bowel, lung and upper gastrointestinal cancers. Active Together participants entered treatment stronger and fitter. This meant they had a better chance of tolerating surgery, spent less time in hospital, had reduced side effects of treatment and recovered more quickly, reducing the physical and emotional toll of cancer treatment.</w:t>
            </w:r>
          </w:p>
          <w:p w14:paraId="34732A67" w14:textId="77777777" w:rsidR="00B61C62" w:rsidRPr="00190D4B" w:rsidRDefault="00B61C62" w:rsidP="00192DC7">
            <w:pPr>
              <w:spacing w:after="120"/>
              <w:rPr>
                <w:rFonts w:ascii="Arial" w:eastAsia="Arial" w:hAnsi="Arial" w:cs="Arial"/>
                <w:sz w:val="20"/>
                <w:szCs w:val="20"/>
              </w:rPr>
            </w:pPr>
          </w:p>
          <w:p w14:paraId="66413E43" w14:textId="412E81D1" w:rsidR="00B61C62" w:rsidRPr="00190D4B" w:rsidRDefault="00B61C62" w:rsidP="00192DC7">
            <w:pPr>
              <w:pStyle w:val="Tabletext"/>
              <w:spacing w:after="120"/>
              <w:rPr>
                <w:rFonts w:cs="Arial"/>
                <w:sz w:val="20"/>
                <w:szCs w:val="20"/>
              </w:rPr>
            </w:pPr>
            <w:r w:rsidRPr="00190D4B">
              <w:rPr>
                <w:rFonts w:eastAsia="Arial" w:cs="Arial"/>
                <w:sz w:val="20"/>
                <w:szCs w:val="20"/>
              </w:rPr>
              <w:t>These positive impacts can be strengthened by ensuring that where possible people are provided with prehabilitation from the point of diagnosis.</w:t>
            </w:r>
          </w:p>
        </w:tc>
        <w:tc>
          <w:tcPr>
            <w:tcW w:w="916" w:type="pct"/>
          </w:tcPr>
          <w:p w14:paraId="303704F2"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lastRenderedPageBreak/>
              <w:t xml:space="preserve">Active Together Service Evaluation Report, 2024, </w:t>
            </w:r>
            <w:hyperlink r:id="rId72" w:history="1">
              <w:r w:rsidRPr="00190D4B">
                <w:rPr>
                  <w:rStyle w:val="Hyperlink"/>
                  <w:rFonts w:ascii="Arial" w:eastAsia="Arial" w:hAnsi="Arial" w:cs="Arial"/>
                  <w:sz w:val="20"/>
                  <w:szCs w:val="20"/>
                </w:rPr>
                <w:t>https://www.google.co.uk/url?sa=t&amp;rct=j&amp;q=&amp;esrc=s&amp;source=web&amp;cd=&amp;ved=2ahUKEwiGt7Xav7SOAxXSZ0EAHXveJFEQFnoECAkQA</w:t>
              </w:r>
              <w:r w:rsidRPr="00190D4B">
                <w:rPr>
                  <w:rStyle w:val="Hyperlink"/>
                  <w:rFonts w:ascii="Arial" w:eastAsia="Arial" w:hAnsi="Arial" w:cs="Arial"/>
                  <w:sz w:val="20"/>
                  <w:szCs w:val="20"/>
                </w:rPr>
                <w:lastRenderedPageBreak/>
                <w:t>Q&amp;url=https%3A%2F%2Fwww.shu.ac.uk%2F-%2Fmedia%2Fhome%2Fresearch%2Fawrc%2Fprojects%2Factive-together%2Factive-together-service-evaluation-2024.pdf&amp;usg=AOvVaw1s8VXO93DHjXKaGDWREPvA&amp;opi=89978449</w:t>
              </w:r>
            </w:hyperlink>
            <w:r w:rsidRPr="00190D4B">
              <w:rPr>
                <w:rFonts w:ascii="Arial" w:eastAsia="Arial" w:hAnsi="Arial" w:cs="Arial"/>
                <w:sz w:val="20"/>
                <w:szCs w:val="20"/>
              </w:rPr>
              <w:t xml:space="preserve"> </w:t>
            </w:r>
          </w:p>
          <w:p w14:paraId="49C57F78"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Chen, J., Hong, C., Chen, R. </w:t>
            </w:r>
            <w:r w:rsidRPr="00190D4B">
              <w:rPr>
                <w:rFonts w:ascii="Arial" w:eastAsia="Arial" w:hAnsi="Arial" w:cs="Arial"/>
                <w:i/>
                <w:iCs/>
                <w:sz w:val="20"/>
                <w:szCs w:val="20"/>
              </w:rPr>
              <w:t>et al.</w:t>
            </w:r>
            <w:r w:rsidRPr="00190D4B">
              <w:rPr>
                <w:rFonts w:ascii="Arial" w:eastAsia="Arial" w:hAnsi="Arial" w:cs="Arial"/>
                <w:sz w:val="20"/>
                <w:szCs w:val="20"/>
              </w:rPr>
              <w:t> Prognostic impact of a 3-week multimodal prehabilitation program on frail elderly patients undergoing elective gastric cancer surgery: a randomized trial. </w:t>
            </w:r>
            <w:r w:rsidRPr="00190D4B">
              <w:rPr>
                <w:rFonts w:ascii="Arial" w:eastAsia="Arial" w:hAnsi="Arial" w:cs="Arial"/>
                <w:i/>
                <w:iCs/>
                <w:sz w:val="20"/>
                <w:szCs w:val="20"/>
              </w:rPr>
              <w:t>BMC Gastroenterol</w:t>
            </w:r>
            <w:r w:rsidRPr="00190D4B">
              <w:rPr>
                <w:rFonts w:ascii="Arial" w:eastAsia="Arial" w:hAnsi="Arial" w:cs="Arial"/>
                <w:sz w:val="20"/>
                <w:szCs w:val="20"/>
              </w:rPr>
              <w:t> </w:t>
            </w:r>
            <w:r w:rsidRPr="00190D4B">
              <w:rPr>
                <w:rFonts w:ascii="Arial" w:eastAsia="Arial" w:hAnsi="Arial" w:cs="Arial"/>
                <w:b/>
                <w:bCs/>
                <w:sz w:val="20"/>
                <w:szCs w:val="20"/>
              </w:rPr>
              <w:t>24</w:t>
            </w:r>
            <w:r w:rsidRPr="00190D4B">
              <w:rPr>
                <w:rFonts w:ascii="Arial" w:eastAsia="Arial" w:hAnsi="Arial" w:cs="Arial"/>
                <w:sz w:val="20"/>
                <w:szCs w:val="20"/>
              </w:rPr>
              <w:t xml:space="preserve">, 403 (2024). </w:t>
            </w:r>
            <w:hyperlink r:id="rId73" w:history="1">
              <w:r w:rsidRPr="00190D4B">
                <w:rPr>
                  <w:rStyle w:val="Hyperlink"/>
                  <w:rFonts w:ascii="Arial" w:eastAsia="Arial" w:hAnsi="Arial" w:cs="Arial"/>
                  <w:sz w:val="20"/>
                  <w:szCs w:val="20"/>
                </w:rPr>
                <w:t>https://doi.org/10.1186/s12876-024-03490-7</w:t>
              </w:r>
            </w:hyperlink>
            <w:r w:rsidRPr="00190D4B">
              <w:rPr>
                <w:rFonts w:ascii="Arial" w:eastAsia="Arial" w:hAnsi="Arial" w:cs="Arial"/>
                <w:sz w:val="20"/>
                <w:szCs w:val="20"/>
              </w:rPr>
              <w:t xml:space="preserve"> </w:t>
            </w:r>
          </w:p>
          <w:p w14:paraId="38B80A57"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Berkel, A.E.M., Bongers, B.C., van Kamp, MJ.S. </w:t>
            </w:r>
            <w:r w:rsidRPr="00190D4B">
              <w:rPr>
                <w:rFonts w:ascii="Arial" w:eastAsia="Arial" w:hAnsi="Arial" w:cs="Arial"/>
                <w:i/>
                <w:iCs/>
                <w:sz w:val="20"/>
                <w:szCs w:val="20"/>
              </w:rPr>
              <w:t>et al.</w:t>
            </w:r>
            <w:r w:rsidRPr="00190D4B">
              <w:rPr>
                <w:rFonts w:ascii="Arial" w:eastAsia="Arial" w:hAnsi="Arial" w:cs="Arial"/>
                <w:sz w:val="20"/>
                <w:szCs w:val="20"/>
              </w:rPr>
              <w:t> The effects of prehabilitation versus usual care to reduce postoperative complications in high-risk patients with colorectal cancer or dysplasia scheduled for elective colorectal resection: study protocol of a randomized controlled trial. </w:t>
            </w:r>
            <w:r w:rsidRPr="00190D4B">
              <w:rPr>
                <w:rFonts w:ascii="Arial" w:eastAsia="Arial" w:hAnsi="Arial" w:cs="Arial"/>
                <w:i/>
                <w:iCs/>
                <w:sz w:val="20"/>
                <w:szCs w:val="20"/>
              </w:rPr>
              <w:t xml:space="preserve">BMC </w:t>
            </w:r>
            <w:r w:rsidRPr="00190D4B">
              <w:rPr>
                <w:rFonts w:ascii="Arial" w:eastAsia="Arial" w:hAnsi="Arial" w:cs="Arial"/>
                <w:i/>
                <w:iCs/>
                <w:sz w:val="20"/>
                <w:szCs w:val="20"/>
              </w:rPr>
              <w:lastRenderedPageBreak/>
              <w:t>Gastroenterol</w:t>
            </w:r>
            <w:r w:rsidRPr="00190D4B">
              <w:rPr>
                <w:rFonts w:ascii="Arial" w:eastAsia="Arial" w:hAnsi="Arial" w:cs="Arial"/>
                <w:sz w:val="20"/>
                <w:szCs w:val="20"/>
              </w:rPr>
              <w:t> </w:t>
            </w:r>
            <w:r w:rsidRPr="00190D4B">
              <w:rPr>
                <w:rFonts w:ascii="Arial" w:eastAsia="Arial" w:hAnsi="Arial" w:cs="Arial"/>
                <w:b/>
                <w:bCs/>
                <w:sz w:val="20"/>
                <w:szCs w:val="20"/>
              </w:rPr>
              <w:t>18</w:t>
            </w:r>
            <w:r w:rsidRPr="00190D4B">
              <w:rPr>
                <w:rFonts w:ascii="Arial" w:eastAsia="Arial" w:hAnsi="Arial" w:cs="Arial"/>
                <w:sz w:val="20"/>
                <w:szCs w:val="20"/>
              </w:rPr>
              <w:t xml:space="preserve">, 29 (2018). </w:t>
            </w:r>
            <w:hyperlink r:id="rId74" w:history="1">
              <w:r w:rsidRPr="00190D4B">
                <w:rPr>
                  <w:rStyle w:val="Hyperlink"/>
                  <w:rFonts w:ascii="Arial" w:eastAsia="Arial" w:hAnsi="Arial" w:cs="Arial"/>
                  <w:sz w:val="20"/>
                  <w:szCs w:val="20"/>
                </w:rPr>
                <w:t>https://doi.org/10.1186/s12876-018-0754-6</w:t>
              </w:r>
            </w:hyperlink>
          </w:p>
          <w:p w14:paraId="07718D17"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 xml:space="preserve">Liu, </w:t>
            </w:r>
            <w:proofErr w:type="spellStart"/>
            <w:r w:rsidRPr="00190D4B">
              <w:rPr>
                <w:rFonts w:ascii="Arial" w:eastAsia="Arial" w:hAnsi="Arial" w:cs="Arial"/>
                <w:sz w:val="20"/>
                <w:szCs w:val="20"/>
              </w:rPr>
              <w:t>Zijia</w:t>
            </w:r>
            <w:proofErr w:type="spellEnd"/>
            <w:r w:rsidRPr="00190D4B">
              <w:rPr>
                <w:rFonts w:ascii="Arial" w:eastAsia="Arial" w:hAnsi="Arial" w:cs="Arial"/>
                <w:sz w:val="20"/>
                <w:szCs w:val="20"/>
              </w:rPr>
              <w:t xml:space="preserve"> MD*; Qiu, Tian MD*; Pei, Lijian MD*; Zhang, </w:t>
            </w:r>
            <w:proofErr w:type="spellStart"/>
            <w:r w:rsidRPr="00190D4B">
              <w:rPr>
                <w:rFonts w:ascii="Arial" w:eastAsia="Arial" w:hAnsi="Arial" w:cs="Arial"/>
                <w:sz w:val="20"/>
                <w:szCs w:val="20"/>
              </w:rPr>
              <w:t>Yuelun</w:t>
            </w:r>
            <w:proofErr w:type="spellEnd"/>
            <w:r w:rsidRPr="00190D4B">
              <w:rPr>
                <w:rFonts w:ascii="Arial" w:eastAsia="Arial" w:hAnsi="Arial" w:cs="Arial"/>
                <w:sz w:val="20"/>
                <w:szCs w:val="20"/>
              </w:rPr>
              <w:t xml:space="preserve"> PhD†; Xu, Li MD*; Cui, </w:t>
            </w:r>
            <w:proofErr w:type="spellStart"/>
            <w:r w:rsidRPr="00190D4B">
              <w:rPr>
                <w:rFonts w:ascii="Arial" w:eastAsia="Arial" w:hAnsi="Arial" w:cs="Arial"/>
                <w:sz w:val="20"/>
                <w:szCs w:val="20"/>
              </w:rPr>
              <w:t>Yushang</w:t>
            </w:r>
            <w:proofErr w:type="spellEnd"/>
            <w:r w:rsidRPr="00190D4B">
              <w:rPr>
                <w:rFonts w:ascii="Arial" w:eastAsia="Arial" w:hAnsi="Arial" w:cs="Arial"/>
                <w:sz w:val="20"/>
                <w:szCs w:val="20"/>
              </w:rPr>
              <w:t xml:space="preserve"> MD‡; Liang, </w:t>
            </w:r>
            <w:proofErr w:type="spellStart"/>
            <w:r w:rsidRPr="00190D4B">
              <w:rPr>
                <w:rFonts w:ascii="Arial" w:eastAsia="Arial" w:hAnsi="Arial" w:cs="Arial"/>
                <w:sz w:val="20"/>
                <w:szCs w:val="20"/>
              </w:rPr>
              <w:t>Naixin</w:t>
            </w:r>
            <w:proofErr w:type="spellEnd"/>
            <w:r w:rsidRPr="00190D4B">
              <w:rPr>
                <w:rFonts w:ascii="Arial" w:eastAsia="Arial" w:hAnsi="Arial" w:cs="Arial"/>
                <w:sz w:val="20"/>
                <w:szCs w:val="20"/>
              </w:rPr>
              <w:t xml:space="preserve"> MD‡; Li, </w:t>
            </w:r>
            <w:proofErr w:type="spellStart"/>
            <w:r w:rsidRPr="00190D4B">
              <w:rPr>
                <w:rFonts w:ascii="Arial" w:eastAsia="Arial" w:hAnsi="Arial" w:cs="Arial"/>
                <w:sz w:val="20"/>
                <w:szCs w:val="20"/>
              </w:rPr>
              <w:t>Shanqing</w:t>
            </w:r>
            <w:proofErr w:type="spellEnd"/>
            <w:r w:rsidRPr="00190D4B">
              <w:rPr>
                <w:rFonts w:ascii="Arial" w:eastAsia="Arial" w:hAnsi="Arial" w:cs="Arial"/>
                <w:sz w:val="20"/>
                <w:szCs w:val="20"/>
              </w:rPr>
              <w:t xml:space="preserve"> MD‡; Chen, Wei MD§; Huang, </w:t>
            </w:r>
            <w:proofErr w:type="spellStart"/>
            <w:r w:rsidRPr="00190D4B">
              <w:rPr>
                <w:rFonts w:ascii="Arial" w:eastAsia="Arial" w:hAnsi="Arial" w:cs="Arial"/>
                <w:sz w:val="20"/>
                <w:szCs w:val="20"/>
              </w:rPr>
              <w:t>Yuguang</w:t>
            </w:r>
            <w:proofErr w:type="spellEnd"/>
            <w:r w:rsidRPr="00190D4B">
              <w:rPr>
                <w:rFonts w:ascii="Arial" w:eastAsia="Arial" w:hAnsi="Arial" w:cs="Arial"/>
                <w:sz w:val="20"/>
                <w:szCs w:val="20"/>
              </w:rPr>
              <w:t xml:space="preserve"> MD*. Two-Week Multimodal Prehabilitation Program Improves Perioperative Functional Capability in Patients Undergoing Thoracoscopic Lobectomy for Lung Cancer: A Randomized Controlled Trial. </w:t>
            </w:r>
            <w:proofErr w:type="spellStart"/>
            <w:r w:rsidRPr="00190D4B">
              <w:rPr>
                <w:rFonts w:ascii="Arial" w:eastAsia="Arial" w:hAnsi="Arial" w:cs="Arial"/>
                <w:sz w:val="20"/>
                <w:szCs w:val="20"/>
              </w:rPr>
              <w:t>Anesthesia</w:t>
            </w:r>
            <w:proofErr w:type="spellEnd"/>
            <w:r w:rsidRPr="00190D4B">
              <w:rPr>
                <w:rFonts w:ascii="Arial" w:eastAsia="Arial" w:hAnsi="Arial" w:cs="Arial"/>
                <w:sz w:val="20"/>
                <w:szCs w:val="20"/>
              </w:rPr>
              <w:t xml:space="preserve"> &amp; Analgesia 131(3):p 840-849, September 2020. | DOI: 10.1213/ANE.0000000000004342</w:t>
            </w:r>
          </w:p>
          <w:p w14:paraId="2A3E6AE5" w14:textId="77777777" w:rsidR="00B61C62" w:rsidRPr="00190D4B" w:rsidRDefault="00B61C62" w:rsidP="00192DC7">
            <w:pPr>
              <w:spacing w:after="120"/>
              <w:contextualSpacing/>
              <w:rPr>
                <w:rFonts w:ascii="Arial" w:eastAsia="Arial" w:hAnsi="Arial" w:cs="Arial"/>
                <w:sz w:val="20"/>
                <w:szCs w:val="20"/>
              </w:rPr>
            </w:pPr>
            <w:proofErr w:type="spellStart"/>
            <w:r w:rsidRPr="00190D4B">
              <w:rPr>
                <w:rFonts w:ascii="Arial" w:eastAsia="Arial" w:hAnsi="Arial" w:cs="Arial"/>
                <w:sz w:val="20"/>
                <w:szCs w:val="20"/>
              </w:rPr>
              <w:t>Karenovics</w:t>
            </w:r>
            <w:proofErr w:type="spellEnd"/>
            <w:r w:rsidRPr="00190D4B">
              <w:rPr>
                <w:rFonts w:ascii="Arial" w:eastAsia="Arial" w:hAnsi="Arial" w:cs="Arial"/>
                <w:sz w:val="20"/>
                <w:szCs w:val="20"/>
              </w:rPr>
              <w:t xml:space="preserve"> W, Licker M, Ellenberger C, Christodoulou M, Diaper J, Bhatia C, Robert J, </w:t>
            </w:r>
            <w:proofErr w:type="spellStart"/>
            <w:r w:rsidRPr="00190D4B">
              <w:rPr>
                <w:rFonts w:ascii="Arial" w:eastAsia="Arial" w:hAnsi="Arial" w:cs="Arial"/>
                <w:sz w:val="20"/>
                <w:szCs w:val="20"/>
              </w:rPr>
              <w:t>Bridevaux</w:t>
            </w:r>
            <w:proofErr w:type="spellEnd"/>
            <w:r w:rsidRPr="00190D4B">
              <w:rPr>
                <w:rFonts w:ascii="Arial" w:eastAsia="Arial" w:hAnsi="Arial" w:cs="Arial"/>
                <w:sz w:val="20"/>
                <w:szCs w:val="20"/>
              </w:rPr>
              <w:t xml:space="preserve"> PO, </w:t>
            </w:r>
            <w:proofErr w:type="spellStart"/>
            <w:r w:rsidRPr="00190D4B">
              <w:rPr>
                <w:rFonts w:ascii="Arial" w:eastAsia="Arial" w:hAnsi="Arial" w:cs="Arial"/>
                <w:sz w:val="20"/>
                <w:szCs w:val="20"/>
              </w:rPr>
              <w:t>Triponez</w:t>
            </w:r>
            <w:proofErr w:type="spellEnd"/>
            <w:r w:rsidRPr="00190D4B">
              <w:rPr>
                <w:rFonts w:ascii="Arial" w:eastAsia="Arial" w:hAnsi="Arial" w:cs="Arial"/>
                <w:sz w:val="20"/>
                <w:szCs w:val="20"/>
              </w:rPr>
              <w:t xml:space="preserve"> F. Short-term preoperative exercise therapy does not improve long-term outcome after lung cancer surgery: a randomized controlled study. </w:t>
            </w:r>
            <w:proofErr w:type="spellStart"/>
            <w:r w:rsidRPr="00190D4B">
              <w:rPr>
                <w:rFonts w:ascii="Arial" w:eastAsia="Arial" w:hAnsi="Arial" w:cs="Arial"/>
                <w:sz w:val="20"/>
                <w:szCs w:val="20"/>
              </w:rPr>
              <w:t>Eur</w:t>
            </w:r>
            <w:proofErr w:type="spellEnd"/>
            <w:r w:rsidRPr="00190D4B">
              <w:rPr>
                <w:rFonts w:ascii="Arial" w:eastAsia="Arial" w:hAnsi="Arial" w:cs="Arial"/>
                <w:sz w:val="20"/>
                <w:szCs w:val="20"/>
              </w:rPr>
              <w:t xml:space="preserve"> J </w:t>
            </w:r>
            <w:proofErr w:type="spellStart"/>
            <w:r w:rsidRPr="00190D4B">
              <w:rPr>
                <w:rFonts w:ascii="Arial" w:eastAsia="Arial" w:hAnsi="Arial" w:cs="Arial"/>
                <w:sz w:val="20"/>
                <w:szCs w:val="20"/>
              </w:rPr>
              <w:t>Cardiothorac</w:t>
            </w:r>
            <w:proofErr w:type="spellEnd"/>
            <w:r w:rsidRPr="00190D4B">
              <w:rPr>
                <w:rFonts w:ascii="Arial" w:eastAsia="Arial" w:hAnsi="Arial" w:cs="Arial"/>
                <w:sz w:val="20"/>
                <w:szCs w:val="20"/>
              </w:rPr>
              <w:t xml:space="preserve"> </w:t>
            </w:r>
            <w:r w:rsidRPr="00190D4B">
              <w:rPr>
                <w:rFonts w:ascii="Arial" w:eastAsia="Arial" w:hAnsi="Arial" w:cs="Arial"/>
                <w:sz w:val="20"/>
                <w:szCs w:val="20"/>
              </w:rPr>
              <w:lastRenderedPageBreak/>
              <w:t xml:space="preserve">Surg. 2017 Jul 1;52(1):47-54. </w:t>
            </w:r>
            <w:proofErr w:type="spellStart"/>
            <w:r w:rsidRPr="00190D4B">
              <w:rPr>
                <w:rFonts w:ascii="Arial" w:eastAsia="Arial" w:hAnsi="Arial" w:cs="Arial"/>
                <w:sz w:val="20"/>
                <w:szCs w:val="20"/>
              </w:rPr>
              <w:t>doi</w:t>
            </w:r>
            <w:proofErr w:type="spellEnd"/>
            <w:r w:rsidRPr="00190D4B">
              <w:rPr>
                <w:rFonts w:ascii="Arial" w:eastAsia="Arial" w:hAnsi="Arial" w:cs="Arial"/>
                <w:sz w:val="20"/>
                <w:szCs w:val="20"/>
              </w:rPr>
              <w:t>: 10.1093/</w:t>
            </w:r>
            <w:proofErr w:type="spellStart"/>
            <w:r w:rsidRPr="00190D4B">
              <w:rPr>
                <w:rFonts w:ascii="Arial" w:eastAsia="Arial" w:hAnsi="Arial" w:cs="Arial"/>
                <w:sz w:val="20"/>
                <w:szCs w:val="20"/>
              </w:rPr>
              <w:t>ejcts</w:t>
            </w:r>
            <w:proofErr w:type="spellEnd"/>
            <w:r w:rsidRPr="00190D4B">
              <w:rPr>
                <w:rFonts w:ascii="Arial" w:eastAsia="Arial" w:hAnsi="Arial" w:cs="Arial"/>
                <w:sz w:val="20"/>
                <w:szCs w:val="20"/>
              </w:rPr>
              <w:t>/ezx030. PMID: 28419206.</w:t>
            </w:r>
          </w:p>
          <w:p w14:paraId="3797AE3B"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 xml:space="preserve">Gillis, Chelsia R.D., M.Sc.; Li, Chao M.D., M.Sc.; Lee, Lawrence M.D., M.Sc.; Awasthi, </w:t>
            </w:r>
            <w:proofErr w:type="spellStart"/>
            <w:r w:rsidRPr="00190D4B">
              <w:rPr>
                <w:rFonts w:ascii="Arial" w:eastAsia="Arial" w:hAnsi="Arial" w:cs="Arial"/>
                <w:sz w:val="20"/>
                <w:szCs w:val="20"/>
              </w:rPr>
              <w:t>Rashami</w:t>
            </w:r>
            <w:proofErr w:type="spellEnd"/>
            <w:r w:rsidRPr="00190D4B">
              <w:rPr>
                <w:rFonts w:ascii="Arial" w:eastAsia="Arial" w:hAnsi="Arial" w:cs="Arial"/>
                <w:sz w:val="20"/>
                <w:szCs w:val="20"/>
              </w:rPr>
              <w:t xml:space="preserve"> B.Sc.; Augustin, Berson B.Sc.; Gamsa, Ann Ph.D.; Liberman, A. Sender M.D.; Stein, Barry M.D.; Charlebois, Patrick M.D.; Feldman, Liane S. M.D.; Carli, Francesco M.D., M.Phil.. Prehabilitation versus Rehabilitation: A Randomized Control Trial in Patients Undergoing Colorectal Resection for Cancer. </w:t>
            </w:r>
            <w:proofErr w:type="spellStart"/>
            <w:r w:rsidRPr="00190D4B">
              <w:rPr>
                <w:rFonts w:ascii="Arial" w:eastAsia="Arial" w:hAnsi="Arial" w:cs="Arial"/>
                <w:sz w:val="20"/>
                <w:szCs w:val="20"/>
              </w:rPr>
              <w:t>Anesthesiology</w:t>
            </w:r>
            <w:proofErr w:type="spellEnd"/>
            <w:r w:rsidRPr="00190D4B">
              <w:rPr>
                <w:rFonts w:ascii="Arial" w:eastAsia="Arial" w:hAnsi="Arial" w:cs="Arial"/>
                <w:sz w:val="20"/>
                <w:szCs w:val="20"/>
              </w:rPr>
              <w:t xml:space="preserve"> 121(5):p 937-947, November 2014. | DOI: 10.1097/ALN.0000000000000393</w:t>
            </w:r>
          </w:p>
          <w:p w14:paraId="6FFE8FDD" w14:textId="5103DB82" w:rsidR="00B61C62" w:rsidRPr="00190D4B" w:rsidRDefault="00B61C62" w:rsidP="00192DC7">
            <w:pPr>
              <w:spacing w:after="120"/>
              <w:rPr>
                <w:rFonts w:ascii="Arial" w:hAnsi="Arial" w:cs="Arial"/>
                <w:sz w:val="20"/>
                <w:szCs w:val="20"/>
              </w:rPr>
            </w:pPr>
            <w:r w:rsidRPr="00190D4B">
              <w:rPr>
                <w:rFonts w:ascii="Arial" w:eastAsia="Arial" w:hAnsi="Arial" w:cs="Arial"/>
                <w:sz w:val="20"/>
                <w:szCs w:val="20"/>
              </w:rPr>
              <w:t xml:space="preserve">Peng, Li-Hua; Wang, Wen-Jian; Chen, Jing; Jin, Ju-Ying; Min, Su; Qin, Pei-Pei. Implementation of the pre-operative rehabilitation recovery protocol and its effect on the quality of recovery after colorectal surgeries. Chinese Medical Journal 134(23):p 2865-2873, December 5, 2021. | </w:t>
            </w:r>
            <w:r w:rsidRPr="00190D4B">
              <w:rPr>
                <w:rFonts w:ascii="Arial" w:eastAsia="Arial" w:hAnsi="Arial" w:cs="Arial"/>
                <w:sz w:val="20"/>
                <w:szCs w:val="20"/>
              </w:rPr>
              <w:lastRenderedPageBreak/>
              <w:t>DOI: 10.1097/CM9.0000000000001709</w:t>
            </w:r>
          </w:p>
        </w:tc>
        <w:tc>
          <w:tcPr>
            <w:tcW w:w="896" w:type="pct"/>
          </w:tcPr>
          <w:p w14:paraId="13E21756" w14:textId="77777777" w:rsidR="00B61C62" w:rsidRPr="00190D4B" w:rsidRDefault="00B61C62" w:rsidP="00192DC7">
            <w:pPr>
              <w:spacing w:after="120"/>
              <w:rPr>
                <w:rFonts w:ascii="Arial" w:hAnsi="Arial" w:cs="Arial"/>
                <w:sz w:val="20"/>
                <w:szCs w:val="20"/>
                <w:highlight w:val="cyan"/>
              </w:rPr>
            </w:pPr>
          </w:p>
        </w:tc>
      </w:tr>
      <w:tr w:rsidR="001A6835" w:rsidRPr="00190D4B" w14:paraId="6563589F" w14:textId="77777777" w:rsidTr="001A6835">
        <w:trPr>
          <w:trHeight w:val="282"/>
        </w:trPr>
        <w:tc>
          <w:tcPr>
            <w:tcW w:w="5000" w:type="pct"/>
            <w:gridSpan w:val="6"/>
          </w:tcPr>
          <w:p w14:paraId="117C3754" w14:textId="6EBF4F5B" w:rsidR="001A6835" w:rsidRPr="00190D4B" w:rsidRDefault="001A6835" w:rsidP="00192DC7">
            <w:pPr>
              <w:pStyle w:val="Tabletext"/>
              <w:spacing w:after="120"/>
              <w:rPr>
                <w:rFonts w:cs="Arial"/>
                <w:b/>
                <w:bCs/>
                <w:sz w:val="20"/>
                <w:szCs w:val="20"/>
                <w:highlight w:val="cyan"/>
              </w:rPr>
            </w:pPr>
            <w:r w:rsidRPr="00190D4B">
              <w:rPr>
                <w:rFonts w:cs="Arial"/>
                <w:b/>
                <w:bCs/>
                <w:sz w:val="20"/>
                <w:szCs w:val="20"/>
              </w:rPr>
              <w:lastRenderedPageBreak/>
              <w:t>Preoperative care</w:t>
            </w:r>
          </w:p>
        </w:tc>
      </w:tr>
      <w:tr w:rsidR="005B122A" w:rsidRPr="00190D4B" w14:paraId="1F6DF276" w14:textId="77777777" w:rsidTr="00477F9C">
        <w:trPr>
          <w:trHeight w:val="282"/>
        </w:trPr>
        <w:tc>
          <w:tcPr>
            <w:tcW w:w="192" w:type="pct"/>
          </w:tcPr>
          <w:p w14:paraId="4B54718B" w14:textId="6C4DE286" w:rsidR="005B122A" w:rsidRPr="00190D4B" w:rsidRDefault="005B122A" w:rsidP="00192DC7">
            <w:pPr>
              <w:pStyle w:val="Tabletext"/>
              <w:spacing w:after="120"/>
              <w:rPr>
                <w:rFonts w:cs="Arial"/>
                <w:sz w:val="20"/>
                <w:szCs w:val="20"/>
                <w:lang w:eastAsia="en-GB"/>
              </w:rPr>
            </w:pPr>
            <w:r w:rsidRPr="00190D4B">
              <w:rPr>
                <w:rFonts w:cs="Arial"/>
                <w:sz w:val="20"/>
                <w:szCs w:val="20"/>
                <w:lang w:eastAsia="en-GB"/>
              </w:rPr>
              <w:t>1</w:t>
            </w:r>
            <w:r w:rsidR="002C610D">
              <w:rPr>
                <w:rFonts w:cs="Arial"/>
                <w:sz w:val="20"/>
                <w:szCs w:val="20"/>
                <w:lang w:eastAsia="en-GB"/>
              </w:rPr>
              <w:t>1</w:t>
            </w:r>
          </w:p>
        </w:tc>
        <w:tc>
          <w:tcPr>
            <w:tcW w:w="483" w:type="pct"/>
          </w:tcPr>
          <w:p w14:paraId="0194B233" w14:textId="7C13F209" w:rsidR="005B122A" w:rsidRPr="00190D4B" w:rsidRDefault="005B122A" w:rsidP="00192DC7">
            <w:pPr>
              <w:pStyle w:val="Tabletext"/>
              <w:spacing w:after="120"/>
              <w:rPr>
                <w:rFonts w:cs="Arial"/>
                <w:sz w:val="20"/>
                <w:szCs w:val="20"/>
              </w:rPr>
            </w:pPr>
            <w:proofErr w:type="spellStart"/>
            <w:r w:rsidRPr="00190D4B">
              <w:rPr>
                <w:rFonts w:cs="Arial"/>
                <w:sz w:val="20"/>
                <w:szCs w:val="20"/>
              </w:rPr>
              <w:t>AfN</w:t>
            </w:r>
            <w:proofErr w:type="spellEnd"/>
          </w:p>
        </w:tc>
        <w:tc>
          <w:tcPr>
            <w:tcW w:w="1111" w:type="pct"/>
          </w:tcPr>
          <w:p w14:paraId="4084F3B1" w14:textId="609C4897" w:rsidR="005B122A" w:rsidRPr="00190D4B" w:rsidRDefault="005B122A" w:rsidP="00192DC7">
            <w:pPr>
              <w:pStyle w:val="Paragraphnonumbers"/>
              <w:spacing w:after="120" w:line="240" w:lineRule="auto"/>
              <w:rPr>
                <w:rFonts w:cs="Arial"/>
                <w:sz w:val="20"/>
                <w:szCs w:val="20"/>
              </w:rPr>
            </w:pPr>
            <w:r w:rsidRPr="00190D4B">
              <w:rPr>
                <w:rFonts w:cs="Arial"/>
                <w:sz w:val="20"/>
                <w:szCs w:val="20"/>
              </w:rPr>
              <w:t>When ALL patients are scheduled for surgery they should be assessed and if appropriate referred for nutrition support during the pre-operative period (to include support beyond oral nutrition supplementation, such as weight management and lifestyle support).</w:t>
            </w:r>
          </w:p>
        </w:tc>
        <w:tc>
          <w:tcPr>
            <w:tcW w:w="1402" w:type="pct"/>
          </w:tcPr>
          <w:p w14:paraId="4785AABD" w14:textId="5E3F8D9C" w:rsidR="005B122A" w:rsidRPr="00190D4B" w:rsidRDefault="005B122A" w:rsidP="00192DC7">
            <w:pPr>
              <w:pStyle w:val="Paragraphnonumbers"/>
              <w:spacing w:after="120" w:line="240" w:lineRule="auto"/>
              <w:rPr>
                <w:rFonts w:cs="Arial"/>
                <w:sz w:val="20"/>
                <w:szCs w:val="20"/>
              </w:rPr>
            </w:pPr>
            <w:r w:rsidRPr="00190D4B">
              <w:rPr>
                <w:rFonts w:cs="Arial"/>
                <w:sz w:val="20"/>
                <w:szCs w:val="20"/>
              </w:rPr>
              <w:t>The MUST Report by BAPEN identified that 1 in 3 hospital patients over 65y are malnourished or at risk of malnourishment on admission, and 41% of nursing home residents are undernourished. This combined with the Health Survey for England finding that 64% of adults are overweight or living with obesity results in patients being at risk of having a poor nutritional status prior to surgery, which has been linked to higher rates of surgical complications, infection rates, poor surgical wound healing, pressure ulcer development, prolonged hospitalisation, increased readmission rates, prolonged recovery and increased mortality rates.</w:t>
            </w:r>
          </w:p>
        </w:tc>
        <w:tc>
          <w:tcPr>
            <w:tcW w:w="916" w:type="pct"/>
          </w:tcPr>
          <w:p w14:paraId="49E7070F" w14:textId="77777777" w:rsidR="005B122A" w:rsidRPr="00190D4B" w:rsidRDefault="005B122A" w:rsidP="00192DC7">
            <w:pPr>
              <w:pStyle w:val="Paragraphnonumbers"/>
              <w:spacing w:after="120" w:line="240" w:lineRule="auto"/>
              <w:rPr>
                <w:rFonts w:cs="Arial"/>
                <w:sz w:val="20"/>
                <w:szCs w:val="20"/>
              </w:rPr>
            </w:pPr>
            <w:r w:rsidRPr="00190D4B">
              <w:rPr>
                <w:rFonts w:cs="Arial"/>
                <w:sz w:val="20"/>
                <w:szCs w:val="20"/>
              </w:rPr>
              <w:t>Health Survey for England (HSE)</w:t>
            </w:r>
          </w:p>
          <w:p w14:paraId="3F06A2F1" w14:textId="77777777" w:rsidR="005B122A" w:rsidRPr="00190D4B" w:rsidRDefault="005B122A" w:rsidP="00192DC7">
            <w:pPr>
              <w:pStyle w:val="Paragraphnonumbers"/>
              <w:spacing w:after="120" w:line="240" w:lineRule="auto"/>
              <w:rPr>
                <w:rFonts w:cs="Arial"/>
                <w:sz w:val="20"/>
                <w:szCs w:val="20"/>
              </w:rPr>
            </w:pPr>
            <w:r w:rsidRPr="00190D4B">
              <w:rPr>
                <w:rFonts w:cs="Arial"/>
                <w:sz w:val="20"/>
                <w:szCs w:val="20"/>
              </w:rPr>
              <w:t xml:space="preserve">MUST </w:t>
            </w:r>
          </w:p>
          <w:p w14:paraId="6DF3E701" w14:textId="7CA5BEE1" w:rsidR="005B122A" w:rsidRPr="00190D4B" w:rsidRDefault="005B122A" w:rsidP="00192DC7">
            <w:pPr>
              <w:pStyle w:val="Paragraphnonumbers"/>
              <w:spacing w:after="120" w:line="240" w:lineRule="auto"/>
              <w:rPr>
                <w:rFonts w:cs="Arial"/>
                <w:sz w:val="20"/>
                <w:szCs w:val="20"/>
              </w:rPr>
            </w:pPr>
            <w:r w:rsidRPr="00190D4B">
              <w:rPr>
                <w:rFonts w:cs="Arial"/>
                <w:sz w:val="20"/>
                <w:szCs w:val="20"/>
              </w:rPr>
              <w:t>BAPEN</w:t>
            </w:r>
          </w:p>
        </w:tc>
        <w:tc>
          <w:tcPr>
            <w:tcW w:w="896" w:type="pct"/>
          </w:tcPr>
          <w:p w14:paraId="40F2031B" w14:textId="037F8549" w:rsidR="005B122A" w:rsidRPr="00190D4B" w:rsidRDefault="005B122A" w:rsidP="00192DC7">
            <w:pPr>
              <w:pStyle w:val="Tabletext"/>
              <w:spacing w:after="120"/>
              <w:rPr>
                <w:rFonts w:cs="Arial"/>
                <w:sz w:val="20"/>
                <w:szCs w:val="20"/>
              </w:rPr>
            </w:pPr>
            <w:r w:rsidRPr="00190D4B">
              <w:rPr>
                <w:rFonts w:cs="Arial"/>
                <w:sz w:val="20"/>
                <w:szCs w:val="20"/>
              </w:rPr>
              <w:t>The Global Nutrition Report highlights the fact that poor nutrition can lead to health and disease concerns. These can impact on surgical success and recovery, ranging from factors such as sarcopenic obesity, dehydration and micronutrient deficiencies, highlighting the importance of nutritional support whilst waiting for surgery to limit malnutrition risk. Additionally it is accepted that excess body weight increases the risk of surgery complications, and therefore for patients in the pre-operative period for planned surgery following the NICE guidelines relating to overweight and obesity management, and the importance of nutritional support within these, is a key factors in supporting patients to reduce their risk of excess-</w:t>
            </w:r>
            <w:r w:rsidRPr="00190D4B">
              <w:rPr>
                <w:rFonts w:cs="Arial"/>
                <w:sz w:val="20"/>
                <w:szCs w:val="20"/>
              </w:rPr>
              <w:lastRenderedPageBreak/>
              <w:t>weight related complications.</w:t>
            </w:r>
          </w:p>
        </w:tc>
      </w:tr>
      <w:tr w:rsidR="00E16370" w:rsidRPr="00190D4B" w14:paraId="161DF826" w14:textId="77777777" w:rsidTr="00477F9C">
        <w:trPr>
          <w:trHeight w:val="282"/>
        </w:trPr>
        <w:tc>
          <w:tcPr>
            <w:tcW w:w="192" w:type="pct"/>
          </w:tcPr>
          <w:p w14:paraId="67766763" w14:textId="02F81CC1" w:rsidR="00E16370" w:rsidRPr="00190D4B" w:rsidRDefault="002C610D" w:rsidP="00192DC7">
            <w:pPr>
              <w:pStyle w:val="Tabletext"/>
              <w:spacing w:after="120"/>
              <w:rPr>
                <w:rFonts w:cs="Arial"/>
                <w:sz w:val="20"/>
                <w:szCs w:val="20"/>
                <w:lang w:eastAsia="en-GB"/>
              </w:rPr>
            </w:pPr>
            <w:r>
              <w:rPr>
                <w:rFonts w:cs="Arial"/>
                <w:sz w:val="20"/>
                <w:szCs w:val="20"/>
                <w:lang w:eastAsia="en-GB"/>
              </w:rPr>
              <w:lastRenderedPageBreak/>
              <w:t>1</w:t>
            </w:r>
            <w:r w:rsidR="00E16370" w:rsidRPr="00190D4B">
              <w:rPr>
                <w:rFonts w:cs="Arial"/>
                <w:sz w:val="20"/>
                <w:szCs w:val="20"/>
                <w:lang w:eastAsia="en-GB"/>
              </w:rPr>
              <w:t>2</w:t>
            </w:r>
          </w:p>
        </w:tc>
        <w:tc>
          <w:tcPr>
            <w:tcW w:w="483" w:type="pct"/>
          </w:tcPr>
          <w:p w14:paraId="44693CE5" w14:textId="585D2793" w:rsidR="00E16370" w:rsidRPr="00190D4B" w:rsidRDefault="00E16370" w:rsidP="00192DC7">
            <w:pPr>
              <w:pStyle w:val="Tabletext"/>
              <w:spacing w:after="120"/>
              <w:rPr>
                <w:rFonts w:cs="Arial"/>
                <w:sz w:val="20"/>
                <w:szCs w:val="20"/>
              </w:rPr>
            </w:pPr>
            <w:proofErr w:type="spellStart"/>
            <w:r w:rsidRPr="00190D4B">
              <w:rPr>
                <w:rFonts w:cs="Arial"/>
                <w:sz w:val="20"/>
                <w:szCs w:val="20"/>
              </w:rPr>
              <w:t>AfN</w:t>
            </w:r>
            <w:proofErr w:type="spellEnd"/>
          </w:p>
        </w:tc>
        <w:tc>
          <w:tcPr>
            <w:tcW w:w="1111" w:type="pct"/>
          </w:tcPr>
          <w:p w14:paraId="145207AB" w14:textId="2E2EBDA6" w:rsidR="00E16370" w:rsidRPr="00190D4B" w:rsidRDefault="00E16370" w:rsidP="00192DC7">
            <w:pPr>
              <w:pStyle w:val="Paragraphnonumbers"/>
              <w:spacing w:after="120" w:line="240" w:lineRule="auto"/>
              <w:rPr>
                <w:rFonts w:cs="Arial"/>
                <w:sz w:val="20"/>
                <w:szCs w:val="20"/>
              </w:rPr>
            </w:pPr>
            <w:r w:rsidRPr="00190D4B">
              <w:rPr>
                <w:rFonts w:cs="Arial"/>
                <w:sz w:val="20"/>
                <w:szCs w:val="20"/>
              </w:rPr>
              <w:t>ALL patients should be assessed and referred where appropriate for nutrition support during the post-operative period (to include support beyond oral nutrition supplementation, such as weight management and lifestyle support).</w:t>
            </w:r>
          </w:p>
        </w:tc>
        <w:tc>
          <w:tcPr>
            <w:tcW w:w="1402" w:type="pct"/>
          </w:tcPr>
          <w:p w14:paraId="73B0485A"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Whilst dietetic referrals occur in surgical cases relating to areas such as gastrointestinal surgery, nutrition support and referrals should be considered in all cases. The NDNS shows that UK dietary intakes for the majority of individuals do not meet the UK dietary recommendations and HSE data shows the majority are overweight or living with obesity, these indicate the majority of patients will be in a sub-optimal nutritional state throughout the perioperative period, and therefore during the post-operative stage this can results in higher infection rates, poorer surgical wound healing, increased pressure ulcer development, prolonged hospitalisation, increased readmission rates, prolonged or stunted recovery.</w:t>
            </w:r>
          </w:p>
          <w:p w14:paraId="29FCE2DF" w14:textId="4CD48C3F" w:rsidR="00E16370" w:rsidRPr="00190D4B" w:rsidRDefault="00E16370" w:rsidP="00192DC7">
            <w:pPr>
              <w:pStyle w:val="Paragraphnonumbers"/>
              <w:spacing w:after="120" w:line="240" w:lineRule="auto"/>
              <w:rPr>
                <w:rFonts w:cs="Arial"/>
                <w:sz w:val="20"/>
                <w:szCs w:val="20"/>
              </w:rPr>
            </w:pPr>
            <w:r w:rsidRPr="00190D4B">
              <w:rPr>
                <w:rFonts w:cs="Arial"/>
                <w:sz w:val="20"/>
                <w:szCs w:val="20"/>
              </w:rPr>
              <w:t>Doctors have the trust of the clinical and non-clinical workforce to deliver change at individual and system levels.</w:t>
            </w:r>
          </w:p>
        </w:tc>
        <w:tc>
          <w:tcPr>
            <w:tcW w:w="916" w:type="pct"/>
          </w:tcPr>
          <w:p w14:paraId="338608A2"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Health Survey for England (HSE)</w:t>
            </w:r>
          </w:p>
          <w:p w14:paraId="38060206"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 xml:space="preserve">MUST </w:t>
            </w:r>
          </w:p>
          <w:p w14:paraId="59886B7B"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BAPEN</w:t>
            </w:r>
          </w:p>
          <w:p w14:paraId="65983DE1" w14:textId="61903C93" w:rsidR="00E16370" w:rsidRPr="00190D4B" w:rsidRDefault="00E16370" w:rsidP="00192DC7">
            <w:pPr>
              <w:pStyle w:val="Paragraphnonumbers"/>
              <w:spacing w:after="120" w:line="240" w:lineRule="auto"/>
              <w:rPr>
                <w:rFonts w:cs="Arial"/>
                <w:sz w:val="20"/>
                <w:szCs w:val="20"/>
              </w:rPr>
            </w:pPr>
            <w:r w:rsidRPr="00190D4B">
              <w:rPr>
                <w:rFonts w:cs="Arial"/>
                <w:sz w:val="20"/>
                <w:szCs w:val="20"/>
              </w:rPr>
              <w:t>National Diet &amp; Nutrition Survey (NDNS)</w:t>
            </w:r>
          </w:p>
        </w:tc>
        <w:tc>
          <w:tcPr>
            <w:tcW w:w="896" w:type="pct"/>
          </w:tcPr>
          <w:p w14:paraId="1C8ADBC6" w14:textId="4B83A41B" w:rsidR="00E16370" w:rsidRPr="00190D4B" w:rsidRDefault="00E16370" w:rsidP="00192DC7">
            <w:pPr>
              <w:pStyle w:val="Tabletext"/>
              <w:spacing w:after="120"/>
              <w:rPr>
                <w:rFonts w:cs="Arial"/>
                <w:sz w:val="20"/>
                <w:szCs w:val="20"/>
              </w:rPr>
            </w:pPr>
            <w:r w:rsidRPr="00190D4B">
              <w:rPr>
                <w:rFonts w:cs="Arial"/>
                <w:sz w:val="20"/>
                <w:szCs w:val="20"/>
              </w:rPr>
              <w:t>ESPEN and ERAS guidelines indicate the importance of nutrition within the post-operative phase of perioperative care. These can aid in reducing the incidence of prolonged hospitalisation, delayed recovery and increased readmission rates related to poor nutrition. Additionally utilising this window of opportunity increases the likelihood of patients to engage with NICE guidelines regarding nutrition support in respect to weight management, diabetes, oral health, CVD prevention and cancer (incl. WCRF cancer risk reduction guidelines) .</w:t>
            </w:r>
          </w:p>
        </w:tc>
      </w:tr>
      <w:tr w:rsidR="00F87699" w:rsidRPr="00190D4B" w14:paraId="17CFBA7A" w14:textId="77777777" w:rsidTr="00477F9C">
        <w:trPr>
          <w:trHeight w:val="282"/>
        </w:trPr>
        <w:tc>
          <w:tcPr>
            <w:tcW w:w="192" w:type="pct"/>
          </w:tcPr>
          <w:p w14:paraId="06B0E25F" w14:textId="560F65D4" w:rsidR="00F87699" w:rsidRPr="00190D4B" w:rsidRDefault="002C610D" w:rsidP="00192DC7">
            <w:pPr>
              <w:pStyle w:val="Tabletext"/>
              <w:spacing w:after="120"/>
              <w:rPr>
                <w:rFonts w:cs="Arial"/>
                <w:sz w:val="20"/>
                <w:szCs w:val="20"/>
                <w:lang w:eastAsia="en-GB"/>
              </w:rPr>
            </w:pPr>
            <w:r>
              <w:rPr>
                <w:rFonts w:cs="Arial"/>
                <w:sz w:val="20"/>
                <w:szCs w:val="20"/>
                <w:lang w:eastAsia="en-GB"/>
              </w:rPr>
              <w:t>13</w:t>
            </w:r>
          </w:p>
        </w:tc>
        <w:tc>
          <w:tcPr>
            <w:tcW w:w="483" w:type="pct"/>
          </w:tcPr>
          <w:p w14:paraId="4AE90830" w14:textId="4C974EDB" w:rsidR="00F87699" w:rsidRPr="00190D4B" w:rsidRDefault="00F800F3" w:rsidP="00192DC7">
            <w:pPr>
              <w:pStyle w:val="Tabletext"/>
              <w:spacing w:after="120"/>
              <w:rPr>
                <w:rFonts w:cs="Arial"/>
                <w:sz w:val="20"/>
                <w:szCs w:val="20"/>
              </w:rPr>
            </w:pPr>
            <w:r w:rsidRPr="00190D4B">
              <w:rPr>
                <w:rFonts w:cs="Arial"/>
                <w:sz w:val="20"/>
                <w:szCs w:val="20"/>
              </w:rPr>
              <w:t>CPOC</w:t>
            </w:r>
          </w:p>
        </w:tc>
        <w:tc>
          <w:tcPr>
            <w:tcW w:w="1111" w:type="pct"/>
          </w:tcPr>
          <w:p w14:paraId="387767CB" w14:textId="77777777" w:rsidR="00F800F3" w:rsidRPr="00190D4B" w:rsidRDefault="00F800F3" w:rsidP="00192DC7">
            <w:pPr>
              <w:pStyle w:val="Paragraphnonumbers"/>
              <w:spacing w:after="120" w:line="240" w:lineRule="auto"/>
              <w:rPr>
                <w:rFonts w:cs="Arial"/>
                <w:sz w:val="20"/>
                <w:szCs w:val="20"/>
              </w:rPr>
            </w:pPr>
            <w:r w:rsidRPr="00190D4B">
              <w:rPr>
                <w:rFonts w:cs="Arial"/>
                <w:sz w:val="20"/>
                <w:szCs w:val="20"/>
              </w:rPr>
              <w:t>Organisations providing emergency surgery should</w:t>
            </w:r>
          </w:p>
          <w:p w14:paraId="57D5B9BA" w14:textId="6D11BC5B" w:rsidR="00F800F3" w:rsidRPr="00190D4B" w:rsidRDefault="00F800F3" w:rsidP="00192DC7">
            <w:pPr>
              <w:pStyle w:val="Paragraphnonumbers"/>
              <w:spacing w:after="120" w:line="240" w:lineRule="auto"/>
              <w:rPr>
                <w:rFonts w:cs="Arial"/>
                <w:sz w:val="20"/>
                <w:szCs w:val="20"/>
              </w:rPr>
            </w:pPr>
            <w:r w:rsidRPr="00190D4B">
              <w:rPr>
                <w:rFonts w:cs="Arial"/>
                <w:sz w:val="20"/>
                <w:szCs w:val="20"/>
              </w:rPr>
              <w:t>i.)</w:t>
            </w:r>
            <w:r w:rsidR="00D437F7">
              <w:rPr>
                <w:rFonts w:cs="Arial"/>
                <w:sz w:val="20"/>
                <w:szCs w:val="20"/>
              </w:rPr>
              <w:t xml:space="preserve"> </w:t>
            </w:r>
            <w:r w:rsidRPr="00190D4B">
              <w:rPr>
                <w:rFonts w:cs="Arial"/>
                <w:sz w:val="20"/>
                <w:szCs w:val="20"/>
              </w:rPr>
              <w:t xml:space="preserve">have clear pathways, and </w:t>
            </w:r>
          </w:p>
          <w:p w14:paraId="3D42EC63" w14:textId="19B95F16" w:rsidR="00F800F3" w:rsidRPr="00190D4B" w:rsidRDefault="00F800F3" w:rsidP="00192DC7">
            <w:pPr>
              <w:pStyle w:val="Paragraphnonumbers"/>
              <w:spacing w:after="120" w:line="240" w:lineRule="auto"/>
              <w:rPr>
                <w:rFonts w:cs="Arial"/>
                <w:sz w:val="20"/>
                <w:szCs w:val="20"/>
              </w:rPr>
            </w:pPr>
            <w:r w:rsidRPr="00190D4B">
              <w:rPr>
                <w:rFonts w:cs="Arial"/>
                <w:sz w:val="20"/>
                <w:szCs w:val="20"/>
              </w:rPr>
              <w:t>ii.)</w:t>
            </w:r>
            <w:r w:rsidR="00D437F7">
              <w:rPr>
                <w:rFonts w:cs="Arial"/>
                <w:sz w:val="20"/>
                <w:szCs w:val="20"/>
              </w:rPr>
              <w:t xml:space="preserve"> </w:t>
            </w:r>
            <w:r w:rsidRPr="00190D4B">
              <w:rPr>
                <w:rFonts w:cs="Arial"/>
                <w:sz w:val="20"/>
                <w:szCs w:val="20"/>
              </w:rPr>
              <w:t xml:space="preserve">evidence that every patient has a risk assessment and </w:t>
            </w:r>
          </w:p>
          <w:p w14:paraId="68EC03AF" w14:textId="4B73674F" w:rsidR="00F87699" w:rsidRPr="00190D4B" w:rsidRDefault="00F800F3" w:rsidP="00192DC7">
            <w:pPr>
              <w:pStyle w:val="Paragraphnonumbers"/>
              <w:spacing w:after="120" w:line="240" w:lineRule="auto"/>
              <w:rPr>
                <w:rFonts w:cs="Arial"/>
                <w:sz w:val="20"/>
                <w:szCs w:val="20"/>
              </w:rPr>
            </w:pPr>
            <w:r w:rsidRPr="00190D4B">
              <w:rPr>
                <w:rFonts w:cs="Arial"/>
                <w:sz w:val="20"/>
                <w:szCs w:val="20"/>
              </w:rPr>
              <w:t>evidence that every patient undergoes Shared Decision Making.</w:t>
            </w:r>
          </w:p>
        </w:tc>
        <w:tc>
          <w:tcPr>
            <w:tcW w:w="1402" w:type="pct"/>
          </w:tcPr>
          <w:p w14:paraId="41564025" w14:textId="3C82D4EE" w:rsidR="00F87699" w:rsidRPr="00190D4B" w:rsidRDefault="00F800F3" w:rsidP="00192DC7">
            <w:pPr>
              <w:pStyle w:val="Paragraphnonumbers"/>
              <w:spacing w:after="120" w:line="240" w:lineRule="auto"/>
              <w:rPr>
                <w:rFonts w:cs="Arial"/>
                <w:sz w:val="20"/>
                <w:szCs w:val="20"/>
              </w:rPr>
            </w:pPr>
            <w:r w:rsidRPr="00190D4B">
              <w:rPr>
                <w:rFonts w:cs="Arial"/>
                <w:sz w:val="20"/>
                <w:szCs w:val="20"/>
              </w:rPr>
              <w:t>Patients undergoing emergency surgery have worse results. Many organisations do not have clear pathways, and predictable problems occur. Having a clear NICE requirement would help organisations to improve their pathways.</w:t>
            </w:r>
          </w:p>
        </w:tc>
        <w:tc>
          <w:tcPr>
            <w:tcW w:w="916" w:type="pct"/>
          </w:tcPr>
          <w:p w14:paraId="7BEB858C" w14:textId="77777777" w:rsidR="00F800F3" w:rsidRPr="00190D4B" w:rsidRDefault="00F800F3" w:rsidP="00192DC7">
            <w:pPr>
              <w:pStyle w:val="Paragraphnonumbers"/>
              <w:spacing w:after="120" w:line="240" w:lineRule="auto"/>
              <w:rPr>
                <w:rFonts w:cs="Arial"/>
                <w:sz w:val="20"/>
                <w:szCs w:val="20"/>
              </w:rPr>
            </w:pPr>
            <w:r w:rsidRPr="00190D4B">
              <w:rPr>
                <w:rFonts w:cs="Arial"/>
                <w:sz w:val="20"/>
                <w:szCs w:val="20"/>
              </w:rPr>
              <w:t>From College of Emergency Medicine: Evidence that pathways are needed: https://rcem.ac.uk/wp-content/uploads/2024/10/RCEM-Advisory-Statement-regarding-the-management-of-adults-presenting-to-the-</w:t>
            </w:r>
            <w:r w:rsidRPr="00190D4B">
              <w:rPr>
                <w:rFonts w:cs="Arial"/>
                <w:sz w:val="20"/>
                <w:szCs w:val="20"/>
              </w:rPr>
              <w:lastRenderedPageBreak/>
              <w:t xml:space="preserve">Emergency-Department-who-may-require-an-emergency-laparotomy-2-2.pdf </w:t>
            </w:r>
          </w:p>
          <w:p w14:paraId="24E790AD" w14:textId="156F3A75" w:rsidR="00F87699" w:rsidRPr="00190D4B" w:rsidRDefault="00F800F3" w:rsidP="00192DC7">
            <w:pPr>
              <w:pStyle w:val="Paragraphnonumbers"/>
              <w:spacing w:after="120" w:line="240" w:lineRule="auto"/>
              <w:rPr>
                <w:rFonts w:cs="Arial"/>
                <w:sz w:val="20"/>
                <w:szCs w:val="20"/>
              </w:rPr>
            </w:pPr>
            <w:r w:rsidRPr="00190D4B">
              <w:rPr>
                <w:rFonts w:cs="Arial"/>
                <w:sz w:val="20"/>
                <w:szCs w:val="20"/>
              </w:rPr>
              <w:t>NELA: Only 86% had a risk assessment and only 85% of all older patients had a frailty assessment: https://indd.adobe.com/view/6af28812-8e93-4a31-a6e9-ff89b22667bf</w:t>
            </w:r>
          </w:p>
        </w:tc>
        <w:tc>
          <w:tcPr>
            <w:tcW w:w="896" w:type="pct"/>
          </w:tcPr>
          <w:p w14:paraId="57802BF0" w14:textId="77777777" w:rsidR="00F800F3" w:rsidRPr="00190D4B" w:rsidRDefault="00F800F3" w:rsidP="00192DC7">
            <w:pPr>
              <w:pStyle w:val="Tabletext"/>
              <w:spacing w:after="120"/>
              <w:rPr>
                <w:rFonts w:cs="Arial"/>
                <w:sz w:val="20"/>
                <w:szCs w:val="20"/>
              </w:rPr>
            </w:pPr>
            <w:r w:rsidRPr="00190D4B">
              <w:rPr>
                <w:rFonts w:cs="Arial"/>
                <w:sz w:val="20"/>
                <w:szCs w:val="20"/>
              </w:rPr>
              <w:lastRenderedPageBreak/>
              <w:t xml:space="preserve">NICE mandates Shared Decision Making: NG197: https://www.nice.org.uk/guidance/ng197 </w:t>
            </w:r>
          </w:p>
          <w:p w14:paraId="62A61064" w14:textId="6B227C9D" w:rsidR="00F87699" w:rsidRPr="00190D4B" w:rsidRDefault="00F800F3" w:rsidP="00192DC7">
            <w:pPr>
              <w:pStyle w:val="Tabletext"/>
              <w:spacing w:after="120"/>
              <w:rPr>
                <w:rFonts w:cs="Arial"/>
                <w:sz w:val="20"/>
                <w:szCs w:val="20"/>
              </w:rPr>
            </w:pPr>
            <w:r w:rsidRPr="00190D4B">
              <w:rPr>
                <w:rFonts w:cs="Arial"/>
                <w:sz w:val="20"/>
                <w:szCs w:val="20"/>
              </w:rPr>
              <w:t xml:space="preserve">Patients should undergo Shared Decision Making. This should explicitly be undertaken with emergency patients, based </w:t>
            </w:r>
            <w:r w:rsidRPr="00190D4B">
              <w:rPr>
                <w:rFonts w:cs="Arial"/>
                <w:sz w:val="20"/>
                <w:szCs w:val="20"/>
              </w:rPr>
              <w:lastRenderedPageBreak/>
              <w:t>on their individual values and risk prediction.</w:t>
            </w:r>
          </w:p>
        </w:tc>
      </w:tr>
      <w:tr w:rsidR="00F800F3" w:rsidRPr="00190D4B" w14:paraId="53C4A4C8" w14:textId="77777777" w:rsidTr="00477F9C">
        <w:trPr>
          <w:trHeight w:val="282"/>
        </w:trPr>
        <w:tc>
          <w:tcPr>
            <w:tcW w:w="192" w:type="pct"/>
          </w:tcPr>
          <w:p w14:paraId="0E6AF9ED" w14:textId="2274DA0E" w:rsidR="00F800F3" w:rsidRPr="00190D4B" w:rsidRDefault="002C610D" w:rsidP="00192DC7">
            <w:pPr>
              <w:pStyle w:val="Tabletext"/>
              <w:spacing w:after="120"/>
              <w:rPr>
                <w:rFonts w:cs="Arial"/>
                <w:sz w:val="20"/>
                <w:szCs w:val="20"/>
                <w:lang w:eastAsia="en-GB"/>
              </w:rPr>
            </w:pPr>
            <w:r>
              <w:rPr>
                <w:rFonts w:cs="Arial"/>
                <w:sz w:val="20"/>
                <w:szCs w:val="20"/>
                <w:lang w:eastAsia="en-GB"/>
              </w:rPr>
              <w:lastRenderedPageBreak/>
              <w:t>14</w:t>
            </w:r>
          </w:p>
        </w:tc>
        <w:tc>
          <w:tcPr>
            <w:tcW w:w="483" w:type="pct"/>
          </w:tcPr>
          <w:p w14:paraId="3902A0CF" w14:textId="54FEBF56" w:rsidR="00F800F3" w:rsidRPr="00190D4B" w:rsidRDefault="00F800F3" w:rsidP="00192DC7">
            <w:pPr>
              <w:pStyle w:val="Tabletext"/>
              <w:spacing w:after="120"/>
              <w:rPr>
                <w:rFonts w:cs="Arial"/>
                <w:sz w:val="20"/>
                <w:szCs w:val="20"/>
              </w:rPr>
            </w:pPr>
            <w:r w:rsidRPr="00190D4B">
              <w:rPr>
                <w:rFonts w:cs="Arial"/>
                <w:sz w:val="20"/>
                <w:szCs w:val="20"/>
              </w:rPr>
              <w:t>DUK</w:t>
            </w:r>
          </w:p>
        </w:tc>
        <w:tc>
          <w:tcPr>
            <w:tcW w:w="1111" w:type="pct"/>
          </w:tcPr>
          <w:p w14:paraId="34E00961" w14:textId="6BE2D8BF" w:rsidR="00F800F3" w:rsidRPr="00190D4B" w:rsidRDefault="00F800F3" w:rsidP="00192DC7">
            <w:pPr>
              <w:pStyle w:val="Paragraphnonumbers"/>
              <w:spacing w:after="120" w:line="240" w:lineRule="auto"/>
              <w:rPr>
                <w:rFonts w:cs="Arial"/>
                <w:sz w:val="20"/>
                <w:szCs w:val="20"/>
              </w:rPr>
            </w:pPr>
            <w:r w:rsidRPr="00190D4B">
              <w:rPr>
                <w:rFonts w:cs="Arial"/>
                <w:sz w:val="20"/>
                <w:szCs w:val="20"/>
              </w:rPr>
              <w:t>QS should be ensuring that care takes into account the particular needs of people with diabetes (and other long term conditions like epilepsy and Parkinson’s Disease).</w:t>
            </w:r>
          </w:p>
        </w:tc>
        <w:tc>
          <w:tcPr>
            <w:tcW w:w="1402" w:type="pct"/>
          </w:tcPr>
          <w:p w14:paraId="11D4A276" w14:textId="2513D325" w:rsidR="00F800F3" w:rsidRPr="00190D4B" w:rsidRDefault="00F800F3" w:rsidP="00192DC7">
            <w:pPr>
              <w:spacing w:after="120"/>
              <w:rPr>
                <w:rFonts w:ascii="Arial" w:hAnsi="Arial" w:cs="Arial"/>
                <w:sz w:val="20"/>
                <w:szCs w:val="20"/>
                <w:lang w:eastAsia="en-GB"/>
              </w:rPr>
            </w:pPr>
            <w:r w:rsidRPr="00190D4B">
              <w:rPr>
                <w:rFonts w:ascii="Arial" w:hAnsi="Arial" w:cs="Arial"/>
                <w:sz w:val="20"/>
                <w:szCs w:val="20"/>
                <w:lang w:eastAsia="en-GB"/>
              </w:rPr>
              <w:t xml:space="preserve">Diabetes UK suggests that one of the five priority areas for this QS should be ensuring that care takes into account the particular needs of people with diabetes (and other long term conditions like epilepsy and Parkinson’s Disease). Advances in diabetes technology and treatment mean that specialist input may be required before, during and after surgery. There is best practice guidance for people with diabetes undergoing surgery: Perioperative Care of People with Diabetes Undergoing Surgery | Centre for Perioperative Care which would be useful to make reference to. Also, where possible, people with diabetes and other conditions like Parkinson’s disease should be supported to manage their own medications and technology when in hospital.  </w:t>
            </w:r>
          </w:p>
        </w:tc>
        <w:tc>
          <w:tcPr>
            <w:tcW w:w="916" w:type="pct"/>
          </w:tcPr>
          <w:p w14:paraId="256942A4" w14:textId="77777777" w:rsidR="00F800F3" w:rsidRPr="00190D4B" w:rsidRDefault="00F800F3" w:rsidP="00192DC7">
            <w:pPr>
              <w:pStyle w:val="Paragraphnonumbers"/>
              <w:spacing w:after="120" w:line="240" w:lineRule="auto"/>
              <w:rPr>
                <w:rFonts w:cs="Arial"/>
                <w:sz w:val="20"/>
                <w:szCs w:val="20"/>
              </w:rPr>
            </w:pPr>
          </w:p>
        </w:tc>
        <w:tc>
          <w:tcPr>
            <w:tcW w:w="896" w:type="pct"/>
          </w:tcPr>
          <w:p w14:paraId="522E42C7" w14:textId="77777777" w:rsidR="00F800F3" w:rsidRPr="00190D4B" w:rsidRDefault="00F800F3" w:rsidP="00192DC7">
            <w:pPr>
              <w:pStyle w:val="Tabletext"/>
              <w:spacing w:after="120"/>
              <w:rPr>
                <w:rFonts w:cs="Arial"/>
                <w:sz w:val="20"/>
                <w:szCs w:val="20"/>
              </w:rPr>
            </w:pPr>
          </w:p>
        </w:tc>
      </w:tr>
      <w:tr w:rsidR="00AE3299" w:rsidRPr="00190D4B" w14:paraId="5EF9EC9C" w14:textId="77777777" w:rsidTr="00477F9C">
        <w:trPr>
          <w:trHeight w:val="282"/>
        </w:trPr>
        <w:tc>
          <w:tcPr>
            <w:tcW w:w="192" w:type="pct"/>
          </w:tcPr>
          <w:p w14:paraId="14E7EE5A" w14:textId="55E7E6A9" w:rsidR="00AE3299" w:rsidRPr="00190D4B" w:rsidRDefault="002C610D" w:rsidP="00192DC7">
            <w:pPr>
              <w:pStyle w:val="Tabletext"/>
              <w:spacing w:after="120"/>
              <w:rPr>
                <w:rFonts w:cs="Arial"/>
                <w:sz w:val="20"/>
                <w:szCs w:val="20"/>
                <w:lang w:eastAsia="en-GB"/>
              </w:rPr>
            </w:pPr>
            <w:r>
              <w:rPr>
                <w:rFonts w:cs="Arial"/>
                <w:sz w:val="20"/>
                <w:szCs w:val="20"/>
                <w:lang w:eastAsia="en-GB"/>
              </w:rPr>
              <w:t>15</w:t>
            </w:r>
          </w:p>
        </w:tc>
        <w:tc>
          <w:tcPr>
            <w:tcW w:w="483" w:type="pct"/>
          </w:tcPr>
          <w:p w14:paraId="20AFB8C1" w14:textId="5FAEB350" w:rsidR="00AE3299" w:rsidRPr="00190D4B" w:rsidRDefault="00AE3299" w:rsidP="00192DC7">
            <w:pPr>
              <w:pStyle w:val="Tabletext"/>
              <w:spacing w:after="120"/>
              <w:rPr>
                <w:rFonts w:cs="Arial"/>
                <w:sz w:val="20"/>
                <w:szCs w:val="20"/>
              </w:rPr>
            </w:pPr>
            <w:r w:rsidRPr="00190D4B">
              <w:rPr>
                <w:rFonts w:cs="Arial"/>
                <w:sz w:val="20"/>
                <w:szCs w:val="20"/>
              </w:rPr>
              <w:t>NCD</w:t>
            </w:r>
          </w:p>
        </w:tc>
        <w:tc>
          <w:tcPr>
            <w:tcW w:w="1111" w:type="pct"/>
          </w:tcPr>
          <w:p w14:paraId="104F9796" w14:textId="0BB87D28" w:rsidR="00AE3299" w:rsidRPr="00190D4B" w:rsidRDefault="00AE3299" w:rsidP="00192DC7">
            <w:pPr>
              <w:pStyle w:val="Paragraphnonumbers"/>
              <w:spacing w:after="120" w:line="240" w:lineRule="auto"/>
              <w:rPr>
                <w:rFonts w:cs="Arial"/>
                <w:sz w:val="20"/>
                <w:szCs w:val="20"/>
              </w:rPr>
            </w:pPr>
            <w:r w:rsidRPr="00190D4B">
              <w:rPr>
                <w:rFonts w:cs="Arial"/>
                <w:sz w:val="20"/>
                <w:szCs w:val="20"/>
              </w:rPr>
              <w:t>Recommendation 1.3.1 - preoperative risk assessment using a validated tool</w:t>
            </w:r>
          </w:p>
        </w:tc>
        <w:tc>
          <w:tcPr>
            <w:tcW w:w="1402" w:type="pct"/>
          </w:tcPr>
          <w:p w14:paraId="5877164E" w14:textId="77777777" w:rsidR="00AE3299" w:rsidRPr="00190D4B" w:rsidRDefault="00AE3299" w:rsidP="00192DC7">
            <w:pPr>
              <w:spacing w:after="120"/>
              <w:rPr>
                <w:rFonts w:ascii="Arial" w:hAnsi="Arial" w:cs="Arial"/>
                <w:sz w:val="20"/>
                <w:szCs w:val="20"/>
                <w:lang w:eastAsia="en-GB"/>
              </w:rPr>
            </w:pPr>
          </w:p>
        </w:tc>
        <w:tc>
          <w:tcPr>
            <w:tcW w:w="916" w:type="pct"/>
          </w:tcPr>
          <w:p w14:paraId="6B9F8CBE" w14:textId="77777777" w:rsidR="00AE3299" w:rsidRPr="00190D4B" w:rsidRDefault="00AE3299" w:rsidP="00192DC7">
            <w:pPr>
              <w:pStyle w:val="Paragraphnonumbers"/>
              <w:spacing w:after="120" w:line="240" w:lineRule="auto"/>
              <w:rPr>
                <w:rFonts w:cs="Arial"/>
                <w:sz w:val="20"/>
                <w:szCs w:val="20"/>
              </w:rPr>
            </w:pPr>
          </w:p>
        </w:tc>
        <w:tc>
          <w:tcPr>
            <w:tcW w:w="896" w:type="pct"/>
          </w:tcPr>
          <w:p w14:paraId="62E75021" w14:textId="77777777" w:rsidR="00AE3299" w:rsidRPr="00190D4B" w:rsidRDefault="00AE3299" w:rsidP="00192DC7">
            <w:pPr>
              <w:pStyle w:val="Tabletext"/>
              <w:spacing w:after="120"/>
              <w:rPr>
                <w:rFonts w:cs="Arial"/>
                <w:sz w:val="20"/>
                <w:szCs w:val="20"/>
              </w:rPr>
            </w:pPr>
          </w:p>
        </w:tc>
      </w:tr>
      <w:tr w:rsidR="005F73B1" w:rsidRPr="00190D4B" w14:paraId="1D5F4280" w14:textId="77777777" w:rsidTr="00477F9C">
        <w:trPr>
          <w:trHeight w:val="282"/>
        </w:trPr>
        <w:tc>
          <w:tcPr>
            <w:tcW w:w="192" w:type="pct"/>
          </w:tcPr>
          <w:p w14:paraId="30A789F6" w14:textId="66A5E5E5" w:rsidR="005F73B1" w:rsidRPr="00190D4B" w:rsidRDefault="002C610D" w:rsidP="00192DC7">
            <w:pPr>
              <w:pStyle w:val="Tabletext"/>
              <w:spacing w:after="120"/>
              <w:rPr>
                <w:rFonts w:cs="Arial"/>
                <w:sz w:val="20"/>
                <w:szCs w:val="20"/>
                <w:lang w:eastAsia="en-GB"/>
              </w:rPr>
            </w:pPr>
            <w:r>
              <w:rPr>
                <w:rFonts w:cs="Arial"/>
                <w:sz w:val="20"/>
                <w:szCs w:val="20"/>
                <w:lang w:eastAsia="en-GB"/>
              </w:rPr>
              <w:lastRenderedPageBreak/>
              <w:t>1</w:t>
            </w:r>
            <w:r w:rsidR="005F73B1" w:rsidRPr="00190D4B">
              <w:rPr>
                <w:rFonts w:cs="Arial"/>
                <w:sz w:val="20"/>
                <w:szCs w:val="20"/>
                <w:lang w:eastAsia="en-GB"/>
              </w:rPr>
              <w:t>6</w:t>
            </w:r>
          </w:p>
        </w:tc>
        <w:tc>
          <w:tcPr>
            <w:tcW w:w="483" w:type="pct"/>
          </w:tcPr>
          <w:p w14:paraId="2664722B" w14:textId="6667A1BF" w:rsidR="005F73B1" w:rsidRPr="00190D4B" w:rsidRDefault="005F73B1" w:rsidP="00192DC7">
            <w:pPr>
              <w:pStyle w:val="Tabletext"/>
              <w:spacing w:after="120"/>
              <w:rPr>
                <w:rFonts w:cs="Arial"/>
                <w:sz w:val="20"/>
                <w:szCs w:val="20"/>
              </w:rPr>
            </w:pPr>
            <w:r w:rsidRPr="00190D4B">
              <w:rPr>
                <w:rFonts w:cs="Arial"/>
                <w:sz w:val="20"/>
                <w:szCs w:val="20"/>
              </w:rPr>
              <w:t>NCD</w:t>
            </w:r>
          </w:p>
        </w:tc>
        <w:tc>
          <w:tcPr>
            <w:tcW w:w="1111" w:type="pct"/>
          </w:tcPr>
          <w:p w14:paraId="767CA041" w14:textId="096EC903" w:rsidR="005F73B1" w:rsidRPr="00190D4B" w:rsidRDefault="005F73B1" w:rsidP="00192DC7">
            <w:pPr>
              <w:pStyle w:val="Paragraphnonumbers"/>
              <w:spacing w:after="120" w:line="240" w:lineRule="auto"/>
              <w:rPr>
                <w:rFonts w:cs="Arial"/>
                <w:sz w:val="20"/>
                <w:szCs w:val="20"/>
              </w:rPr>
            </w:pPr>
            <w:r w:rsidRPr="00190D4B">
              <w:rPr>
                <w:rFonts w:cs="Arial"/>
                <w:sz w:val="20"/>
                <w:szCs w:val="20"/>
              </w:rPr>
              <w:t>Recommendation 1.3.4 - preoperative anaemia management</w:t>
            </w:r>
          </w:p>
        </w:tc>
        <w:tc>
          <w:tcPr>
            <w:tcW w:w="1402" w:type="pct"/>
          </w:tcPr>
          <w:p w14:paraId="261CC624" w14:textId="77777777" w:rsidR="005F73B1" w:rsidRPr="00190D4B" w:rsidRDefault="005F73B1" w:rsidP="00192DC7">
            <w:pPr>
              <w:spacing w:after="120"/>
              <w:rPr>
                <w:rFonts w:ascii="Arial" w:hAnsi="Arial" w:cs="Arial"/>
                <w:sz w:val="20"/>
                <w:szCs w:val="20"/>
                <w:lang w:eastAsia="en-GB"/>
              </w:rPr>
            </w:pPr>
          </w:p>
        </w:tc>
        <w:tc>
          <w:tcPr>
            <w:tcW w:w="916" w:type="pct"/>
          </w:tcPr>
          <w:p w14:paraId="38EA158A" w14:textId="77777777" w:rsidR="005F73B1" w:rsidRPr="00190D4B" w:rsidRDefault="005F73B1" w:rsidP="00192DC7">
            <w:pPr>
              <w:pStyle w:val="Paragraphnonumbers"/>
              <w:spacing w:after="120" w:line="240" w:lineRule="auto"/>
              <w:rPr>
                <w:rFonts w:cs="Arial"/>
                <w:sz w:val="20"/>
                <w:szCs w:val="20"/>
              </w:rPr>
            </w:pPr>
          </w:p>
        </w:tc>
        <w:tc>
          <w:tcPr>
            <w:tcW w:w="896" w:type="pct"/>
          </w:tcPr>
          <w:p w14:paraId="07492D65" w14:textId="77777777" w:rsidR="005F73B1" w:rsidRPr="00190D4B" w:rsidRDefault="005F73B1" w:rsidP="00192DC7">
            <w:pPr>
              <w:pStyle w:val="Tabletext"/>
              <w:spacing w:after="120"/>
              <w:rPr>
                <w:rFonts w:cs="Arial"/>
                <w:sz w:val="20"/>
                <w:szCs w:val="20"/>
              </w:rPr>
            </w:pPr>
          </w:p>
        </w:tc>
      </w:tr>
      <w:tr w:rsidR="008F42F2" w:rsidRPr="00190D4B" w14:paraId="35CDBD50" w14:textId="77777777" w:rsidTr="00477F9C">
        <w:trPr>
          <w:trHeight w:val="282"/>
        </w:trPr>
        <w:tc>
          <w:tcPr>
            <w:tcW w:w="192" w:type="pct"/>
          </w:tcPr>
          <w:p w14:paraId="79EEDEEA" w14:textId="0C1F03DB" w:rsidR="008F42F2" w:rsidRPr="00190D4B" w:rsidRDefault="002C610D" w:rsidP="00192DC7">
            <w:pPr>
              <w:pStyle w:val="Tabletext"/>
              <w:spacing w:after="120"/>
              <w:rPr>
                <w:rFonts w:cs="Arial"/>
                <w:sz w:val="20"/>
                <w:szCs w:val="20"/>
                <w:lang w:eastAsia="en-GB"/>
              </w:rPr>
            </w:pPr>
            <w:r>
              <w:rPr>
                <w:rFonts w:cs="Arial"/>
                <w:sz w:val="20"/>
                <w:szCs w:val="20"/>
                <w:lang w:eastAsia="en-GB"/>
              </w:rPr>
              <w:t>17</w:t>
            </w:r>
          </w:p>
        </w:tc>
        <w:tc>
          <w:tcPr>
            <w:tcW w:w="483" w:type="pct"/>
          </w:tcPr>
          <w:p w14:paraId="5BEAB124" w14:textId="1C798202" w:rsidR="008F42F2" w:rsidRPr="00190D4B" w:rsidRDefault="008F42F2" w:rsidP="00192DC7">
            <w:pPr>
              <w:pStyle w:val="Tabletext"/>
              <w:spacing w:after="120"/>
              <w:rPr>
                <w:rFonts w:cs="Arial"/>
                <w:sz w:val="20"/>
                <w:szCs w:val="20"/>
              </w:rPr>
            </w:pPr>
            <w:r w:rsidRPr="00190D4B">
              <w:rPr>
                <w:rFonts w:cs="Arial"/>
                <w:sz w:val="20"/>
                <w:szCs w:val="20"/>
              </w:rPr>
              <w:t>NCD</w:t>
            </w:r>
          </w:p>
        </w:tc>
        <w:tc>
          <w:tcPr>
            <w:tcW w:w="1111" w:type="pct"/>
          </w:tcPr>
          <w:p w14:paraId="559A8EEA" w14:textId="1044AC08" w:rsidR="008F42F2" w:rsidRPr="00190D4B" w:rsidRDefault="008F42F2" w:rsidP="00192DC7">
            <w:pPr>
              <w:pStyle w:val="Paragraphnonumbers"/>
              <w:spacing w:after="120" w:line="240" w:lineRule="auto"/>
              <w:rPr>
                <w:rFonts w:cs="Arial"/>
                <w:sz w:val="20"/>
                <w:szCs w:val="20"/>
              </w:rPr>
            </w:pPr>
            <w:r w:rsidRPr="00190D4B">
              <w:rPr>
                <w:rFonts w:cs="Arial"/>
                <w:sz w:val="20"/>
                <w:szCs w:val="20"/>
              </w:rPr>
              <w:t>Recommendation 1.3.10/1.3.11 - preoperative nutrition</w:t>
            </w:r>
          </w:p>
        </w:tc>
        <w:tc>
          <w:tcPr>
            <w:tcW w:w="1402" w:type="pct"/>
          </w:tcPr>
          <w:p w14:paraId="256982DF" w14:textId="77777777" w:rsidR="008F42F2" w:rsidRPr="00190D4B" w:rsidRDefault="008F42F2" w:rsidP="00192DC7">
            <w:pPr>
              <w:spacing w:after="120"/>
              <w:rPr>
                <w:rFonts w:ascii="Arial" w:hAnsi="Arial" w:cs="Arial"/>
                <w:sz w:val="20"/>
                <w:szCs w:val="20"/>
                <w:lang w:eastAsia="en-GB"/>
              </w:rPr>
            </w:pPr>
          </w:p>
        </w:tc>
        <w:tc>
          <w:tcPr>
            <w:tcW w:w="916" w:type="pct"/>
          </w:tcPr>
          <w:p w14:paraId="5BCE7303" w14:textId="77777777" w:rsidR="008F42F2" w:rsidRPr="00190D4B" w:rsidRDefault="008F42F2" w:rsidP="00192DC7">
            <w:pPr>
              <w:pStyle w:val="Paragraphnonumbers"/>
              <w:spacing w:after="120" w:line="240" w:lineRule="auto"/>
              <w:rPr>
                <w:rFonts w:cs="Arial"/>
                <w:sz w:val="20"/>
                <w:szCs w:val="20"/>
              </w:rPr>
            </w:pPr>
          </w:p>
        </w:tc>
        <w:tc>
          <w:tcPr>
            <w:tcW w:w="896" w:type="pct"/>
          </w:tcPr>
          <w:p w14:paraId="1A1F174E" w14:textId="77777777" w:rsidR="008F42F2" w:rsidRPr="00190D4B" w:rsidRDefault="008F42F2" w:rsidP="00192DC7">
            <w:pPr>
              <w:pStyle w:val="Tabletext"/>
              <w:spacing w:after="120"/>
              <w:rPr>
                <w:rFonts w:cs="Arial"/>
                <w:sz w:val="20"/>
                <w:szCs w:val="20"/>
              </w:rPr>
            </w:pPr>
          </w:p>
        </w:tc>
      </w:tr>
      <w:tr w:rsidR="0094211D" w:rsidRPr="00190D4B" w14:paraId="0D4F7D46" w14:textId="77777777" w:rsidTr="00477F9C">
        <w:trPr>
          <w:trHeight w:val="282"/>
        </w:trPr>
        <w:tc>
          <w:tcPr>
            <w:tcW w:w="192" w:type="pct"/>
          </w:tcPr>
          <w:p w14:paraId="7F0A85EA" w14:textId="60D7CE9B" w:rsidR="0094211D" w:rsidRPr="00190D4B" w:rsidRDefault="002C610D" w:rsidP="00192DC7">
            <w:pPr>
              <w:pStyle w:val="Tabletext"/>
              <w:spacing w:after="120"/>
              <w:rPr>
                <w:rFonts w:cs="Arial"/>
                <w:sz w:val="20"/>
                <w:szCs w:val="20"/>
                <w:lang w:eastAsia="en-GB"/>
              </w:rPr>
            </w:pPr>
            <w:r>
              <w:rPr>
                <w:rFonts w:cs="Arial"/>
                <w:sz w:val="20"/>
                <w:szCs w:val="20"/>
                <w:lang w:eastAsia="en-GB"/>
              </w:rPr>
              <w:t>1</w:t>
            </w:r>
            <w:r w:rsidR="0094211D" w:rsidRPr="00190D4B">
              <w:rPr>
                <w:rFonts w:cs="Arial"/>
                <w:sz w:val="20"/>
                <w:szCs w:val="20"/>
                <w:lang w:eastAsia="en-GB"/>
              </w:rPr>
              <w:t>8</w:t>
            </w:r>
          </w:p>
        </w:tc>
        <w:tc>
          <w:tcPr>
            <w:tcW w:w="483" w:type="pct"/>
          </w:tcPr>
          <w:p w14:paraId="51C06116" w14:textId="32724BC0" w:rsidR="0094211D" w:rsidRPr="00190D4B" w:rsidRDefault="0094211D" w:rsidP="00192DC7">
            <w:pPr>
              <w:pStyle w:val="Tabletext"/>
              <w:spacing w:after="120"/>
              <w:rPr>
                <w:rFonts w:cs="Arial"/>
                <w:sz w:val="20"/>
                <w:szCs w:val="20"/>
              </w:rPr>
            </w:pPr>
            <w:r w:rsidRPr="00190D4B">
              <w:rPr>
                <w:rFonts w:cs="Arial"/>
                <w:sz w:val="20"/>
                <w:szCs w:val="20"/>
              </w:rPr>
              <w:t>NHS PST</w:t>
            </w:r>
          </w:p>
        </w:tc>
        <w:tc>
          <w:tcPr>
            <w:tcW w:w="1111" w:type="pct"/>
          </w:tcPr>
          <w:p w14:paraId="5C59653A" w14:textId="117B4320" w:rsidR="0094211D" w:rsidRPr="00190D4B" w:rsidRDefault="0094211D" w:rsidP="00192DC7">
            <w:pPr>
              <w:pStyle w:val="Paragraphnonumbers"/>
              <w:spacing w:after="120" w:line="240" w:lineRule="auto"/>
              <w:rPr>
                <w:rFonts w:cs="Arial"/>
                <w:sz w:val="20"/>
                <w:szCs w:val="20"/>
              </w:rPr>
            </w:pPr>
            <w:r w:rsidRPr="00190D4B">
              <w:rPr>
                <w:rFonts w:cs="Arial"/>
                <w:sz w:val="20"/>
                <w:szCs w:val="20"/>
              </w:rPr>
              <w:t>Key area for quality improvement 1</w:t>
            </w:r>
          </w:p>
        </w:tc>
        <w:tc>
          <w:tcPr>
            <w:tcW w:w="1402" w:type="pct"/>
          </w:tcPr>
          <w:p w14:paraId="6C8D52E9" w14:textId="12D8D93D" w:rsidR="0094211D" w:rsidRPr="00190D4B" w:rsidRDefault="0094211D" w:rsidP="00192DC7">
            <w:pPr>
              <w:pStyle w:val="Paragraphnonumbers"/>
              <w:spacing w:after="120" w:line="240" w:lineRule="auto"/>
              <w:rPr>
                <w:rFonts w:cs="Arial"/>
                <w:sz w:val="20"/>
                <w:szCs w:val="20"/>
              </w:rPr>
            </w:pPr>
            <w:r w:rsidRPr="00190D4B">
              <w:rPr>
                <w:rFonts w:cs="Arial"/>
                <w:sz w:val="20"/>
                <w:szCs w:val="20"/>
              </w:rPr>
              <w:t>Management of perioperative anticoagulation for patients on long term therapy – this work would align with national work being undertaken by Medication Safety Improvement Programme</w:t>
            </w:r>
          </w:p>
        </w:tc>
        <w:tc>
          <w:tcPr>
            <w:tcW w:w="916" w:type="pct"/>
          </w:tcPr>
          <w:p w14:paraId="04B2A39E" w14:textId="627E3500" w:rsidR="0094211D" w:rsidRPr="00190D4B" w:rsidRDefault="0094211D" w:rsidP="00192DC7">
            <w:pPr>
              <w:pStyle w:val="Paragraphnonumbers"/>
              <w:spacing w:after="120" w:line="240" w:lineRule="auto"/>
              <w:rPr>
                <w:rFonts w:cs="Arial"/>
                <w:sz w:val="20"/>
                <w:szCs w:val="20"/>
              </w:rPr>
            </w:pPr>
            <w:r w:rsidRPr="00190D4B">
              <w:rPr>
                <w:rFonts w:cs="Arial"/>
                <w:sz w:val="20"/>
                <w:szCs w:val="20"/>
              </w:rPr>
              <w:t xml:space="preserve">Data may be available from the Medication Safety Improvement Programme – </w:t>
            </w:r>
          </w:p>
        </w:tc>
        <w:tc>
          <w:tcPr>
            <w:tcW w:w="896" w:type="pct"/>
          </w:tcPr>
          <w:p w14:paraId="543B9853" w14:textId="77777777" w:rsidR="0094211D" w:rsidRPr="00190D4B" w:rsidRDefault="0094211D" w:rsidP="00192DC7">
            <w:pPr>
              <w:pStyle w:val="Tabletext"/>
              <w:spacing w:after="120"/>
              <w:rPr>
                <w:rFonts w:cs="Arial"/>
                <w:sz w:val="20"/>
                <w:szCs w:val="20"/>
              </w:rPr>
            </w:pPr>
          </w:p>
        </w:tc>
      </w:tr>
      <w:tr w:rsidR="005F73B1" w:rsidRPr="00190D4B" w14:paraId="1D615B3B" w14:textId="77777777" w:rsidTr="00477F9C">
        <w:trPr>
          <w:trHeight w:val="282"/>
        </w:trPr>
        <w:tc>
          <w:tcPr>
            <w:tcW w:w="192" w:type="pct"/>
          </w:tcPr>
          <w:p w14:paraId="1D1A680A" w14:textId="58AE3175" w:rsidR="005F73B1" w:rsidRPr="00190D4B" w:rsidRDefault="002C610D" w:rsidP="00192DC7">
            <w:pPr>
              <w:pStyle w:val="Tabletext"/>
              <w:spacing w:after="120"/>
              <w:rPr>
                <w:rFonts w:cs="Arial"/>
                <w:sz w:val="20"/>
                <w:szCs w:val="20"/>
                <w:lang w:eastAsia="en-GB"/>
              </w:rPr>
            </w:pPr>
            <w:r>
              <w:rPr>
                <w:rFonts w:cs="Arial"/>
                <w:sz w:val="20"/>
                <w:szCs w:val="20"/>
                <w:lang w:eastAsia="en-GB"/>
              </w:rPr>
              <w:t>19</w:t>
            </w:r>
          </w:p>
        </w:tc>
        <w:tc>
          <w:tcPr>
            <w:tcW w:w="483" w:type="pct"/>
          </w:tcPr>
          <w:p w14:paraId="1916024F" w14:textId="52E997CB" w:rsidR="005F73B1" w:rsidRPr="00190D4B" w:rsidRDefault="005F73B1" w:rsidP="00192DC7">
            <w:pPr>
              <w:pStyle w:val="Tabletext"/>
              <w:spacing w:after="120"/>
              <w:rPr>
                <w:rFonts w:cs="Arial"/>
                <w:sz w:val="20"/>
                <w:szCs w:val="20"/>
              </w:rPr>
            </w:pPr>
            <w:r w:rsidRPr="00190D4B">
              <w:rPr>
                <w:rFonts w:cs="Arial"/>
                <w:sz w:val="20"/>
                <w:szCs w:val="20"/>
              </w:rPr>
              <w:t>PUK</w:t>
            </w:r>
          </w:p>
        </w:tc>
        <w:tc>
          <w:tcPr>
            <w:tcW w:w="1111" w:type="pct"/>
          </w:tcPr>
          <w:p w14:paraId="7C633D6E" w14:textId="7D89D964" w:rsidR="005F73B1" w:rsidRPr="00190D4B" w:rsidRDefault="005F73B1" w:rsidP="00192DC7">
            <w:pPr>
              <w:pStyle w:val="Paragraphnonumbers"/>
              <w:spacing w:after="120" w:line="240" w:lineRule="auto"/>
              <w:rPr>
                <w:rFonts w:cs="Arial"/>
                <w:sz w:val="20"/>
                <w:szCs w:val="20"/>
              </w:rPr>
            </w:pPr>
            <w:r w:rsidRPr="00190D4B">
              <w:rPr>
                <w:rFonts w:cs="Arial"/>
                <w:sz w:val="20"/>
                <w:szCs w:val="20"/>
              </w:rPr>
              <w:t>Patients scheduled for surgery should be screened and treated for their Iron Deficiency Anaemia (IDA) (at least 4 weeks) haemoglobin and iron measurements optimised prior to surgery.</w:t>
            </w:r>
          </w:p>
        </w:tc>
        <w:tc>
          <w:tcPr>
            <w:tcW w:w="1402" w:type="pct"/>
          </w:tcPr>
          <w:p w14:paraId="06388FAA" w14:textId="2FEF5C23" w:rsidR="005F73B1" w:rsidRPr="00190D4B" w:rsidRDefault="005F73B1" w:rsidP="00192DC7">
            <w:pPr>
              <w:pStyle w:val="Paragraphnonumbers"/>
              <w:spacing w:after="120" w:line="240" w:lineRule="auto"/>
              <w:rPr>
                <w:rFonts w:cs="Arial"/>
                <w:sz w:val="20"/>
                <w:szCs w:val="20"/>
              </w:rPr>
            </w:pPr>
            <w:r w:rsidRPr="00190D4B">
              <w:rPr>
                <w:rFonts w:cs="Arial"/>
                <w:sz w:val="20"/>
                <w:szCs w:val="20"/>
              </w:rPr>
              <w:t>Anaemia is highly prevalent in surgical patients and is an independent risk factor for increased mortality, postoperative complications, and length of stay. NICE guidelines recommend early identification and treatment (</w:t>
            </w:r>
            <w:hyperlink r:id="rId75" w:history="1">
              <w:r w:rsidRPr="00190D4B">
                <w:rPr>
                  <w:rStyle w:val="Hyperlink"/>
                  <w:rFonts w:cs="Arial"/>
                  <w:sz w:val="20"/>
                  <w:szCs w:val="20"/>
                </w:rPr>
                <w:t>NICE NG24: Blood transfusion</w:t>
              </w:r>
            </w:hyperlink>
            <w:r w:rsidRPr="00190D4B">
              <w:rPr>
                <w:rFonts w:cs="Arial"/>
                <w:sz w:val="20"/>
                <w:szCs w:val="20"/>
              </w:rPr>
              <w:t xml:space="preserve">). This requires sufficient time between listing and surgery to investigate underlying causes (e.g. iron deficiency, B12, folate, CKD) and intervene appropriately. Delays in investigation reduce the opportunity for effective treatment (oral or IV iron) and can lead to avoidable transfusions. Management of ID/IDA is recommended by a number of guidelines including the </w:t>
            </w:r>
            <w:hyperlink r:id="rId76" w:history="1">
              <w:r w:rsidRPr="00190D4B">
                <w:rPr>
                  <w:rStyle w:val="Hyperlink"/>
                  <w:rFonts w:cs="Arial"/>
                  <w:sz w:val="20"/>
                  <w:szCs w:val="20"/>
                </w:rPr>
                <w:t>BSH Identification and management of preoperative anaemia in adults, 2024</w:t>
              </w:r>
            </w:hyperlink>
            <w:r w:rsidRPr="00190D4B">
              <w:rPr>
                <w:rFonts w:cs="Arial"/>
                <w:sz w:val="20"/>
                <w:szCs w:val="20"/>
              </w:rPr>
              <w:t xml:space="preserve"> and </w:t>
            </w:r>
            <w:hyperlink r:id="rId77" w:history="1">
              <w:r w:rsidRPr="00190D4B">
                <w:rPr>
                  <w:rStyle w:val="Hyperlink"/>
                  <w:rFonts w:cs="Arial"/>
                  <w:sz w:val="20"/>
                  <w:szCs w:val="20"/>
                </w:rPr>
                <w:t>CPOC Perioperative Anaemia Guidelines (2025)</w:t>
              </w:r>
            </w:hyperlink>
            <w:r w:rsidRPr="00190D4B">
              <w:rPr>
                <w:rFonts w:cs="Arial"/>
                <w:sz w:val="20"/>
                <w:szCs w:val="20"/>
              </w:rPr>
              <w:t xml:space="preserve">. CPOC recommends all patients with anaemia having a major operation (with expected blood loss of &gt;500ml or 10% blood volume) should have a documented plan for </w:t>
            </w:r>
            <w:r w:rsidRPr="00190D4B">
              <w:rPr>
                <w:rFonts w:cs="Arial"/>
                <w:sz w:val="20"/>
                <w:szCs w:val="20"/>
              </w:rPr>
              <w:lastRenderedPageBreak/>
              <w:t xml:space="preserve">preoperative, intraoperative and postoperative management of anaemia, in line with Patient Blood Management (PBM). </w:t>
            </w:r>
            <w:hyperlink r:id="rId78" w:history="1">
              <w:r w:rsidRPr="00190D4B">
                <w:rPr>
                  <w:rStyle w:val="Hyperlink"/>
                  <w:rFonts w:cs="Arial"/>
                  <w:sz w:val="20"/>
                  <w:szCs w:val="20"/>
                </w:rPr>
                <w:t>GIRFT 2021</w:t>
              </w:r>
            </w:hyperlink>
            <w:r w:rsidRPr="00190D4B">
              <w:rPr>
                <w:rFonts w:cs="Arial"/>
                <w:sz w:val="20"/>
                <w:szCs w:val="20"/>
              </w:rPr>
              <w:t xml:space="preserve"> states that screening patients for anaemia before major elective blood loss surgery is a key perioperative process. However, audits confirm this is not routinely implemented. PQIP reports [</w:t>
            </w:r>
            <w:hyperlink r:id="rId79" w:history="1">
              <w:r w:rsidRPr="00190D4B">
                <w:rPr>
                  <w:rStyle w:val="Hyperlink"/>
                  <w:rFonts w:cs="Arial"/>
                  <w:sz w:val="20"/>
                  <w:szCs w:val="20"/>
                </w:rPr>
                <w:t>PQIP Report (2023–2024)</w:t>
              </w:r>
            </w:hyperlink>
            <w:hyperlink r:id="rId80" w:history="1">
              <w:r w:rsidRPr="00190D4B">
                <w:rPr>
                  <w:rStyle w:val="Hyperlink"/>
                  <w:rFonts w:cs="Arial"/>
                  <w:sz w:val="20"/>
                  <w:szCs w:val="20"/>
                </w:rPr>
                <w:t xml:space="preserve"> , PQIP Report (2021 -2023)</w:t>
              </w:r>
            </w:hyperlink>
            <w:r w:rsidRPr="00190D4B">
              <w:rPr>
                <w:rFonts w:cs="Arial"/>
                <w:sz w:val="20"/>
                <w:szCs w:val="20"/>
              </w:rPr>
              <w:t>] highlighting that 67% of anaemic patients are left with no preoperative treatment for  anaemia, including 31% of patients with severe anaemia. This can lead to poor outcomes for patients. Indeed, numerous studies have shown that treating iron deficiency anaemia (IDA) pre-operatively improves haemoglobin levels and reduces post-operative complications.</w:t>
            </w:r>
            <w:r w:rsidRPr="00190D4B">
              <w:rPr>
                <w:rStyle w:val="CommentReference"/>
                <w:rFonts w:cs="Arial"/>
                <w:sz w:val="20"/>
                <w:szCs w:val="20"/>
                <w:lang w:eastAsia="en-US"/>
              </w:rPr>
              <w:t xml:space="preserve"> </w:t>
            </w:r>
            <w:r w:rsidRPr="00190D4B">
              <w:rPr>
                <w:rFonts w:cs="Arial"/>
                <w:sz w:val="20"/>
                <w:szCs w:val="20"/>
              </w:rPr>
              <w:t xml:space="preserve">This has been further reinforced through the </w:t>
            </w:r>
            <w:hyperlink r:id="rId81" w:history="1">
              <w:r w:rsidRPr="00190D4B">
                <w:rPr>
                  <w:rStyle w:val="Hyperlink"/>
                  <w:rFonts w:cs="Arial"/>
                  <w:sz w:val="20"/>
                  <w:szCs w:val="20"/>
                </w:rPr>
                <w:t>QS138</w:t>
              </w:r>
            </w:hyperlink>
            <w:r w:rsidRPr="00190D4B">
              <w:rPr>
                <w:rFonts w:cs="Arial"/>
                <w:sz w:val="20"/>
                <w:szCs w:val="20"/>
              </w:rPr>
              <w:t>, where 34% of patients identified as having IDA received no treatment, and this can vary between 25-66% depending on speciality. The report also showed at least 42% of patients treated with iron (oral or IV) were done so inside 4 weeks despite the optimal time for oral iron being 12 weeks, and IV Iron being 4-6 weeks. The recommendation from the latest report is: Hospitals should examine the procedures in place for the pre-operative identification and the timely management of iron deficiency anaemia, Further highlighting the need for this to be addressed.</w:t>
            </w:r>
          </w:p>
        </w:tc>
        <w:tc>
          <w:tcPr>
            <w:tcW w:w="916" w:type="pct"/>
          </w:tcPr>
          <w:p w14:paraId="5A949FBE" w14:textId="24470CEF" w:rsidR="005F73B1" w:rsidRPr="00190D4B" w:rsidRDefault="005F73B1" w:rsidP="00192DC7">
            <w:pPr>
              <w:pStyle w:val="Paragraphnonumbers"/>
              <w:spacing w:after="120" w:line="240" w:lineRule="auto"/>
              <w:rPr>
                <w:rFonts w:cs="Arial"/>
                <w:sz w:val="20"/>
                <w:szCs w:val="20"/>
              </w:rPr>
            </w:pPr>
            <w:hyperlink r:id="rId82" w:history="1">
              <w:r w:rsidRPr="00190D4B">
                <w:rPr>
                  <w:rStyle w:val="Hyperlink"/>
                  <w:rFonts w:cs="Arial"/>
                  <w:sz w:val="20"/>
                  <w:szCs w:val="20"/>
                </w:rPr>
                <w:t xml:space="preserve">NICE NG24: Blood transfusion </w:t>
              </w:r>
            </w:hyperlink>
            <w:r w:rsidRPr="00190D4B">
              <w:rPr>
                <w:rFonts w:cs="Arial"/>
                <w:sz w:val="20"/>
                <w:szCs w:val="20"/>
              </w:rPr>
              <w:t xml:space="preserve"> </w:t>
            </w:r>
          </w:p>
          <w:p w14:paraId="12C12C45" w14:textId="54C7FC3F" w:rsidR="005F73B1" w:rsidRPr="00190D4B" w:rsidRDefault="005F73B1" w:rsidP="00192DC7">
            <w:pPr>
              <w:pStyle w:val="Paragraphnonumbers"/>
              <w:spacing w:after="120" w:line="240" w:lineRule="auto"/>
              <w:rPr>
                <w:rFonts w:cs="Arial"/>
                <w:sz w:val="20"/>
                <w:szCs w:val="20"/>
              </w:rPr>
            </w:pPr>
            <w:hyperlink r:id="rId83" w:history="1">
              <w:r w:rsidRPr="00190D4B">
                <w:rPr>
                  <w:rStyle w:val="Hyperlink"/>
                  <w:rFonts w:cs="Arial"/>
                  <w:sz w:val="20"/>
                  <w:szCs w:val="20"/>
                </w:rPr>
                <w:t>CPOC Perioperative Anaemia Guidelines (2025)</w:t>
              </w:r>
            </w:hyperlink>
            <w:r w:rsidRPr="00190D4B">
              <w:rPr>
                <w:rFonts w:cs="Arial"/>
                <w:sz w:val="20"/>
                <w:szCs w:val="20"/>
              </w:rPr>
              <w:t xml:space="preserve"> </w:t>
            </w:r>
          </w:p>
          <w:p w14:paraId="17CC0A4B" w14:textId="7E67CB8B" w:rsidR="005F73B1" w:rsidRPr="00190D4B" w:rsidRDefault="005F73B1" w:rsidP="00192DC7">
            <w:pPr>
              <w:pStyle w:val="Paragraphnonumbers"/>
              <w:spacing w:after="120" w:line="240" w:lineRule="auto"/>
              <w:rPr>
                <w:rFonts w:cs="Arial"/>
                <w:sz w:val="20"/>
                <w:szCs w:val="20"/>
              </w:rPr>
            </w:pPr>
            <w:hyperlink r:id="rId84" w:history="1">
              <w:r w:rsidRPr="00190D4B">
                <w:rPr>
                  <w:rStyle w:val="Hyperlink"/>
                  <w:rFonts w:cs="Arial"/>
                  <w:sz w:val="20"/>
                  <w:szCs w:val="20"/>
                </w:rPr>
                <w:t>BSH Identification and management of preoperative anaemia in adults, 2024</w:t>
              </w:r>
            </w:hyperlink>
          </w:p>
          <w:p w14:paraId="09B38DB5" w14:textId="533B3545" w:rsidR="005F73B1" w:rsidRPr="00190D4B" w:rsidRDefault="005F73B1" w:rsidP="00192DC7">
            <w:pPr>
              <w:pStyle w:val="Paragraphnonumbers"/>
              <w:spacing w:after="120" w:line="240" w:lineRule="auto"/>
              <w:rPr>
                <w:rFonts w:cs="Arial"/>
                <w:sz w:val="20"/>
                <w:szCs w:val="20"/>
              </w:rPr>
            </w:pPr>
            <w:hyperlink r:id="rId85" w:history="1">
              <w:r w:rsidRPr="00190D4B">
                <w:rPr>
                  <w:rStyle w:val="Hyperlink"/>
                  <w:rFonts w:cs="Arial"/>
                  <w:sz w:val="20"/>
                  <w:szCs w:val="20"/>
                </w:rPr>
                <w:t>PQIP Report (2023–2024)</w:t>
              </w:r>
            </w:hyperlink>
          </w:p>
          <w:p w14:paraId="484FFD8B" w14:textId="011CC325" w:rsidR="005F73B1" w:rsidRPr="00190D4B" w:rsidRDefault="005F73B1" w:rsidP="00192DC7">
            <w:pPr>
              <w:pStyle w:val="Paragraphnonumbers"/>
              <w:spacing w:after="120" w:line="240" w:lineRule="auto"/>
              <w:rPr>
                <w:rFonts w:cs="Arial"/>
                <w:sz w:val="20"/>
                <w:szCs w:val="20"/>
              </w:rPr>
            </w:pPr>
            <w:hyperlink r:id="rId86" w:history="1">
              <w:r w:rsidRPr="00190D4B">
                <w:rPr>
                  <w:rStyle w:val="Hyperlink"/>
                  <w:rFonts w:cs="Arial"/>
                  <w:sz w:val="20"/>
                  <w:szCs w:val="20"/>
                </w:rPr>
                <w:t>PQIP Report (2021 -2023)</w:t>
              </w:r>
            </w:hyperlink>
          </w:p>
          <w:p w14:paraId="3FBE9E74" w14:textId="3C0CC703" w:rsidR="005F73B1" w:rsidRPr="00190D4B" w:rsidRDefault="005F73B1" w:rsidP="00192DC7">
            <w:pPr>
              <w:pStyle w:val="Paragraphnonumbers"/>
              <w:spacing w:after="120" w:line="240" w:lineRule="auto"/>
              <w:rPr>
                <w:rFonts w:cs="Arial"/>
                <w:sz w:val="20"/>
                <w:szCs w:val="20"/>
              </w:rPr>
            </w:pPr>
            <w:hyperlink r:id="rId87" w:history="1">
              <w:r w:rsidRPr="00190D4B">
                <w:rPr>
                  <w:rStyle w:val="Hyperlink"/>
                  <w:rFonts w:cs="Arial"/>
                  <w:sz w:val="20"/>
                  <w:szCs w:val="20"/>
                </w:rPr>
                <w:t>GIRFT Programme National Specialty Report</w:t>
              </w:r>
            </w:hyperlink>
            <w:r w:rsidRPr="00190D4B">
              <w:rPr>
                <w:rFonts w:cs="Arial"/>
                <w:sz w:val="20"/>
                <w:szCs w:val="20"/>
              </w:rPr>
              <w:t xml:space="preserve"> </w:t>
            </w:r>
          </w:p>
          <w:p w14:paraId="0ED1A3A2"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Allogeneic blood transfusion is associated with increased risks of mortality, postoperative infection, surgical re-intervention, and longer hospital stays in colorectal </w:t>
            </w:r>
            <w:r w:rsidRPr="00190D4B">
              <w:rPr>
                <w:rFonts w:cs="Arial"/>
                <w:sz w:val="20"/>
                <w:szCs w:val="20"/>
              </w:rPr>
              <w:lastRenderedPageBreak/>
              <w:t xml:space="preserve">cancer surgery. </w:t>
            </w:r>
            <w:hyperlink r:id="rId88" w:history="1">
              <w:r w:rsidRPr="00190D4B">
                <w:rPr>
                  <w:rStyle w:val="Hyperlink"/>
                  <w:rFonts w:cs="Arial"/>
                  <w:sz w:val="20"/>
                  <w:szCs w:val="20"/>
                </w:rPr>
                <w:t xml:space="preserve">(Acheson et al., Ann </w:t>
              </w:r>
              <w:proofErr w:type="spellStart"/>
              <w:r w:rsidRPr="00190D4B">
                <w:rPr>
                  <w:rStyle w:val="Hyperlink"/>
                  <w:rFonts w:cs="Arial"/>
                  <w:sz w:val="20"/>
                  <w:szCs w:val="20"/>
                </w:rPr>
                <w:t>Surg</w:t>
              </w:r>
              <w:proofErr w:type="spellEnd"/>
              <w:r w:rsidRPr="00190D4B">
                <w:rPr>
                  <w:rStyle w:val="Hyperlink"/>
                  <w:rFonts w:cs="Arial"/>
                  <w:sz w:val="20"/>
                  <w:szCs w:val="20"/>
                </w:rPr>
                <w:t xml:space="preserve"> 2012)</w:t>
              </w:r>
            </w:hyperlink>
            <w:r w:rsidRPr="00190D4B">
              <w:rPr>
                <w:rFonts w:cs="Arial"/>
                <w:sz w:val="20"/>
                <w:szCs w:val="20"/>
              </w:rPr>
              <w:t xml:space="preserve"> </w:t>
            </w:r>
          </w:p>
          <w:p w14:paraId="7855238A" w14:textId="513BA55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Preoperative anaemia, even to a mild degree, is independently associated with an increased risk of 30-day morbidity and mortality in patients undergoing major non-cardiac surgery. </w:t>
            </w:r>
            <w:hyperlink r:id="rId89" w:history="1">
              <w:r w:rsidRPr="00190D4B">
                <w:rPr>
                  <w:rStyle w:val="Hyperlink"/>
                  <w:rFonts w:cs="Arial"/>
                  <w:sz w:val="20"/>
                  <w:szCs w:val="20"/>
                </w:rPr>
                <w:t>- Musallam et al., Lancet, 2011</w:t>
              </w:r>
            </w:hyperlink>
          </w:p>
          <w:p w14:paraId="754161F6"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Preoperative iron deficiency (even without anaemia) is independently associated with increased mortality, more SAEs, and prolonged hospital stay after cardiac surgery. (</w:t>
            </w:r>
            <w:hyperlink r:id="rId90" w:history="1">
              <w:r w:rsidRPr="00190D4B">
                <w:rPr>
                  <w:rStyle w:val="Hyperlink"/>
                  <w:rFonts w:cs="Arial"/>
                  <w:sz w:val="20"/>
                  <w:szCs w:val="20"/>
                </w:rPr>
                <w:t>Rossler et al., BJA, 2020</w:t>
              </w:r>
            </w:hyperlink>
            <w:r w:rsidRPr="00190D4B">
              <w:rPr>
                <w:rFonts w:cs="Arial"/>
                <w:sz w:val="20"/>
                <w:szCs w:val="20"/>
              </w:rPr>
              <w:t xml:space="preserve">) </w:t>
            </w:r>
          </w:p>
          <w:p w14:paraId="68580BE2" w14:textId="77777777" w:rsidR="005F73B1" w:rsidRPr="00E25274" w:rsidRDefault="005F73B1" w:rsidP="00192DC7">
            <w:pPr>
              <w:pStyle w:val="Paragraphnonumbers"/>
              <w:spacing w:after="120" w:line="240" w:lineRule="auto"/>
              <w:rPr>
                <w:rFonts w:cs="Arial"/>
                <w:sz w:val="20"/>
                <w:szCs w:val="20"/>
              </w:rPr>
            </w:pPr>
            <w:r w:rsidRPr="00190D4B">
              <w:rPr>
                <w:rFonts w:cs="Arial"/>
                <w:sz w:val="20"/>
                <w:szCs w:val="20"/>
              </w:rPr>
              <w:t xml:space="preserve">Administration of perioperative IV iron reduces the need for blood transfusion, and is associated with a shorter hospital stay, enhanced restoration of iron stores, and a higher mean Hb concentration 4 weeks after surgery. </w:t>
            </w:r>
            <w:r w:rsidRPr="00E25274">
              <w:rPr>
                <w:rFonts w:cs="Arial"/>
                <w:sz w:val="20"/>
                <w:szCs w:val="20"/>
              </w:rPr>
              <w:t>(</w:t>
            </w:r>
            <w:proofErr w:type="spellStart"/>
            <w:r>
              <w:fldChar w:fldCharType="begin"/>
            </w:r>
            <w:r>
              <w:instrText>HYPERLINK "https://pmc.ncbi.nlm.nih.gov/articles/PMC4902320/"</w:instrText>
            </w:r>
            <w:r>
              <w:fldChar w:fldCharType="separate"/>
            </w:r>
            <w:r w:rsidRPr="00E25274">
              <w:rPr>
                <w:rStyle w:val="Hyperlink"/>
                <w:rFonts w:cs="Arial"/>
                <w:sz w:val="20"/>
                <w:szCs w:val="20"/>
              </w:rPr>
              <w:t>Froessler</w:t>
            </w:r>
            <w:proofErr w:type="spellEnd"/>
            <w:r w:rsidRPr="00E25274">
              <w:rPr>
                <w:rStyle w:val="Hyperlink"/>
                <w:rFonts w:cs="Arial"/>
                <w:sz w:val="20"/>
                <w:szCs w:val="20"/>
              </w:rPr>
              <w:t xml:space="preserve"> et al., Ann Surg, 2016</w:t>
            </w:r>
            <w:r>
              <w:fldChar w:fldCharType="end"/>
            </w:r>
            <w:r w:rsidRPr="00E25274">
              <w:rPr>
                <w:rFonts w:cs="Arial"/>
                <w:sz w:val="20"/>
                <w:szCs w:val="20"/>
              </w:rPr>
              <w:t>)</w:t>
            </w:r>
          </w:p>
          <w:p w14:paraId="14CCBE23" w14:textId="44D6CD23" w:rsidR="005F73B1" w:rsidRPr="00E25274" w:rsidRDefault="005F73B1" w:rsidP="00192DC7">
            <w:pPr>
              <w:pStyle w:val="Paragraphnonumbers"/>
              <w:spacing w:after="120" w:line="240" w:lineRule="auto"/>
              <w:rPr>
                <w:rFonts w:cs="Arial"/>
                <w:sz w:val="20"/>
                <w:szCs w:val="20"/>
              </w:rPr>
            </w:pPr>
            <w:r w:rsidRPr="00190D4B">
              <w:rPr>
                <w:rFonts w:cs="Arial"/>
                <w:sz w:val="20"/>
                <w:szCs w:val="20"/>
              </w:rPr>
              <w:t xml:space="preserve">Intravenous iron was more effective than oral iron at treating preoperative anaemia and iron </w:t>
            </w:r>
            <w:r w:rsidRPr="00190D4B">
              <w:rPr>
                <w:rFonts w:cs="Arial"/>
                <w:sz w:val="20"/>
                <w:szCs w:val="20"/>
              </w:rPr>
              <w:lastRenderedPageBreak/>
              <w:t xml:space="preserve">deficiency in patients undergoing colorectal cancer surgery, p=0.048. </w:t>
            </w:r>
            <w:r w:rsidRPr="00190D4B">
              <w:rPr>
                <w:rFonts w:cs="Arial"/>
                <w:sz w:val="20"/>
                <w:szCs w:val="20"/>
              </w:rPr>
              <w:br/>
            </w:r>
            <w:r w:rsidRPr="00E25274">
              <w:rPr>
                <w:rFonts w:cs="Arial"/>
                <w:sz w:val="20"/>
                <w:szCs w:val="20"/>
              </w:rPr>
              <w:t>(</w:t>
            </w:r>
            <w:hyperlink r:id="rId91" w:history="1">
              <w:r w:rsidRPr="00E25274">
                <w:rPr>
                  <w:rStyle w:val="Hyperlink"/>
                  <w:rFonts w:cs="Arial"/>
                  <w:sz w:val="20"/>
                  <w:szCs w:val="20"/>
                </w:rPr>
                <w:t>Keeler et al., Br J Surg, 2017</w:t>
              </w:r>
            </w:hyperlink>
            <w:r w:rsidRPr="00E25274">
              <w:rPr>
                <w:rFonts w:cs="Arial"/>
                <w:sz w:val="20"/>
                <w:szCs w:val="20"/>
              </w:rPr>
              <w:t xml:space="preserve">) </w:t>
            </w:r>
          </w:p>
          <w:p w14:paraId="0DA700D0"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While there was no effect on the primary composite outcome in the PREVENTT trial, readmissions to the hospital following surgery were significantly lower in the treated group in the first 8 weeks (risk ratio 0.61 95% CI 0.40 to 0.91) and 6 months (rate ratio 0.64 95% CI 0.44 to 0.92) after the index operation. (</w:t>
            </w:r>
            <w:hyperlink r:id="rId92" w:history="1">
              <w:r w:rsidRPr="00190D4B">
                <w:rPr>
                  <w:rStyle w:val="Hyperlink"/>
                  <w:rFonts w:cs="Arial"/>
                  <w:sz w:val="20"/>
                  <w:szCs w:val="20"/>
                </w:rPr>
                <w:t>Richards et al., Lancet, 2020 (PREVENTT trial)</w:t>
              </w:r>
            </w:hyperlink>
            <w:r w:rsidRPr="00190D4B">
              <w:rPr>
                <w:rFonts w:cs="Arial"/>
                <w:sz w:val="20"/>
                <w:szCs w:val="20"/>
              </w:rPr>
              <w:t>)</w:t>
            </w:r>
          </w:p>
          <w:p w14:paraId="5AD6D299"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In cardiac surgery, IV iron + ESA significantly reduced transfusion (OR 0.33, p=0.008) and improved Hb levels. </w:t>
            </w:r>
            <w:r w:rsidRPr="00190D4B">
              <w:rPr>
                <w:rFonts w:cs="Arial"/>
                <w:sz w:val="20"/>
                <w:szCs w:val="20"/>
              </w:rPr>
              <w:br/>
              <w:t>(</w:t>
            </w:r>
            <w:hyperlink r:id="rId93" w:history="1">
              <w:r w:rsidRPr="00190D4B">
                <w:rPr>
                  <w:rStyle w:val="Hyperlink"/>
                  <w:rFonts w:cs="Arial"/>
                  <w:sz w:val="20"/>
                  <w:szCs w:val="20"/>
                </w:rPr>
                <w:t xml:space="preserve"> Kong et al., Br J Anaesth, 2022 (INITIATE trial)</w:t>
              </w:r>
            </w:hyperlink>
            <w:r w:rsidRPr="00190D4B">
              <w:rPr>
                <w:rFonts w:cs="Arial"/>
                <w:sz w:val="20"/>
                <w:szCs w:val="20"/>
              </w:rPr>
              <w:t>)</w:t>
            </w:r>
          </w:p>
          <w:p w14:paraId="42EC130C" w14:textId="7E5A29C5"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Quality improvement projects (e.g. </w:t>
            </w:r>
            <w:hyperlink r:id="rId94" w:history="1">
              <w:r w:rsidRPr="00190D4B">
                <w:rPr>
                  <w:rStyle w:val="Hyperlink"/>
                  <w:rFonts w:cs="Arial"/>
                  <w:sz w:val="20"/>
                  <w:szCs w:val="20"/>
                </w:rPr>
                <w:t>Sinclair et al., BMJ Open Qual, 2020</w:t>
              </w:r>
            </w:hyperlink>
            <w:r w:rsidRPr="00190D4B">
              <w:rPr>
                <w:rFonts w:cs="Arial"/>
                <w:sz w:val="20"/>
                <w:szCs w:val="20"/>
              </w:rPr>
              <w:t xml:space="preserve">) demonstrate that earlier anaemia detection and treatment leads to sustained reductions in transfusion rates and </w:t>
            </w:r>
            <w:r w:rsidRPr="00190D4B">
              <w:rPr>
                <w:rFonts w:cs="Arial"/>
                <w:sz w:val="20"/>
                <w:szCs w:val="20"/>
              </w:rPr>
              <w:lastRenderedPageBreak/>
              <w:t>increased Hb optimisation (Hb ≥130g/L).</w:t>
            </w:r>
          </w:p>
        </w:tc>
        <w:tc>
          <w:tcPr>
            <w:tcW w:w="896" w:type="pct"/>
          </w:tcPr>
          <w:p w14:paraId="30125A29" w14:textId="77777777" w:rsidR="005F73B1" w:rsidRPr="00190D4B" w:rsidRDefault="005F73B1" w:rsidP="00192DC7">
            <w:pPr>
              <w:spacing w:after="120"/>
              <w:rPr>
                <w:rFonts w:ascii="Arial" w:hAnsi="Arial" w:cs="Arial"/>
                <w:sz w:val="20"/>
                <w:szCs w:val="20"/>
                <w:lang w:eastAsia="en-GB"/>
              </w:rPr>
            </w:pPr>
            <w:r w:rsidRPr="00190D4B">
              <w:rPr>
                <w:rFonts w:ascii="Arial" w:hAnsi="Arial" w:cs="Arial"/>
                <w:sz w:val="20"/>
                <w:szCs w:val="20"/>
                <w:lang w:eastAsia="en-GB"/>
              </w:rPr>
              <w:lastRenderedPageBreak/>
              <w:t>Red cell transfusion plays a very limited role in anaemia management for patients who are to undergo elective surgery. Ideally, such patients will have attended a preoperative assessment clinic in plenty of time to allow anaemia to be fully diagnosed and treated allowing them to proceed to surgery with an adequate haemoglobin level. (</w:t>
            </w:r>
            <w:hyperlink r:id="rId95" w:history="1">
              <w:r w:rsidRPr="00190D4B">
                <w:rPr>
                  <w:rFonts w:ascii="Arial" w:hAnsi="Arial" w:cs="Arial"/>
                  <w:color w:val="0000FF"/>
                  <w:sz w:val="20"/>
                  <w:szCs w:val="20"/>
                  <w:u w:val="single"/>
                  <w:lang w:eastAsia="en-GB"/>
                </w:rPr>
                <w:t>BSH Identification and management of preoperative anaemia in adults, 2024</w:t>
              </w:r>
            </w:hyperlink>
            <w:r w:rsidRPr="00190D4B">
              <w:rPr>
                <w:rFonts w:ascii="Arial" w:hAnsi="Arial" w:cs="Arial"/>
                <w:sz w:val="20"/>
                <w:szCs w:val="20"/>
                <w:lang w:eastAsia="en-GB"/>
              </w:rPr>
              <w:t>)</w:t>
            </w:r>
          </w:p>
          <w:p w14:paraId="4B1998D5" w14:textId="77777777" w:rsidR="005F73B1" w:rsidRPr="00190D4B" w:rsidRDefault="005F73B1" w:rsidP="00192DC7">
            <w:pPr>
              <w:spacing w:after="120"/>
              <w:rPr>
                <w:rFonts w:ascii="Arial" w:hAnsi="Arial" w:cs="Arial"/>
                <w:sz w:val="20"/>
                <w:szCs w:val="20"/>
                <w:lang w:eastAsia="en-GB"/>
              </w:rPr>
            </w:pPr>
            <w:r w:rsidRPr="00190D4B">
              <w:rPr>
                <w:rFonts w:ascii="Arial" w:hAnsi="Arial" w:cs="Arial"/>
                <w:sz w:val="20"/>
                <w:szCs w:val="20"/>
                <w:lang w:eastAsia="en-GB"/>
              </w:rPr>
              <w:t xml:space="preserve">It is estimated that consistent uptake of anaemia screening to 60% would deliver savings of around £3m associated </w:t>
            </w:r>
            <w:r w:rsidRPr="00190D4B">
              <w:rPr>
                <w:rFonts w:ascii="Arial" w:hAnsi="Arial" w:cs="Arial"/>
                <w:sz w:val="20"/>
                <w:szCs w:val="20"/>
                <w:lang w:eastAsia="en-GB"/>
              </w:rPr>
              <w:lastRenderedPageBreak/>
              <w:t>with units of blood saved due to lower transfusion rates, reduced critical care, saved bed days and reduced admission rates. Preoperative anaemia is most commonly related to iron deficiency, which has many causes, but which can be treated by iron either in oral or intravenous (IV) form (</w:t>
            </w:r>
            <w:hyperlink r:id="rId96" w:history="1">
              <w:r w:rsidRPr="00190D4B">
                <w:rPr>
                  <w:rFonts w:ascii="Arial" w:hAnsi="Arial" w:cs="Arial"/>
                  <w:color w:val="0000FF"/>
                  <w:sz w:val="20"/>
                  <w:szCs w:val="20"/>
                  <w:u w:val="single"/>
                  <w:lang w:eastAsia="en-GB"/>
                </w:rPr>
                <w:t>GIRFT 2021</w:t>
              </w:r>
            </w:hyperlink>
            <w:r w:rsidRPr="00190D4B">
              <w:rPr>
                <w:rFonts w:ascii="Arial" w:hAnsi="Arial" w:cs="Arial"/>
                <w:sz w:val="20"/>
                <w:szCs w:val="20"/>
                <w:lang w:eastAsia="en-GB"/>
              </w:rPr>
              <w:t>).</w:t>
            </w:r>
          </w:p>
          <w:p w14:paraId="75A3863A" w14:textId="77777777" w:rsidR="005F73B1" w:rsidRPr="00190D4B" w:rsidRDefault="005F73B1" w:rsidP="00192DC7">
            <w:pPr>
              <w:pStyle w:val="Tabletext"/>
              <w:spacing w:after="120"/>
              <w:rPr>
                <w:rFonts w:cs="Arial"/>
                <w:sz w:val="20"/>
                <w:szCs w:val="20"/>
              </w:rPr>
            </w:pPr>
          </w:p>
        </w:tc>
      </w:tr>
      <w:tr w:rsidR="005F73B1" w:rsidRPr="00190D4B" w14:paraId="4970ED8F" w14:textId="77777777" w:rsidTr="00477F9C">
        <w:trPr>
          <w:trHeight w:val="282"/>
        </w:trPr>
        <w:tc>
          <w:tcPr>
            <w:tcW w:w="192" w:type="pct"/>
          </w:tcPr>
          <w:p w14:paraId="567E1F57" w14:textId="07EAB213" w:rsidR="005F73B1" w:rsidRPr="00190D4B" w:rsidRDefault="002C610D" w:rsidP="00192DC7">
            <w:pPr>
              <w:pStyle w:val="Tabletext"/>
              <w:spacing w:after="120"/>
              <w:rPr>
                <w:rFonts w:cs="Arial"/>
                <w:sz w:val="20"/>
                <w:szCs w:val="20"/>
                <w:lang w:eastAsia="en-GB"/>
              </w:rPr>
            </w:pPr>
            <w:r>
              <w:rPr>
                <w:rFonts w:cs="Arial"/>
                <w:sz w:val="20"/>
                <w:szCs w:val="20"/>
                <w:lang w:eastAsia="en-GB"/>
              </w:rPr>
              <w:lastRenderedPageBreak/>
              <w:t>20</w:t>
            </w:r>
          </w:p>
        </w:tc>
        <w:tc>
          <w:tcPr>
            <w:tcW w:w="483" w:type="pct"/>
          </w:tcPr>
          <w:p w14:paraId="3F853F2C" w14:textId="15009E50" w:rsidR="005F73B1" w:rsidRPr="00190D4B" w:rsidRDefault="005F73B1" w:rsidP="00192DC7">
            <w:pPr>
              <w:pStyle w:val="Tabletext"/>
              <w:spacing w:after="120"/>
              <w:rPr>
                <w:rFonts w:cs="Arial"/>
                <w:sz w:val="20"/>
                <w:szCs w:val="20"/>
              </w:rPr>
            </w:pPr>
            <w:r w:rsidRPr="00190D4B">
              <w:rPr>
                <w:rFonts w:cs="Arial"/>
                <w:sz w:val="20"/>
                <w:szCs w:val="20"/>
              </w:rPr>
              <w:t>PUK</w:t>
            </w:r>
          </w:p>
        </w:tc>
        <w:tc>
          <w:tcPr>
            <w:tcW w:w="1111" w:type="pct"/>
          </w:tcPr>
          <w:p w14:paraId="75D54A68" w14:textId="567F11A1"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Patients with a post operative Hb of &lt;100μg.l−1, ferritin &lt; 100–300 μg.l−1 and transferrin saturation &lt; 20%, or reticulocyte haemoglobin content &lt; 28 </w:t>
            </w:r>
            <w:proofErr w:type="spellStart"/>
            <w:r w:rsidRPr="00190D4B">
              <w:rPr>
                <w:rFonts w:cs="Arial"/>
                <w:sz w:val="20"/>
                <w:szCs w:val="20"/>
              </w:rPr>
              <w:t>pg</w:t>
            </w:r>
            <w:proofErr w:type="spellEnd"/>
            <w:r w:rsidRPr="00190D4B">
              <w:rPr>
                <w:rFonts w:cs="Arial"/>
                <w:sz w:val="20"/>
                <w:szCs w:val="20"/>
              </w:rPr>
              <w:t>, or with high blood loss (&gt;500ml or lasting &gt;2 hr), should be managed with high dose IV iron therapies to correct their anaemia prior to discharge.</w:t>
            </w:r>
          </w:p>
        </w:tc>
        <w:tc>
          <w:tcPr>
            <w:tcW w:w="1402" w:type="pct"/>
          </w:tcPr>
          <w:p w14:paraId="199DC494"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Peri-operative blood loss may result in acute or late post-operative anaemia occurring. The concerns surrounding postoperative anaemia relate to its potential impact on recovery, rehabilitation, hospital re-admission or re-operation, and patient well-being. Reducing allogeneic blood transfusion improves long-term outcome and survival </w:t>
            </w:r>
            <w:hyperlink r:id="rId97" w:anchor=":~:text=Ongoing%20postoperative%20blood%20loss%20can%20continue%20through,in%20patients%20with%20the%20above%2Dmentioned%20risks%20factors." w:history="1">
              <w:r w:rsidRPr="00190D4B">
                <w:rPr>
                  <w:rStyle w:val="Hyperlink"/>
                  <w:rFonts w:cs="Arial"/>
                  <w:sz w:val="20"/>
                  <w:szCs w:val="20"/>
                </w:rPr>
                <w:t>(Munoz et al 2018)</w:t>
              </w:r>
            </w:hyperlink>
          </w:p>
          <w:p w14:paraId="548B0F05"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NG24 recommends considering IV iron after surgery for patients who have iron deficiency anaemia and cannot tolerate or absorb oral iron, or are unable to adhere to oral iron treatment, as well as for those who are diagnosed with functional iron deficiency.</w:t>
            </w:r>
          </w:p>
          <w:p w14:paraId="1294664E" w14:textId="75CC27ED" w:rsidR="005F73B1" w:rsidRPr="00190D4B" w:rsidRDefault="005F73B1" w:rsidP="00192DC7">
            <w:pPr>
              <w:pStyle w:val="Paragraphnonumbers"/>
              <w:spacing w:after="120" w:line="240" w:lineRule="auto"/>
              <w:rPr>
                <w:rFonts w:cs="Arial"/>
                <w:sz w:val="20"/>
                <w:szCs w:val="20"/>
              </w:rPr>
            </w:pPr>
            <w:r w:rsidRPr="00190D4B">
              <w:rPr>
                <w:rFonts w:cs="Arial"/>
                <w:sz w:val="20"/>
                <w:szCs w:val="20"/>
              </w:rPr>
              <w:t>Evidence in RCTs has shown improved outcomes following high dose IV iron postoperatively, such as changes in haemoglobin, and/or reductions in transfusions, and improvements in quality of life.</w:t>
            </w:r>
          </w:p>
        </w:tc>
        <w:tc>
          <w:tcPr>
            <w:tcW w:w="916" w:type="pct"/>
          </w:tcPr>
          <w:p w14:paraId="20383FB8" w14:textId="77777777" w:rsidR="005F73B1" w:rsidRPr="00190D4B" w:rsidRDefault="005F73B1" w:rsidP="00192DC7">
            <w:pPr>
              <w:spacing w:after="120"/>
              <w:rPr>
                <w:rFonts w:ascii="Arial" w:hAnsi="Arial" w:cs="Arial"/>
                <w:sz w:val="20"/>
                <w:szCs w:val="20"/>
                <w:lang w:eastAsia="en-GB"/>
              </w:rPr>
            </w:pPr>
            <w:hyperlink r:id="rId98" w:history="1">
              <w:proofErr w:type="spellStart"/>
              <w:r w:rsidRPr="00190D4B">
                <w:rPr>
                  <w:rFonts w:ascii="Arial" w:hAnsi="Arial" w:cs="Arial"/>
                  <w:color w:val="0000FF"/>
                  <w:sz w:val="20"/>
                  <w:szCs w:val="20"/>
                  <w:u w:val="single"/>
                  <w:lang w:eastAsia="en-GB"/>
                </w:rPr>
                <w:t>Bisbe</w:t>
              </w:r>
              <w:proofErr w:type="spellEnd"/>
              <w:r w:rsidRPr="00190D4B">
                <w:rPr>
                  <w:rFonts w:ascii="Arial" w:hAnsi="Arial" w:cs="Arial"/>
                  <w:color w:val="0000FF"/>
                  <w:sz w:val="20"/>
                  <w:szCs w:val="20"/>
                  <w:u w:val="single"/>
                  <w:lang w:eastAsia="en-GB"/>
                </w:rPr>
                <w:t xml:space="preserve"> et al (2014)</w:t>
              </w:r>
            </w:hyperlink>
            <w:r w:rsidRPr="00190D4B">
              <w:rPr>
                <w:rFonts w:ascii="Arial" w:hAnsi="Arial" w:cs="Arial"/>
                <w:sz w:val="20"/>
                <w:szCs w:val="20"/>
                <w:lang w:eastAsia="en-GB"/>
              </w:rPr>
              <w:t xml:space="preserve"> demonstrated the group receiving high dose IV iron achieved greater haemoglobin rises than the oral iron group, and was associated with better scores on EQ-5D “usual activities”</w:t>
            </w:r>
          </w:p>
          <w:p w14:paraId="28F1439F" w14:textId="77777777" w:rsidR="005F73B1" w:rsidRPr="00190D4B" w:rsidRDefault="005F73B1" w:rsidP="00192DC7">
            <w:pPr>
              <w:spacing w:after="120"/>
              <w:rPr>
                <w:rFonts w:ascii="Arial" w:hAnsi="Arial" w:cs="Arial"/>
                <w:sz w:val="20"/>
                <w:szCs w:val="20"/>
                <w:lang w:eastAsia="en-GB"/>
              </w:rPr>
            </w:pPr>
            <w:hyperlink r:id="rId99" w:history="1">
              <w:r w:rsidRPr="00190D4B">
                <w:rPr>
                  <w:rFonts w:ascii="Arial" w:hAnsi="Arial" w:cs="Arial"/>
                  <w:color w:val="0000FF"/>
                  <w:sz w:val="20"/>
                  <w:szCs w:val="20"/>
                  <w:u w:val="single"/>
                  <w:lang w:eastAsia="en-GB"/>
                </w:rPr>
                <w:t>Khalafallah et al 2016</w:t>
              </w:r>
            </w:hyperlink>
            <w:r w:rsidRPr="00190D4B">
              <w:rPr>
                <w:rFonts w:ascii="Arial" w:hAnsi="Arial" w:cs="Arial"/>
                <w:sz w:val="20"/>
                <w:szCs w:val="20"/>
                <w:lang w:eastAsia="en-GB"/>
              </w:rPr>
              <w:t xml:space="preserve"> demonstrated post operative IV Iron resulted in fewer transfused blood units were given in the IV iron group vs standard of care.</w:t>
            </w:r>
          </w:p>
          <w:p w14:paraId="62256ED0" w14:textId="77777777" w:rsidR="005F73B1" w:rsidRPr="00190D4B" w:rsidRDefault="005F73B1" w:rsidP="00192DC7">
            <w:pPr>
              <w:pStyle w:val="Paragraphnonumbers"/>
              <w:spacing w:after="120" w:line="240" w:lineRule="auto"/>
              <w:rPr>
                <w:rFonts w:cs="Arial"/>
                <w:sz w:val="20"/>
                <w:szCs w:val="20"/>
              </w:rPr>
            </w:pPr>
          </w:p>
        </w:tc>
        <w:tc>
          <w:tcPr>
            <w:tcW w:w="896" w:type="pct"/>
          </w:tcPr>
          <w:p w14:paraId="51190F68" w14:textId="5E911745" w:rsidR="005F73B1" w:rsidRPr="00190D4B" w:rsidRDefault="005F73B1" w:rsidP="00192DC7">
            <w:pPr>
              <w:spacing w:after="120"/>
              <w:rPr>
                <w:rFonts w:ascii="Arial" w:hAnsi="Arial" w:cs="Arial"/>
                <w:sz w:val="20"/>
                <w:szCs w:val="20"/>
                <w:lang w:eastAsia="en-GB"/>
              </w:rPr>
            </w:pPr>
            <w:r w:rsidRPr="00190D4B">
              <w:rPr>
                <w:rFonts w:ascii="Arial" w:hAnsi="Arial" w:cs="Arial"/>
                <w:sz w:val="20"/>
                <w:szCs w:val="20"/>
                <w:lang w:eastAsia="en-GB"/>
              </w:rPr>
              <w:t>NG24 3 pillars recommend the treatment of anaemia both pre and post operatively.</w:t>
            </w:r>
          </w:p>
        </w:tc>
      </w:tr>
      <w:tr w:rsidR="005F73B1" w:rsidRPr="00190D4B" w14:paraId="312C1589" w14:textId="77777777" w:rsidTr="00477F9C">
        <w:trPr>
          <w:trHeight w:val="282"/>
        </w:trPr>
        <w:tc>
          <w:tcPr>
            <w:tcW w:w="192" w:type="pct"/>
          </w:tcPr>
          <w:p w14:paraId="243C2395" w14:textId="3C7300DC" w:rsidR="005F73B1" w:rsidRPr="00190D4B" w:rsidRDefault="002C610D" w:rsidP="00192DC7">
            <w:pPr>
              <w:pStyle w:val="Tabletext"/>
              <w:spacing w:after="120"/>
              <w:rPr>
                <w:rFonts w:cs="Arial"/>
                <w:sz w:val="20"/>
                <w:szCs w:val="20"/>
                <w:lang w:eastAsia="en-GB"/>
              </w:rPr>
            </w:pPr>
            <w:r>
              <w:rPr>
                <w:rFonts w:cs="Arial"/>
                <w:sz w:val="20"/>
                <w:szCs w:val="20"/>
                <w:lang w:eastAsia="en-GB"/>
              </w:rPr>
              <w:t>21</w:t>
            </w:r>
          </w:p>
        </w:tc>
        <w:tc>
          <w:tcPr>
            <w:tcW w:w="483" w:type="pct"/>
          </w:tcPr>
          <w:p w14:paraId="322DC773" w14:textId="020856EC" w:rsidR="005F73B1" w:rsidRPr="00190D4B" w:rsidRDefault="005F73B1" w:rsidP="00192DC7">
            <w:pPr>
              <w:pStyle w:val="Tabletext"/>
              <w:spacing w:after="120"/>
              <w:rPr>
                <w:rFonts w:cs="Arial"/>
                <w:sz w:val="20"/>
                <w:szCs w:val="20"/>
              </w:rPr>
            </w:pPr>
            <w:r w:rsidRPr="00190D4B">
              <w:rPr>
                <w:rFonts w:cs="Arial"/>
                <w:sz w:val="20"/>
                <w:szCs w:val="20"/>
              </w:rPr>
              <w:t>RCN</w:t>
            </w:r>
          </w:p>
        </w:tc>
        <w:tc>
          <w:tcPr>
            <w:tcW w:w="1111" w:type="pct"/>
          </w:tcPr>
          <w:p w14:paraId="214942B9" w14:textId="1C059908" w:rsidR="005F73B1" w:rsidRPr="00190D4B" w:rsidRDefault="005F73B1" w:rsidP="00192DC7">
            <w:pPr>
              <w:pStyle w:val="Paragraphnonumbers"/>
              <w:spacing w:after="120" w:line="240" w:lineRule="auto"/>
              <w:rPr>
                <w:rFonts w:cs="Arial"/>
                <w:sz w:val="20"/>
                <w:szCs w:val="20"/>
              </w:rPr>
            </w:pPr>
            <w:r w:rsidRPr="00190D4B">
              <w:rPr>
                <w:rFonts w:cs="Arial"/>
                <w:sz w:val="20"/>
                <w:szCs w:val="20"/>
              </w:rPr>
              <w:t>Increased access to frailty specialists for older people living with frailty across the perioperative pathway (with a need to focus on emergency care pathways), including shared decision making</w:t>
            </w:r>
          </w:p>
        </w:tc>
        <w:tc>
          <w:tcPr>
            <w:tcW w:w="1402" w:type="pct"/>
          </w:tcPr>
          <w:p w14:paraId="129172AD" w14:textId="31BBC0A1"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w:t>
            </w:r>
            <w:r w:rsidRPr="00190D4B">
              <w:rPr>
                <w:rFonts w:cs="Arial"/>
                <w:sz w:val="20"/>
                <w:szCs w:val="20"/>
              </w:rPr>
              <w:lastRenderedPageBreak/>
              <w:t xml:space="preserve">assessment is not embedded in pathways and practice.  </w:t>
            </w:r>
          </w:p>
        </w:tc>
        <w:tc>
          <w:tcPr>
            <w:tcW w:w="916" w:type="pct"/>
          </w:tcPr>
          <w:p w14:paraId="70E9048D" w14:textId="3AB7BED7"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As an example, we can see from the National Emergency Laparotomy Audit that only around 30% of older people living with frailty are reviewed by a specialist despite this being a key metric of the audit (and one which has existed since the introduction in </w:t>
            </w:r>
            <w:r w:rsidRPr="00190D4B">
              <w:rPr>
                <w:rFonts w:cs="Arial"/>
                <w:sz w:val="20"/>
                <w:szCs w:val="20"/>
              </w:rPr>
              <w:lastRenderedPageBreak/>
              <w:t>2013). Yet to see significant improvement, despite attachment to Best Practice Tariff targets.</w:t>
            </w:r>
          </w:p>
        </w:tc>
        <w:tc>
          <w:tcPr>
            <w:tcW w:w="896" w:type="pct"/>
          </w:tcPr>
          <w:p w14:paraId="60F48318" w14:textId="77777777" w:rsidR="005F73B1" w:rsidRPr="00190D4B" w:rsidRDefault="005F73B1" w:rsidP="00192DC7">
            <w:pPr>
              <w:pStyle w:val="Tabletext"/>
              <w:spacing w:after="120"/>
              <w:rPr>
                <w:rFonts w:cs="Arial"/>
                <w:sz w:val="20"/>
                <w:szCs w:val="20"/>
              </w:rPr>
            </w:pPr>
            <w:r w:rsidRPr="00190D4B">
              <w:rPr>
                <w:rFonts w:cs="Arial"/>
                <w:sz w:val="20"/>
                <w:szCs w:val="20"/>
              </w:rPr>
              <w:lastRenderedPageBreak/>
              <w:t xml:space="preserve">Clinical guidelines including those published by the Royal College of Surgeons and the Centre for Perioperative Care advocate for frailty assessment followed by specialist input from </w:t>
            </w:r>
            <w:r w:rsidRPr="00190D4B">
              <w:rPr>
                <w:rFonts w:cs="Arial"/>
                <w:sz w:val="20"/>
                <w:szCs w:val="20"/>
              </w:rPr>
              <w:lastRenderedPageBreak/>
              <w:t>frailty/perioperative care teams.</w:t>
            </w:r>
          </w:p>
          <w:p w14:paraId="1F561F24" w14:textId="77777777" w:rsidR="005F73B1" w:rsidRPr="00190D4B" w:rsidRDefault="005F73B1" w:rsidP="00192DC7">
            <w:pPr>
              <w:pStyle w:val="Tabletext"/>
              <w:spacing w:after="120"/>
              <w:rPr>
                <w:rFonts w:cs="Arial"/>
                <w:sz w:val="20"/>
                <w:szCs w:val="20"/>
              </w:rPr>
            </w:pPr>
            <w:r w:rsidRPr="00190D4B">
              <w:rPr>
                <w:rFonts w:cs="Arial"/>
                <w:sz w:val="20"/>
                <w:szCs w:val="20"/>
              </w:rPr>
              <w:t>Research into Perioperative Care of Older People Services have demonstrated favourable outcomes for older people reviewed by specialists across a variety of surgical specialties</w:t>
            </w:r>
          </w:p>
          <w:p w14:paraId="36608DC8" w14:textId="750A5DC9" w:rsidR="005F73B1" w:rsidRPr="00190D4B" w:rsidRDefault="005F73B1" w:rsidP="00192DC7">
            <w:pPr>
              <w:pStyle w:val="Tabletext"/>
              <w:spacing w:after="120"/>
              <w:rPr>
                <w:rFonts w:cs="Arial"/>
                <w:sz w:val="20"/>
                <w:szCs w:val="20"/>
              </w:rPr>
            </w:pPr>
            <w:r w:rsidRPr="00190D4B">
              <w:rPr>
                <w:rFonts w:cs="Arial"/>
                <w:sz w:val="20"/>
                <w:szCs w:val="20"/>
              </w:rPr>
              <w:t>1. Partridge JS, Moonesinghe SR, Lees N, Dhesi JK. Perioperative care for older people. Age Ageing. 2022;51(8):afac194. doi:10.1093/ageing/afac194 - DOI - PubMed</w:t>
            </w:r>
          </w:p>
        </w:tc>
      </w:tr>
      <w:tr w:rsidR="005F73B1" w:rsidRPr="00190D4B" w14:paraId="4F5201C5" w14:textId="77777777" w:rsidTr="00477F9C">
        <w:trPr>
          <w:trHeight w:val="282"/>
        </w:trPr>
        <w:tc>
          <w:tcPr>
            <w:tcW w:w="192" w:type="pct"/>
          </w:tcPr>
          <w:p w14:paraId="0343077C" w14:textId="2B06CA5D" w:rsidR="005F73B1" w:rsidRPr="00190D4B" w:rsidRDefault="002C610D" w:rsidP="00192DC7">
            <w:pPr>
              <w:pStyle w:val="Tabletext"/>
              <w:spacing w:after="120"/>
              <w:rPr>
                <w:rFonts w:cs="Arial"/>
                <w:sz w:val="20"/>
                <w:szCs w:val="20"/>
                <w:lang w:eastAsia="en-GB"/>
              </w:rPr>
            </w:pPr>
            <w:r>
              <w:rPr>
                <w:rFonts w:cs="Arial"/>
                <w:sz w:val="20"/>
                <w:szCs w:val="20"/>
                <w:lang w:eastAsia="en-GB"/>
              </w:rPr>
              <w:lastRenderedPageBreak/>
              <w:t>22</w:t>
            </w:r>
          </w:p>
        </w:tc>
        <w:tc>
          <w:tcPr>
            <w:tcW w:w="483" w:type="pct"/>
          </w:tcPr>
          <w:p w14:paraId="3D82C3F0" w14:textId="5215F737" w:rsidR="005F73B1" w:rsidRPr="00190D4B" w:rsidRDefault="005F73B1" w:rsidP="00192DC7">
            <w:pPr>
              <w:pStyle w:val="Tabletext"/>
              <w:spacing w:after="120"/>
              <w:rPr>
                <w:rFonts w:cs="Arial"/>
                <w:sz w:val="20"/>
                <w:szCs w:val="20"/>
              </w:rPr>
            </w:pPr>
            <w:r w:rsidRPr="00190D4B">
              <w:rPr>
                <w:rFonts w:cs="Arial"/>
                <w:sz w:val="20"/>
                <w:szCs w:val="20"/>
              </w:rPr>
              <w:t>RCN</w:t>
            </w:r>
          </w:p>
        </w:tc>
        <w:tc>
          <w:tcPr>
            <w:tcW w:w="1111" w:type="pct"/>
          </w:tcPr>
          <w:p w14:paraId="5CA3A841" w14:textId="7D637AAE" w:rsidR="005F73B1" w:rsidRPr="00190D4B" w:rsidRDefault="005F73B1" w:rsidP="00192DC7">
            <w:pPr>
              <w:pStyle w:val="Paragraphnonumbers"/>
              <w:spacing w:after="120" w:line="240" w:lineRule="auto"/>
              <w:rPr>
                <w:rFonts w:cs="Arial"/>
                <w:sz w:val="20"/>
                <w:szCs w:val="20"/>
              </w:rPr>
            </w:pPr>
            <w:r w:rsidRPr="00190D4B">
              <w:rPr>
                <w:rFonts w:cs="Arial"/>
                <w:sz w:val="20"/>
                <w:szCs w:val="20"/>
              </w:rPr>
              <w:t>Longer-term, holistic postoperative recovery models</w:t>
            </w:r>
          </w:p>
        </w:tc>
        <w:tc>
          <w:tcPr>
            <w:tcW w:w="1402" w:type="pct"/>
          </w:tcPr>
          <w:p w14:paraId="0D7A9CD5" w14:textId="0911A1BA" w:rsidR="005F73B1" w:rsidRPr="00190D4B" w:rsidRDefault="005F73B1" w:rsidP="00192DC7">
            <w:pPr>
              <w:pStyle w:val="Paragraphnonumbers"/>
              <w:spacing w:after="120" w:line="240" w:lineRule="auto"/>
              <w:rPr>
                <w:rFonts w:cs="Arial"/>
                <w:sz w:val="20"/>
                <w:szCs w:val="20"/>
              </w:rPr>
            </w:pPr>
            <w:r w:rsidRPr="00190D4B">
              <w:rPr>
                <w:rFonts w:cs="Arial"/>
                <w:sz w:val="20"/>
                <w:szCs w:val="20"/>
              </w:rPr>
              <w:t>There is variance in the structure and length of follow up between surgical specialities, with clear disparity between elective and emergency care pathways. There is a lack of guidance on when and by whom patients undergoing emergency surgery should be followed up and a paucity of research that has explored recovery trajectories in this group.</w:t>
            </w:r>
          </w:p>
        </w:tc>
        <w:tc>
          <w:tcPr>
            <w:tcW w:w="916" w:type="pct"/>
          </w:tcPr>
          <w:p w14:paraId="33DF5B57" w14:textId="77777777" w:rsidR="005F73B1" w:rsidRPr="00190D4B" w:rsidRDefault="005F73B1" w:rsidP="00192DC7">
            <w:pPr>
              <w:pStyle w:val="Paragraphnonumbers"/>
              <w:spacing w:after="120" w:line="240" w:lineRule="auto"/>
              <w:rPr>
                <w:rFonts w:cs="Arial"/>
                <w:sz w:val="20"/>
                <w:szCs w:val="20"/>
              </w:rPr>
            </w:pPr>
          </w:p>
        </w:tc>
        <w:tc>
          <w:tcPr>
            <w:tcW w:w="896" w:type="pct"/>
          </w:tcPr>
          <w:p w14:paraId="75E55FC6" w14:textId="77777777" w:rsidR="005F73B1" w:rsidRPr="00190D4B" w:rsidRDefault="005F73B1" w:rsidP="00192DC7">
            <w:pPr>
              <w:pStyle w:val="Tabletext"/>
              <w:spacing w:after="120"/>
              <w:rPr>
                <w:rFonts w:cs="Arial"/>
                <w:sz w:val="20"/>
                <w:szCs w:val="20"/>
              </w:rPr>
            </w:pPr>
            <w:r w:rsidRPr="00190D4B">
              <w:rPr>
                <w:rFonts w:cs="Arial"/>
                <w:sz w:val="20"/>
                <w:szCs w:val="20"/>
              </w:rPr>
              <w:t xml:space="preserve">Qualitative research has begun to explore this issue and has identified that lack of information and unclear recovery advice are barriers </w:t>
            </w:r>
            <w:proofErr w:type="spellStart"/>
            <w:r w:rsidRPr="00190D4B">
              <w:rPr>
                <w:rFonts w:cs="Arial"/>
                <w:sz w:val="20"/>
                <w:szCs w:val="20"/>
              </w:rPr>
              <w:t>t</w:t>
            </w:r>
            <w:proofErr w:type="spellEnd"/>
            <w:r w:rsidRPr="00190D4B">
              <w:rPr>
                <w:rFonts w:cs="Arial"/>
                <w:sz w:val="20"/>
                <w:szCs w:val="20"/>
              </w:rPr>
              <w:t xml:space="preserve"> recovery for older people undergoing emergency abdominal surgery. However, this area remains underexplored and in order to advocate for better patient experience and outcomes it needs to be highlighted as a priority area</w:t>
            </w:r>
          </w:p>
          <w:p w14:paraId="7B9818F3" w14:textId="77777777" w:rsidR="005F73B1" w:rsidRPr="00190D4B" w:rsidRDefault="005F73B1" w:rsidP="00192DC7">
            <w:pPr>
              <w:pStyle w:val="Tabletext"/>
              <w:spacing w:after="120"/>
              <w:rPr>
                <w:rFonts w:cs="Arial"/>
                <w:sz w:val="20"/>
                <w:szCs w:val="20"/>
              </w:rPr>
            </w:pPr>
            <w:r w:rsidRPr="00190D4B">
              <w:rPr>
                <w:rFonts w:cs="Arial"/>
                <w:sz w:val="20"/>
                <w:szCs w:val="20"/>
              </w:rPr>
              <w:lastRenderedPageBreak/>
              <w:t>Patient Experiences of the Emergency Laparotomy Pathway: A Qualitative Study - PubMed</w:t>
            </w:r>
          </w:p>
          <w:p w14:paraId="1ABFE8C8" w14:textId="15022362" w:rsidR="005F73B1" w:rsidRPr="00190D4B" w:rsidRDefault="005F73B1" w:rsidP="00192DC7">
            <w:pPr>
              <w:pStyle w:val="Tabletext"/>
              <w:spacing w:after="120"/>
              <w:rPr>
                <w:rFonts w:cs="Arial"/>
                <w:sz w:val="20"/>
                <w:szCs w:val="20"/>
              </w:rPr>
            </w:pPr>
            <w:r w:rsidRPr="00190D4B">
              <w:rPr>
                <w:rFonts w:cs="Arial"/>
                <w:sz w:val="20"/>
                <w:szCs w:val="20"/>
              </w:rPr>
              <w:t>In their own words: recovery after emergency general surgery in the older patient - PubMed</w:t>
            </w:r>
          </w:p>
        </w:tc>
      </w:tr>
      <w:tr w:rsidR="005F73B1" w:rsidRPr="00190D4B" w14:paraId="5ECA860A" w14:textId="77777777" w:rsidTr="00477F9C">
        <w:trPr>
          <w:trHeight w:val="282"/>
        </w:trPr>
        <w:tc>
          <w:tcPr>
            <w:tcW w:w="192" w:type="pct"/>
          </w:tcPr>
          <w:p w14:paraId="0624A234" w14:textId="6E0CF7BA" w:rsidR="005F73B1" w:rsidRPr="00190D4B" w:rsidRDefault="002C610D" w:rsidP="00192DC7">
            <w:pPr>
              <w:pStyle w:val="Tabletext"/>
              <w:spacing w:after="120"/>
              <w:rPr>
                <w:rFonts w:cs="Arial"/>
                <w:sz w:val="20"/>
                <w:szCs w:val="20"/>
                <w:lang w:eastAsia="en-GB"/>
              </w:rPr>
            </w:pPr>
            <w:r>
              <w:rPr>
                <w:rFonts w:cs="Arial"/>
                <w:sz w:val="20"/>
                <w:szCs w:val="20"/>
                <w:lang w:eastAsia="en-GB"/>
              </w:rPr>
              <w:lastRenderedPageBreak/>
              <w:t>2</w:t>
            </w:r>
            <w:r w:rsidR="005F73B1" w:rsidRPr="00190D4B">
              <w:rPr>
                <w:rFonts w:cs="Arial"/>
                <w:sz w:val="20"/>
                <w:szCs w:val="20"/>
                <w:lang w:eastAsia="en-GB"/>
              </w:rPr>
              <w:t>3</w:t>
            </w:r>
          </w:p>
        </w:tc>
        <w:tc>
          <w:tcPr>
            <w:tcW w:w="483" w:type="pct"/>
          </w:tcPr>
          <w:p w14:paraId="466F5D29" w14:textId="70529B04" w:rsidR="005F73B1" w:rsidRPr="00190D4B" w:rsidRDefault="005F73B1" w:rsidP="00192DC7">
            <w:pPr>
              <w:pStyle w:val="Tabletext"/>
              <w:spacing w:after="120"/>
              <w:rPr>
                <w:rFonts w:cs="Arial"/>
                <w:sz w:val="20"/>
                <w:szCs w:val="20"/>
              </w:rPr>
            </w:pPr>
            <w:r w:rsidRPr="00190D4B">
              <w:rPr>
                <w:rFonts w:cs="Arial"/>
                <w:sz w:val="20"/>
                <w:szCs w:val="20"/>
              </w:rPr>
              <w:t>SCM1</w:t>
            </w:r>
          </w:p>
        </w:tc>
        <w:tc>
          <w:tcPr>
            <w:tcW w:w="1111" w:type="pct"/>
          </w:tcPr>
          <w:p w14:paraId="65FF8908" w14:textId="32D7E231" w:rsidR="005F73B1" w:rsidRPr="00190D4B" w:rsidRDefault="005F73B1" w:rsidP="00192DC7">
            <w:pPr>
              <w:pStyle w:val="Paragraphnonumbers"/>
              <w:spacing w:after="120" w:line="240" w:lineRule="auto"/>
              <w:rPr>
                <w:rFonts w:cs="Arial"/>
                <w:sz w:val="20"/>
                <w:szCs w:val="20"/>
              </w:rPr>
            </w:pPr>
            <w:r w:rsidRPr="00190D4B">
              <w:rPr>
                <w:rFonts w:cs="Arial"/>
                <w:sz w:val="20"/>
                <w:szCs w:val="20"/>
              </w:rPr>
              <w:t>1.1</w:t>
            </w:r>
            <w:r w:rsidR="00AB7967">
              <w:rPr>
                <w:rFonts w:cs="Arial"/>
                <w:sz w:val="20"/>
                <w:szCs w:val="20"/>
              </w:rPr>
              <w:t xml:space="preserve"> </w:t>
            </w:r>
            <w:r w:rsidRPr="00190D4B">
              <w:rPr>
                <w:rFonts w:cs="Arial"/>
                <w:sz w:val="20"/>
                <w:szCs w:val="20"/>
              </w:rPr>
              <w:t>Information and support for people having surgery</w:t>
            </w:r>
          </w:p>
          <w:p w14:paraId="1738EF92" w14:textId="5D3B1751" w:rsidR="005F73B1" w:rsidRPr="00190D4B" w:rsidRDefault="005F73B1" w:rsidP="00192DC7">
            <w:pPr>
              <w:pStyle w:val="Paragraphnonumbers"/>
              <w:spacing w:after="120" w:line="240" w:lineRule="auto"/>
              <w:rPr>
                <w:rFonts w:cs="Arial"/>
                <w:sz w:val="20"/>
                <w:szCs w:val="20"/>
              </w:rPr>
            </w:pPr>
            <w:r w:rsidRPr="00190D4B">
              <w:rPr>
                <w:rFonts w:cs="Arial"/>
                <w:sz w:val="20"/>
                <w:szCs w:val="20"/>
              </w:rPr>
              <w:t>1.2</w:t>
            </w:r>
            <w:r w:rsidR="00AB7967">
              <w:rPr>
                <w:rFonts w:cs="Arial"/>
                <w:sz w:val="20"/>
                <w:szCs w:val="20"/>
              </w:rPr>
              <w:t xml:space="preserve"> </w:t>
            </w:r>
            <w:r w:rsidRPr="00190D4B">
              <w:rPr>
                <w:rFonts w:cs="Arial"/>
                <w:sz w:val="20"/>
                <w:szCs w:val="20"/>
              </w:rPr>
              <w:t>Preoperative care (1.3.2)</w:t>
            </w:r>
          </w:p>
          <w:p w14:paraId="7E4B6A95"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Living well prior to surgery. </w:t>
            </w:r>
          </w:p>
          <w:p w14:paraId="3955D78B" w14:textId="2E44DF53" w:rsidR="005F73B1" w:rsidRPr="00190D4B" w:rsidRDefault="005F73B1" w:rsidP="00192DC7">
            <w:pPr>
              <w:pStyle w:val="Paragraphnonumbers"/>
              <w:spacing w:after="120" w:line="240" w:lineRule="auto"/>
              <w:rPr>
                <w:rFonts w:cs="Arial"/>
                <w:sz w:val="20"/>
                <w:szCs w:val="20"/>
              </w:rPr>
            </w:pPr>
            <w:r w:rsidRPr="00190D4B">
              <w:rPr>
                <w:rFonts w:cs="Arial"/>
                <w:sz w:val="20"/>
                <w:szCs w:val="20"/>
              </w:rPr>
              <w:t>Development of strategies to empower people to engage with own health management preoperatively.</w:t>
            </w:r>
          </w:p>
        </w:tc>
        <w:tc>
          <w:tcPr>
            <w:tcW w:w="1402" w:type="pct"/>
          </w:tcPr>
          <w:p w14:paraId="62EE888B"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There is a consensus (GIRFT / CPOC) that more should be done to support health optimisation while individuals wait for surgery. </w:t>
            </w:r>
          </w:p>
          <w:p w14:paraId="73F91895"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This would help reduce post-surgical complications with the additional benefit of improving long-term health. </w:t>
            </w:r>
          </w:p>
          <w:p w14:paraId="2D3ACDAF" w14:textId="3630EF09" w:rsidR="005F73B1" w:rsidRPr="00190D4B" w:rsidRDefault="005F73B1" w:rsidP="00192DC7">
            <w:pPr>
              <w:pStyle w:val="Paragraphnonumbers"/>
              <w:spacing w:after="120" w:line="240" w:lineRule="auto"/>
              <w:rPr>
                <w:rFonts w:cs="Arial"/>
                <w:sz w:val="20"/>
                <w:szCs w:val="20"/>
              </w:rPr>
            </w:pPr>
            <w:r w:rsidRPr="00190D4B">
              <w:rPr>
                <w:rFonts w:cs="Arial"/>
                <w:sz w:val="20"/>
                <w:szCs w:val="20"/>
              </w:rPr>
              <w:t>Those in the most deprived areas of the county have longer waiting times for surgery (Kings fund). Proactive early preoperative screening is one strategy some are using to help address this.</w:t>
            </w:r>
          </w:p>
        </w:tc>
        <w:tc>
          <w:tcPr>
            <w:tcW w:w="916" w:type="pct"/>
          </w:tcPr>
          <w:p w14:paraId="45DFA6AD"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Centre of perioperative care note key areas of health optimisation. </w:t>
            </w:r>
          </w:p>
          <w:p w14:paraId="2D006BFD"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1 smoking cessation </w:t>
            </w:r>
          </w:p>
          <w:p w14:paraId="0E275158" w14:textId="7F2FEDCC"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2 exercise </w:t>
            </w:r>
          </w:p>
          <w:p w14:paraId="15686175" w14:textId="4C0F3BE6"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3 nutrition </w:t>
            </w:r>
          </w:p>
          <w:p w14:paraId="606F79BA" w14:textId="6775771C"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4 alcohol moderation </w:t>
            </w:r>
          </w:p>
          <w:p w14:paraId="2F9DC590" w14:textId="36165CBE" w:rsidR="005F73B1" w:rsidRPr="00190D4B" w:rsidRDefault="005F73B1" w:rsidP="00192DC7">
            <w:pPr>
              <w:pStyle w:val="Paragraphnonumbers"/>
              <w:spacing w:after="120" w:line="240" w:lineRule="auto"/>
              <w:rPr>
                <w:rFonts w:cs="Arial"/>
                <w:sz w:val="20"/>
                <w:szCs w:val="20"/>
              </w:rPr>
            </w:pPr>
            <w:r w:rsidRPr="00190D4B">
              <w:rPr>
                <w:rFonts w:cs="Arial"/>
                <w:sz w:val="20"/>
                <w:szCs w:val="20"/>
              </w:rPr>
              <w:t>5 medication review/senior review</w:t>
            </w:r>
          </w:p>
          <w:p w14:paraId="52B0FBDB" w14:textId="3041D1C0"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6 psychological preparation and mental health optimisation </w:t>
            </w:r>
          </w:p>
          <w:p w14:paraId="6ABAD287" w14:textId="6E698125" w:rsidR="005F73B1" w:rsidRPr="00190D4B" w:rsidRDefault="005F73B1" w:rsidP="00192DC7">
            <w:pPr>
              <w:pStyle w:val="Paragraphnonumbers"/>
              <w:spacing w:after="120" w:line="240" w:lineRule="auto"/>
              <w:rPr>
                <w:rFonts w:cs="Arial"/>
                <w:sz w:val="20"/>
                <w:szCs w:val="20"/>
              </w:rPr>
            </w:pPr>
            <w:r w:rsidRPr="00190D4B">
              <w:rPr>
                <w:rFonts w:cs="Arial"/>
                <w:sz w:val="20"/>
                <w:szCs w:val="20"/>
              </w:rPr>
              <w:t>7 practical preparation</w:t>
            </w:r>
          </w:p>
          <w:p w14:paraId="43F1726A" w14:textId="1C2B7A4F" w:rsidR="005F73B1" w:rsidRPr="00190D4B" w:rsidRDefault="005F73B1" w:rsidP="00192DC7">
            <w:pPr>
              <w:pStyle w:val="Paragraphnonumbers"/>
              <w:spacing w:after="120" w:line="240" w:lineRule="auto"/>
              <w:rPr>
                <w:rFonts w:cs="Arial"/>
                <w:sz w:val="20"/>
                <w:szCs w:val="20"/>
              </w:rPr>
            </w:pPr>
            <w:r w:rsidRPr="00190D4B">
              <w:rPr>
                <w:rFonts w:cs="Arial"/>
                <w:sz w:val="20"/>
                <w:szCs w:val="20"/>
              </w:rPr>
              <w:t>See supporting info links.</w:t>
            </w:r>
          </w:p>
        </w:tc>
        <w:tc>
          <w:tcPr>
            <w:tcW w:w="896" w:type="pct"/>
          </w:tcPr>
          <w:p w14:paraId="44453952" w14:textId="77777777" w:rsidR="005F73B1" w:rsidRPr="00190D4B" w:rsidRDefault="005F73B1" w:rsidP="00192DC7">
            <w:pPr>
              <w:spacing w:after="120"/>
              <w:rPr>
                <w:rFonts w:ascii="Arial" w:hAnsi="Arial" w:cs="Arial"/>
                <w:sz w:val="20"/>
                <w:szCs w:val="20"/>
                <w:lang w:eastAsia="en-GB"/>
              </w:rPr>
            </w:pPr>
            <w:hyperlink r:id="rId100" w:history="1">
              <w:r w:rsidRPr="00190D4B">
                <w:rPr>
                  <w:rFonts w:ascii="Arial" w:hAnsi="Arial" w:cs="Arial"/>
                  <w:color w:val="0000FF"/>
                  <w:sz w:val="20"/>
                  <w:szCs w:val="20"/>
                  <w:u w:val="single"/>
                  <w:lang w:eastAsia="en-GB"/>
                </w:rPr>
                <w:t>Resources | Centre for Perioperative Care</w:t>
              </w:r>
            </w:hyperlink>
          </w:p>
          <w:p w14:paraId="2EB4D6D5" w14:textId="77777777" w:rsidR="005F73B1" w:rsidRPr="00190D4B" w:rsidRDefault="005F73B1" w:rsidP="00192DC7">
            <w:pPr>
              <w:spacing w:after="120"/>
              <w:rPr>
                <w:rFonts w:ascii="Arial" w:hAnsi="Arial" w:cs="Arial"/>
                <w:color w:val="0000FF"/>
                <w:sz w:val="20"/>
                <w:szCs w:val="20"/>
                <w:u w:val="single"/>
                <w:lang w:eastAsia="en-GB"/>
              </w:rPr>
            </w:pPr>
            <w:hyperlink r:id="rId101" w:history="1">
              <w:r w:rsidRPr="00190D4B">
                <w:rPr>
                  <w:rFonts w:ascii="Arial" w:hAnsi="Arial" w:cs="Arial"/>
                  <w:color w:val="0000FF"/>
                  <w:sz w:val="20"/>
                  <w:szCs w:val="20"/>
                  <w:u w:val="single"/>
                  <w:lang w:eastAsia="en-GB"/>
                </w:rPr>
                <w:t>NHS England » Early screening, triaging, risk assessment and health optimisation in perioperative pathways: guide for providers and integrated care boards</w:t>
              </w:r>
            </w:hyperlink>
          </w:p>
          <w:p w14:paraId="6AA26D43" w14:textId="77777777" w:rsidR="005F73B1" w:rsidRPr="00190D4B" w:rsidRDefault="005F73B1" w:rsidP="00192DC7">
            <w:pPr>
              <w:spacing w:after="120"/>
              <w:rPr>
                <w:rFonts w:ascii="Arial" w:hAnsi="Arial" w:cs="Arial"/>
                <w:color w:val="467886"/>
                <w:sz w:val="20"/>
                <w:szCs w:val="20"/>
                <w:u w:val="single"/>
                <w:lang w:eastAsia="en-GB"/>
              </w:rPr>
            </w:pPr>
            <w:hyperlink r:id="rId102" w:history="1">
              <w:r w:rsidRPr="00190D4B">
                <w:rPr>
                  <w:rFonts w:ascii="Arial" w:hAnsi="Arial" w:cs="Arial"/>
                  <w:color w:val="0000FF"/>
                  <w:sz w:val="20"/>
                  <w:szCs w:val="20"/>
                  <w:u w:val="single"/>
                  <w:lang w:eastAsia="en-GB"/>
                </w:rPr>
                <w:t>People Living In The Poorest Areas Waiting Longer For Hospital Treatment | The King's Fund</w:t>
              </w:r>
            </w:hyperlink>
          </w:p>
          <w:p w14:paraId="744692E8" w14:textId="77777777" w:rsidR="005F73B1" w:rsidRPr="00190D4B" w:rsidRDefault="005F73B1" w:rsidP="00192DC7">
            <w:pPr>
              <w:spacing w:after="120"/>
              <w:rPr>
                <w:rFonts w:ascii="Arial" w:hAnsi="Arial" w:cs="Arial"/>
                <w:sz w:val="20"/>
                <w:szCs w:val="20"/>
                <w:lang w:eastAsia="en-GB"/>
              </w:rPr>
            </w:pPr>
            <w:hyperlink r:id="rId103" w:history="1">
              <w:r w:rsidRPr="00190D4B">
                <w:rPr>
                  <w:rFonts w:ascii="Arial" w:hAnsi="Arial" w:cs="Arial"/>
                  <w:color w:val="0000FF"/>
                  <w:sz w:val="20"/>
                  <w:szCs w:val="20"/>
                  <w:u w:val="single"/>
                  <w:lang w:eastAsia="en-GB"/>
                </w:rPr>
                <w:t>The Vital 5 - South East London ICS</w:t>
              </w:r>
            </w:hyperlink>
            <w:r w:rsidRPr="00190D4B">
              <w:rPr>
                <w:rFonts w:ascii="Arial" w:hAnsi="Arial" w:cs="Arial"/>
                <w:sz w:val="20"/>
                <w:szCs w:val="20"/>
                <w:lang w:eastAsia="en-GB"/>
              </w:rPr>
              <w:t xml:space="preserve"> </w:t>
            </w:r>
          </w:p>
          <w:p w14:paraId="20BF1D0F" w14:textId="527EB9E1" w:rsidR="005F73B1" w:rsidRPr="00190D4B" w:rsidRDefault="005F73B1" w:rsidP="00192DC7">
            <w:pPr>
              <w:pStyle w:val="Tabletext"/>
              <w:spacing w:after="120"/>
              <w:rPr>
                <w:rFonts w:cs="Arial"/>
                <w:sz w:val="20"/>
                <w:szCs w:val="20"/>
              </w:rPr>
            </w:pPr>
            <w:hyperlink r:id="rId104" w:history="1">
              <w:r w:rsidRPr="00190D4B">
                <w:rPr>
                  <w:rFonts w:cs="Arial"/>
                  <w:color w:val="0000FF"/>
                  <w:sz w:val="20"/>
                  <w:szCs w:val="20"/>
                  <w:u w:val="single"/>
                </w:rPr>
                <w:t>Fitter Better Sooner Toolkit | Centre for Perioperative Care</w:t>
              </w:r>
            </w:hyperlink>
          </w:p>
        </w:tc>
      </w:tr>
      <w:tr w:rsidR="005F73B1" w:rsidRPr="00190D4B" w14:paraId="20DAFBAC" w14:textId="77777777" w:rsidTr="00477F9C">
        <w:trPr>
          <w:trHeight w:val="282"/>
        </w:trPr>
        <w:tc>
          <w:tcPr>
            <w:tcW w:w="192" w:type="pct"/>
          </w:tcPr>
          <w:p w14:paraId="1A851350" w14:textId="4C19C186" w:rsidR="005F73B1" w:rsidRPr="00190D4B" w:rsidRDefault="002C610D" w:rsidP="00192DC7">
            <w:pPr>
              <w:pStyle w:val="Tabletext"/>
              <w:spacing w:after="120"/>
              <w:rPr>
                <w:rFonts w:cs="Arial"/>
                <w:sz w:val="20"/>
                <w:szCs w:val="20"/>
                <w:lang w:eastAsia="en-GB"/>
              </w:rPr>
            </w:pPr>
            <w:r>
              <w:rPr>
                <w:rFonts w:cs="Arial"/>
                <w:sz w:val="20"/>
                <w:szCs w:val="20"/>
                <w:lang w:eastAsia="en-GB"/>
              </w:rPr>
              <w:t>2</w:t>
            </w:r>
            <w:r w:rsidR="005F73B1" w:rsidRPr="00190D4B">
              <w:rPr>
                <w:rFonts w:cs="Arial"/>
                <w:sz w:val="20"/>
                <w:szCs w:val="20"/>
                <w:lang w:eastAsia="en-GB"/>
              </w:rPr>
              <w:t>4</w:t>
            </w:r>
          </w:p>
        </w:tc>
        <w:tc>
          <w:tcPr>
            <w:tcW w:w="483" w:type="pct"/>
          </w:tcPr>
          <w:p w14:paraId="7E42AA31" w14:textId="26AEAACA" w:rsidR="005F73B1" w:rsidRPr="00190D4B" w:rsidRDefault="005F73B1" w:rsidP="00192DC7">
            <w:pPr>
              <w:pStyle w:val="Tabletext"/>
              <w:spacing w:after="120"/>
              <w:rPr>
                <w:rFonts w:cs="Arial"/>
                <w:sz w:val="20"/>
                <w:szCs w:val="20"/>
              </w:rPr>
            </w:pPr>
            <w:r w:rsidRPr="00190D4B">
              <w:rPr>
                <w:rFonts w:cs="Arial"/>
                <w:sz w:val="20"/>
                <w:szCs w:val="20"/>
              </w:rPr>
              <w:t>SCM1</w:t>
            </w:r>
          </w:p>
        </w:tc>
        <w:tc>
          <w:tcPr>
            <w:tcW w:w="1111" w:type="pct"/>
          </w:tcPr>
          <w:p w14:paraId="5E22856F" w14:textId="10B9590B" w:rsidR="005F73B1" w:rsidRPr="00190D4B" w:rsidRDefault="005F73B1" w:rsidP="00192DC7">
            <w:pPr>
              <w:pStyle w:val="Paragraphnonumbers"/>
              <w:spacing w:after="120" w:line="240" w:lineRule="auto"/>
              <w:rPr>
                <w:rFonts w:cs="Arial"/>
                <w:sz w:val="20"/>
                <w:szCs w:val="20"/>
              </w:rPr>
            </w:pPr>
            <w:r w:rsidRPr="00190D4B">
              <w:rPr>
                <w:rFonts w:cs="Arial"/>
                <w:sz w:val="20"/>
                <w:szCs w:val="20"/>
              </w:rPr>
              <w:t>7.1 Preoperative care (1.3.1)</w:t>
            </w:r>
          </w:p>
          <w:p w14:paraId="5E881A9A" w14:textId="6D65E703"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Implementation of a standardised, evidence based, risk assessment scoring tool preoperatively to </w:t>
            </w:r>
            <w:r w:rsidRPr="00190D4B">
              <w:rPr>
                <w:rFonts w:cs="Arial"/>
                <w:sz w:val="20"/>
                <w:szCs w:val="20"/>
              </w:rPr>
              <w:lastRenderedPageBreak/>
              <w:t>support shared decision making and treatment choice</w:t>
            </w:r>
          </w:p>
        </w:tc>
        <w:tc>
          <w:tcPr>
            <w:tcW w:w="1402" w:type="pct"/>
          </w:tcPr>
          <w:p w14:paraId="3DD74F07"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There is inconsistent application of validated risk assessment tools in the preoperative preparation of individuals from surgery.  </w:t>
            </w:r>
          </w:p>
          <w:p w14:paraId="26716914" w14:textId="26832A15"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Risk assessment algorithms are not used as an arbitrary tool to decide if surgery is appropriate or </w:t>
            </w:r>
            <w:r w:rsidR="00AB7967" w:rsidRPr="00190D4B">
              <w:rPr>
                <w:rFonts w:cs="Arial"/>
                <w:sz w:val="20"/>
                <w:szCs w:val="20"/>
              </w:rPr>
              <w:t>not but</w:t>
            </w:r>
            <w:r w:rsidRPr="00190D4B">
              <w:rPr>
                <w:rFonts w:cs="Arial"/>
                <w:sz w:val="20"/>
                <w:szCs w:val="20"/>
              </w:rPr>
              <w:t xml:space="preserve"> can provide the user with valuable information to help frame a shared decision on treatment.</w:t>
            </w:r>
          </w:p>
        </w:tc>
        <w:tc>
          <w:tcPr>
            <w:tcW w:w="916" w:type="pct"/>
          </w:tcPr>
          <w:p w14:paraId="67D8E3A7" w14:textId="2E020517"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The Centre for Perioperative care support the use of the surgical outcome risk tool (SORT). This has been validated for </w:t>
            </w:r>
            <w:r w:rsidRPr="00190D4B">
              <w:rPr>
                <w:rFonts w:cs="Arial"/>
                <w:sz w:val="20"/>
                <w:szCs w:val="20"/>
              </w:rPr>
              <w:lastRenderedPageBreak/>
              <w:t>inpatient surgical procedures. For example, Patients undergoing inpatient surgery with &gt;1% predicted risk of 30-day mortality should be considered for postoperative enhanced care, and with &gt;5% risk should be considered for postoperative critical care admission</w:t>
            </w:r>
          </w:p>
        </w:tc>
        <w:tc>
          <w:tcPr>
            <w:tcW w:w="896" w:type="pct"/>
          </w:tcPr>
          <w:p w14:paraId="6222D15F" w14:textId="77777777" w:rsidR="005F73B1" w:rsidRPr="00190D4B" w:rsidRDefault="005F73B1" w:rsidP="00192DC7">
            <w:pPr>
              <w:spacing w:after="120"/>
              <w:rPr>
                <w:rFonts w:ascii="Arial" w:hAnsi="Arial" w:cs="Arial"/>
                <w:color w:val="0000FF"/>
                <w:sz w:val="20"/>
                <w:szCs w:val="20"/>
                <w:u w:val="single"/>
                <w:lang w:eastAsia="en-GB"/>
              </w:rPr>
            </w:pPr>
            <w:hyperlink r:id="rId105" w:history="1">
              <w:r w:rsidRPr="00190D4B">
                <w:rPr>
                  <w:rFonts w:ascii="Arial" w:hAnsi="Arial" w:cs="Arial"/>
                  <w:color w:val="0000FF"/>
                  <w:sz w:val="20"/>
                  <w:szCs w:val="20"/>
                  <w:u w:val="single"/>
                  <w:lang w:eastAsia="en-GB"/>
                </w:rPr>
                <w:t xml:space="preserve">Developing and validating subjective and objective risk-assessment measures for predicting mortality after major surgery: An </w:t>
              </w:r>
              <w:r w:rsidRPr="00190D4B">
                <w:rPr>
                  <w:rFonts w:ascii="Arial" w:hAnsi="Arial" w:cs="Arial"/>
                  <w:color w:val="0000FF"/>
                  <w:sz w:val="20"/>
                  <w:szCs w:val="20"/>
                  <w:u w:val="single"/>
                  <w:lang w:eastAsia="en-GB"/>
                </w:rPr>
                <w:lastRenderedPageBreak/>
                <w:t>international prospective cohort study | PLOS Medicine</w:t>
              </w:r>
            </w:hyperlink>
          </w:p>
          <w:p w14:paraId="6CC705E5" w14:textId="288598C9" w:rsidR="005F73B1" w:rsidRPr="00190D4B" w:rsidRDefault="005F73B1" w:rsidP="00192DC7">
            <w:pPr>
              <w:spacing w:after="120"/>
              <w:rPr>
                <w:rFonts w:ascii="Arial" w:hAnsi="Arial" w:cs="Arial"/>
                <w:color w:val="0000FF"/>
                <w:sz w:val="20"/>
                <w:szCs w:val="20"/>
                <w:u w:val="single"/>
                <w:lang w:eastAsia="en-GB"/>
              </w:rPr>
            </w:pPr>
            <w:hyperlink r:id="rId106" w:history="1">
              <w:r w:rsidRPr="00190D4B">
                <w:rPr>
                  <w:rStyle w:val="Hyperlink"/>
                  <w:rFonts w:ascii="Arial" w:hAnsi="Arial" w:cs="Arial"/>
                  <w:sz w:val="20"/>
                  <w:szCs w:val="20"/>
                  <w:lang w:eastAsia="en-GB"/>
                </w:rPr>
                <w:t>https://www.cpoc.org.uk/sites/cpoc/files/documents/2021-06/Preoperative%20assessment%20and%20optimisation%20guidance.pdf</w:t>
              </w:r>
            </w:hyperlink>
          </w:p>
          <w:p w14:paraId="06A27123" w14:textId="10F22C7E" w:rsidR="005F73B1" w:rsidRPr="00190D4B" w:rsidRDefault="005F73B1" w:rsidP="00192DC7">
            <w:pPr>
              <w:spacing w:after="120"/>
              <w:rPr>
                <w:rFonts w:ascii="Arial" w:hAnsi="Arial" w:cs="Arial"/>
                <w:sz w:val="20"/>
                <w:szCs w:val="20"/>
                <w:lang w:eastAsia="en-GB"/>
              </w:rPr>
            </w:pPr>
            <w:hyperlink r:id="rId107" w:history="1">
              <w:r w:rsidRPr="00190D4B">
                <w:rPr>
                  <w:rStyle w:val="Hyperlink"/>
                  <w:rFonts w:ascii="Arial" w:hAnsi="Arial" w:cs="Arial"/>
                  <w:sz w:val="20"/>
                  <w:szCs w:val="20"/>
                  <w:lang w:eastAsia="en-GB"/>
                </w:rPr>
                <w:t>https://bjssjournals.onlinelibrary.wiley.com/doi/10.1002/bjs.9638</w:t>
              </w:r>
            </w:hyperlink>
          </w:p>
        </w:tc>
      </w:tr>
      <w:tr w:rsidR="005F73B1" w:rsidRPr="00190D4B" w14:paraId="4D92CC3E" w14:textId="77777777" w:rsidTr="00477F9C">
        <w:trPr>
          <w:trHeight w:val="282"/>
        </w:trPr>
        <w:tc>
          <w:tcPr>
            <w:tcW w:w="192" w:type="pct"/>
          </w:tcPr>
          <w:p w14:paraId="0BF5B28E" w14:textId="3E026906" w:rsidR="005F73B1" w:rsidRPr="00190D4B" w:rsidRDefault="002C610D" w:rsidP="00192DC7">
            <w:pPr>
              <w:pStyle w:val="Tabletext"/>
              <w:spacing w:after="120"/>
              <w:rPr>
                <w:rFonts w:cs="Arial"/>
                <w:sz w:val="20"/>
                <w:szCs w:val="20"/>
                <w:lang w:eastAsia="en-GB"/>
              </w:rPr>
            </w:pPr>
            <w:r>
              <w:rPr>
                <w:rFonts w:cs="Arial"/>
                <w:sz w:val="20"/>
                <w:szCs w:val="20"/>
                <w:lang w:eastAsia="en-GB"/>
              </w:rPr>
              <w:lastRenderedPageBreak/>
              <w:t>25</w:t>
            </w:r>
          </w:p>
        </w:tc>
        <w:tc>
          <w:tcPr>
            <w:tcW w:w="483" w:type="pct"/>
          </w:tcPr>
          <w:p w14:paraId="6BCFA67C" w14:textId="77237004" w:rsidR="005F73B1" w:rsidRPr="00190D4B" w:rsidRDefault="005F73B1" w:rsidP="00192DC7">
            <w:pPr>
              <w:pStyle w:val="Tabletext"/>
              <w:spacing w:after="120"/>
              <w:rPr>
                <w:rFonts w:cs="Arial"/>
                <w:sz w:val="20"/>
                <w:szCs w:val="20"/>
              </w:rPr>
            </w:pPr>
            <w:r w:rsidRPr="00190D4B">
              <w:rPr>
                <w:rFonts w:cs="Arial"/>
                <w:sz w:val="20"/>
                <w:szCs w:val="20"/>
              </w:rPr>
              <w:t>SCM1</w:t>
            </w:r>
          </w:p>
        </w:tc>
        <w:tc>
          <w:tcPr>
            <w:tcW w:w="1111" w:type="pct"/>
          </w:tcPr>
          <w:p w14:paraId="346F8E0B" w14:textId="39215A43" w:rsidR="005F73B1" w:rsidRPr="00190D4B" w:rsidRDefault="005F73B1" w:rsidP="00192DC7">
            <w:pPr>
              <w:pStyle w:val="Paragraphnonumbers"/>
              <w:spacing w:after="120" w:line="240" w:lineRule="auto"/>
              <w:rPr>
                <w:rFonts w:cs="Arial"/>
                <w:sz w:val="20"/>
                <w:szCs w:val="20"/>
              </w:rPr>
            </w:pPr>
            <w:r w:rsidRPr="00190D4B">
              <w:rPr>
                <w:rFonts w:cs="Arial"/>
                <w:sz w:val="20"/>
                <w:szCs w:val="20"/>
              </w:rPr>
              <w:t>7.2 Preoperative care (1.3.2)</w:t>
            </w:r>
          </w:p>
          <w:p w14:paraId="1832C608" w14:textId="36A8FE9C" w:rsidR="005F73B1" w:rsidRPr="00190D4B" w:rsidRDefault="005F73B1" w:rsidP="00192DC7">
            <w:pPr>
              <w:pStyle w:val="Paragraphnonumbers"/>
              <w:spacing w:after="120" w:line="240" w:lineRule="auto"/>
              <w:rPr>
                <w:rFonts w:cs="Arial"/>
                <w:sz w:val="20"/>
                <w:szCs w:val="20"/>
              </w:rPr>
            </w:pPr>
            <w:r w:rsidRPr="00190D4B">
              <w:rPr>
                <w:rFonts w:cs="Arial"/>
                <w:sz w:val="20"/>
                <w:szCs w:val="20"/>
              </w:rPr>
              <w:t>Inclusion of frailty scoring in preoperative assessment.</w:t>
            </w:r>
          </w:p>
        </w:tc>
        <w:tc>
          <w:tcPr>
            <w:tcW w:w="1402" w:type="pct"/>
          </w:tcPr>
          <w:p w14:paraId="78F96111"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Frailty is associated with increased perioperative risk and poorer outcomes from surgical treatment.</w:t>
            </w:r>
          </w:p>
          <w:p w14:paraId="6EE3D26E" w14:textId="120DCCFA" w:rsidR="005F73B1" w:rsidRPr="00190D4B" w:rsidRDefault="005F73B1" w:rsidP="00192DC7">
            <w:pPr>
              <w:pStyle w:val="Paragraphnonumbers"/>
              <w:spacing w:after="120" w:line="240" w:lineRule="auto"/>
              <w:rPr>
                <w:rFonts w:cs="Arial"/>
                <w:sz w:val="20"/>
                <w:szCs w:val="20"/>
              </w:rPr>
            </w:pPr>
            <w:r w:rsidRPr="00190D4B">
              <w:rPr>
                <w:rFonts w:cs="Arial"/>
                <w:sz w:val="20"/>
                <w:szCs w:val="20"/>
              </w:rPr>
              <w:t>An accurate frailty score can help direct preoperative intervention and support shared decision making discussions.</w:t>
            </w:r>
          </w:p>
        </w:tc>
        <w:tc>
          <w:tcPr>
            <w:tcW w:w="916" w:type="pct"/>
          </w:tcPr>
          <w:p w14:paraId="2FE002B9"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Recent study published in the British journal of anaesthesia has highlighted that only a third of preoperative assessment clinics employ frailty screening as standard. </w:t>
            </w:r>
          </w:p>
          <w:p w14:paraId="350CC8A3" w14:textId="3FD537EB" w:rsidR="005F73B1" w:rsidRPr="00190D4B" w:rsidRDefault="005F73B1" w:rsidP="00192DC7">
            <w:pPr>
              <w:pStyle w:val="Paragraphnonumbers"/>
              <w:spacing w:after="120" w:line="240" w:lineRule="auto"/>
              <w:rPr>
                <w:rFonts w:cs="Arial"/>
                <w:sz w:val="20"/>
                <w:szCs w:val="20"/>
              </w:rPr>
            </w:pPr>
            <w:r w:rsidRPr="00190D4B">
              <w:rPr>
                <w:rFonts w:cs="Arial"/>
                <w:sz w:val="20"/>
                <w:szCs w:val="20"/>
              </w:rPr>
              <w:t>This is despite frailty being associated with longer hospital stays and higher risk of postoperative delirium, morbidity, and mortality</w:t>
            </w:r>
          </w:p>
        </w:tc>
        <w:tc>
          <w:tcPr>
            <w:tcW w:w="896" w:type="pct"/>
          </w:tcPr>
          <w:p w14:paraId="61309047" w14:textId="44D4BE33" w:rsidR="005F73B1" w:rsidRPr="00190D4B" w:rsidRDefault="005F73B1" w:rsidP="00192DC7">
            <w:pPr>
              <w:spacing w:after="120"/>
              <w:rPr>
                <w:rFonts w:ascii="Arial" w:hAnsi="Arial" w:cs="Arial"/>
                <w:sz w:val="20"/>
                <w:szCs w:val="20"/>
                <w:lang w:eastAsia="en-GB"/>
              </w:rPr>
            </w:pPr>
            <w:hyperlink r:id="rId108" w:history="1">
              <w:r w:rsidRPr="00190D4B">
                <w:rPr>
                  <w:rStyle w:val="Hyperlink"/>
                  <w:rFonts w:ascii="Arial" w:hAnsi="Arial" w:cs="Arial"/>
                  <w:sz w:val="20"/>
                  <w:szCs w:val="20"/>
                  <w:lang w:eastAsia="en-GB"/>
                </w:rPr>
                <w:t>https://www.sciencedirect.com/science/article/pii/S0007091225002661</w:t>
              </w:r>
            </w:hyperlink>
          </w:p>
          <w:p w14:paraId="4679E6A9" w14:textId="1F1BE443" w:rsidR="005F73B1" w:rsidRPr="00190D4B" w:rsidRDefault="005F73B1" w:rsidP="00192DC7">
            <w:pPr>
              <w:pStyle w:val="Tabletext"/>
              <w:spacing w:after="120"/>
              <w:rPr>
                <w:rFonts w:cs="Arial"/>
                <w:sz w:val="20"/>
                <w:szCs w:val="20"/>
              </w:rPr>
            </w:pPr>
            <w:hyperlink r:id="rId109" w:history="1">
              <w:r w:rsidRPr="00190D4B">
                <w:rPr>
                  <w:rFonts w:cs="Arial"/>
                  <w:color w:val="0000FF"/>
                  <w:sz w:val="20"/>
                  <w:szCs w:val="20"/>
                  <w:u w:val="single"/>
                </w:rPr>
                <w:t>Perioperative Care of People Living with Frailty | Centre for Perioperative Care</w:t>
              </w:r>
            </w:hyperlink>
          </w:p>
        </w:tc>
      </w:tr>
      <w:tr w:rsidR="005F73B1" w:rsidRPr="00190D4B" w14:paraId="47A762DF" w14:textId="77777777" w:rsidTr="00477F9C">
        <w:trPr>
          <w:trHeight w:val="282"/>
        </w:trPr>
        <w:tc>
          <w:tcPr>
            <w:tcW w:w="192" w:type="pct"/>
          </w:tcPr>
          <w:p w14:paraId="13B2411D" w14:textId="358252B5" w:rsidR="005F73B1" w:rsidRPr="00190D4B" w:rsidRDefault="002C610D" w:rsidP="00192DC7">
            <w:pPr>
              <w:pStyle w:val="Tabletext"/>
              <w:spacing w:after="120"/>
              <w:rPr>
                <w:rFonts w:cs="Arial"/>
                <w:sz w:val="20"/>
                <w:szCs w:val="20"/>
                <w:lang w:eastAsia="en-GB"/>
              </w:rPr>
            </w:pPr>
            <w:r>
              <w:rPr>
                <w:rFonts w:cs="Arial"/>
                <w:sz w:val="20"/>
                <w:szCs w:val="20"/>
                <w:lang w:eastAsia="en-GB"/>
              </w:rPr>
              <w:t>26</w:t>
            </w:r>
          </w:p>
        </w:tc>
        <w:tc>
          <w:tcPr>
            <w:tcW w:w="483" w:type="pct"/>
          </w:tcPr>
          <w:p w14:paraId="3878C02A" w14:textId="48D4B05A" w:rsidR="005F73B1" w:rsidRPr="00190D4B" w:rsidRDefault="005F73B1" w:rsidP="00192DC7">
            <w:pPr>
              <w:pStyle w:val="Tabletext"/>
              <w:spacing w:after="120"/>
              <w:rPr>
                <w:rFonts w:cs="Arial"/>
                <w:sz w:val="20"/>
                <w:szCs w:val="20"/>
              </w:rPr>
            </w:pPr>
            <w:r w:rsidRPr="00190D4B">
              <w:rPr>
                <w:rFonts w:cs="Arial"/>
                <w:sz w:val="20"/>
                <w:szCs w:val="20"/>
              </w:rPr>
              <w:t>SCM2</w:t>
            </w:r>
          </w:p>
        </w:tc>
        <w:tc>
          <w:tcPr>
            <w:tcW w:w="1111" w:type="pct"/>
          </w:tcPr>
          <w:p w14:paraId="0B70E1CE" w14:textId="5F5AB098" w:rsidR="005F73B1" w:rsidRPr="00190D4B" w:rsidRDefault="005F73B1" w:rsidP="00192DC7">
            <w:pPr>
              <w:pStyle w:val="Paragraphnonumbers"/>
              <w:spacing w:after="120" w:line="240" w:lineRule="auto"/>
              <w:rPr>
                <w:rFonts w:cs="Arial"/>
                <w:sz w:val="20"/>
                <w:szCs w:val="20"/>
              </w:rPr>
            </w:pPr>
            <w:r w:rsidRPr="00190D4B">
              <w:rPr>
                <w:rFonts w:cs="Arial"/>
                <w:sz w:val="20"/>
                <w:szCs w:val="20"/>
              </w:rPr>
              <w:t>Patient risk calculated using new models and shared decision making used to support conversations with families and patients</w:t>
            </w:r>
          </w:p>
        </w:tc>
        <w:tc>
          <w:tcPr>
            <w:tcW w:w="1402" w:type="pct"/>
          </w:tcPr>
          <w:p w14:paraId="04934773" w14:textId="77777777" w:rsidR="005F73B1" w:rsidRPr="00190D4B" w:rsidRDefault="005F73B1" w:rsidP="00192DC7">
            <w:pPr>
              <w:pStyle w:val="Paragraphnonumbers"/>
              <w:spacing w:after="120" w:line="240" w:lineRule="auto"/>
              <w:rPr>
                <w:rFonts w:cs="Arial"/>
                <w:sz w:val="20"/>
                <w:szCs w:val="20"/>
              </w:rPr>
            </w:pPr>
          </w:p>
        </w:tc>
        <w:tc>
          <w:tcPr>
            <w:tcW w:w="916" w:type="pct"/>
          </w:tcPr>
          <w:p w14:paraId="2128AF51" w14:textId="77777777" w:rsidR="005F73B1" w:rsidRPr="00190D4B" w:rsidRDefault="005F73B1" w:rsidP="00192DC7">
            <w:pPr>
              <w:pStyle w:val="Paragraphnonumbers"/>
              <w:spacing w:after="120" w:line="240" w:lineRule="auto"/>
              <w:rPr>
                <w:rFonts w:cs="Arial"/>
                <w:sz w:val="20"/>
                <w:szCs w:val="20"/>
              </w:rPr>
            </w:pPr>
          </w:p>
        </w:tc>
        <w:tc>
          <w:tcPr>
            <w:tcW w:w="896" w:type="pct"/>
          </w:tcPr>
          <w:p w14:paraId="30DA742B" w14:textId="77777777" w:rsidR="005F73B1" w:rsidRPr="00190D4B" w:rsidRDefault="005F73B1" w:rsidP="00192DC7">
            <w:pPr>
              <w:pStyle w:val="Tabletext"/>
              <w:spacing w:after="120"/>
              <w:rPr>
                <w:rFonts w:cs="Arial"/>
                <w:sz w:val="20"/>
                <w:szCs w:val="20"/>
              </w:rPr>
            </w:pPr>
          </w:p>
        </w:tc>
      </w:tr>
      <w:tr w:rsidR="005F73B1" w:rsidRPr="00190D4B" w14:paraId="0306DA0B" w14:textId="77777777" w:rsidTr="00477F9C">
        <w:trPr>
          <w:trHeight w:val="282"/>
        </w:trPr>
        <w:tc>
          <w:tcPr>
            <w:tcW w:w="192" w:type="pct"/>
          </w:tcPr>
          <w:p w14:paraId="6A4CB20B" w14:textId="4E78BB88" w:rsidR="005F73B1" w:rsidRPr="00190D4B" w:rsidRDefault="002C610D" w:rsidP="00192DC7">
            <w:pPr>
              <w:pStyle w:val="Tabletext"/>
              <w:spacing w:after="120"/>
              <w:rPr>
                <w:rFonts w:cs="Arial"/>
                <w:sz w:val="20"/>
                <w:szCs w:val="20"/>
                <w:lang w:eastAsia="en-GB"/>
              </w:rPr>
            </w:pPr>
            <w:r>
              <w:rPr>
                <w:rFonts w:cs="Arial"/>
                <w:sz w:val="20"/>
                <w:szCs w:val="20"/>
                <w:lang w:eastAsia="en-GB"/>
              </w:rPr>
              <w:t>2</w:t>
            </w:r>
            <w:r w:rsidR="005F73B1" w:rsidRPr="00190D4B">
              <w:rPr>
                <w:rFonts w:cs="Arial"/>
                <w:sz w:val="20"/>
                <w:szCs w:val="20"/>
                <w:lang w:eastAsia="en-GB"/>
              </w:rPr>
              <w:t>7</w:t>
            </w:r>
          </w:p>
        </w:tc>
        <w:tc>
          <w:tcPr>
            <w:tcW w:w="483" w:type="pct"/>
          </w:tcPr>
          <w:p w14:paraId="1B5745F0" w14:textId="28EE20F3" w:rsidR="005F73B1" w:rsidRPr="00190D4B" w:rsidRDefault="005F73B1" w:rsidP="00192DC7">
            <w:pPr>
              <w:pStyle w:val="Tabletext"/>
              <w:spacing w:after="120"/>
              <w:rPr>
                <w:rFonts w:cs="Arial"/>
                <w:sz w:val="20"/>
                <w:szCs w:val="20"/>
              </w:rPr>
            </w:pPr>
            <w:r w:rsidRPr="00190D4B">
              <w:rPr>
                <w:rFonts w:cs="Arial"/>
                <w:sz w:val="20"/>
                <w:szCs w:val="20"/>
              </w:rPr>
              <w:t>SCM5</w:t>
            </w:r>
          </w:p>
        </w:tc>
        <w:tc>
          <w:tcPr>
            <w:tcW w:w="1111" w:type="pct"/>
          </w:tcPr>
          <w:p w14:paraId="7E22B7EA" w14:textId="5C9038A4"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Access to and effective use of community data and records to  facilitate profiling and </w:t>
            </w:r>
            <w:r w:rsidRPr="00190D4B">
              <w:rPr>
                <w:rFonts w:cs="Arial"/>
                <w:sz w:val="20"/>
                <w:szCs w:val="20"/>
              </w:rPr>
              <w:lastRenderedPageBreak/>
              <w:t>segmentation of the surgical waiting list in order to deliver the right care in the right place by the right team at the right time</w:t>
            </w:r>
          </w:p>
        </w:tc>
        <w:tc>
          <w:tcPr>
            <w:tcW w:w="1402" w:type="pct"/>
          </w:tcPr>
          <w:p w14:paraId="14F680E6" w14:textId="687E8A2B"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Poor access to community held records, insufficient information in referral letters from primary care to secondary care </w:t>
            </w:r>
            <w:r w:rsidRPr="00190D4B">
              <w:rPr>
                <w:rFonts w:cs="Arial"/>
                <w:sz w:val="20"/>
                <w:szCs w:val="20"/>
              </w:rPr>
              <w:lastRenderedPageBreak/>
              <w:t xml:space="preserve">services and poor utilisation of such information results in late recognition of factors that predispose to poor outcome - </w:t>
            </w:r>
            <w:r w:rsidR="00AB7967" w:rsidRPr="00190D4B">
              <w:rPr>
                <w:rFonts w:cs="Arial"/>
                <w:sz w:val="20"/>
                <w:szCs w:val="20"/>
              </w:rPr>
              <w:t>e.g.</w:t>
            </w:r>
            <w:r w:rsidRPr="00190D4B">
              <w:rPr>
                <w:rFonts w:cs="Arial"/>
                <w:sz w:val="20"/>
                <w:szCs w:val="20"/>
              </w:rPr>
              <w:t xml:space="preserve"> smoking status, diabetes status, hypertension, anaemia, frailty, dementia</w:t>
            </w:r>
          </w:p>
        </w:tc>
        <w:tc>
          <w:tcPr>
            <w:tcW w:w="916" w:type="pct"/>
          </w:tcPr>
          <w:p w14:paraId="4FBBB8D1" w14:textId="77777777" w:rsidR="005F73B1" w:rsidRPr="00190D4B" w:rsidRDefault="005F73B1" w:rsidP="00192DC7">
            <w:pPr>
              <w:pStyle w:val="Paragraphnonumbers"/>
              <w:spacing w:after="120" w:line="240" w:lineRule="auto"/>
              <w:rPr>
                <w:rFonts w:cs="Arial"/>
                <w:sz w:val="20"/>
                <w:szCs w:val="20"/>
              </w:rPr>
            </w:pPr>
          </w:p>
        </w:tc>
        <w:tc>
          <w:tcPr>
            <w:tcW w:w="896" w:type="pct"/>
          </w:tcPr>
          <w:p w14:paraId="6FAE0BC8" w14:textId="77777777" w:rsidR="005F73B1" w:rsidRPr="00190D4B" w:rsidRDefault="005F73B1" w:rsidP="00192DC7">
            <w:pPr>
              <w:pStyle w:val="Tabletext"/>
              <w:spacing w:after="120"/>
              <w:rPr>
                <w:rFonts w:cs="Arial"/>
                <w:sz w:val="20"/>
                <w:szCs w:val="20"/>
              </w:rPr>
            </w:pPr>
          </w:p>
        </w:tc>
      </w:tr>
      <w:tr w:rsidR="005F73B1" w:rsidRPr="00190D4B" w14:paraId="193D260F" w14:textId="77777777" w:rsidTr="00477F9C">
        <w:trPr>
          <w:trHeight w:val="282"/>
        </w:trPr>
        <w:tc>
          <w:tcPr>
            <w:tcW w:w="192" w:type="pct"/>
          </w:tcPr>
          <w:p w14:paraId="3B8BEE00" w14:textId="26CA9B52" w:rsidR="005F73B1" w:rsidRPr="00190D4B" w:rsidRDefault="002C610D" w:rsidP="00192DC7">
            <w:pPr>
              <w:pStyle w:val="Tabletext"/>
              <w:spacing w:after="120"/>
              <w:rPr>
                <w:rFonts w:cs="Arial"/>
                <w:sz w:val="20"/>
                <w:szCs w:val="20"/>
                <w:lang w:eastAsia="en-GB"/>
              </w:rPr>
            </w:pPr>
            <w:r>
              <w:rPr>
                <w:rFonts w:cs="Arial"/>
                <w:sz w:val="20"/>
                <w:szCs w:val="20"/>
                <w:lang w:eastAsia="en-GB"/>
              </w:rPr>
              <w:t>2</w:t>
            </w:r>
            <w:r w:rsidR="005F73B1" w:rsidRPr="00190D4B">
              <w:rPr>
                <w:rFonts w:cs="Arial"/>
                <w:sz w:val="20"/>
                <w:szCs w:val="20"/>
                <w:lang w:eastAsia="en-GB"/>
              </w:rPr>
              <w:t>8</w:t>
            </w:r>
          </w:p>
        </w:tc>
        <w:tc>
          <w:tcPr>
            <w:tcW w:w="483" w:type="pct"/>
          </w:tcPr>
          <w:p w14:paraId="02365B4F" w14:textId="71F235B2" w:rsidR="005F73B1" w:rsidRPr="00190D4B" w:rsidRDefault="005F73B1" w:rsidP="00192DC7">
            <w:pPr>
              <w:pStyle w:val="Tabletext"/>
              <w:spacing w:after="120"/>
              <w:rPr>
                <w:rFonts w:cs="Arial"/>
                <w:sz w:val="20"/>
                <w:szCs w:val="20"/>
              </w:rPr>
            </w:pPr>
            <w:r w:rsidRPr="00190D4B">
              <w:rPr>
                <w:rFonts w:cs="Arial"/>
                <w:sz w:val="20"/>
                <w:szCs w:val="20"/>
              </w:rPr>
              <w:t>SCM5</w:t>
            </w:r>
          </w:p>
        </w:tc>
        <w:tc>
          <w:tcPr>
            <w:tcW w:w="1111" w:type="pct"/>
          </w:tcPr>
          <w:p w14:paraId="7A5988FD" w14:textId="17482163" w:rsidR="005F73B1" w:rsidRPr="00190D4B" w:rsidRDefault="005F73B1" w:rsidP="00192DC7">
            <w:pPr>
              <w:pStyle w:val="Paragraphnonumbers"/>
              <w:spacing w:after="120" w:line="240" w:lineRule="auto"/>
              <w:rPr>
                <w:rFonts w:cs="Arial"/>
                <w:sz w:val="20"/>
                <w:szCs w:val="20"/>
              </w:rPr>
            </w:pPr>
            <w:r w:rsidRPr="00190D4B">
              <w:rPr>
                <w:rFonts w:cs="Arial"/>
                <w:sz w:val="20"/>
                <w:szCs w:val="20"/>
              </w:rPr>
              <w:t>Screening for predictors of adverse outcome (anaemia, diabetes control, hypertension control, frailty and dementia) in preoperative assessment clinic and in emergency surgery</w:t>
            </w:r>
          </w:p>
        </w:tc>
        <w:tc>
          <w:tcPr>
            <w:tcW w:w="1402" w:type="pct"/>
          </w:tcPr>
          <w:p w14:paraId="57E940F5" w14:textId="420446C6" w:rsidR="005F73B1" w:rsidRPr="00190D4B" w:rsidRDefault="005F73B1" w:rsidP="00192DC7">
            <w:pPr>
              <w:pStyle w:val="Paragraphnonumbers"/>
              <w:spacing w:after="120" w:line="240" w:lineRule="auto"/>
              <w:rPr>
                <w:rFonts w:cs="Arial"/>
                <w:sz w:val="20"/>
                <w:szCs w:val="20"/>
              </w:rPr>
            </w:pPr>
            <w:r w:rsidRPr="00190D4B">
              <w:rPr>
                <w:rFonts w:cs="Arial"/>
                <w:sz w:val="20"/>
                <w:szCs w:val="20"/>
              </w:rPr>
              <w:t>GIRFT data demonstrates variation in screening of predictors of adverse outcome</w:t>
            </w:r>
          </w:p>
        </w:tc>
        <w:tc>
          <w:tcPr>
            <w:tcW w:w="916" w:type="pct"/>
          </w:tcPr>
          <w:p w14:paraId="2A6DC8E7" w14:textId="77777777" w:rsidR="005F73B1" w:rsidRPr="00190D4B" w:rsidRDefault="005F73B1" w:rsidP="00192DC7">
            <w:pPr>
              <w:pStyle w:val="Paragraphnonumbers"/>
              <w:spacing w:after="120" w:line="240" w:lineRule="auto"/>
              <w:rPr>
                <w:rFonts w:cs="Arial"/>
                <w:sz w:val="20"/>
                <w:szCs w:val="20"/>
              </w:rPr>
            </w:pPr>
          </w:p>
        </w:tc>
        <w:tc>
          <w:tcPr>
            <w:tcW w:w="896" w:type="pct"/>
          </w:tcPr>
          <w:p w14:paraId="50C10DD9" w14:textId="77777777" w:rsidR="005F73B1" w:rsidRPr="00190D4B" w:rsidRDefault="005F73B1" w:rsidP="00192DC7">
            <w:pPr>
              <w:pStyle w:val="Tabletext"/>
              <w:spacing w:after="120"/>
              <w:rPr>
                <w:rFonts w:cs="Arial"/>
                <w:sz w:val="20"/>
                <w:szCs w:val="20"/>
              </w:rPr>
            </w:pPr>
          </w:p>
        </w:tc>
      </w:tr>
      <w:tr w:rsidR="005F73B1" w:rsidRPr="00190D4B" w14:paraId="528AF42B" w14:textId="77777777" w:rsidTr="00477F9C">
        <w:trPr>
          <w:trHeight w:val="282"/>
        </w:trPr>
        <w:tc>
          <w:tcPr>
            <w:tcW w:w="192" w:type="pct"/>
          </w:tcPr>
          <w:p w14:paraId="1F918EB3" w14:textId="48E055CC" w:rsidR="005F73B1" w:rsidRPr="00190D4B" w:rsidRDefault="002C610D" w:rsidP="00192DC7">
            <w:pPr>
              <w:pStyle w:val="Tabletext"/>
              <w:spacing w:after="120"/>
              <w:rPr>
                <w:rFonts w:cs="Arial"/>
                <w:sz w:val="20"/>
                <w:szCs w:val="20"/>
                <w:lang w:eastAsia="en-GB"/>
              </w:rPr>
            </w:pPr>
            <w:r>
              <w:rPr>
                <w:rFonts w:cs="Arial"/>
                <w:sz w:val="20"/>
                <w:szCs w:val="20"/>
                <w:lang w:eastAsia="en-GB"/>
              </w:rPr>
              <w:t>29</w:t>
            </w:r>
          </w:p>
        </w:tc>
        <w:tc>
          <w:tcPr>
            <w:tcW w:w="483" w:type="pct"/>
          </w:tcPr>
          <w:p w14:paraId="2E1C23EC" w14:textId="1F41A768" w:rsidR="005F73B1" w:rsidRPr="00190D4B" w:rsidRDefault="005F73B1" w:rsidP="00192DC7">
            <w:pPr>
              <w:pStyle w:val="Tabletext"/>
              <w:spacing w:after="120"/>
              <w:rPr>
                <w:rFonts w:cs="Arial"/>
                <w:sz w:val="20"/>
                <w:szCs w:val="20"/>
              </w:rPr>
            </w:pPr>
            <w:r w:rsidRPr="00190D4B">
              <w:rPr>
                <w:rFonts w:cs="Arial"/>
                <w:sz w:val="20"/>
                <w:szCs w:val="20"/>
              </w:rPr>
              <w:t>SCM5</w:t>
            </w:r>
          </w:p>
        </w:tc>
        <w:tc>
          <w:tcPr>
            <w:tcW w:w="1111" w:type="pct"/>
          </w:tcPr>
          <w:p w14:paraId="089AE5BC" w14:textId="4F481CAA" w:rsidR="005F73B1" w:rsidRPr="00190D4B" w:rsidRDefault="005F73B1" w:rsidP="00192DC7">
            <w:pPr>
              <w:pStyle w:val="Paragraphnonumbers"/>
              <w:spacing w:after="120" w:line="240" w:lineRule="auto"/>
              <w:rPr>
                <w:rFonts w:cs="Arial"/>
                <w:sz w:val="20"/>
                <w:szCs w:val="20"/>
              </w:rPr>
            </w:pPr>
            <w:r w:rsidRPr="00190D4B">
              <w:rPr>
                <w:rFonts w:cs="Arial"/>
                <w:sz w:val="20"/>
                <w:szCs w:val="20"/>
              </w:rPr>
              <w:t>Implementation of CGA based perioperative services for patients living with MLTC, frailty and or dementia at risk of adverse outcome</w:t>
            </w:r>
          </w:p>
        </w:tc>
        <w:tc>
          <w:tcPr>
            <w:tcW w:w="1402" w:type="pct"/>
          </w:tcPr>
          <w:p w14:paraId="5AEBD881"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NELA, NHFD, GIRFT identified variation in frailty identification and assessment with many older patients who arrive through the emergency pathway not having an initial assessment. Similar data in QIP audits in elective surgical settings. Where patients are not assessed, it’s less likely there will be an effective early response because patients may be assessed by staff in A&amp;E or other medical or surgical specialties where frailty assessment is not embedded in pathways and practice</w:t>
            </w:r>
          </w:p>
          <w:p w14:paraId="24DDABB9"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CGA based perioperative services have clinical and cost effectiveness</w:t>
            </w:r>
          </w:p>
          <w:p w14:paraId="396C1E56" w14:textId="6711B065"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Scale up of such services being evaluated through NIHR funded study  </w:t>
            </w:r>
          </w:p>
        </w:tc>
        <w:tc>
          <w:tcPr>
            <w:tcW w:w="916" w:type="pct"/>
          </w:tcPr>
          <w:p w14:paraId="57EED613"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NHS England CQUIN05 specifies rapid identification of frailty in emergency care settings followed by initiation of comprehensive geriatric assessment</w:t>
            </w:r>
          </w:p>
          <w:p w14:paraId="00976BA7" w14:textId="3D6D834C" w:rsidR="005F73B1" w:rsidRPr="00190D4B" w:rsidRDefault="005F73B1" w:rsidP="00192DC7">
            <w:pPr>
              <w:pStyle w:val="Paragraphnonumbers"/>
              <w:spacing w:after="120" w:line="240" w:lineRule="auto"/>
              <w:rPr>
                <w:rFonts w:cs="Arial"/>
                <w:sz w:val="20"/>
                <w:szCs w:val="20"/>
              </w:rPr>
            </w:pPr>
            <w:r w:rsidRPr="00190D4B">
              <w:rPr>
                <w:rFonts w:cs="Arial"/>
                <w:sz w:val="20"/>
                <w:szCs w:val="20"/>
              </w:rPr>
              <w:t>Similar approaches in elective setting across different surgical specialties CPOC/BGS guidance</w:t>
            </w:r>
          </w:p>
          <w:p w14:paraId="03D49633" w14:textId="4C09837D" w:rsidR="005F73B1" w:rsidRPr="00190D4B" w:rsidRDefault="005F73B1" w:rsidP="00192DC7">
            <w:pPr>
              <w:pStyle w:val="Paragraphnonumbers"/>
              <w:spacing w:after="120" w:line="240" w:lineRule="auto"/>
              <w:rPr>
                <w:rFonts w:cs="Arial"/>
                <w:sz w:val="20"/>
                <w:szCs w:val="20"/>
              </w:rPr>
            </w:pPr>
            <w:r w:rsidRPr="00190D4B">
              <w:rPr>
                <w:rFonts w:cs="Arial"/>
                <w:sz w:val="20"/>
                <w:szCs w:val="20"/>
              </w:rPr>
              <w:t>JOCC/BGS guidance</w:t>
            </w:r>
          </w:p>
        </w:tc>
        <w:tc>
          <w:tcPr>
            <w:tcW w:w="896" w:type="pct"/>
          </w:tcPr>
          <w:p w14:paraId="0D92C48C" w14:textId="77777777" w:rsidR="005F73B1" w:rsidRPr="00190D4B" w:rsidRDefault="005F73B1" w:rsidP="00192DC7">
            <w:pPr>
              <w:pStyle w:val="Tabletext"/>
              <w:spacing w:after="120"/>
              <w:rPr>
                <w:rFonts w:cs="Arial"/>
                <w:sz w:val="20"/>
                <w:szCs w:val="20"/>
              </w:rPr>
            </w:pPr>
          </w:p>
        </w:tc>
      </w:tr>
      <w:tr w:rsidR="005F73B1" w:rsidRPr="00190D4B" w14:paraId="02771011" w14:textId="77777777" w:rsidTr="00477F9C">
        <w:trPr>
          <w:trHeight w:val="282"/>
        </w:trPr>
        <w:tc>
          <w:tcPr>
            <w:tcW w:w="192" w:type="pct"/>
          </w:tcPr>
          <w:p w14:paraId="0138AFE4" w14:textId="5AFC6A2B" w:rsidR="005F73B1" w:rsidRPr="00190D4B" w:rsidRDefault="002C610D" w:rsidP="00192DC7">
            <w:pPr>
              <w:pStyle w:val="Tabletext"/>
              <w:spacing w:after="120"/>
              <w:rPr>
                <w:rFonts w:cs="Arial"/>
                <w:sz w:val="20"/>
                <w:szCs w:val="20"/>
                <w:lang w:eastAsia="en-GB"/>
              </w:rPr>
            </w:pPr>
            <w:r>
              <w:rPr>
                <w:rFonts w:cs="Arial"/>
                <w:sz w:val="20"/>
                <w:szCs w:val="20"/>
                <w:lang w:eastAsia="en-GB"/>
              </w:rPr>
              <w:t>30</w:t>
            </w:r>
          </w:p>
        </w:tc>
        <w:tc>
          <w:tcPr>
            <w:tcW w:w="483" w:type="pct"/>
          </w:tcPr>
          <w:p w14:paraId="76C06F34" w14:textId="255C6834" w:rsidR="005F73B1" w:rsidRPr="00190D4B" w:rsidRDefault="005F73B1" w:rsidP="00192DC7">
            <w:pPr>
              <w:pStyle w:val="Tabletext"/>
              <w:spacing w:after="120"/>
              <w:rPr>
                <w:rFonts w:cs="Arial"/>
                <w:sz w:val="20"/>
                <w:szCs w:val="20"/>
              </w:rPr>
            </w:pPr>
            <w:r w:rsidRPr="00190D4B">
              <w:rPr>
                <w:rFonts w:cs="Arial"/>
                <w:sz w:val="20"/>
                <w:szCs w:val="20"/>
              </w:rPr>
              <w:t>SCM6</w:t>
            </w:r>
          </w:p>
        </w:tc>
        <w:tc>
          <w:tcPr>
            <w:tcW w:w="1111" w:type="pct"/>
          </w:tcPr>
          <w:p w14:paraId="2DE6D41F"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Prehab/ Optimisation pre-surgery.</w:t>
            </w:r>
          </w:p>
          <w:p w14:paraId="4F7712A1" w14:textId="53B2423E" w:rsidR="005F73B1" w:rsidRPr="00190D4B" w:rsidRDefault="005F73B1" w:rsidP="00192DC7">
            <w:pPr>
              <w:pStyle w:val="Paragraphnonumbers"/>
              <w:spacing w:after="120" w:line="240" w:lineRule="auto"/>
              <w:rPr>
                <w:rFonts w:cs="Arial"/>
                <w:sz w:val="20"/>
                <w:szCs w:val="20"/>
              </w:rPr>
            </w:pPr>
            <w:r w:rsidRPr="00190D4B">
              <w:rPr>
                <w:rFonts w:cs="Arial"/>
                <w:sz w:val="20"/>
                <w:szCs w:val="20"/>
              </w:rPr>
              <w:t>Emergency surgery</w:t>
            </w:r>
          </w:p>
        </w:tc>
        <w:tc>
          <w:tcPr>
            <w:tcW w:w="1402" w:type="pct"/>
          </w:tcPr>
          <w:p w14:paraId="58556430"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Emergency surgery is extremely overlooked. Both for post-op care, rehab and short and longer term recovery.</w:t>
            </w:r>
          </w:p>
          <w:p w14:paraId="10DED2A5" w14:textId="4F1DC1AC"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Geris input low at </w:t>
            </w:r>
            <w:proofErr w:type="spellStart"/>
            <w:r w:rsidRPr="00190D4B">
              <w:rPr>
                <w:rFonts w:cs="Arial"/>
                <w:sz w:val="20"/>
                <w:szCs w:val="20"/>
              </w:rPr>
              <w:t>EmLap</w:t>
            </w:r>
            <w:proofErr w:type="spellEnd"/>
            <w:r w:rsidRPr="00190D4B">
              <w:rPr>
                <w:rFonts w:cs="Arial"/>
                <w:sz w:val="20"/>
                <w:szCs w:val="20"/>
              </w:rPr>
              <w:t xml:space="preserve"> (see NELA) could be improved.</w:t>
            </w:r>
          </w:p>
          <w:p w14:paraId="26128FB8" w14:textId="22539B6A"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Other topics need to be optimised in elective surgery.</w:t>
            </w:r>
          </w:p>
        </w:tc>
        <w:tc>
          <w:tcPr>
            <w:tcW w:w="916" w:type="pct"/>
          </w:tcPr>
          <w:p w14:paraId="526E5DE8"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Prehab/ optimisation- lots of publications (NIHR, </w:t>
            </w:r>
            <w:proofErr w:type="spellStart"/>
            <w:r w:rsidRPr="00190D4B">
              <w:rPr>
                <w:rFonts w:cs="Arial"/>
                <w:sz w:val="20"/>
                <w:szCs w:val="20"/>
              </w:rPr>
              <w:t>RCoA</w:t>
            </w:r>
            <w:proofErr w:type="spellEnd"/>
            <w:r w:rsidRPr="00190D4B">
              <w:rPr>
                <w:rFonts w:cs="Arial"/>
                <w:sz w:val="20"/>
                <w:szCs w:val="20"/>
              </w:rPr>
              <w:t xml:space="preserve"> Guidance) and Centre for </w:t>
            </w:r>
            <w:proofErr w:type="spellStart"/>
            <w:r w:rsidRPr="00190D4B">
              <w:rPr>
                <w:rFonts w:cs="Arial"/>
                <w:sz w:val="20"/>
                <w:szCs w:val="20"/>
              </w:rPr>
              <w:t>Periop</w:t>
            </w:r>
            <w:proofErr w:type="spellEnd"/>
            <w:r w:rsidRPr="00190D4B">
              <w:rPr>
                <w:rFonts w:cs="Arial"/>
                <w:sz w:val="20"/>
                <w:szCs w:val="20"/>
              </w:rPr>
              <w:t xml:space="preserve"> care.</w:t>
            </w:r>
          </w:p>
          <w:p w14:paraId="22E584A7" w14:textId="6775C2D1"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Shared decision-making available at CPOC but how </w:t>
            </w:r>
            <w:r w:rsidRPr="00190D4B">
              <w:rPr>
                <w:rFonts w:cs="Arial"/>
                <w:sz w:val="20"/>
                <w:szCs w:val="20"/>
              </w:rPr>
              <w:lastRenderedPageBreak/>
              <w:t xml:space="preserve">to actually make sure it happens </w:t>
            </w:r>
          </w:p>
          <w:p w14:paraId="31204888" w14:textId="5A1EB795"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NELA for geris input in </w:t>
            </w:r>
            <w:proofErr w:type="spellStart"/>
            <w:r w:rsidRPr="00190D4B">
              <w:rPr>
                <w:rFonts w:cs="Arial"/>
                <w:sz w:val="20"/>
                <w:szCs w:val="20"/>
              </w:rPr>
              <w:t>EmLap</w:t>
            </w:r>
            <w:proofErr w:type="spellEnd"/>
          </w:p>
        </w:tc>
        <w:tc>
          <w:tcPr>
            <w:tcW w:w="896" w:type="pct"/>
          </w:tcPr>
          <w:p w14:paraId="3E8B5635" w14:textId="77777777" w:rsidR="005F73B1" w:rsidRPr="00190D4B" w:rsidRDefault="005F73B1" w:rsidP="00192DC7">
            <w:pPr>
              <w:pStyle w:val="Tabletext"/>
              <w:spacing w:after="120"/>
              <w:rPr>
                <w:rFonts w:cs="Arial"/>
                <w:sz w:val="20"/>
                <w:szCs w:val="20"/>
              </w:rPr>
            </w:pPr>
          </w:p>
        </w:tc>
      </w:tr>
      <w:tr w:rsidR="008F42F2" w:rsidRPr="00190D4B" w14:paraId="2F461C95" w14:textId="77777777" w:rsidTr="00477F9C">
        <w:trPr>
          <w:trHeight w:val="282"/>
        </w:trPr>
        <w:tc>
          <w:tcPr>
            <w:tcW w:w="192" w:type="pct"/>
          </w:tcPr>
          <w:p w14:paraId="188DB29E" w14:textId="0C60FA56" w:rsidR="008F42F2" w:rsidRPr="00190D4B" w:rsidRDefault="002C610D" w:rsidP="00192DC7">
            <w:pPr>
              <w:pStyle w:val="Tabletext"/>
              <w:spacing w:after="120"/>
              <w:rPr>
                <w:rFonts w:cs="Arial"/>
                <w:sz w:val="20"/>
                <w:szCs w:val="20"/>
                <w:lang w:eastAsia="en-GB"/>
              </w:rPr>
            </w:pPr>
            <w:r>
              <w:rPr>
                <w:rFonts w:cs="Arial"/>
                <w:sz w:val="20"/>
                <w:szCs w:val="20"/>
                <w:lang w:eastAsia="en-GB"/>
              </w:rPr>
              <w:t>31</w:t>
            </w:r>
          </w:p>
        </w:tc>
        <w:tc>
          <w:tcPr>
            <w:tcW w:w="483" w:type="pct"/>
          </w:tcPr>
          <w:p w14:paraId="0F0A2926" w14:textId="15BEC3CC" w:rsidR="008F42F2" w:rsidRPr="00190D4B" w:rsidRDefault="008F42F2" w:rsidP="00192DC7">
            <w:pPr>
              <w:pStyle w:val="Tabletext"/>
              <w:spacing w:after="120"/>
              <w:rPr>
                <w:rFonts w:cs="Arial"/>
                <w:sz w:val="20"/>
                <w:szCs w:val="20"/>
              </w:rPr>
            </w:pPr>
            <w:r w:rsidRPr="00190D4B">
              <w:rPr>
                <w:rFonts w:cs="Arial"/>
                <w:sz w:val="20"/>
                <w:szCs w:val="20"/>
              </w:rPr>
              <w:t>SCM7</w:t>
            </w:r>
          </w:p>
        </w:tc>
        <w:tc>
          <w:tcPr>
            <w:tcW w:w="1111" w:type="pct"/>
          </w:tcPr>
          <w:p w14:paraId="13D950CD" w14:textId="169AF39B" w:rsidR="008F42F2" w:rsidRPr="00190D4B" w:rsidRDefault="008F42F2" w:rsidP="00192DC7">
            <w:pPr>
              <w:pStyle w:val="Paragraphnonumbers"/>
              <w:spacing w:after="120" w:line="240" w:lineRule="auto"/>
              <w:rPr>
                <w:rFonts w:cs="Arial"/>
                <w:sz w:val="20"/>
                <w:szCs w:val="20"/>
              </w:rPr>
            </w:pPr>
            <w:r w:rsidRPr="00190D4B">
              <w:rPr>
                <w:rFonts w:cs="Arial"/>
                <w:sz w:val="20"/>
                <w:szCs w:val="20"/>
              </w:rPr>
              <w:t>Patients identified to be living with severe and complex obesity preoperatively should be offered treatment for this modifiable comorbidity prior to surgery</w:t>
            </w:r>
          </w:p>
        </w:tc>
        <w:tc>
          <w:tcPr>
            <w:tcW w:w="1402" w:type="pct"/>
          </w:tcPr>
          <w:p w14:paraId="5DFE8E3D" w14:textId="77777777" w:rsidR="008F42F2" w:rsidRPr="00190D4B" w:rsidRDefault="008F42F2" w:rsidP="00192DC7">
            <w:pPr>
              <w:pStyle w:val="Paragraphnonumbers"/>
              <w:spacing w:after="120" w:line="240" w:lineRule="auto"/>
              <w:rPr>
                <w:rFonts w:cs="Arial"/>
                <w:sz w:val="20"/>
                <w:szCs w:val="20"/>
              </w:rPr>
            </w:pPr>
            <w:r w:rsidRPr="00190D4B">
              <w:rPr>
                <w:rFonts w:cs="Arial"/>
                <w:sz w:val="20"/>
                <w:szCs w:val="20"/>
              </w:rPr>
              <w:t>There is evidence of significant variation in use of body mass index cut offs for orthopaedic surgery and referral for weight management patients in excess of these BMI cut-offs (McLaughlin et al, 2023).</w:t>
            </w:r>
          </w:p>
          <w:p w14:paraId="09A39893" w14:textId="77777777" w:rsidR="008F42F2" w:rsidRPr="00190D4B" w:rsidRDefault="008F42F2" w:rsidP="00192DC7">
            <w:pPr>
              <w:pStyle w:val="Paragraphnonumbers"/>
              <w:spacing w:after="120" w:line="240" w:lineRule="auto"/>
              <w:rPr>
                <w:rFonts w:cs="Arial"/>
                <w:sz w:val="20"/>
                <w:szCs w:val="20"/>
              </w:rPr>
            </w:pPr>
            <w:r w:rsidRPr="00190D4B">
              <w:rPr>
                <w:rFonts w:cs="Arial"/>
                <w:sz w:val="20"/>
                <w:szCs w:val="20"/>
              </w:rPr>
              <w:t>There is significant variation in access to specialist weight management services across the NHS.A freedom of information study across the 42 ICSs reported that 34 commissioned medical weight management programmes and 38 funding bariatric surgery. Thirteen reported using criteria that were not compliant with NICE guidance. A large area of the country centred around the East of England does not have a bariatric unit reducing access to care. There is significant geographical variation in the availability of both bariatric and specialist medical weight management services across England, with large portions of the country without local access to a service or no service at all. Where services are available, there is significant inconsistency in eligibility for bariatric surgery despite nationally available guidance (</w:t>
            </w:r>
            <w:proofErr w:type="spellStart"/>
            <w:r w:rsidRPr="00190D4B">
              <w:rPr>
                <w:rFonts w:cs="Arial"/>
                <w:sz w:val="20"/>
                <w:szCs w:val="20"/>
              </w:rPr>
              <w:t>Elhariry</w:t>
            </w:r>
            <w:proofErr w:type="spellEnd"/>
            <w:r w:rsidRPr="00190D4B">
              <w:rPr>
                <w:rFonts w:cs="Arial"/>
                <w:sz w:val="20"/>
                <w:szCs w:val="20"/>
              </w:rPr>
              <w:t>, 2025).</w:t>
            </w:r>
          </w:p>
          <w:p w14:paraId="6420EDC8" w14:textId="77777777" w:rsidR="008F42F2" w:rsidRPr="00190D4B" w:rsidRDefault="008F42F2" w:rsidP="00192DC7">
            <w:pPr>
              <w:pStyle w:val="Paragraphnonumbers"/>
              <w:spacing w:after="120" w:line="240" w:lineRule="auto"/>
              <w:rPr>
                <w:rFonts w:cs="Arial"/>
                <w:sz w:val="20"/>
                <w:szCs w:val="20"/>
              </w:rPr>
            </w:pPr>
            <w:r w:rsidRPr="00190D4B">
              <w:rPr>
                <w:rFonts w:cs="Arial"/>
                <w:sz w:val="20"/>
                <w:szCs w:val="20"/>
              </w:rPr>
              <w:t xml:space="preserve">McLaughlin J, Elsey J, Kipping R, Owen-Smith A, Judge A, McLeod H. Access to hip and knee arthroplasty in England: commissioners’ policies for body mass </w:t>
            </w:r>
            <w:r w:rsidRPr="00190D4B">
              <w:rPr>
                <w:rFonts w:cs="Arial"/>
                <w:sz w:val="20"/>
                <w:szCs w:val="20"/>
              </w:rPr>
              <w:lastRenderedPageBreak/>
              <w:t xml:space="preserve">index and smoking status and implications for integrated care systems. BMC Health </w:t>
            </w:r>
            <w:proofErr w:type="spellStart"/>
            <w:r w:rsidRPr="00190D4B">
              <w:rPr>
                <w:rFonts w:cs="Arial"/>
                <w:sz w:val="20"/>
                <w:szCs w:val="20"/>
              </w:rPr>
              <w:t>Serv</w:t>
            </w:r>
            <w:proofErr w:type="spellEnd"/>
            <w:r w:rsidRPr="00190D4B">
              <w:rPr>
                <w:rFonts w:cs="Arial"/>
                <w:sz w:val="20"/>
                <w:szCs w:val="20"/>
              </w:rPr>
              <w:t xml:space="preserve"> Res. 2023;23(1):77.</w:t>
            </w:r>
          </w:p>
          <w:p w14:paraId="12FD9294" w14:textId="3507E728" w:rsidR="008F42F2" w:rsidRPr="00190D4B" w:rsidRDefault="008F42F2" w:rsidP="00192DC7">
            <w:pPr>
              <w:pStyle w:val="Paragraphnonumbers"/>
              <w:spacing w:after="120" w:line="240" w:lineRule="auto"/>
              <w:rPr>
                <w:rFonts w:cs="Arial"/>
                <w:sz w:val="20"/>
                <w:szCs w:val="20"/>
              </w:rPr>
            </w:pPr>
            <w:proofErr w:type="spellStart"/>
            <w:r w:rsidRPr="00190D4B">
              <w:rPr>
                <w:rFonts w:cs="Arial"/>
                <w:sz w:val="20"/>
                <w:szCs w:val="20"/>
              </w:rPr>
              <w:t>Elhariry</w:t>
            </w:r>
            <w:proofErr w:type="spellEnd"/>
            <w:r w:rsidRPr="00190D4B">
              <w:rPr>
                <w:rFonts w:cs="Arial"/>
                <w:sz w:val="20"/>
                <w:szCs w:val="20"/>
              </w:rPr>
              <w:t xml:space="preserve"> M, Iyer P, Isack N, et al.</w:t>
            </w:r>
            <w:r w:rsidR="00AB7967">
              <w:rPr>
                <w:rFonts w:cs="Arial"/>
                <w:sz w:val="20"/>
                <w:szCs w:val="20"/>
              </w:rPr>
              <w:t xml:space="preserve"> </w:t>
            </w:r>
            <w:r w:rsidRPr="00190D4B">
              <w:rPr>
                <w:rFonts w:cs="Arial"/>
                <w:sz w:val="20"/>
                <w:szCs w:val="20"/>
              </w:rPr>
              <w:t>Variation in the commissioning of specialist weight</w:t>
            </w:r>
            <w:r w:rsidR="00AB7967">
              <w:rPr>
                <w:rFonts w:cs="Arial"/>
                <w:sz w:val="20"/>
                <w:szCs w:val="20"/>
              </w:rPr>
              <w:t xml:space="preserve"> </w:t>
            </w:r>
            <w:r w:rsidRPr="00190D4B">
              <w:rPr>
                <w:rFonts w:cs="Arial"/>
                <w:sz w:val="20"/>
                <w:szCs w:val="20"/>
              </w:rPr>
              <w:t xml:space="preserve">management services and bariatric surgery across </w:t>
            </w:r>
            <w:proofErr w:type="spellStart"/>
            <w:r w:rsidRPr="00190D4B">
              <w:rPr>
                <w:rFonts w:cs="Arial"/>
                <w:sz w:val="20"/>
                <w:szCs w:val="20"/>
              </w:rPr>
              <w:t>England:Results</w:t>
            </w:r>
            <w:proofErr w:type="spellEnd"/>
            <w:r w:rsidRPr="00190D4B">
              <w:rPr>
                <w:rFonts w:cs="Arial"/>
                <w:sz w:val="20"/>
                <w:szCs w:val="20"/>
              </w:rPr>
              <w:t xml:space="preserve"> of a freedom of information-based mapping exercise</w:t>
            </w:r>
            <w:r w:rsidR="00AB7967">
              <w:rPr>
                <w:rFonts w:cs="Arial"/>
                <w:sz w:val="20"/>
                <w:szCs w:val="20"/>
              </w:rPr>
              <w:t xml:space="preserve"> </w:t>
            </w:r>
            <w:r w:rsidRPr="00190D4B">
              <w:rPr>
                <w:rFonts w:cs="Arial"/>
                <w:sz w:val="20"/>
                <w:szCs w:val="20"/>
              </w:rPr>
              <w:t>across the 42 integrated Care Systems of England. Clinical</w:t>
            </w:r>
            <w:r w:rsidR="00AB7967">
              <w:rPr>
                <w:rFonts w:cs="Arial"/>
                <w:sz w:val="20"/>
                <w:szCs w:val="20"/>
              </w:rPr>
              <w:t xml:space="preserve"> </w:t>
            </w:r>
            <w:r w:rsidRPr="00190D4B">
              <w:rPr>
                <w:rFonts w:cs="Arial"/>
                <w:sz w:val="20"/>
                <w:szCs w:val="20"/>
              </w:rPr>
              <w:t>Obesity. 2025;15(3):e12731. doi:10.1111/cob.12731ELHARIRY ET AL . 9 of 9</w:t>
            </w:r>
          </w:p>
        </w:tc>
        <w:tc>
          <w:tcPr>
            <w:tcW w:w="916" w:type="pct"/>
          </w:tcPr>
          <w:p w14:paraId="24ED03E5" w14:textId="6129751A" w:rsidR="008F42F2" w:rsidRPr="00190D4B" w:rsidRDefault="008F42F2" w:rsidP="00192DC7">
            <w:pPr>
              <w:pStyle w:val="Paragraphnonumbers"/>
              <w:spacing w:after="120" w:line="240" w:lineRule="auto"/>
              <w:rPr>
                <w:rFonts w:cs="Arial"/>
                <w:sz w:val="20"/>
                <w:szCs w:val="20"/>
              </w:rPr>
            </w:pPr>
            <w:r w:rsidRPr="00190D4B">
              <w:rPr>
                <w:rFonts w:cs="Arial"/>
                <w:sz w:val="20"/>
                <w:szCs w:val="20"/>
              </w:rPr>
              <w:lastRenderedPageBreak/>
              <w:t>Clinical Practice Research Database (BMI, obesity medication, specialist weight management referral) and Hospital Episode Statistics (Obesity coding, Surgery for obesity treatment codes) are routinely collected.</w:t>
            </w:r>
          </w:p>
        </w:tc>
        <w:tc>
          <w:tcPr>
            <w:tcW w:w="896" w:type="pct"/>
          </w:tcPr>
          <w:p w14:paraId="635CEEB7" w14:textId="77777777" w:rsidR="008F42F2" w:rsidRPr="00190D4B" w:rsidRDefault="008F42F2" w:rsidP="00192DC7">
            <w:pPr>
              <w:pStyle w:val="Tabletext"/>
              <w:spacing w:after="120"/>
              <w:rPr>
                <w:rFonts w:cs="Arial"/>
                <w:sz w:val="20"/>
                <w:szCs w:val="20"/>
              </w:rPr>
            </w:pPr>
            <w:r w:rsidRPr="00190D4B">
              <w:rPr>
                <w:rFonts w:cs="Arial"/>
                <w:sz w:val="20"/>
                <w:szCs w:val="20"/>
              </w:rPr>
              <w:t>Background</w:t>
            </w:r>
          </w:p>
          <w:p w14:paraId="7F3EC622" w14:textId="77777777" w:rsidR="008F42F2" w:rsidRPr="00190D4B" w:rsidRDefault="008F42F2" w:rsidP="00192DC7">
            <w:pPr>
              <w:pStyle w:val="Tabletext"/>
              <w:spacing w:after="120"/>
              <w:rPr>
                <w:rFonts w:cs="Arial"/>
                <w:sz w:val="20"/>
                <w:szCs w:val="20"/>
              </w:rPr>
            </w:pPr>
            <w:r w:rsidRPr="00190D4B">
              <w:rPr>
                <w:rFonts w:cs="Arial"/>
                <w:sz w:val="20"/>
                <w:szCs w:val="20"/>
              </w:rPr>
              <w:t>The high co-prevalence of obesity and end-stage osteoarthritis requiring arthroplasty, with the former being a risk factor for complications during arthroplasty, has led to increasing interest in employing preoperative weight loss interventions such as bariatric surgery and diet modification. However, the current evidence is conflicting, and this study aimed to investigate the effect of weight loss intervention before arthroplasty in prospective randomized controlled trials.</w:t>
            </w:r>
          </w:p>
          <w:p w14:paraId="2643F685" w14:textId="77777777" w:rsidR="008F42F2" w:rsidRPr="00190D4B" w:rsidRDefault="008F42F2" w:rsidP="00192DC7">
            <w:pPr>
              <w:pStyle w:val="Tabletext"/>
              <w:spacing w:after="120"/>
              <w:rPr>
                <w:rFonts w:cs="Arial"/>
                <w:sz w:val="20"/>
                <w:szCs w:val="20"/>
              </w:rPr>
            </w:pPr>
            <w:r w:rsidRPr="00190D4B">
              <w:rPr>
                <w:rFonts w:cs="Arial"/>
                <w:sz w:val="20"/>
                <w:szCs w:val="20"/>
              </w:rPr>
              <w:t>Methods</w:t>
            </w:r>
          </w:p>
          <w:p w14:paraId="18552303" w14:textId="77777777" w:rsidR="008F42F2" w:rsidRPr="00190D4B" w:rsidRDefault="008F42F2" w:rsidP="00192DC7">
            <w:pPr>
              <w:pStyle w:val="Tabletext"/>
              <w:spacing w:after="120"/>
              <w:rPr>
                <w:rFonts w:cs="Arial"/>
                <w:sz w:val="20"/>
                <w:szCs w:val="20"/>
              </w:rPr>
            </w:pPr>
            <w:r w:rsidRPr="00190D4B">
              <w:rPr>
                <w:rFonts w:cs="Arial"/>
                <w:sz w:val="20"/>
                <w:szCs w:val="20"/>
              </w:rPr>
              <w:t xml:space="preserve">Four electronic databases (MEDLINE, EMBASE, Web of Science, and Cochrane Central Register of Controlled Trials) were searched for prospective randomized controlled </w:t>
            </w:r>
            <w:r w:rsidRPr="00190D4B">
              <w:rPr>
                <w:rFonts w:cs="Arial"/>
                <w:sz w:val="20"/>
                <w:szCs w:val="20"/>
              </w:rPr>
              <w:lastRenderedPageBreak/>
              <w:t>trials that compared weight loss interventions with usual care from inception to October 2023 by following the PRISMA guidelines. The Cochrane risk of bias tool and GRADE framework were used to assess the quality of the studies. Meta-analyses were performed when sufficient data were available from 2 or more studies.</w:t>
            </w:r>
          </w:p>
          <w:p w14:paraId="152CE3A3" w14:textId="77777777" w:rsidR="008F42F2" w:rsidRPr="00190D4B" w:rsidRDefault="008F42F2" w:rsidP="00192DC7">
            <w:pPr>
              <w:pStyle w:val="Tabletext"/>
              <w:spacing w:after="120"/>
              <w:rPr>
                <w:rFonts w:cs="Arial"/>
                <w:sz w:val="20"/>
                <w:szCs w:val="20"/>
              </w:rPr>
            </w:pPr>
            <w:r w:rsidRPr="00190D4B">
              <w:rPr>
                <w:rFonts w:cs="Arial"/>
                <w:sz w:val="20"/>
                <w:szCs w:val="20"/>
              </w:rPr>
              <w:t>Results</w:t>
            </w:r>
          </w:p>
          <w:p w14:paraId="7625AADF" w14:textId="77777777" w:rsidR="008F42F2" w:rsidRPr="00190D4B" w:rsidRDefault="008F42F2" w:rsidP="00192DC7">
            <w:pPr>
              <w:pStyle w:val="Tabletext"/>
              <w:spacing w:after="120"/>
              <w:rPr>
                <w:rFonts w:cs="Arial"/>
                <w:sz w:val="20"/>
                <w:szCs w:val="20"/>
              </w:rPr>
            </w:pPr>
            <w:r w:rsidRPr="00190D4B">
              <w:rPr>
                <w:rFonts w:cs="Arial"/>
                <w:sz w:val="20"/>
                <w:szCs w:val="20"/>
              </w:rPr>
              <w:t xml:space="preserve">Three randomized controlled trials involving 198 patients were identified. Two studies employed diet modification, and one study utilized bariatric surgery. All three studies reported significant reductions in body weight and body mass index (BMI), and intervention groups had fewer postoperative complications. There was no difference in the length of stay between the intervention group and the control group. Variable patient-reported outcome </w:t>
            </w:r>
            <w:r w:rsidRPr="00190D4B">
              <w:rPr>
                <w:rFonts w:cs="Arial"/>
                <w:sz w:val="20"/>
                <w:szCs w:val="20"/>
              </w:rPr>
              <w:lastRenderedPageBreak/>
              <w:t>measures were used by different research groups.</w:t>
            </w:r>
          </w:p>
          <w:p w14:paraId="1E1911DE" w14:textId="77777777" w:rsidR="008F42F2" w:rsidRPr="00190D4B" w:rsidRDefault="008F42F2" w:rsidP="00192DC7">
            <w:pPr>
              <w:pStyle w:val="Tabletext"/>
              <w:spacing w:after="120"/>
              <w:rPr>
                <w:rFonts w:cs="Arial"/>
                <w:sz w:val="20"/>
                <w:szCs w:val="20"/>
              </w:rPr>
            </w:pPr>
            <w:r w:rsidRPr="00190D4B">
              <w:rPr>
                <w:rFonts w:cs="Arial"/>
                <w:sz w:val="20"/>
                <w:szCs w:val="20"/>
              </w:rPr>
              <w:t>Conclusion</w:t>
            </w:r>
          </w:p>
          <w:p w14:paraId="42CF3802" w14:textId="77777777" w:rsidR="008F42F2" w:rsidRPr="00190D4B" w:rsidRDefault="008F42F2" w:rsidP="00192DC7">
            <w:pPr>
              <w:pStyle w:val="Tabletext"/>
              <w:spacing w:after="120"/>
              <w:rPr>
                <w:rFonts w:cs="Arial"/>
                <w:sz w:val="20"/>
                <w:szCs w:val="20"/>
              </w:rPr>
            </w:pPr>
            <w:r w:rsidRPr="00190D4B">
              <w:rPr>
                <w:rFonts w:cs="Arial"/>
                <w:sz w:val="20"/>
                <w:szCs w:val="20"/>
              </w:rPr>
              <w:t>Weight loss intervention can achieve significant reductions in body weight and body mass index before arthroplasty, with fewer postoperative complications reported. Further studies with different populations could confirm the effect of these interventions among populations with different obesity characteristics.</w:t>
            </w:r>
          </w:p>
          <w:p w14:paraId="33BB30A6" w14:textId="19118F73" w:rsidR="008F42F2" w:rsidRPr="00190D4B" w:rsidRDefault="008F42F2" w:rsidP="00192DC7">
            <w:pPr>
              <w:pStyle w:val="Tabletext"/>
              <w:spacing w:after="120"/>
              <w:rPr>
                <w:rFonts w:cs="Arial"/>
                <w:sz w:val="20"/>
                <w:szCs w:val="20"/>
              </w:rPr>
            </w:pPr>
            <w:r w:rsidRPr="00190D4B">
              <w:rPr>
                <w:rFonts w:cs="Arial"/>
                <w:sz w:val="20"/>
                <w:szCs w:val="20"/>
              </w:rPr>
              <w:t xml:space="preserve">Lau LCM, Chan PK, Lui TWD, Choi SW, Au E, Leung T, Luk MH, Cheung A, Fu H, Cheung MH, Chiu KY. Preoperative weight loss interventions before total hip and knee arthroplasty: a systematic review of randomized controlled trials. Arthroplasty. 2024 May 17;6(1):30. </w:t>
            </w:r>
            <w:proofErr w:type="spellStart"/>
            <w:r w:rsidRPr="00190D4B">
              <w:rPr>
                <w:rFonts w:cs="Arial"/>
                <w:sz w:val="20"/>
                <w:szCs w:val="20"/>
              </w:rPr>
              <w:t>doi</w:t>
            </w:r>
            <w:proofErr w:type="spellEnd"/>
            <w:r w:rsidRPr="00190D4B">
              <w:rPr>
                <w:rFonts w:cs="Arial"/>
                <w:sz w:val="20"/>
                <w:szCs w:val="20"/>
              </w:rPr>
              <w:t>: 10.1186/s42836-024-00252-4. PMID: 38755708;</w:t>
            </w:r>
          </w:p>
        </w:tc>
      </w:tr>
      <w:tr w:rsidR="005F73B1" w:rsidRPr="00190D4B" w14:paraId="612D044F" w14:textId="77777777" w:rsidTr="00477F9C">
        <w:trPr>
          <w:trHeight w:val="282"/>
        </w:trPr>
        <w:tc>
          <w:tcPr>
            <w:tcW w:w="192" w:type="pct"/>
          </w:tcPr>
          <w:p w14:paraId="39E2618E" w14:textId="19370C72" w:rsidR="005F73B1" w:rsidRPr="00190D4B" w:rsidRDefault="002C610D" w:rsidP="00192DC7">
            <w:pPr>
              <w:pStyle w:val="Tabletext"/>
              <w:spacing w:after="120"/>
              <w:rPr>
                <w:rFonts w:cs="Arial"/>
                <w:sz w:val="20"/>
                <w:szCs w:val="20"/>
                <w:lang w:eastAsia="en-GB"/>
              </w:rPr>
            </w:pPr>
            <w:r>
              <w:rPr>
                <w:rFonts w:cs="Arial"/>
                <w:sz w:val="20"/>
                <w:szCs w:val="20"/>
                <w:lang w:eastAsia="en-GB"/>
              </w:rPr>
              <w:lastRenderedPageBreak/>
              <w:t>3</w:t>
            </w:r>
            <w:r w:rsidR="005F73B1" w:rsidRPr="00190D4B">
              <w:rPr>
                <w:rFonts w:cs="Arial"/>
                <w:sz w:val="20"/>
                <w:szCs w:val="20"/>
                <w:lang w:eastAsia="en-GB"/>
              </w:rPr>
              <w:t>2</w:t>
            </w:r>
          </w:p>
        </w:tc>
        <w:tc>
          <w:tcPr>
            <w:tcW w:w="483" w:type="pct"/>
          </w:tcPr>
          <w:p w14:paraId="3CC55FA0" w14:textId="5C466981" w:rsidR="005F73B1" w:rsidRPr="00190D4B" w:rsidRDefault="005F73B1" w:rsidP="00192DC7">
            <w:pPr>
              <w:pStyle w:val="Tabletext"/>
              <w:spacing w:after="120"/>
              <w:rPr>
                <w:rFonts w:cs="Arial"/>
                <w:sz w:val="20"/>
                <w:szCs w:val="20"/>
              </w:rPr>
            </w:pPr>
            <w:r w:rsidRPr="00190D4B">
              <w:rPr>
                <w:rFonts w:cs="Arial"/>
                <w:sz w:val="20"/>
                <w:szCs w:val="20"/>
              </w:rPr>
              <w:t>YCR</w:t>
            </w:r>
          </w:p>
        </w:tc>
        <w:tc>
          <w:tcPr>
            <w:tcW w:w="1111" w:type="pct"/>
          </w:tcPr>
          <w:p w14:paraId="7AF24B32" w14:textId="17A4D87F"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All people who smoke should be automatically enrolled into </w:t>
            </w:r>
            <w:r w:rsidRPr="00190D4B">
              <w:rPr>
                <w:rFonts w:cs="Arial"/>
                <w:sz w:val="20"/>
                <w:szCs w:val="20"/>
              </w:rPr>
              <w:lastRenderedPageBreak/>
              <w:t>smoking cessation services whilst awaiting surgery.</w:t>
            </w:r>
          </w:p>
        </w:tc>
        <w:tc>
          <w:tcPr>
            <w:tcW w:w="1402" w:type="pct"/>
          </w:tcPr>
          <w:p w14:paraId="6DE83F14" w14:textId="58F8E67C"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Research consistently highlights the wide-ranging risks associated with perioperative smoking. For example, one study finds an increased relative risk of 20% for </w:t>
            </w:r>
            <w:r w:rsidRPr="00190D4B">
              <w:rPr>
                <w:rFonts w:cs="Arial"/>
                <w:sz w:val="20"/>
                <w:szCs w:val="20"/>
              </w:rPr>
              <w:lastRenderedPageBreak/>
              <w:t xml:space="preserve">postoperative mortality for those who currently smoked and a 40% increased relative risk of major postoperative complications.  Smoking before surgery can also increase hospital stays, readmission and admission into intensive care. </w:t>
            </w:r>
          </w:p>
          <w:p w14:paraId="1004459B" w14:textId="0C2A973E" w:rsidR="005F73B1" w:rsidRPr="00190D4B" w:rsidRDefault="005F73B1" w:rsidP="00192DC7">
            <w:pPr>
              <w:pStyle w:val="Paragraphnonumbers"/>
              <w:spacing w:after="120" w:line="240" w:lineRule="auto"/>
              <w:rPr>
                <w:rFonts w:cs="Arial"/>
                <w:sz w:val="20"/>
                <w:szCs w:val="20"/>
              </w:rPr>
            </w:pPr>
            <w:r w:rsidRPr="00190D4B">
              <w:rPr>
                <w:rFonts w:cs="Arial"/>
                <w:sz w:val="20"/>
                <w:szCs w:val="20"/>
              </w:rPr>
              <w:t>Evidence from various healthcare settings indicates that smoking cessation support should be ‘opt-out’ rather than ‘opt-in’. We recommend that all people who smoke are automatically enrolled into smoking cessation services before surgery. Evidence suggests that this is likely to be more effective than simply ‘discussing lifestyle modifications’ with people who smoke.</w:t>
            </w:r>
          </w:p>
          <w:p w14:paraId="03749965" w14:textId="28F64E67" w:rsidR="005F73B1" w:rsidRPr="00190D4B" w:rsidRDefault="005F73B1" w:rsidP="00192DC7">
            <w:pPr>
              <w:pStyle w:val="Paragraphnonumbers"/>
              <w:spacing w:after="120" w:line="240" w:lineRule="auto"/>
              <w:rPr>
                <w:rFonts w:cs="Arial"/>
                <w:sz w:val="20"/>
                <w:szCs w:val="20"/>
              </w:rPr>
            </w:pPr>
            <w:r w:rsidRPr="00190D4B">
              <w:rPr>
                <w:rFonts w:cs="Arial"/>
                <w:sz w:val="20"/>
                <w:szCs w:val="20"/>
              </w:rPr>
              <w:t>For example, the Yorkshire Enhanced Stop Smoking study (YESS) provided opt-out, co-located smoking cessation support to people who smoke as part of their lung screening appointments. 15.0% of all eligible people self-reported quitting after four weeks. This is a higher quit rate than is seen in lung screening units that do not provide such intensive intervention. For example, the UK Lung Screening Trial provided standard smoking cessation advice leaflets and signposted participants to existing services rather automatically enrolling people into an on-site service. This trial had a 9.9% self-reported quit rate, compared to the 15.0% quit rate of the YESS study at a comparable point.</w:t>
            </w:r>
          </w:p>
          <w:p w14:paraId="07CE69CC" w14:textId="42F0BFAE"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The automatic enrolment or ‘opt-out’ nature of the support helps smoking cessation </w:t>
            </w:r>
            <w:r w:rsidRPr="00190D4B">
              <w:rPr>
                <w:rFonts w:cs="Arial"/>
                <w:sz w:val="20"/>
                <w:szCs w:val="20"/>
              </w:rPr>
              <w:lastRenderedPageBreak/>
              <w:t>services to capture those who may otherwise pass up the opportunity to quit by presenting smoking cessation and the lung health checks as a comprehensive package rather than an optional add on. This approach has also been seen to be effective in maternity and hospital in-patient settings.</w:t>
            </w:r>
          </w:p>
          <w:p w14:paraId="3C3BC7B5" w14:textId="14BD72FB"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Surgical pathways should introduce a screening process for smoking status and automatically enrol people who smoke into smoking cessation support before surgery. Uptake and quit rates should be monitored and, where possible, smoking cessation support should be provided sufficiently ahead of surgery to increase likelihood of quitting. The standard best practice is 12 weeks of combined behavioural support and pharmacotherapy.  </w:t>
            </w:r>
          </w:p>
        </w:tc>
        <w:tc>
          <w:tcPr>
            <w:tcW w:w="916" w:type="pct"/>
          </w:tcPr>
          <w:p w14:paraId="63002323" w14:textId="0C5BC0DD" w:rsidR="005F73B1" w:rsidRPr="00190D4B" w:rsidRDefault="005F73B1" w:rsidP="00192DC7">
            <w:pPr>
              <w:pStyle w:val="Paragraphnonumbers"/>
              <w:spacing w:after="120" w:line="240" w:lineRule="auto"/>
              <w:rPr>
                <w:rFonts w:cs="Arial"/>
                <w:sz w:val="20"/>
                <w:szCs w:val="20"/>
              </w:rPr>
            </w:pPr>
            <w:r w:rsidRPr="00190D4B">
              <w:rPr>
                <w:rFonts w:cs="Arial"/>
                <w:sz w:val="20"/>
                <w:szCs w:val="20"/>
              </w:rPr>
              <w:lastRenderedPageBreak/>
              <w:t xml:space="preserve">Pierre S, Rivera C, Le Maître B, Ruppert AM, Bouaziz H, Wirth N, </w:t>
            </w:r>
            <w:proofErr w:type="spellStart"/>
            <w:r w:rsidRPr="00190D4B">
              <w:rPr>
                <w:rFonts w:cs="Arial"/>
                <w:sz w:val="20"/>
                <w:szCs w:val="20"/>
              </w:rPr>
              <w:t>Saboye</w:t>
            </w:r>
            <w:proofErr w:type="spellEnd"/>
            <w:r w:rsidRPr="00190D4B">
              <w:rPr>
                <w:rFonts w:cs="Arial"/>
                <w:sz w:val="20"/>
                <w:szCs w:val="20"/>
              </w:rPr>
              <w:t xml:space="preserve"> J, </w:t>
            </w:r>
            <w:proofErr w:type="spellStart"/>
            <w:r w:rsidRPr="00190D4B">
              <w:rPr>
                <w:rFonts w:cs="Arial"/>
                <w:sz w:val="20"/>
                <w:szCs w:val="20"/>
              </w:rPr>
              <w:t>Sautet</w:t>
            </w:r>
            <w:proofErr w:type="spellEnd"/>
            <w:r w:rsidRPr="00190D4B">
              <w:rPr>
                <w:rFonts w:cs="Arial"/>
                <w:sz w:val="20"/>
                <w:szCs w:val="20"/>
              </w:rPr>
              <w:t xml:space="preserve"> A, </w:t>
            </w:r>
            <w:proofErr w:type="spellStart"/>
            <w:r w:rsidRPr="00190D4B">
              <w:rPr>
                <w:rFonts w:cs="Arial"/>
                <w:sz w:val="20"/>
                <w:szCs w:val="20"/>
              </w:rPr>
              <w:lastRenderedPageBreak/>
              <w:t>Masquelet</w:t>
            </w:r>
            <w:proofErr w:type="spellEnd"/>
            <w:r w:rsidRPr="00190D4B">
              <w:rPr>
                <w:rFonts w:cs="Arial"/>
                <w:sz w:val="20"/>
                <w:szCs w:val="20"/>
              </w:rPr>
              <w:t xml:space="preserve"> AC, Tournier JJ, Martinet Y, Chaput B, </w:t>
            </w:r>
            <w:proofErr w:type="spellStart"/>
            <w:r w:rsidRPr="00190D4B">
              <w:rPr>
                <w:rFonts w:cs="Arial"/>
                <w:sz w:val="20"/>
                <w:szCs w:val="20"/>
              </w:rPr>
              <w:t>Dureuil</w:t>
            </w:r>
            <w:proofErr w:type="spellEnd"/>
            <w:r w:rsidRPr="00190D4B">
              <w:rPr>
                <w:rFonts w:cs="Arial"/>
                <w:sz w:val="20"/>
                <w:szCs w:val="20"/>
              </w:rPr>
              <w:t xml:space="preserve"> B. Guidelines on smoking management during the perioperative period. </w:t>
            </w:r>
            <w:proofErr w:type="spellStart"/>
            <w:r w:rsidRPr="00190D4B">
              <w:rPr>
                <w:rFonts w:cs="Arial"/>
                <w:sz w:val="20"/>
                <w:szCs w:val="20"/>
              </w:rPr>
              <w:t>Anaesth</w:t>
            </w:r>
            <w:proofErr w:type="spellEnd"/>
            <w:r w:rsidRPr="00190D4B">
              <w:rPr>
                <w:rFonts w:cs="Arial"/>
                <w:sz w:val="20"/>
                <w:szCs w:val="20"/>
              </w:rPr>
              <w:t xml:space="preserve"> Crit Care Pain Med. 2017 Jun;36(3):195-200. </w:t>
            </w:r>
            <w:proofErr w:type="spellStart"/>
            <w:r w:rsidRPr="00190D4B">
              <w:rPr>
                <w:rFonts w:cs="Arial"/>
                <w:sz w:val="20"/>
                <w:szCs w:val="20"/>
              </w:rPr>
              <w:t>doi</w:t>
            </w:r>
            <w:proofErr w:type="spellEnd"/>
            <w:r w:rsidRPr="00190D4B">
              <w:rPr>
                <w:rFonts w:cs="Arial"/>
                <w:sz w:val="20"/>
                <w:szCs w:val="20"/>
              </w:rPr>
              <w:t xml:space="preserve">: 10.1016/j.accpm.2017.02.002. </w:t>
            </w:r>
            <w:proofErr w:type="spellStart"/>
            <w:r w:rsidRPr="00190D4B">
              <w:rPr>
                <w:rFonts w:cs="Arial"/>
                <w:sz w:val="20"/>
                <w:szCs w:val="20"/>
              </w:rPr>
              <w:t>Epub</w:t>
            </w:r>
            <w:proofErr w:type="spellEnd"/>
            <w:r w:rsidRPr="00190D4B">
              <w:rPr>
                <w:rFonts w:cs="Arial"/>
                <w:sz w:val="20"/>
                <w:szCs w:val="20"/>
              </w:rPr>
              <w:t xml:space="preserve"> 2017 Feb 24. PMID: 28238936.</w:t>
            </w:r>
          </w:p>
          <w:p w14:paraId="1F7B7579" w14:textId="77777777" w:rsidR="00AB7967" w:rsidRDefault="005F73B1" w:rsidP="00192DC7">
            <w:pPr>
              <w:pStyle w:val="Paragraphnonumbers"/>
              <w:spacing w:after="120" w:line="240" w:lineRule="auto"/>
              <w:rPr>
                <w:rFonts w:cs="Arial"/>
                <w:sz w:val="20"/>
                <w:szCs w:val="20"/>
              </w:rPr>
            </w:pPr>
            <w:r w:rsidRPr="00190D4B">
              <w:rPr>
                <w:rFonts w:cs="Arial"/>
                <w:sz w:val="20"/>
                <w:szCs w:val="20"/>
              </w:rPr>
              <w:t xml:space="preserve">Vu JV, </w:t>
            </w:r>
            <w:proofErr w:type="spellStart"/>
            <w:r w:rsidRPr="00190D4B">
              <w:rPr>
                <w:rFonts w:cs="Arial"/>
                <w:sz w:val="20"/>
                <w:szCs w:val="20"/>
              </w:rPr>
              <w:t>Lussiez</w:t>
            </w:r>
            <w:proofErr w:type="spellEnd"/>
            <w:r w:rsidRPr="00190D4B">
              <w:rPr>
                <w:rFonts w:cs="Arial"/>
                <w:sz w:val="20"/>
                <w:szCs w:val="20"/>
              </w:rPr>
              <w:t xml:space="preserve"> A. Smoking Cessation for Preoperative Optimization. Clin Colon Rectal Surg. 2023 Feb 3;36(3):175-183. </w:t>
            </w:r>
            <w:proofErr w:type="spellStart"/>
            <w:r w:rsidRPr="00190D4B">
              <w:rPr>
                <w:rFonts w:cs="Arial"/>
                <w:sz w:val="20"/>
                <w:szCs w:val="20"/>
              </w:rPr>
              <w:t>doi</w:t>
            </w:r>
            <w:proofErr w:type="spellEnd"/>
            <w:r w:rsidRPr="00190D4B">
              <w:rPr>
                <w:rFonts w:cs="Arial"/>
                <w:sz w:val="20"/>
                <w:szCs w:val="20"/>
              </w:rPr>
              <w:t>: 10.1055/s-0043-1760870. PMID: 37113283; PMCID: PMC10125302.</w:t>
            </w:r>
          </w:p>
          <w:p w14:paraId="13E678DD" w14:textId="46860BB2"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Murray RL, Alexandris P, Baldwin D, Brain K, Britton J, Crosbie PAJ, Gabe R, Lewis S, Parrott S, Quaife SL, Tam HZ, Wu Q, Beeken R, Copeland H, Eckert C, Hancock N, Lindop J, McCutchan G, Marshall C, Neal RD, Rogerson S, Quinn Scoggins HD, Simmonds I, Thorley R, Callister ME. Uptake and 4-week quit rates from an opt-out co-located smoking cessation service delivered alongside </w:t>
            </w:r>
            <w:r w:rsidRPr="00190D4B">
              <w:rPr>
                <w:rFonts w:cs="Arial"/>
                <w:sz w:val="20"/>
                <w:szCs w:val="20"/>
              </w:rPr>
              <w:lastRenderedPageBreak/>
              <w:t xml:space="preserve">community-based low-dose computed tomography screening within the Yorkshire Lung Screening Trial. </w:t>
            </w:r>
            <w:proofErr w:type="spellStart"/>
            <w:r w:rsidRPr="00190D4B">
              <w:rPr>
                <w:rFonts w:cs="Arial"/>
                <w:sz w:val="20"/>
                <w:szCs w:val="20"/>
              </w:rPr>
              <w:t>Eur</w:t>
            </w:r>
            <w:proofErr w:type="spellEnd"/>
            <w:r w:rsidRPr="00190D4B">
              <w:rPr>
                <w:rFonts w:cs="Arial"/>
                <w:sz w:val="20"/>
                <w:szCs w:val="20"/>
              </w:rPr>
              <w:t xml:space="preserve"> Respir J. 2024 Apr 18;63(4):2301768. </w:t>
            </w:r>
            <w:proofErr w:type="spellStart"/>
            <w:r w:rsidRPr="00190D4B">
              <w:rPr>
                <w:rFonts w:cs="Arial"/>
                <w:sz w:val="20"/>
                <w:szCs w:val="20"/>
              </w:rPr>
              <w:t>doi</w:t>
            </w:r>
            <w:proofErr w:type="spellEnd"/>
            <w:r w:rsidRPr="00190D4B">
              <w:rPr>
                <w:rFonts w:cs="Arial"/>
                <w:sz w:val="20"/>
                <w:szCs w:val="20"/>
              </w:rPr>
              <w:t>: 10.1183/13993003.01768-2023. PMID: 38636970; PMCID: PMC11024392.</w:t>
            </w:r>
          </w:p>
          <w:p w14:paraId="5C693F0C" w14:textId="0BB764F8"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Brain K, Carter B, Lifford KJ, Burke O, Devaraj A, Baldwin DR, Duffy S, Field JK. Impact of low-dose CT screening on smoking cessation among high-risk participants in the UK Lung Cancer Screening Trial. Thorax. 2017 Oct;72(10):912-918. </w:t>
            </w:r>
            <w:proofErr w:type="spellStart"/>
            <w:r w:rsidRPr="00190D4B">
              <w:rPr>
                <w:rFonts w:cs="Arial"/>
                <w:sz w:val="20"/>
                <w:szCs w:val="20"/>
              </w:rPr>
              <w:t>doi</w:t>
            </w:r>
            <w:proofErr w:type="spellEnd"/>
            <w:r w:rsidRPr="00190D4B">
              <w:rPr>
                <w:rFonts w:cs="Arial"/>
                <w:sz w:val="20"/>
                <w:szCs w:val="20"/>
              </w:rPr>
              <w:t xml:space="preserve">: 10.1136/thoraxjnl-2016-209690. </w:t>
            </w:r>
            <w:proofErr w:type="spellStart"/>
            <w:r w:rsidRPr="00190D4B">
              <w:rPr>
                <w:rFonts w:cs="Arial"/>
                <w:sz w:val="20"/>
                <w:szCs w:val="20"/>
              </w:rPr>
              <w:t>Epub</w:t>
            </w:r>
            <w:proofErr w:type="spellEnd"/>
            <w:r w:rsidRPr="00190D4B">
              <w:rPr>
                <w:rFonts w:cs="Arial"/>
                <w:sz w:val="20"/>
                <w:szCs w:val="20"/>
              </w:rPr>
              <w:t xml:space="preserve"> 2017 Jul 14. PMID: 28710339; PMCID: PMC5738533.</w:t>
            </w:r>
          </w:p>
        </w:tc>
        <w:tc>
          <w:tcPr>
            <w:tcW w:w="896" w:type="pct"/>
          </w:tcPr>
          <w:p w14:paraId="4CA49676" w14:textId="0B3FAA0E" w:rsidR="005F73B1" w:rsidRPr="00190D4B" w:rsidRDefault="005F73B1" w:rsidP="00192DC7">
            <w:pPr>
              <w:pStyle w:val="Tabletext"/>
              <w:spacing w:after="120"/>
              <w:rPr>
                <w:rFonts w:cs="Arial"/>
                <w:sz w:val="20"/>
                <w:szCs w:val="20"/>
              </w:rPr>
            </w:pPr>
            <w:r w:rsidRPr="00190D4B">
              <w:rPr>
                <w:rFonts w:cs="Arial"/>
                <w:sz w:val="20"/>
                <w:szCs w:val="20"/>
              </w:rPr>
              <w:lastRenderedPageBreak/>
              <w:t xml:space="preserve">1.3.2. Discuss lifestyle modifications with people having surgery, for example stopping smoking </w:t>
            </w:r>
            <w:r w:rsidRPr="00190D4B">
              <w:rPr>
                <w:rFonts w:cs="Arial"/>
                <w:sz w:val="20"/>
                <w:szCs w:val="20"/>
              </w:rPr>
              <w:lastRenderedPageBreak/>
              <w:t>and reducing alcohol consumption. Follow the relevant NICE guidance on lifestyle and wellbeing.</w:t>
            </w:r>
          </w:p>
        </w:tc>
      </w:tr>
      <w:tr w:rsidR="008F42F2" w:rsidRPr="00190D4B" w14:paraId="30B07003" w14:textId="77777777" w:rsidTr="008F42F2">
        <w:trPr>
          <w:trHeight w:val="282"/>
        </w:trPr>
        <w:tc>
          <w:tcPr>
            <w:tcW w:w="5000" w:type="pct"/>
            <w:gridSpan w:val="6"/>
          </w:tcPr>
          <w:p w14:paraId="141CD1FC" w14:textId="4B91ECD1" w:rsidR="008F42F2" w:rsidRPr="00190D4B" w:rsidRDefault="008F42F2" w:rsidP="00192DC7">
            <w:pPr>
              <w:pStyle w:val="Tabletext"/>
              <w:spacing w:after="120"/>
              <w:rPr>
                <w:rFonts w:cs="Arial"/>
                <w:b/>
                <w:bCs/>
                <w:sz w:val="20"/>
                <w:szCs w:val="20"/>
              </w:rPr>
            </w:pPr>
            <w:r w:rsidRPr="00190D4B">
              <w:rPr>
                <w:rFonts w:cs="Arial"/>
                <w:b/>
                <w:bCs/>
                <w:sz w:val="20"/>
                <w:szCs w:val="20"/>
              </w:rPr>
              <w:lastRenderedPageBreak/>
              <w:t>Intraoperative care</w:t>
            </w:r>
          </w:p>
        </w:tc>
      </w:tr>
      <w:tr w:rsidR="005F73B1" w:rsidRPr="00190D4B" w14:paraId="33FF772B" w14:textId="77777777" w:rsidTr="00477F9C">
        <w:trPr>
          <w:trHeight w:val="282"/>
        </w:trPr>
        <w:tc>
          <w:tcPr>
            <w:tcW w:w="192" w:type="pct"/>
          </w:tcPr>
          <w:p w14:paraId="7BC5F728" w14:textId="46CA7939" w:rsidR="005F73B1" w:rsidRPr="00190D4B" w:rsidRDefault="008C0300" w:rsidP="00192DC7">
            <w:pPr>
              <w:pStyle w:val="Tabletext"/>
              <w:spacing w:after="120"/>
              <w:rPr>
                <w:rFonts w:cs="Arial"/>
                <w:sz w:val="20"/>
                <w:szCs w:val="20"/>
                <w:lang w:eastAsia="en-GB"/>
              </w:rPr>
            </w:pPr>
            <w:r w:rsidRPr="00190D4B">
              <w:rPr>
                <w:rFonts w:cs="Arial"/>
                <w:sz w:val="20"/>
                <w:szCs w:val="20"/>
                <w:lang w:eastAsia="en-GB"/>
              </w:rPr>
              <w:t>3</w:t>
            </w:r>
            <w:r w:rsidR="002C610D">
              <w:rPr>
                <w:rFonts w:cs="Arial"/>
                <w:sz w:val="20"/>
                <w:szCs w:val="20"/>
                <w:lang w:eastAsia="en-GB"/>
              </w:rPr>
              <w:t>3</w:t>
            </w:r>
          </w:p>
        </w:tc>
        <w:tc>
          <w:tcPr>
            <w:tcW w:w="483" w:type="pct"/>
          </w:tcPr>
          <w:p w14:paraId="74A7B217" w14:textId="44F4703F" w:rsidR="005F73B1" w:rsidRPr="00190D4B" w:rsidRDefault="008C0300" w:rsidP="00192DC7">
            <w:pPr>
              <w:pStyle w:val="Tabletext"/>
              <w:spacing w:after="120"/>
              <w:rPr>
                <w:rFonts w:cs="Arial"/>
                <w:sz w:val="20"/>
                <w:szCs w:val="20"/>
              </w:rPr>
            </w:pPr>
            <w:r w:rsidRPr="00190D4B">
              <w:rPr>
                <w:rFonts w:cs="Arial"/>
                <w:sz w:val="20"/>
                <w:szCs w:val="20"/>
              </w:rPr>
              <w:t>NHS PST</w:t>
            </w:r>
          </w:p>
        </w:tc>
        <w:tc>
          <w:tcPr>
            <w:tcW w:w="1111" w:type="pct"/>
          </w:tcPr>
          <w:p w14:paraId="6068003C" w14:textId="1FBE3AC0" w:rsidR="005F73B1" w:rsidRPr="00190D4B" w:rsidRDefault="008C0300" w:rsidP="00192DC7">
            <w:pPr>
              <w:pStyle w:val="Paragraphnonumbers"/>
              <w:spacing w:after="120" w:line="240" w:lineRule="auto"/>
              <w:rPr>
                <w:rFonts w:cs="Arial"/>
                <w:sz w:val="20"/>
                <w:szCs w:val="20"/>
              </w:rPr>
            </w:pPr>
            <w:r w:rsidRPr="00190D4B">
              <w:rPr>
                <w:rFonts w:cs="Arial"/>
                <w:sz w:val="20"/>
                <w:szCs w:val="20"/>
              </w:rPr>
              <w:t>Key area for quality improvement 3</w:t>
            </w:r>
          </w:p>
        </w:tc>
        <w:tc>
          <w:tcPr>
            <w:tcW w:w="1402" w:type="pct"/>
          </w:tcPr>
          <w:p w14:paraId="10DDDC96" w14:textId="680E280B" w:rsidR="005F73B1" w:rsidRPr="00190D4B" w:rsidRDefault="008C0300" w:rsidP="00192DC7">
            <w:pPr>
              <w:pStyle w:val="Paragraphnonumbers"/>
              <w:spacing w:after="120" w:line="240" w:lineRule="auto"/>
              <w:rPr>
                <w:rFonts w:cs="Arial"/>
                <w:sz w:val="20"/>
                <w:szCs w:val="20"/>
              </w:rPr>
            </w:pPr>
            <w:r w:rsidRPr="00190D4B">
              <w:rPr>
                <w:rFonts w:cs="Arial"/>
                <w:sz w:val="20"/>
                <w:szCs w:val="20"/>
              </w:rPr>
              <w:t>Standards for intra and postoperative monitoring of patients</w:t>
            </w:r>
          </w:p>
        </w:tc>
        <w:tc>
          <w:tcPr>
            <w:tcW w:w="916" w:type="pct"/>
          </w:tcPr>
          <w:p w14:paraId="2A64115A" w14:textId="476B93BA" w:rsidR="005F73B1" w:rsidRPr="00190D4B" w:rsidRDefault="008C0300" w:rsidP="00192DC7">
            <w:pPr>
              <w:pStyle w:val="Paragraphnonumbers"/>
              <w:spacing w:after="120" w:line="240" w:lineRule="auto"/>
              <w:rPr>
                <w:rFonts w:cs="Arial"/>
                <w:sz w:val="20"/>
                <w:szCs w:val="20"/>
              </w:rPr>
            </w:pPr>
            <w:r w:rsidRPr="00190D4B">
              <w:rPr>
                <w:rFonts w:cs="Arial"/>
                <w:sz w:val="20"/>
                <w:szCs w:val="20"/>
              </w:rPr>
              <w:t xml:space="preserve">National incident reporting data </w:t>
            </w:r>
            <w:r w:rsidR="00AB7967" w:rsidRPr="00190D4B">
              <w:rPr>
                <w:rFonts w:cs="Arial"/>
                <w:sz w:val="20"/>
                <w:szCs w:val="20"/>
              </w:rPr>
              <w:t>e.g.</w:t>
            </w:r>
            <w:r w:rsidRPr="00190D4B">
              <w:rPr>
                <w:rFonts w:cs="Arial"/>
                <w:sz w:val="20"/>
                <w:szCs w:val="20"/>
              </w:rPr>
              <w:t xml:space="preserve"> LFPSE and NRLS.</w:t>
            </w:r>
          </w:p>
        </w:tc>
        <w:tc>
          <w:tcPr>
            <w:tcW w:w="896" w:type="pct"/>
          </w:tcPr>
          <w:p w14:paraId="5BFA7FA3" w14:textId="77777777" w:rsidR="005F73B1" w:rsidRPr="00190D4B" w:rsidRDefault="005F73B1" w:rsidP="00192DC7">
            <w:pPr>
              <w:pStyle w:val="Tabletext"/>
              <w:spacing w:after="120"/>
              <w:rPr>
                <w:rFonts w:cs="Arial"/>
                <w:sz w:val="20"/>
                <w:szCs w:val="20"/>
              </w:rPr>
            </w:pPr>
          </w:p>
        </w:tc>
      </w:tr>
      <w:tr w:rsidR="008C0300" w:rsidRPr="00190D4B" w14:paraId="729A1C43" w14:textId="77777777" w:rsidTr="00477F9C">
        <w:trPr>
          <w:trHeight w:val="282"/>
        </w:trPr>
        <w:tc>
          <w:tcPr>
            <w:tcW w:w="192" w:type="pct"/>
          </w:tcPr>
          <w:p w14:paraId="4AF45467" w14:textId="210E37BA" w:rsidR="008C0300" w:rsidRPr="00190D4B" w:rsidRDefault="002C610D" w:rsidP="00192DC7">
            <w:pPr>
              <w:pStyle w:val="Tabletext"/>
              <w:spacing w:after="120"/>
              <w:rPr>
                <w:rFonts w:cs="Arial"/>
                <w:sz w:val="20"/>
                <w:szCs w:val="20"/>
                <w:lang w:eastAsia="en-GB"/>
              </w:rPr>
            </w:pPr>
            <w:r>
              <w:rPr>
                <w:rFonts w:cs="Arial"/>
                <w:sz w:val="20"/>
                <w:szCs w:val="20"/>
                <w:lang w:eastAsia="en-GB"/>
              </w:rPr>
              <w:t>34</w:t>
            </w:r>
          </w:p>
        </w:tc>
        <w:tc>
          <w:tcPr>
            <w:tcW w:w="483" w:type="pct"/>
          </w:tcPr>
          <w:p w14:paraId="1A56C11F" w14:textId="7549F9A4" w:rsidR="008C0300" w:rsidRPr="00190D4B" w:rsidRDefault="008C0300" w:rsidP="00192DC7">
            <w:pPr>
              <w:pStyle w:val="Tabletext"/>
              <w:spacing w:after="120"/>
              <w:rPr>
                <w:rFonts w:cs="Arial"/>
                <w:sz w:val="20"/>
                <w:szCs w:val="20"/>
              </w:rPr>
            </w:pPr>
            <w:r w:rsidRPr="00190D4B">
              <w:rPr>
                <w:rFonts w:cs="Arial"/>
                <w:sz w:val="20"/>
                <w:szCs w:val="20"/>
              </w:rPr>
              <w:t>SCM4</w:t>
            </w:r>
          </w:p>
        </w:tc>
        <w:tc>
          <w:tcPr>
            <w:tcW w:w="1111" w:type="pct"/>
          </w:tcPr>
          <w:p w14:paraId="1C1AFD2B" w14:textId="77777777" w:rsidR="008C0300" w:rsidRPr="00190D4B" w:rsidRDefault="008C0300" w:rsidP="00192DC7">
            <w:pPr>
              <w:pStyle w:val="Paragraphnonumbers"/>
              <w:spacing w:after="120" w:line="240" w:lineRule="auto"/>
              <w:rPr>
                <w:rFonts w:cs="Arial"/>
                <w:sz w:val="20"/>
                <w:szCs w:val="20"/>
              </w:rPr>
            </w:pPr>
            <w:r w:rsidRPr="00190D4B">
              <w:rPr>
                <w:rFonts w:cs="Arial"/>
                <w:sz w:val="20"/>
                <w:szCs w:val="20"/>
              </w:rPr>
              <w:t>Key area for quality improvement 3</w:t>
            </w:r>
          </w:p>
          <w:p w14:paraId="0D3B839A" w14:textId="526F22C7" w:rsidR="008C0300" w:rsidRPr="00190D4B" w:rsidRDefault="008C0300" w:rsidP="00192DC7">
            <w:pPr>
              <w:pStyle w:val="Paragraphnonumbers"/>
              <w:spacing w:after="120" w:line="240" w:lineRule="auto"/>
              <w:rPr>
                <w:rFonts w:cs="Arial"/>
                <w:sz w:val="20"/>
                <w:szCs w:val="20"/>
              </w:rPr>
            </w:pPr>
            <w:r w:rsidRPr="00190D4B">
              <w:rPr>
                <w:rFonts w:cs="Arial"/>
                <w:sz w:val="20"/>
                <w:szCs w:val="20"/>
              </w:rPr>
              <w:t>WHO Safer Surgery Checklists including Team brief and debrief</w:t>
            </w:r>
          </w:p>
        </w:tc>
        <w:tc>
          <w:tcPr>
            <w:tcW w:w="1402" w:type="pct"/>
          </w:tcPr>
          <w:p w14:paraId="0EEDE016" w14:textId="77777777" w:rsidR="008117C5" w:rsidRPr="00190D4B" w:rsidRDefault="008117C5" w:rsidP="00192DC7">
            <w:pPr>
              <w:pStyle w:val="Paragraphnonumbers"/>
              <w:spacing w:after="120" w:line="240" w:lineRule="auto"/>
              <w:rPr>
                <w:rFonts w:cs="Arial"/>
                <w:sz w:val="20"/>
                <w:szCs w:val="20"/>
              </w:rPr>
            </w:pPr>
            <w:r w:rsidRPr="00190D4B">
              <w:rPr>
                <w:rFonts w:cs="Arial"/>
                <w:sz w:val="20"/>
                <w:szCs w:val="20"/>
              </w:rPr>
              <w:t xml:space="preserve">The WHO Surgical Safety Checklist is a simple, 19-item tool developed by the World Health Organisation to improve the safety of surgical procedures worldwide. It is used by surgical teams to reduce avoidable </w:t>
            </w:r>
            <w:r w:rsidRPr="00190D4B">
              <w:rPr>
                <w:rFonts w:cs="Arial"/>
                <w:sz w:val="20"/>
                <w:szCs w:val="20"/>
              </w:rPr>
              <w:lastRenderedPageBreak/>
              <w:t>errors and complications before, during, and after surgery.</w:t>
            </w:r>
          </w:p>
          <w:p w14:paraId="3F346D68" w14:textId="56BA701A" w:rsidR="008C0300" w:rsidRPr="00190D4B" w:rsidRDefault="008117C5" w:rsidP="00192DC7">
            <w:pPr>
              <w:pStyle w:val="Paragraphnonumbers"/>
              <w:spacing w:after="120" w:line="240" w:lineRule="auto"/>
              <w:rPr>
                <w:rFonts w:cs="Arial"/>
                <w:sz w:val="20"/>
                <w:szCs w:val="20"/>
              </w:rPr>
            </w:pPr>
            <w:r w:rsidRPr="00190D4B">
              <w:rPr>
                <w:rFonts w:cs="Arial"/>
                <w:sz w:val="20"/>
                <w:szCs w:val="20"/>
              </w:rPr>
              <w:t>Although it is undertaken widely there are variances in practices and documentation.</w:t>
            </w:r>
          </w:p>
        </w:tc>
        <w:tc>
          <w:tcPr>
            <w:tcW w:w="916" w:type="pct"/>
          </w:tcPr>
          <w:p w14:paraId="59560D0A" w14:textId="54ADA1BC" w:rsidR="008C0300" w:rsidRPr="00190D4B" w:rsidRDefault="008117C5" w:rsidP="00192DC7">
            <w:pPr>
              <w:pStyle w:val="Paragraphnonumbers"/>
              <w:spacing w:after="120" w:line="240" w:lineRule="auto"/>
              <w:rPr>
                <w:rFonts w:cs="Arial"/>
                <w:sz w:val="20"/>
                <w:szCs w:val="20"/>
              </w:rPr>
            </w:pPr>
            <w:r w:rsidRPr="00190D4B">
              <w:rPr>
                <w:rFonts w:cs="Arial"/>
                <w:sz w:val="20"/>
                <w:szCs w:val="20"/>
              </w:rPr>
              <w:lastRenderedPageBreak/>
              <w:t>World Health Organisation Safe Surgery: safe surgery saves lives (2009)</w:t>
            </w:r>
          </w:p>
        </w:tc>
        <w:tc>
          <w:tcPr>
            <w:tcW w:w="896" w:type="pct"/>
          </w:tcPr>
          <w:p w14:paraId="553F25CD" w14:textId="3587E5E2" w:rsidR="008C0300" w:rsidRPr="00190D4B" w:rsidRDefault="008117C5" w:rsidP="00192DC7">
            <w:pPr>
              <w:pStyle w:val="Tabletext"/>
              <w:spacing w:after="120"/>
              <w:rPr>
                <w:rFonts w:cs="Arial"/>
                <w:sz w:val="20"/>
                <w:szCs w:val="20"/>
              </w:rPr>
            </w:pPr>
            <w:r w:rsidRPr="00190D4B">
              <w:rPr>
                <w:rFonts w:cs="Arial"/>
                <w:sz w:val="20"/>
                <w:szCs w:val="20"/>
              </w:rPr>
              <w:t>There is variability in attitudes towards the WHO, documentation and processes.</w:t>
            </w:r>
          </w:p>
        </w:tc>
      </w:tr>
      <w:tr w:rsidR="005F73B1" w:rsidRPr="00190D4B" w14:paraId="42C66488" w14:textId="77777777" w:rsidTr="00477F9C">
        <w:trPr>
          <w:trHeight w:val="282"/>
        </w:trPr>
        <w:tc>
          <w:tcPr>
            <w:tcW w:w="192" w:type="pct"/>
          </w:tcPr>
          <w:p w14:paraId="6A8B7620" w14:textId="7A3715F8" w:rsidR="005F73B1" w:rsidRPr="00190D4B" w:rsidRDefault="002C610D" w:rsidP="00192DC7">
            <w:pPr>
              <w:pStyle w:val="Tabletext"/>
              <w:spacing w:after="120"/>
              <w:rPr>
                <w:rFonts w:cs="Arial"/>
                <w:sz w:val="20"/>
                <w:szCs w:val="20"/>
                <w:lang w:eastAsia="en-GB"/>
              </w:rPr>
            </w:pPr>
            <w:r>
              <w:rPr>
                <w:rFonts w:cs="Arial"/>
                <w:sz w:val="20"/>
                <w:szCs w:val="20"/>
                <w:lang w:eastAsia="en-GB"/>
              </w:rPr>
              <w:t>3</w:t>
            </w:r>
            <w:r w:rsidR="008C0300" w:rsidRPr="00190D4B">
              <w:rPr>
                <w:rFonts w:cs="Arial"/>
                <w:sz w:val="20"/>
                <w:szCs w:val="20"/>
                <w:lang w:eastAsia="en-GB"/>
              </w:rPr>
              <w:t>5</w:t>
            </w:r>
          </w:p>
        </w:tc>
        <w:tc>
          <w:tcPr>
            <w:tcW w:w="483" w:type="pct"/>
          </w:tcPr>
          <w:p w14:paraId="033F8ABC" w14:textId="1760281B" w:rsidR="005F73B1" w:rsidRPr="00190D4B" w:rsidRDefault="008C0300" w:rsidP="00192DC7">
            <w:pPr>
              <w:pStyle w:val="Tabletext"/>
              <w:spacing w:after="120"/>
              <w:rPr>
                <w:rFonts w:cs="Arial"/>
                <w:sz w:val="20"/>
                <w:szCs w:val="20"/>
              </w:rPr>
            </w:pPr>
            <w:r w:rsidRPr="00190D4B">
              <w:rPr>
                <w:rFonts w:cs="Arial"/>
                <w:sz w:val="20"/>
                <w:szCs w:val="20"/>
              </w:rPr>
              <w:t>Sol</w:t>
            </w:r>
          </w:p>
        </w:tc>
        <w:tc>
          <w:tcPr>
            <w:tcW w:w="1111" w:type="pct"/>
          </w:tcPr>
          <w:p w14:paraId="0FBC547B" w14:textId="77777777" w:rsidR="008C0300" w:rsidRPr="00190D4B" w:rsidRDefault="008C0300" w:rsidP="00192DC7">
            <w:pPr>
              <w:pStyle w:val="Paragraphnonumbers"/>
              <w:spacing w:after="120" w:line="240" w:lineRule="auto"/>
              <w:rPr>
                <w:rFonts w:cs="Arial"/>
                <w:sz w:val="20"/>
                <w:szCs w:val="20"/>
              </w:rPr>
            </w:pPr>
            <w:r w:rsidRPr="00190D4B">
              <w:rPr>
                <w:rFonts w:cs="Arial"/>
                <w:sz w:val="20"/>
                <w:szCs w:val="20"/>
              </w:rPr>
              <w:t>Hypothermia Prevention and Management in Adults having surgery NICE CG65</w:t>
            </w:r>
          </w:p>
          <w:p w14:paraId="37BA115C" w14:textId="47019D2B" w:rsidR="005F73B1" w:rsidRPr="00190D4B" w:rsidRDefault="008C0300" w:rsidP="00192DC7">
            <w:pPr>
              <w:pStyle w:val="Paragraphnonumbers"/>
              <w:spacing w:after="120" w:line="240" w:lineRule="auto"/>
              <w:rPr>
                <w:rFonts w:cs="Arial"/>
                <w:sz w:val="20"/>
                <w:szCs w:val="20"/>
              </w:rPr>
            </w:pPr>
            <w:r w:rsidRPr="00190D4B">
              <w:rPr>
                <w:rFonts w:cs="Arial"/>
                <w:sz w:val="20"/>
                <w:szCs w:val="20"/>
              </w:rPr>
              <w:t>Low evidence of 2016 updates being implemented into clinical care (correct method of recording core temperature and introducing pre warming for all surgical patients)</w:t>
            </w:r>
          </w:p>
        </w:tc>
        <w:tc>
          <w:tcPr>
            <w:tcW w:w="1402" w:type="pct"/>
          </w:tcPr>
          <w:p w14:paraId="01E7C003" w14:textId="39E090CB" w:rsidR="008C0300" w:rsidRPr="00190D4B" w:rsidRDefault="008C0300" w:rsidP="00192DC7">
            <w:pPr>
              <w:pStyle w:val="Paragraphnonumbers"/>
              <w:spacing w:after="120" w:line="240" w:lineRule="auto"/>
              <w:rPr>
                <w:rFonts w:cs="Arial"/>
                <w:sz w:val="20"/>
                <w:szCs w:val="20"/>
              </w:rPr>
            </w:pPr>
            <w:r w:rsidRPr="00190D4B">
              <w:rPr>
                <w:rFonts w:cs="Arial"/>
                <w:sz w:val="20"/>
                <w:szCs w:val="20"/>
              </w:rPr>
              <w:t>NICE CG65 presents guidelines for pre-warming /intraoperative warming/patient temperature monitoring. Despite excellent guidance, the incidence of inadvertent perioperative hypothermia remains very significant from UK and other European studies and audits.</w:t>
            </w:r>
          </w:p>
          <w:p w14:paraId="32BDD94E" w14:textId="128F2399" w:rsidR="008C0300" w:rsidRPr="00190D4B" w:rsidRDefault="008C0300" w:rsidP="00192DC7">
            <w:pPr>
              <w:pStyle w:val="Paragraphnonumbers"/>
              <w:spacing w:after="120" w:line="240" w:lineRule="auto"/>
              <w:rPr>
                <w:rFonts w:cs="Arial"/>
                <w:sz w:val="20"/>
                <w:szCs w:val="20"/>
              </w:rPr>
            </w:pPr>
            <w:r w:rsidRPr="00190D4B">
              <w:rPr>
                <w:rFonts w:cs="Arial"/>
                <w:sz w:val="20"/>
                <w:szCs w:val="20"/>
              </w:rPr>
              <w:t>It is associated with a significant complication burden from SSI/MCE/Coagulopathy/MV/PU thus adversely impacting a number of objectives for ERAS and patient QoL.</w:t>
            </w:r>
          </w:p>
          <w:p w14:paraId="3846513E" w14:textId="1D598689" w:rsidR="008C0300" w:rsidRPr="00190D4B" w:rsidRDefault="008C0300" w:rsidP="00192DC7">
            <w:pPr>
              <w:pStyle w:val="Paragraphnonumbers"/>
              <w:spacing w:after="120" w:line="240" w:lineRule="auto"/>
              <w:rPr>
                <w:rFonts w:cs="Arial"/>
                <w:sz w:val="20"/>
                <w:szCs w:val="20"/>
              </w:rPr>
            </w:pPr>
            <w:r w:rsidRPr="00190D4B">
              <w:rPr>
                <w:rFonts w:cs="Arial"/>
                <w:sz w:val="20"/>
                <w:szCs w:val="20"/>
              </w:rPr>
              <w:t>There is an absence of UK audit infrastructure for TM and therefore the extent of sub-optimal TM outcomes is unknown yet significant given reports from local audits.</w:t>
            </w:r>
          </w:p>
          <w:p w14:paraId="7CA78213" w14:textId="06F6EFF4" w:rsidR="008C0300" w:rsidRPr="00190D4B" w:rsidRDefault="008C0300" w:rsidP="00192DC7">
            <w:pPr>
              <w:pStyle w:val="Paragraphnonumbers"/>
              <w:spacing w:after="120" w:line="240" w:lineRule="auto"/>
              <w:rPr>
                <w:rFonts w:cs="Arial"/>
                <w:sz w:val="20"/>
                <w:szCs w:val="20"/>
              </w:rPr>
            </w:pPr>
            <w:r w:rsidRPr="00190D4B">
              <w:rPr>
                <w:rFonts w:cs="Arial"/>
                <w:sz w:val="20"/>
                <w:szCs w:val="20"/>
              </w:rPr>
              <w:t xml:space="preserve">Patient temperature management is likely one of the most upstream interventions to improve with the potential to significantly impact patient outcomes for post-operative ERAS and QoL. </w:t>
            </w:r>
          </w:p>
          <w:p w14:paraId="7838BFB3" w14:textId="6238B905" w:rsidR="005F73B1" w:rsidRPr="00190D4B" w:rsidRDefault="008C0300" w:rsidP="00192DC7">
            <w:pPr>
              <w:pStyle w:val="Paragraphnonumbers"/>
              <w:spacing w:after="120" w:line="240" w:lineRule="auto"/>
              <w:rPr>
                <w:rFonts w:cs="Arial"/>
                <w:sz w:val="20"/>
                <w:szCs w:val="20"/>
              </w:rPr>
            </w:pPr>
            <w:proofErr w:type="spellStart"/>
            <w:r w:rsidRPr="00190D4B">
              <w:rPr>
                <w:rFonts w:cs="Arial"/>
                <w:sz w:val="20"/>
                <w:szCs w:val="20"/>
              </w:rPr>
              <w:t>Solventum</w:t>
            </w:r>
            <w:proofErr w:type="spellEnd"/>
            <w:r w:rsidRPr="00190D4B">
              <w:rPr>
                <w:rFonts w:cs="Arial"/>
                <w:sz w:val="20"/>
                <w:szCs w:val="20"/>
              </w:rPr>
              <w:t xml:space="preserve"> using electronic core measures – between 45-65% IPH</w:t>
            </w:r>
          </w:p>
        </w:tc>
        <w:tc>
          <w:tcPr>
            <w:tcW w:w="916" w:type="pct"/>
          </w:tcPr>
          <w:p w14:paraId="34FD5007" w14:textId="0BFCC543" w:rsidR="008C0300" w:rsidRPr="00E25274" w:rsidRDefault="008C0300" w:rsidP="00192DC7">
            <w:pPr>
              <w:pStyle w:val="Paragraphnonumbers"/>
              <w:spacing w:after="120" w:line="240" w:lineRule="auto"/>
              <w:rPr>
                <w:rFonts w:cs="Arial"/>
                <w:sz w:val="20"/>
                <w:szCs w:val="20"/>
                <w:lang w:val="nl-NL"/>
              </w:rPr>
            </w:pPr>
            <w:r w:rsidRPr="00E25274">
              <w:rPr>
                <w:rFonts w:cs="Arial"/>
                <w:sz w:val="20"/>
                <w:szCs w:val="20"/>
                <w:lang w:val="nl-NL"/>
              </w:rPr>
              <w:t>Burden of Hypothermia [UK, European Studies]</w:t>
            </w:r>
          </w:p>
          <w:p w14:paraId="4D3A4B0B" w14:textId="78D3A9F3" w:rsidR="008C0300" w:rsidRPr="00190D4B" w:rsidRDefault="008C0300" w:rsidP="00192DC7">
            <w:pPr>
              <w:pStyle w:val="Paragraphnonumbers"/>
              <w:spacing w:after="120" w:line="240" w:lineRule="auto"/>
              <w:rPr>
                <w:rFonts w:cs="Arial"/>
                <w:sz w:val="20"/>
                <w:szCs w:val="20"/>
              </w:rPr>
            </w:pPr>
            <w:r w:rsidRPr="00190D4B">
              <w:rPr>
                <w:rFonts w:cs="Arial"/>
                <w:sz w:val="20"/>
                <w:szCs w:val="20"/>
              </w:rPr>
              <w:t>The burden of hypothermia in surgical patient undergoing general and regional anaesthesia remains high. Range (30.4% - 53.5%). Studies show the incidence of hypothermia can be significantly reduced with optimised peri-operative temperature management protocols[ 2,3,4,5,6,7]</w:t>
            </w:r>
          </w:p>
          <w:p w14:paraId="3615F8EF" w14:textId="60151062" w:rsidR="008C0300" w:rsidRPr="00190D4B" w:rsidRDefault="008C0300" w:rsidP="00192DC7">
            <w:pPr>
              <w:pStyle w:val="Paragraphnonumbers"/>
              <w:spacing w:after="120" w:line="240" w:lineRule="auto"/>
              <w:rPr>
                <w:rFonts w:cs="Arial"/>
                <w:sz w:val="20"/>
                <w:szCs w:val="20"/>
              </w:rPr>
            </w:pPr>
            <w:r w:rsidRPr="00190D4B">
              <w:rPr>
                <w:rFonts w:cs="Arial"/>
                <w:sz w:val="20"/>
                <w:szCs w:val="20"/>
              </w:rPr>
              <w:t xml:space="preserve">Alfonsi (2019)2 - The study shows that despite the availability of effective warming systems, prevalence of hypothermia (Tc&lt;36˚C) among patients admitted to the RR remains high (53.5%) and that the reasons for failure to prevent perioperative hypothermia was the consequence of a warming device underutilization and/or was related to the type of health facilities. The observation is that only a </w:t>
            </w:r>
            <w:r w:rsidRPr="00190D4B">
              <w:rPr>
                <w:rFonts w:cs="Arial"/>
                <w:sz w:val="20"/>
                <w:szCs w:val="20"/>
              </w:rPr>
              <w:lastRenderedPageBreak/>
              <w:t>combination of pre-warming and intraoperative warming throughout the anaesthesia significantly reduces the incidence of hypothermia and suggests that professionals make the best possible use of active warming systems and monitor patient temperatures to better identify the prevalence of hypothermia.</w:t>
            </w:r>
          </w:p>
          <w:p w14:paraId="6BB58D72" w14:textId="2A97F010" w:rsidR="008C0300" w:rsidRPr="00190D4B" w:rsidRDefault="008C0300" w:rsidP="00192DC7">
            <w:pPr>
              <w:pStyle w:val="Paragraphnonumbers"/>
              <w:spacing w:after="120" w:line="240" w:lineRule="auto"/>
              <w:rPr>
                <w:rFonts w:cs="Arial"/>
                <w:sz w:val="20"/>
                <w:szCs w:val="20"/>
              </w:rPr>
            </w:pPr>
            <w:r w:rsidRPr="00190D4B">
              <w:rPr>
                <w:rFonts w:cs="Arial"/>
                <w:sz w:val="20"/>
                <w:szCs w:val="20"/>
              </w:rPr>
              <w:t xml:space="preserve">Croydon University Hospital (2022)3 -The study reflects that data from the monthly surgical site infection audit at Croydon University Hospital (CUH) suggest up to 50% of patients arrive in postanaesthetic care unit (PACU) hypothermic and sets out to audit temperatures as per the NICE guidelines for preventing hypothermia in the peri-operative period which states that temperature must be monitored and maintained &gt; 36.5°C in all patients undergoing anaesthesia for a surgical procedure. The study confirms that that a significant proportion of surgical patients (42%) </w:t>
            </w:r>
            <w:r w:rsidRPr="00190D4B">
              <w:rPr>
                <w:rFonts w:cs="Arial"/>
                <w:sz w:val="20"/>
                <w:szCs w:val="20"/>
              </w:rPr>
              <w:lastRenderedPageBreak/>
              <w:t xml:space="preserve">arrive hypothermic to the PACU despite 75% of patient having FAW in OR but no fluid warming and poor temperature monitoring. </w:t>
            </w:r>
          </w:p>
          <w:p w14:paraId="37CF6C6D" w14:textId="1FC63B44" w:rsidR="008C0300" w:rsidRPr="00190D4B" w:rsidRDefault="008C0300" w:rsidP="00192DC7">
            <w:pPr>
              <w:pStyle w:val="Paragraphnonumbers"/>
              <w:spacing w:after="120" w:line="240" w:lineRule="auto"/>
              <w:rPr>
                <w:rFonts w:cs="Arial"/>
                <w:sz w:val="20"/>
                <w:szCs w:val="20"/>
              </w:rPr>
            </w:pPr>
            <w:r w:rsidRPr="00190D4B">
              <w:rPr>
                <w:rFonts w:cs="Arial"/>
                <w:sz w:val="20"/>
                <w:szCs w:val="20"/>
              </w:rPr>
              <w:t>University of Sheffield (2022)4 -Study reflects a baseline of Inadvertent peri-operative hypothermia (IPH) at 40%. IPH is defined as a core body temperature of &lt; 36°C and is a serious complication of surgery, which has been linked to infections, shivering, bleeding and changes to drug metabolism. Guidelines recommend that all patients are warmed for a minimum of 30 min before anaesthesia and study demonstrates that anaesthetic room pre-warming reduces the incidence of IP, with results down to 29.5%.</w:t>
            </w:r>
          </w:p>
          <w:p w14:paraId="4F723A14" w14:textId="7F6141F3" w:rsidR="008C0300" w:rsidRPr="00190D4B" w:rsidRDefault="008C0300" w:rsidP="00192DC7">
            <w:pPr>
              <w:pStyle w:val="Paragraphnonumbers"/>
              <w:spacing w:after="120" w:line="240" w:lineRule="auto"/>
              <w:rPr>
                <w:rFonts w:cs="Arial"/>
                <w:sz w:val="20"/>
                <w:szCs w:val="20"/>
              </w:rPr>
            </w:pPr>
            <w:r w:rsidRPr="00190D4B">
              <w:rPr>
                <w:rFonts w:cs="Arial"/>
                <w:sz w:val="20"/>
                <w:szCs w:val="20"/>
              </w:rPr>
              <w:t xml:space="preserve">Grothe –(2019)5 - Patients subjected to prewarming showed an intraoperative hypothermia rate of 15.8% and a postoperative hypothermia rate of 5.1%. Patients without </w:t>
            </w:r>
            <w:r w:rsidRPr="00190D4B">
              <w:rPr>
                <w:rFonts w:cs="Arial"/>
                <w:sz w:val="20"/>
                <w:szCs w:val="20"/>
              </w:rPr>
              <w:lastRenderedPageBreak/>
              <w:t xml:space="preserve">prewarming showed an intraoperative hypothermia rate of 30.4% and a postoperative hypothermia rate of 12.4%. This means a 52% reduction of the intraoperative hypothermia rate and a 41%reduction of the postoperative hypothermia rate for patients who received prewarming (p &lt; 0.0001) </w:t>
            </w:r>
          </w:p>
          <w:p w14:paraId="467E917D" w14:textId="2A4ECE7E" w:rsidR="008C0300" w:rsidRPr="00190D4B" w:rsidRDefault="008C0300" w:rsidP="00192DC7">
            <w:pPr>
              <w:pStyle w:val="Paragraphnonumbers"/>
              <w:spacing w:after="120" w:line="240" w:lineRule="auto"/>
              <w:rPr>
                <w:rFonts w:cs="Arial"/>
                <w:sz w:val="20"/>
                <w:szCs w:val="20"/>
              </w:rPr>
            </w:pPr>
            <w:r w:rsidRPr="00190D4B">
              <w:rPr>
                <w:rFonts w:cs="Arial"/>
                <w:sz w:val="20"/>
                <w:szCs w:val="20"/>
              </w:rPr>
              <w:t>Grote (2020)6 - Study shows that an increase in the length in forced-air warming interruption time was associated with a significant increase of the intraoperative hypothermia rate. Hypothermia rates varied from 7.4%-40.0% depending on the warming interruption time (P &lt; .0001)</w:t>
            </w:r>
          </w:p>
          <w:p w14:paraId="00A03CDC" w14:textId="77777777" w:rsidR="008C0300" w:rsidRPr="00190D4B" w:rsidRDefault="008C0300" w:rsidP="00192DC7">
            <w:pPr>
              <w:pStyle w:val="Paragraphnonumbers"/>
              <w:spacing w:after="120" w:line="240" w:lineRule="auto"/>
              <w:rPr>
                <w:rFonts w:cs="Arial"/>
                <w:sz w:val="20"/>
                <w:szCs w:val="20"/>
              </w:rPr>
            </w:pPr>
            <w:r w:rsidRPr="00190D4B">
              <w:rPr>
                <w:rFonts w:cs="Arial"/>
                <w:sz w:val="20"/>
                <w:szCs w:val="20"/>
              </w:rPr>
              <w:t>Scott et al (2015)7 – improved Temperature Management protocol associated with improved outcomes.</w:t>
            </w:r>
          </w:p>
          <w:p w14:paraId="1E4B6C3C" w14:textId="41D6578E" w:rsidR="008C0300" w:rsidRPr="00190D4B" w:rsidRDefault="008C0300" w:rsidP="00192DC7">
            <w:pPr>
              <w:pStyle w:val="Paragraphnonumbers"/>
              <w:spacing w:after="120" w:line="240" w:lineRule="auto"/>
              <w:rPr>
                <w:rFonts w:cs="Arial"/>
                <w:sz w:val="20"/>
                <w:szCs w:val="20"/>
              </w:rPr>
            </w:pPr>
            <w:r w:rsidRPr="00190D4B">
              <w:rPr>
                <w:rFonts w:cs="Arial"/>
                <w:sz w:val="20"/>
                <w:szCs w:val="20"/>
              </w:rPr>
              <w:t>n= 45,304 patients; 44,064 - temperature management; 1,240  - no  temperature management [ temp &lt;36oc or no warming</w:t>
            </w:r>
          </w:p>
          <w:p w14:paraId="341F3F99" w14:textId="5EDA7FAF" w:rsidR="005F73B1" w:rsidRPr="00190D4B" w:rsidRDefault="008C0300" w:rsidP="00192DC7">
            <w:pPr>
              <w:pStyle w:val="Paragraphnonumbers"/>
              <w:spacing w:after="120" w:line="240" w:lineRule="auto"/>
              <w:rPr>
                <w:rFonts w:cs="Arial"/>
                <w:sz w:val="20"/>
                <w:szCs w:val="20"/>
              </w:rPr>
            </w:pPr>
            <w:r w:rsidRPr="00190D4B">
              <w:rPr>
                <w:rFonts w:cs="Arial"/>
                <w:sz w:val="20"/>
                <w:szCs w:val="20"/>
              </w:rPr>
              <w:lastRenderedPageBreak/>
              <w:t>HAI – 7.5% vs 12.9% (odds ratio = 0.68); MCE – 1.4% vs 3.1% (odds ratio = 0.60; Mortality – 1.4% vs 4.8% (odd ratio = 0.41); Mean LOS  - 9 days  vs  13.6 days (OR = 0.83); Median IQR = [4] 2-8 vs [5] 2-14 days</w:t>
            </w:r>
          </w:p>
        </w:tc>
        <w:tc>
          <w:tcPr>
            <w:tcW w:w="896" w:type="pct"/>
          </w:tcPr>
          <w:p w14:paraId="41CAB9B5" w14:textId="77777777" w:rsidR="008C0300" w:rsidRPr="00190D4B" w:rsidRDefault="008C0300" w:rsidP="00192DC7">
            <w:pPr>
              <w:pStyle w:val="Tabletext"/>
              <w:spacing w:after="120"/>
              <w:rPr>
                <w:rFonts w:cs="Arial"/>
                <w:sz w:val="20"/>
                <w:szCs w:val="20"/>
              </w:rPr>
            </w:pPr>
            <w:r w:rsidRPr="00190D4B">
              <w:rPr>
                <w:rFonts w:cs="Arial"/>
                <w:sz w:val="20"/>
                <w:szCs w:val="20"/>
              </w:rPr>
              <w:lastRenderedPageBreak/>
              <w:t>Impacts of Pre-warming</w:t>
            </w:r>
          </w:p>
          <w:p w14:paraId="19433A5C" w14:textId="77777777" w:rsidR="008C0300" w:rsidRPr="00190D4B" w:rsidRDefault="008C0300" w:rsidP="00192DC7">
            <w:pPr>
              <w:pStyle w:val="Tabletext"/>
              <w:spacing w:after="120"/>
              <w:rPr>
                <w:rFonts w:cs="Arial"/>
                <w:sz w:val="20"/>
                <w:szCs w:val="20"/>
              </w:rPr>
            </w:pPr>
          </w:p>
          <w:p w14:paraId="43229A96" w14:textId="31F35B74" w:rsidR="008C0300" w:rsidRPr="00190D4B" w:rsidRDefault="008C0300" w:rsidP="00192DC7">
            <w:pPr>
              <w:pStyle w:val="Tabletext"/>
              <w:spacing w:after="120"/>
              <w:rPr>
                <w:rFonts w:cs="Arial"/>
                <w:sz w:val="20"/>
                <w:szCs w:val="20"/>
              </w:rPr>
            </w:pPr>
            <w:r w:rsidRPr="00190D4B">
              <w:rPr>
                <w:rFonts w:cs="Arial"/>
                <w:sz w:val="20"/>
                <w:szCs w:val="20"/>
              </w:rPr>
              <w:t xml:space="preserve">1.Grote R, Wetz AJ, Brauer A, Menzel M. [Prewarming according to the AWMF S3 guidelines on preventing </w:t>
            </w:r>
            <w:r w:rsidR="00AB7967" w:rsidRPr="00190D4B">
              <w:rPr>
                <w:rFonts w:cs="Arial"/>
                <w:sz w:val="20"/>
                <w:szCs w:val="20"/>
              </w:rPr>
              <w:t>inadvertent</w:t>
            </w:r>
            <w:r w:rsidRPr="00190D4B">
              <w:rPr>
                <w:rFonts w:cs="Arial"/>
                <w:sz w:val="20"/>
                <w:szCs w:val="20"/>
              </w:rPr>
              <w:t xml:space="preserve"> perioperative hypothermia 2014 : Retrospective analysis of 7786 patients]. </w:t>
            </w:r>
            <w:proofErr w:type="spellStart"/>
            <w:r w:rsidRPr="00190D4B">
              <w:rPr>
                <w:rFonts w:cs="Arial"/>
                <w:sz w:val="20"/>
                <w:szCs w:val="20"/>
              </w:rPr>
              <w:t>Anaesthesist</w:t>
            </w:r>
            <w:proofErr w:type="spellEnd"/>
            <w:r w:rsidRPr="00190D4B">
              <w:rPr>
                <w:rFonts w:cs="Arial"/>
                <w:sz w:val="20"/>
                <w:szCs w:val="20"/>
              </w:rPr>
              <w:t>. Jan 2018;67(1):27-33. This is published in German but the abstract is in English.</w:t>
            </w:r>
          </w:p>
          <w:p w14:paraId="21914B0E" w14:textId="77777777" w:rsidR="008C0300" w:rsidRPr="00190D4B" w:rsidRDefault="008C0300" w:rsidP="00192DC7">
            <w:pPr>
              <w:pStyle w:val="Tabletext"/>
              <w:spacing w:after="120"/>
              <w:rPr>
                <w:rFonts w:cs="Arial"/>
                <w:sz w:val="20"/>
                <w:szCs w:val="20"/>
              </w:rPr>
            </w:pPr>
          </w:p>
          <w:p w14:paraId="5DF91467"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2.Anaesthesia 2022, 77 (Suppl. 4), 6–44 T [Article 59] The effect of anaesthetic room pre-warming on the incidence of inadvertent perioperative hypothermia: a quality improvement project. Rona J, University of Sheffield Medical School; </w:t>
            </w:r>
            <w:proofErr w:type="spellStart"/>
            <w:r w:rsidRPr="00190D4B">
              <w:rPr>
                <w:rFonts w:cs="Arial"/>
                <w:sz w:val="20"/>
                <w:szCs w:val="20"/>
              </w:rPr>
              <w:t>Andrzejowski</w:t>
            </w:r>
            <w:proofErr w:type="spellEnd"/>
            <w:r w:rsidRPr="00190D4B">
              <w:rPr>
                <w:rFonts w:cs="Arial"/>
                <w:sz w:val="20"/>
                <w:szCs w:val="20"/>
              </w:rPr>
              <w:t xml:space="preserve"> J, Wiles M, Royal Hallamshire Hospital, Sheffield. In n=314 urology </w:t>
            </w:r>
            <w:r w:rsidRPr="00190D4B">
              <w:rPr>
                <w:rFonts w:cs="Arial"/>
                <w:sz w:val="20"/>
                <w:szCs w:val="20"/>
              </w:rPr>
              <w:lastRenderedPageBreak/>
              <w:t>patients universal gown reduced hypothermia from 40.9% to 29.5%. A 27.6% reduction.</w:t>
            </w:r>
          </w:p>
          <w:p w14:paraId="379095BA" w14:textId="77777777" w:rsidR="008C0300" w:rsidRPr="00190D4B" w:rsidRDefault="008C0300" w:rsidP="00192DC7">
            <w:pPr>
              <w:pStyle w:val="Tabletext"/>
              <w:spacing w:after="120"/>
              <w:rPr>
                <w:rFonts w:cs="Arial"/>
                <w:sz w:val="20"/>
                <w:szCs w:val="20"/>
              </w:rPr>
            </w:pPr>
          </w:p>
          <w:p w14:paraId="40CCC009"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3.Kaufner et al 2019: Impact of brief prewarming on anaesthesia related core-temperature drop, hemodynamic, </w:t>
            </w:r>
            <w:proofErr w:type="spellStart"/>
            <w:r w:rsidRPr="00190D4B">
              <w:rPr>
                <w:rFonts w:cs="Arial"/>
                <w:sz w:val="20"/>
                <w:szCs w:val="20"/>
              </w:rPr>
              <w:t>microperfusion</w:t>
            </w:r>
            <w:proofErr w:type="spellEnd"/>
            <w:r w:rsidRPr="00190D4B">
              <w:rPr>
                <w:rFonts w:cs="Arial"/>
                <w:sz w:val="20"/>
                <w:szCs w:val="20"/>
              </w:rPr>
              <w:t xml:space="preserve"> and postoperative ventilation in cytoreductive surgery of ovarian cancer: a randomized trial</w:t>
            </w:r>
          </w:p>
          <w:p w14:paraId="09EFED58" w14:textId="77777777" w:rsidR="008C0300" w:rsidRPr="00190D4B" w:rsidRDefault="008C0300" w:rsidP="00192DC7">
            <w:pPr>
              <w:pStyle w:val="Tabletext"/>
              <w:spacing w:after="120"/>
              <w:rPr>
                <w:rFonts w:cs="Arial"/>
                <w:sz w:val="20"/>
                <w:szCs w:val="20"/>
              </w:rPr>
            </w:pPr>
          </w:p>
          <w:p w14:paraId="5470F4CD"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-47 women scheduled for cytoreductive surgery were prospectively enrolled. </w:t>
            </w:r>
          </w:p>
          <w:p w14:paraId="0C6C4048"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-Women in the study group were treated with a prewarming of 43 °C during epidural catheter placement. BCT (Spot on, 3 M) was measured before (T1), after induction of GA (T2) at 15 min (T3) after start of surgery, and until 2 h after ICU admission (TICU2h). </w:t>
            </w:r>
          </w:p>
          <w:p w14:paraId="2FEABB89" w14:textId="77777777" w:rsidR="008C0300" w:rsidRPr="00190D4B" w:rsidRDefault="008C0300" w:rsidP="00192DC7">
            <w:pPr>
              <w:pStyle w:val="Tabletext"/>
              <w:spacing w:after="120"/>
              <w:rPr>
                <w:rFonts w:cs="Arial"/>
                <w:sz w:val="20"/>
                <w:szCs w:val="20"/>
              </w:rPr>
            </w:pPr>
            <w:r w:rsidRPr="00190D4B">
              <w:rPr>
                <w:rFonts w:cs="Arial"/>
                <w:sz w:val="20"/>
                <w:szCs w:val="20"/>
              </w:rPr>
              <w:lastRenderedPageBreak/>
              <w:t xml:space="preserve">-Primary endpoint was </w:t>
            </w:r>
            <w:proofErr w:type="spellStart"/>
            <w:r w:rsidRPr="00190D4B">
              <w:rPr>
                <w:rFonts w:cs="Arial"/>
                <w:sz w:val="20"/>
                <w:szCs w:val="20"/>
              </w:rPr>
              <w:t>BCTdrop</w:t>
            </w:r>
            <w:proofErr w:type="spellEnd"/>
            <w:r w:rsidRPr="00190D4B">
              <w:rPr>
                <w:rFonts w:cs="Arial"/>
                <w:sz w:val="20"/>
                <w:szCs w:val="20"/>
              </w:rPr>
              <w:t xml:space="preserve"> between T1 and T2. </w:t>
            </w:r>
          </w:p>
          <w:p w14:paraId="5B294525"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-Results: </w:t>
            </w:r>
            <w:proofErr w:type="spellStart"/>
            <w:r w:rsidRPr="00190D4B">
              <w:rPr>
                <w:rFonts w:cs="Arial"/>
                <w:sz w:val="20"/>
                <w:szCs w:val="20"/>
              </w:rPr>
              <w:t>BCTdrop</w:t>
            </w:r>
            <w:proofErr w:type="spellEnd"/>
            <w:r w:rsidRPr="00190D4B">
              <w:rPr>
                <w:rFonts w:cs="Arial"/>
                <w:sz w:val="20"/>
                <w:szCs w:val="20"/>
              </w:rPr>
              <w:t xml:space="preserve"> was 0.35 °C with prewarming and 0.9 °C without prewarming (p &lt; 0.005) and BCT remained higher over the observation period (ΔT4 = 0.9 °C up to ΔT7 = 0.95 °C, p &lt; 0.001). </w:t>
            </w:r>
          </w:p>
          <w:p w14:paraId="594E7621"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-Conclusion: Prewarming at 43 °C reduces the </w:t>
            </w:r>
            <w:proofErr w:type="spellStart"/>
            <w:r w:rsidRPr="00190D4B">
              <w:rPr>
                <w:rFonts w:cs="Arial"/>
                <w:sz w:val="20"/>
                <w:szCs w:val="20"/>
              </w:rPr>
              <w:t>BCTdrop</w:t>
            </w:r>
            <w:proofErr w:type="spellEnd"/>
            <w:r w:rsidRPr="00190D4B">
              <w:rPr>
                <w:rFonts w:cs="Arial"/>
                <w:sz w:val="20"/>
                <w:szCs w:val="20"/>
              </w:rPr>
              <w:t xml:space="preserve"> and maintains normothermia without impeding the perioperative routine patient flow. </w:t>
            </w:r>
          </w:p>
          <w:p w14:paraId="37DD2A9A" w14:textId="77777777" w:rsidR="008C0300" w:rsidRPr="00190D4B" w:rsidRDefault="008C0300" w:rsidP="00192DC7">
            <w:pPr>
              <w:pStyle w:val="Tabletext"/>
              <w:spacing w:after="120"/>
              <w:rPr>
                <w:rFonts w:cs="Arial"/>
                <w:sz w:val="20"/>
                <w:szCs w:val="20"/>
              </w:rPr>
            </w:pPr>
          </w:p>
          <w:p w14:paraId="3AB828BE"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4.Short interruptions between pre-warming and intraoperative warming are associated with low intraoperative hypothermia rates discontinuities in warming give rise to significant hypothermia- Grothe </w:t>
            </w:r>
          </w:p>
          <w:p w14:paraId="45FFCFD9" w14:textId="77777777" w:rsidR="008C0300" w:rsidRPr="00190D4B" w:rsidRDefault="008C0300" w:rsidP="00192DC7">
            <w:pPr>
              <w:pStyle w:val="Tabletext"/>
              <w:spacing w:after="120"/>
              <w:rPr>
                <w:rFonts w:cs="Arial"/>
                <w:sz w:val="20"/>
                <w:szCs w:val="20"/>
              </w:rPr>
            </w:pPr>
          </w:p>
          <w:p w14:paraId="28C480DA" w14:textId="1BA5B7AB" w:rsidR="008C0300" w:rsidRPr="00190D4B" w:rsidRDefault="008C0300" w:rsidP="00192DC7">
            <w:pPr>
              <w:pStyle w:val="Tabletext"/>
              <w:spacing w:after="120"/>
              <w:rPr>
                <w:rFonts w:cs="Arial"/>
                <w:sz w:val="20"/>
                <w:szCs w:val="20"/>
              </w:rPr>
            </w:pPr>
            <w:r w:rsidRPr="00190D4B">
              <w:rPr>
                <w:rFonts w:cs="Arial"/>
                <w:sz w:val="20"/>
                <w:szCs w:val="20"/>
              </w:rPr>
              <w:t xml:space="preserve">References </w:t>
            </w:r>
          </w:p>
          <w:p w14:paraId="158FED83"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Alfonsi et al 2019. Prevalence of hypothermia on admission to recovery </w:t>
            </w:r>
            <w:r w:rsidRPr="00190D4B">
              <w:rPr>
                <w:rFonts w:cs="Arial"/>
                <w:sz w:val="20"/>
                <w:szCs w:val="20"/>
              </w:rPr>
              <w:lastRenderedPageBreak/>
              <w:t>room remains high despite a large use of forced-air warming devices: Findings of a non-randomized observational multicentre and pragmatic study on perioperative hypothermia prevalence in France.. PLOS ONE | https://doi.org/10.1371/journal.pone.0226038 December 23, 2019</w:t>
            </w:r>
          </w:p>
          <w:p w14:paraId="4D97648D" w14:textId="77777777" w:rsidR="008C0300" w:rsidRPr="00190D4B" w:rsidRDefault="008C0300" w:rsidP="00192DC7">
            <w:pPr>
              <w:pStyle w:val="Tabletext"/>
              <w:spacing w:after="120"/>
              <w:rPr>
                <w:rFonts w:cs="Arial"/>
                <w:sz w:val="20"/>
                <w:szCs w:val="20"/>
              </w:rPr>
            </w:pPr>
          </w:p>
          <w:p w14:paraId="43F94446" w14:textId="77777777" w:rsidR="008C0300" w:rsidRPr="00190D4B" w:rsidRDefault="008C0300" w:rsidP="00192DC7">
            <w:pPr>
              <w:pStyle w:val="Tabletext"/>
              <w:spacing w:after="120"/>
              <w:rPr>
                <w:rFonts w:cs="Arial"/>
                <w:sz w:val="20"/>
                <w:szCs w:val="20"/>
              </w:rPr>
            </w:pPr>
            <w:r w:rsidRPr="00190D4B">
              <w:rPr>
                <w:rFonts w:cs="Arial"/>
                <w:sz w:val="20"/>
                <w:szCs w:val="20"/>
              </w:rPr>
              <w:t>Anaesthesia 2022 Abstract [Article 65] – The surgical patient who came in from the cold. Reducing hypothermia in the postanaesthetic care unit E. Williams1, M. Keep2</w:t>
            </w:r>
          </w:p>
          <w:p w14:paraId="4CBCFD1B" w14:textId="77777777" w:rsidR="008C0300" w:rsidRPr="00190D4B" w:rsidRDefault="008C0300" w:rsidP="00192DC7">
            <w:pPr>
              <w:pStyle w:val="Tabletext"/>
              <w:spacing w:after="120"/>
              <w:rPr>
                <w:rFonts w:cs="Arial"/>
                <w:sz w:val="20"/>
                <w:szCs w:val="20"/>
              </w:rPr>
            </w:pPr>
          </w:p>
          <w:p w14:paraId="0946E02F"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Anaesthesia 2022, 77 (Suppl. 4), 6–44 T [Article 59] The effect of anaesthetic room pre-warming on the incidence of inadvertent perioperative hypothermia: a quality improvement project. Rona J, University of Sheffield Medical School; </w:t>
            </w:r>
            <w:proofErr w:type="spellStart"/>
            <w:r w:rsidRPr="00190D4B">
              <w:rPr>
                <w:rFonts w:cs="Arial"/>
                <w:sz w:val="20"/>
                <w:szCs w:val="20"/>
              </w:rPr>
              <w:t>Andrzejowski</w:t>
            </w:r>
            <w:proofErr w:type="spellEnd"/>
            <w:r w:rsidRPr="00190D4B">
              <w:rPr>
                <w:rFonts w:cs="Arial"/>
                <w:sz w:val="20"/>
                <w:szCs w:val="20"/>
              </w:rPr>
              <w:t xml:space="preserve"> J, Wiles M, Royal </w:t>
            </w:r>
            <w:r w:rsidRPr="00190D4B">
              <w:rPr>
                <w:rFonts w:cs="Arial"/>
                <w:sz w:val="20"/>
                <w:szCs w:val="20"/>
              </w:rPr>
              <w:lastRenderedPageBreak/>
              <w:t>Hallamshire Hospital, Sheffield</w:t>
            </w:r>
          </w:p>
          <w:p w14:paraId="7F1329B6" w14:textId="77777777" w:rsidR="008C0300" w:rsidRPr="00190D4B" w:rsidRDefault="008C0300" w:rsidP="00192DC7">
            <w:pPr>
              <w:pStyle w:val="Tabletext"/>
              <w:spacing w:after="120"/>
              <w:rPr>
                <w:rFonts w:cs="Arial"/>
                <w:sz w:val="20"/>
                <w:szCs w:val="20"/>
              </w:rPr>
            </w:pPr>
          </w:p>
          <w:p w14:paraId="1D3425A1" w14:textId="77777777" w:rsidR="008C0300" w:rsidRPr="00190D4B" w:rsidRDefault="008C0300" w:rsidP="00192DC7">
            <w:pPr>
              <w:pStyle w:val="Tabletext"/>
              <w:spacing w:after="120"/>
              <w:rPr>
                <w:rFonts w:cs="Arial"/>
                <w:sz w:val="20"/>
                <w:szCs w:val="20"/>
              </w:rPr>
            </w:pPr>
            <w:r w:rsidRPr="00190D4B">
              <w:rPr>
                <w:rFonts w:cs="Arial"/>
                <w:sz w:val="20"/>
                <w:szCs w:val="20"/>
              </w:rPr>
              <w:t>Grothe R . et al. Prewarming according to the AWMF S3 guidelines on preventing inadvertent perioperative hypothermia 2014. Retrospective analysis of 7786 patients. Anaesthetist 2018 · 67:27–33 https://doi.org/10.1007/s00101-017-0384-3</w:t>
            </w:r>
          </w:p>
          <w:p w14:paraId="7494445D"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Grothe R. Short interruptions between pre-warming and intraoperative warming are associated with low intraoperative hypothermia rates. </w:t>
            </w:r>
          </w:p>
          <w:p w14:paraId="770F8A6F" w14:textId="77777777" w:rsidR="008C0300" w:rsidRPr="00190D4B" w:rsidRDefault="008C0300" w:rsidP="00192DC7">
            <w:pPr>
              <w:pStyle w:val="Tabletext"/>
              <w:spacing w:after="120"/>
              <w:rPr>
                <w:rFonts w:cs="Arial"/>
                <w:sz w:val="20"/>
                <w:szCs w:val="20"/>
              </w:rPr>
            </w:pPr>
          </w:p>
          <w:p w14:paraId="2A3EBED5"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Grote, R; Acta </w:t>
            </w:r>
            <w:proofErr w:type="spellStart"/>
            <w:r w:rsidRPr="00190D4B">
              <w:rPr>
                <w:rFonts w:cs="Arial"/>
                <w:sz w:val="20"/>
                <w:szCs w:val="20"/>
              </w:rPr>
              <w:t>Anaesthesiol</w:t>
            </w:r>
            <w:proofErr w:type="spellEnd"/>
            <w:r w:rsidRPr="00190D4B">
              <w:rPr>
                <w:rFonts w:cs="Arial"/>
                <w:sz w:val="20"/>
                <w:szCs w:val="20"/>
              </w:rPr>
              <w:t xml:space="preserve"> Scand. 2020;64:489–493</w:t>
            </w:r>
          </w:p>
          <w:p w14:paraId="442BCA9E" w14:textId="66917212" w:rsidR="008C0300" w:rsidRPr="00190D4B" w:rsidRDefault="008C0300" w:rsidP="00192DC7">
            <w:pPr>
              <w:pStyle w:val="Tabletext"/>
              <w:spacing w:after="120"/>
              <w:rPr>
                <w:rFonts w:cs="Arial"/>
                <w:sz w:val="20"/>
                <w:szCs w:val="20"/>
              </w:rPr>
            </w:pPr>
            <w:r w:rsidRPr="00190D4B">
              <w:rPr>
                <w:rFonts w:cs="Arial"/>
                <w:sz w:val="20"/>
                <w:szCs w:val="20"/>
              </w:rPr>
              <w:t xml:space="preserve">Scott R. et al. Compliance with Surgical Care Improvement Project for Body Temperature Management (SCIP Inf-10) Is Associated with Improved Clinical Outcomes. </w:t>
            </w:r>
            <w:r w:rsidRPr="00190D4B">
              <w:rPr>
                <w:rFonts w:cs="Arial"/>
                <w:sz w:val="20"/>
                <w:szCs w:val="20"/>
              </w:rPr>
              <w:lastRenderedPageBreak/>
              <w:t>Anaesthesiology 2015; 123:116-25</w:t>
            </w:r>
          </w:p>
          <w:p w14:paraId="5F08F60C" w14:textId="77777777" w:rsidR="008C0300" w:rsidRPr="00190D4B" w:rsidRDefault="008C0300" w:rsidP="00192DC7">
            <w:pPr>
              <w:pStyle w:val="Tabletext"/>
              <w:spacing w:after="120"/>
              <w:rPr>
                <w:rFonts w:cs="Arial"/>
                <w:sz w:val="20"/>
                <w:szCs w:val="20"/>
              </w:rPr>
            </w:pPr>
            <w:r w:rsidRPr="00190D4B">
              <w:rPr>
                <w:rFonts w:cs="Arial"/>
                <w:sz w:val="20"/>
                <w:szCs w:val="20"/>
              </w:rPr>
              <w:t>NICE CG65 Hypothermia Prevention and Management in Adults having surgery https://www.nice.org.uk/Guidance/CG65(2016)</w:t>
            </w:r>
          </w:p>
          <w:p w14:paraId="2DD796F1" w14:textId="77777777" w:rsidR="005F73B1" w:rsidRPr="00190D4B" w:rsidRDefault="005F73B1" w:rsidP="00192DC7">
            <w:pPr>
              <w:pStyle w:val="Tabletext"/>
              <w:spacing w:after="120"/>
              <w:rPr>
                <w:rFonts w:cs="Arial"/>
                <w:sz w:val="20"/>
                <w:szCs w:val="20"/>
              </w:rPr>
            </w:pPr>
          </w:p>
        </w:tc>
      </w:tr>
      <w:tr w:rsidR="004E7B30" w:rsidRPr="00190D4B" w14:paraId="4FAAAEE9" w14:textId="77777777" w:rsidTr="004E7B30">
        <w:trPr>
          <w:trHeight w:val="282"/>
        </w:trPr>
        <w:tc>
          <w:tcPr>
            <w:tcW w:w="5000" w:type="pct"/>
            <w:gridSpan w:val="6"/>
          </w:tcPr>
          <w:p w14:paraId="704CDC41" w14:textId="22FC9DA6" w:rsidR="004E7B30" w:rsidRPr="00190D4B" w:rsidRDefault="004E7B30" w:rsidP="00192DC7">
            <w:pPr>
              <w:pStyle w:val="Tabletext"/>
              <w:spacing w:after="120"/>
              <w:rPr>
                <w:rFonts w:cs="Arial"/>
                <w:b/>
                <w:bCs/>
                <w:sz w:val="20"/>
                <w:szCs w:val="20"/>
              </w:rPr>
            </w:pPr>
            <w:r w:rsidRPr="00190D4B">
              <w:rPr>
                <w:rFonts w:cs="Arial"/>
                <w:b/>
                <w:bCs/>
                <w:sz w:val="20"/>
                <w:szCs w:val="20"/>
              </w:rPr>
              <w:lastRenderedPageBreak/>
              <w:t>Managing pain</w:t>
            </w:r>
          </w:p>
        </w:tc>
      </w:tr>
      <w:tr w:rsidR="004E7B30" w:rsidRPr="00190D4B" w14:paraId="5D6299AD" w14:textId="77777777" w:rsidTr="00477F9C">
        <w:trPr>
          <w:trHeight w:val="282"/>
        </w:trPr>
        <w:tc>
          <w:tcPr>
            <w:tcW w:w="192" w:type="pct"/>
          </w:tcPr>
          <w:p w14:paraId="6204FFE0" w14:textId="44B32E4C" w:rsidR="004E7B30" w:rsidRPr="00190D4B" w:rsidRDefault="002C610D" w:rsidP="00192DC7">
            <w:pPr>
              <w:pStyle w:val="Tabletext"/>
              <w:spacing w:after="120"/>
              <w:rPr>
                <w:rFonts w:cs="Arial"/>
                <w:sz w:val="20"/>
                <w:szCs w:val="20"/>
                <w:lang w:eastAsia="en-GB"/>
              </w:rPr>
            </w:pPr>
            <w:r>
              <w:rPr>
                <w:rFonts w:cs="Arial"/>
                <w:sz w:val="20"/>
                <w:szCs w:val="20"/>
                <w:lang w:eastAsia="en-GB"/>
              </w:rPr>
              <w:t>36</w:t>
            </w:r>
          </w:p>
        </w:tc>
        <w:tc>
          <w:tcPr>
            <w:tcW w:w="483" w:type="pct"/>
          </w:tcPr>
          <w:p w14:paraId="74D92F68" w14:textId="129BAA77" w:rsidR="004E7B30" w:rsidRPr="00190D4B" w:rsidRDefault="004E7B30" w:rsidP="00192DC7">
            <w:pPr>
              <w:pStyle w:val="Tabletext"/>
              <w:spacing w:after="120"/>
              <w:rPr>
                <w:rFonts w:cs="Arial"/>
                <w:sz w:val="20"/>
                <w:szCs w:val="20"/>
              </w:rPr>
            </w:pPr>
            <w:r w:rsidRPr="00190D4B">
              <w:rPr>
                <w:rFonts w:cs="Arial"/>
                <w:sz w:val="20"/>
                <w:szCs w:val="20"/>
              </w:rPr>
              <w:t>RCOA</w:t>
            </w:r>
          </w:p>
        </w:tc>
        <w:tc>
          <w:tcPr>
            <w:tcW w:w="1111" w:type="pct"/>
          </w:tcPr>
          <w:p w14:paraId="10C61635"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Pre-operative identifying of patients at risk of pain complications. </w:t>
            </w:r>
          </w:p>
          <w:p w14:paraId="5915AB74" w14:textId="109364E3"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Recommendations to reduce this risk:</w:t>
            </w:r>
          </w:p>
          <w:p w14:paraId="2F5F6672"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Identify the patients at risk of pain complications in the preoperative period </w:t>
            </w:r>
          </w:p>
          <w:p w14:paraId="79E9ED11"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Preoperative preparation for surgery to include optimising health and well-being, manage expectations and provide education about the surgical pathway. There should be a variety of ways to provide pre-admission education including in-person, written and digital support.  High risk patients may require dose reduction of long-term opioids or psychological interventions. </w:t>
            </w:r>
          </w:p>
          <w:p w14:paraId="1E389439"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lastRenderedPageBreak/>
              <w:t>The use of multi modal analgesia in the perioperative period with an emphasis on opioid stewardship.  MR opioids should not be used for post-operative pain. </w:t>
            </w:r>
            <w:hyperlink r:id="rId110" w:history="1">
              <w:r w:rsidRPr="004E7B30">
                <w:rPr>
                  <w:rFonts w:ascii="Arial" w:hAnsi="Arial" w:cs="Arial"/>
                  <w:color w:val="0000FF"/>
                  <w:sz w:val="20"/>
                  <w:szCs w:val="20"/>
                  <w:u w:val="single"/>
                  <w:lang w:eastAsia="en-GB"/>
                </w:rPr>
                <w:t>https://www.gov.uk/drug-safety-update/prolonged-release-opioids-removal-of-indication-for-relief-of-post-operative-pain</w:t>
              </w:r>
            </w:hyperlink>
          </w:p>
          <w:p w14:paraId="7B9B09AC"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Post-operative identification of those developing problematic pain in absence of post operative complications. Inpatient pain team reviews as per </w:t>
            </w:r>
            <w:hyperlink r:id="rId111" w:history="1">
              <w:r w:rsidRPr="004E7B30">
                <w:rPr>
                  <w:rFonts w:ascii="Arial" w:hAnsi="Arial" w:cs="Arial"/>
                  <w:color w:val="0000FF"/>
                  <w:sz w:val="20"/>
                  <w:szCs w:val="20"/>
                  <w:u w:val="single"/>
                  <w:lang w:eastAsia="en-GB"/>
                </w:rPr>
                <w:t>GPAS inpatient pain standards</w:t>
              </w:r>
            </w:hyperlink>
            <w:r w:rsidRPr="004E7B30">
              <w:rPr>
                <w:rFonts w:ascii="Arial" w:hAnsi="Arial" w:cs="Arial"/>
                <w:sz w:val="20"/>
                <w:szCs w:val="20"/>
                <w:lang w:eastAsia="en-GB"/>
              </w:rPr>
              <w:t>. </w:t>
            </w:r>
          </w:p>
          <w:p w14:paraId="05CF09D1"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In addition to standard surgical follow up patients who don’t follow the expected trajectory of decreasing pain and decreasing opioid use after surgery should be reviewed in a transitional pain clinic – a bridge between acute pain and chronic pain services</w:t>
            </w:r>
          </w:p>
          <w:p w14:paraId="4AFC8C5C" w14:textId="01921576" w:rsidR="004E7B30" w:rsidRPr="00190D4B"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N.B. FPM guidelines on this topic are currently in the final stages of drafting and can be shared. </w:t>
            </w:r>
          </w:p>
        </w:tc>
        <w:tc>
          <w:tcPr>
            <w:tcW w:w="1402" w:type="pct"/>
          </w:tcPr>
          <w:p w14:paraId="6EFCD237"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lastRenderedPageBreak/>
              <w:t>Patients undergoing surgery are at risk of pain-related complications.  These complications can occur in the immediate post operative period, but some may persist beyond the period of normal tissue healing.  There are interventions that, if put in place throughout the perioperative period, can reduce these risks. </w:t>
            </w:r>
          </w:p>
          <w:p w14:paraId="7419878B" w14:textId="77777777" w:rsidR="004E7B30" w:rsidRPr="00190D4B" w:rsidRDefault="004E7B30" w:rsidP="00192DC7">
            <w:pPr>
              <w:pStyle w:val="Paragraphnonumbers"/>
              <w:spacing w:after="120" w:line="240" w:lineRule="auto"/>
              <w:rPr>
                <w:rFonts w:cs="Arial"/>
                <w:sz w:val="20"/>
                <w:szCs w:val="20"/>
              </w:rPr>
            </w:pPr>
          </w:p>
          <w:p w14:paraId="1271D5F6"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 xml:space="preserve">Opioid misuse has not been quantified in the UK but there have been concerns that this trajectory will mirror that of the USA. Opioid prescriptions have increased in the UK by 34% between 1998 and 2016. Post-operative identification of patients  </w:t>
            </w:r>
          </w:p>
          <w:p w14:paraId="3429F896" w14:textId="77777777" w:rsidR="004E7B30" w:rsidRPr="00190D4B" w:rsidRDefault="004E7B30" w:rsidP="00192DC7">
            <w:pPr>
              <w:pStyle w:val="Paragraphnonumbers"/>
              <w:spacing w:after="120" w:line="240" w:lineRule="auto"/>
              <w:rPr>
                <w:rFonts w:cs="Arial"/>
                <w:sz w:val="20"/>
                <w:szCs w:val="20"/>
              </w:rPr>
            </w:pPr>
            <w:hyperlink r:id="rId112" w:history="1">
              <w:r w:rsidRPr="00190D4B">
                <w:rPr>
                  <w:rStyle w:val="Hyperlink"/>
                  <w:rFonts w:cs="Arial"/>
                  <w:sz w:val="20"/>
                  <w:szCs w:val="20"/>
                </w:rPr>
                <w:t>Surgery and opioids: evidence-based expert consensus guidelines on the perioperative use of opioids in the United Kingdom. British Journal of Anaesthesia, Volume 126, Issue 6, 1208 – 1216</w:t>
              </w:r>
            </w:hyperlink>
          </w:p>
          <w:p w14:paraId="49327180" w14:textId="77777777" w:rsidR="004E7B30" w:rsidRPr="00190D4B" w:rsidRDefault="004E7B30" w:rsidP="00192DC7">
            <w:pPr>
              <w:pStyle w:val="Paragraphnonumbers"/>
              <w:spacing w:after="120" w:line="240" w:lineRule="auto"/>
              <w:rPr>
                <w:rFonts w:cs="Arial"/>
                <w:sz w:val="20"/>
                <w:szCs w:val="20"/>
              </w:rPr>
            </w:pPr>
            <w:hyperlink r:id="rId113" w:history="1">
              <w:r w:rsidRPr="00190D4B">
                <w:rPr>
                  <w:rStyle w:val="Hyperlink"/>
                  <w:rFonts w:cs="Arial"/>
                  <w:sz w:val="20"/>
                  <w:szCs w:val="20"/>
                </w:rPr>
                <w:t xml:space="preserve">Opioid prescribing trends and geographical variation in England, 1998–2018: a </w:t>
              </w:r>
              <w:r w:rsidRPr="00190D4B">
                <w:rPr>
                  <w:rStyle w:val="Hyperlink"/>
                  <w:rFonts w:cs="Arial"/>
                  <w:sz w:val="20"/>
                  <w:szCs w:val="20"/>
                </w:rPr>
                <w:lastRenderedPageBreak/>
                <w:t>retrospective database study</w:t>
              </w:r>
              <w:r w:rsidRPr="00190D4B">
                <w:rPr>
                  <w:rStyle w:val="Hyperlink"/>
                  <w:rFonts w:cs="Arial"/>
                  <w:b/>
                  <w:bCs/>
                  <w:sz w:val="20"/>
                  <w:szCs w:val="20"/>
                </w:rPr>
                <w:t xml:space="preserve"> </w:t>
              </w:r>
              <w:r w:rsidRPr="00190D4B">
                <w:rPr>
                  <w:rStyle w:val="Hyperlink"/>
                  <w:rFonts w:cs="Arial"/>
                  <w:sz w:val="20"/>
                  <w:szCs w:val="20"/>
                </w:rPr>
                <w:t>The Lancet Psychiatry, Volume 6, Issue 2, 140 – 150</w:t>
              </w:r>
            </w:hyperlink>
          </w:p>
          <w:p w14:paraId="55A18EB2" w14:textId="2F3921A1" w:rsidR="004E7B30" w:rsidRPr="00190D4B" w:rsidRDefault="004E7B30" w:rsidP="00192DC7">
            <w:pPr>
              <w:pStyle w:val="Paragraphnonumbers"/>
              <w:spacing w:after="120" w:line="240" w:lineRule="auto"/>
              <w:rPr>
                <w:rFonts w:cs="Arial"/>
                <w:sz w:val="20"/>
                <w:szCs w:val="20"/>
              </w:rPr>
            </w:pPr>
            <w:hyperlink r:id="rId114" w:history="1">
              <w:r w:rsidRPr="00190D4B">
                <w:rPr>
                  <w:rStyle w:val="Hyperlink"/>
                  <w:rFonts w:cs="Arial"/>
                  <w:sz w:val="20"/>
                  <w:szCs w:val="20"/>
                </w:rPr>
                <w:t xml:space="preserve">Avoiding an opioid crisis in the UK. BMJ. 2019 Mar 11;364:l1033. </w:t>
              </w:r>
              <w:proofErr w:type="spellStart"/>
              <w:r w:rsidRPr="00190D4B">
                <w:rPr>
                  <w:rStyle w:val="Hyperlink"/>
                  <w:rFonts w:cs="Arial"/>
                  <w:sz w:val="20"/>
                  <w:szCs w:val="20"/>
                </w:rPr>
                <w:t>doi</w:t>
              </w:r>
              <w:proofErr w:type="spellEnd"/>
              <w:r w:rsidRPr="00190D4B">
                <w:rPr>
                  <w:rStyle w:val="Hyperlink"/>
                  <w:rFonts w:cs="Arial"/>
                  <w:sz w:val="20"/>
                  <w:szCs w:val="20"/>
                </w:rPr>
                <w:t>: 10.1136/bmj.l1033. PMID: 30858226.</w:t>
              </w:r>
            </w:hyperlink>
          </w:p>
        </w:tc>
        <w:tc>
          <w:tcPr>
            <w:tcW w:w="916" w:type="pct"/>
          </w:tcPr>
          <w:p w14:paraId="38693585"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lastRenderedPageBreak/>
              <w:t>Severe uncontrolled pain in the first 24hours post operatively.</w:t>
            </w:r>
          </w:p>
          <w:p w14:paraId="3736FD9E"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In the UK, the percentage of patients with severe pain immediately postoperatively remains unchanged despite various changes in pain management and surgical techniques. Around 11% of patients experience severe pain, and 37% experience moderate pain, in the first 24hrs after surgery (</w:t>
            </w:r>
            <w:hyperlink r:id="rId115" w:history="1">
              <w:r w:rsidRPr="004E7B30">
                <w:rPr>
                  <w:rFonts w:ascii="Arial" w:hAnsi="Arial" w:cs="Arial"/>
                  <w:color w:val="0000FF"/>
                  <w:sz w:val="20"/>
                  <w:szCs w:val="20"/>
                  <w:u w:val="single"/>
                  <w:lang w:eastAsia="en-GB"/>
                </w:rPr>
                <w:t>BJA 2016; 117: 758–766</w:t>
              </w:r>
            </w:hyperlink>
            <w:r w:rsidRPr="004E7B30">
              <w:rPr>
                <w:rFonts w:ascii="Arial" w:hAnsi="Arial" w:cs="Arial"/>
                <w:sz w:val="20"/>
                <w:szCs w:val="20"/>
                <w:lang w:eastAsia="en-GB"/>
              </w:rPr>
              <w:t>).</w:t>
            </w:r>
          </w:p>
          <w:p w14:paraId="1849921F" w14:textId="6CA85F3A"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Post operative pain trajectory not decreasing as expected</w:t>
            </w:r>
          </w:p>
          <w:p w14:paraId="55305187" w14:textId="66AC153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Some pain lasting longer than 24 hours is normal and to be expected as part of the usual healing </w:t>
            </w:r>
            <w:r w:rsidRPr="004E7B30">
              <w:rPr>
                <w:rFonts w:ascii="Arial" w:hAnsi="Arial" w:cs="Arial"/>
                <w:sz w:val="20"/>
                <w:szCs w:val="20"/>
                <w:lang w:eastAsia="en-GB"/>
              </w:rPr>
              <w:lastRenderedPageBreak/>
              <w:t xml:space="preserve">process. However, this transitional pain may have an impact on a person’s daily function and quality of life, causing a limitation in activities and contributing to psychological distress and limiting rehabilitation goals.  </w:t>
            </w:r>
          </w:p>
          <w:p w14:paraId="39B48F72"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Chronic post-surgical pain (CPSP). </w:t>
            </w:r>
          </w:p>
          <w:p w14:paraId="31EC245F" w14:textId="03809670" w:rsidR="004E7B30" w:rsidRPr="00190D4B"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CPSP is defined in the ICD-11 classification of diseases as pain developing or increasing in intensity after a surgical procedure or a tissue injury and persisting beyond the healing process, i.e. at least 3 months after surgery or tissue trauma. The pain cannot be attributed to another cause </w:t>
            </w:r>
            <w:proofErr w:type="spellStart"/>
            <w:r w:rsidRPr="004E7B30">
              <w:rPr>
                <w:rFonts w:ascii="Arial" w:hAnsi="Arial" w:cs="Arial"/>
                <w:sz w:val="20"/>
                <w:szCs w:val="20"/>
                <w:lang w:eastAsia="en-GB"/>
              </w:rPr>
              <w:t>eg</w:t>
            </w:r>
            <w:proofErr w:type="spellEnd"/>
            <w:r w:rsidRPr="004E7B30">
              <w:rPr>
                <w:rFonts w:ascii="Arial" w:hAnsi="Arial" w:cs="Arial"/>
                <w:sz w:val="20"/>
                <w:szCs w:val="20"/>
                <w:lang w:eastAsia="en-GB"/>
              </w:rPr>
              <w:t xml:space="preserve"> infection, malignancy and is localised to the surgical/injury area or related to this area. The mean incidence of pain 6-12 months after surgery is 20-30% but varies hugely based on the surgical procedure - with some operations associated with CPSP rates of 50% - </w:t>
            </w:r>
            <w:hyperlink r:id="rId116" w:history="1">
              <w:r w:rsidRPr="004E7B30">
                <w:rPr>
                  <w:rFonts w:ascii="Arial" w:hAnsi="Arial" w:cs="Arial"/>
                  <w:color w:val="0000FF"/>
                  <w:sz w:val="20"/>
                  <w:szCs w:val="20"/>
                  <w:u w:val="single"/>
                  <w:lang w:eastAsia="en-GB"/>
                </w:rPr>
                <w:t>BJA education 22; 5 190-196</w:t>
              </w:r>
            </w:hyperlink>
            <w:r w:rsidRPr="004E7B30">
              <w:rPr>
                <w:rFonts w:ascii="Arial" w:hAnsi="Arial" w:cs="Arial"/>
                <w:sz w:val="20"/>
                <w:szCs w:val="20"/>
                <w:lang w:eastAsia="en-GB"/>
              </w:rPr>
              <w:t xml:space="preserve"> and the severity and impact </w:t>
            </w:r>
            <w:r w:rsidRPr="004E7B30">
              <w:rPr>
                <w:rFonts w:ascii="Arial" w:hAnsi="Arial" w:cs="Arial"/>
                <w:sz w:val="20"/>
                <w:szCs w:val="20"/>
                <w:lang w:eastAsia="en-GB"/>
              </w:rPr>
              <w:lastRenderedPageBreak/>
              <w:t>on quality of life of the chronic pain.  This incidence decreases after time. It is the most frequent postoperative complication.</w:t>
            </w:r>
          </w:p>
        </w:tc>
        <w:tc>
          <w:tcPr>
            <w:tcW w:w="896" w:type="pct"/>
          </w:tcPr>
          <w:p w14:paraId="4B3C24F5" w14:textId="77777777" w:rsidR="004E7B30" w:rsidRPr="00190D4B" w:rsidRDefault="004E7B30" w:rsidP="00192DC7">
            <w:pPr>
              <w:pStyle w:val="Tabletext"/>
              <w:spacing w:after="120"/>
              <w:rPr>
                <w:rFonts w:cs="Arial"/>
                <w:sz w:val="20"/>
                <w:szCs w:val="20"/>
              </w:rPr>
            </w:pPr>
          </w:p>
        </w:tc>
      </w:tr>
      <w:tr w:rsidR="004E7B30" w:rsidRPr="00190D4B" w14:paraId="34446C6B" w14:textId="77777777" w:rsidTr="00477F9C">
        <w:trPr>
          <w:trHeight w:val="282"/>
        </w:trPr>
        <w:tc>
          <w:tcPr>
            <w:tcW w:w="192" w:type="pct"/>
          </w:tcPr>
          <w:p w14:paraId="6B4BCF7F" w14:textId="601355B6" w:rsidR="004E7B30" w:rsidRPr="00190D4B" w:rsidRDefault="002C610D" w:rsidP="00192DC7">
            <w:pPr>
              <w:pStyle w:val="Tabletext"/>
              <w:spacing w:after="120"/>
              <w:rPr>
                <w:rFonts w:cs="Arial"/>
                <w:sz w:val="20"/>
                <w:szCs w:val="20"/>
                <w:lang w:eastAsia="en-GB"/>
              </w:rPr>
            </w:pPr>
            <w:r>
              <w:rPr>
                <w:rFonts w:cs="Arial"/>
                <w:sz w:val="20"/>
                <w:szCs w:val="20"/>
                <w:lang w:eastAsia="en-GB"/>
              </w:rPr>
              <w:lastRenderedPageBreak/>
              <w:t>37</w:t>
            </w:r>
          </w:p>
        </w:tc>
        <w:tc>
          <w:tcPr>
            <w:tcW w:w="483" w:type="pct"/>
          </w:tcPr>
          <w:p w14:paraId="566422E9" w14:textId="13FC0E23" w:rsidR="004E7B30" w:rsidRPr="00190D4B" w:rsidRDefault="004E7B30" w:rsidP="00192DC7">
            <w:pPr>
              <w:pStyle w:val="Tabletext"/>
              <w:spacing w:after="120"/>
              <w:rPr>
                <w:rFonts w:cs="Arial"/>
                <w:sz w:val="20"/>
                <w:szCs w:val="20"/>
              </w:rPr>
            </w:pPr>
            <w:r w:rsidRPr="00190D4B">
              <w:rPr>
                <w:rFonts w:cs="Arial"/>
                <w:sz w:val="20"/>
                <w:szCs w:val="20"/>
              </w:rPr>
              <w:t>RCOA</w:t>
            </w:r>
          </w:p>
        </w:tc>
        <w:tc>
          <w:tcPr>
            <w:tcW w:w="1111" w:type="pct"/>
          </w:tcPr>
          <w:p w14:paraId="5A9C3483" w14:textId="2E150194" w:rsidR="004E7B30" w:rsidRPr="00190D4B" w:rsidRDefault="004E7B30" w:rsidP="00192DC7">
            <w:pPr>
              <w:pStyle w:val="Paragraphnonumbers"/>
              <w:spacing w:after="120" w:line="240" w:lineRule="auto"/>
              <w:rPr>
                <w:rFonts w:cs="Arial"/>
                <w:sz w:val="20"/>
                <w:szCs w:val="20"/>
              </w:rPr>
            </w:pPr>
            <w:r w:rsidRPr="00190D4B">
              <w:rPr>
                <w:rFonts w:cs="Arial"/>
                <w:sz w:val="20"/>
                <w:szCs w:val="20"/>
              </w:rPr>
              <w:t>Routine identification and documentation of patients with pre-existing chronic pain conditions in the perioperative pathway</w:t>
            </w:r>
          </w:p>
        </w:tc>
        <w:tc>
          <w:tcPr>
            <w:tcW w:w="1402" w:type="pct"/>
          </w:tcPr>
          <w:p w14:paraId="5EEB1A41"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Patients with pre-existing chronic pain conditions are at significantly higher risk of:</w:t>
            </w:r>
          </w:p>
          <w:p w14:paraId="7C5B10A4"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Increased postoperative pain and analgesic requirements</w:t>
            </w:r>
          </w:p>
          <w:p w14:paraId="4C9A6C66"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Opioid-related complications, including prolonged use</w:t>
            </w:r>
          </w:p>
          <w:p w14:paraId="5B3D529B"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Delayed functional recovery</w:t>
            </w:r>
          </w:p>
          <w:p w14:paraId="5A96DE12"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Longer hospital stays</w:t>
            </w:r>
          </w:p>
          <w:p w14:paraId="68D2499B"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Higher readmission rates</w:t>
            </w:r>
          </w:p>
          <w:p w14:paraId="665E9CD1"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Increased morbidity and, in some populations, mortality</w:t>
            </w:r>
          </w:p>
          <w:p w14:paraId="359766B3" w14:textId="56B2F223" w:rsidR="004E7B30" w:rsidRPr="00190D4B" w:rsidRDefault="004E7B30" w:rsidP="00192DC7">
            <w:pPr>
              <w:pStyle w:val="Paragraphnonumbers"/>
              <w:spacing w:after="120" w:line="240" w:lineRule="auto"/>
              <w:rPr>
                <w:rFonts w:cs="Arial"/>
                <w:sz w:val="20"/>
                <w:szCs w:val="20"/>
              </w:rPr>
            </w:pPr>
            <w:r w:rsidRPr="00190D4B">
              <w:rPr>
                <w:rFonts w:cs="Arial"/>
                <w:sz w:val="20"/>
                <w:szCs w:val="20"/>
              </w:rPr>
              <w:t>Despite these risks, chronic pain is often under-recognized in surgical pathways, and few perioperative protocols include structured assessment or tailored analgesic planning for this group. Identification allows early multidisciplinary pain management interventions and stratification for complex care pathways (e.g., perioperative pain service, regional anaesthesia, enhanced recovery).</w:t>
            </w:r>
          </w:p>
        </w:tc>
        <w:tc>
          <w:tcPr>
            <w:tcW w:w="916" w:type="pct"/>
          </w:tcPr>
          <w:p w14:paraId="65D8D476"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NHS England GIRFT Reports: Recommend integration of chronic pain assessment in surgical planning, particularly in orthopaedics.</w:t>
            </w:r>
          </w:p>
          <w:p w14:paraId="0C4BA417" w14:textId="4A5B8DAE" w:rsidR="004E7B30" w:rsidRPr="00190D4B" w:rsidRDefault="004E7B30" w:rsidP="00192DC7">
            <w:pPr>
              <w:pStyle w:val="Paragraphnonumbers"/>
              <w:spacing w:after="120" w:line="240" w:lineRule="auto"/>
              <w:rPr>
                <w:rFonts w:cs="Arial"/>
                <w:sz w:val="20"/>
                <w:szCs w:val="20"/>
              </w:rPr>
            </w:pPr>
            <w:r w:rsidRPr="00190D4B">
              <w:rPr>
                <w:rFonts w:cs="Arial"/>
                <w:sz w:val="20"/>
                <w:szCs w:val="20"/>
                <w:lang w:eastAsia="en-US"/>
              </w:rPr>
              <w:t xml:space="preserve">Faculty of Pain Medicine (FPM) / </w:t>
            </w:r>
            <w:proofErr w:type="spellStart"/>
            <w:r w:rsidRPr="00190D4B">
              <w:rPr>
                <w:rFonts w:cs="Arial"/>
                <w:sz w:val="20"/>
                <w:szCs w:val="20"/>
                <w:lang w:eastAsia="en-US"/>
              </w:rPr>
              <w:t>RCoA</w:t>
            </w:r>
            <w:proofErr w:type="spellEnd"/>
            <w:r w:rsidRPr="00190D4B">
              <w:rPr>
                <w:rFonts w:cs="Arial"/>
                <w:sz w:val="20"/>
                <w:szCs w:val="20"/>
                <w:lang w:eastAsia="en-US"/>
              </w:rPr>
              <w:t>: Emphasise the need for perioperative pathways to consider patients with chronic pain and opioid use.</w:t>
            </w:r>
          </w:p>
        </w:tc>
        <w:tc>
          <w:tcPr>
            <w:tcW w:w="896" w:type="pct"/>
          </w:tcPr>
          <w:p w14:paraId="1A383DDB"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 xml:space="preserve">Chronic pain affects over 30% of surgical patients and is a significant predictor of increased perioperative morbidity, prolonged opioid use, and delayed recovery. Currently, there is no routine structured identification of such patients in most surgical pathways. This QI project proposes integrating a standardised chronic pain screening process in preoperative assessment. Early recognition would enable multidisciplinary planning and tailored analgesia. Evidence supports that proactive management in this group improves perioperative outcomes and reduces length of hospital stay, opioid consumption, and readmissions. This aligns with national guidance on optimising surgical care and represents a measurable and impactful </w:t>
            </w:r>
            <w:r w:rsidRPr="00190D4B">
              <w:rPr>
                <w:rFonts w:cs="Arial"/>
                <w:sz w:val="20"/>
                <w:szCs w:val="20"/>
              </w:rPr>
              <w:lastRenderedPageBreak/>
              <w:t>area for quality improvement.</w:t>
            </w:r>
          </w:p>
          <w:p w14:paraId="7AA9B3A7" w14:textId="4730FD97" w:rsidR="004E7B30" w:rsidRPr="00190D4B" w:rsidRDefault="004E7B30" w:rsidP="00192DC7">
            <w:pPr>
              <w:pStyle w:val="Paragraphnonumbers"/>
              <w:spacing w:after="120" w:line="240" w:lineRule="auto"/>
              <w:rPr>
                <w:rFonts w:cs="Arial"/>
                <w:sz w:val="20"/>
                <w:szCs w:val="20"/>
              </w:rPr>
            </w:pPr>
            <w:hyperlink r:id="rId117" w:history="1">
              <w:r w:rsidRPr="00190D4B">
                <w:rPr>
                  <w:rStyle w:val="Hyperlink"/>
                  <w:rFonts w:cs="Arial"/>
                  <w:sz w:val="20"/>
                  <w:szCs w:val="20"/>
                </w:rPr>
                <w:t xml:space="preserve">Liu QR, Dai YC, Ji MH, Liu PM, Dong YY, Yang JJ. Risk Factors for Acute Postsurgical Pain: A Narrative Review. J Pain Res. 2024 May 20;17:1793-1804. </w:t>
              </w:r>
              <w:proofErr w:type="spellStart"/>
              <w:r w:rsidRPr="00190D4B">
                <w:rPr>
                  <w:rStyle w:val="Hyperlink"/>
                  <w:rFonts w:cs="Arial"/>
                  <w:sz w:val="20"/>
                  <w:szCs w:val="20"/>
                </w:rPr>
                <w:t>doi</w:t>
              </w:r>
              <w:proofErr w:type="spellEnd"/>
              <w:r w:rsidRPr="00190D4B">
                <w:rPr>
                  <w:rStyle w:val="Hyperlink"/>
                  <w:rFonts w:cs="Arial"/>
                  <w:sz w:val="20"/>
                  <w:szCs w:val="20"/>
                </w:rPr>
                <w:t>: 10.2147/JPR.S462112. PMID: 38799277; PMCID: PMC11122256</w:t>
              </w:r>
            </w:hyperlink>
          </w:p>
          <w:p w14:paraId="4CE2CFA3" w14:textId="3D7D6977" w:rsidR="004E7B30" w:rsidRPr="00190D4B" w:rsidRDefault="004E7B30" w:rsidP="00192DC7">
            <w:pPr>
              <w:pStyle w:val="Tabletext"/>
              <w:spacing w:after="120"/>
              <w:rPr>
                <w:rFonts w:cs="Arial"/>
                <w:sz w:val="20"/>
                <w:szCs w:val="20"/>
              </w:rPr>
            </w:pPr>
            <w:hyperlink r:id="rId118" w:history="1">
              <w:r w:rsidRPr="00190D4B">
                <w:rPr>
                  <w:rStyle w:val="Hyperlink"/>
                  <w:rFonts w:cs="Arial"/>
                  <w:sz w:val="20"/>
                  <w:szCs w:val="20"/>
                </w:rPr>
                <w:t xml:space="preserve">Schug, Stephan </w:t>
              </w:r>
              <w:proofErr w:type="spellStart"/>
              <w:r w:rsidRPr="00190D4B">
                <w:rPr>
                  <w:rStyle w:val="Hyperlink"/>
                  <w:rFonts w:cs="Arial"/>
                  <w:sz w:val="20"/>
                  <w:szCs w:val="20"/>
                </w:rPr>
                <w:t>A.a</w:t>
              </w:r>
              <w:proofErr w:type="spellEnd"/>
              <w:r w:rsidRPr="00190D4B">
                <w:rPr>
                  <w:rStyle w:val="Hyperlink"/>
                  <w:rFonts w:cs="Arial"/>
                  <w:sz w:val="20"/>
                  <w:szCs w:val="20"/>
                </w:rPr>
                <w:t>,*; Bruce, Julieb. Risk stratification for the development of chronic postsurgical pain. PAIN Reports 2(6):p e627, November/December 2017. | DOI: 10.1097/PR9.0000000000000627</w:t>
              </w:r>
            </w:hyperlink>
          </w:p>
        </w:tc>
      </w:tr>
      <w:tr w:rsidR="004E7B30" w:rsidRPr="00190D4B" w14:paraId="2D13928D" w14:textId="77777777" w:rsidTr="00477F9C">
        <w:trPr>
          <w:trHeight w:val="282"/>
        </w:trPr>
        <w:tc>
          <w:tcPr>
            <w:tcW w:w="192" w:type="pct"/>
          </w:tcPr>
          <w:p w14:paraId="4000144C" w14:textId="3DA56D4F" w:rsidR="004E7B30" w:rsidRPr="00190D4B" w:rsidRDefault="002C610D" w:rsidP="00192DC7">
            <w:pPr>
              <w:pStyle w:val="Tabletext"/>
              <w:spacing w:after="120"/>
              <w:rPr>
                <w:rFonts w:cs="Arial"/>
                <w:sz w:val="20"/>
                <w:szCs w:val="20"/>
                <w:lang w:eastAsia="en-GB"/>
              </w:rPr>
            </w:pPr>
            <w:r>
              <w:rPr>
                <w:rFonts w:cs="Arial"/>
                <w:sz w:val="20"/>
                <w:szCs w:val="20"/>
                <w:lang w:eastAsia="en-GB"/>
              </w:rPr>
              <w:lastRenderedPageBreak/>
              <w:t>38</w:t>
            </w:r>
          </w:p>
        </w:tc>
        <w:tc>
          <w:tcPr>
            <w:tcW w:w="483" w:type="pct"/>
          </w:tcPr>
          <w:p w14:paraId="5E176FC4" w14:textId="324B57C3" w:rsidR="004E7B30" w:rsidRPr="00190D4B" w:rsidRDefault="004E7B30" w:rsidP="00192DC7">
            <w:pPr>
              <w:pStyle w:val="Tabletext"/>
              <w:spacing w:after="120"/>
              <w:rPr>
                <w:rFonts w:cs="Arial"/>
                <w:sz w:val="20"/>
                <w:szCs w:val="20"/>
              </w:rPr>
            </w:pPr>
            <w:r w:rsidRPr="00190D4B">
              <w:rPr>
                <w:rFonts w:cs="Arial"/>
                <w:sz w:val="20"/>
                <w:szCs w:val="20"/>
              </w:rPr>
              <w:t>RCOA</w:t>
            </w:r>
          </w:p>
        </w:tc>
        <w:tc>
          <w:tcPr>
            <w:tcW w:w="1111" w:type="pct"/>
          </w:tcPr>
          <w:p w14:paraId="771C838E"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Managing pain</w:t>
            </w:r>
          </w:p>
          <w:p w14:paraId="1BEFC94A"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Management of pain is a major concern for many patients who are about to go through a perioperative process.</w:t>
            </w:r>
          </w:p>
          <w:p w14:paraId="442788F8" w14:textId="5909CFF5" w:rsidR="004E7B30" w:rsidRPr="00190D4B" w:rsidRDefault="004E7B30" w:rsidP="00192DC7">
            <w:pPr>
              <w:pStyle w:val="Paragraphnonumbers"/>
              <w:spacing w:after="120" w:line="240" w:lineRule="auto"/>
              <w:rPr>
                <w:rFonts w:cs="Arial"/>
                <w:sz w:val="20"/>
                <w:szCs w:val="20"/>
              </w:rPr>
            </w:pPr>
            <w:r w:rsidRPr="00190D4B">
              <w:rPr>
                <w:rFonts w:cs="Arial"/>
                <w:sz w:val="20"/>
                <w:szCs w:val="20"/>
              </w:rPr>
              <w:t>Pain management must be contemporary, support recovery and at all times, be patient centred and involve/inform the patient in planning, preparation and key decisions.</w:t>
            </w:r>
          </w:p>
        </w:tc>
        <w:tc>
          <w:tcPr>
            <w:tcW w:w="1402" w:type="pct"/>
          </w:tcPr>
          <w:p w14:paraId="07EFBCDF"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 xml:space="preserve">Effective management of post operative pain is a major concern and source of considerable anxiety for many patients. Pain management options, and pre-operative physical and emotional preparation are important areas in which planning and shared decision making are vital. </w:t>
            </w:r>
          </w:p>
          <w:p w14:paraId="132D69D1"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 xml:space="preserve">For patients with a learning disability, sensory loss, dementia, low receptive and expressive language capacity (and many other conditions) pain management can be </w:t>
            </w:r>
            <w:r w:rsidRPr="00190D4B">
              <w:rPr>
                <w:rFonts w:cs="Arial"/>
                <w:sz w:val="20"/>
                <w:szCs w:val="20"/>
              </w:rPr>
              <w:lastRenderedPageBreak/>
              <w:t xml:space="preserve">less successful, and methods of identifying severity of pain less effective, thus leading to adverse recovery outcomes and psychological impact. These patients may find it difficult to provide accurate assessments of pain using some assessment methods such a pain score. </w:t>
            </w:r>
          </w:p>
          <w:p w14:paraId="5041303F"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Pain management options and processes should be fully explained to and understood by patients and their families and carers to enable informed decision making and planning for most effective pain management to occur.</w:t>
            </w:r>
          </w:p>
          <w:p w14:paraId="3BBE78F9" w14:textId="77777777" w:rsidR="004E7B30" w:rsidRPr="00190D4B" w:rsidRDefault="004E7B30" w:rsidP="00192DC7">
            <w:pPr>
              <w:pStyle w:val="Paragraphnonumbers"/>
              <w:spacing w:after="120" w:line="240" w:lineRule="auto"/>
              <w:rPr>
                <w:rFonts w:cs="Arial"/>
                <w:sz w:val="20"/>
                <w:szCs w:val="20"/>
              </w:rPr>
            </w:pPr>
          </w:p>
        </w:tc>
        <w:tc>
          <w:tcPr>
            <w:tcW w:w="916" w:type="pct"/>
          </w:tcPr>
          <w:p w14:paraId="6D4440B2"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lastRenderedPageBreak/>
              <w:t xml:space="preserve">“Nearly half of adult patients undergoing surgery experience moderate or severe postoperative pain. Inadequate pain management hampers postoperative recovery and function and may be associated with adverse outcomes. This multidisciplinary consensus </w:t>
            </w:r>
            <w:r w:rsidRPr="00190D4B">
              <w:rPr>
                <w:rFonts w:cs="Arial"/>
                <w:sz w:val="20"/>
                <w:szCs w:val="20"/>
              </w:rPr>
              <w:lastRenderedPageBreak/>
              <w:t>statement provides principles that might aid postoperative recovery, and which should be applied throughout the entire peri-operative pathway by healthcare professionals, institutions and patients.”</w:t>
            </w:r>
          </w:p>
          <w:p w14:paraId="1533AAFF" w14:textId="47CB0B6E" w:rsidR="004E7B30" w:rsidRPr="00190D4B" w:rsidRDefault="004E7B30" w:rsidP="00192DC7">
            <w:pPr>
              <w:pStyle w:val="Paragraphnonumbers"/>
              <w:spacing w:after="120" w:line="240" w:lineRule="auto"/>
              <w:rPr>
                <w:rFonts w:cs="Arial"/>
                <w:sz w:val="20"/>
                <w:szCs w:val="20"/>
              </w:rPr>
            </w:pPr>
            <w:r w:rsidRPr="00190D4B">
              <w:rPr>
                <w:rFonts w:cs="Arial"/>
                <w:sz w:val="20"/>
                <w:szCs w:val="20"/>
              </w:rPr>
              <w:t>Guidelines – Perioperative pain management in adults: a multidisciplinary consensus statement from the Association of Anaesthetists and the British Pain society</w:t>
            </w:r>
          </w:p>
        </w:tc>
        <w:tc>
          <w:tcPr>
            <w:tcW w:w="896" w:type="pct"/>
          </w:tcPr>
          <w:p w14:paraId="7B2C4499" w14:textId="77777777" w:rsidR="004E7B30" w:rsidRPr="00190D4B" w:rsidRDefault="004E7B30" w:rsidP="00192DC7">
            <w:pPr>
              <w:pStyle w:val="Tabletext"/>
              <w:spacing w:after="120"/>
              <w:rPr>
                <w:rFonts w:cs="Arial"/>
                <w:sz w:val="20"/>
                <w:szCs w:val="20"/>
              </w:rPr>
            </w:pPr>
            <w:r w:rsidRPr="00190D4B">
              <w:rPr>
                <w:rFonts w:cs="Arial"/>
                <w:sz w:val="20"/>
                <w:szCs w:val="20"/>
              </w:rPr>
              <w:lastRenderedPageBreak/>
              <w:t>Guidelines – Perioperative pain management in adults: a multidisciplinary consensus statement from the Association of Anaesthetists and the British Pain society - recommendations</w:t>
            </w:r>
          </w:p>
          <w:p w14:paraId="6C50A8F0" w14:textId="77777777" w:rsidR="004E7B30" w:rsidRPr="00190D4B" w:rsidRDefault="004E7B30" w:rsidP="00192DC7">
            <w:pPr>
              <w:pStyle w:val="Tabletext"/>
              <w:spacing w:after="120"/>
              <w:rPr>
                <w:rFonts w:cs="Arial"/>
                <w:sz w:val="20"/>
                <w:szCs w:val="20"/>
              </w:rPr>
            </w:pPr>
            <w:r w:rsidRPr="00190D4B">
              <w:rPr>
                <w:rFonts w:cs="Arial"/>
                <w:sz w:val="20"/>
                <w:szCs w:val="20"/>
              </w:rPr>
              <w:t xml:space="preserve">The Robert Jones and Agnes Hunt Orthopaedic </w:t>
            </w:r>
            <w:r w:rsidRPr="00190D4B">
              <w:rPr>
                <w:rFonts w:cs="Arial"/>
                <w:sz w:val="20"/>
                <w:szCs w:val="20"/>
              </w:rPr>
              <w:lastRenderedPageBreak/>
              <w:t>Hospital NHS Foundation Trust-</w:t>
            </w:r>
          </w:p>
          <w:p w14:paraId="7A33B780" w14:textId="6D6DF173" w:rsidR="004E7B30" w:rsidRPr="00190D4B" w:rsidRDefault="004E7B30" w:rsidP="00192DC7">
            <w:pPr>
              <w:pStyle w:val="Tabletext"/>
              <w:spacing w:after="120"/>
              <w:rPr>
                <w:rFonts w:cs="Arial"/>
                <w:sz w:val="20"/>
                <w:szCs w:val="20"/>
              </w:rPr>
            </w:pPr>
            <w:r w:rsidRPr="00190D4B">
              <w:rPr>
                <w:rFonts w:cs="Arial"/>
                <w:sz w:val="20"/>
                <w:szCs w:val="20"/>
              </w:rPr>
              <w:t>Information for patients – Managing Pain After surgery</w:t>
            </w:r>
          </w:p>
        </w:tc>
      </w:tr>
      <w:tr w:rsidR="004E7B30" w:rsidRPr="00190D4B" w14:paraId="14926B26" w14:textId="77777777" w:rsidTr="00477F9C">
        <w:trPr>
          <w:trHeight w:val="282"/>
        </w:trPr>
        <w:tc>
          <w:tcPr>
            <w:tcW w:w="192" w:type="pct"/>
          </w:tcPr>
          <w:p w14:paraId="28296C3E" w14:textId="4D379051" w:rsidR="004E7B30" w:rsidRPr="00190D4B" w:rsidRDefault="002C610D" w:rsidP="00192DC7">
            <w:pPr>
              <w:pStyle w:val="Tabletext"/>
              <w:spacing w:after="120"/>
              <w:rPr>
                <w:rFonts w:cs="Arial"/>
                <w:sz w:val="20"/>
                <w:szCs w:val="20"/>
                <w:lang w:eastAsia="en-GB"/>
              </w:rPr>
            </w:pPr>
            <w:r>
              <w:rPr>
                <w:rFonts w:cs="Arial"/>
                <w:sz w:val="20"/>
                <w:szCs w:val="20"/>
                <w:lang w:eastAsia="en-GB"/>
              </w:rPr>
              <w:lastRenderedPageBreak/>
              <w:t>39</w:t>
            </w:r>
          </w:p>
        </w:tc>
        <w:tc>
          <w:tcPr>
            <w:tcW w:w="483" w:type="pct"/>
          </w:tcPr>
          <w:p w14:paraId="582A58F2" w14:textId="0876FDFD" w:rsidR="004E7B30" w:rsidRPr="00190D4B" w:rsidRDefault="004E7B30" w:rsidP="00192DC7">
            <w:pPr>
              <w:pStyle w:val="Tabletext"/>
              <w:spacing w:after="120"/>
              <w:rPr>
                <w:rFonts w:cs="Arial"/>
                <w:sz w:val="20"/>
                <w:szCs w:val="20"/>
              </w:rPr>
            </w:pPr>
            <w:r w:rsidRPr="00190D4B">
              <w:rPr>
                <w:rFonts w:cs="Arial"/>
                <w:sz w:val="20"/>
                <w:szCs w:val="20"/>
              </w:rPr>
              <w:t>SCM6</w:t>
            </w:r>
          </w:p>
        </w:tc>
        <w:tc>
          <w:tcPr>
            <w:tcW w:w="1111" w:type="pct"/>
          </w:tcPr>
          <w:p w14:paraId="6BA30E42" w14:textId="0C911BD6" w:rsidR="004E7B30" w:rsidRPr="00190D4B" w:rsidRDefault="004E7B30" w:rsidP="00192DC7">
            <w:pPr>
              <w:pStyle w:val="Paragraphnonumbers"/>
              <w:spacing w:after="120" w:line="240" w:lineRule="auto"/>
              <w:rPr>
                <w:rFonts w:cs="Arial"/>
                <w:sz w:val="20"/>
                <w:szCs w:val="20"/>
              </w:rPr>
            </w:pPr>
            <w:r w:rsidRPr="00190D4B">
              <w:rPr>
                <w:rFonts w:cs="Arial"/>
                <w:sz w:val="20"/>
                <w:szCs w:val="20"/>
              </w:rPr>
              <w:t>Pain management intra-and post-op</w:t>
            </w:r>
          </w:p>
        </w:tc>
        <w:tc>
          <w:tcPr>
            <w:tcW w:w="1402" w:type="pct"/>
          </w:tcPr>
          <w:p w14:paraId="6966EBB7" w14:textId="77777777" w:rsidR="004E7B30" w:rsidRPr="00190D4B" w:rsidRDefault="004E7B30" w:rsidP="00192DC7">
            <w:pPr>
              <w:pStyle w:val="Paragraphnonumbers"/>
              <w:spacing w:after="120" w:line="240" w:lineRule="auto"/>
              <w:rPr>
                <w:rFonts w:cs="Arial"/>
                <w:sz w:val="20"/>
                <w:szCs w:val="20"/>
              </w:rPr>
            </w:pPr>
          </w:p>
        </w:tc>
        <w:tc>
          <w:tcPr>
            <w:tcW w:w="916" w:type="pct"/>
          </w:tcPr>
          <w:p w14:paraId="2C6DC17E" w14:textId="77777777" w:rsidR="004E7B30" w:rsidRPr="00190D4B" w:rsidRDefault="004E7B30" w:rsidP="00192DC7">
            <w:pPr>
              <w:pStyle w:val="Paragraphnonumbers"/>
              <w:spacing w:after="120" w:line="240" w:lineRule="auto"/>
              <w:rPr>
                <w:rFonts w:cs="Arial"/>
                <w:sz w:val="20"/>
                <w:szCs w:val="20"/>
              </w:rPr>
            </w:pPr>
          </w:p>
        </w:tc>
        <w:tc>
          <w:tcPr>
            <w:tcW w:w="896" w:type="pct"/>
          </w:tcPr>
          <w:p w14:paraId="09A4DBD7" w14:textId="77777777" w:rsidR="004E7B30" w:rsidRPr="00190D4B" w:rsidRDefault="004E7B30" w:rsidP="00192DC7">
            <w:pPr>
              <w:pStyle w:val="Tabletext"/>
              <w:spacing w:after="120"/>
              <w:rPr>
                <w:rFonts w:cs="Arial"/>
                <w:sz w:val="20"/>
                <w:szCs w:val="20"/>
              </w:rPr>
            </w:pPr>
          </w:p>
        </w:tc>
      </w:tr>
      <w:tr w:rsidR="004E7B30" w:rsidRPr="00190D4B" w14:paraId="7EAB1077" w14:textId="77777777" w:rsidTr="004E7B30">
        <w:trPr>
          <w:trHeight w:val="282"/>
        </w:trPr>
        <w:tc>
          <w:tcPr>
            <w:tcW w:w="5000" w:type="pct"/>
            <w:gridSpan w:val="6"/>
          </w:tcPr>
          <w:p w14:paraId="127070FB" w14:textId="77C3B37B" w:rsidR="004E7B30" w:rsidRPr="00190D4B" w:rsidRDefault="004E7B30" w:rsidP="00192DC7">
            <w:pPr>
              <w:pStyle w:val="Tabletext"/>
              <w:spacing w:after="120"/>
              <w:rPr>
                <w:rFonts w:cs="Arial"/>
                <w:b/>
                <w:bCs/>
                <w:sz w:val="20"/>
                <w:szCs w:val="20"/>
              </w:rPr>
            </w:pPr>
            <w:r w:rsidRPr="00190D4B">
              <w:rPr>
                <w:rFonts w:cs="Arial"/>
                <w:b/>
                <w:bCs/>
                <w:sz w:val="20"/>
                <w:szCs w:val="20"/>
              </w:rPr>
              <w:t>Information and support for people having surgery</w:t>
            </w:r>
          </w:p>
        </w:tc>
      </w:tr>
      <w:tr w:rsidR="00F5420A" w:rsidRPr="00E25274" w14:paraId="7492A356" w14:textId="77777777" w:rsidTr="00477F9C">
        <w:trPr>
          <w:trHeight w:val="282"/>
        </w:trPr>
        <w:tc>
          <w:tcPr>
            <w:tcW w:w="192" w:type="pct"/>
          </w:tcPr>
          <w:p w14:paraId="774915FB" w14:textId="57C9B231" w:rsidR="00F5420A" w:rsidRPr="00190D4B" w:rsidRDefault="002C610D" w:rsidP="00192DC7">
            <w:pPr>
              <w:pStyle w:val="Tabletext"/>
              <w:spacing w:after="120"/>
              <w:rPr>
                <w:rFonts w:cs="Arial"/>
                <w:sz w:val="20"/>
                <w:szCs w:val="20"/>
                <w:lang w:eastAsia="en-GB"/>
              </w:rPr>
            </w:pPr>
            <w:r>
              <w:rPr>
                <w:rFonts w:cs="Arial"/>
                <w:sz w:val="20"/>
                <w:szCs w:val="20"/>
                <w:lang w:eastAsia="en-GB"/>
              </w:rPr>
              <w:t>40</w:t>
            </w:r>
          </w:p>
        </w:tc>
        <w:tc>
          <w:tcPr>
            <w:tcW w:w="483" w:type="pct"/>
          </w:tcPr>
          <w:p w14:paraId="49DD2656" w14:textId="51514D8C" w:rsidR="00F5420A" w:rsidRPr="00190D4B" w:rsidRDefault="00F5420A" w:rsidP="00192DC7">
            <w:pPr>
              <w:pStyle w:val="Tabletext"/>
              <w:spacing w:after="120"/>
              <w:rPr>
                <w:rFonts w:cs="Arial"/>
                <w:sz w:val="20"/>
                <w:szCs w:val="20"/>
              </w:rPr>
            </w:pPr>
            <w:r w:rsidRPr="00190D4B">
              <w:rPr>
                <w:rFonts w:cs="Arial"/>
                <w:sz w:val="20"/>
                <w:szCs w:val="20"/>
              </w:rPr>
              <w:t>CPOC</w:t>
            </w:r>
          </w:p>
        </w:tc>
        <w:tc>
          <w:tcPr>
            <w:tcW w:w="1111" w:type="pct"/>
          </w:tcPr>
          <w:p w14:paraId="44148E3A" w14:textId="3EC8C2EA" w:rsidR="00F5420A" w:rsidRPr="00190D4B" w:rsidRDefault="00F5420A" w:rsidP="00192DC7">
            <w:pPr>
              <w:pStyle w:val="Paragraphnonumbers"/>
              <w:spacing w:after="120" w:line="240" w:lineRule="auto"/>
              <w:rPr>
                <w:rFonts w:cs="Arial"/>
                <w:sz w:val="20"/>
                <w:szCs w:val="20"/>
              </w:rPr>
            </w:pPr>
            <w:r w:rsidRPr="00190D4B">
              <w:rPr>
                <w:rFonts w:cs="Arial"/>
                <w:sz w:val="20"/>
                <w:szCs w:val="20"/>
              </w:rPr>
              <w:t>All elective patients for major surgery should attend a surgery school.</w:t>
            </w:r>
          </w:p>
        </w:tc>
        <w:tc>
          <w:tcPr>
            <w:tcW w:w="1402" w:type="pct"/>
          </w:tcPr>
          <w:p w14:paraId="63A130DE" w14:textId="353DBA3B" w:rsidR="00F5420A" w:rsidRPr="00190D4B" w:rsidRDefault="00F5420A" w:rsidP="00192DC7">
            <w:pPr>
              <w:pStyle w:val="Paragraphnonumbers"/>
              <w:spacing w:after="120" w:line="240" w:lineRule="auto"/>
              <w:rPr>
                <w:rFonts w:cs="Arial"/>
                <w:sz w:val="20"/>
                <w:szCs w:val="20"/>
              </w:rPr>
            </w:pPr>
            <w:r w:rsidRPr="00190D4B">
              <w:rPr>
                <w:rFonts w:cs="Arial"/>
                <w:sz w:val="20"/>
                <w:szCs w:val="20"/>
              </w:rPr>
              <w:t>Many patients arrive for surgery deconditioned. There is evidence that this increases complications.</w:t>
            </w:r>
          </w:p>
        </w:tc>
        <w:tc>
          <w:tcPr>
            <w:tcW w:w="916" w:type="pct"/>
          </w:tcPr>
          <w:p w14:paraId="52BE1713" w14:textId="4D8C866E" w:rsidR="00F5420A" w:rsidRPr="00F5420A" w:rsidRDefault="00F5420A" w:rsidP="00192DC7">
            <w:pPr>
              <w:spacing w:after="120"/>
              <w:rPr>
                <w:rFonts w:ascii="Arial" w:hAnsi="Arial" w:cs="Arial"/>
                <w:sz w:val="20"/>
                <w:szCs w:val="20"/>
                <w:lang w:eastAsia="en-GB"/>
              </w:rPr>
            </w:pPr>
            <w:r w:rsidRPr="00F5420A">
              <w:rPr>
                <w:rFonts w:ascii="Arial" w:hAnsi="Arial" w:cs="Arial"/>
                <w:sz w:val="20"/>
                <w:szCs w:val="20"/>
                <w:lang w:eastAsia="en-GB"/>
              </w:rPr>
              <w:t>REF:</w:t>
            </w:r>
            <w:r w:rsidR="00AB7967">
              <w:rPr>
                <w:rFonts w:ascii="Arial" w:hAnsi="Arial" w:cs="Arial"/>
                <w:sz w:val="20"/>
                <w:szCs w:val="20"/>
                <w:lang w:eastAsia="en-GB"/>
              </w:rPr>
              <w:t xml:space="preserve"> </w:t>
            </w:r>
            <w:hyperlink r:id="rId119" w:history="1">
              <w:r w:rsidR="00AB7967" w:rsidRPr="00F5420A">
                <w:rPr>
                  <w:rStyle w:val="Hyperlink"/>
                  <w:rFonts w:ascii="Arial" w:hAnsi="Arial" w:cs="Arial"/>
                  <w:sz w:val="20"/>
                  <w:szCs w:val="20"/>
                  <w:lang w:eastAsia="en-GB"/>
                </w:rPr>
                <w:t>https://doi.org/10.1111/anae.16648</w:t>
              </w:r>
            </w:hyperlink>
            <w:r w:rsidRPr="00F5420A">
              <w:rPr>
                <w:rFonts w:ascii="Arial" w:hAnsi="Arial" w:cs="Arial"/>
                <w:sz w:val="20"/>
                <w:szCs w:val="20"/>
                <w:lang w:eastAsia="en-GB"/>
              </w:rPr>
              <w:t xml:space="preserve"> </w:t>
            </w:r>
          </w:p>
          <w:p w14:paraId="61880666" w14:textId="77777777" w:rsidR="00F5420A" w:rsidRPr="00F5420A" w:rsidRDefault="00F5420A" w:rsidP="00192DC7">
            <w:pPr>
              <w:spacing w:after="120"/>
              <w:rPr>
                <w:rFonts w:ascii="Arial" w:hAnsi="Arial" w:cs="Arial"/>
                <w:sz w:val="20"/>
                <w:szCs w:val="20"/>
                <w:lang w:eastAsia="en-GB"/>
              </w:rPr>
            </w:pPr>
            <w:r w:rsidRPr="00F5420A">
              <w:rPr>
                <w:rFonts w:ascii="Arial" w:hAnsi="Arial" w:cs="Arial"/>
                <w:sz w:val="20"/>
                <w:szCs w:val="20"/>
                <w:lang w:eastAsia="en-GB"/>
              </w:rPr>
              <w:t>“Surgery schools may improve clinical outcomes from major surgery,</w:t>
            </w:r>
          </w:p>
          <w:p w14:paraId="3A6A505F" w14:textId="77777777" w:rsidR="00F5420A" w:rsidRPr="00F5420A" w:rsidRDefault="00F5420A" w:rsidP="00192DC7">
            <w:pPr>
              <w:spacing w:after="120"/>
              <w:rPr>
                <w:rFonts w:ascii="Arial" w:hAnsi="Arial" w:cs="Arial"/>
                <w:sz w:val="20"/>
                <w:szCs w:val="20"/>
                <w:lang w:eastAsia="en-GB"/>
              </w:rPr>
            </w:pPr>
            <w:r w:rsidRPr="00F5420A">
              <w:rPr>
                <w:rFonts w:ascii="Arial" w:hAnsi="Arial" w:cs="Arial"/>
                <w:sz w:val="20"/>
                <w:szCs w:val="20"/>
                <w:lang w:eastAsia="en-GB"/>
              </w:rPr>
              <w:t>may improve patient-centred outcomes including physical function, comfort, anxiety, quality of life and preparedness, and</w:t>
            </w:r>
          </w:p>
          <w:p w14:paraId="39DCA0C5" w14:textId="1B9A13C5" w:rsidR="00F5420A" w:rsidRPr="00190D4B" w:rsidRDefault="00F5420A" w:rsidP="00192DC7">
            <w:pPr>
              <w:pStyle w:val="Paragraphnonumbers"/>
              <w:spacing w:after="120" w:line="240" w:lineRule="auto"/>
              <w:rPr>
                <w:rFonts w:cs="Arial"/>
                <w:sz w:val="20"/>
                <w:szCs w:val="20"/>
              </w:rPr>
            </w:pPr>
            <w:r w:rsidRPr="00190D4B">
              <w:rPr>
                <w:rFonts w:cs="Arial"/>
                <w:sz w:val="20"/>
                <w:szCs w:val="20"/>
                <w:lang w:eastAsia="en-US"/>
              </w:rPr>
              <w:t xml:space="preserve">are well accepted by patients who attend, increase patient satisfaction </w:t>
            </w:r>
            <w:r w:rsidRPr="00190D4B">
              <w:rPr>
                <w:rFonts w:cs="Arial"/>
                <w:sz w:val="20"/>
                <w:szCs w:val="20"/>
                <w:lang w:eastAsia="en-US"/>
              </w:rPr>
              <w:lastRenderedPageBreak/>
              <w:t>and improve patient experience”</w:t>
            </w:r>
          </w:p>
        </w:tc>
        <w:tc>
          <w:tcPr>
            <w:tcW w:w="896" w:type="pct"/>
          </w:tcPr>
          <w:p w14:paraId="60108386" w14:textId="0EBD29E2" w:rsidR="00F5420A" w:rsidRPr="00E25274" w:rsidRDefault="00F5420A" w:rsidP="00192DC7">
            <w:pPr>
              <w:pStyle w:val="Tabletext"/>
              <w:spacing w:after="120"/>
              <w:rPr>
                <w:rFonts w:cs="Arial"/>
                <w:sz w:val="20"/>
                <w:szCs w:val="20"/>
                <w:lang w:val="fr-FR"/>
              </w:rPr>
            </w:pPr>
            <w:r w:rsidRPr="00190D4B">
              <w:rPr>
                <w:rFonts w:cs="Arial"/>
                <w:sz w:val="20"/>
                <w:szCs w:val="20"/>
              </w:rPr>
              <w:lastRenderedPageBreak/>
              <w:t xml:space="preserve">Currently, 3% of patients are responsible for 45% of hospital costs. If just a few could reduce their risk of complications, this would be hugely beneficial for the patients, staff, systems, bed usage and financial costs. </w:t>
            </w:r>
            <w:r w:rsidRPr="00E25274">
              <w:rPr>
                <w:rFonts w:cs="Arial"/>
                <w:sz w:val="20"/>
                <w:szCs w:val="20"/>
                <w:lang w:val="fr-FR"/>
              </w:rPr>
              <w:t xml:space="preserve">REF (page 2): </w:t>
            </w:r>
            <w:hyperlink r:id="rId120" w:history="1">
              <w:r w:rsidRPr="00E25274">
                <w:rPr>
                  <w:rFonts w:cs="Arial"/>
                  <w:b/>
                  <w:bCs/>
                  <w:color w:val="0000FF"/>
                  <w:sz w:val="20"/>
                  <w:szCs w:val="20"/>
                  <w:u w:val="single"/>
                  <w:lang w:val="fr-FR"/>
                </w:rPr>
                <w:t>https://www.cpoc.org.uk/guidelines-and-resources/guidelines-resources/resources/key-reducing-waiting-lists</w:t>
              </w:r>
            </w:hyperlink>
            <w:r w:rsidRPr="00E25274">
              <w:rPr>
                <w:rFonts w:cs="Arial"/>
                <w:b/>
                <w:bCs/>
                <w:sz w:val="20"/>
                <w:szCs w:val="20"/>
                <w:lang w:val="fr-FR"/>
              </w:rPr>
              <w:t xml:space="preserve">  </w:t>
            </w:r>
          </w:p>
        </w:tc>
      </w:tr>
      <w:tr w:rsidR="00F5420A" w:rsidRPr="00190D4B" w14:paraId="28F8BF8A" w14:textId="77777777" w:rsidTr="00477F9C">
        <w:trPr>
          <w:trHeight w:val="282"/>
        </w:trPr>
        <w:tc>
          <w:tcPr>
            <w:tcW w:w="192" w:type="pct"/>
          </w:tcPr>
          <w:p w14:paraId="592AA130" w14:textId="616A925D" w:rsidR="00F5420A" w:rsidRPr="00190D4B" w:rsidRDefault="002C610D" w:rsidP="00192DC7">
            <w:pPr>
              <w:pStyle w:val="Tabletext"/>
              <w:spacing w:after="120"/>
              <w:rPr>
                <w:rFonts w:cs="Arial"/>
                <w:sz w:val="20"/>
                <w:szCs w:val="20"/>
                <w:lang w:eastAsia="en-GB"/>
              </w:rPr>
            </w:pPr>
            <w:r>
              <w:rPr>
                <w:rFonts w:cs="Arial"/>
                <w:sz w:val="20"/>
                <w:szCs w:val="20"/>
                <w:lang w:eastAsia="en-GB"/>
              </w:rPr>
              <w:t>41</w:t>
            </w:r>
          </w:p>
        </w:tc>
        <w:tc>
          <w:tcPr>
            <w:tcW w:w="483" w:type="pct"/>
          </w:tcPr>
          <w:p w14:paraId="53769071" w14:textId="77A17AA0" w:rsidR="00F5420A" w:rsidRPr="00190D4B" w:rsidRDefault="00F5420A" w:rsidP="00192DC7">
            <w:pPr>
              <w:pStyle w:val="Tabletext"/>
              <w:spacing w:after="120"/>
              <w:rPr>
                <w:rFonts w:cs="Arial"/>
                <w:sz w:val="20"/>
                <w:szCs w:val="20"/>
              </w:rPr>
            </w:pPr>
            <w:r w:rsidRPr="00190D4B">
              <w:rPr>
                <w:rFonts w:cs="Arial"/>
                <w:sz w:val="20"/>
                <w:szCs w:val="20"/>
              </w:rPr>
              <w:t>CPOC</w:t>
            </w:r>
          </w:p>
        </w:tc>
        <w:tc>
          <w:tcPr>
            <w:tcW w:w="1111" w:type="pct"/>
          </w:tcPr>
          <w:p w14:paraId="06902F5F" w14:textId="6C019F68" w:rsidR="00F5420A" w:rsidRPr="00190D4B" w:rsidRDefault="00F5420A" w:rsidP="00192DC7">
            <w:pPr>
              <w:pStyle w:val="Paragraphnonumbers"/>
              <w:spacing w:after="120" w:line="240" w:lineRule="auto"/>
              <w:rPr>
                <w:rFonts w:cs="Arial"/>
                <w:sz w:val="20"/>
                <w:szCs w:val="20"/>
              </w:rPr>
            </w:pPr>
            <w:r w:rsidRPr="00190D4B">
              <w:rPr>
                <w:rFonts w:cs="Arial"/>
                <w:sz w:val="20"/>
                <w:szCs w:val="20"/>
              </w:rPr>
              <w:t>All patients for any surgery should be involved in Shared Decision Making</w:t>
            </w:r>
          </w:p>
        </w:tc>
        <w:tc>
          <w:tcPr>
            <w:tcW w:w="1402" w:type="pct"/>
          </w:tcPr>
          <w:p w14:paraId="32C11489"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There is a 14% incidence of surgical regret. Many patients are not offered a discussion based on the Benefits, Risks, Alternatives or doing Nothing (BRAN) options. Ensuring SDM would mean patients would be more empowered and less passive in their preparation and recovery.</w:t>
            </w:r>
          </w:p>
          <w:p w14:paraId="64760DB3" w14:textId="343D8D42" w:rsidR="00F5420A" w:rsidRPr="00190D4B" w:rsidRDefault="00F5420A" w:rsidP="00192DC7">
            <w:pPr>
              <w:pStyle w:val="Paragraphnonumbers"/>
              <w:spacing w:after="120" w:line="240" w:lineRule="auto"/>
              <w:rPr>
                <w:rFonts w:cs="Arial"/>
                <w:sz w:val="20"/>
                <w:szCs w:val="20"/>
              </w:rPr>
            </w:pPr>
            <w:r w:rsidRPr="00190D4B">
              <w:rPr>
                <w:rFonts w:cs="Arial"/>
                <w:sz w:val="20"/>
                <w:szCs w:val="20"/>
              </w:rPr>
              <w:t>SDM also means that some patients will decide against surgery. This means they are less likely to suffer post-operative complications.</w:t>
            </w:r>
          </w:p>
        </w:tc>
        <w:tc>
          <w:tcPr>
            <w:tcW w:w="916" w:type="pct"/>
          </w:tcPr>
          <w:p w14:paraId="1FF88317" w14:textId="77777777" w:rsidR="00F5420A" w:rsidRPr="00190D4B" w:rsidRDefault="00F5420A" w:rsidP="00192DC7">
            <w:pPr>
              <w:spacing w:after="120"/>
              <w:rPr>
                <w:rFonts w:ascii="Arial" w:hAnsi="Arial" w:cs="Arial"/>
                <w:sz w:val="20"/>
                <w:szCs w:val="20"/>
                <w:lang w:eastAsia="en-GB"/>
              </w:rPr>
            </w:pPr>
          </w:p>
        </w:tc>
        <w:tc>
          <w:tcPr>
            <w:tcW w:w="896" w:type="pct"/>
          </w:tcPr>
          <w:p w14:paraId="4B98DC35"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NICE mandates Shared Decision Making: NG197: </w:t>
            </w:r>
            <w:hyperlink r:id="rId121" w:history="1">
              <w:r w:rsidRPr="00190D4B">
                <w:rPr>
                  <w:rStyle w:val="Hyperlink"/>
                  <w:rFonts w:cs="Arial"/>
                  <w:sz w:val="20"/>
                  <w:szCs w:val="20"/>
                </w:rPr>
                <w:t>https://www.nice.org.uk/guidance/ng197</w:t>
              </w:r>
            </w:hyperlink>
            <w:r w:rsidRPr="00190D4B">
              <w:rPr>
                <w:rFonts w:cs="Arial"/>
                <w:sz w:val="20"/>
                <w:szCs w:val="20"/>
              </w:rPr>
              <w:t xml:space="preserve"> </w:t>
            </w:r>
          </w:p>
          <w:p w14:paraId="1BC9D4E3" w14:textId="4244C5B4" w:rsidR="00F5420A" w:rsidRPr="00190D4B" w:rsidRDefault="00F5420A" w:rsidP="00192DC7">
            <w:pPr>
              <w:pStyle w:val="Tabletext"/>
              <w:spacing w:after="120"/>
              <w:rPr>
                <w:rFonts w:cs="Arial"/>
                <w:sz w:val="20"/>
                <w:szCs w:val="20"/>
              </w:rPr>
            </w:pPr>
            <w:r w:rsidRPr="00190D4B">
              <w:rPr>
                <w:rFonts w:cs="Arial"/>
                <w:sz w:val="20"/>
                <w:szCs w:val="20"/>
              </w:rPr>
              <w:t>Patients should undergo Shared Decision Making</w:t>
            </w:r>
          </w:p>
        </w:tc>
      </w:tr>
      <w:tr w:rsidR="004E7B30" w:rsidRPr="00190D4B" w14:paraId="0F02EBB2" w14:textId="77777777" w:rsidTr="00477F9C">
        <w:trPr>
          <w:trHeight w:val="282"/>
        </w:trPr>
        <w:tc>
          <w:tcPr>
            <w:tcW w:w="192" w:type="pct"/>
          </w:tcPr>
          <w:p w14:paraId="03A3A9C8" w14:textId="3D83A5EE" w:rsidR="004E7B30" w:rsidRPr="00190D4B" w:rsidRDefault="002C610D" w:rsidP="00192DC7">
            <w:pPr>
              <w:pStyle w:val="Tabletext"/>
              <w:spacing w:after="120"/>
              <w:rPr>
                <w:rFonts w:cs="Arial"/>
                <w:sz w:val="20"/>
                <w:szCs w:val="20"/>
                <w:lang w:eastAsia="en-GB"/>
              </w:rPr>
            </w:pPr>
            <w:r>
              <w:rPr>
                <w:rFonts w:cs="Arial"/>
                <w:sz w:val="20"/>
                <w:szCs w:val="20"/>
                <w:lang w:eastAsia="en-GB"/>
              </w:rPr>
              <w:t>42</w:t>
            </w:r>
          </w:p>
        </w:tc>
        <w:tc>
          <w:tcPr>
            <w:tcW w:w="483" w:type="pct"/>
          </w:tcPr>
          <w:p w14:paraId="38B51D92" w14:textId="6F0C2E9D" w:rsidR="004E7B30" w:rsidRPr="00190D4B" w:rsidRDefault="00F5420A" w:rsidP="00192DC7">
            <w:pPr>
              <w:pStyle w:val="Tabletext"/>
              <w:spacing w:after="120"/>
              <w:rPr>
                <w:rFonts w:cs="Arial"/>
                <w:sz w:val="20"/>
                <w:szCs w:val="20"/>
              </w:rPr>
            </w:pPr>
            <w:r w:rsidRPr="00190D4B">
              <w:rPr>
                <w:rFonts w:cs="Arial"/>
                <w:sz w:val="20"/>
                <w:szCs w:val="20"/>
              </w:rPr>
              <w:t>NCD</w:t>
            </w:r>
          </w:p>
        </w:tc>
        <w:tc>
          <w:tcPr>
            <w:tcW w:w="1111" w:type="pct"/>
          </w:tcPr>
          <w:p w14:paraId="173C418F" w14:textId="63FCC559" w:rsidR="004E7B30" w:rsidRPr="00190D4B" w:rsidRDefault="00F5420A" w:rsidP="00192DC7">
            <w:pPr>
              <w:pStyle w:val="Paragraphnonumbers"/>
              <w:spacing w:after="120" w:line="240" w:lineRule="auto"/>
              <w:rPr>
                <w:rFonts w:cs="Arial"/>
                <w:sz w:val="20"/>
                <w:szCs w:val="20"/>
              </w:rPr>
            </w:pPr>
            <w:r w:rsidRPr="00190D4B">
              <w:rPr>
                <w:rFonts w:cs="Arial"/>
                <w:sz w:val="20"/>
                <w:szCs w:val="20"/>
              </w:rPr>
              <w:t>Recommendation 1.1.1: Perioperative point of contact</w:t>
            </w:r>
          </w:p>
        </w:tc>
        <w:tc>
          <w:tcPr>
            <w:tcW w:w="1402" w:type="pct"/>
          </w:tcPr>
          <w:p w14:paraId="7DABC46A" w14:textId="77777777" w:rsidR="004E7B30" w:rsidRPr="00190D4B" w:rsidRDefault="004E7B30" w:rsidP="00192DC7">
            <w:pPr>
              <w:pStyle w:val="Paragraphnonumbers"/>
              <w:spacing w:after="120" w:line="240" w:lineRule="auto"/>
              <w:rPr>
                <w:rFonts w:cs="Arial"/>
                <w:sz w:val="20"/>
                <w:szCs w:val="20"/>
              </w:rPr>
            </w:pPr>
          </w:p>
        </w:tc>
        <w:tc>
          <w:tcPr>
            <w:tcW w:w="916" w:type="pct"/>
          </w:tcPr>
          <w:p w14:paraId="419B22EC" w14:textId="77777777" w:rsidR="004E7B30" w:rsidRPr="00190D4B" w:rsidRDefault="004E7B30" w:rsidP="00192DC7">
            <w:pPr>
              <w:pStyle w:val="Paragraphnonumbers"/>
              <w:spacing w:after="120" w:line="240" w:lineRule="auto"/>
              <w:rPr>
                <w:rFonts w:cs="Arial"/>
                <w:sz w:val="20"/>
                <w:szCs w:val="20"/>
              </w:rPr>
            </w:pPr>
          </w:p>
        </w:tc>
        <w:tc>
          <w:tcPr>
            <w:tcW w:w="896" w:type="pct"/>
          </w:tcPr>
          <w:p w14:paraId="7797A0DB" w14:textId="77777777" w:rsidR="004E7B30" w:rsidRPr="00190D4B" w:rsidRDefault="004E7B30" w:rsidP="00192DC7">
            <w:pPr>
              <w:pStyle w:val="Tabletext"/>
              <w:spacing w:after="120"/>
              <w:rPr>
                <w:rFonts w:cs="Arial"/>
                <w:sz w:val="20"/>
                <w:szCs w:val="20"/>
              </w:rPr>
            </w:pPr>
          </w:p>
        </w:tc>
      </w:tr>
      <w:tr w:rsidR="00A25C52" w:rsidRPr="00190D4B" w14:paraId="23C0DD15" w14:textId="77777777" w:rsidTr="00477F9C">
        <w:trPr>
          <w:trHeight w:val="282"/>
        </w:trPr>
        <w:tc>
          <w:tcPr>
            <w:tcW w:w="192" w:type="pct"/>
          </w:tcPr>
          <w:p w14:paraId="15EDFD3F" w14:textId="45C6106E" w:rsidR="00A25C52" w:rsidRPr="00190D4B" w:rsidRDefault="002C610D" w:rsidP="00192DC7">
            <w:pPr>
              <w:pStyle w:val="Tabletext"/>
              <w:spacing w:after="120"/>
              <w:rPr>
                <w:rFonts w:cs="Arial"/>
                <w:sz w:val="20"/>
                <w:szCs w:val="20"/>
                <w:lang w:eastAsia="en-GB"/>
              </w:rPr>
            </w:pPr>
            <w:r>
              <w:rPr>
                <w:rFonts w:cs="Arial"/>
                <w:sz w:val="20"/>
                <w:szCs w:val="20"/>
                <w:lang w:eastAsia="en-GB"/>
              </w:rPr>
              <w:t>4</w:t>
            </w:r>
            <w:r w:rsidR="00A25C52" w:rsidRPr="00190D4B">
              <w:rPr>
                <w:rFonts w:cs="Arial"/>
                <w:sz w:val="20"/>
                <w:szCs w:val="20"/>
                <w:lang w:eastAsia="en-GB"/>
              </w:rPr>
              <w:t>3</w:t>
            </w:r>
          </w:p>
        </w:tc>
        <w:tc>
          <w:tcPr>
            <w:tcW w:w="483" w:type="pct"/>
          </w:tcPr>
          <w:p w14:paraId="66191095" w14:textId="159BE7D6" w:rsidR="00A25C52" w:rsidRPr="00190D4B" w:rsidRDefault="00A25C52" w:rsidP="00192DC7">
            <w:pPr>
              <w:pStyle w:val="Tabletext"/>
              <w:spacing w:after="120"/>
              <w:rPr>
                <w:rFonts w:cs="Arial"/>
                <w:sz w:val="20"/>
                <w:szCs w:val="20"/>
              </w:rPr>
            </w:pPr>
            <w:r w:rsidRPr="00190D4B">
              <w:rPr>
                <w:rFonts w:cs="Arial"/>
                <w:sz w:val="20"/>
                <w:szCs w:val="20"/>
              </w:rPr>
              <w:t>NHS LDA</w:t>
            </w:r>
          </w:p>
        </w:tc>
        <w:tc>
          <w:tcPr>
            <w:tcW w:w="1111" w:type="pct"/>
          </w:tcPr>
          <w:p w14:paraId="6A9E14E5" w14:textId="21996A6F" w:rsidR="00A25C52" w:rsidRPr="00190D4B" w:rsidRDefault="00A25C52" w:rsidP="00192DC7">
            <w:pPr>
              <w:pStyle w:val="Paragraphnonumbers"/>
              <w:spacing w:after="120" w:line="240" w:lineRule="auto"/>
              <w:rPr>
                <w:rFonts w:cs="Arial"/>
                <w:sz w:val="20"/>
                <w:szCs w:val="20"/>
              </w:rPr>
            </w:pPr>
            <w:r w:rsidRPr="00190D4B">
              <w:rPr>
                <w:rFonts w:cs="Arial"/>
                <w:sz w:val="20"/>
                <w:szCs w:val="20"/>
              </w:rPr>
              <w:t>Perioperative communication</w:t>
            </w:r>
          </w:p>
        </w:tc>
        <w:tc>
          <w:tcPr>
            <w:tcW w:w="1402" w:type="pct"/>
          </w:tcPr>
          <w:p w14:paraId="4D947D31" w14:textId="2829DF00" w:rsidR="00A25C52" w:rsidRPr="00190D4B" w:rsidRDefault="00A25C52" w:rsidP="00192DC7">
            <w:pPr>
              <w:pStyle w:val="Paragraphnonumbers"/>
              <w:spacing w:after="120" w:line="240" w:lineRule="auto"/>
              <w:rPr>
                <w:rFonts w:cs="Arial"/>
                <w:sz w:val="20"/>
                <w:szCs w:val="20"/>
              </w:rPr>
            </w:pPr>
            <w:r w:rsidRPr="00190D4B">
              <w:rPr>
                <w:rFonts w:cs="Arial"/>
                <w:sz w:val="20"/>
                <w:szCs w:val="20"/>
              </w:rPr>
              <w:t>People with learning disability and Autistic people may have challenges in understanding information related to the intervention that can impact on their capacity to consent to procedures. It may also impact on their cooperation with staff in procedures since they may not understand interventions. It is essential that staff are aware of their communication needs and can respond to them.</w:t>
            </w:r>
          </w:p>
        </w:tc>
        <w:tc>
          <w:tcPr>
            <w:tcW w:w="916" w:type="pct"/>
          </w:tcPr>
          <w:p w14:paraId="20A3A4CA" w14:textId="77777777" w:rsidR="00A25C52" w:rsidRPr="00190D4B" w:rsidRDefault="00A25C52" w:rsidP="00192DC7">
            <w:pPr>
              <w:pStyle w:val="Paragraphnonumbers"/>
              <w:spacing w:after="120" w:line="240" w:lineRule="auto"/>
              <w:rPr>
                <w:rFonts w:cs="Arial"/>
                <w:sz w:val="20"/>
                <w:szCs w:val="20"/>
              </w:rPr>
            </w:pPr>
            <w:r w:rsidRPr="00190D4B">
              <w:rPr>
                <w:rFonts w:cs="Arial"/>
                <w:sz w:val="20"/>
                <w:szCs w:val="20"/>
              </w:rPr>
              <w:t>Adherence to MCA and the use of best interest decision-making.</w:t>
            </w:r>
          </w:p>
          <w:p w14:paraId="54939F22" w14:textId="40F595DA" w:rsidR="00A25C52" w:rsidRPr="00190D4B" w:rsidRDefault="00A25C52" w:rsidP="00192DC7">
            <w:pPr>
              <w:pStyle w:val="Paragraphnonumbers"/>
              <w:spacing w:after="120" w:line="240" w:lineRule="auto"/>
              <w:rPr>
                <w:rFonts w:cs="Arial"/>
                <w:sz w:val="20"/>
                <w:szCs w:val="20"/>
              </w:rPr>
            </w:pPr>
            <w:r w:rsidRPr="00190D4B">
              <w:rPr>
                <w:rFonts w:cs="Arial"/>
                <w:sz w:val="20"/>
                <w:szCs w:val="20"/>
              </w:rPr>
              <w:t>Demonstrate efforts in making reasonable adjustment that will require use of information in accessible formats such as social stories.</w:t>
            </w:r>
          </w:p>
        </w:tc>
        <w:tc>
          <w:tcPr>
            <w:tcW w:w="896" w:type="pct"/>
          </w:tcPr>
          <w:p w14:paraId="0125527F" w14:textId="77777777" w:rsidR="00A25C52" w:rsidRPr="00190D4B" w:rsidRDefault="00A25C52" w:rsidP="00192DC7">
            <w:pPr>
              <w:pStyle w:val="Tabletext"/>
              <w:spacing w:after="120"/>
              <w:rPr>
                <w:rFonts w:cs="Arial"/>
                <w:sz w:val="20"/>
                <w:szCs w:val="20"/>
              </w:rPr>
            </w:pPr>
            <w:r w:rsidRPr="00190D4B">
              <w:rPr>
                <w:rFonts w:cs="Arial"/>
                <w:sz w:val="20"/>
                <w:szCs w:val="20"/>
              </w:rPr>
              <w:t>Mental Capacity Act</w:t>
            </w:r>
          </w:p>
          <w:p w14:paraId="3E4CCF7E" w14:textId="0FDA9055" w:rsidR="00A25C52" w:rsidRPr="00190D4B" w:rsidRDefault="00A25C52" w:rsidP="00192DC7">
            <w:pPr>
              <w:pStyle w:val="Tabletext"/>
              <w:spacing w:after="120"/>
              <w:rPr>
                <w:rFonts w:cs="Arial"/>
                <w:sz w:val="20"/>
                <w:szCs w:val="20"/>
              </w:rPr>
            </w:pPr>
            <w:r w:rsidRPr="00190D4B">
              <w:rPr>
                <w:rFonts w:cs="Arial"/>
                <w:sz w:val="20"/>
                <w:szCs w:val="20"/>
              </w:rPr>
              <w:t>Reasonable Adjustment resources on NHSE website</w:t>
            </w:r>
          </w:p>
        </w:tc>
      </w:tr>
      <w:tr w:rsidR="00F20FAE" w:rsidRPr="00190D4B" w14:paraId="2E893573" w14:textId="77777777" w:rsidTr="00477F9C">
        <w:trPr>
          <w:trHeight w:val="282"/>
        </w:trPr>
        <w:tc>
          <w:tcPr>
            <w:tcW w:w="192" w:type="pct"/>
          </w:tcPr>
          <w:p w14:paraId="415A7A71" w14:textId="44369EF4"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F20FAE" w:rsidRPr="00190D4B">
              <w:rPr>
                <w:rFonts w:cs="Arial"/>
                <w:sz w:val="20"/>
                <w:szCs w:val="20"/>
                <w:lang w:eastAsia="en-GB"/>
              </w:rPr>
              <w:t>4</w:t>
            </w:r>
          </w:p>
        </w:tc>
        <w:tc>
          <w:tcPr>
            <w:tcW w:w="483" w:type="pct"/>
          </w:tcPr>
          <w:p w14:paraId="4718229B" w14:textId="370B1AE2" w:rsidR="00F20FAE" w:rsidRPr="00190D4B" w:rsidRDefault="00F20FAE" w:rsidP="00192DC7">
            <w:pPr>
              <w:pStyle w:val="Tabletext"/>
              <w:spacing w:after="120"/>
              <w:rPr>
                <w:rFonts w:cs="Arial"/>
                <w:sz w:val="20"/>
                <w:szCs w:val="20"/>
              </w:rPr>
            </w:pPr>
            <w:r w:rsidRPr="00190D4B">
              <w:rPr>
                <w:rFonts w:cs="Arial"/>
                <w:sz w:val="20"/>
                <w:szCs w:val="20"/>
              </w:rPr>
              <w:t>NHS LDA</w:t>
            </w:r>
          </w:p>
        </w:tc>
        <w:tc>
          <w:tcPr>
            <w:tcW w:w="1111" w:type="pct"/>
          </w:tcPr>
          <w:p w14:paraId="03F4812F" w14:textId="480BF514" w:rsidR="00F20FAE" w:rsidRPr="00190D4B" w:rsidRDefault="00F20FAE" w:rsidP="00192DC7">
            <w:pPr>
              <w:pStyle w:val="Paragraphnonumbers"/>
              <w:spacing w:after="120" w:line="240" w:lineRule="auto"/>
              <w:rPr>
                <w:rFonts w:cs="Arial"/>
                <w:sz w:val="20"/>
                <w:szCs w:val="20"/>
              </w:rPr>
            </w:pPr>
            <w:r w:rsidRPr="00190D4B">
              <w:rPr>
                <w:rFonts w:cs="Arial"/>
                <w:sz w:val="20"/>
                <w:szCs w:val="20"/>
              </w:rPr>
              <w:t>Post-operative communication</w:t>
            </w:r>
          </w:p>
        </w:tc>
        <w:tc>
          <w:tcPr>
            <w:tcW w:w="1402" w:type="pct"/>
          </w:tcPr>
          <w:p w14:paraId="560C98A0" w14:textId="3DBF8351" w:rsidR="00F20FAE" w:rsidRPr="00190D4B" w:rsidRDefault="00F20FAE" w:rsidP="00192DC7">
            <w:pPr>
              <w:pStyle w:val="Paragraphnonumbers"/>
              <w:spacing w:after="120" w:line="240" w:lineRule="auto"/>
              <w:rPr>
                <w:rFonts w:cs="Arial"/>
                <w:sz w:val="20"/>
                <w:szCs w:val="20"/>
              </w:rPr>
            </w:pPr>
            <w:r w:rsidRPr="00190D4B">
              <w:rPr>
                <w:rFonts w:cs="Arial"/>
                <w:sz w:val="20"/>
                <w:szCs w:val="20"/>
              </w:rPr>
              <w:t xml:space="preserve">In the post-operative period the person with learning disability or Autistic person may not understand the process and may reactive adversely in their behaviour to it that can complicate cooperation with staff in interventions. Staff must be aware of the communication needs of the person and to </w:t>
            </w:r>
            <w:r w:rsidRPr="00190D4B">
              <w:rPr>
                <w:rFonts w:cs="Arial"/>
                <w:sz w:val="20"/>
                <w:szCs w:val="20"/>
              </w:rPr>
              <w:lastRenderedPageBreak/>
              <w:t>make allowance for them by giving them time to explain and reassure.</w:t>
            </w:r>
          </w:p>
        </w:tc>
        <w:tc>
          <w:tcPr>
            <w:tcW w:w="916" w:type="pct"/>
          </w:tcPr>
          <w:p w14:paraId="7023F4D3" w14:textId="77777777" w:rsidR="00F20FAE" w:rsidRPr="00190D4B" w:rsidRDefault="00F20FAE" w:rsidP="00192DC7">
            <w:pPr>
              <w:pStyle w:val="Paragraphnonumbers"/>
              <w:spacing w:after="120" w:line="240" w:lineRule="auto"/>
              <w:rPr>
                <w:rFonts w:cs="Arial"/>
                <w:sz w:val="20"/>
                <w:szCs w:val="20"/>
              </w:rPr>
            </w:pPr>
            <w:r w:rsidRPr="00190D4B">
              <w:rPr>
                <w:rFonts w:cs="Arial"/>
                <w:sz w:val="20"/>
                <w:szCs w:val="20"/>
              </w:rPr>
              <w:lastRenderedPageBreak/>
              <w:t>Staff should involve the assistance of people who the person knows well to help with communication</w:t>
            </w:r>
          </w:p>
          <w:p w14:paraId="3C4826F0" w14:textId="2E7425EF" w:rsidR="00F20FAE" w:rsidRPr="00190D4B" w:rsidRDefault="00F20FAE" w:rsidP="00192DC7">
            <w:pPr>
              <w:pStyle w:val="Paragraphnonumbers"/>
              <w:spacing w:after="120" w:line="240" w:lineRule="auto"/>
              <w:rPr>
                <w:rFonts w:cs="Arial"/>
                <w:sz w:val="20"/>
                <w:szCs w:val="20"/>
              </w:rPr>
            </w:pPr>
            <w:r w:rsidRPr="00190D4B">
              <w:rPr>
                <w:rFonts w:cs="Arial"/>
                <w:sz w:val="20"/>
                <w:szCs w:val="20"/>
              </w:rPr>
              <w:t xml:space="preserve">Staff should make information in accessible </w:t>
            </w:r>
            <w:r w:rsidRPr="00190D4B">
              <w:rPr>
                <w:rFonts w:cs="Arial"/>
                <w:sz w:val="20"/>
                <w:szCs w:val="20"/>
              </w:rPr>
              <w:lastRenderedPageBreak/>
              <w:t>formats available to the person</w:t>
            </w:r>
          </w:p>
        </w:tc>
        <w:tc>
          <w:tcPr>
            <w:tcW w:w="896" w:type="pct"/>
          </w:tcPr>
          <w:p w14:paraId="370AA5D9" w14:textId="20A79A70" w:rsidR="00F20FAE" w:rsidRPr="00190D4B" w:rsidRDefault="00F20FAE" w:rsidP="00192DC7">
            <w:pPr>
              <w:pStyle w:val="Tabletext"/>
              <w:spacing w:after="120"/>
              <w:rPr>
                <w:rFonts w:cs="Arial"/>
                <w:sz w:val="20"/>
                <w:szCs w:val="20"/>
              </w:rPr>
            </w:pPr>
            <w:r w:rsidRPr="00190D4B">
              <w:rPr>
                <w:rFonts w:cs="Arial"/>
                <w:sz w:val="20"/>
                <w:szCs w:val="20"/>
              </w:rPr>
              <w:lastRenderedPageBreak/>
              <w:t>Information in accessible format in adherence with the Equality Act</w:t>
            </w:r>
          </w:p>
        </w:tc>
      </w:tr>
      <w:tr w:rsidR="00F20FAE" w:rsidRPr="00190D4B" w14:paraId="456B42A6" w14:textId="77777777" w:rsidTr="00477F9C">
        <w:trPr>
          <w:trHeight w:val="282"/>
        </w:trPr>
        <w:tc>
          <w:tcPr>
            <w:tcW w:w="192" w:type="pct"/>
          </w:tcPr>
          <w:p w14:paraId="4D5B5F6E" w14:textId="12DE6CCF"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047674" w:rsidRPr="00190D4B">
              <w:rPr>
                <w:rFonts w:cs="Arial"/>
                <w:sz w:val="20"/>
                <w:szCs w:val="20"/>
                <w:lang w:eastAsia="en-GB"/>
              </w:rPr>
              <w:t>5</w:t>
            </w:r>
          </w:p>
        </w:tc>
        <w:tc>
          <w:tcPr>
            <w:tcW w:w="483" w:type="pct"/>
          </w:tcPr>
          <w:p w14:paraId="4568D282" w14:textId="3A97079A" w:rsidR="00F20FAE" w:rsidRPr="00190D4B" w:rsidRDefault="00047674" w:rsidP="00192DC7">
            <w:pPr>
              <w:pStyle w:val="Tabletext"/>
              <w:spacing w:after="120"/>
              <w:rPr>
                <w:rFonts w:cs="Arial"/>
                <w:sz w:val="20"/>
                <w:szCs w:val="20"/>
              </w:rPr>
            </w:pPr>
            <w:r w:rsidRPr="00190D4B">
              <w:rPr>
                <w:rFonts w:cs="Arial"/>
                <w:sz w:val="20"/>
                <w:szCs w:val="20"/>
              </w:rPr>
              <w:t>NHS LDA</w:t>
            </w:r>
          </w:p>
        </w:tc>
        <w:tc>
          <w:tcPr>
            <w:tcW w:w="1111" w:type="pct"/>
          </w:tcPr>
          <w:p w14:paraId="61608D02" w14:textId="30BC888E" w:rsidR="00F20FAE" w:rsidRPr="00190D4B" w:rsidRDefault="00047674" w:rsidP="00192DC7">
            <w:pPr>
              <w:pStyle w:val="Paragraphnonumbers"/>
              <w:spacing w:after="120" w:line="240" w:lineRule="auto"/>
              <w:rPr>
                <w:rFonts w:cs="Arial"/>
                <w:sz w:val="20"/>
                <w:szCs w:val="20"/>
              </w:rPr>
            </w:pPr>
            <w:r w:rsidRPr="00190D4B">
              <w:rPr>
                <w:rFonts w:cs="Arial"/>
                <w:sz w:val="20"/>
                <w:szCs w:val="20"/>
              </w:rPr>
              <w:t>Reasonable adjustment</w:t>
            </w:r>
          </w:p>
        </w:tc>
        <w:tc>
          <w:tcPr>
            <w:tcW w:w="1402" w:type="pct"/>
          </w:tcPr>
          <w:p w14:paraId="500E6004" w14:textId="5D4AF448" w:rsidR="00F20FAE" w:rsidRPr="00190D4B" w:rsidRDefault="00047674" w:rsidP="00192DC7">
            <w:pPr>
              <w:pStyle w:val="Paragraphnonumbers"/>
              <w:spacing w:after="120" w:line="240" w:lineRule="auto"/>
              <w:rPr>
                <w:rFonts w:cs="Arial"/>
                <w:sz w:val="20"/>
                <w:szCs w:val="20"/>
              </w:rPr>
            </w:pPr>
            <w:r w:rsidRPr="00190D4B">
              <w:rPr>
                <w:rFonts w:cs="Arial"/>
                <w:sz w:val="20"/>
                <w:szCs w:val="20"/>
              </w:rPr>
              <w:t>Good standards in care require staff to understand the needs of the person with learning disability and / or Autistic person. Efforts to adjust interventions to suit the needs of the person must be made.</w:t>
            </w:r>
          </w:p>
        </w:tc>
        <w:tc>
          <w:tcPr>
            <w:tcW w:w="916" w:type="pct"/>
          </w:tcPr>
          <w:p w14:paraId="52864E92" w14:textId="2CFFD2EE" w:rsidR="00F20FAE" w:rsidRPr="00190D4B" w:rsidRDefault="00047674" w:rsidP="00192DC7">
            <w:pPr>
              <w:pStyle w:val="Paragraphnonumbers"/>
              <w:spacing w:after="120" w:line="240" w:lineRule="auto"/>
              <w:rPr>
                <w:rFonts w:cs="Arial"/>
                <w:sz w:val="20"/>
                <w:szCs w:val="20"/>
              </w:rPr>
            </w:pPr>
            <w:r w:rsidRPr="00190D4B">
              <w:rPr>
                <w:rFonts w:cs="Arial"/>
                <w:sz w:val="20"/>
                <w:szCs w:val="20"/>
              </w:rPr>
              <w:t>Staff should make efforts to understand the person’s needs in order to adjust their approach to the person.</w:t>
            </w:r>
          </w:p>
        </w:tc>
        <w:tc>
          <w:tcPr>
            <w:tcW w:w="896" w:type="pct"/>
          </w:tcPr>
          <w:p w14:paraId="2C7F1A1A" w14:textId="77777777" w:rsidR="00047674" w:rsidRPr="00190D4B" w:rsidRDefault="00047674" w:rsidP="00192DC7">
            <w:pPr>
              <w:pStyle w:val="Tabletext"/>
              <w:spacing w:after="120"/>
              <w:rPr>
                <w:rFonts w:cs="Arial"/>
                <w:sz w:val="20"/>
                <w:szCs w:val="20"/>
              </w:rPr>
            </w:pPr>
            <w:r w:rsidRPr="00190D4B">
              <w:rPr>
                <w:rFonts w:cs="Arial"/>
                <w:sz w:val="20"/>
                <w:szCs w:val="20"/>
              </w:rPr>
              <w:t>Involve family members and / or support staff who know the person well to assist in supporting the person.</w:t>
            </w:r>
          </w:p>
          <w:p w14:paraId="05811E12" w14:textId="23191916" w:rsidR="00F20FAE" w:rsidRPr="00190D4B" w:rsidRDefault="00047674" w:rsidP="00192DC7">
            <w:pPr>
              <w:pStyle w:val="Tabletext"/>
              <w:spacing w:after="120"/>
              <w:rPr>
                <w:rFonts w:cs="Arial"/>
                <w:sz w:val="20"/>
                <w:szCs w:val="20"/>
              </w:rPr>
            </w:pPr>
            <w:r w:rsidRPr="00190D4B">
              <w:rPr>
                <w:rFonts w:cs="Arial"/>
                <w:sz w:val="20"/>
                <w:szCs w:val="20"/>
              </w:rPr>
              <w:t>Refer to the person’s Hospital Passport on how to communicate and support the person.</w:t>
            </w:r>
          </w:p>
        </w:tc>
      </w:tr>
      <w:tr w:rsidR="00F20FAE" w:rsidRPr="00190D4B" w14:paraId="72CACFCF" w14:textId="77777777" w:rsidTr="00477F9C">
        <w:trPr>
          <w:trHeight w:val="282"/>
        </w:trPr>
        <w:tc>
          <w:tcPr>
            <w:tcW w:w="192" w:type="pct"/>
          </w:tcPr>
          <w:p w14:paraId="0FA07F9F" w14:textId="154F3923"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047674" w:rsidRPr="00190D4B">
              <w:rPr>
                <w:rFonts w:cs="Arial"/>
                <w:sz w:val="20"/>
                <w:szCs w:val="20"/>
                <w:lang w:eastAsia="en-GB"/>
              </w:rPr>
              <w:t>6</w:t>
            </w:r>
          </w:p>
        </w:tc>
        <w:tc>
          <w:tcPr>
            <w:tcW w:w="483" w:type="pct"/>
          </w:tcPr>
          <w:p w14:paraId="1B4CAD3D" w14:textId="5E3EBFC3" w:rsidR="00F20FAE" w:rsidRPr="00190D4B" w:rsidRDefault="00047674" w:rsidP="00192DC7">
            <w:pPr>
              <w:pStyle w:val="Tabletext"/>
              <w:spacing w:after="120"/>
              <w:rPr>
                <w:rFonts w:cs="Arial"/>
                <w:sz w:val="20"/>
                <w:szCs w:val="20"/>
              </w:rPr>
            </w:pPr>
            <w:r w:rsidRPr="00190D4B">
              <w:rPr>
                <w:rFonts w:cs="Arial"/>
                <w:sz w:val="20"/>
                <w:szCs w:val="20"/>
              </w:rPr>
              <w:t>NHS LDA</w:t>
            </w:r>
          </w:p>
        </w:tc>
        <w:tc>
          <w:tcPr>
            <w:tcW w:w="1111" w:type="pct"/>
          </w:tcPr>
          <w:p w14:paraId="679EB2A8" w14:textId="274F622B" w:rsidR="00F20FAE" w:rsidRPr="00190D4B" w:rsidRDefault="00047674" w:rsidP="00192DC7">
            <w:pPr>
              <w:pStyle w:val="Paragraphnonumbers"/>
              <w:spacing w:after="120" w:line="240" w:lineRule="auto"/>
              <w:rPr>
                <w:rFonts w:cs="Arial"/>
                <w:sz w:val="20"/>
                <w:szCs w:val="20"/>
              </w:rPr>
            </w:pPr>
            <w:r w:rsidRPr="00190D4B">
              <w:rPr>
                <w:rFonts w:cs="Arial"/>
                <w:sz w:val="20"/>
                <w:szCs w:val="20"/>
              </w:rPr>
              <w:t>Environmental factors</w:t>
            </w:r>
          </w:p>
        </w:tc>
        <w:tc>
          <w:tcPr>
            <w:tcW w:w="1402" w:type="pct"/>
          </w:tcPr>
          <w:p w14:paraId="4E38CB65" w14:textId="76882280" w:rsidR="00F20FAE" w:rsidRPr="00190D4B" w:rsidRDefault="00047674" w:rsidP="00192DC7">
            <w:pPr>
              <w:pStyle w:val="Paragraphnonumbers"/>
              <w:spacing w:after="120" w:line="240" w:lineRule="auto"/>
              <w:rPr>
                <w:rFonts w:cs="Arial"/>
                <w:sz w:val="20"/>
                <w:szCs w:val="20"/>
              </w:rPr>
            </w:pPr>
            <w:r w:rsidRPr="00190D4B">
              <w:rPr>
                <w:rFonts w:cs="Arial"/>
                <w:sz w:val="20"/>
                <w:szCs w:val="20"/>
              </w:rPr>
              <w:t>The physical environment can be a challenge to people with learning disability and Autistic people. It can be busy that is disorienting and confusing for the person. People with sensory sensitivities may find the built and physical environment alienating for them because of harsh noise, bright lights, many voices.</w:t>
            </w:r>
          </w:p>
        </w:tc>
        <w:tc>
          <w:tcPr>
            <w:tcW w:w="916" w:type="pct"/>
          </w:tcPr>
          <w:p w14:paraId="73DFBEE6" w14:textId="77777777" w:rsidR="00F20FAE" w:rsidRPr="00190D4B" w:rsidRDefault="00F20FAE" w:rsidP="00192DC7">
            <w:pPr>
              <w:pStyle w:val="Paragraphnonumbers"/>
              <w:spacing w:after="120" w:line="240" w:lineRule="auto"/>
              <w:rPr>
                <w:rFonts w:cs="Arial"/>
                <w:sz w:val="20"/>
                <w:szCs w:val="20"/>
              </w:rPr>
            </w:pPr>
          </w:p>
        </w:tc>
        <w:tc>
          <w:tcPr>
            <w:tcW w:w="896" w:type="pct"/>
          </w:tcPr>
          <w:p w14:paraId="69AB7C42" w14:textId="445153C2" w:rsidR="00F20FAE" w:rsidRPr="00190D4B" w:rsidRDefault="00047674" w:rsidP="00192DC7">
            <w:pPr>
              <w:pStyle w:val="Tabletext"/>
              <w:spacing w:after="120"/>
              <w:rPr>
                <w:rFonts w:cs="Arial"/>
                <w:sz w:val="20"/>
                <w:szCs w:val="20"/>
              </w:rPr>
            </w:pPr>
            <w:r w:rsidRPr="00190D4B">
              <w:rPr>
                <w:rFonts w:cs="Arial"/>
                <w:sz w:val="20"/>
                <w:szCs w:val="20"/>
              </w:rPr>
              <w:t>Resources available on making environments more acceptable to people who have sensory sensitivities</w:t>
            </w:r>
          </w:p>
        </w:tc>
      </w:tr>
      <w:tr w:rsidR="00F20FAE" w:rsidRPr="00190D4B" w14:paraId="239B3B8E" w14:textId="77777777" w:rsidTr="00477F9C">
        <w:trPr>
          <w:trHeight w:val="282"/>
        </w:trPr>
        <w:tc>
          <w:tcPr>
            <w:tcW w:w="192" w:type="pct"/>
          </w:tcPr>
          <w:p w14:paraId="400CCA49" w14:textId="5D5A2B9B"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047674" w:rsidRPr="00190D4B">
              <w:rPr>
                <w:rFonts w:cs="Arial"/>
                <w:sz w:val="20"/>
                <w:szCs w:val="20"/>
                <w:lang w:eastAsia="en-GB"/>
              </w:rPr>
              <w:t>7</w:t>
            </w:r>
          </w:p>
        </w:tc>
        <w:tc>
          <w:tcPr>
            <w:tcW w:w="483" w:type="pct"/>
          </w:tcPr>
          <w:p w14:paraId="45B938DF" w14:textId="27CCFE56" w:rsidR="00F20FAE" w:rsidRPr="00190D4B" w:rsidRDefault="00047674" w:rsidP="00192DC7">
            <w:pPr>
              <w:pStyle w:val="Tabletext"/>
              <w:spacing w:after="120"/>
              <w:rPr>
                <w:rFonts w:cs="Arial"/>
                <w:sz w:val="20"/>
                <w:szCs w:val="20"/>
              </w:rPr>
            </w:pPr>
            <w:r w:rsidRPr="00190D4B">
              <w:rPr>
                <w:rFonts w:cs="Arial"/>
                <w:sz w:val="20"/>
                <w:szCs w:val="20"/>
              </w:rPr>
              <w:t>NHS LDA</w:t>
            </w:r>
          </w:p>
        </w:tc>
        <w:tc>
          <w:tcPr>
            <w:tcW w:w="1111" w:type="pct"/>
          </w:tcPr>
          <w:p w14:paraId="6DC7A17E" w14:textId="636AD2A8" w:rsidR="00F20FAE" w:rsidRPr="00190D4B" w:rsidRDefault="00047674" w:rsidP="00192DC7">
            <w:pPr>
              <w:pStyle w:val="Paragraphnonumbers"/>
              <w:spacing w:after="120" w:line="240" w:lineRule="auto"/>
              <w:rPr>
                <w:rFonts w:cs="Arial"/>
                <w:sz w:val="20"/>
                <w:szCs w:val="20"/>
              </w:rPr>
            </w:pPr>
            <w:r w:rsidRPr="00190D4B">
              <w:rPr>
                <w:rFonts w:cs="Arial"/>
                <w:sz w:val="20"/>
                <w:szCs w:val="20"/>
              </w:rPr>
              <w:t>Detection of complications</w:t>
            </w:r>
          </w:p>
        </w:tc>
        <w:tc>
          <w:tcPr>
            <w:tcW w:w="1402" w:type="pct"/>
          </w:tcPr>
          <w:p w14:paraId="1E8B60DA" w14:textId="3BDDB51F" w:rsidR="00F20FAE" w:rsidRPr="00190D4B" w:rsidRDefault="00047674" w:rsidP="00192DC7">
            <w:pPr>
              <w:pStyle w:val="Paragraphnonumbers"/>
              <w:spacing w:after="120" w:line="240" w:lineRule="auto"/>
              <w:rPr>
                <w:rFonts w:cs="Arial"/>
                <w:sz w:val="20"/>
                <w:szCs w:val="20"/>
              </w:rPr>
            </w:pPr>
            <w:r w:rsidRPr="00190D4B">
              <w:rPr>
                <w:rFonts w:cs="Arial"/>
                <w:sz w:val="20"/>
                <w:szCs w:val="20"/>
              </w:rPr>
              <w:t>The rate of perioperative complications higher in people with learning disability and Autistic people. Pain detection and management is challenging.</w:t>
            </w:r>
          </w:p>
        </w:tc>
        <w:tc>
          <w:tcPr>
            <w:tcW w:w="916" w:type="pct"/>
          </w:tcPr>
          <w:p w14:paraId="640F4B42" w14:textId="77777777" w:rsidR="00F20FAE" w:rsidRPr="00190D4B" w:rsidRDefault="00F20FAE" w:rsidP="00192DC7">
            <w:pPr>
              <w:pStyle w:val="Paragraphnonumbers"/>
              <w:spacing w:after="120" w:line="240" w:lineRule="auto"/>
              <w:rPr>
                <w:rFonts w:cs="Arial"/>
                <w:sz w:val="20"/>
                <w:szCs w:val="20"/>
              </w:rPr>
            </w:pPr>
          </w:p>
        </w:tc>
        <w:tc>
          <w:tcPr>
            <w:tcW w:w="896" w:type="pct"/>
          </w:tcPr>
          <w:p w14:paraId="39C7086E" w14:textId="2B35A114" w:rsidR="00F20FAE" w:rsidRPr="00190D4B" w:rsidRDefault="00047674" w:rsidP="00192DC7">
            <w:pPr>
              <w:pStyle w:val="Tabletext"/>
              <w:spacing w:after="120"/>
              <w:rPr>
                <w:rFonts w:cs="Arial"/>
                <w:sz w:val="20"/>
                <w:szCs w:val="20"/>
              </w:rPr>
            </w:pPr>
            <w:r w:rsidRPr="00190D4B">
              <w:rPr>
                <w:rFonts w:cs="Arial"/>
                <w:sz w:val="20"/>
                <w:szCs w:val="20"/>
              </w:rPr>
              <w:t xml:space="preserve">O’Brien, E.M., Stricker, P.A., Harris, K.A., Liu, H., Griffis, H. and Muhly, W.T., 2024. Perioperative management and outcomes in patients with autism spectrum disorder: a retrospective cohort study. </w:t>
            </w:r>
            <w:proofErr w:type="spellStart"/>
            <w:r w:rsidRPr="00190D4B">
              <w:rPr>
                <w:rFonts w:cs="Arial"/>
                <w:sz w:val="20"/>
                <w:szCs w:val="20"/>
              </w:rPr>
              <w:t>Anesthesia</w:t>
            </w:r>
            <w:proofErr w:type="spellEnd"/>
            <w:r w:rsidRPr="00190D4B">
              <w:rPr>
                <w:rFonts w:cs="Arial"/>
                <w:sz w:val="20"/>
                <w:szCs w:val="20"/>
              </w:rPr>
              <w:t xml:space="preserve"> &amp; Analgesia, 138(2), pp.438-446.</w:t>
            </w:r>
          </w:p>
        </w:tc>
      </w:tr>
      <w:tr w:rsidR="004E7B30" w:rsidRPr="00190D4B" w14:paraId="2721BF57" w14:textId="77777777" w:rsidTr="00477F9C">
        <w:trPr>
          <w:trHeight w:val="282"/>
        </w:trPr>
        <w:tc>
          <w:tcPr>
            <w:tcW w:w="192" w:type="pct"/>
          </w:tcPr>
          <w:p w14:paraId="3AA92C8E" w14:textId="44EA7720" w:rsidR="004E7B30" w:rsidRPr="00190D4B" w:rsidRDefault="002C610D" w:rsidP="00192DC7">
            <w:pPr>
              <w:pStyle w:val="Tabletext"/>
              <w:spacing w:after="120"/>
              <w:rPr>
                <w:rFonts w:cs="Arial"/>
                <w:sz w:val="20"/>
                <w:szCs w:val="20"/>
                <w:lang w:eastAsia="en-GB"/>
              </w:rPr>
            </w:pPr>
            <w:r>
              <w:rPr>
                <w:rFonts w:cs="Arial"/>
                <w:sz w:val="20"/>
                <w:szCs w:val="20"/>
                <w:lang w:eastAsia="en-GB"/>
              </w:rPr>
              <w:t>48</w:t>
            </w:r>
          </w:p>
        </w:tc>
        <w:tc>
          <w:tcPr>
            <w:tcW w:w="483" w:type="pct"/>
          </w:tcPr>
          <w:p w14:paraId="071F138A" w14:textId="53594C4D" w:rsidR="004E7B30" w:rsidRPr="00190D4B" w:rsidRDefault="00F5420A" w:rsidP="00192DC7">
            <w:pPr>
              <w:pStyle w:val="Tabletext"/>
              <w:spacing w:after="120"/>
              <w:rPr>
                <w:rFonts w:cs="Arial"/>
                <w:sz w:val="20"/>
                <w:szCs w:val="20"/>
              </w:rPr>
            </w:pPr>
            <w:r w:rsidRPr="00190D4B">
              <w:rPr>
                <w:rFonts w:cs="Arial"/>
                <w:sz w:val="20"/>
                <w:szCs w:val="20"/>
              </w:rPr>
              <w:t>NHS PST</w:t>
            </w:r>
          </w:p>
        </w:tc>
        <w:tc>
          <w:tcPr>
            <w:tcW w:w="1111" w:type="pct"/>
          </w:tcPr>
          <w:p w14:paraId="4E3D4157" w14:textId="631FBFA9" w:rsidR="004E7B30" w:rsidRPr="00190D4B" w:rsidRDefault="00F5420A" w:rsidP="00192DC7">
            <w:pPr>
              <w:pStyle w:val="Paragraphnonumbers"/>
              <w:spacing w:after="120" w:line="240" w:lineRule="auto"/>
              <w:rPr>
                <w:rFonts w:cs="Arial"/>
                <w:sz w:val="20"/>
                <w:szCs w:val="20"/>
              </w:rPr>
            </w:pPr>
            <w:r w:rsidRPr="00190D4B">
              <w:rPr>
                <w:rFonts w:cs="Arial"/>
                <w:sz w:val="20"/>
                <w:szCs w:val="20"/>
              </w:rPr>
              <w:t>Key area for quality improvement 2</w:t>
            </w:r>
          </w:p>
        </w:tc>
        <w:tc>
          <w:tcPr>
            <w:tcW w:w="1402" w:type="pct"/>
          </w:tcPr>
          <w:p w14:paraId="1F0086E4" w14:textId="194CF46B" w:rsidR="004E7B30" w:rsidRPr="00190D4B" w:rsidRDefault="00F5420A" w:rsidP="00192DC7">
            <w:pPr>
              <w:pStyle w:val="Paragraphnonumbers"/>
              <w:spacing w:after="120" w:line="240" w:lineRule="auto"/>
              <w:rPr>
                <w:rFonts w:cs="Arial"/>
                <w:sz w:val="20"/>
                <w:szCs w:val="20"/>
              </w:rPr>
            </w:pPr>
            <w:r w:rsidRPr="00190D4B">
              <w:rPr>
                <w:rFonts w:cs="Arial"/>
                <w:sz w:val="20"/>
                <w:szCs w:val="20"/>
              </w:rPr>
              <w:t>Need to ensure integrated digital systems (</w:t>
            </w:r>
            <w:r w:rsidR="002E485A" w:rsidRPr="00190D4B">
              <w:rPr>
                <w:rFonts w:cs="Arial"/>
                <w:sz w:val="20"/>
                <w:szCs w:val="20"/>
              </w:rPr>
              <w:t>e.g.</w:t>
            </w:r>
            <w:r w:rsidRPr="00190D4B">
              <w:rPr>
                <w:rFonts w:cs="Arial"/>
                <w:sz w:val="20"/>
                <w:szCs w:val="20"/>
              </w:rPr>
              <w:t xml:space="preserve"> EPR, EPMA. Stock management systems) across surgery and theatres to </w:t>
            </w:r>
            <w:r w:rsidRPr="00190D4B">
              <w:rPr>
                <w:rFonts w:cs="Arial"/>
                <w:sz w:val="20"/>
                <w:szCs w:val="20"/>
              </w:rPr>
              <w:lastRenderedPageBreak/>
              <w:t xml:space="preserve">ensure a coordinated approach across the full patient pathway </w:t>
            </w:r>
            <w:proofErr w:type="spellStart"/>
            <w:r w:rsidRPr="00190D4B">
              <w:rPr>
                <w:rFonts w:cs="Arial"/>
                <w:sz w:val="20"/>
                <w:szCs w:val="20"/>
              </w:rPr>
              <w:t>eg</w:t>
            </w:r>
            <w:proofErr w:type="spellEnd"/>
            <w:r w:rsidRPr="00190D4B">
              <w:rPr>
                <w:rFonts w:cs="Arial"/>
                <w:sz w:val="20"/>
                <w:szCs w:val="20"/>
              </w:rPr>
              <w:t xml:space="preserve"> there are still areas where patients are administered paracetamol in recovery as the EPMA system is not aligned with the theatre system where previous doses may have been administered.</w:t>
            </w:r>
          </w:p>
        </w:tc>
        <w:tc>
          <w:tcPr>
            <w:tcW w:w="916" w:type="pct"/>
          </w:tcPr>
          <w:p w14:paraId="72439BF6" w14:textId="15F35AF5" w:rsidR="004E7B30" w:rsidRPr="00190D4B" w:rsidRDefault="00F5420A" w:rsidP="00192DC7">
            <w:pPr>
              <w:pStyle w:val="Paragraphnonumbers"/>
              <w:spacing w:after="120" w:line="240" w:lineRule="auto"/>
              <w:rPr>
                <w:rFonts w:cs="Arial"/>
                <w:sz w:val="20"/>
                <w:szCs w:val="20"/>
              </w:rPr>
            </w:pPr>
            <w:r w:rsidRPr="00190D4B">
              <w:rPr>
                <w:rFonts w:cs="Arial"/>
                <w:sz w:val="20"/>
                <w:szCs w:val="20"/>
              </w:rPr>
              <w:lastRenderedPageBreak/>
              <w:t xml:space="preserve">National incident reporting data </w:t>
            </w:r>
            <w:r w:rsidR="002E485A" w:rsidRPr="00190D4B">
              <w:rPr>
                <w:rFonts w:cs="Arial"/>
                <w:sz w:val="20"/>
                <w:szCs w:val="20"/>
              </w:rPr>
              <w:t>e.g.</w:t>
            </w:r>
            <w:r w:rsidRPr="00190D4B">
              <w:rPr>
                <w:rFonts w:cs="Arial"/>
                <w:sz w:val="20"/>
                <w:szCs w:val="20"/>
              </w:rPr>
              <w:t xml:space="preserve"> LFPSE and NRLS.</w:t>
            </w:r>
          </w:p>
        </w:tc>
        <w:tc>
          <w:tcPr>
            <w:tcW w:w="896" w:type="pct"/>
          </w:tcPr>
          <w:p w14:paraId="26C322FB" w14:textId="77777777" w:rsidR="004E7B30" w:rsidRPr="00190D4B" w:rsidRDefault="004E7B30" w:rsidP="00192DC7">
            <w:pPr>
              <w:pStyle w:val="Tabletext"/>
              <w:spacing w:after="120"/>
              <w:rPr>
                <w:rFonts w:cs="Arial"/>
                <w:sz w:val="20"/>
                <w:szCs w:val="20"/>
              </w:rPr>
            </w:pPr>
          </w:p>
        </w:tc>
      </w:tr>
      <w:tr w:rsidR="00F5420A" w:rsidRPr="00190D4B" w14:paraId="47727BD5" w14:textId="77777777" w:rsidTr="00477F9C">
        <w:trPr>
          <w:trHeight w:val="282"/>
        </w:trPr>
        <w:tc>
          <w:tcPr>
            <w:tcW w:w="192" w:type="pct"/>
          </w:tcPr>
          <w:p w14:paraId="1436EF93" w14:textId="0F7375D6" w:rsidR="00F5420A" w:rsidRPr="00190D4B" w:rsidRDefault="00F5420A" w:rsidP="00192DC7">
            <w:pPr>
              <w:pStyle w:val="Tabletext"/>
              <w:spacing w:after="120"/>
              <w:rPr>
                <w:rFonts w:cs="Arial"/>
                <w:sz w:val="20"/>
                <w:szCs w:val="20"/>
                <w:lang w:eastAsia="en-GB"/>
              </w:rPr>
            </w:pPr>
            <w:r w:rsidRPr="00190D4B">
              <w:rPr>
                <w:rFonts w:cs="Arial"/>
                <w:sz w:val="20"/>
                <w:szCs w:val="20"/>
                <w:lang w:eastAsia="en-GB"/>
              </w:rPr>
              <w:t>4</w:t>
            </w:r>
            <w:r w:rsidR="002C610D">
              <w:rPr>
                <w:rFonts w:cs="Arial"/>
                <w:sz w:val="20"/>
                <w:szCs w:val="20"/>
                <w:lang w:eastAsia="en-GB"/>
              </w:rPr>
              <w:t>9</w:t>
            </w:r>
          </w:p>
        </w:tc>
        <w:tc>
          <w:tcPr>
            <w:tcW w:w="483" w:type="pct"/>
          </w:tcPr>
          <w:p w14:paraId="1A918BDC" w14:textId="68F6F2E8" w:rsidR="00F5420A" w:rsidRPr="00190D4B" w:rsidRDefault="00F5420A" w:rsidP="00192DC7">
            <w:pPr>
              <w:pStyle w:val="Tabletext"/>
              <w:spacing w:after="120"/>
              <w:rPr>
                <w:rFonts w:cs="Arial"/>
                <w:sz w:val="20"/>
                <w:szCs w:val="20"/>
              </w:rPr>
            </w:pPr>
            <w:r w:rsidRPr="00190D4B">
              <w:rPr>
                <w:rFonts w:cs="Arial"/>
                <w:sz w:val="20"/>
                <w:szCs w:val="20"/>
              </w:rPr>
              <w:t>SCM1</w:t>
            </w:r>
          </w:p>
        </w:tc>
        <w:tc>
          <w:tcPr>
            <w:tcW w:w="1111" w:type="pct"/>
          </w:tcPr>
          <w:p w14:paraId="5CAF25E7" w14:textId="34646042" w:rsidR="00F5420A" w:rsidRPr="00190D4B" w:rsidRDefault="00F5420A" w:rsidP="00192DC7">
            <w:pPr>
              <w:pStyle w:val="Paragraphnonumbers"/>
              <w:spacing w:after="120" w:line="240" w:lineRule="auto"/>
              <w:rPr>
                <w:rFonts w:cs="Arial"/>
                <w:sz w:val="20"/>
                <w:szCs w:val="20"/>
              </w:rPr>
            </w:pPr>
            <w:r w:rsidRPr="00190D4B">
              <w:rPr>
                <w:rFonts w:cs="Arial"/>
                <w:sz w:val="20"/>
                <w:szCs w:val="20"/>
              </w:rPr>
              <w:t>Embedding a standardised Shared decision making tool in perioperative care</w:t>
            </w:r>
          </w:p>
        </w:tc>
        <w:tc>
          <w:tcPr>
            <w:tcW w:w="1402" w:type="pct"/>
          </w:tcPr>
          <w:p w14:paraId="2782AE99"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The use of validated SDM tools can help empower patients to take a lead in their care while providing clinicians of a framework for treatment decision making. </w:t>
            </w:r>
          </w:p>
          <w:p w14:paraId="464DE47C" w14:textId="5B70DC74"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Despite this, evidence of application of SDM practice in routine surgical practice is patchy. NICE note the importance of strong leadership in the implementation of SDM, but also recognise that this can be expensive. NHS England sets out advice on what good SDM practice looks like. With suggestions on frameworks to support the implementation at a workforce level, with use of specific tools such as ‘BRAN’ and ‘Ask 3 Questions’.  </w:t>
            </w:r>
          </w:p>
        </w:tc>
        <w:tc>
          <w:tcPr>
            <w:tcW w:w="916" w:type="pct"/>
          </w:tcPr>
          <w:p w14:paraId="6022A99D"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Centre for perioperative care, NICE, NHS England (to name a few) advocate for SDM in the perioperative pathway. </w:t>
            </w:r>
          </w:p>
          <w:p w14:paraId="2CD1D4DD"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NHS England notes that “Although patients are far more informed than they were even 20-30 years ago, some people express frustration because they do not feel that they have adequate input into decisions about their health and their lives”. </w:t>
            </w:r>
          </w:p>
          <w:p w14:paraId="35435385" w14:textId="08DFDA2F" w:rsidR="00F5420A" w:rsidRPr="00190D4B" w:rsidRDefault="00F5420A" w:rsidP="00192DC7">
            <w:pPr>
              <w:pStyle w:val="Paragraphnonumbers"/>
              <w:spacing w:after="120" w:line="240" w:lineRule="auto"/>
              <w:rPr>
                <w:rFonts w:cs="Arial"/>
                <w:sz w:val="20"/>
                <w:szCs w:val="20"/>
              </w:rPr>
            </w:pPr>
            <w:r w:rsidRPr="00190D4B">
              <w:rPr>
                <w:rFonts w:cs="Arial"/>
                <w:sz w:val="20"/>
                <w:szCs w:val="20"/>
              </w:rPr>
              <w:t>CPOC advise the use of the ‘BRAN’ tool to aid decision making, noting reduced patient regret, improved patient satisfaction and communication with their healthcare team.</w:t>
            </w:r>
          </w:p>
        </w:tc>
        <w:tc>
          <w:tcPr>
            <w:tcW w:w="896" w:type="pct"/>
          </w:tcPr>
          <w:p w14:paraId="59943D3D" w14:textId="58E2EB90" w:rsidR="00F5420A" w:rsidRPr="00190D4B" w:rsidRDefault="00F5420A" w:rsidP="00192DC7">
            <w:pPr>
              <w:spacing w:after="120"/>
              <w:rPr>
                <w:rFonts w:ascii="Arial" w:hAnsi="Arial" w:cs="Arial"/>
                <w:sz w:val="20"/>
                <w:szCs w:val="20"/>
                <w:lang w:eastAsia="en-GB"/>
              </w:rPr>
            </w:pPr>
            <w:hyperlink r:id="rId122" w:anchor="embedding-shared-decision-making-at-an-organisational-level" w:history="1">
              <w:r w:rsidRPr="00F5420A">
                <w:rPr>
                  <w:rStyle w:val="Hyperlink"/>
                  <w:rFonts w:ascii="Arial" w:hAnsi="Arial" w:cs="Arial"/>
                  <w:sz w:val="20"/>
                  <w:szCs w:val="20"/>
                  <w:lang w:eastAsia="en-GB"/>
                </w:rPr>
                <w:t>https://www.nice.org.uk/guidance/ng197/chapter/Recommendations#embedding-shared-decision-making-at-an-organisational-level</w:t>
              </w:r>
            </w:hyperlink>
          </w:p>
          <w:p w14:paraId="6A31D672" w14:textId="03E01750" w:rsidR="00F5420A" w:rsidRPr="00F5420A" w:rsidRDefault="00F5420A" w:rsidP="00192DC7">
            <w:pPr>
              <w:spacing w:after="120"/>
              <w:rPr>
                <w:rFonts w:ascii="Arial" w:hAnsi="Arial" w:cs="Arial"/>
                <w:sz w:val="20"/>
                <w:szCs w:val="20"/>
                <w:lang w:eastAsia="en-GB"/>
              </w:rPr>
            </w:pPr>
            <w:hyperlink r:id="rId123" w:history="1">
              <w:r w:rsidRPr="00F5420A">
                <w:rPr>
                  <w:rStyle w:val="Hyperlink"/>
                  <w:rFonts w:ascii="Arial" w:hAnsi="Arial" w:cs="Arial"/>
                  <w:sz w:val="20"/>
                  <w:szCs w:val="20"/>
                  <w:lang w:eastAsia="en-GB"/>
                </w:rPr>
                <w:t>https://www.england.nhs.uk/wp-content/uploads/2019/01/shared-decision-making-summary-guide-v1.pdf</w:t>
              </w:r>
            </w:hyperlink>
          </w:p>
          <w:p w14:paraId="72E7F36C" w14:textId="14FCBECA" w:rsidR="00F5420A" w:rsidRPr="00190D4B" w:rsidRDefault="00F5420A" w:rsidP="00192DC7">
            <w:pPr>
              <w:pStyle w:val="Tabletext"/>
              <w:spacing w:after="120"/>
              <w:rPr>
                <w:rFonts w:cs="Arial"/>
                <w:sz w:val="20"/>
                <w:szCs w:val="20"/>
              </w:rPr>
            </w:pPr>
            <w:hyperlink r:id="rId124" w:history="1">
              <w:r w:rsidRPr="00190D4B">
                <w:rPr>
                  <w:rFonts w:cs="Arial"/>
                  <w:color w:val="0000FF"/>
                  <w:sz w:val="20"/>
                  <w:szCs w:val="20"/>
                  <w:u w:val="single"/>
                </w:rPr>
                <w:t>CWUK_patient_leaflet_v6.1 FINAL (1).pdf</w:t>
              </w:r>
            </w:hyperlink>
          </w:p>
        </w:tc>
      </w:tr>
      <w:tr w:rsidR="00A5281F" w:rsidRPr="00190D4B" w14:paraId="2C7D6BAF" w14:textId="77777777" w:rsidTr="00477F9C">
        <w:trPr>
          <w:trHeight w:val="282"/>
        </w:trPr>
        <w:tc>
          <w:tcPr>
            <w:tcW w:w="192" w:type="pct"/>
          </w:tcPr>
          <w:p w14:paraId="41BBAB7D" w14:textId="7A00473A" w:rsidR="00A5281F" w:rsidRPr="00190D4B" w:rsidRDefault="002C610D" w:rsidP="00192DC7">
            <w:pPr>
              <w:pStyle w:val="Tabletext"/>
              <w:spacing w:after="120"/>
              <w:rPr>
                <w:rFonts w:cs="Arial"/>
                <w:sz w:val="20"/>
                <w:szCs w:val="20"/>
                <w:lang w:eastAsia="en-GB"/>
              </w:rPr>
            </w:pPr>
            <w:r>
              <w:rPr>
                <w:rFonts w:cs="Arial"/>
                <w:sz w:val="20"/>
                <w:szCs w:val="20"/>
                <w:lang w:eastAsia="en-GB"/>
              </w:rPr>
              <w:t>50</w:t>
            </w:r>
          </w:p>
        </w:tc>
        <w:tc>
          <w:tcPr>
            <w:tcW w:w="483" w:type="pct"/>
          </w:tcPr>
          <w:p w14:paraId="57AEB513" w14:textId="778D1108" w:rsidR="00A5281F" w:rsidRPr="00190D4B" w:rsidRDefault="00A5281F" w:rsidP="00192DC7">
            <w:pPr>
              <w:pStyle w:val="Tabletext"/>
              <w:spacing w:after="120"/>
              <w:rPr>
                <w:rFonts w:cs="Arial"/>
                <w:sz w:val="20"/>
                <w:szCs w:val="20"/>
              </w:rPr>
            </w:pPr>
            <w:r w:rsidRPr="00190D4B">
              <w:rPr>
                <w:rFonts w:cs="Arial"/>
                <w:sz w:val="20"/>
                <w:szCs w:val="20"/>
              </w:rPr>
              <w:t>SCM2</w:t>
            </w:r>
          </w:p>
        </w:tc>
        <w:tc>
          <w:tcPr>
            <w:tcW w:w="1111" w:type="pct"/>
          </w:tcPr>
          <w:p w14:paraId="646576F6" w14:textId="30C9024E"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Communication/information/involvement of family members and </w:t>
            </w:r>
            <w:r w:rsidRPr="00190D4B">
              <w:rPr>
                <w:rFonts w:cs="Arial"/>
                <w:sz w:val="20"/>
                <w:szCs w:val="20"/>
              </w:rPr>
              <w:lastRenderedPageBreak/>
              <w:t>carers particularly for higher risk patients</w:t>
            </w:r>
          </w:p>
        </w:tc>
        <w:tc>
          <w:tcPr>
            <w:tcW w:w="1402" w:type="pct"/>
          </w:tcPr>
          <w:p w14:paraId="4CE640BA"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lastRenderedPageBreak/>
              <w:t xml:space="preserve">Surgical care pathway should make provision for patient care preparation and </w:t>
            </w:r>
            <w:r w:rsidRPr="00190D4B">
              <w:rPr>
                <w:rFonts w:cs="Arial"/>
                <w:sz w:val="20"/>
                <w:szCs w:val="20"/>
              </w:rPr>
              <w:lastRenderedPageBreak/>
              <w:t>education. Inclusion of family and care members is very important in this process.</w:t>
            </w:r>
          </w:p>
          <w:p w14:paraId="384DF464" w14:textId="77777777" w:rsidR="00A5281F" w:rsidRPr="00190D4B" w:rsidRDefault="00A5281F" w:rsidP="00192DC7">
            <w:pPr>
              <w:pStyle w:val="Paragraphnonumbers"/>
              <w:spacing w:after="120" w:line="240" w:lineRule="auto"/>
              <w:rPr>
                <w:rFonts w:cs="Arial"/>
                <w:sz w:val="20"/>
                <w:szCs w:val="20"/>
              </w:rPr>
            </w:pPr>
            <w:r w:rsidRPr="00190D4B">
              <w:rPr>
                <w:rFonts w:cs="Arial"/>
                <w:b/>
                <w:bCs/>
                <w:sz w:val="20"/>
                <w:szCs w:val="20"/>
              </w:rPr>
              <w:t>Surgery schools</w:t>
            </w:r>
            <w:r w:rsidRPr="00190D4B">
              <w:rPr>
                <w:rFonts w:cs="Arial"/>
                <w:sz w:val="20"/>
                <w:szCs w:val="20"/>
              </w:rPr>
              <w:t xml:space="preserve"> are a method of achieving this and are advised by CPOC/RCOA</w:t>
            </w:r>
          </w:p>
          <w:p w14:paraId="21A56B7C"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Recent publications supports their role in </w:t>
            </w:r>
            <w:proofErr w:type="spellStart"/>
            <w:r w:rsidRPr="00190D4B">
              <w:rPr>
                <w:rFonts w:cs="Arial"/>
                <w:sz w:val="20"/>
                <w:szCs w:val="20"/>
              </w:rPr>
              <w:t>periop</w:t>
            </w:r>
            <w:proofErr w:type="spellEnd"/>
            <w:r w:rsidRPr="00190D4B">
              <w:rPr>
                <w:rFonts w:cs="Arial"/>
                <w:sz w:val="20"/>
                <w:szCs w:val="20"/>
              </w:rPr>
              <w:t xml:space="preserve"> practice.</w:t>
            </w:r>
          </w:p>
          <w:p w14:paraId="2391AC23" w14:textId="62192EA4" w:rsidR="00A5281F" w:rsidRPr="00190D4B" w:rsidRDefault="00A5281F" w:rsidP="00192DC7">
            <w:pPr>
              <w:pStyle w:val="Paragraphnonumbers"/>
              <w:spacing w:after="120" w:line="240" w:lineRule="auto"/>
              <w:rPr>
                <w:rFonts w:cs="Arial"/>
                <w:sz w:val="20"/>
                <w:szCs w:val="20"/>
              </w:rPr>
            </w:pPr>
            <w:r w:rsidRPr="00190D4B">
              <w:rPr>
                <w:rFonts w:cs="Arial"/>
                <w:color w:val="1C1D1E"/>
                <w:sz w:val="20"/>
                <w:szCs w:val="20"/>
                <w:shd w:val="clear" w:color="auto" w:fill="FFFFFF"/>
              </w:rPr>
              <w:t>Fecher-Jones, I., Ainsworth, B., Gan, T.J., Moonesinghe, S.R., Shaw, A.D., Grocott, M.P.W., Levett, D.Z.H. and the Perioperative Quality Initiative Surgery School Consensus Group (2025), Perioperative Quality Initiative consensus statement recommendations on the definition, development, implementation and outcomes of pre-operative surgery schools. Anaesthesia. </w:t>
            </w:r>
            <w:hyperlink r:id="rId125" w:history="1">
              <w:r w:rsidRPr="00190D4B">
                <w:rPr>
                  <w:rFonts w:cs="Arial"/>
                  <w:color w:val="000000"/>
                  <w:sz w:val="20"/>
                  <w:szCs w:val="20"/>
                  <w:u w:val="single"/>
                  <w:shd w:val="clear" w:color="auto" w:fill="FFFFFF"/>
                </w:rPr>
                <w:t>https://doi.org/10.1111/anae.16648</w:t>
              </w:r>
            </w:hyperlink>
          </w:p>
        </w:tc>
        <w:tc>
          <w:tcPr>
            <w:tcW w:w="916" w:type="pct"/>
          </w:tcPr>
          <w:p w14:paraId="26857C5B" w14:textId="4B2EC390" w:rsidR="00A5281F" w:rsidRPr="00190D4B" w:rsidRDefault="00A5281F" w:rsidP="00192DC7">
            <w:pPr>
              <w:pStyle w:val="Paragraphnonumbers"/>
              <w:spacing w:after="120" w:line="240" w:lineRule="auto"/>
              <w:rPr>
                <w:rFonts w:cs="Arial"/>
                <w:sz w:val="20"/>
                <w:szCs w:val="20"/>
              </w:rPr>
            </w:pPr>
            <w:r w:rsidRPr="00190D4B">
              <w:rPr>
                <w:rFonts w:cs="Arial"/>
                <w:sz w:val="20"/>
                <w:szCs w:val="20"/>
              </w:rPr>
              <w:lastRenderedPageBreak/>
              <w:t>Quality marker in hospitals.</w:t>
            </w:r>
          </w:p>
        </w:tc>
        <w:tc>
          <w:tcPr>
            <w:tcW w:w="896" w:type="pct"/>
          </w:tcPr>
          <w:p w14:paraId="6A006707" w14:textId="77777777" w:rsidR="00A5281F" w:rsidRPr="00190D4B" w:rsidRDefault="00A5281F" w:rsidP="00192DC7">
            <w:pPr>
              <w:pStyle w:val="Tabletext"/>
              <w:spacing w:after="120"/>
              <w:rPr>
                <w:rFonts w:cs="Arial"/>
                <w:sz w:val="20"/>
                <w:szCs w:val="20"/>
              </w:rPr>
            </w:pPr>
          </w:p>
        </w:tc>
      </w:tr>
      <w:tr w:rsidR="00A5281F" w:rsidRPr="00190D4B" w14:paraId="6693D3E7" w14:textId="77777777" w:rsidTr="00477F9C">
        <w:trPr>
          <w:trHeight w:val="282"/>
        </w:trPr>
        <w:tc>
          <w:tcPr>
            <w:tcW w:w="192" w:type="pct"/>
          </w:tcPr>
          <w:p w14:paraId="46D98078" w14:textId="1135A925" w:rsidR="00A5281F" w:rsidRPr="00190D4B" w:rsidRDefault="002C610D" w:rsidP="00192DC7">
            <w:pPr>
              <w:pStyle w:val="Tabletext"/>
              <w:spacing w:after="120"/>
              <w:rPr>
                <w:rFonts w:cs="Arial"/>
                <w:sz w:val="20"/>
                <w:szCs w:val="20"/>
                <w:lang w:eastAsia="en-GB"/>
              </w:rPr>
            </w:pPr>
            <w:r>
              <w:rPr>
                <w:rFonts w:cs="Arial"/>
                <w:sz w:val="20"/>
                <w:szCs w:val="20"/>
                <w:lang w:eastAsia="en-GB"/>
              </w:rPr>
              <w:t>51</w:t>
            </w:r>
          </w:p>
        </w:tc>
        <w:tc>
          <w:tcPr>
            <w:tcW w:w="483" w:type="pct"/>
          </w:tcPr>
          <w:p w14:paraId="21224EEB" w14:textId="04EE7685" w:rsidR="00A5281F" w:rsidRPr="00190D4B" w:rsidRDefault="00A5281F" w:rsidP="00192DC7">
            <w:pPr>
              <w:pStyle w:val="Tabletext"/>
              <w:spacing w:after="120"/>
              <w:rPr>
                <w:rFonts w:cs="Arial"/>
                <w:sz w:val="20"/>
                <w:szCs w:val="20"/>
              </w:rPr>
            </w:pPr>
            <w:r w:rsidRPr="00190D4B">
              <w:rPr>
                <w:rFonts w:cs="Arial"/>
                <w:sz w:val="20"/>
                <w:szCs w:val="20"/>
              </w:rPr>
              <w:t>SCM3</w:t>
            </w:r>
          </w:p>
        </w:tc>
        <w:tc>
          <w:tcPr>
            <w:tcW w:w="1111" w:type="pct"/>
          </w:tcPr>
          <w:p w14:paraId="3CAE06BB"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Communication and giving information</w:t>
            </w:r>
          </w:p>
          <w:p w14:paraId="3C3A403F" w14:textId="7B44FF4F" w:rsidR="00A5281F" w:rsidRPr="00190D4B" w:rsidRDefault="00A5281F" w:rsidP="00192DC7">
            <w:pPr>
              <w:pStyle w:val="Paragraphnonumbers"/>
              <w:spacing w:after="120" w:line="240" w:lineRule="auto"/>
              <w:rPr>
                <w:rFonts w:cs="Arial"/>
                <w:sz w:val="20"/>
                <w:szCs w:val="20"/>
              </w:rPr>
            </w:pPr>
            <w:r w:rsidRPr="00190D4B">
              <w:rPr>
                <w:rFonts w:cs="Arial"/>
                <w:sz w:val="20"/>
                <w:szCs w:val="20"/>
              </w:rPr>
              <w:t>Effective two way communication processes are vital if consistent high quality perioperative care outcomes are to be achieved.</w:t>
            </w:r>
          </w:p>
        </w:tc>
        <w:tc>
          <w:tcPr>
            <w:tcW w:w="1402" w:type="pct"/>
          </w:tcPr>
          <w:p w14:paraId="5AC4D9B1"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Effective communication and information sharing with patients plays an integral part in the delivery of positive perioperative care outcomes, ensuring patient safety and in reducing patient fear and anxiety during the treatment pathway. The perioperative pathway from start to finish is often long, complex, and involves inputs from a multi -disciplinary team at various stages of the process. This requires thorough planning, and at all stages must be patient centred and ensure that the patient and their family are always provided with that is needed to make informed decisions and will benefit </w:t>
            </w:r>
            <w:r w:rsidRPr="00190D4B">
              <w:rPr>
                <w:rFonts w:cs="Arial"/>
                <w:sz w:val="20"/>
                <w:szCs w:val="20"/>
              </w:rPr>
              <w:lastRenderedPageBreak/>
              <w:t>from introduction of a “key patient contact person” from the outset.</w:t>
            </w:r>
          </w:p>
          <w:p w14:paraId="4CE03CEF"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See – Patient experiences during the planned perioperative care pathway: An integrative review</w:t>
            </w:r>
          </w:p>
          <w:p w14:paraId="21BF978A" w14:textId="518E6A4D" w:rsidR="00A5281F" w:rsidRPr="00190D4B" w:rsidRDefault="00A5281F" w:rsidP="00192DC7">
            <w:pPr>
              <w:pStyle w:val="Paragraphnonumbers"/>
              <w:spacing w:after="120" w:line="240" w:lineRule="auto"/>
              <w:rPr>
                <w:rFonts w:cs="Arial"/>
                <w:sz w:val="20"/>
                <w:szCs w:val="20"/>
              </w:rPr>
            </w:pPr>
            <w:r w:rsidRPr="00190D4B">
              <w:rPr>
                <w:rFonts w:cs="Arial"/>
                <w:sz w:val="20"/>
                <w:szCs w:val="20"/>
              </w:rPr>
              <w:t>https:doi.org/101111/jan.16071</w:t>
            </w:r>
          </w:p>
        </w:tc>
        <w:tc>
          <w:tcPr>
            <w:tcW w:w="916" w:type="pct"/>
          </w:tcPr>
          <w:p w14:paraId="47A7E1F5"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lastRenderedPageBreak/>
              <w:t xml:space="preserve">Patient feedback collected via friends and family and other information collection processes in hospital trusts up and down the country regularly shows that around 65% of adverse patient experience can be traced back to communication and information processes. For patients with a learning disability, sensory loss, dementia, low receptive and expressive language capacity (and many other </w:t>
            </w:r>
            <w:r w:rsidRPr="00190D4B">
              <w:rPr>
                <w:rFonts w:cs="Arial"/>
                <w:sz w:val="20"/>
                <w:szCs w:val="20"/>
              </w:rPr>
              <w:lastRenderedPageBreak/>
              <w:t>conditions) communication and information process difficulties are often more common, and potentially have adverse effects on health outcomes.</w:t>
            </w:r>
          </w:p>
          <w:p w14:paraId="0E943F29"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Lack of information and understand can adversely affect patient ability to prepare for the physical and psychological impact of surgery and recovery.</w:t>
            </w:r>
          </w:p>
          <w:p w14:paraId="4E255D20" w14:textId="6847C27C" w:rsidR="00A5281F" w:rsidRPr="00190D4B" w:rsidRDefault="00A5281F" w:rsidP="00192DC7">
            <w:pPr>
              <w:pStyle w:val="Paragraphnonumbers"/>
              <w:spacing w:after="120" w:line="240" w:lineRule="auto"/>
              <w:rPr>
                <w:rFonts w:cs="Arial"/>
                <w:sz w:val="20"/>
                <w:szCs w:val="20"/>
              </w:rPr>
            </w:pPr>
            <w:r w:rsidRPr="00190D4B">
              <w:rPr>
                <w:rFonts w:cs="Arial"/>
                <w:sz w:val="20"/>
                <w:szCs w:val="20"/>
              </w:rPr>
              <w:t>The WHO Surgical safety checklist recognises the significance of robust patient communication processes and their link to improved care outcomes.</w:t>
            </w:r>
          </w:p>
        </w:tc>
        <w:tc>
          <w:tcPr>
            <w:tcW w:w="896" w:type="pct"/>
          </w:tcPr>
          <w:p w14:paraId="58529B34" w14:textId="77777777" w:rsidR="00A5281F" w:rsidRPr="00A5281F" w:rsidRDefault="00A5281F" w:rsidP="00192DC7">
            <w:pPr>
              <w:spacing w:after="120"/>
              <w:rPr>
                <w:rFonts w:ascii="Arial" w:hAnsi="Arial" w:cs="Arial"/>
                <w:sz w:val="20"/>
                <w:szCs w:val="20"/>
                <w:lang w:eastAsia="en-GB"/>
              </w:rPr>
            </w:pPr>
            <w:r w:rsidRPr="00A5281F">
              <w:rPr>
                <w:rFonts w:ascii="Arial" w:hAnsi="Arial" w:cs="Arial"/>
                <w:sz w:val="20"/>
                <w:szCs w:val="20"/>
                <w:lang w:eastAsia="en-GB"/>
              </w:rPr>
              <w:lastRenderedPageBreak/>
              <w:t>WHO Surgical safety Checklist (2008)</w:t>
            </w:r>
          </w:p>
          <w:p w14:paraId="74190183" w14:textId="77777777" w:rsidR="00A5281F" w:rsidRPr="00A5281F" w:rsidRDefault="00A5281F" w:rsidP="00192DC7">
            <w:pPr>
              <w:spacing w:after="120"/>
              <w:rPr>
                <w:rFonts w:ascii="Arial" w:hAnsi="Arial" w:cs="Arial"/>
                <w:sz w:val="20"/>
                <w:szCs w:val="20"/>
                <w:lang w:eastAsia="en-GB"/>
              </w:rPr>
            </w:pPr>
            <w:r w:rsidRPr="00A5281F">
              <w:rPr>
                <w:rFonts w:ascii="Arial" w:hAnsi="Arial" w:cs="Arial"/>
                <w:sz w:val="20"/>
                <w:szCs w:val="20"/>
                <w:lang w:eastAsia="en-GB"/>
              </w:rPr>
              <w:t>NICE guidelines on patient experience in adult NHS services</w:t>
            </w:r>
          </w:p>
          <w:p w14:paraId="7E5C06CE" w14:textId="267155B4" w:rsidR="00A5281F" w:rsidRPr="00A5281F" w:rsidRDefault="00A5281F" w:rsidP="00192DC7">
            <w:pPr>
              <w:spacing w:after="120"/>
              <w:rPr>
                <w:rFonts w:ascii="Arial" w:hAnsi="Arial" w:cs="Arial"/>
                <w:sz w:val="20"/>
                <w:szCs w:val="20"/>
                <w:lang w:eastAsia="en-GB"/>
              </w:rPr>
            </w:pPr>
            <w:hyperlink r:id="rId126" w:history="1">
              <w:r w:rsidRPr="00A5281F">
                <w:rPr>
                  <w:rStyle w:val="Hyperlink"/>
                  <w:rFonts w:ascii="Arial" w:hAnsi="Arial" w:cs="Arial"/>
                  <w:sz w:val="20"/>
                  <w:szCs w:val="20"/>
                  <w:lang w:eastAsia="en-GB"/>
                </w:rPr>
                <w:t>https://www.nice.org.uk/guidance/cg138</w:t>
              </w:r>
            </w:hyperlink>
          </w:p>
          <w:p w14:paraId="2B7E15BB" w14:textId="77777777" w:rsidR="00A5281F" w:rsidRPr="00A5281F" w:rsidRDefault="00A5281F" w:rsidP="00192DC7">
            <w:pPr>
              <w:spacing w:after="120"/>
              <w:rPr>
                <w:rFonts w:ascii="Arial" w:hAnsi="Arial" w:cs="Arial"/>
                <w:sz w:val="20"/>
                <w:szCs w:val="20"/>
                <w:lang w:eastAsia="en-GB"/>
              </w:rPr>
            </w:pPr>
            <w:r w:rsidRPr="00A5281F">
              <w:rPr>
                <w:rFonts w:ascii="Arial" w:hAnsi="Arial" w:cs="Arial"/>
                <w:sz w:val="20"/>
                <w:szCs w:val="20"/>
                <w:lang w:eastAsia="en-GB"/>
              </w:rPr>
              <w:t>Patients’ experience and needs during perioperative care: A focus group study</w:t>
            </w:r>
          </w:p>
          <w:p w14:paraId="0A728638" w14:textId="1F147B61" w:rsidR="00A5281F" w:rsidRPr="00190D4B" w:rsidRDefault="00A5281F" w:rsidP="00192DC7">
            <w:pPr>
              <w:pStyle w:val="Tabletext"/>
              <w:spacing w:after="120"/>
              <w:rPr>
                <w:rFonts w:cs="Arial"/>
                <w:sz w:val="20"/>
                <w:szCs w:val="20"/>
              </w:rPr>
            </w:pPr>
            <w:r w:rsidRPr="00190D4B">
              <w:rPr>
                <w:rFonts w:cs="Arial"/>
                <w:sz w:val="20"/>
                <w:szCs w:val="20"/>
              </w:rPr>
              <w:t>PMCID:PMC7266520 PMID32546983</w:t>
            </w:r>
          </w:p>
        </w:tc>
      </w:tr>
      <w:tr w:rsidR="00A5281F" w:rsidRPr="00190D4B" w14:paraId="45C3C30C" w14:textId="77777777" w:rsidTr="00477F9C">
        <w:trPr>
          <w:trHeight w:val="282"/>
        </w:trPr>
        <w:tc>
          <w:tcPr>
            <w:tcW w:w="192" w:type="pct"/>
          </w:tcPr>
          <w:p w14:paraId="54B6435F" w14:textId="616657F3" w:rsidR="00A5281F" w:rsidRPr="00190D4B" w:rsidRDefault="00A5281F" w:rsidP="00192DC7">
            <w:pPr>
              <w:pStyle w:val="Tabletext"/>
              <w:spacing w:after="120"/>
              <w:rPr>
                <w:rFonts w:cs="Arial"/>
                <w:sz w:val="20"/>
                <w:szCs w:val="20"/>
                <w:lang w:eastAsia="en-GB"/>
              </w:rPr>
            </w:pPr>
            <w:r w:rsidRPr="00190D4B">
              <w:rPr>
                <w:rFonts w:cs="Arial"/>
                <w:sz w:val="20"/>
                <w:szCs w:val="20"/>
                <w:lang w:eastAsia="en-GB"/>
              </w:rPr>
              <w:t>5</w:t>
            </w:r>
            <w:r w:rsidR="002C610D">
              <w:rPr>
                <w:rFonts w:cs="Arial"/>
                <w:sz w:val="20"/>
                <w:szCs w:val="20"/>
                <w:lang w:eastAsia="en-GB"/>
              </w:rPr>
              <w:t>2</w:t>
            </w:r>
          </w:p>
        </w:tc>
        <w:tc>
          <w:tcPr>
            <w:tcW w:w="483" w:type="pct"/>
          </w:tcPr>
          <w:p w14:paraId="6F437A63" w14:textId="3158E699" w:rsidR="00A5281F" w:rsidRPr="00190D4B" w:rsidRDefault="00A5281F" w:rsidP="00192DC7">
            <w:pPr>
              <w:pStyle w:val="Tabletext"/>
              <w:spacing w:after="120"/>
              <w:rPr>
                <w:rFonts w:cs="Arial"/>
                <w:sz w:val="20"/>
                <w:szCs w:val="20"/>
              </w:rPr>
            </w:pPr>
            <w:r w:rsidRPr="00190D4B">
              <w:rPr>
                <w:rFonts w:cs="Arial"/>
                <w:sz w:val="20"/>
                <w:szCs w:val="20"/>
              </w:rPr>
              <w:t>SCM5</w:t>
            </w:r>
          </w:p>
        </w:tc>
        <w:tc>
          <w:tcPr>
            <w:tcW w:w="1111" w:type="pct"/>
          </w:tcPr>
          <w:p w14:paraId="0ABB10DE" w14:textId="3D89D896" w:rsidR="00A5281F" w:rsidRPr="00190D4B" w:rsidRDefault="00A5281F" w:rsidP="00192DC7">
            <w:pPr>
              <w:pStyle w:val="Paragraphnonumbers"/>
              <w:spacing w:after="120" w:line="240" w:lineRule="auto"/>
              <w:rPr>
                <w:rFonts w:cs="Arial"/>
                <w:sz w:val="20"/>
                <w:szCs w:val="20"/>
              </w:rPr>
            </w:pPr>
            <w:r w:rsidRPr="00190D4B">
              <w:rPr>
                <w:rFonts w:cs="Arial"/>
                <w:sz w:val="20"/>
                <w:szCs w:val="20"/>
              </w:rPr>
              <w:t>The establishment and regular review of work delivered by a named lead for perioperative care (with no specialty bias) to lead and deliver a whole pathway approach from contemplation of surgery to recovery</w:t>
            </w:r>
          </w:p>
        </w:tc>
        <w:tc>
          <w:tcPr>
            <w:tcW w:w="1402" w:type="pct"/>
          </w:tcPr>
          <w:p w14:paraId="5DC5CC4A" w14:textId="77777777" w:rsidR="002E485A" w:rsidRDefault="00A5281F" w:rsidP="00192DC7">
            <w:pPr>
              <w:pStyle w:val="Paragraphnonumbers"/>
              <w:spacing w:after="120" w:line="240" w:lineRule="auto"/>
              <w:rPr>
                <w:rFonts w:cs="Arial"/>
                <w:sz w:val="20"/>
                <w:szCs w:val="20"/>
              </w:rPr>
            </w:pPr>
            <w:r w:rsidRPr="00190D4B">
              <w:rPr>
                <w:rFonts w:cs="Arial"/>
                <w:sz w:val="20"/>
                <w:szCs w:val="20"/>
              </w:rPr>
              <w:t xml:space="preserve">A lack of a whole pathway approach leads to </w:t>
            </w:r>
          </w:p>
          <w:p w14:paraId="3F53E6CA" w14:textId="00371FA6"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inefficient transfer of information </w:t>
            </w:r>
          </w:p>
          <w:p w14:paraId="10C9A06A" w14:textId="083B1A70"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 inefficient use of the workforce </w:t>
            </w:r>
          </w:p>
          <w:p w14:paraId="221BAB7F" w14:textId="561AB84A"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poor outcomes </w:t>
            </w:r>
          </w:p>
          <w:p w14:paraId="7764D302" w14:textId="77777777" w:rsidR="002E485A" w:rsidRDefault="00A5281F" w:rsidP="00192DC7">
            <w:pPr>
              <w:pStyle w:val="Paragraphnonumbers"/>
              <w:spacing w:after="120" w:line="240" w:lineRule="auto"/>
              <w:rPr>
                <w:rFonts w:cs="Arial"/>
                <w:sz w:val="20"/>
                <w:szCs w:val="20"/>
              </w:rPr>
            </w:pPr>
            <w:r w:rsidRPr="00190D4B">
              <w:rPr>
                <w:rFonts w:cs="Arial"/>
                <w:sz w:val="20"/>
                <w:szCs w:val="20"/>
              </w:rPr>
              <w:t xml:space="preserve">unnecessary intervention </w:t>
            </w:r>
          </w:p>
          <w:p w14:paraId="4582D383" w14:textId="71FFE730" w:rsidR="00A5281F" w:rsidRPr="00190D4B" w:rsidRDefault="00A5281F" w:rsidP="00192DC7">
            <w:pPr>
              <w:pStyle w:val="Paragraphnonumbers"/>
              <w:spacing w:after="120" w:line="240" w:lineRule="auto"/>
              <w:rPr>
                <w:rFonts w:cs="Arial"/>
                <w:sz w:val="20"/>
                <w:szCs w:val="20"/>
              </w:rPr>
            </w:pPr>
            <w:r w:rsidRPr="00190D4B">
              <w:rPr>
                <w:rFonts w:cs="Arial"/>
                <w:sz w:val="20"/>
                <w:szCs w:val="20"/>
              </w:rPr>
              <w:t>unwarranted variation</w:t>
            </w:r>
          </w:p>
        </w:tc>
        <w:tc>
          <w:tcPr>
            <w:tcW w:w="916" w:type="pct"/>
          </w:tcPr>
          <w:p w14:paraId="3BA2E61A"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Data sources span </w:t>
            </w:r>
          </w:p>
          <w:p w14:paraId="73624FFB" w14:textId="38B45746" w:rsidR="00A5281F" w:rsidRPr="00190D4B" w:rsidRDefault="00A5281F" w:rsidP="00192DC7">
            <w:pPr>
              <w:pStyle w:val="Paragraphnonumbers"/>
              <w:spacing w:after="120" w:line="240" w:lineRule="auto"/>
              <w:rPr>
                <w:rFonts w:cs="Arial"/>
                <w:sz w:val="20"/>
                <w:szCs w:val="20"/>
              </w:rPr>
            </w:pPr>
            <w:r w:rsidRPr="00190D4B">
              <w:rPr>
                <w:rFonts w:cs="Arial"/>
                <w:sz w:val="20"/>
                <w:szCs w:val="20"/>
              </w:rPr>
              <w:t>HQIP audits (for each surgical subspecialty)</w:t>
            </w:r>
          </w:p>
          <w:p w14:paraId="1DA3368A" w14:textId="7CF2F6D4" w:rsidR="00A5281F" w:rsidRPr="00190D4B" w:rsidRDefault="00A5281F" w:rsidP="00192DC7">
            <w:pPr>
              <w:pStyle w:val="Paragraphnonumbers"/>
              <w:spacing w:after="120" w:line="240" w:lineRule="auto"/>
              <w:rPr>
                <w:rFonts w:cs="Arial"/>
                <w:sz w:val="20"/>
                <w:szCs w:val="20"/>
              </w:rPr>
            </w:pPr>
            <w:r w:rsidRPr="00190D4B">
              <w:rPr>
                <w:rFonts w:cs="Arial"/>
                <w:sz w:val="20"/>
                <w:szCs w:val="20"/>
              </w:rPr>
              <w:t>registries</w:t>
            </w:r>
          </w:p>
          <w:p w14:paraId="19700468" w14:textId="21FE03DB"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NCEPOD reports </w:t>
            </w:r>
          </w:p>
          <w:p w14:paraId="7965CD10" w14:textId="326CF1E6" w:rsidR="00A5281F" w:rsidRPr="00190D4B" w:rsidRDefault="00A5281F" w:rsidP="00192DC7">
            <w:pPr>
              <w:pStyle w:val="Paragraphnonumbers"/>
              <w:spacing w:after="120" w:line="240" w:lineRule="auto"/>
              <w:rPr>
                <w:rFonts w:cs="Arial"/>
                <w:sz w:val="20"/>
                <w:szCs w:val="20"/>
              </w:rPr>
            </w:pPr>
            <w:r w:rsidRPr="00190D4B">
              <w:rPr>
                <w:rFonts w:cs="Arial"/>
                <w:sz w:val="20"/>
                <w:szCs w:val="20"/>
              </w:rPr>
              <w:t>complaints and litigation</w:t>
            </w:r>
          </w:p>
          <w:p w14:paraId="5178E35C" w14:textId="54A087AF" w:rsidR="00A5281F" w:rsidRPr="00190D4B" w:rsidRDefault="00A5281F" w:rsidP="00192DC7">
            <w:pPr>
              <w:pStyle w:val="Paragraphnonumbers"/>
              <w:spacing w:after="120" w:line="240" w:lineRule="auto"/>
              <w:rPr>
                <w:rFonts w:cs="Arial"/>
                <w:sz w:val="20"/>
                <w:szCs w:val="20"/>
              </w:rPr>
            </w:pPr>
            <w:r w:rsidRPr="00190D4B">
              <w:rPr>
                <w:rFonts w:cs="Arial"/>
                <w:sz w:val="20"/>
                <w:szCs w:val="20"/>
              </w:rPr>
              <w:t>HSSIB</w:t>
            </w:r>
          </w:p>
          <w:p w14:paraId="25B726B3" w14:textId="742336AF" w:rsidR="00A5281F" w:rsidRPr="00190D4B" w:rsidRDefault="00A5281F" w:rsidP="00192DC7">
            <w:pPr>
              <w:pStyle w:val="Paragraphnonumbers"/>
              <w:spacing w:after="120" w:line="240" w:lineRule="auto"/>
              <w:rPr>
                <w:rFonts w:cs="Arial"/>
                <w:sz w:val="20"/>
                <w:szCs w:val="20"/>
              </w:rPr>
            </w:pPr>
            <w:r w:rsidRPr="00190D4B">
              <w:rPr>
                <w:rFonts w:cs="Arial"/>
                <w:sz w:val="20"/>
                <w:szCs w:val="20"/>
              </w:rPr>
              <w:t>CQC</w:t>
            </w:r>
          </w:p>
          <w:p w14:paraId="46F931A4" w14:textId="43E51925" w:rsidR="00A5281F" w:rsidRPr="00190D4B" w:rsidRDefault="00A5281F" w:rsidP="00192DC7">
            <w:pPr>
              <w:pStyle w:val="Paragraphnonumbers"/>
              <w:spacing w:after="120" w:line="240" w:lineRule="auto"/>
              <w:rPr>
                <w:rFonts w:cs="Arial"/>
                <w:sz w:val="20"/>
                <w:szCs w:val="20"/>
              </w:rPr>
            </w:pPr>
            <w:r w:rsidRPr="00190D4B">
              <w:rPr>
                <w:rFonts w:cs="Arial"/>
                <w:sz w:val="20"/>
                <w:szCs w:val="20"/>
              </w:rPr>
              <w:t>GIRFT</w:t>
            </w:r>
          </w:p>
        </w:tc>
        <w:tc>
          <w:tcPr>
            <w:tcW w:w="896" w:type="pct"/>
          </w:tcPr>
          <w:p w14:paraId="60F22D61" w14:textId="77777777" w:rsidR="00A5281F" w:rsidRPr="00190D4B" w:rsidRDefault="00A5281F" w:rsidP="00192DC7">
            <w:pPr>
              <w:pStyle w:val="Tabletext"/>
              <w:spacing w:after="120"/>
              <w:rPr>
                <w:rFonts w:cs="Arial"/>
                <w:sz w:val="20"/>
                <w:szCs w:val="20"/>
              </w:rPr>
            </w:pPr>
          </w:p>
        </w:tc>
      </w:tr>
      <w:tr w:rsidR="00A5281F" w:rsidRPr="00190D4B" w14:paraId="34048210" w14:textId="77777777" w:rsidTr="00477F9C">
        <w:trPr>
          <w:trHeight w:val="282"/>
        </w:trPr>
        <w:tc>
          <w:tcPr>
            <w:tcW w:w="192" w:type="pct"/>
          </w:tcPr>
          <w:p w14:paraId="713EC737" w14:textId="02914E90" w:rsidR="00A5281F" w:rsidRPr="00190D4B" w:rsidRDefault="002C610D" w:rsidP="00192DC7">
            <w:pPr>
              <w:pStyle w:val="Tabletext"/>
              <w:spacing w:after="120"/>
              <w:rPr>
                <w:rFonts w:cs="Arial"/>
                <w:sz w:val="20"/>
                <w:szCs w:val="20"/>
                <w:lang w:eastAsia="en-GB"/>
              </w:rPr>
            </w:pPr>
            <w:r>
              <w:rPr>
                <w:rFonts w:cs="Arial"/>
                <w:sz w:val="20"/>
                <w:szCs w:val="20"/>
                <w:lang w:eastAsia="en-GB"/>
              </w:rPr>
              <w:t>53</w:t>
            </w:r>
          </w:p>
        </w:tc>
        <w:tc>
          <w:tcPr>
            <w:tcW w:w="483" w:type="pct"/>
          </w:tcPr>
          <w:p w14:paraId="106D8E5B" w14:textId="3A78AB7A" w:rsidR="00A5281F" w:rsidRPr="00190D4B" w:rsidRDefault="00815FC0" w:rsidP="00192DC7">
            <w:pPr>
              <w:pStyle w:val="Tabletext"/>
              <w:spacing w:after="120"/>
              <w:rPr>
                <w:rFonts w:cs="Arial"/>
                <w:sz w:val="20"/>
                <w:szCs w:val="20"/>
              </w:rPr>
            </w:pPr>
            <w:r w:rsidRPr="00190D4B">
              <w:rPr>
                <w:rFonts w:cs="Arial"/>
                <w:sz w:val="20"/>
                <w:szCs w:val="20"/>
              </w:rPr>
              <w:t>SCM6</w:t>
            </w:r>
          </w:p>
        </w:tc>
        <w:tc>
          <w:tcPr>
            <w:tcW w:w="1111" w:type="pct"/>
          </w:tcPr>
          <w:p w14:paraId="55FAF8D2" w14:textId="151708FE" w:rsidR="00A5281F" w:rsidRPr="00190D4B" w:rsidRDefault="00815FC0" w:rsidP="00192DC7">
            <w:pPr>
              <w:pStyle w:val="Paragraphnonumbers"/>
              <w:spacing w:after="120" w:line="240" w:lineRule="auto"/>
              <w:rPr>
                <w:rFonts w:cs="Arial"/>
                <w:sz w:val="20"/>
                <w:szCs w:val="20"/>
              </w:rPr>
            </w:pPr>
            <w:r w:rsidRPr="00190D4B">
              <w:rPr>
                <w:rFonts w:cs="Arial"/>
                <w:sz w:val="20"/>
                <w:szCs w:val="20"/>
              </w:rPr>
              <w:t>Shared multi-disciplinary decision-making pre-surgery</w:t>
            </w:r>
          </w:p>
        </w:tc>
        <w:tc>
          <w:tcPr>
            <w:tcW w:w="1402" w:type="pct"/>
          </w:tcPr>
          <w:p w14:paraId="1828803C" w14:textId="77777777" w:rsidR="00A5281F" w:rsidRPr="00190D4B" w:rsidRDefault="00A5281F" w:rsidP="00192DC7">
            <w:pPr>
              <w:pStyle w:val="Paragraphnonumbers"/>
              <w:spacing w:after="120" w:line="240" w:lineRule="auto"/>
              <w:rPr>
                <w:rFonts w:cs="Arial"/>
                <w:sz w:val="20"/>
                <w:szCs w:val="20"/>
              </w:rPr>
            </w:pPr>
          </w:p>
        </w:tc>
        <w:tc>
          <w:tcPr>
            <w:tcW w:w="916" w:type="pct"/>
          </w:tcPr>
          <w:p w14:paraId="64CC3F82" w14:textId="77777777" w:rsidR="00A5281F" w:rsidRPr="00190D4B" w:rsidRDefault="00A5281F" w:rsidP="00192DC7">
            <w:pPr>
              <w:pStyle w:val="Paragraphnonumbers"/>
              <w:spacing w:after="120" w:line="240" w:lineRule="auto"/>
              <w:rPr>
                <w:rFonts w:cs="Arial"/>
                <w:sz w:val="20"/>
                <w:szCs w:val="20"/>
              </w:rPr>
            </w:pPr>
          </w:p>
        </w:tc>
        <w:tc>
          <w:tcPr>
            <w:tcW w:w="896" w:type="pct"/>
          </w:tcPr>
          <w:p w14:paraId="0AAD4388" w14:textId="77777777" w:rsidR="00A5281F" w:rsidRPr="00190D4B" w:rsidRDefault="00A5281F" w:rsidP="00192DC7">
            <w:pPr>
              <w:pStyle w:val="Tabletext"/>
              <w:spacing w:after="120"/>
              <w:rPr>
                <w:rFonts w:cs="Arial"/>
                <w:sz w:val="20"/>
                <w:szCs w:val="20"/>
              </w:rPr>
            </w:pPr>
          </w:p>
        </w:tc>
      </w:tr>
      <w:tr w:rsidR="00193355" w:rsidRPr="00190D4B" w14:paraId="68B7B62E" w14:textId="77777777" w:rsidTr="00193355">
        <w:trPr>
          <w:trHeight w:val="282"/>
        </w:trPr>
        <w:tc>
          <w:tcPr>
            <w:tcW w:w="5000" w:type="pct"/>
            <w:gridSpan w:val="6"/>
          </w:tcPr>
          <w:p w14:paraId="4C515F09" w14:textId="713F3444" w:rsidR="00193355" w:rsidRPr="00190D4B" w:rsidRDefault="00193355" w:rsidP="00192DC7">
            <w:pPr>
              <w:pStyle w:val="Tabletext"/>
              <w:spacing w:after="120"/>
              <w:rPr>
                <w:rFonts w:cs="Arial"/>
                <w:b/>
                <w:bCs/>
                <w:sz w:val="20"/>
                <w:szCs w:val="20"/>
              </w:rPr>
            </w:pPr>
            <w:r w:rsidRPr="00190D4B">
              <w:rPr>
                <w:rFonts w:cs="Arial"/>
                <w:b/>
                <w:bCs/>
                <w:sz w:val="20"/>
                <w:szCs w:val="20"/>
              </w:rPr>
              <w:lastRenderedPageBreak/>
              <w:t>Additional areas</w:t>
            </w:r>
          </w:p>
        </w:tc>
      </w:tr>
      <w:tr w:rsidR="00A5281F" w:rsidRPr="00190D4B" w14:paraId="048628D5" w14:textId="77777777" w:rsidTr="00477F9C">
        <w:trPr>
          <w:trHeight w:val="282"/>
        </w:trPr>
        <w:tc>
          <w:tcPr>
            <w:tcW w:w="192" w:type="pct"/>
          </w:tcPr>
          <w:p w14:paraId="6AD501B6" w14:textId="38C4FA19" w:rsidR="00A5281F" w:rsidRPr="00190D4B" w:rsidRDefault="002C610D" w:rsidP="00192DC7">
            <w:pPr>
              <w:pStyle w:val="Tabletext"/>
              <w:spacing w:after="120"/>
              <w:rPr>
                <w:rFonts w:cs="Arial"/>
                <w:sz w:val="20"/>
                <w:szCs w:val="20"/>
                <w:lang w:eastAsia="en-GB"/>
              </w:rPr>
            </w:pPr>
            <w:r>
              <w:rPr>
                <w:rFonts w:cs="Arial"/>
                <w:sz w:val="20"/>
                <w:szCs w:val="20"/>
                <w:lang w:eastAsia="en-GB"/>
              </w:rPr>
              <w:t>54</w:t>
            </w:r>
          </w:p>
        </w:tc>
        <w:tc>
          <w:tcPr>
            <w:tcW w:w="483" w:type="pct"/>
          </w:tcPr>
          <w:p w14:paraId="08AF9EC1" w14:textId="1D6C8498" w:rsidR="00A5281F" w:rsidRPr="00190D4B" w:rsidRDefault="00193355" w:rsidP="00192DC7">
            <w:pPr>
              <w:pStyle w:val="Tabletext"/>
              <w:spacing w:after="120"/>
              <w:rPr>
                <w:rFonts w:cs="Arial"/>
                <w:sz w:val="20"/>
                <w:szCs w:val="20"/>
              </w:rPr>
            </w:pPr>
            <w:r w:rsidRPr="00190D4B">
              <w:rPr>
                <w:rFonts w:cs="Arial"/>
                <w:sz w:val="20"/>
                <w:szCs w:val="20"/>
              </w:rPr>
              <w:t>RCN</w:t>
            </w:r>
          </w:p>
        </w:tc>
        <w:tc>
          <w:tcPr>
            <w:tcW w:w="1111" w:type="pct"/>
          </w:tcPr>
          <w:p w14:paraId="5469FA80" w14:textId="52FE6838" w:rsidR="00A5281F" w:rsidRPr="00190D4B" w:rsidRDefault="00193355" w:rsidP="00192DC7">
            <w:pPr>
              <w:pStyle w:val="Paragraphnonumbers"/>
              <w:spacing w:after="120" w:line="240" w:lineRule="auto"/>
              <w:rPr>
                <w:rFonts w:cs="Arial"/>
                <w:sz w:val="20"/>
                <w:szCs w:val="20"/>
              </w:rPr>
            </w:pPr>
            <w:r w:rsidRPr="00190D4B">
              <w:rPr>
                <w:rFonts w:cs="Arial"/>
                <w:sz w:val="20"/>
                <w:szCs w:val="20"/>
              </w:rPr>
              <w:t>Workforce</w:t>
            </w:r>
          </w:p>
        </w:tc>
        <w:tc>
          <w:tcPr>
            <w:tcW w:w="1402" w:type="pct"/>
          </w:tcPr>
          <w:p w14:paraId="00BBD6AC" w14:textId="32FDEB6E" w:rsidR="00A5281F" w:rsidRPr="00190D4B" w:rsidRDefault="00193355" w:rsidP="00192DC7">
            <w:pPr>
              <w:pStyle w:val="Paragraphnonumbers"/>
              <w:spacing w:after="120" w:line="240" w:lineRule="auto"/>
              <w:rPr>
                <w:rFonts w:cs="Arial"/>
                <w:sz w:val="20"/>
                <w:szCs w:val="20"/>
              </w:rPr>
            </w:pPr>
            <w:r w:rsidRPr="00190D4B">
              <w:rPr>
                <w:rFonts w:cs="Arial"/>
                <w:sz w:val="20"/>
                <w:szCs w:val="20"/>
              </w:rPr>
              <w:t>Workforce has been identified as a key area for improvement by multiple guidelines relevant to the perioperative pathway. Specific to nursing, the RCN has developed Workforce Standards that are applicable to perioperative care settings</w:t>
            </w:r>
          </w:p>
        </w:tc>
        <w:tc>
          <w:tcPr>
            <w:tcW w:w="916" w:type="pct"/>
          </w:tcPr>
          <w:p w14:paraId="356EDB4A" w14:textId="77777777" w:rsidR="00193355" w:rsidRPr="00190D4B" w:rsidRDefault="00193355" w:rsidP="00192DC7">
            <w:pPr>
              <w:pStyle w:val="Paragraphnonumbers"/>
              <w:spacing w:after="120" w:line="240" w:lineRule="auto"/>
              <w:rPr>
                <w:rFonts w:cs="Arial"/>
                <w:sz w:val="20"/>
                <w:szCs w:val="20"/>
              </w:rPr>
            </w:pPr>
            <w:r w:rsidRPr="00190D4B">
              <w:rPr>
                <w:rFonts w:cs="Arial"/>
                <w:sz w:val="20"/>
                <w:szCs w:val="20"/>
              </w:rPr>
              <w:t>RCN Nursing Workforce Standards, set out what is required to secure a nursing workforce able to deliver the safe, effective, compassionate, person-centred nursing care that our patients and service users need and deserve and ensure they are listened to.</w:t>
            </w:r>
          </w:p>
          <w:p w14:paraId="4127339D" w14:textId="78DF6FD5" w:rsidR="00A5281F" w:rsidRPr="00190D4B" w:rsidRDefault="00193355" w:rsidP="00192DC7">
            <w:pPr>
              <w:pStyle w:val="Paragraphnonumbers"/>
              <w:spacing w:after="120" w:line="240" w:lineRule="auto"/>
              <w:rPr>
                <w:rFonts w:cs="Arial"/>
                <w:sz w:val="20"/>
                <w:szCs w:val="20"/>
              </w:rPr>
            </w:pPr>
            <w:r w:rsidRPr="00190D4B">
              <w:rPr>
                <w:rFonts w:cs="Arial"/>
                <w:sz w:val="20"/>
                <w:szCs w:val="20"/>
              </w:rPr>
              <w:t>always feel safe, cared for, and listened to</w:t>
            </w:r>
          </w:p>
        </w:tc>
        <w:tc>
          <w:tcPr>
            <w:tcW w:w="896" w:type="pct"/>
          </w:tcPr>
          <w:p w14:paraId="7FB55CD3" w14:textId="6D0F0871" w:rsidR="00193355" w:rsidRPr="00193355" w:rsidRDefault="00C8526C" w:rsidP="00192DC7">
            <w:pPr>
              <w:spacing w:after="120"/>
              <w:rPr>
                <w:rFonts w:ascii="Arial" w:hAnsi="Arial" w:cs="Arial"/>
                <w:sz w:val="20"/>
                <w:szCs w:val="20"/>
                <w:lang w:eastAsia="en-GB"/>
              </w:rPr>
            </w:pPr>
            <w:hyperlink r:id="rId127" w:history="1">
              <w:r w:rsidRPr="00193355">
                <w:rPr>
                  <w:rStyle w:val="Hyperlink"/>
                  <w:rFonts w:ascii="Arial" w:hAnsi="Arial" w:cs="Arial"/>
                  <w:sz w:val="20"/>
                  <w:szCs w:val="20"/>
                  <w:lang w:eastAsia="en-GB"/>
                </w:rPr>
                <w:t>https://www.rcn.org.uk/Professional-Development/publications/rcn-nursing-workforce-standards-uk-pub-011-930</w:t>
              </w:r>
            </w:hyperlink>
          </w:p>
          <w:p w14:paraId="17F3F18B" w14:textId="77777777" w:rsidR="00A5281F" w:rsidRPr="00190D4B" w:rsidRDefault="00A5281F" w:rsidP="00192DC7">
            <w:pPr>
              <w:pStyle w:val="Tabletext"/>
              <w:spacing w:after="120"/>
              <w:rPr>
                <w:rFonts w:cs="Arial"/>
                <w:sz w:val="20"/>
                <w:szCs w:val="20"/>
              </w:rPr>
            </w:pPr>
          </w:p>
        </w:tc>
      </w:tr>
      <w:tr w:rsidR="000C22DA" w:rsidRPr="00190D4B" w14:paraId="2A22BD9B" w14:textId="77777777" w:rsidTr="00477F9C">
        <w:trPr>
          <w:trHeight w:val="282"/>
        </w:trPr>
        <w:tc>
          <w:tcPr>
            <w:tcW w:w="192" w:type="pct"/>
          </w:tcPr>
          <w:p w14:paraId="29D923DC" w14:textId="28188897" w:rsidR="000C22DA" w:rsidRPr="00190D4B" w:rsidRDefault="002C610D" w:rsidP="00192DC7">
            <w:pPr>
              <w:pStyle w:val="Tabletext"/>
              <w:spacing w:after="120"/>
              <w:rPr>
                <w:rFonts w:cs="Arial"/>
                <w:sz w:val="20"/>
                <w:szCs w:val="20"/>
                <w:lang w:eastAsia="en-GB"/>
              </w:rPr>
            </w:pPr>
            <w:r>
              <w:rPr>
                <w:rFonts w:cs="Arial"/>
                <w:sz w:val="20"/>
                <w:szCs w:val="20"/>
                <w:lang w:eastAsia="en-GB"/>
              </w:rPr>
              <w:t>55</w:t>
            </w:r>
          </w:p>
        </w:tc>
        <w:tc>
          <w:tcPr>
            <w:tcW w:w="483" w:type="pct"/>
          </w:tcPr>
          <w:p w14:paraId="0A417668" w14:textId="46A43AB7" w:rsidR="000C22DA" w:rsidRPr="00190D4B" w:rsidRDefault="000C22DA" w:rsidP="00192DC7">
            <w:pPr>
              <w:pStyle w:val="Tabletext"/>
              <w:spacing w:after="120"/>
              <w:rPr>
                <w:rFonts w:cs="Arial"/>
                <w:sz w:val="20"/>
                <w:szCs w:val="20"/>
              </w:rPr>
            </w:pPr>
            <w:r w:rsidRPr="00190D4B">
              <w:rPr>
                <w:rFonts w:cs="Arial"/>
                <w:sz w:val="20"/>
                <w:szCs w:val="20"/>
              </w:rPr>
              <w:t>RCN</w:t>
            </w:r>
          </w:p>
        </w:tc>
        <w:tc>
          <w:tcPr>
            <w:tcW w:w="1111" w:type="pct"/>
          </w:tcPr>
          <w:p w14:paraId="0C683233" w14:textId="1B22D99A" w:rsidR="000C22DA" w:rsidRPr="00190D4B" w:rsidRDefault="000C22DA" w:rsidP="00192DC7">
            <w:pPr>
              <w:pStyle w:val="Paragraphnonumbers"/>
              <w:spacing w:after="120" w:line="240" w:lineRule="auto"/>
              <w:rPr>
                <w:rFonts w:cs="Arial"/>
                <w:sz w:val="20"/>
                <w:szCs w:val="20"/>
              </w:rPr>
            </w:pPr>
            <w:r w:rsidRPr="00190D4B">
              <w:rPr>
                <w:rFonts w:cs="Arial"/>
                <w:sz w:val="20"/>
                <w:szCs w:val="20"/>
              </w:rPr>
              <w:t>Sustainability in anaesthesia</w:t>
            </w:r>
          </w:p>
        </w:tc>
        <w:tc>
          <w:tcPr>
            <w:tcW w:w="1402" w:type="pct"/>
          </w:tcPr>
          <w:p w14:paraId="145A8DC5" w14:textId="102975DD" w:rsidR="000C22DA" w:rsidRPr="00190D4B" w:rsidRDefault="000C22DA" w:rsidP="00192DC7">
            <w:pPr>
              <w:pStyle w:val="Paragraphnonumbers"/>
              <w:spacing w:after="120" w:line="240" w:lineRule="auto"/>
              <w:rPr>
                <w:rFonts w:cs="Arial"/>
                <w:sz w:val="20"/>
                <w:szCs w:val="20"/>
              </w:rPr>
            </w:pPr>
            <w:r w:rsidRPr="00190D4B">
              <w:rPr>
                <w:rFonts w:cs="Arial"/>
                <w:sz w:val="20"/>
                <w:szCs w:val="20"/>
              </w:rPr>
              <w:t>Anaesthesia providers need to reduce the contribution their practice makes to global warming. Inhalational anaesthetics like desflurane and nitrous oxide have a significant global warming potential. Strategies to improve sustainability include using lower flow rates of these agents, opting for alternative agents with lower GWP (like sevoflurane or isoflurane), or utilizing total intravenous anaesthesia (TIVA) when appropriate.</w:t>
            </w:r>
          </w:p>
        </w:tc>
        <w:tc>
          <w:tcPr>
            <w:tcW w:w="916" w:type="pct"/>
          </w:tcPr>
          <w:p w14:paraId="70FD7DBA" w14:textId="77777777" w:rsidR="000C22DA" w:rsidRPr="00190D4B" w:rsidRDefault="000C22DA" w:rsidP="00192DC7">
            <w:pPr>
              <w:pStyle w:val="Paragraphnonumbers"/>
              <w:spacing w:after="120" w:line="240" w:lineRule="auto"/>
              <w:rPr>
                <w:rFonts w:cs="Arial"/>
                <w:sz w:val="20"/>
                <w:szCs w:val="20"/>
              </w:rPr>
            </w:pPr>
          </w:p>
        </w:tc>
        <w:tc>
          <w:tcPr>
            <w:tcW w:w="896" w:type="pct"/>
          </w:tcPr>
          <w:p w14:paraId="557376D3" w14:textId="77777777" w:rsidR="000C22DA" w:rsidRPr="00190D4B" w:rsidRDefault="000C22DA" w:rsidP="00192DC7">
            <w:pPr>
              <w:pStyle w:val="Paragraphnonumbers"/>
              <w:spacing w:after="120" w:line="240" w:lineRule="auto"/>
              <w:rPr>
                <w:rFonts w:cs="Arial"/>
                <w:sz w:val="20"/>
                <w:szCs w:val="20"/>
              </w:rPr>
            </w:pPr>
            <w:r w:rsidRPr="00190D4B">
              <w:rPr>
                <w:rFonts w:cs="Arial"/>
                <w:sz w:val="20"/>
                <w:szCs w:val="20"/>
              </w:rPr>
              <w:t>Hospitals can implement measures to reduce energy consumption in operating rooms and other areas where anaesthesia is administered, and ensure responsible water usage</w:t>
            </w:r>
          </w:p>
          <w:p w14:paraId="49A24EEC" w14:textId="77777777" w:rsidR="000C22DA" w:rsidRPr="00190D4B" w:rsidRDefault="000C22DA" w:rsidP="00192DC7">
            <w:pPr>
              <w:pStyle w:val="Paragraphnonumbers"/>
              <w:spacing w:after="120" w:line="240" w:lineRule="auto"/>
              <w:rPr>
                <w:rFonts w:cs="Arial"/>
                <w:sz w:val="20"/>
                <w:szCs w:val="20"/>
              </w:rPr>
            </w:pPr>
            <w:r w:rsidRPr="00190D4B">
              <w:rPr>
                <w:rFonts w:cs="Arial"/>
                <w:sz w:val="20"/>
                <w:szCs w:val="20"/>
              </w:rPr>
              <w:t>Choosing anaesthetic machines, equipment, and supplies from manufacturers committed to sustainability, and prioritizing reusable items over single-use disposables, can significantly reduce environmental impact</w:t>
            </w:r>
          </w:p>
          <w:p w14:paraId="72BA9E81" w14:textId="77777777" w:rsidR="000C22DA" w:rsidRPr="00190D4B" w:rsidRDefault="000C22DA" w:rsidP="00192DC7">
            <w:pPr>
              <w:pStyle w:val="Paragraphnonumbers"/>
              <w:spacing w:after="120" w:line="240" w:lineRule="auto"/>
              <w:rPr>
                <w:rFonts w:cs="Arial"/>
                <w:sz w:val="20"/>
                <w:szCs w:val="20"/>
              </w:rPr>
            </w:pPr>
            <w:r w:rsidRPr="00190D4B">
              <w:rPr>
                <w:rFonts w:cs="Arial"/>
                <w:sz w:val="20"/>
                <w:szCs w:val="20"/>
              </w:rPr>
              <w:lastRenderedPageBreak/>
              <w:t>Minimising waste by reducing plastic waste from single-use items, optimizing drug and material usage, and promoting recycling and proper disposal of medical waste.</w:t>
            </w:r>
          </w:p>
          <w:p w14:paraId="47CD4D7E" w14:textId="7C5FB4D8" w:rsidR="000C22DA" w:rsidRPr="00190D4B" w:rsidRDefault="000C22DA" w:rsidP="00192DC7">
            <w:pPr>
              <w:pStyle w:val="Tabletext"/>
              <w:spacing w:after="120"/>
              <w:rPr>
                <w:rFonts w:cs="Arial"/>
                <w:sz w:val="20"/>
                <w:szCs w:val="20"/>
              </w:rPr>
            </w:pPr>
            <w:hyperlink r:id="rId128" w:history="1">
              <w:r w:rsidRPr="00190D4B">
                <w:rPr>
                  <w:rStyle w:val="Hyperlink"/>
                  <w:rFonts w:cs="Arial"/>
                  <w:sz w:val="20"/>
                  <w:szCs w:val="20"/>
                </w:rPr>
                <w:t>Principles of environmentally</w:t>
              </w:r>
              <w:r w:rsidRPr="00190D4B">
                <w:rPr>
                  <w:rStyle w:val="Hyperlink"/>
                  <w:rFonts w:ascii="Cambria Math" w:hAnsi="Cambria Math" w:cs="Cambria Math"/>
                  <w:sz w:val="20"/>
                  <w:szCs w:val="20"/>
                </w:rPr>
                <w:t>‐</w:t>
              </w:r>
              <w:r w:rsidRPr="00190D4B">
                <w:rPr>
                  <w:rStyle w:val="Hyperlink"/>
                  <w:rFonts w:cs="Arial"/>
                  <w:sz w:val="20"/>
                  <w:szCs w:val="20"/>
                </w:rPr>
                <w:t>sustainable anaesthesia: a global consensus statement from the World Federation of Societies of Anaesthesiologists - White - 2022 - Anaesthesia - Wiley Online Library</w:t>
              </w:r>
            </w:hyperlink>
          </w:p>
        </w:tc>
      </w:tr>
    </w:tbl>
    <w:p w14:paraId="673CE316" w14:textId="7EB7EFCF" w:rsidR="0088696C" w:rsidRPr="00DC2522" w:rsidRDefault="0088696C" w:rsidP="000C22DA">
      <w:pPr>
        <w:pStyle w:val="Heading1"/>
      </w:pPr>
    </w:p>
    <w:sectPr w:rsidR="0088696C" w:rsidRPr="00DC2522" w:rsidSect="00AC6B77">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EEE7" w14:textId="77777777" w:rsidR="000B478F" w:rsidRDefault="000B478F" w:rsidP="00446BEE">
      <w:r>
        <w:separator/>
      </w:r>
    </w:p>
    <w:p w14:paraId="7CD205F5" w14:textId="77777777" w:rsidR="000B478F" w:rsidRDefault="000B478F"/>
  </w:endnote>
  <w:endnote w:type="continuationSeparator" w:id="0">
    <w:p w14:paraId="23C60EF5" w14:textId="77777777" w:rsidR="000B478F" w:rsidRDefault="000B478F" w:rsidP="00446BEE">
      <w:r>
        <w:continuationSeparator/>
      </w:r>
    </w:p>
    <w:p w14:paraId="003881C2" w14:textId="77777777" w:rsidR="000B478F" w:rsidRDefault="000B4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1AB1"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FC18"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29F7035B"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B395" w14:textId="77777777" w:rsidR="000B478F" w:rsidRDefault="000B478F" w:rsidP="00446BEE">
      <w:r>
        <w:separator/>
      </w:r>
    </w:p>
    <w:p w14:paraId="6AB02023" w14:textId="77777777" w:rsidR="000B478F" w:rsidRDefault="000B478F"/>
  </w:footnote>
  <w:footnote w:type="continuationSeparator" w:id="0">
    <w:p w14:paraId="4DDA3DFD" w14:textId="77777777" w:rsidR="000B478F" w:rsidRDefault="000B478F" w:rsidP="00446BEE">
      <w:r>
        <w:continuationSeparator/>
      </w:r>
    </w:p>
    <w:p w14:paraId="4888EC14" w14:textId="77777777" w:rsidR="000B478F" w:rsidRDefault="000B47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658"/>
    <w:multiLevelType w:val="hybridMultilevel"/>
    <w:tmpl w:val="333AAD1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7B11C7"/>
    <w:multiLevelType w:val="hybridMultilevel"/>
    <w:tmpl w:val="5282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1D4A"/>
    <w:multiLevelType w:val="hybridMultilevel"/>
    <w:tmpl w:val="AB489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41CA"/>
    <w:multiLevelType w:val="hybridMultilevel"/>
    <w:tmpl w:val="EB4E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36602"/>
    <w:multiLevelType w:val="hybridMultilevel"/>
    <w:tmpl w:val="2F16D9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56BB2"/>
    <w:multiLevelType w:val="hybridMultilevel"/>
    <w:tmpl w:val="9DDC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503CA"/>
    <w:multiLevelType w:val="hybridMultilevel"/>
    <w:tmpl w:val="64905E9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87591"/>
    <w:multiLevelType w:val="hybridMultilevel"/>
    <w:tmpl w:val="ABDE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21222"/>
    <w:multiLevelType w:val="hybridMultilevel"/>
    <w:tmpl w:val="BD54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E38FF"/>
    <w:multiLevelType w:val="hybridMultilevel"/>
    <w:tmpl w:val="9102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C6D1E"/>
    <w:multiLevelType w:val="hybridMultilevel"/>
    <w:tmpl w:val="DD8C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C098D"/>
    <w:multiLevelType w:val="hybridMultilevel"/>
    <w:tmpl w:val="4C02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C84A39"/>
    <w:multiLevelType w:val="hybridMultilevel"/>
    <w:tmpl w:val="8014E28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2B3509"/>
    <w:multiLevelType w:val="hybridMultilevel"/>
    <w:tmpl w:val="CCB6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455E9"/>
    <w:multiLevelType w:val="hybridMultilevel"/>
    <w:tmpl w:val="6410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32E96"/>
    <w:multiLevelType w:val="hybridMultilevel"/>
    <w:tmpl w:val="7992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AE72E7"/>
    <w:multiLevelType w:val="hybridMultilevel"/>
    <w:tmpl w:val="D4DC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421EB"/>
    <w:multiLevelType w:val="hybridMultilevel"/>
    <w:tmpl w:val="CDEC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70B9D"/>
    <w:multiLevelType w:val="hybridMultilevel"/>
    <w:tmpl w:val="7E68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D233C"/>
    <w:multiLevelType w:val="hybridMultilevel"/>
    <w:tmpl w:val="BD28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7065E"/>
    <w:multiLevelType w:val="hybridMultilevel"/>
    <w:tmpl w:val="E8127F7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E585292"/>
    <w:multiLevelType w:val="hybridMultilevel"/>
    <w:tmpl w:val="C87E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016D4"/>
    <w:multiLevelType w:val="hybridMultilevel"/>
    <w:tmpl w:val="E966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F0FCA"/>
    <w:multiLevelType w:val="hybridMultilevel"/>
    <w:tmpl w:val="4BAC75A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1503BB5"/>
    <w:multiLevelType w:val="hybridMultilevel"/>
    <w:tmpl w:val="AEBCFF6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23F0622"/>
    <w:multiLevelType w:val="hybridMultilevel"/>
    <w:tmpl w:val="0080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5A1AE0"/>
    <w:multiLevelType w:val="hybridMultilevel"/>
    <w:tmpl w:val="91B8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57362"/>
    <w:multiLevelType w:val="hybridMultilevel"/>
    <w:tmpl w:val="0A40799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4A63329"/>
    <w:multiLevelType w:val="hybridMultilevel"/>
    <w:tmpl w:val="38F4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33A07"/>
    <w:multiLevelType w:val="hybridMultilevel"/>
    <w:tmpl w:val="2DBCFE9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5BE3069"/>
    <w:multiLevelType w:val="hybridMultilevel"/>
    <w:tmpl w:val="CDBE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582411"/>
    <w:multiLevelType w:val="hybridMultilevel"/>
    <w:tmpl w:val="FEE2DB1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765735F"/>
    <w:multiLevelType w:val="hybridMultilevel"/>
    <w:tmpl w:val="9246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C66DC1"/>
    <w:multiLevelType w:val="hybridMultilevel"/>
    <w:tmpl w:val="B46C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A00860"/>
    <w:multiLevelType w:val="hybridMultilevel"/>
    <w:tmpl w:val="EA6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187015"/>
    <w:multiLevelType w:val="hybridMultilevel"/>
    <w:tmpl w:val="5A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C95BB6"/>
    <w:multiLevelType w:val="hybridMultilevel"/>
    <w:tmpl w:val="12220AC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56E0443"/>
    <w:multiLevelType w:val="hybridMultilevel"/>
    <w:tmpl w:val="77DEEB5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68CC1DB2"/>
    <w:multiLevelType w:val="hybridMultilevel"/>
    <w:tmpl w:val="E382899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5"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6" w15:restartNumberingAfterBreak="0">
    <w:nsid w:val="6B1A0A4D"/>
    <w:multiLevelType w:val="hybridMultilevel"/>
    <w:tmpl w:val="0AE4375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C47222B"/>
    <w:multiLevelType w:val="hybridMultilevel"/>
    <w:tmpl w:val="2382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F47F29"/>
    <w:multiLevelType w:val="hybridMultilevel"/>
    <w:tmpl w:val="96FCC86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55505F9"/>
    <w:multiLevelType w:val="hybridMultilevel"/>
    <w:tmpl w:val="AA088A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4673D3"/>
    <w:multiLevelType w:val="hybridMultilevel"/>
    <w:tmpl w:val="BAA00A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032B8C"/>
    <w:multiLevelType w:val="hybridMultilevel"/>
    <w:tmpl w:val="CC1E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BB3364"/>
    <w:multiLevelType w:val="hybridMultilevel"/>
    <w:tmpl w:val="7234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2A39AF"/>
    <w:multiLevelType w:val="hybridMultilevel"/>
    <w:tmpl w:val="5D70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512B0A"/>
    <w:multiLevelType w:val="hybridMultilevel"/>
    <w:tmpl w:val="A946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956686">
    <w:abstractNumId w:val="45"/>
  </w:num>
  <w:num w:numId="2" w16cid:durableId="131097718">
    <w:abstractNumId w:val="20"/>
  </w:num>
  <w:num w:numId="3" w16cid:durableId="1293559298">
    <w:abstractNumId w:val="14"/>
  </w:num>
  <w:num w:numId="4" w16cid:durableId="1376928630">
    <w:abstractNumId w:val="6"/>
  </w:num>
  <w:num w:numId="5" w16cid:durableId="886989606">
    <w:abstractNumId w:val="8"/>
  </w:num>
  <w:num w:numId="6" w16cid:durableId="1939482047">
    <w:abstractNumId w:val="41"/>
  </w:num>
  <w:num w:numId="7" w16cid:durableId="394596172">
    <w:abstractNumId w:val="5"/>
  </w:num>
  <w:num w:numId="8" w16cid:durableId="2142074744">
    <w:abstractNumId w:val="52"/>
  </w:num>
  <w:num w:numId="9" w16cid:durableId="1067069851">
    <w:abstractNumId w:val="35"/>
  </w:num>
  <w:num w:numId="10" w16cid:durableId="621115146">
    <w:abstractNumId w:val="53"/>
  </w:num>
  <w:num w:numId="11" w16cid:durableId="2054887510">
    <w:abstractNumId w:val="24"/>
  </w:num>
  <w:num w:numId="12" w16cid:durableId="774861526">
    <w:abstractNumId w:val="22"/>
  </w:num>
  <w:num w:numId="13" w16cid:durableId="226653666">
    <w:abstractNumId w:val="11"/>
  </w:num>
  <w:num w:numId="14" w16cid:durableId="754474181">
    <w:abstractNumId w:val="26"/>
  </w:num>
  <w:num w:numId="15" w16cid:durableId="158890957">
    <w:abstractNumId w:val="15"/>
  </w:num>
  <w:num w:numId="16" w16cid:durableId="2142576652">
    <w:abstractNumId w:val="13"/>
  </w:num>
  <w:num w:numId="17" w16cid:durableId="335154697">
    <w:abstractNumId w:val="19"/>
  </w:num>
  <w:num w:numId="18" w16cid:durableId="1688019977">
    <w:abstractNumId w:val="9"/>
  </w:num>
  <w:num w:numId="19" w16cid:durableId="616910290">
    <w:abstractNumId w:val="18"/>
  </w:num>
  <w:num w:numId="20" w16cid:durableId="1498763734">
    <w:abstractNumId w:val="31"/>
  </w:num>
  <w:num w:numId="21" w16cid:durableId="461726581">
    <w:abstractNumId w:val="30"/>
  </w:num>
  <w:num w:numId="22" w16cid:durableId="833499057">
    <w:abstractNumId w:val="33"/>
  </w:num>
  <w:num w:numId="23" w16cid:durableId="678625435">
    <w:abstractNumId w:val="44"/>
  </w:num>
  <w:num w:numId="24" w16cid:durableId="704215474">
    <w:abstractNumId w:val="37"/>
  </w:num>
  <w:num w:numId="25" w16cid:durableId="1868253999">
    <w:abstractNumId w:val="3"/>
  </w:num>
  <w:num w:numId="26" w16cid:durableId="1030648681">
    <w:abstractNumId w:val="23"/>
  </w:num>
  <w:num w:numId="27" w16cid:durableId="1455444198">
    <w:abstractNumId w:val="40"/>
  </w:num>
  <w:num w:numId="28" w16cid:durableId="117070080">
    <w:abstractNumId w:val="10"/>
  </w:num>
  <w:num w:numId="29" w16cid:durableId="1727530749">
    <w:abstractNumId w:val="21"/>
  </w:num>
  <w:num w:numId="30" w16cid:durableId="915747806">
    <w:abstractNumId w:val="1"/>
  </w:num>
  <w:num w:numId="31" w16cid:durableId="668993907">
    <w:abstractNumId w:val="17"/>
  </w:num>
  <w:num w:numId="32" w16cid:durableId="1113289049">
    <w:abstractNumId w:val="12"/>
  </w:num>
  <w:num w:numId="33" w16cid:durableId="1259293018">
    <w:abstractNumId w:val="38"/>
  </w:num>
  <w:num w:numId="34" w16cid:durableId="1465462923">
    <w:abstractNumId w:val="51"/>
  </w:num>
  <w:num w:numId="35" w16cid:durableId="124543011">
    <w:abstractNumId w:val="47"/>
  </w:num>
  <w:num w:numId="36" w16cid:durableId="1487821177">
    <w:abstractNumId w:val="27"/>
  </w:num>
  <w:num w:numId="37" w16cid:durableId="442723458">
    <w:abstractNumId w:val="54"/>
  </w:num>
  <w:num w:numId="38" w16cid:durableId="1285380835">
    <w:abstractNumId w:val="4"/>
  </w:num>
  <w:num w:numId="39" w16cid:durableId="1676104852">
    <w:abstractNumId w:val="2"/>
  </w:num>
  <w:num w:numId="40" w16cid:durableId="1216358931">
    <w:abstractNumId w:val="50"/>
  </w:num>
  <w:num w:numId="41" w16cid:durableId="1822580648">
    <w:abstractNumId w:val="46"/>
  </w:num>
  <w:num w:numId="42" w16cid:durableId="862786075">
    <w:abstractNumId w:val="43"/>
  </w:num>
  <w:num w:numId="43" w16cid:durableId="416709738">
    <w:abstractNumId w:val="48"/>
  </w:num>
  <w:num w:numId="44" w16cid:durableId="1600985617">
    <w:abstractNumId w:val="28"/>
  </w:num>
  <w:num w:numId="45" w16cid:durableId="1334145211">
    <w:abstractNumId w:val="36"/>
  </w:num>
  <w:num w:numId="46" w16cid:durableId="108743020">
    <w:abstractNumId w:val="25"/>
  </w:num>
  <w:num w:numId="47" w16cid:durableId="1243831542">
    <w:abstractNumId w:val="32"/>
  </w:num>
  <w:num w:numId="48" w16cid:durableId="286395916">
    <w:abstractNumId w:val="42"/>
  </w:num>
  <w:num w:numId="49" w16cid:durableId="1304000481">
    <w:abstractNumId w:val="29"/>
  </w:num>
  <w:num w:numId="50" w16cid:durableId="1677459879">
    <w:abstractNumId w:val="34"/>
  </w:num>
  <w:num w:numId="51" w16cid:durableId="454568646">
    <w:abstractNumId w:val="7"/>
  </w:num>
  <w:num w:numId="52" w16cid:durableId="311102988">
    <w:abstractNumId w:val="0"/>
  </w:num>
  <w:num w:numId="53" w16cid:durableId="1768581049">
    <w:abstractNumId w:val="16"/>
  </w:num>
  <w:num w:numId="54" w16cid:durableId="1471944397">
    <w:abstractNumId w:val="39"/>
  </w:num>
  <w:num w:numId="55" w16cid:durableId="1839692269">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E9793F"/>
    <w:rsid w:val="00001D36"/>
    <w:rsid w:val="00003B36"/>
    <w:rsid w:val="00004174"/>
    <w:rsid w:val="0000482A"/>
    <w:rsid w:val="00006509"/>
    <w:rsid w:val="00007586"/>
    <w:rsid w:val="00007EE8"/>
    <w:rsid w:val="0001067F"/>
    <w:rsid w:val="000109F1"/>
    <w:rsid w:val="00011EBF"/>
    <w:rsid w:val="00012958"/>
    <w:rsid w:val="0001339C"/>
    <w:rsid w:val="0001392D"/>
    <w:rsid w:val="00014ECB"/>
    <w:rsid w:val="00015383"/>
    <w:rsid w:val="000158CB"/>
    <w:rsid w:val="000162E5"/>
    <w:rsid w:val="0002047A"/>
    <w:rsid w:val="0002063B"/>
    <w:rsid w:val="00021BF3"/>
    <w:rsid w:val="000227E2"/>
    <w:rsid w:val="000241C3"/>
    <w:rsid w:val="000241C4"/>
    <w:rsid w:val="0002445C"/>
    <w:rsid w:val="00024D0A"/>
    <w:rsid w:val="0002651A"/>
    <w:rsid w:val="00026B56"/>
    <w:rsid w:val="000304D4"/>
    <w:rsid w:val="00030A22"/>
    <w:rsid w:val="00030DBE"/>
    <w:rsid w:val="00031277"/>
    <w:rsid w:val="0003163E"/>
    <w:rsid w:val="0003252C"/>
    <w:rsid w:val="00033053"/>
    <w:rsid w:val="00033446"/>
    <w:rsid w:val="00034DC6"/>
    <w:rsid w:val="00036DB3"/>
    <w:rsid w:val="0004009D"/>
    <w:rsid w:val="00040A87"/>
    <w:rsid w:val="00040B71"/>
    <w:rsid w:val="00040E52"/>
    <w:rsid w:val="00043F74"/>
    <w:rsid w:val="00044261"/>
    <w:rsid w:val="000447EC"/>
    <w:rsid w:val="00044A7D"/>
    <w:rsid w:val="00046804"/>
    <w:rsid w:val="00047674"/>
    <w:rsid w:val="000478F6"/>
    <w:rsid w:val="000506CA"/>
    <w:rsid w:val="0005195E"/>
    <w:rsid w:val="0005259A"/>
    <w:rsid w:val="00053486"/>
    <w:rsid w:val="00053CB8"/>
    <w:rsid w:val="000549EA"/>
    <w:rsid w:val="000552EE"/>
    <w:rsid w:val="00055399"/>
    <w:rsid w:val="00056D75"/>
    <w:rsid w:val="000604CD"/>
    <w:rsid w:val="00060C31"/>
    <w:rsid w:val="0006134B"/>
    <w:rsid w:val="00061CD1"/>
    <w:rsid w:val="000638D2"/>
    <w:rsid w:val="000647B4"/>
    <w:rsid w:val="00064819"/>
    <w:rsid w:val="00064E7D"/>
    <w:rsid w:val="00065914"/>
    <w:rsid w:val="00066A64"/>
    <w:rsid w:val="00070065"/>
    <w:rsid w:val="00070F91"/>
    <w:rsid w:val="00071BB7"/>
    <w:rsid w:val="00071E9C"/>
    <w:rsid w:val="000723A4"/>
    <w:rsid w:val="00073057"/>
    <w:rsid w:val="000735CD"/>
    <w:rsid w:val="00074BFC"/>
    <w:rsid w:val="000750FD"/>
    <w:rsid w:val="0007595E"/>
    <w:rsid w:val="00075A7E"/>
    <w:rsid w:val="000765DC"/>
    <w:rsid w:val="0007740A"/>
    <w:rsid w:val="000806D1"/>
    <w:rsid w:val="00080ED4"/>
    <w:rsid w:val="00080FC9"/>
    <w:rsid w:val="00081716"/>
    <w:rsid w:val="00081B14"/>
    <w:rsid w:val="00082433"/>
    <w:rsid w:val="00083357"/>
    <w:rsid w:val="00084AF8"/>
    <w:rsid w:val="00084CA7"/>
    <w:rsid w:val="000854A6"/>
    <w:rsid w:val="000856AB"/>
    <w:rsid w:val="00086C0D"/>
    <w:rsid w:val="0009033C"/>
    <w:rsid w:val="00091BE3"/>
    <w:rsid w:val="00091D25"/>
    <w:rsid w:val="00092A97"/>
    <w:rsid w:val="000937B0"/>
    <w:rsid w:val="00093E1E"/>
    <w:rsid w:val="00095B40"/>
    <w:rsid w:val="0009709D"/>
    <w:rsid w:val="000A007F"/>
    <w:rsid w:val="000A0291"/>
    <w:rsid w:val="000A03CC"/>
    <w:rsid w:val="000A085C"/>
    <w:rsid w:val="000A1D82"/>
    <w:rsid w:val="000A1F76"/>
    <w:rsid w:val="000A2859"/>
    <w:rsid w:val="000A2F07"/>
    <w:rsid w:val="000A4BDB"/>
    <w:rsid w:val="000A4D4E"/>
    <w:rsid w:val="000A5DA5"/>
    <w:rsid w:val="000A6728"/>
    <w:rsid w:val="000A6EC3"/>
    <w:rsid w:val="000A76F7"/>
    <w:rsid w:val="000B135C"/>
    <w:rsid w:val="000B165A"/>
    <w:rsid w:val="000B25DE"/>
    <w:rsid w:val="000B29D9"/>
    <w:rsid w:val="000B4261"/>
    <w:rsid w:val="000B478F"/>
    <w:rsid w:val="000B588C"/>
    <w:rsid w:val="000B5939"/>
    <w:rsid w:val="000B6E97"/>
    <w:rsid w:val="000B76F8"/>
    <w:rsid w:val="000C01C6"/>
    <w:rsid w:val="000C01D6"/>
    <w:rsid w:val="000C135B"/>
    <w:rsid w:val="000C15EA"/>
    <w:rsid w:val="000C1F7A"/>
    <w:rsid w:val="000C22DA"/>
    <w:rsid w:val="000C389A"/>
    <w:rsid w:val="000C3BD7"/>
    <w:rsid w:val="000C5484"/>
    <w:rsid w:val="000C6195"/>
    <w:rsid w:val="000C7621"/>
    <w:rsid w:val="000D0054"/>
    <w:rsid w:val="000D09A9"/>
    <w:rsid w:val="000D147C"/>
    <w:rsid w:val="000D3561"/>
    <w:rsid w:val="000D43BC"/>
    <w:rsid w:val="000D48CF"/>
    <w:rsid w:val="000D495F"/>
    <w:rsid w:val="000D4BDB"/>
    <w:rsid w:val="000D5B8F"/>
    <w:rsid w:val="000D5EFB"/>
    <w:rsid w:val="000D6808"/>
    <w:rsid w:val="000D6F9B"/>
    <w:rsid w:val="000D7F66"/>
    <w:rsid w:val="000E0B99"/>
    <w:rsid w:val="000E11B2"/>
    <w:rsid w:val="000E1203"/>
    <w:rsid w:val="000E2BC5"/>
    <w:rsid w:val="000E2FA5"/>
    <w:rsid w:val="000E326E"/>
    <w:rsid w:val="000E33AB"/>
    <w:rsid w:val="000E34F7"/>
    <w:rsid w:val="000E401D"/>
    <w:rsid w:val="000E44DF"/>
    <w:rsid w:val="000E52DC"/>
    <w:rsid w:val="000E541F"/>
    <w:rsid w:val="000E6778"/>
    <w:rsid w:val="000E6939"/>
    <w:rsid w:val="000E6AF0"/>
    <w:rsid w:val="000E7129"/>
    <w:rsid w:val="000F02CE"/>
    <w:rsid w:val="000F03DD"/>
    <w:rsid w:val="000F05BF"/>
    <w:rsid w:val="000F0F6C"/>
    <w:rsid w:val="000F254D"/>
    <w:rsid w:val="000F2919"/>
    <w:rsid w:val="000F2B40"/>
    <w:rsid w:val="000F2D7E"/>
    <w:rsid w:val="000F2E75"/>
    <w:rsid w:val="000F32F7"/>
    <w:rsid w:val="000F3536"/>
    <w:rsid w:val="000F4AB9"/>
    <w:rsid w:val="000F56F3"/>
    <w:rsid w:val="000F6A74"/>
    <w:rsid w:val="000F7370"/>
    <w:rsid w:val="000F77C9"/>
    <w:rsid w:val="000F7811"/>
    <w:rsid w:val="001005BB"/>
    <w:rsid w:val="0010168A"/>
    <w:rsid w:val="0010218E"/>
    <w:rsid w:val="001044F8"/>
    <w:rsid w:val="00104E0A"/>
    <w:rsid w:val="00104F03"/>
    <w:rsid w:val="001078C7"/>
    <w:rsid w:val="001108D7"/>
    <w:rsid w:val="00111344"/>
    <w:rsid w:val="00111379"/>
    <w:rsid w:val="001134E7"/>
    <w:rsid w:val="00113D4E"/>
    <w:rsid w:val="00114F2A"/>
    <w:rsid w:val="001154BD"/>
    <w:rsid w:val="00116E8C"/>
    <w:rsid w:val="0011765D"/>
    <w:rsid w:val="00120658"/>
    <w:rsid w:val="001208B9"/>
    <w:rsid w:val="00120936"/>
    <w:rsid w:val="0012302C"/>
    <w:rsid w:val="00123A4A"/>
    <w:rsid w:val="0012414A"/>
    <w:rsid w:val="001242A4"/>
    <w:rsid w:val="00124A83"/>
    <w:rsid w:val="0012636D"/>
    <w:rsid w:val="001269DD"/>
    <w:rsid w:val="00127583"/>
    <w:rsid w:val="00127A47"/>
    <w:rsid w:val="00127BBD"/>
    <w:rsid w:val="001304F2"/>
    <w:rsid w:val="00130782"/>
    <w:rsid w:val="00130DF7"/>
    <w:rsid w:val="00131B66"/>
    <w:rsid w:val="0013205D"/>
    <w:rsid w:val="0013223D"/>
    <w:rsid w:val="00132C51"/>
    <w:rsid w:val="0013437C"/>
    <w:rsid w:val="00134FDA"/>
    <w:rsid w:val="00135319"/>
    <w:rsid w:val="0013658C"/>
    <w:rsid w:val="00137DE8"/>
    <w:rsid w:val="00137F31"/>
    <w:rsid w:val="001406AD"/>
    <w:rsid w:val="00140BE1"/>
    <w:rsid w:val="00140C3A"/>
    <w:rsid w:val="00141CA0"/>
    <w:rsid w:val="00141D9C"/>
    <w:rsid w:val="001431DF"/>
    <w:rsid w:val="00143A4A"/>
    <w:rsid w:val="0014584A"/>
    <w:rsid w:val="00145BDB"/>
    <w:rsid w:val="00146C77"/>
    <w:rsid w:val="00147837"/>
    <w:rsid w:val="00150EA4"/>
    <w:rsid w:val="001524B1"/>
    <w:rsid w:val="00152549"/>
    <w:rsid w:val="001525D1"/>
    <w:rsid w:val="00152DCA"/>
    <w:rsid w:val="0015386F"/>
    <w:rsid w:val="00153DAC"/>
    <w:rsid w:val="00154BEC"/>
    <w:rsid w:val="00155CA1"/>
    <w:rsid w:val="001567B7"/>
    <w:rsid w:val="00160588"/>
    <w:rsid w:val="00160A21"/>
    <w:rsid w:val="00160BEB"/>
    <w:rsid w:val="00161D4D"/>
    <w:rsid w:val="00163F81"/>
    <w:rsid w:val="0016506B"/>
    <w:rsid w:val="00165C83"/>
    <w:rsid w:val="00170610"/>
    <w:rsid w:val="00171399"/>
    <w:rsid w:val="0017169E"/>
    <w:rsid w:val="00171A41"/>
    <w:rsid w:val="00172485"/>
    <w:rsid w:val="00173911"/>
    <w:rsid w:val="00173C82"/>
    <w:rsid w:val="00174AC6"/>
    <w:rsid w:val="001753FE"/>
    <w:rsid w:val="00177F3B"/>
    <w:rsid w:val="00180779"/>
    <w:rsid w:val="00180E49"/>
    <w:rsid w:val="001826C9"/>
    <w:rsid w:val="00184409"/>
    <w:rsid w:val="00185BB8"/>
    <w:rsid w:val="00185C85"/>
    <w:rsid w:val="00185D81"/>
    <w:rsid w:val="001901BB"/>
    <w:rsid w:val="001902D3"/>
    <w:rsid w:val="00190B41"/>
    <w:rsid w:val="00190C0B"/>
    <w:rsid w:val="00190D4B"/>
    <w:rsid w:val="00192DC7"/>
    <w:rsid w:val="0019318B"/>
    <w:rsid w:val="00193355"/>
    <w:rsid w:val="00194435"/>
    <w:rsid w:val="001A0354"/>
    <w:rsid w:val="001A2072"/>
    <w:rsid w:val="001A230A"/>
    <w:rsid w:val="001A23E4"/>
    <w:rsid w:val="001A29B5"/>
    <w:rsid w:val="001A366D"/>
    <w:rsid w:val="001A44B5"/>
    <w:rsid w:val="001A481C"/>
    <w:rsid w:val="001A5160"/>
    <w:rsid w:val="001A528A"/>
    <w:rsid w:val="001A542E"/>
    <w:rsid w:val="001A5435"/>
    <w:rsid w:val="001A5F04"/>
    <w:rsid w:val="001A6835"/>
    <w:rsid w:val="001A6F0E"/>
    <w:rsid w:val="001A7E1A"/>
    <w:rsid w:val="001B031D"/>
    <w:rsid w:val="001B0B96"/>
    <w:rsid w:val="001B10FA"/>
    <w:rsid w:val="001B221E"/>
    <w:rsid w:val="001B4362"/>
    <w:rsid w:val="001B4D70"/>
    <w:rsid w:val="001B5574"/>
    <w:rsid w:val="001B657A"/>
    <w:rsid w:val="001B65B3"/>
    <w:rsid w:val="001B6602"/>
    <w:rsid w:val="001B69FF"/>
    <w:rsid w:val="001C0520"/>
    <w:rsid w:val="001C217D"/>
    <w:rsid w:val="001C4ADD"/>
    <w:rsid w:val="001C5CD5"/>
    <w:rsid w:val="001C7AC5"/>
    <w:rsid w:val="001D0914"/>
    <w:rsid w:val="001D2208"/>
    <w:rsid w:val="001D256F"/>
    <w:rsid w:val="001D328D"/>
    <w:rsid w:val="001D3BAE"/>
    <w:rsid w:val="001D510F"/>
    <w:rsid w:val="001D7170"/>
    <w:rsid w:val="001E194C"/>
    <w:rsid w:val="001E1E81"/>
    <w:rsid w:val="001E3001"/>
    <w:rsid w:val="001E3574"/>
    <w:rsid w:val="001E402F"/>
    <w:rsid w:val="001E6482"/>
    <w:rsid w:val="001E6BAA"/>
    <w:rsid w:val="001E7267"/>
    <w:rsid w:val="001E7D61"/>
    <w:rsid w:val="001F060B"/>
    <w:rsid w:val="001F0D1B"/>
    <w:rsid w:val="001F2CE8"/>
    <w:rsid w:val="001F2D39"/>
    <w:rsid w:val="001F2FA2"/>
    <w:rsid w:val="001F3DAC"/>
    <w:rsid w:val="001F48C8"/>
    <w:rsid w:val="001F4CF8"/>
    <w:rsid w:val="001F4FA4"/>
    <w:rsid w:val="001F50A4"/>
    <w:rsid w:val="001F5655"/>
    <w:rsid w:val="001F677F"/>
    <w:rsid w:val="001F72F5"/>
    <w:rsid w:val="00200DBF"/>
    <w:rsid w:val="00201BA5"/>
    <w:rsid w:val="00202A49"/>
    <w:rsid w:val="00202B9D"/>
    <w:rsid w:val="002036AC"/>
    <w:rsid w:val="00203B2D"/>
    <w:rsid w:val="00203D17"/>
    <w:rsid w:val="00203F39"/>
    <w:rsid w:val="00204AD5"/>
    <w:rsid w:val="00206724"/>
    <w:rsid w:val="0020691A"/>
    <w:rsid w:val="00210134"/>
    <w:rsid w:val="002103B5"/>
    <w:rsid w:val="00211174"/>
    <w:rsid w:val="00213D5E"/>
    <w:rsid w:val="00215A7F"/>
    <w:rsid w:val="00216430"/>
    <w:rsid w:val="00216965"/>
    <w:rsid w:val="002172EF"/>
    <w:rsid w:val="00222CDD"/>
    <w:rsid w:val="00222D0F"/>
    <w:rsid w:val="002232E8"/>
    <w:rsid w:val="002235F1"/>
    <w:rsid w:val="00223E15"/>
    <w:rsid w:val="00225730"/>
    <w:rsid w:val="00225AB1"/>
    <w:rsid w:val="00226F73"/>
    <w:rsid w:val="00230249"/>
    <w:rsid w:val="0023205F"/>
    <w:rsid w:val="002321B3"/>
    <w:rsid w:val="0023376A"/>
    <w:rsid w:val="00235927"/>
    <w:rsid w:val="00235E7D"/>
    <w:rsid w:val="00236BA9"/>
    <w:rsid w:val="00237E01"/>
    <w:rsid w:val="00237E74"/>
    <w:rsid w:val="002408EA"/>
    <w:rsid w:val="00245440"/>
    <w:rsid w:val="002464D3"/>
    <w:rsid w:val="0025073B"/>
    <w:rsid w:val="00250F8D"/>
    <w:rsid w:val="00251F77"/>
    <w:rsid w:val="0025206D"/>
    <w:rsid w:val="00252C62"/>
    <w:rsid w:val="00253476"/>
    <w:rsid w:val="00254C0B"/>
    <w:rsid w:val="00255F77"/>
    <w:rsid w:val="002569BE"/>
    <w:rsid w:val="002570D6"/>
    <w:rsid w:val="002578E4"/>
    <w:rsid w:val="00260CE4"/>
    <w:rsid w:val="00262041"/>
    <w:rsid w:val="0026302E"/>
    <w:rsid w:val="00263614"/>
    <w:rsid w:val="00263A98"/>
    <w:rsid w:val="002641FE"/>
    <w:rsid w:val="0026435A"/>
    <w:rsid w:val="00265A34"/>
    <w:rsid w:val="002666E9"/>
    <w:rsid w:val="00266AD4"/>
    <w:rsid w:val="00267D60"/>
    <w:rsid w:val="0027044E"/>
    <w:rsid w:val="00270605"/>
    <w:rsid w:val="00270E94"/>
    <w:rsid w:val="0027103E"/>
    <w:rsid w:val="002719AD"/>
    <w:rsid w:val="00271DD4"/>
    <w:rsid w:val="0027209E"/>
    <w:rsid w:val="0027305B"/>
    <w:rsid w:val="00273249"/>
    <w:rsid w:val="002746EA"/>
    <w:rsid w:val="00276267"/>
    <w:rsid w:val="002767A7"/>
    <w:rsid w:val="00276891"/>
    <w:rsid w:val="00276A95"/>
    <w:rsid w:val="00276DD8"/>
    <w:rsid w:val="00277952"/>
    <w:rsid w:val="00277A2D"/>
    <w:rsid w:val="00280899"/>
    <w:rsid w:val="00281929"/>
    <w:rsid w:val="00282250"/>
    <w:rsid w:val="00282AE6"/>
    <w:rsid w:val="00282C5B"/>
    <w:rsid w:val="00285183"/>
    <w:rsid w:val="0028525C"/>
    <w:rsid w:val="00290B5B"/>
    <w:rsid w:val="00290B6D"/>
    <w:rsid w:val="0029335E"/>
    <w:rsid w:val="00293B5A"/>
    <w:rsid w:val="00294BC0"/>
    <w:rsid w:val="00294C00"/>
    <w:rsid w:val="00296096"/>
    <w:rsid w:val="00296372"/>
    <w:rsid w:val="002964B0"/>
    <w:rsid w:val="0029685F"/>
    <w:rsid w:val="002969DB"/>
    <w:rsid w:val="002A0E3E"/>
    <w:rsid w:val="002A26A1"/>
    <w:rsid w:val="002A2D00"/>
    <w:rsid w:val="002A49BB"/>
    <w:rsid w:val="002A4C61"/>
    <w:rsid w:val="002A511E"/>
    <w:rsid w:val="002A52EE"/>
    <w:rsid w:val="002A59F9"/>
    <w:rsid w:val="002A5BF4"/>
    <w:rsid w:val="002A665B"/>
    <w:rsid w:val="002A69A0"/>
    <w:rsid w:val="002A6CFB"/>
    <w:rsid w:val="002A77D6"/>
    <w:rsid w:val="002A7838"/>
    <w:rsid w:val="002A7E4F"/>
    <w:rsid w:val="002B019F"/>
    <w:rsid w:val="002B0305"/>
    <w:rsid w:val="002B06E6"/>
    <w:rsid w:val="002B0CA5"/>
    <w:rsid w:val="002B28FB"/>
    <w:rsid w:val="002B5A6E"/>
    <w:rsid w:val="002B5D10"/>
    <w:rsid w:val="002B6109"/>
    <w:rsid w:val="002B61C4"/>
    <w:rsid w:val="002B6862"/>
    <w:rsid w:val="002B6A12"/>
    <w:rsid w:val="002C0CCC"/>
    <w:rsid w:val="002C13B0"/>
    <w:rsid w:val="002C150D"/>
    <w:rsid w:val="002C1A7E"/>
    <w:rsid w:val="002C2447"/>
    <w:rsid w:val="002C296A"/>
    <w:rsid w:val="002C3AFC"/>
    <w:rsid w:val="002C51E4"/>
    <w:rsid w:val="002C610D"/>
    <w:rsid w:val="002C783B"/>
    <w:rsid w:val="002C7BF6"/>
    <w:rsid w:val="002D0382"/>
    <w:rsid w:val="002D06B9"/>
    <w:rsid w:val="002D0A3B"/>
    <w:rsid w:val="002D1A12"/>
    <w:rsid w:val="002D1F2C"/>
    <w:rsid w:val="002D22B1"/>
    <w:rsid w:val="002D267D"/>
    <w:rsid w:val="002D2A81"/>
    <w:rsid w:val="002D6170"/>
    <w:rsid w:val="002D6FAA"/>
    <w:rsid w:val="002D7BE5"/>
    <w:rsid w:val="002E0F65"/>
    <w:rsid w:val="002E1493"/>
    <w:rsid w:val="002E1E2D"/>
    <w:rsid w:val="002E4721"/>
    <w:rsid w:val="002E472F"/>
    <w:rsid w:val="002E485A"/>
    <w:rsid w:val="002E497C"/>
    <w:rsid w:val="002E5420"/>
    <w:rsid w:val="002E6F14"/>
    <w:rsid w:val="002E7434"/>
    <w:rsid w:val="002E7460"/>
    <w:rsid w:val="002E74A3"/>
    <w:rsid w:val="002E7BA2"/>
    <w:rsid w:val="002F0519"/>
    <w:rsid w:val="002F0C5D"/>
    <w:rsid w:val="002F1166"/>
    <w:rsid w:val="002F2EEF"/>
    <w:rsid w:val="002F30E1"/>
    <w:rsid w:val="002F3295"/>
    <w:rsid w:val="002F356B"/>
    <w:rsid w:val="002F4E93"/>
    <w:rsid w:val="002F5DE0"/>
    <w:rsid w:val="002F64BD"/>
    <w:rsid w:val="002F68C2"/>
    <w:rsid w:val="002F6C0D"/>
    <w:rsid w:val="002F6DF6"/>
    <w:rsid w:val="002F7D50"/>
    <w:rsid w:val="002F7E53"/>
    <w:rsid w:val="003007AA"/>
    <w:rsid w:val="00301918"/>
    <w:rsid w:val="00302664"/>
    <w:rsid w:val="00302BE7"/>
    <w:rsid w:val="00302DD3"/>
    <w:rsid w:val="003038C8"/>
    <w:rsid w:val="00303C6E"/>
    <w:rsid w:val="00303EA1"/>
    <w:rsid w:val="00304C30"/>
    <w:rsid w:val="00304DF3"/>
    <w:rsid w:val="0030560A"/>
    <w:rsid w:val="00305C6E"/>
    <w:rsid w:val="00306E17"/>
    <w:rsid w:val="00307736"/>
    <w:rsid w:val="00307AD6"/>
    <w:rsid w:val="003109E5"/>
    <w:rsid w:val="0031104A"/>
    <w:rsid w:val="003116A1"/>
    <w:rsid w:val="00311ED0"/>
    <w:rsid w:val="003132B6"/>
    <w:rsid w:val="0031416A"/>
    <w:rsid w:val="003153EB"/>
    <w:rsid w:val="00315576"/>
    <w:rsid w:val="00315638"/>
    <w:rsid w:val="00316241"/>
    <w:rsid w:val="003167EB"/>
    <w:rsid w:val="00320158"/>
    <w:rsid w:val="00322631"/>
    <w:rsid w:val="0032263A"/>
    <w:rsid w:val="003227ED"/>
    <w:rsid w:val="00322954"/>
    <w:rsid w:val="00322FFD"/>
    <w:rsid w:val="00323F77"/>
    <w:rsid w:val="003240F0"/>
    <w:rsid w:val="00324607"/>
    <w:rsid w:val="00324CC5"/>
    <w:rsid w:val="00324E45"/>
    <w:rsid w:val="00325008"/>
    <w:rsid w:val="00325DE2"/>
    <w:rsid w:val="00330692"/>
    <w:rsid w:val="00330A91"/>
    <w:rsid w:val="00330BCB"/>
    <w:rsid w:val="003313CA"/>
    <w:rsid w:val="00333357"/>
    <w:rsid w:val="00333726"/>
    <w:rsid w:val="00334132"/>
    <w:rsid w:val="003341C8"/>
    <w:rsid w:val="003347DA"/>
    <w:rsid w:val="00334B0F"/>
    <w:rsid w:val="00334FF0"/>
    <w:rsid w:val="003364C4"/>
    <w:rsid w:val="00337EDC"/>
    <w:rsid w:val="0034067D"/>
    <w:rsid w:val="003408D2"/>
    <w:rsid w:val="0034258E"/>
    <w:rsid w:val="003434F0"/>
    <w:rsid w:val="003441F7"/>
    <w:rsid w:val="00344EB2"/>
    <w:rsid w:val="00346DBA"/>
    <w:rsid w:val="00347465"/>
    <w:rsid w:val="00347B51"/>
    <w:rsid w:val="0035042A"/>
    <w:rsid w:val="00351F76"/>
    <w:rsid w:val="00352084"/>
    <w:rsid w:val="00353536"/>
    <w:rsid w:val="00354C5D"/>
    <w:rsid w:val="00356AAE"/>
    <w:rsid w:val="0036152E"/>
    <w:rsid w:val="00362D0C"/>
    <w:rsid w:val="0036386D"/>
    <w:rsid w:val="00363872"/>
    <w:rsid w:val="00363F9C"/>
    <w:rsid w:val="003647A6"/>
    <w:rsid w:val="003648BE"/>
    <w:rsid w:val="00364E15"/>
    <w:rsid w:val="00365B5D"/>
    <w:rsid w:val="00366E60"/>
    <w:rsid w:val="00367A04"/>
    <w:rsid w:val="003708C8"/>
    <w:rsid w:val="00370B6D"/>
    <w:rsid w:val="003713FB"/>
    <w:rsid w:val="003718BC"/>
    <w:rsid w:val="00371C16"/>
    <w:rsid w:val="0037224D"/>
    <w:rsid w:val="003722FA"/>
    <w:rsid w:val="0037339D"/>
    <w:rsid w:val="003733B7"/>
    <w:rsid w:val="003735FD"/>
    <w:rsid w:val="00374477"/>
    <w:rsid w:val="00374F6A"/>
    <w:rsid w:val="0037509A"/>
    <w:rsid w:val="00375145"/>
    <w:rsid w:val="00375903"/>
    <w:rsid w:val="00376E11"/>
    <w:rsid w:val="00376E9C"/>
    <w:rsid w:val="00377277"/>
    <w:rsid w:val="00380FD5"/>
    <w:rsid w:val="00381592"/>
    <w:rsid w:val="003816D1"/>
    <w:rsid w:val="0038251D"/>
    <w:rsid w:val="00382AFE"/>
    <w:rsid w:val="003841F6"/>
    <w:rsid w:val="0038450A"/>
    <w:rsid w:val="00384CFD"/>
    <w:rsid w:val="0038506C"/>
    <w:rsid w:val="00385A86"/>
    <w:rsid w:val="00385CE8"/>
    <w:rsid w:val="003869B0"/>
    <w:rsid w:val="00386BBB"/>
    <w:rsid w:val="00386DF7"/>
    <w:rsid w:val="003900AD"/>
    <w:rsid w:val="003902E5"/>
    <w:rsid w:val="003906D7"/>
    <w:rsid w:val="0039079F"/>
    <w:rsid w:val="00391E95"/>
    <w:rsid w:val="00391E9F"/>
    <w:rsid w:val="003921B3"/>
    <w:rsid w:val="003926B7"/>
    <w:rsid w:val="00393DFD"/>
    <w:rsid w:val="00395ACE"/>
    <w:rsid w:val="00396737"/>
    <w:rsid w:val="003A093D"/>
    <w:rsid w:val="003A09D5"/>
    <w:rsid w:val="003A0D02"/>
    <w:rsid w:val="003A14B1"/>
    <w:rsid w:val="003A1825"/>
    <w:rsid w:val="003A27D7"/>
    <w:rsid w:val="003A51E2"/>
    <w:rsid w:val="003A57C1"/>
    <w:rsid w:val="003A5BEC"/>
    <w:rsid w:val="003A6AA8"/>
    <w:rsid w:val="003A6FF6"/>
    <w:rsid w:val="003A746A"/>
    <w:rsid w:val="003A7488"/>
    <w:rsid w:val="003A7B53"/>
    <w:rsid w:val="003B02FE"/>
    <w:rsid w:val="003B109E"/>
    <w:rsid w:val="003B14B8"/>
    <w:rsid w:val="003B1747"/>
    <w:rsid w:val="003B1C33"/>
    <w:rsid w:val="003B26B7"/>
    <w:rsid w:val="003B2F1A"/>
    <w:rsid w:val="003B49F8"/>
    <w:rsid w:val="003B5177"/>
    <w:rsid w:val="003B577C"/>
    <w:rsid w:val="003B6DDC"/>
    <w:rsid w:val="003B7567"/>
    <w:rsid w:val="003C0717"/>
    <w:rsid w:val="003C28F0"/>
    <w:rsid w:val="003C293F"/>
    <w:rsid w:val="003C36F7"/>
    <w:rsid w:val="003C38E4"/>
    <w:rsid w:val="003C4006"/>
    <w:rsid w:val="003C50D4"/>
    <w:rsid w:val="003C527B"/>
    <w:rsid w:val="003C5329"/>
    <w:rsid w:val="003C55CB"/>
    <w:rsid w:val="003C6E82"/>
    <w:rsid w:val="003C6FAD"/>
    <w:rsid w:val="003C7AAF"/>
    <w:rsid w:val="003D0887"/>
    <w:rsid w:val="003D3532"/>
    <w:rsid w:val="003D5B2E"/>
    <w:rsid w:val="003D6A12"/>
    <w:rsid w:val="003D6F5F"/>
    <w:rsid w:val="003E0093"/>
    <w:rsid w:val="003E073D"/>
    <w:rsid w:val="003E12B1"/>
    <w:rsid w:val="003E1C13"/>
    <w:rsid w:val="003E1FE5"/>
    <w:rsid w:val="003E2231"/>
    <w:rsid w:val="003E366A"/>
    <w:rsid w:val="003E4025"/>
    <w:rsid w:val="003E40B2"/>
    <w:rsid w:val="003E4281"/>
    <w:rsid w:val="003E436E"/>
    <w:rsid w:val="003E4BA1"/>
    <w:rsid w:val="003E4C4B"/>
    <w:rsid w:val="003E575D"/>
    <w:rsid w:val="003E58F8"/>
    <w:rsid w:val="003E6630"/>
    <w:rsid w:val="003E7CE0"/>
    <w:rsid w:val="003F03BF"/>
    <w:rsid w:val="003F0523"/>
    <w:rsid w:val="003F0552"/>
    <w:rsid w:val="003F130E"/>
    <w:rsid w:val="003F14F7"/>
    <w:rsid w:val="003F18BC"/>
    <w:rsid w:val="003F2EC0"/>
    <w:rsid w:val="003F30B1"/>
    <w:rsid w:val="003F3753"/>
    <w:rsid w:val="003F3F92"/>
    <w:rsid w:val="003F41A3"/>
    <w:rsid w:val="003F426B"/>
    <w:rsid w:val="003F4508"/>
    <w:rsid w:val="003F542C"/>
    <w:rsid w:val="003F60F1"/>
    <w:rsid w:val="003F70B8"/>
    <w:rsid w:val="003F7F4C"/>
    <w:rsid w:val="004004D0"/>
    <w:rsid w:val="00400EA8"/>
    <w:rsid w:val="004017AD"/>
    <w:rsid w:val="00402A3A"/>
    <w:rsid w:val="0040461B"/>
    <w:rsid w:val="00404A15"/>
    <w:rsid w:val="00404F49"/>
    <w:rsid w:val="00406ACD"/>
    <w:rsid w:val="004075B6"/>
    <w:rsid w:val="00411201"/>
    <w:rsid w:val="004127E8"/>
    <w:rsid w:val="00414915"/>
    <w:rsid w:val="0041660E"/>
    <w:rsid w:val="0041736E"/>
    <w:rsid w:val="00420333"/>
    <w:rsid w:val="00420952"/>
    <w:rsid w:val="0042183E"/>
    <w:rsid w:val="00422BC5"/>
    <w:rsid w:val="004240AC"/>
    <w:rsid w:val="004240BC"/>
    <w:rsid w:val="00424756"/>
    <w:rsid w:val="00425A79"/>
    <w:rsid w:val="00425CBB"/>
    <w:rsid w:val="0042628F"/>
    <w:rsid w:val="00427135"/>
    <w:rsid w:val="00431DE3"/>
    <w:rsid w:val="0043294A"/>
    <w:rsid w:val="00432BBB"/>
    <w:rsid w:val="00432EFE"/>
    <w:rsid w:val="004330FF"/>
    <w:rsid w:val="004338C5"/>
    <w:rsid w:val="00433968"/>
    <w:rsid w:val="00434CB0"/>
    <w:rsid w:val="00435319"/>
    <w:rsid w:val="00435DD2"/>
    <w:rsid w:val="00435E21"/>
    <w:rsid w:val="00435EA3"/>
    <w:rsid w:val="0044048C"/>
    <w:rsid w:val="004405D7"/>
    <w:rsid w:val="004408D8"/>
    <w:rsid w:val="004437B1"/>
    <w:rsid w:val="00443C9C"/>
    <w:rsid w:val="00444032"/>
    <w:rsid w:val="00444EA6"/>
    <w:rsid w:val="0044519F"/>
    <w:rsid w:val="004451E9"/>
    <w:rsid w:val="004455CA"/>
    <w:rsid w:val="00445641"/>
    <w:rsid w:val="00445784"/>
    <w:rsid w:val="004462F7"/>
    <w:rsid w:val="00446498"/>
    <w:rsid w:val="00446BEE"/>
    <w:rsid w:val="00446F47"/>
    <w:rsid w:val="00447A91"/>
    <w:rsid w:val="00450090"/>
    <w:rsid w:val="004500C9"/>
    <w:rsid w:val="004510E0"/>
    <w:rsid w:val="0045126F"/>
    <w:rsid w:val="00454048"/>
    <w:rsid w:val="004541A0"/>
    <w:rsid w:val="00455C33"/>
    <w:rsid w:val="00456277"/>
    <w:rsid w:val="004562B3"/>
    <w:rsid w:val="00456881"/>
    <w:rsid w:val="00460274"/>
    <w:rsid w:val="00460410"/>
    <w:rsid w:val="004619CE"/>
    <w:rsid w:val="00462FAD"/>
    <w:rsid w:val="00463B94"/>
    <w:rsid w:val="00463BD8"/>
    <w:rsid w:val="004641C5"/>
    <w:rsid w:val="00464586"/>
    <w:rsid w:val="00465C36"/>
    <w:rsid w:val="00466B16"/>
    <w:rsid w:val="00471920"/>
    <w:rsid w:val="0047193A"/>
    <w:rsid w:val="00472B83"/>
    <w:rsid w:val="004730BA"/>
    <w:rsid w:val="004738A3"/>
    <w:rsid w:val="00473BB1"/>
    <w:rsid w:val="00474E79"/>
    <w:rsid w:val="00474F01"/>
    <w:rsid w:val="00476394"/>
    <w:rsid w:val="004773EE"/>
    <w:rsid w:val="00477A5F"/>
    <w:rsid w:val="00477F9C"/>
    <w:rsid w:val="004817EB"/>
    <w:rsid w:val="00481E56"/>
    <w:rsid w:val="0048207F"/>
    <w:rsid w:val="004834ED"/>
    <w:rsid w:val="00483981"/>
    <w:rsid w:val="00485987"/>
    <w:rsid w:val="004863DC"/>
    <w:rsid w:val="00491211"/>
    <w:rsid w:val="00491FE4"/>
    <w:rsid w:val="004920CC"/>
    <w:rsid w:val="0049289D"/>
    <w:rsid w:val="004939B5"/>
    <w:rsid w:val="00494C8B"/>
    <w:rsid w:val="00496453"/>
    <w:rsid w:val="00496BE3"/>
    <w:rsid w:val="00497865"/>
    <w:rsid w:val="00497C1E"/>
    <w:rsid w:val="00497DA0"/>
    <w:rsid w:val="004A0D6E"/>
    <w:rsid w:val="004A1F86"/>
    <w:rsid w:val="004A2A32"/>
    <w:rsid w:val="004A325A"/>
    <w:rsid w:val="004A41D1"/>
    <w:rsid w:val="004A44A3"/>
    <w:rsid w:val="004A4EDB"/>
    <w:rsid w:val="004A5F0D"/>
    <w:rsid w:val="004A6456"/>
    <w:rsid w:val="004A6C8B"/>
    <w:rsid w:val="004A6FCF"/>
    <w:rsid w:val="004A75DC"/>
    <w:rsid w:val="004A76F2"/>
    <w:rsid w:val="004A7BD3"/>
    <w:rsid w:val="004B00AC"/>
    <w:rsid w:val="004B1922"/>
    <w:rsid w:val="004B4112"/>
    <w:rsid w:val="004B4254"/>
    <w:rsid w:val="004B4A02"/>
    <w:rsid w:val="004B5922"/>
    <w:rsid w:val="004B62C1"/>
    <w:rsid w:val="004B73BA"/>
    <w:rsid w:val="004B7449"/>
    <w:rsid w:val="004C07AA"/>
    <w:rsid w:val="004C0C27"/>
    <w:rsid w:val="004C14F4"/>
    <w:rsid w:val="004C1561"/>
    <w:rsid w:val="004C1AB9"/>
    <w:rsid w:val="004C2D61"/>
    <w:rsid w:val="004C3051"/>
    <w:rsid w:val="004C38A3"/>
    <w:rsid w:val="004C3B5A"/>
    <w:rsid w:val="004C3F55"/>
    <w:rsid w:val="004C4168"/>
    <w:rsid w:val="004C6E87"/>
    <w:rsid w:val="004C7591"/>
    <w:rsid w:val="004D3F3B"/>
    <w:rsid w:val="004D410E"/>
    <w:rsid w:val="004D472D"/>
    <w:rsid w:val="004D4FC4"/>
    <w:rsid w:val="004D532C"/>
    <w:rsid w:val="004D6E7E"/>
    <w:rsid w:val="004D6F4F"/>
    <w:rsid w:val="004D72D4"/>
    <w:rsid w:val="004D7EF1"/>
    <w:rsid w:val="004E00D9"/>
    <w:rsid w:val="004E072F"/>
    <w:rsid w:val="004E094D"/>
    <w:rsid w:val="004E1FD4"/>
    <w:rsid w:val="004E27F2"/>
    <w:rsid w:val="004E2931"/>
    <w:rsid w:val="004E3A88"/>
    <w:rsid w:val="004E4B23"/>
    <w:rsid w:val="004E4B45"/>
    <w:rsid w:val="004E6D91"/>
    <w:rsid w:val="004E731F"/>
    <w:rsid w:val="004E7B30"/>
    <w:rsid w:val="004F1797"/>
    <w:rsid w:val="004F427C"/>
    <w:rsid w:val="004F4400"/>
    <w:rsid w:val="004F457A"/>
    <w:rsid w:val="004F4C50"/>
    <w:rsid w:val="004F5E86"/>
    <w:rsid w:val="004F696A"/>
    <w:rsid w:val="004F6E5D"/>
    <w:rsid w:val="00500434"/>
    <w:rsid w:val="005025A1"/>
    <w:rsid w:val="00502C4B"/>
    <w:rsid w:val="005034CA"/>
    <w:rsid w:val="005048FB"/>
    <w:rsid w:val="00504ED1"/>
    <w:rsid w:val="00504F90"/>
    <w:rsid w:val="005061F9"/>
    <w:rsid w:val="0050688C"/>
    <w:rsid w:val="00507C39"/>
    <w:rsid w:val="0051026C"/>
    <w:rsid w:val="0051111E"/>
    <w:rsid w:val="005126DB"/>
    <w:rsid w:val="0051389F"/>
    <w:rsid w:val="00514A13"/>
    <w:rsid w:val="005151D9"/>
    <w:rsid w:val="005156E6"/>
    <w:rsid w:val="00515AA7"/>
    <w:rsid w:val="0051622C"/>
    <w:rsid w:val="0051629C"/>
    <w:rsid w:val="00516718"/>
    <w:rsid w:val="00517CA6"/>
    <w:rsid w:val="0052055D"/>
    <w:rsid w:val="0052161D"/>
    <w:rsid w:val="00521D7E"/>
    <w:rsid w:val="00522907"/>
    <w:rsid w:val="005230ED"/>
    <w:rsid w:val="00523BDC"/>
    <w:rsid w:val="00526118"/>
    <w:rsid w:val="00526AF5"/>
    <w:rsid w:val="00526CC1"/>
    <w:rsid w:val="00527EE4"/>
    <w:rsid w:val="005305C2"/>
    <w:rsid w:val="00530D4B"/>
    <w:rsid w:val="00532417"/>
    <w:rsid w:val="00534339"/>
    <w:rsid w:val="00534AD1"/>
    <w:rsid w:val="005357B3"/>
    <w:rsid w:val="005376EB"/>
    <w:rsid w:val="00540A58"/>
    <w:rsid w:val="0054323C"/>
    <w:rsid w:val="00543FBB"/>
    <w:rsid w:val="005456D5"/>
    <w:rsid w:val="00545B4A"/>
    <w:rsid w:val="00545FF6"/>
    <w:rsid w:val="00546110"/>
    <w:rsid w:val="00546183"/>
    <w:rsid w:val="00546762"/>
    <w:rsid w:val="00547BC2"/>
    <w:rsid w:val="00547D49"/>
    <w:rsid w:val="005507C8"/>
    <w:rsid w:val="00551A03"/>
    <w:rsid w:val="00553560"/>
    <w:rsid w:val="00553BEF"/>
    <w:rsid w:val="00553DF0"/>
    <w:rsid w:val="00554721"/>
    <w:rsid w:val="00555D5C"/>
    <w:rsid w:val="00556203"/>
    <w:rsid w:val="00556F68"/>
    <w:rsid w:val="0055725B"/>
    <w:rsid w:val="00557616"/>
    <w:rsid w:val="00557EBB"/>
    <w:rsid w:val="005604F3"/>
    <w:rsid w:val="00560A84"/>
    <w:rsid w:val="00562D25"/>
    <w:rsid w:val="00563605"/>
    <w:rsid w:val="00563C27"/>
    <w:rsid w:val="00563EE0"/>
    <w:rsid w:val="0056477A"/>
    <w:rsid w:val="005654B2"/>
    <w:rsid w:val="00565C8C"/>
    <w:rsid w:val="005660DF"/>
    <w:rsid w:val="0056683E"/>
    <w:rsid w:val="00566CA5"/>
    <w:rsid w:val="005702EE"/>
    <w:rsid w:val="00573417"/>
    <w:rsid w:val="00574086"/>
    <w:rsid w:val="00574385"/>
    <w:rsid w:val="005760C5"/>
    <w:rsid w:val="00576248"/>
    <w:rsid w:val="00580D6D"/>
    <w:rsid w:val="00581557"/>
    <w:rsid w:val="00582451"/>
    <w:rsid w:val="00582D94"/>
    <w:rsid w:val="00583AF9"/>
    <w:rsid w:val="00583D78"/>
    <w:rsid w:val="0058444B"/>
    <w:rsid w:val="00584775"/>
    <w:rsid w:val="00586982"/>
    <w:rsid w:val="00587E96"/>
    <w:rsid w:val="00591270"/>
    <w:rsid w:val="005921BE"/>
    <w:rsid w:val="005929B1"/>
    <w:rsid w:val="00594085"/>
    <w:rsid w:val="00594093"/>
    <w:rsid w:val="005942FA"/>
    <w:rsid w:val="0059558C"/>
    <w:rsid w:val="00596195"/>
    <w:rsid w:val="005966BC"/>
    <w:rsid w:val="00597064"/>
    <w:rsid w:val="005971C5"/>
    <w:rsid w:val="005A0C10"/>
    <w:rsid w:val="005A0D0D"/>
    <w:rsid w:val="005A19AE"/>
    <w:rsid w:val="005A46AA"/>
    <w:rsid w:val="005A49EA"/>
    <w:rsid w:val="005A4F22"/>
    <w:rsid w:val="005A5841"/>
    <w:rsid w:val="005A61AD"/>
    <w:rsid w:val="005A6944"/>
    <w:rsid w:val="005A77B6"/>
    <w:rsid w:val="005B122A"/>
    <w:rsid w:val="005B2455"/>
    <w:rsid w:val="005B2F94"/>
    <w:rsid w:val="005B3327"/>
    <w:rsid w:val="005B47C0"/>
    <w:rsid w:val="005B4CF8"/>
    <w:rsid w:val="005B4E96"/>
    <w:rsid w:val="005B6026"/>
    <w:rsid w:val="005B6586"/>
    <w:rsid w:val="005C0A82"/>
    <w:rsid w:val="005C0E53"/>
    <w:rsid w:val="005C115C"/>
    <w:rsid w:val="005C179D"/>
    <w:rsid w:val="005C6004"/>
    <w:rsid w:val="005C6281"/>
    <w:rsid w:val="005C6954"/>
    <w:rsid w:val="005C6F10"/>
    <w:rsid w:val="005D00FE"/>
    <w:rsid w:val="005D09B7"/>
    <w:rsid w:val="005D1820"/>
    <w:rsid w:val="005D35D7"/>
    <w:rsid w:val="005D3CF1"/>
    <w:rsid w:val="005D3D44"/>
    <w:rsid w:val="005D3F1C"/>
    <w:rsid w:val="005D4C6D"/>
    <w:rsid w:val="005D5F66"/>
    <w:rsid w:val="005D769A"/>
    <w:rsid w:val="005D78A9"/>
    <w:rsid w:val="005E0255"/>
    <w:rsid w:val="005E0F73"/>
    <w:rsid w:val="005E2BA0"/>
    <w:rsid w:val="005E400B"/>
    <w:rsid w:val="005E40F4"/>
    <w:rsid w:val="005E4983"/>
    <w:rsid w:val="005E5CDB"/>
    <w:rsid w:val="005E5D94"/>
    <w:rsid w:val="005E5E3B"/>
    <w:rsid w:val="005E6287"/>
    <w:rsid w:val="005E65AC"/>
    <w:rsid w:val="005E6F8F"/>
    <w:rsid w:val="005E7D7F"/>
    <w:rsid w:val="005F1D73"/>
    <w:rsid w:val="005F3784"/>
    <w:rsid w:val="005F73B1"/>
    <w:rsid w:val="005F76B7"/>
    <w:rsid w:val="005F7D56"/>
    <w:rsid w:val="00600734"/>
    <w:rsid w:val="00600D6F"/>
    <w:rsid w:val="00602668"/>
    <w:rsid w:val="0060307C"/>
    <w:rsid w:val="00603263"/>
    <w:rsid w:val="00604500"/>
    <w:rsid w:val="00604751"/>
    <w:rsid w:val="00604C89"/>
    <w:rsid w:val="00605616"/>
    <w:rsid w:val="006057FD"/>
    <w:rsid w:val="00607755"/>
    <w:rsid w:val="00607B3D"/>
    <w:rsid w:val="00610F55"/>
    <w:rsid w:val="006110B7"/>
    <w:rsid w:val="0061192E"/>
    <w:rsid w:val="0061364F"/>
    <w:rsid w:val="006144F6"/>
    <w:rsid w:val="00614C98"/>
    <w:rsid w:val="00616E26"/>
    <w:rsid w:val="00620648"/>
    <w:rsid w:val="0062116C"/>
    <w:rsid w:val="00621435"/>
    <w:rsid w:val="00621C7A"/>
    <w:rsid w:val="0062214D"/>
    <w:rsid w:val="00623171"/>
    <w:rsid w:val="00623619"/>
    <w:rsid w:val="00623F0D"/>
    <w:rsid w:val="00624810"/>
    <w:rsid w:val="006258C0"/>
    <w:rsid w:val="00625928"/>
    <w:rsid w:val="00626943"/>
    <w:rsid w:val="006269EB"/>
    <w:rsid w:val="00627670"/>
    <w:rsid w:val="00627895"/>
    <w:rsid w:val="006279D2"/>
    <w:rsid w:val="00627E87"/>
    <w:rsid w:val="00627EAB"/>
    <w:rsid w:val="006309C1"/>
    <w:rsid w:val="00630F81"/>
    <w:rsid w:val="006316DB"/>
    <w:rsid w:val="00632C95"/>
    <w:rsid w:val="006340F4"/>
    <w:rsid w:val="00634347"/>
    <w:rsid w:val="00634F55"/>
    <w:rsid w:val="00637450"/>
    <w:rsid w:val="0064039D"/>
    <w:rsid w:val="006404CB"/>
    <w:rsid w:val="006409B2"/>
    <w:rsid w:val="00641033"/>
    <w:rsid w:val="00641CB4"/>
    <w:rsid w:val="00642838"/>
    <w:rsid w:val="0064504B"/>
    <w:rsid w:val="0064529D"/>
    <w:rsid w:val="00647380"/>
    <w:rsid w:val="006504BC"/>
    <w:rsid w:val="00650AE7"/>
    <w:rsid w:val="006511BA"/>
    <w:rsid w:val="00651BA6"/>
    <w:rsid w:val="006526EC"/>
    <w:rsid w:val="00652CCB"/>
    <w:rsid w:val="006541B3"/>
    <w:rsid w:val="006544D3"/>
    <w:rsid w:val="00654BCA"/>
    <w:rsid w:val="006557CF"/>
    <w:rsid w:val="00655810"/>
    <w:rsid w:val="00655B42"/>
    <w:rsid w:val="0065629D"/>
    <w:rsid w:val="00657AD6"/>
    <w:rsid w:val="00660953"/>
    <w:rsid w:val="00661301"/>
    <w:rsid w:val="00661C18"/>
    <w:rsid w:val="00663C5D"/>
    <w:rsid w:val="00665120"/>
    <w:rsid w:val="00665547"/>
    <w:rsid w:val="006659DB"/>
    <w:rsid w:val="00666E07"/>
    <w:rsid w:val="00667704"/>
    <w:rsid w:val="006700FC"/>
    <w:rsid w:val="00670378"/>
    <w:rsid w:val="006711C4"/>
    <w:rsid w:val="00671949"/>
    <w:rsid w:val="00671A65"/>
    <w:rsid w:val="00672367"/>
    <w:rsid w:val="0067370F"/>
    <w:rsid w:val="00673ED1"/>
    <w:rsid w:val="0067426A"/>
    <w:rsid w:val="006744FF"/>
    <w:rsid w:val="0067455E"/>
    <w:rsid w:val="00674861"/>
    <w:rsid w:val="0067493D"/>
    <w:rsid w:val="00675ABD"/>
    <w:rsid w:val="00676FCC"/>
    <w:rsid w:val="00677032"/>
    <w:rsid w:val="00677A74"/>
    <w:rsid w:val="0068026C"/>
    <w:rsid w:val="006809E4"/>
    <w:rsid w:val="0068121A"/>
    <w:rsid w:val="006814D5"/>
    <w:rsid w:val="00683301"/>
    <w:rsid w:val="00683F8C"/>
    <w:rsid w:val="006844BA"/>
    <w:rsid w:val="006844CB"/>
    <w:rsid w:val="006854A8"/>
    <w:rsid w:val="006858FE"/>
    <w:rsid w:val="00685A26"/>
    <w:rsid w:val="006860C0"/>
    <w:rsid w:val="00686479"/>
    <w:rsid w:val="00687316"/>
    <w:rsid w:val="00691454"/>
    <w:rsid w:val="006918DB"/>
    <w:rsid w:val="006921E1"/>
    <w:rsid w:val="006929A2"/>
    <w:rsid w:val="00694A73"/>
    <w:rsid w:val="00695209"/>
    <w:rsid w:val="006962AF"/>
    <w:rsid w:val="00696C3C"/>
    <w:rsid w:val="006A0054"/>
    <w:rsid w:val="006A0535"/>
    <w:rsid w:val="006A055D"/>
    <w:rsid w:val="006A0658"/>
    <w:rsid w:val="006A2686"/>
    <w:rsid w:val="006A4AAB"/>
    <w:rsid w:val="006A4C7C"/>
    <w:rsid w:val="006A5385"/>
    <w:rsid w:val="006A548B"/>
    <w:rsid w:val="006A5EF3"/>
    <w:rsid w:val="006A710A"/>
    <w:rsid w:val="006A72B6"/>
    <w:rsid w:val="006B080F"/>
    <w:rsid w:val="006B20E2"/>
    <w:rsid w:val="006B24A1"/>
    <w:rsid w:val="006B2946"/>
    <w:rsid w:val="006B2BBF"/>
    <w:rsid w:val="006B342B"/>
    <w:rsid w:val="006B394B"/>
    <w:rsid w:val="006B56B5"/>
    <w:rsid w:val="006B56CF"/>
    <w:rsid w:val="006B5842"/>
    <w:rsid w:val="006B5E3E"/>
    <w:rsid w:val="006B6F34"/>
    <w:rsid w:val="006C0248"/>
    <w:rsid w:val="006C0F6B"/>
    <w:rsid w:val="006C117F"/>
    <w:rsid w:val="006C238C"/>
    <w:rsid w:val="006C3BE4"/>
    <w:rsid w:val="006C45F8"/>
    <w:rsid w:val="006C6335"/>
    <w:rsid w:val="006C650E"/>
    <w:rsid w:val="006D097E"/>
    <w:rsid w:val="006D2029"/>
    <w:rsid w:val="006D2F31"/>
    <w:rsid w:val="006D3B0D"/>
    <w:rsid w:val="006D3F19"/>
    <w:rsid w:val="006D4113"/>
    <w:rsid w:val="006D4F92"/>
    <w:rsid w:val="006D50F4"/>
    <w:rsid w:val="006D55A6"/>
    <w:rsid w:val="006D5CCC"/>
    <w:rsid w:val="006D5F03"/>
    <w:rsid w:val="006D714E"/>
    <w:rsid w:val="006E0557"/>
    <w:rsid w:val="006E1B96"/>
    <w:rsid w:val="006E3831"/>
    <w:rsid w:val="006E5870"/>
    <w:rsid w:val="006E5BFC"/>
    <w:rsid w:val="006E608E"/>
    <w:rsid w:val="006E6564"/>
    <w:rsid w:val="006E6A45"/>
    <w:rsid w:val="006E7291"/>
    <w:rsid w:val="006E74CA"/>
    <w:rsid w:val="006E7A31"/>
    <w:rsid w:val="006F028B"/>
    <w:rsid w:val="006F0D0C"/>
    <w:rsid w:val="006F0D9A"/>
    <w:rsid w:val="006F1C1B"/>
    <w:rsid w:val="006F2029"/>
    <w:rsid w:val="006F21DF"/>
    <w:rsid w:val="006F2675"/>
    <w:rsid w:val="006F298C"/>
    <w:rsid w:val="006F398A"/>
    <w:rsid w:val="006F503D"/>
    <w:rsid w:val="006F5ACE"/>
    <w:rsid w:val="006F5EAB"/>
    <w:rsid w:val="006F716E"/>
    <w:rsid w:val="006F7937"/>
    <w:rsid w:val="006F7BCE"/>
    <w:rsid w:val="006F7D33"/>
    <w:rsid w:val="00702177"/>
    <w:rsid w:val="0070342A"/>
    <w:rsid w:val="007059F2"/>
    <w:rsid w:val="00706B2B"/>
    <w:rsid w:val="00707F29"/>
    <w:rsid w:val="00710343"/>
    <w:rsid w:val="00710A3E"/>
    <w:rsid w:val="00711385"/>
    <w:rsid w:val="007134DF"/>
    <w:rsid w:val="00714F6F"/>
    <w:rsid w:val="00715A89"/>
    <w:rsid w:val="00716451"/>
    <w:rsid w:val="007179D5"/>
    <w:rsid w:val="00717A3E"/>
    <w:rsid w:val="007203AD"/>
    <w:rsid w:val="0072088F"/>
    <w:rsid w:val="00720DF9"/>
    <w:rsid w:val="00721B17"/>
    <w:rsid w:val="007226A7"/>
    <w:rsid w:val="007228AE"/>
    <w:rsid w:val="007231E1"/>
    <w:rsid w:val="007232CC"/>
    <w:rsid w:val="007250E7"/>
    <w:rsid w:val="007259AC"/>
    <w:rsid w:val="00725AF3"/>
    <w:rsid w:val="00726D27"/>
    <w:rsid w:val="00726FE9"/>
    <w:rsid w:val="007276CD"/>
    <w:rsid w:val="00727A9D"/>
    <w:rsid w:val="00730CE3"/>
    <w:rsid w:val="0073137C"/>
    <w:rsid w:val="007318B0"/>
    <w:rsid w:val="00732111"/>
    <w:rsid w:val="007326CD"/>
    <w:rsid w:val="007337DB"/>
    <w:rsid w:val="00734764"/>
    <w:rsid w:val="0073480E"/>
    <w:rsid w:val="00734970"/>
    <w:rsid w:val="00734E88"/>
    <w:rsid w:val="00734EB2"/>
    <w:rsid w:val="00736348"/>
    <w:rsid w:val="0073638F"/>
    <w:rsid w:val="00741501"/>
    <w:rsid w:val="007419FC"/>
    <w:rsid w:val="0074266C"/>
    <w:rsid w:val="0074266F"/>
    <w:rsid w:val="0074318F"/>
    <w:rsid w:val="007438DF"/>
    <w:rsid w:val="00744CBD"/>
    <w:rsid w:val="00744E23"/>
    <w:rsid w:val="007453FD"/>
    <w:rsid w:val="00745B52"/>
    <w:rsid w:val="00746901"/>
    <w:rsid w:val="007509F4"/>
    <w:rsid w:val="00750BD6"/>
    <w:rsid w:val="0075162E"/>
    <w:rsid w:val="00751E20"/>
    <w:rsid w:val="00752671"/>
    <w:rsid w:val="00753E5E"/>
    <w:rsid w:val="00755A3C"/>
    <w:rsid w:val="00755FB2"/>
    <w:rsid w:val="00756656"/>
    <w:rsid w:val="007567DE"/>
    <w:rsid w:val="00756D77"/>
    <w:rsid w:val="00757102"/>
    <w:rsid w:val="00761031"/>
    <w:rsid w:val="00762B7E"/>
    <w:rsid w:val="0076464A"/>
    <w:rsid w:val="00764848"/>
    <w:rsid w:val="00764BB0"/>
    <w:rsid w:val="00766AE9"/>
    <w:rsid w:val="00767ABA"/>
    <w:rsid w:val="0077069E"/>
    <w:rsid w:val="00770B9A"/>
    <w:rsid w:val="00771AD3"/>
    <w:rsid w:val="0077281B"/>
    <w:rsid w:val="00774AAA"/>
    <w:rsid w:val="00776773"/>
    <w:rsid w:val="00780D9B"/>
    <w:rsid w:val="007813F8"/>
    <w:rsid w:val="00781987"/>
    <w:rsid w:val="00781F53"/>
    <w:rsid w:val="00782AD8"/>
    <w:rsid w:val="007834C8"/>
    <w:rsid w:val="00784333"/>
    <w:rsid w:val="0078598E"/>
    <w:rsid w:val="00786120"/>
    <w:rsid w:val="00787086"/>
    <w:rsid w:val="0079042A"/>
    <w:rsid w:val="0079082B"/>
    <w:rsid w:val="0079179D"/>
    <w:rsid w:val="00791E62"/>
    <w:rsid w:val="00792A7B"/>
    <w:rsid w:val="0079479A"/>
    <w:rsid w:val="007972D5"/>
    <w:rsid w:val="007A00FC"/>
    <w:rsid w:val="007A1B0A"/>
    <w:rsid w:val="007A338F"/>
    <w:rsid w:val="007A34BC"/>
    <w:rsid w:val="007A3977"/>
    <w:rsid w:val="007A42EB"/>
    <w:rsid w:val="007A45A8"/>
    <w:rsid w:val="007A4E4B"/>
    <w:rsid w:val="007A6338"/>
    <w:rsid w:val="007A63AC"/>
    <w:rsid w:val="007A6AEB"/>
    <w:rsid w:val="007A7474"/>
    <w:rsid w:val="007A7DD9"/>
    <w:rsid w:val="007B0D6A"/>
    <w:rsid w:val="007B1275"/>
    <w:rsid w:val="007B1418"/>
    <w:rsid w:val="007B1BCD"/>
    <w:rsid w:val="007B1C0E"/>
    <w:rsid w:val="007B272A"/>
    <w:rsid w:val="007B4872"/>
    <w:rsid w:val="007B4A5E"/>
    <w:rsid w:val="007B4C7E"/>
    <w:rsid w:val="007B54CD"/>
    <w:rsid w:val="007B5F92"/>
    <w:rsid w:val="007B624F"/>
    <w:rsid w:val="007B6A17"/>
    <w:rsid w:val="007B6BDC"/>
    <w:rsid w:val="007C2022"/>
    <w:rsid w:val="007C3BFB"/>
    <w:rsid w:val="007C3D5F"/>
    <w:rsid w:val="007C5211"/>
    <w:rsid w:val="007C5853"/>
    <w:rsid w:val="007C6EB9"/>
    <w:rsid w:val="007C6F1A"/>
    <w:rsid w:val="007D08FA"/>
    <w:rsid w:val="007D0900"/>
    <w:rsid w:val="007D0A6D"/>
    <w:rsid w:val="007D1AA8"/>
    <w:rsid w:val="007D3112"/>
    <w:rsid w:val="007D333F"/>
    <w:rsid w:val="007D3BBE"/>
    <w:rsid w:val="007D3E9E"/>
    <w:rsid w:val="007D4ADB"/>
    <w:rsid w:val="007D4B1A"/>
    <w:rsid w:val="007D59EB"/>
    <w:rsid w:val="007D69CE"/>
    <w:rsid w:val="007D7479"/>
    <w:rsid w:val="007D7952"/>
    <w:rsid w:val="007E0C63"/>
    <w:rsid w:val="007E16A8"/>
    <w:rsid w:val="007E306A"/>
    <w:rsid w:val="007E342F"/>
    <w:rsid w:val="007E4546"/>
    <w:rsid w:val="007E541D"/>
    <w:rsid w:val="007E5943"/>
    <w:rsid w:val="007E6875"/>
    <w:rsid w:val="007F0768"/>
    <w:rsid w:val="007F158B"/>
    <w:rsid w:val="007F182C"/>
    <w:rsid w:val="007F1B53"/>
    <w:rsid w:val="007F2999"/>
    <w:rsid w:val="007F4EA4"/>
    <w:rsid w:val="007F52CE"/>
    <w:rsid w:val="007F6A0B"/>
    <w:rsid w:val="0080003F"/>
    <w:rsid w:val="00800CD8"/>
    <w:rsid w:val="00801B66"/>
    <w:rsid w:val="00801EA9"/>
    <w:rsid w:val="008020B9"/>
    <w:rsid w:val="00802592"/>
    <w:rsid w:val="00804D70"/>
    <w:rsid w:val="00805042"/>
    <w:rsid w:val="00805130"/>
    <w:rsid w:val="00805B08"/>
    <w:rsid w:val="00805EF0"/>
    <w:rsid w:val="008062E1"/>
    <w:rsid w:val="00806424"/>
    <w:rsid w:val="00806887"/>
    <w:rsid w:val="008068ED"/>
    <w:rsid w:val="00807B1D"/>
    <w:rsid w:val="00810720"/>
    <w:rsid w:val="00810EAB"/>
    <w:rsid w:val="008117C5"/>
    <w:rsid w:val="00811F99"/>
    <w:rsid w:val="008126A0"/>
    <w:rsid w:val="008130BE"/>
    <w:rsid w:val="00813821"/>
    <w:rsid w:val="00813E13"/>
    <w:rsid w:val="008148A2"/>
    <w:rsid w:val="00815FC0"/>
    <w:rsid w:val="00820719"/>
    <w:rsid w:val="00820E2E"/>
    <w:rsid w:val="0082206E"/>
    <w:rsid w:val="008220E3"/>
    <w:rsid w:val="0082220F"/>
    <w:rsid w:val="00823795"/>
    <w:rsid w:val="00824B73"/>
    <w:rsid w:val="00825151"/>
    <w:rsid w:val="00825BBE"/>
    <w:rsid w:val="00825D3C"/>
    <w:rsid w:val="00825D5B"/>
    <w:rsid w:val="00825DEA"/>
    <w:rsid w:val="00826EB6"/>
    <w:rsid w:val="00827BCD"/>
    <w:rsid w:val="008325F4"/>
    <w:rsid w:val="0083285B"/>
    <w:rsid w:val="0083342C"/>
    <w:rsid w:val="00833514"/>
    <w:rsid w:val="00834011"/>
    <w:rsid w:val="00835D8B"/>
    <w:rsid w:val="00837B47"/>
    <w:rsid w:val="008419F4"/>
    <w:rsid w:val="00841F89"/>
    <w:rsid w:val="008434B1"/>
    <w:rsid w:val="0084433F"/>
    <w:rsid w:val="00845465"/>
    <w:rsid w:val="008461D4"/>
    <w:rsid w:val="0084641D"/>
    <w:rsid w:val="0084793D"/>
    <w:rsid w:val="008504E2"/>
    <w:rsid w:val="00850647"/>
    <w:rsid w:val="00850E2E"/>
    <w:rsid w:val="00853304"/>
    <w:rsid w:val="0085403C"/>
    <w:rsid w:val="00854ADE"/>
    <w:rsid w:val="00854BA5"/>
    <w:rsid w:val="00854E61"/>
    <w:rsid w:val="0085513A"/>
    <w:rsid w:val="008563DF"/>
    <w:rsid w:val="00856C21"/>
    <w:rsid w:val="00857851"/>
    <w:rsid w:val="0086077A"/>
    <w:rsid w:val="008612B1"/>
    <w:rsid w:val="008620D7"/>
    <w:rsid w:val="00862555"/>
    <w:rsid w:val="008632DE"/>
    <w:rsid w:val="008637D6"/>
    <w:rsid w:val="008637EA"/>
    <w:rsid w:val="00863E38"/>
    <w:rsid w:val="00863E39"/>
    <w:rsid w:val="0086424B"/>
    <w:rsid w:val="00864CBA"/>
    <w:rsid w:val="008666CB"/>
    <w:rsid w:val="00866C8E"/>
    <w:rsid w:val="008671B4"/>
    <w:rsid w:val="008706FF"/>
    <w:rsid w:val="00870D6C"/>
    <w:rsid w:val="00871068"/>
    <w:rsid w:val="00872097"/>
    <w:rsid w:val="0087262C"/>
    <w:rsid w:val="00873000"/>
    <w:rsid w:val="00873312"/>
    <w:rsid w:val="00875376"/>
    <w:rsid w:val="00875B8D"/>
    <w:rsid w:val="00876011"/>
    <w:rsid w:val="00877C06"/>
    <w:rsid w:val="0088008A"/>
    <w:rsid w:val="008804D8"/>
    <w:rsid w:val="00880CF2"/>
    <w:rsid w:val="00881D41"/>
    <w:rsid w:val="0088255E"/>
    <w:rsid w:val="00882F63"/>
    <w:rsid w:val="00883B07"/>
    <w:rsid w:val="008840BC"/>
    <w:rsid w:val="00884C34"/>
    <w:rsid w:val="00884CF8"/>
    <w:rsid w:val="00884DA5"/>
    <w:rsid w:val="0088526E"/>
    <w:rsid w:val="0088696C"/>
    <w:rsid w:val="00887284"/>
    <w:rsid w:val="00890966"/>
    <w:rsid w:val="00892081"/>
    <w:rsid w:val="008922EB"/>
    <w:rsid w:val="00892CB7"/>
    <w:rsid w:val="008936DC"/>
    <w:rsid w:val="00893AF1"/>
    <w:rsid w:val="00894225"/>
    <w:rsid w:val="00896D92"/>
    <w:rsid w:val="0089737A"/>
    <w:rsid w:val="00897382"/>
    <w:rsid w:val="00897463"/>
    <w:rsid w:val="008979A0"/>
    <w:rsid w:val="008A009C"/>
    <w:rsid w:val="008A0332"/>
    <w:rsid w:val="008A1B2B"/>
    <w:rsid w:val="008A34F3"/>
    <w:rsid w:val="008A4B1B"/>
    <w:rsid w:val="008A4E56"/>
    <w:rsid w:val="008A5739"/>
    <w:rsid w:val="008A59E4"/>
    <w:rsid w:val="008A5E6E"/>
    <w:rsid w:val="008A60D2"/>
    <w:rsid w:val="008A6367"/>
    <w:rsid w:val="008A6728"/>
    <w:rsid w:val="008A6B71"/>
    <w:rsid w:val="008A7BAD"/>
    <w:rsid w:val="008B1A94"/>
    <w:rsid w:val="008B1C4C"/>
    <w:rsid w:val="008B2C06"/>
    <w:rsid w:val="008B2D89"/>
    <w:rsid w:val="008B50BB"/>
    <w:rsid w:val="008B74BB"/>
    <w:rsid w:val="008C018B"/>
    <w:rsid w:val="008C0300"/>
    <w:rsid w:val="008C038F"/>
    <w:rsid w:val="008C0762"/>
    <w:rsid w:val="008C0C9E"/>
    <w:rsid w:val="008C17FA"/>
    <w:rsid w:val="008C3282"/>
    <w:rsid w:val="008C4704"/>
    <w:rsid w:val="008C4998"/>
    <w:rsid w:val="008C4D31"/>
    <w:rsid w:val="008C5661"/>
    <w:rsid w:val="008C6A7E"/>
    <w:rsid w:val="008C70CA"/>
    <w:rsid w:val="008C743A"/>
    <w:rsid w:val="008C7C37"/>
    <w:rsid w:val="008D0068"/>
    <w:rsid w:val="008D095C"/>
    <w:rsid w:val="008D1CFD"/>
    <w:rsid w:val="008D2FBD"/>
    <w:rsid w:val="008D318F"/>
    <w:rsid w:val="008D3A93"/>
    <w:rsid w:val="008D52FD"/>
    <w:rsid w:val="008D5584"/>
    <w:rsid w:val="008D578A"/>
    <w:rsid w:val="008D5869"/>
    <w:rsid w:val="008D5B3C"/>
    <w:rsid w:val="008D68D8"/>
    <w:rsid w:val="008E050B"/>
    <w:rsid w:val="008E2D91"/>
    <w:rsid w:val="008E37F5"/>
    <w:rsid w:val="008E3962"/>
    <w:rsid w:val="008E4C18"/>
    <w:rsid w:val="008E5EE3"/>
    <w:rsid w:val="008E658D"/>
    <w:rsid w:val="008E6BD3"/>
    <w:rsid w:val="008E6FAF"/>
    <w:rsid w:val="008F0306"/>
    <w:rsid w:val="008F29C5"/>
    <w:rsid w:val="008F3881"/>
    <w:rsid w:val="008F3AF0"/>
    <w:rsid w:val="008F42F2"/>
    <w:rsid w:val="008F5316"/>
    <w:rsid w:val="008F7513"/>
    <w:rsid w:val="008F7740"/>
    <w:rsid w:val="009008F5"/>
    <w:rsid w:val="0090118F"/>
    <w:rsid w:val="0090185E"/>
    <w:rsid w:val="00901A6B"/>
    <w:rsid w:val="00902E8A"/>
    <w:rsid w:val="009033AB"/>
    <w:rsid w:val="00903435"/>
    <w:rsid w:val="0090418A"/>
    <w:rsid w:val="00905E96"/>
    <w:rsid w:val="00906005"/>
    <w:rsid w:val="00910C02"/>
    <w:rsid w:val="00910D5A"/>
    <w:rsid w:val="0091193E"/>
    <w:rsid w:val="00911DF5"/>
    <w:rsid w:val="0091286E"/>
    <w:rsid w:val="00913707"/>
    <w:rsid w:val="0091423E"/>
    <w:rsid w:val="009142F4"/>
    <w:rsid w:val="00914A05"/>
    <w:rsid w:val="00920194"/>
    <w:rsid w:val="00920E32"/>
    <w:rsid w:val="00921011"/>
    <w:rsid w:val="009220E2"/>
    <w:rsid w:val="00923EBE"/>
    <w:rsid w:val="009240B8"/>
    <w:rsid w:val="00924D10"/>
    <w:rsid w:val="00925046"/>
    <w:rsid w:val="00925A79"/>
    <w:rsid w:val="00925F15"/>
    <w:rsid w:val="00926905"/>
    <w:rsid w:val="00930054"/>
    <w:rsid w:val="00931BEE"/>
    <w:rsid w:val="00932036"/>
    <w:rsid w:val="009328E9"/>
    <w:rsid w:val="00933924"/>
    <w:rsid w:val="00933944"/>
    <w:rsid w:val="00933E4D"/>
    <w:rsid w:val="00936328"/>
    <w:rsid w:val="00941A61"/>
    <w:rsid w:val="00941FFC"/>
    <w:rsid w:val="0094211D"/>
    <w:rsid w:val="009422CD"/>
    <w:rsid w:val="0094289B"/>
    <w:rsid w:val="00944216"/>
    <w:rsid w:val="00947FEE"/>
    <w:rsid w:val="00951AE1"/>
    <w:rsid w:val="00954421"/>
    <w:rsid w:val="0095467B"/>
    <w:rsid w:val="009547EC"/>
    <w:rsid w:val="00954820"/>
    <w:rsid w:val="00955B84"/>
    <w:rsid w:val="00957416"/>
    <w:rsid w:val="00962144"/>
    <w:rsid w:val="009624FF"/>
    <w:rsid w:val="009656CF"/>
    <w:rsid w:val="00965823"/>
    <w:rsid w:val="0096627E"/>
    <w:rsid w:val="00970733"/>
    <w:rsid w:val="009716C3"/>
    <w:rsid w:val="00971F7C"/>
    <w:rsid w:val="009733F9"/>
    <w:rsid w:val="0097347B"/>
    <w:rsid w:val="00974CAD"/>
    <w:rsid w:val="0097542C"/>
    <w:rsid w:val="009757FD"/>
    <w:rsid w:val="00976FC3"/>
    <w:rsid w:val="00980A2E"/>
    <w:rsid w:val="009819BF"/>
    <w:rsid w:val="0098213B"/>
    <w:rsid w:val="0098451A"/>
    <w:rsid w:val="0098521B"/>
    <w:rsid w:val="0098542D"/>
    <w:rsid w:val="00986706"/>
    <w:rsid w:val="00986845"/>
    <w:rsid w:val="0098686E"/>
    <w:rsid w:val="00986940"/>
    <w:rsid w:val="00987796"/>
    <w:rsid w:val="009903EC"/>
    <w:rsid w:val="00990A94"/>
    <w:rsid w:val="00990B82"/>
    <w:rsid w:val="009916B0"/>
    <w:rsid w:val="009920D7"/>
    <w:rsid w:val="00992D23"/>
    <w:rsid w:val="0099376B"/>
    <w:rsid w:val="00993F21"/>
    <w:rsid w:val="0099564A"/>
    <w:rsid w:val="00995B2B"/>
    <w:rsid w:val="00996A73"/>
    <w:rsid w:val="00997BA0"/>
    <w:rsid w:val="009A1560"/>
    <w:rsid w:val="009A395C"/>
    <w:rsid w:val="009A3A47"/>
    <w:rsid w:val="009A42FD"/>
    <w:rsid w:val="009A4E6F"/>
    <w:rsid w:val="009A5FCF"/>
    <w:rsid w:val="009A7E2F"/>
    <w:rsid w:val="009B015E"/>
    <w:rsid w:val="009B035F"/>
    <w:rsid w:val="009B193C"/>
    <w:rsid w:val="009B3412"/>
    <w:rsid w:val="009B3495"/>
    <w:rsid w:val="009B362C"/>
    <w:rsid w:val="009B4079"/>
    <w:rsid w:val="009B57B8"/>
    <w:rsid w:val="009B7C78"/>
    <w:rsid w:val="009C14DC"/>
    <w:rsid w:val="009C1687"/>
    <w:rsid w:val="009C238F"/>
    <w:rsid w:val="009C2E4C"/>
    <w:rsid w:val="009C329D"/>
    <w:rsid w:val="009C32E3"/>
    <w:rsid w:val="009C4F37"/>
    <w:rsid w:val="009C52DA"/>
    <w:rsid w:val="009C5969"/>
    <w:rsid w:val="009C64CF"/>
    <w:rsid w:val="009C6E01"/>
    <w:rsid w:val="009C7E6B"/>
    <w:rsid w:val="009D090E"/>
    <w:rsid w:val="009D0DD7"/>
    <w:rsid w:val="009D22AB"/>
    <w:rsid w:val="009D2F70"/>
    <w:rsid w:val="009D4441"/>
    <w:rsid w:val="009D48E3"/>
    <w:rsid w:val="009D4BF0"/>
    <w:rsid w:val="009D58E0"/>
    <w:rsid w:val="009D5923"/>
    <w:rsid w:val="009D599B"/>
    <w:rsid w:val="009E1291"/>
    <w:rsid w:val="009E156C"/>
    <w:rsid w:val="009E1B8F"/>
    <w:rsid w:val="009E23E2"/>
    <w:rsid w:val="009E2E0C"/>
    <w:rsid w:val="009E470D"/>
    <w:rsid w:val="009E485C"/>
    <w:rsid w:val="009E51E3"/>
    <w:rsid w:val="009E534E"/>
    <w:rsid w:val="009E6636"/>
    <w:rsid w:val="009E663E"/>
    <w:rsid w:val="009E680B"/>
    <w:rsid w:val="009E6DF0"/>
    <w:rsid w:val="009E7A4A"/>
    <w:rsid w:val="009F03D3"/>
    <w:rsid w:val="009F089D"/>
    <w:rsid w:val="009F0BB7"/>
    <w:rsid w:val="009F0FC2"/>
    <w:rsid w:val="009F1802"/>
    <w:rsid w:val="009F2A05"/>
    <w:rsid w:val="009F3D9C"/>
    <w:rsid w:val="009F4277"/>
    <w:rsid w:val="009F4837"/>
    <w:rsid w:val="009F5C49"/>
    <w:rsid w:val="009F5C68"/>
    <w:rsid w:val="009F672A"/>
    <w:rsid w:val="009F7239"/>
    <w:rsid w:val="00A0022A"/>
    <w:rsid w:val="00A00AAD"/>
    <w:rsid w:val="00A01787"/>
    <w:rsid w:val="00A02CE9"/>
    <w:rsid w:val="00A04D55"/>
    <w:rsid w:val="00A04FA0"/>
    <w:rsid w:val="00A077E2"/>
    <w:rsid w:val="00A07A23"/>
    <w:rsid w:val="00A07F46"/>
    <w:rsid w:val="00A11BF9"/>
    <w:rsid w:val="00A11DE5"/>
    <w:rsid w:val="00A12943"/>
    <w:rsid w:val="00A14990"/>
    <w:rsid w:val="00A1559F"/>
    <w:rsid w:val="00A155C7"/>
    <w:rsid w:val="00A15A1F"/>
    <w:rsid w:val="00A160CE"/>
    <w:rsid w:val="00A16278"/>
    <w:rsid w:val="00A16DB5"/>
    <w:rsid w:val="00A16E20"/>
    <w:rsid w:val="00A173E8"/>
    <w:rsid w:val="00A203A3"/>
    <w:rsid w:val="00A20C77"/>
    <w:rsid w:val="00A22122"/>
    <w:rsid w:val="00A246C4"/>
    <w:rsid w:val="00A2596B"/>
    <w:rsid w:val="00A25C52"/>
    <w:rsid w:val="00A3193A"/>
    <w:rsid w:val="00A3325A"/>
    <w:rsid w:val="00A33FAA"/>
    <w:rsid w:val="00A357BE"/>
    <w:rsid w:val="00A36BBE"/>
    <w:rsid w:val="00A37E21"/>
    <w:rsid w:val="00A402C9"/>
    <w:rsid w:val="00A4059E"/>
    <w:rsid w:val="00A40DE2"/>
    <w:rsid w:val="00A410DF"/>
    <w:rsid w:val="00A415AB"/>
    <w:rsid w:val="00A41D1D"/>
    <w:rsid w:val="00A42094"/>
    <w:rsid w:val="00A452C1"/>
    <w:rsid w:val="00A456C9"/>
    <w:rsid w:val="00A45F29"/>
    <w:rsid w:val="00A46473"/>
    <w:rsid w:val="00A51984"/>
    <w:rsid w:val="00A51C09"/>
    <w:rsid w:val="00A5281F"/>
    <w:rsid w:val="00A52F43"/>
    <w:rsid w:val="00A53184"/>
    <w:rsid w:val="00A53537"/>
    <w:rsid w:val="00A53685"/>
    <w:rsid w:val="00A53A6F"/>
    <w:rsid w:val="00A546D0"/>
    <w:rsid w:val="00A54AAE"/>
    <w:rsid w:val="00A556C0"/>
    <w:rsid w:val="00A567A9"/>
    <w:rsid w:val="00A56E08"/>
    <w:rsid w:val="00A57108"/>
    <w:rsid w:val="00A60B96"/>
    <w:rsid w:val="00A61103"/>
    <w:rsid w:val="00A6483F"/>
    <w:rsid w:val="00A64E85"/>
    <w:rsid w:val="00A66C8F"/>
    <w:rsid w:val="00A673EB"/>
    <w:rsid w:val="00A707F7"/>
    <w:rsid w:val="00A7163E"/>
    <w:rsid w:val="00A71CA8"/>
    <w:rsid w:val="00A71E44"/>
    <w:rsid w:val="00A71F93"/>
    <w:rsid w:val="00A721FF"/>
    <w:rsid w:val="00A7294F"/>
    <w:rsid w:val="00A739AE"/>
    <w:rsid w:val="00A73BB4"/>
    <w:rsid w:val="00A73D39"/>
    <w:rsid w:val="00A74C02"/>
    <w:rsid w:val="00A75655"/>
    <w:rsid w:val="00A756BB"/>
    <w:rsid w:val="00A7586F"/>
    <w:rsid w:val="00A76C67"/>
    <w:rsid w:val="00A76F0E"/>
    <w:rsid w:val="00A80CFB"/>
    <w:rsid w:val="00A813F7"/>
    <w:rsid w:val="00A81B8C"/>
    <w:rsid w:val="00A81C30"/>
    <w:rsid w:val="00A82B58"/>
    <w:rsid w:val="00A8327B"/>
    <w:rsid w:val="00A84F04"/>
    <w:rsid w:val="00A85E44"/>
    <w:rsid w:val="00A87A0B"/>
    <w:rsid w:val="00A917F1"/>
    <w:rsid w:val="00A91A1E"/>
    <w:rsid w:val="00A93478"/>
    <w:rsid w:val="00A96FA9"/>
    <w:rsid w:val="00A972DB"/>
    <w:rsid w:val="00A973CD"/>
    <w:rsid w:val="00AA0700"/>
    <w:rsid w:val="00AA0B61"/>
    <w:rsid w:val="00AA0E82"/>
    <w:rsid w:val="00AA283E"/>
    <w:rsid w:val="00AA367B"/>
    <w:rsid w:val="00AA3A48"/>
    <w:rsid w:val="00AA3B13"/>
    <w:rsid w:val="00AA4014"/>
    <w:rsid w:val="00AA4379"/>
    <w:rsid w:val="00AA5033"/>
    <w:rsid w:val="00AA6052"/>
    <w:rsid w:val="00AA60BA"/>
    <w:rsid w:val="00AA705D"/>
    <w:rsid w:val="00AA77B8"/>
    <w:rsid w:val="00AA7AF0"/>
    <w:rsid w:val="00AB14D0"/>
    <w:rsid w:val="00AB16C8"/>
    <w:rsid w:val="00AB39FB"/>
    <w:rsid w:val="00AB4112"/>
    <w:rsid w:val="00AB415F"/>
    <w:rsid w:val="00AB75D3"/>
    <w:rsid w:val="00AB7900"/>
    <w:rsid w:val="00AB7967"/>
    <w:rsid w:val="00AC0EC6"/>
    <w:rsid w:val="00AC100F"/>
    <w:rsid w:val="00AC1F93"/>
    <w:rsid w:val="00AC24CF"/>
    <w:rsid w:val="00AC36D9"/>
    <w:rsid w:val="00AC3F23"/>
    <w:rsid w:val="00AC3FAC"/>
    <w:rsid w:val="00AC41EC"/>
    <w:rsid w:val="00AC4E68"/>
    <w:rsid w:val="00AC6B77"/>
    <w:rsid w:val="00AC7689"/>
    <w:rsid w:val="00AC78E8"/>
    <w:rsid w:val="00AC793F"/>
    <w:rsid w:val="00AC7C6D"/>
    <w:rsid w:val="00AD0BCE"/>
    <w:rsid w:val="00AD0F7C"/>
    <w:rsid w:val="00AD1817"/>
    <w:rsid w:val="00AD193F"/>
    <w:rsid w:val="00AD1E86"/>
    <w:rsid w:val="00AD260E"/>
    <w:rsid w:val="00AD2C37"/>
    <w:rsid w:val="00AD364F"/>
    <w:rsid w:val="00AD39C7"/>
    <w:rsid w:val="00AD3F91"/>
    <w:rsid w:val="00AD4815"/>
    <w:rsid w:val="00AD5959"/>
    <w:rsid w:val="00AD5B25"/>
    <w:rsid w:val="00AD73E4"/>
    <w:rsid w:val="00AD7675"/>
    <w:rsid w:val="00AD7CFC"/>
    <w:rsid w:val="00AE0BDD"/>
    <w:rsid w:val="00AE13B7"/>
    <w:rsid w:val="00AE15B1"/>
    <w:rsid w:val="00AE19AA"/>
    <w:rsid w:val="00AE3299"/>
    <w:rsid w:val="00AE39E4"/>
    <w:rsid w:val="00AE3E43"/>
    <w:rsid w:val="00AE42E7"/>
    <w:rsid w:val="00AE54E2"/>
    <w:rsid w:val="00AE5704"/>
    <w:rsid w:val="00AE6315"/>
    <w:rsid w:val="00AF05D2"/>
    <w:rsid w:val="00AF108A"/>
    <w:rsid w:val="00AF13BF"/>
    <w:rsid w:val="00AF17FF"/>
    <w:rsid w:val="00AF1BE4"/>
    <w:rsid w:val="00AF3364"/>
    <w:rsid w:val="00AF3886"/>
    <w:rsid w:val="00AF5395"/>
    <w:rsid w:val="00AF6728"/>
    <w:rsid w:val="00AF76D1"/>
    <w:rsid w:val="00AF7E18"/>
    <w:rsid w:val="00B0030E"/>
    <w:rsid w:val="00B0135E"/>
    <w:rsid w:val="00B02E55"/>
    <w:rsid w:val="00B03B57"/>
    <w:rsid w:val="00B048D2"/>
    <w:rsid w:val="00B049B0"/>
    <w:rsid w:val="00B04F34"/>
    <w:rsid w:val="00B05B51"/>
    <w:rsid w:val="00B07A96"/>
    <w:rsid w:val="00B11FB2"/>
    <w:rsid w:val="00B12837"/>
    <w:rsid w:val="00B12A48"/>
    <w:rsid w:val="00B1447B"/>
    <w:rsid w:val="00B15957"/>
    <w:rsid w:val="00B176A7"/>
    <w:rsid w:val="00B17FCA"/>
    <w:rsid w:val="00B2002C"/>
    <w:rsid w:val="00B202D5"/>
    <w:rsid w:val="00B20475"/>
    <w:rsid w:val="00B20E3B"/>
    <w:rsid w:val="00B20FA1"/>
    <w:rsid w:val="00B21F04"/>
    <w:rsid w:val="00B21F7A"/>
    <w:rsid w:val="00B23038"/>
    <w:rsid w:val="00B24D31"/>
    <w:rsid w:val="00B24E25"/>
    <w:rsid w:val="00B24F9E"/>
    <w:rsid w:val="00B25C9D"/>
    <w:rsid w:val="00B262CF"/>
    <w:rsid w:val="00B26B4E"/>
    <w:rsid w:val="00B27357"/>
    <w:rsid w:val="00B274E0"/>
    <w:rsid w:val="00B2799C"/>
    <w:rsid w:val="00B30BFA"/>
    <w:rsid w:val="00B32C7A"/>
    <w:rsid w:val="00B32CC6"/>
    <w:rsid w:val="00B342A0"/>
    <w:rsid w:val="00B345AC"/>
    <w:rsid w:val="00B34674"/>
    <w:rsid w:val="00B37B2B"/>
    <w:rsid w:val="00B41247"/>
    <w:rsid w:val="00B413F2"/>
    <w:rsid w:val="00B419E2"/>
    <w:rsid w:val="00B42A05"/>
    <w:rsid w:val="00B42E8E"/>
    <w:rsid w:val="00B441AA"/>
    <w:rsid w:val="00B45295"/>
    <w:rsid w:val="00B45FE5"/>
    <w:rsid w:val="00B46013"/>
    <w:rsid w:val="00B47D3C"/>
    <w:rsid w:val="00B52023"/>
    <w:rsid w:val="00B5284A"/>
    <w:rsid w:val="00B54576"/>
    <w:rsid w:val="00B54904"/>
    <w:rsid w:val="00B55CC7"/>
    <w:rsid w:val="00B617F6"/>
    <w:rsid w:val="00B61C62"/>
    <w:rsid w:val="00B621C7"/>
    <w:rsid w:val="00B62227"/>
    <w:rsid w:val="00B64536"/>
    <w:rsid w:val="00B64970"/>
    <w:rsid w:val="00B64B86"/>
    <w:rsid w:val="00B65700"/>
    <w:rsid w:val="00B65D9F"/>
    <w:rsid w:val="00B672F4"/>
    <w:rsid w:val="00B676A4"/>
    <w:rsid w:val="00B709CA"/>
    <w:rsid w:val="00B72107"/>
    <w:rsid w:val="00B72E1D"/>
    <w:rsid w:val="00B73352"/>
    <w:rsid w:val="00B737C5"/>
    <w:rsid w:val="00B74135"/>
    <w:rsid w:val="00B74A5B"/>
    <w:rsid w:val="00B751DF"/>
    <w:rsid w:val="00B76399"/>
    <w:rsid w:val="00B767B9"/>
    <w:rsid w:val="00B771F7"/>
    <w:rsid w:val="00B7780A"/>
    <w:rsid w:val="00B80149"/>
    <w:rsid w:val="00B811EC"/>
    <w:rsid w:val="00B81DD9"/>
    <w:rsid w:val="00B8205D"/>
    <w:rsid w:val="00B82A4D"/>
    <w:rsid w:val="00B835F0"/>
    <w:rsid w:val="00B86518"/>
    <w:rsid w:val="00B8676E"/>
    <w:rsid w:val="00B87A6F"/>
    <w:rsid w:val="00B9081B"/>
    <w:rsid w:val="00B917FF"/>
    <w:rsid w:val="00B91B64"/>
    <w:rsid w:val="00B92D4F"/>
    <w:rsid w:val="00B9324E"/>
    <w:rsid w:val="00B935E7"/>
    <w:rsid w:val="00B93720"/>
    <w:rsid w:val="00B9387C"/>
    <w:rsid w:val="00B93E38"/>
    <w:rsid w:val="00B95979"/>
    <w:rsid w:val="00B96992"/>
    <w:rsid w:val="00B96A88"/>
    <w:rsid w:val="00B97C8C"/>
    <w:rsid w:val="00BA005C"/>
    <w:rsid w:val="00BA0774"/>
    <w:rsid w:val="00BA0DE7"/>
    <w:rsid w:val="00BA420C"/>
    <w:rsid w:val="00BA6B0E"/>
    <w:rsid w:val="00BA6DE3"/>
    <w:rsid w:val="00BA71DE"/>
    <w:rsid w:val="00BB0BC1"/>
    <w:rsid w:val="00BB1B86"/>
    <w:rsid w:val="00BB204D"/>
    <w:rsid w:val="00BB217E"/>
    <w:rsid w:val="00BB3CE1"/>
    <w:rsid w:val="00BB4634"/>
    <w:rsid w:val="00BB518B"/>
    <w:rsid w:val="00BB6D7B"/>
    <w:rsid w:val="00BB728C"/>
    <w:rsid w:val="00BB791B"/>
    <w:rsid w:val="00BB7A72"/>
    <w:rsid w:val="00BC12A2"/>
    <w:rsid w:val="00BC197D"/>
    <w:rsid w:val="00BC2430"/>
    <w:rsid w:val="00BC40B3"/>
    <w:rsid w:val="00BC4A49"/>
    <w:rsid w:val="00BC6C14"/>
    <w:rsid w:val="00BC76F1"/>
    <w:rsid w:val="00BD1581"/>
    <w:rsid w:val="00BD2437"/>
    <w:rsid w:val="00BD4C13"/>
    <w:rsid w:val="00BD58DD"/>
    <w:rsid w:val="00BD66D9"/>
    <w:rsid w:val="00BD6C65"/>
    <w:rsid w:val="00BD74A7"/>
    <w:rsid w:val="00BD7EDF"/>
    <w:rsid w:val="00BE185F"/>
    <w:rsid w:val="00BE1862"/>
    <w:rsid w:val="00BE1E72"/>
    <w:rsid w:val="00BE1EC8"/>
    <w:rsid w:val="00BE50DF"/>
    <w:rsid w:val="00BE564B"/>
    <w:rsid w:val="00BE5835"/>
    <w:rsid w:val="00BE68AE"/>
    <w:rsid w:val="00BE6E04"/>
    <w:rsid w:val="00BE75F0"/>
    <w:rsid w:val="00BE7ABA"/>
    <w:rsid w:val="00BF09F3"/>
    <w:rsid w:val="00BF0DA7"/>
    <w:rsid w:val="00BF35F9"/>
    <w:rsid w:val="00BF3925"/>
    <w:rsid w:val="00BF4750"/>
    <w:rsid w:val="00BF5E39"/>
    <w:rsid w:val="00BF6C55"/>
    <w:rsid w:val="00BF6F63"/>
    <w:rsid w:val="00BF70EA"/>
    <w:rsid w:val="00BF7FE0"/>
    <w:rsid w:val="00C00132"/>
    <w:rsid w:val="00C00662"/>
    <w:rsid w:val="00C00D7D"/>
    <w:rsid w:val="00C01A5F"/>
    <w:rsid w:val="00C01A73"/>
    <w:rsid w:val="00C0331D"/>
    <w:rsid w:val="00C03690"/>
    <w:rsid w:val="00C03775"/>
    <w:rsid w:val="00C040A1"/>
    <w:rsid w:val="00C0457B"/>
    <w:rsid w:val="00C05404"/>
    <w:rsid w:val="00C06A4B"/>
    <w:rsid w:val="00C06A7A"/>
    <w:rsid w:val="00C06E45"/>
    <w:rsid w:val="00C0714C"/>
    <w:rsid w:val="00C071D4"/>
    <w:rsid w:val="00C0747A"/>
    <w:rsid w:val="00C12669"/>
    <w:rsid w:val="00C1294C"/>
    <w:rsid w:val="00C12EF3"/>
    <w:rsid w:val="00C133AE"/>
    <w:rsid w:val="00C1509B"/>
    <w:rsid w:val="00C15D4F"/>
    <w:rsid w:val="00C16889"/>
    <w:rsid w:val="00C17EA4"/>
    <w:rsid w:val="00C20407"/>
    <w:rsid w:val="00C20597"/>
    <w:rsid w:val="00C208CC"/>
    <w:rsid w:val="00C20A28"/>
    <w:rsid w:val="00C20C4B"/>
    <w:rsid w:val="00C21646"/>
    <w:rsid w:val="00C221A3"/>
    <w:rsid w:val="00C22DED"/>
    <w:rsid w:val="00C2459B"/>
    <w:rsid w:val="00C26113"/>
    <w:rsid w:val="00C30037"/>
    <w:rsid w:val="00C30A25"/>
    <w:rsid w:val="00C31675"/>
    <w:rsid w:val="00C31A33"/>
    <w:rsid w:val="00C32B9D"/>
    <w:rsid w:val="00C33118"/>
    <w:rsid w:val="00C3385F"/>
    <w:rsid w:val="00C353C1"/>
    <w:rsid w:val="00C36C3D"/>
    <w:rsid w:val="00C36ECD"/>
    <w:rsid w:val="00C37377"/>
    <w:rsid w:val="00C37F55"/>
    <w:rsid w:val="00C43135"/>
    <w:rsid w:val="00C43444"/>
    <w:rsid w:val="00C448E8"/>
    <w:rsid w:val="00C4562D"/>
    <w:rsid w:val="00C47409"/>
    <w:rsid w:val="00C478DE"/>
    <w:rsid w:val="00C47DDE"/>
    <w:rsid w:val="00C50031"/>
    <w:rsid w:val="00C509D9"/>
    <w:rsid w:val="00C50E46"/>
    <w:rsid w:val="00C52B80"/>
    <w:rsid w:val="00C52F78"/>
    <w:rsid w:val="00C53399"/>
    <w:rsid w:val="00C53BC4"/>
    <w:rsid w:val="00C54EE8"/>
    <w:rsid w:val="00C553BA"/>
    <w:rsid w:val="00C568D0"/>
    <w:rsid w:val="00C57A0B"/>
    <w:rsid w:val="00C57E99"/>
    <w:rsid w:val="00C57EA4"/>
    <w:rsid w:val="00C6011A"/>
    <w:rsid w:val="00C61380"/>
    <w:rsid w:val="00C62B57"/>
    <w:rsid w:val="00C63793"/>
    <w:rsid w:val="00C63BC0"/>
    <w:rsid w:val="00C63C35"/>
    <w:rsid w:val="00C63D16"/>
    <w:rsid w:val="00C64C4A"/>
    <w:rsid w:val="00C64CB1"/>
    <w:rsid w:val="00C651C2"/>
    <w:rsid w:val="00C655DF"/>
    <w:rsid w:val="00C7005B"/>
    <w:rsid w:val="00C7040C"/>
    <w:rsid w:val="00C70657"/>
    <w:rsid w:val="00C7237C"/>
    <w:rsid w:val="00C74477"/>
    <w:rsid w:val="00C744BE"/>
    <w:rsid w:val="00C74BF8"/>
    <w:rsid w:val="00C74D79"/>
    <w:rsid w:val="00C75FEA"/>
    <w:rsid w:val="00C80386"/>
    <w:rsid w:val="00C80FF0"/>
    <w:rsid w:val="00C814B7"/>
    <w:rsid w:val="00C8366B"/>
    <w:rsid w:val="00C84457"/>
    <w:rsid w:val="00C849D8"/>
    <w:rsid w:val="00C8526C"/>
    <w:rsid w:val="00C859C6"/>
    <w:rsid w:val="00C85B06"/>
    <w:rsid w:val="00C861CD"/>
    <w:rsid w:val="00C86A89"/>
    <w:rsid w:val="00C908B8"/>
    <w:rsid w:val="00C9155D"/>
    <w:rsid w:val="00C920C9"/>
    <w:rsid w:val="00C92D69"/>
    <w:rsid w:val="00C93060"/>
    <w:rsid w:val="00C931DC"/>
    <w:rsid w:val="00C94C89"/>
    <w:rsid w:val="00C94E63"/>
    <w:rsid w:val="00C94F0D"/>
    <w:rsid w:val="00C952B4"/>
    <w:rsid w:val="00C95DFF"/>
    <w:rsid w:val="00CA0360"/>
    <w:rsid w:val="00CA130E"/>
    <w:rsid w:val="00CA284C"/>
    <w:rsid w:val="00CA36CC"/>
    <w:rsid w:val="00CA3FBE"/>
    <w:rsid w:val="00CA4FE8"/>
    <w:rsid w:val="00CA50F3"/>
    <w:rsid w:val="00CA6009"/>
    <w:rsid w:val="00CA6228"/>
    <w:rsid w:val="00CA6567"/>
    <w:rsid w:val="00CA751D"/>
    <w:rsid w:val="00CA75A5"/>
    <w:rsid w:val="00CB0820"/>
    <w:rsid w:val="00CB0E7D"/>
    <w:rsid w:val="00CB13B8"/>
    <w:rsid w:val="00CB15C8"/>
    <w:rsid w:val="00CB1A41"/>
    <w:rsid w:val="00CB1B05"/>
    <w:rsid w:val="00CB2753"/>
    <w:rsid w:val="00CB4083"/>
    <w:rsid w:val="00CB47CC"/>
    <w:rsid w:val="00CB6770"/>
    <w:rsid w:val="00CB6C8E"/>
    <w:rsid w:val="00CC1517"/>
    <w:rsid w:val="00CC15D4"/>
    <w:rsid w:val="00CC2CC1"/>
    <w:rsid w:val="00CC2DCE"/>
    <w:rsid w:val="00CC4B4E"/>
    <w:rsid w:val="00CC7F77"/>
    <w:rsid w:val="00CD1691"/>
    <w:rsid w:val="00CD16AC"/>
    <w:rsid w:val="00CD229F"/>
    <w:rsid w:val="00CD331D"/>
    <w:rsid w:val="00CD33D9"/>
    <w:rsid w:val="00CD3D03"/>
    <w:rsid w:val="00CD52D6"/>
    <w:rsid w:val="00CD60CE"/>
    <w:rsid w:val="00CD6A17"/>
    <w:rsid w:val="00CD6AFA"/>
    <w:rsid w:val="00CD73A5"/>
    <w:rsid w:val="00CE1315"/>
    <w:rsid w:val="00CE2F48"/>
    <w:rsid w:val="00CE3CF7"/>
    <w:rsid w:val="00CE3E45"/>
    <w:rsid w:val="00CE4759"/>
    <w:rsid w:val="00CE47C0"/>
    <w:rsid w:val="00CE6138"/>
    <w:rsid w:val="00CE6D7B"/>
    <w:rsid w:val="00CF1546"/>
    <w:rsid w:val="00CF28D9"/>
    <w:rsid w:val="00CF36EA"/>
    <w:rsid w:val="00CF3B07"/>
    <w:rsid w:val="00CF3C8C"/>
    <w:rsid w:val="00CF499F"/>
    <w:rsid w:val="00CF4DB0"/>
    <w:rsid w:val="00CF4DE0"/>
    <w:rsid w:val="00CF5207"/>
    <w:rsid w:val="00CF58B7"/>
    <w:rsid w:val="00CF596A"/>
    <w:rsid w:val="00CF6816"/>
    <w:rsid w:val="00CF7797"/>
    <w:rsid w:val="00CF7C35"/>
    <w:rsid w:val="00D0095E"/>
    <w:rsid w:val="00D00BB3"/>
    <w:rsid w:val="00D00F21"/>
    <w:rsid w:val="00D01D55"/>
    <w:rsid w:val="00D02292"/>
    <w:rsid w:val="00D022A5"/>
    <w:rsid w:val="00D027C1"/>
    <w:rsid w:val="00D02CC1"/>
    <w:rsid w:val="00D03B17"/>
    <w:rsid w:val="00D04185"/>
    <w:rsid w:val="00D0418B"/>
    <w:rsid w:val="00D043D2"/>
    <w:rsid w:val="00D04B4F"/>
    <w:rsid w:val="00D04B91"/>
    <w:rsid w:val="00D0788B"/>
    <w:rsid w:val="00D078F5"/>
    <w:rsid w:val="00D079AD"/>
    <w:rsid w:val="00D112D3"/>
    <w:rsid w:val="00D12A75"/>
    <w:rsid w:val="00D132FF"/>
    <w:rsid w:val="00D13854"/>
    <w:rsid w:val="00D13ABD"/>
    <w:rsid w:val="00D141CB"/>
    <w:rsid w:val="00D141F5"/>
    <w:rsid w:val="00D14392"/>
    <w:rsid w:val="00D14FE3"/>
    <w:rsid w:val="00D160E0"/>
    <w:rsid w:val="00D16399"/>
    <w:rsid w:val="00D163C0"/>
    <w:rsid w:val="00D16A30"/>
    <w:rsid w:val="00D16CB2"/>
    <w:rsid w:val="00D16D6B"/>
    <w:rsid w:val="00D2065C"/>
    <w:rsid w:val="00D20E78"/>
    <w:rsid w:val="00D21240"/>
    <w:rsid w:val="00D2187A"/>
    <w:rsid w:val="00D21887"/>
    <w:rsid w:val="00D221DA"/>
    <w:rsid w:val="00D22786"/>
    <w:rsid w:val="00D228EF"/>
    <w:rsid w:val="00D2295E"/>
    <w:rsid w:val="00D23536"/>
    <w:rsid w:val="00D2407B"/>
    <w:rsid w:val="00D2430E"/>
    <w:rsid w:val="00D24E89"/>
    <w:rsid w:val="00D26751"/>
    <w:rsid w:val="00D3146E"/>
    <w:rsid w:val="00D31B34"/>
    <w:rsid w:val="00D31D40"/>
    <w:rsid w:val="00D32187"/>
    <w:rsid w:val="00D32704"/>
    <w:rsid w:val="00D33B5E"/>
    <w:rsid w:val="00D3467D"/>
    <w:rsid w:val="00D351C1"/>
    <w:rsid w:val="00D3526C"/>
    <w:rsid w:val="00D35F14"/>
    <w:rsid w:val="00D36586"/>
    <w:rsid w:val="00D376BD"/>
    <w:rsid w:val="00D403D4"/>
    <w:rsid w:val="00D41D49"/>
    <w:rsid w:val="00D42059"/>
    <w:rsid w:val="00D4239A"/>
    <w:rsid w:val="00D437F7"/>
    <w:rsid w:val="00D4396E"/>
    <w:rsid w:val="00D439AA"/>
    <w:rsid w:val="00D43D36"/>
    <w:rsid w:val="00D44561"/>
    <w:rsid w:val="00D44D8A"/>
    <w:rsid w:val="00D44F83"/>
    <w:rsid w:val="00D47575"/>
    <w:rsid w:val="00D47B22"/>
    <w:rsid w:val="00D50532"/>
    <w:rsid w:val="00D50FCD"/>
    <w:rsid w:val="00D517FF"/>
    <w:rsid w:val="00D52125"/>
    <w:rsid w:val="00D528BE"/>
    <w:rsid w:val="00D531C5"/>
    <w:rsid w:val="00D53A21"/>
    <w:rsid w:val="00D568DD"/>
    <w:rsid w:val="00D57CEB"/>
    <w:rsid w:val="00D60D05"/>
    <w:rsid w:val="00D612F3"/>
    <w:rsid w:val="00D61506"/>
    <w:rsid w:val="00D621A4"/>
    <w:rsid w:val="00D62381"/>
    <w:rsid w:val="00D62609"/>
    <w:rsid w:val="00D629ED"/>
    <w:rsid w:val="00D63A8A"/>
    <w:rsid w:val="00D65A75"/>
    <w:rsid w:val="00D6638A"/>
    <w:rsid w:val="00D66B1C"/>
    <w:rsid w:val="00D66CC8"/>
    <w:rsid w:val="00D670D3"/>
    <w:rsid w:val="00D672F1"/>
    <w:rsid w:val="00D71678"/>
    <w:rsid w:val="00D71B5E"/>
    <w:rsid w:val="00D722BB"/>
    <w:rsid w:val="00D72A39"/>
    <w:rsid w:val="00D731A9"/>
    <w:rsid w:val="00D73371"/>
    <w:rsid w:val="00D73D03"/>
    <w:rsid w:val="00D74CA1"/>
    <w:rsid w:val="00D75EEC"/>
    <w:rsid w:val="00D76F76"/>
    <w:rsid w:val="00D77BE5"/>
    <w:rsid w:val="00D80157"/>
    <w:rsid w:val="00D812E1"/>
    <w:rsid w:val="00D814B3"/>
    <w:rsid w:val="00D817B2"/>
    <w:rsid w:val="00D83111"/>
    <w:rsid w:val="00D83CAF"/>
    <w:rsid w:val="00D83CB0"/>
    <w:rsid w:val="00D84014"/>
    <w:rsid w:val="00D858B6"/>
    <w:rsid w:val="00D85A0E"/>
    <w:rsid w:val="00D862D3"/>
    <w:rsid w:val="00D86979"/>
    <w:rsid w:val="00D86BF0"/>
    <w:rsid w:val="00D87A00"/>
    <w:rsid w:val="00D91857"/>
    <w:rsid w:val="00D923BF"/>
    <w:rsid w:val="00D92CB0"/>
    <w:rsid w:val="00D92D72"/>
    <w:rsid w:val="00D92EDD"/>
    <w:rsid w:val="00D94311"/>
    <w:rsid w:val="00D94834"/>
    <w:rsid w:val="00D95CC2"/>
    <w:rsid w:val="00D95F5C"/>
    <w:rsid w:val="00D95FA4"/>
    <w:rsid w:val="00D9682C"/>
    <w:rsid w:val="00D97876"/>
    <w:rsid w:val="00DA01E4"/>
    <w:rsid w:val="00DA3BE2"/>
    <w:rsid w:val="00DA40C0"/>
    <w:rsid w:val="00DA5827"/>
    <w:rsid w:val="00DA5A53"/>
    <w:rsid w:val="00DB2828"/>
    <w:rsid w:val="00DB42C9"/>
    <w:rsid w:val="00DB4B55"/>
    <w:rsid w:val="00DB4D4C"/>
    <w:rsid w:val="00DB50C9"/>
    <w:rsid w:val="00DB523C"/>
    <w:rsid w:val="00DB5DB4"/>
    <w:rsid w:val="00DB5FC5"/>
    <w:rsid w:val="00DB792F"/>
    <w:rsid w:val="00DB7C50"/>
    <w:rsid w:val="00DB7FA2"/>
    <w:rsid w:val="00DC23A9"/>
    <w:rsid w:val="00DC2522"/>
    <w:rsid w:val="00DC5220"/>
    <w:rsid w:val="00DC64BE"/>
    <w:rsid w:val="00DC68D6"/>
    <w:rsid w:val="00DC74AE"/>
    <w:rsid w:val="00DD0BD8"/>
    <w:rsid w:val="00DD0C0E"/>
    <w:rsid w:val="00DD1198"/>
    <w:rsid w:val="00DD1BFE"/>
    <w:rsid w:val="00DD316E"/>
    <w:rsid w:val="00DD4DDA"/>
    <w:rsid w:val="00DD56F6"/>
    <w:rsid w:val="00DD610B"/>
    <w:rsid w:val="00DD6603"/>
    <w:rsid w:val="00DE05AF"/>
    <w:rsid w:val="00DE0D55"/>
    <w:rsid w:val="00DE26B5"/>
    <w:rsid w:val="00DE2F66"/>
    <w:rsid w:val="00DE3E4F"/>
    <w:rsid w:val="00DF0410"/>
    <w:rsid w:val="00DF0C3F"/>
    <w:rsid w:val="00DF0C68"/>
    <w:rsid w:val="00DF11E0"/>
    <w:rsid w:val="00DF14AE"/>
    <w:rsid w:val="00DF1BE4"/>
    <w:rsid w:val="00DF2D9D"/>
    <w:rsid w:val="00DF479B"/>
    <w:rsid w:val="00DF53EB"/>
    <w:rsid w:val="00DF54C4"/>
    <w:rsid w:val="00DF62DE"/>
    <w:rsid w:val="00E01FA7"/>
    <w:rsid w:val="00E02F6D"/>
    <w:rsid w:val="00E03454"/>
    <w:rsid w:val="00E042EB"/>
    <w:rsid w:val="00E04897"/>
    <w:rsid w:val="00E10156"/>
    <w:rsid w:val="00E10237"/>
    <w:rsid w:val="00E10769"/>
    <w:rsid w:val="00E10BDD"/>
    <w:rsid w:val="00E112A3"/>
    <w:rsid w:val="00E11BC7"/>
    <w:rsid w:val="00E126B2"/>
    <w:rsid w:val="00E12A17"/>
    <w:rsid w:val="00E12D66"/>
    <w:rsid w:val="00E14203"/>
    <w:rsid w:val="00E14EFB"/>
    <w:rsid w:val="00E1501A"/>
    <w:rsid w:val="00E1550C"/>
    <w:rsid w:val="00E15716"/>
    <w:rsid w:val="00E15955"/>
    <w:rsid w:val="00E160E0"/>
    <w:rsid w:val="00E16370"/>
    <w:rsid w:val="00E21C70"/>
    <w:rsid w:val="00E223DC"/>
    <w:rsid w:val="00E23579"/>
    <w:rsid w:val="00E23626"/>
    <w:rsid w:val="00E25274"/>
    <w:rsid w:val="00E257A6"/>
    <w:rsid w:val="00E257B1"/>
    <w:rsid w:val="00E26916"/>
    <w:rsid w:val="00E30665"/>
    <w:rsid w:val="00E309CF"/>
    <w:rsid w:val="00E313FE"/>
    <w:rsid w:val="00E32B16"/>
    <w:rsid w:val="00E3325A"/>
    <w:rsid w:val="00E346B5"/>
    <w:rsid w:val="00E352FD"/>
    <w:rsid w:val="00E354A2"/>
    <w:rsid w:val="00E36527"/>
    <w:rsid w:val="00E4022E"/>
    <w:rsid w:val="00E402FC"/>
    <w:rsid w:val="00E40480"/>
    <w:rsid w:val="00E418DC"/>
    <w:rsid w:val="00E42A7A"/>
    <w:rsid w:val="00E43595"/>
    <w:rsid w:val="00E45B00"/>
    <w:rsid w:val="00E47146"/>
    <w:rsid w:val="00E50254"/>
    <w:rsid w:val="00E507CD"/>
    <w:rsid w:val="00E50B54"/>
    <w:rsid w:val="00E51920"/>
    <w:rsid w:val="00E5220E"/>
    <w:rsid w:val="00E52F04"/>
    <w:rsid w:val="00E53182"/>
    <w:rsid w:val="00E53214"/>
    <w:rsid w:val="00E533B5"/>
    <w:rsid w:val="00E56515"/>
    <w:rsid w:val="00E578AE"/>
    <w:rsid w:val="00E60BEA"/>
    <w:rsid w:val="00E61EF3"/>
    <w:rsid w:val="00E6227E"/>
    <w:rsid w:val="00E62F68"/>
    <w:rsid w:val="00E63C49"/>
    <w:rsid w:val="00E64120"/>
    <w:rsid w:val="00E657DB"/>
    <w:rsid w:val="00E663A4"/>
    <w:rsid w:val="00E678D5"/>
    <w:rsid w:val="00E67DBB"/>
    <w:rsid w:val="00E70E80"/>
    <w:rsid w:val="00E71F48"/>
    <w:rsid w:val="00E72ADF"/>
    <w:rsid w:val="00E738D9"/>
    <w:rsid w:val="00E739E8"/>
    <w:rsid w:val="00E73C87"/>
    <w:rsid w:val="00E76557"/>
    <w:rsid w:val="00E7782B"/>
    <w:rsid w:val="00E80883"/>
    <w:rsid w:val="00E80D5F"/>
    <w:rsid w:val="00E81054"/>
    <w:rsid w:val="00E81305"/>
    <w:rsid w:val="00E818D9"/>
    <w:rsid w:val="00E82A51"/>
    <w:rsid w:val="00E841F5"/>
    <w:rsid w:val="00E842B3"/>
    <w:rsid w:val="00E8516B"/>
    <w:rsid w:val="00E85196"/>
    <w:rsid w:val="00E87C6E"/>
    <w:rsid w:val="00E9062C"/>
    <w:rsid w:val="00E92F17"/>
    <w:rsid w:val="00E934D9"/>
    <w:rsid w:val="00E94EED"/>
    <w:rsid w:val="00E95619"/>
    <w:rsid w:val="00E95BA8"/>
    <w:rsid w:val="00E96A3D"/>
    <w:rsid w:val="00E9717F"/>
    <w:rsid w:val="00E972D2"/>
    <w:rsid w:val="00E9784F"/>
    <w:rsid w:val="00E9793F"/>
    <w:rsid w:val="00EA1211"/>
    <w:rsid w:val="00EA29C8"/>
    <w:rsid w:val="00EA529C"/>
    <w:rsid w:val="00EA55DC"/>
    <w:rsid w:val="00EA5975"/>
    <w:rsid w:val="00EA5D1E"/>
    <w:rsid w:val="00EA5F3B"/>
    <w:rsid w:val="00EA601C"/>
    <w:rsid w:val="00EA6C2F"/>
    <w:rsid w:val="00EA721E"/>
    <w:rsid w:val="00EA7951"/>
    <w:rsid w:val="00EB05B1"/>
    <w:rsid w:val="00EB22DD"/>
    <w:rsid w:val="00EB2AA3"/>
    <w:rsid w:val="00EB2E42"/>
    <w:rsid w:val="00EB33D3"/>
    <w:rsid w:val="00EB4062"/>
    <w:rsid w:val="00EB4D61"/>
    <w:rsid w:val="00EB5C1B"/>
    <w:rsid w:val="00EB757E"/>
    <w:rsid w:val="00EB7EC0"/>
    <w:rsid w:val="00EC01CA"/>
    <w:rsid w:val="00EC079E"/>
    <w:rsid w:val="00EC24A4"/>
    <w:rsid w:val="00EC3567"/>
    <w:rsid w:val="00EC383E"/>
    <w:rsid w:val="00EC5082"/>
    <w:rsid w:val="00EC5410"/>
    <w:rsid w:val="00EC5545"/>
    <w:rsid w:val="00EC5693"/>
    <w:rsid w:val="00EC667E"/>
    <w:rsid w:val="00EC6922"/>
    <w:rsid w:val="00EC6E13"/>
    <w:rsid w:val="00EC7287"/>
    <w:rsid w:val="00EC7558"/>
    <w:rsid w:val="00EC7C1F"/>
    <w:rsid w:val="00ED0048"/>
    <w:rsid w:val="00ED0917"/>
    <w:rsid w:val="00ED11DD"/>
    <w:rsid w:val="00ED1A38"/>
    <w:rsid w:val="00ED1FE2"/>
    <w:rsid w:val="00ED30DC"/>
    <w:rsid w:val="00ED41D4"/>
    <w:rsid w:val="00ED42B7"/>
    <w:rsid w:val="00ED42E1"/>
    <w:rsid w:val="00ED486D"/>
    <w:rsid w:val="00ED61EE"/>
    <w:rsid w:val="00EE1CF7"/>
    <w:rsid w:val="00EE49E6"/>
    <w:rsid w:val="00EE4C3D"/>
    <w:rsid w:val="00EE4E94"/>
    <w:rsid w:val="00EE748A"/>
    <w:rsid w:val="00EF078D"/>
    <w:rsid w:val="00EF2532"/>
    <w:rsid w:val="00EF3298"/>
    <w:rsid w:val="00EF52B4"/>
    <w:rsid w:val="00EF5DFA"/>
    <w:rsid w:val="00EF6FEB"/>
    <w:rsid w:val="00F01920"/>
    <w:rsid w:val="00F02C53"/>
    <w:rsid w:val="00F04347"/>
    <w:rsid w:val="00F04570"/>
    <w:rsid w:val="00F04826"/>
    <w:rsid w:val="00F055F1"/>
    <w:rsid w:val="00F05CD5"/>
    <w:rsid w:val="00F076C4"/>
    <w:rsid w:val="00F1031F"/>
    <w:rsid w:val="00F11229"/>
    <w:rsid w:val="00F114F8"/>
    <w:rsid w:val="00F11B51"/>
    <w:rsid w:val="00F11EE1"/>
    <w:rsid w:val="00F1252A"/>
    <w:rsid w:val="00F16B87"/>
    <w:rsid w:val="00F17DB3"/>
    <w:rsid w:val="00F20276"/>
    <w:rsid w:val="00F20713"/>
    <w:rsid w:val="00F208DB"/>
    <w:rsid w:val="00F20FAE"/>
    <w:rsid w:val="00F211AC"/>
    <w:rsid w:val="00F229F2"/>
    <w:rsid w:val="00F2333B"/>
    <w:rsid w:val="00F266ED"/>
    <w:rsid w:val="00F27622"/>
    <w:rsid w:val="00F31FAB"/>
    <w:rsid w:val="00F322F4"/>
    <w:rsid w:val="00F32A96"/>
    <w:rsid w:val="00F32D0F"/>
    <w:rsid w:val="00F333EC"/>
    <w:rsid w:val="00F34ABE"/>
    <w:rsid w:val="00F359DA"/>
    <w:rsid w:val="00F35EE9"/>
    <w:rsid w:val="00F37AEA"/>
    <w:rsid w:val="00F40216"/>
    <w:rsid w:val="00F41978"/>
    <w:rsid w:val="00F42F2E"/>
    <w:rsid w:val="00F440D4"/>
    <w:rsid w:val="00F45122"/>
    <w:rsid w:val="00F45166"/>
    <w:rsid w:val="00F45BD5"/>
    <w:rsid w:val="00F45FBA"/>
    <w:rsid w:val="00F4643B"/>
    <w:rsid w:val="00F46AF6"/>
    <w:rsid w:val="00F5150D"/>
    <w:rsid w:val="00F517E3"/>
    <w:rsid w:val="00F52150"/>
    <w:rsid w:val="00F5305E"/>
    <w:rsid w:val="00F53FF6"/>
    <w:rsid w:val="00F54082"/>
    <w:rsid w:val="00F5420A"/>
    <w:rsid w:val="00F543BA"/>
    <w:rsid w:val="00F54596"/>
    <w:rsid w:val="00F558F6"/>
    <w:rsid w:val="00F566ED"/>
    <w:rsid w:val="00F56DE9"/>
    <w:rsid w:val="00F570B9"/>
    <w:rsid w:val="00F5760D"/>
    <w:rsid w:val="00F603D8"/>
    <w:rsid w:val="00F606A4"/>
    <w:rsid w:val="00F62C6B"/>
    <w:rsid w:val="00F643EC"/>
    <w:rsid w:val="00F64784"/>
    <w:rsid w:val="00F653D3"/>
    <w:rsid w:val="00F65BF2"/>
    <w:rsid w:val="00F66725"/>
    <w:rsid w:val="00F6784F"/>
    <w:rsid w:val="00F67946"/>
    <w:rsid w:val="00F7055C"/>
    <w:rsid w:val="00F7367E"/>
    <w:rsid w:val="00F76EDE"/>
    <w:rsid w:val="00F77391"/>
    <w:rsid w:val="00F77659"/>
    <w:rsid w:val="00F800F3"/>
    <w:rsid w:val="00F8088B"/>
    <w:rsid w:val="00F81230"/>
    <w:rsid w:val="00F82176"/>
    <w:rsid w:val="00F82377"/>
    <w:rsid w:val="00F83776"/>
    <w:rsid w:val="00F83BC9"/>
    <w:rsid w:val="00F84844"/>
    <w:rsid w:val="00F848CE"/>
    <w:rsid w:val="00F8529B"/>
    <w:rsid w:val="00F85A25"/>
    <w:rsid w:val="00F85BF7"/>
    <w:rsid w:val="00F86B2B"/>
    <w:rsid w:val="00F87699"/>
    <w:rsid w:val="00F90A03"/>
    <w:rsid w:val="00F91113"/>
    <w:rsid w:val="00F9187A"/>
    <w:rsid w:val="00F91DF8"/>
    <w:rsid w:val="00F920EF"/>
    <w:rsid w:val="00F9267D"/>
    <w:rsid w:val="00F92841"/>
    <w:rsid w:val="00F92F4E"/>
    <w:rsid w:val="00F93FDF"/>
    <w:rsid w:val="00F94538"/>
    <w:rsid w:val="00F95A57"/>
    <w:rsid w:val="00F95FA8"/>
    <w:rsid w:val="00F96905"/>
    <w:rsid w:val="00F96F94"/>
    <w:rsid w:val="00F973C6"/>
    <w:rsid w:val="00F973E3"/>
    <w:rsid w:val="00FA0345"/>
    <w:rsid w:val="00FA102A"/>
    <w:rsid w:val="00FA1131"/>
    <w:rsid w:val="00FA122B"/>
    <w:rsid w:val="00FA127D"/>
    <w:rsid w:val="00FA1373"/>
    <w:rsid w:val="00FA199E"/>
    <w:rsid w:val="00FA30B3"/>
    <w:rsid w:val="00FA386C"/>
    <w:rsid w:val="00FA414C"/>
    <w:rsid w:val="00FA425C"/>
    <w:rsid w:val="00FA61CA"/>
    <w:rsid w:val="00FA6360"/>
    <w:rsid w:val="00FA68D0"/>
    <w:rsid w:val="00FA6FCE"/>
    <w:rsid w:val="00FA745A"/>
    <w:rsid w:val="00FB0056"/>
    <w:rsid w:val="00FB03B6"/>
    <w:rsid w:val="00FB0F8E"/>
    <w:rsid w:val="00FB119D"/>
    <w:rsid w:val="00FB135E"/>
    <w:rsid w:val="00FB156C"/>
    <w:rsid w:val="00FB1C46"/>
    <w:rsid w:val="00FB3AB6"/>
    <w:rsid w:val="00FB3BAF"/>
    <w:rsid w:val="00FB4A63"/>
    <w:rsid w:val="00FB5CCC"/>
    <w:rsid w:val="00FB6600"/>
    <w:rsid w:val="00FB6682"/>
    <w:rsid w:val="00FB6D8E"/>
    <w:rsid w:val="00FB7663"/>
    <w:rsid w:val="00FB7A2C"/>
    <w:rsid w:val="00FC10ED"/>
    <w:rsid w:val="00FC11EC"/>
    <w:rsid w:val="00FC2D11"/>
    <w:rsid w:val="00FC38B6"/>
    <w:rsid w:val="00FC5901"/>
    <w:rsid w:val="00FC6099"/>
    <w:rsid w:val="00FC6230"/>
    <w:rsid w:val="00FC6325"/>
    <w:rsid w:val="00FC7960"/>
    <w:rsid w:val="00FC79F8"/>
    <w:rsid w:val="00FD0E96"/>
    <w:rsid w:val="00FD1A1D"/>
    <w:rsid w:val="00FD2176"/>
    <w:rsid w:val="00FD2318"/>
    <w:rsid w:val="00FD3EDC"/>
    <w:rsid w:val="00FD3FF6"/>
    <w:rsid w:val="00FD4C50"/>
    <w:rsid w:val="00FD4E96"/>
    <w:rsid w:val="00FD55A4"/>
    <w:rsid w:val="00FD7818"/>
    <w:rsid w:val="00FE033C"/>
    <w:rsid w:val="00FE084C"/>
    <w:rsid w:val="00FE248C"/>
    <w:rsid w:val="00FE35CB"/>
    <w:rsid w:val="00FE3CA5"/>
    <w:rsid w:val="00FE4584"/>
    <w:rsid w:val="00FE5F2B"/>
    <w:rsid w:val="00FE6933"/>
    <w:rsid w:val="00FE789D"/>
    <w:rsid w:val="00FE7F66"/>
    <w:rsid w:val="00FF02D0"/>
    <w:rsid w:val="00FF0361"/>
    <w:rsid w:val="00FF07FC"/>
    <w:rsid w:val="00FF0B65"/>
    <w:rsid w:val="00FF1875"/>
    <w:rsid w:val="00FF2595"/>
    <w:rsid w:val="00FF265C"/>
    <w:rsid w:val="00FF30C4"/>
    <w:rsid w:val="00FF35AF"/>
    <w:rsid w:val="00FF3862"/>
    <w:rsid w:val="00FF4E7C"/>
    <w:rsid w:val="00FF5B28"/>
    <w:rsid w:val="00FF61E7"/>
    <w:rsid w:val="07171C5F"/>
    <w:rsid w:val="37768595"/>
    <w:rsid w:val="6249EF50"/>
    <w:rsid w:val="6FC69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F42CA"/>
  <w15:docId w15:val="{8B248D88-71C7-493B-BFD9-2D02BFE4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D0054"/>
    <w:rPr>
      <w:sz w:val="24"/>
      <w:szCs w:val="24"/>
      <w:lang w:eastAsia="en-US"/>
    </w:rPr>
  </w:style>
  <w:style w:type="paragraph" w:styleId="Heading1">
    <w:name w:val="heading 1"/>
    <w:basedOn w:val="Normal"/>
    <w:next w:val="Normal"/>
    <w:link w:val="Heading1Char"/>
    <w:uiPriority w:val="1"/>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0D0054"/>
    <w:pPr>
      <w:numPr>
        <w:ilvl w:val="1"/>
        <w:numId w:val="3"/>
      </w:numPr>
      <w:tabs>
        <w:tab w:val="clear" w:pos="1134"/>
      </w:tabs>
      <w:spacing w:after="240"/>
      <w:ind w:left="360" w:hanging="36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character" w:customStyle="1" w:styleId="IntenseQuoteChar">
    <w:name w:val="Intense Quote Char"/>
    <w:link w:val="IntenseQuote"/>
    <w:uiPriority w:val="30"/>
    <w:rsid w:val="00B61C62"/>
    <w:rPr>
      <w:i/>
      <w:iCs/>
      <w:color w:val="0F4761"/>
    </w:rPr>
  </w:style>
  <w:style w:type="paragraph" w:styleId="IntenseQuote">
    <w:name w:val="Intense Quote"/>
    <w:basedOn w:val="Normal"/>
    <w:next w:val="Normal"/>
    <w:link w:val="IntenseQuoteChar"/>
    <w:uiPriority w:val="30"/>
    <w:qFormat/>
    <w:locked/>
    <w:rsid w:val="00B61C62"/>
    <w:pPr>
      <w:pBdr>
        <w:top w:val="single" w:sz="4" w:space="10" w:color="0F4761"/>
        <w:bottom w:val="single" w:sz="4" w:space="10" w:color="0F4761"/>
      </w:pBdr>
      <w:spacing w:before="360" w:after="360" w:line="279" w:lineRule="auto"/>
      <w:ind w:left="864" w:right="864"/>
      <w:jc w:val="center"/>
    </w:pPr>
    <w:rPr>
      <w:i/>
      <w:iCs/>
      <w:color w:val="0F4761"/>
      <w:sz w:val="20"/>
      <w:szCs w:val="20"/>
      <w:lang w:eastAsia="en-GB"/>
    </w:rPr>
  </w:style>
  <w:style w:type="character" w:customStyle="1" w:styleId="IntenseQuoteChar1">
    <w:name w:val="Intense Quote Char1"/>
    <w:basedOn w:val="DefaultParagraphFont"/>
    <w:uiPriority w:val="30"/>
    <w:semiHidden/>
    <w:rsid w:val="00B61C62"/>
    <w:rPr>
      <w:i/>
      <w:iCs/>
      <w:color w:val="4F81BD" w:themeColor="accent1"/>
      <w:sz w:val="24"/>
      <w:szCs w:val="24"/>
      <w:lang w:eastAsia="en-US"/>
    </w:rPr>
  </w:style>
  <w:style w:type="character" w:styleId="Strong">
    <w:name w:val="Strong"/>
    <w:uiPriority w:val="22"/>
    <w:qFormat/>
    <w:locked/>
    <w:rsid w:val="00A25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mc.ncbi.nlm.nih.gov/articles/PMC11122256/" TargetMode="External"/><Relationship Id="rId21" Type="http://schemas.openxmlformats.org/officeDocument/2006/relationships/hyperlink" Target="https://www.ncepod.org.uk/2011report2/downloads/POC_fullreport.pdf" TargetMode="External"/><Relationship Id="rId42" Type="http://schemas.openxmlformats.org/officeDocument/2006/relationships/hyperlink" Target="https://www.nice.org.uk/guidance/qs24" TargetMode="External"/><Relationship Id="rId47" Type="http://schemas.openxmlformats.org/officeDocument/2006/relationships/hyperlink" Target="https://www.nice.org.uk/guidance/cg65" TargetMode="External"/><Relationship Id="rId63" Type="http://schemas.openxmlformats.org/officeDocument/2006/relationships/hyperlink" Target="https://www.nice.org.uk/guidance/ng180" TargetMode="External"/><Relationship Id="rId68" Type="http://schemas.openxmlformats.org/officeDocument/2006/relationships/hyperlink" Target="https://www.cpoc.org.uk/guidelines-and-resources/guidelines-resources/resources/key-reducing-waiting-lists" TargetMode="External"/><Relationship Id="rId84" Type="http://schemas.openxmlformats.org/officeDocument/2006/relationships/hyperlink" Target="https://b-s-h.org.uk/guidelines/guidelines/identification-and-management-of-preoperative-anaemia-in-adults-a-british-society-for-haematology-guideline-update" TargetMode="External"/><Relationship Id="rId89" Type="http://schemas.openxmlformats.org/officeDocument/2006/relationships/hyperlink" Target="https://www.thelancet.com/journals/lancet/article/PIIS0140-6736(11)61381-0/abstract" TargetMode="External"/><Relationship Id="rId112" Type="http://schemas.openxmlformats.org/officeDocument/2006/relationships/hyperlink" Target="https://www.bjanaesthesia.org.uk/article/S0007-0912(21)00164-1/fulltext" TargetMode="External"/><Relationship Id="rId16" Type="http://schemas.openxmlformats.org/officeDocument/2006/relationships/hyperlink" Target="https://www.cpoc.org.uk/about-cpoc/strategy-and-vision" TargetMode="External"/><Relationship Id="rId107" Type="http://schemas.openxmlformats.org/officeDocument/2006/relationships/hyperlink" Target="https://bjssjournals.onlinelibrary.wiley.com/doi/10.1002/bjs.9638" TargetMode="External"/><Relationship Id="rId11" Type="http://schemas.openxmlformats.org/officeDocument/2006/relationships/hyperlink" Target="https://gettingitrightfirsttime.co.uk/wp-content/uploads/2021/09/APOM-Sept21i.pdf" TargetMode="External"/><Relationship Id="rId32" Type="http://schemas.openxmlformats.org/officeDocument/2006/relationships/hyperlink" Target="https://bmchealthservres.biomedcentral.com/articles/10.1186/s12913-022-08999-9" TargetMode="External"/><Relationship Id="rId37" Type="http://schemas.openxmlformats.org/officeDocument/2006/relationships/hyperlink" Target="https://gettingitrightfirsttime.co.uk/wp-content/uploads/2021/09/APOM-Sept21i.pdf" TargetMode="External"/><Relationship Id="rId53" Type="http://schemas.openxmlformats.org/officeDocument/2006/relationships/hyperlink" Target="https://www.nice.org.uk/guidance/ng180" TargetMode="External"/><Relationship Id="rId58" Type="http://schemas.openxmlformats.org/officeDocument/2006/relationships/hyperlink" Target="https://www.hssib.org.uk/patient-safety-investigations/electronic-prescribing-and-medicines-administration-systems-and-safe-discharge/investigation-report/" TargetMode="External"/><Relationship Id="rId74" Type="http://schemas.openxmlformats.org/officeDocument/2006/relationships/hyperlink" Target="https://doi.org/10.1186/s12876-018-0754-6" TargetMode="External"/><Relationship Id="rId79" Type="http://schemas.openxmlformats.org/officeDocument/2006/relationships/hyperlink" Target="https://pqip.org.uk/pages/cr24" TargetMode="External"/><Relationship Id="rId102" Type="http://schemas.openxmlformats.org/officeDocument/2006/relationships/hyperlink" Target="https://www.kingsfund.org.uk/insight-and-analysis/press-releases/poorest-areas-waiting-longer-hospital-treatment" TargetMode="External"/><Relationship Id="rId123" Type="http://schemas.openxmlformats.org/officeDocument/2006/relationships/hyperlink" Target="https://www.england.nhs.uk/wp-content/uploads/2019/01/shared-decision-making-summary-guide-v1.pdf" TargetMode="External"/><Relationship Id="rId128" Type="http://schemas.openxmlformats.org/officeDocument/2006/relationships/hyperlink" Target="https://associationofanaesthetists-publications.onlinelibrary.wiley.com/doi/10.1111/anae.15598" TargetMode="External"/><Relationship Id="rId5" Type="http://schemas.openxmlformats.org/officeDocument/2006/relationships/webSettings" Target="webSettings.xml"/><Relationship Id="rId90" Type="http://schemas.openxmlformats.org/officeDocument/2006/relationships/hyperlink" Target="https://www.bjanaesthesia.org/article/S0007-0912(19)30696-8/fulltext" TargetMode="External"/><Relationship Id="rId95" Type="http://schemas.openxmlformats.org/officeDocument/2006/relationships/hyperlink" Target="https://b-s-h.org.uk/guidelines/guidelines/identification-and-management-of-preoperative-anaemia-in-adults-a-british-society-for-haematology-guideline-update" TargetMode="External"/><Relationship Id="rId22" Type="http://schemas.openxmlformats.org/officeDocument/2006/relationships/hyperlink" Target="https://indd.adobe.com/view/6af28812-8e93-4a31-a6e9-ff89b22667bf" TargetMode="External"/><Relationship Id="rId27" Type="http://schemas.openxmlformats.org/officeDocument/2006/relationships/hyperlink" Target="https://www.nice.org.uk/guidance/qs207" TargetMode="External"/><Relationship Id="rId43" Type="http://schemas.openxmlformats.org/officeDocument/2006/relationships/hyperlink" Target="https://www.ncepod.org.uk/2011report2/downloads/POC_fullreport.pdf" TargetMode="External"/><Relationship Id="rId48" Type="http://schemas.openxmlformats.org/officeDocument/2006/relationships/hyperlink" Target="https://associationofanaesthetists-publications.onlinelibrary.wiley.com/doi/full/10.1111/anae.15829" TargetMode="External"/><Relationship Id="rId64" Type="http://schemas.openxmlformats.org/officeDocument/2006/relationships/hyperlink" Target="https://www.nice.org.uk/guidance/qs187" TargetMode="External"/><Relationship Id="rId69" Type="http://schemas.openxmlformats.org/officeDocument/2006/relationships/hyperlink" Target="https://www.cpoc.org.uk/sites/cpoc/files/documents/2021-06/Preoperative%20assessment%20and%20optimisation%20guidance.pdf" TargetMode="External"/><Relationship Id="rId113" Type="http://schemas.openxmlformats.org/officeDocument/2006/relationships/hyperlink" Target="https://www.thelancet.com/journals/lanpsy/article/PIIS2215-0366(18)30471-1/abstract" TargetMode="External"/><Relationship Id="rId118" Type="http://schemas.openxmlformats.org/officeDocument/2006/relationships/hyperlink" Target="https://pmc.ncbi.nlm.nih.gov/articles/PMC5741327/" TargetMode="External"/><Relationship Id="rId80" Type="http://schemas.openxmlformats.org/officeDocument/2006/relationships/hyperlink" Target="https://pqip.org.uk/pages/ar23" TargetMode="External"/><Relationship Id="rId85" Type="http://schemas.openxmlformats.org/officeDocument/2006/relationships/hyperlink" Target="https://pqip.org.uk/pages/cr24" TargetMode="External"/><Relationship Id="rId12" Type="http://schemas.openxmlformats.org/officeDocument/2006/relationships/hyperlink" Target="https://www.sciencedirect.com/science/article/pii/S0007091221002737" TargetMode="External"/><Relationship Id="rId17" Type="http://schemas.openxmlformats.org/officeDocument/2006/relationships/hyperlink" Target="https://www.england.nhs.uk/long-read/theatres-surgery-and-perioperative-care/" TargetMode="External"/><Relationship Id="rId33" Type="http://schemas.openxmlformats.org/officeDocument/2006/relationships/hyperlink" Target="https://www.nice.org.uk/guidance/ng180" TargetMode="External"/><Relationship Id="rId38" Type="http://schemas.openxmlformats.org/officeDocument/2006/relationships/hyperlink" Target="https://academic.oup.com/bjs/article/109/Supplement_5/znac248.260/6660457" TargetMode="External"/><Relationship Id="rId59" Type="http://schemas.openxmlformats.org/officeDocument/2006/relationships/hyperlink" Target="https://www.nice.org.uk/guidance/ng180" TargetMode="External"/><Relationship Id="rId103" Type="http://schemas.openxmlformats.org/officeDocument/2006/relationships/hyperlink" Target="https://www.selondonics.org/our-residents/your-health/local-nhs-services/vital-5/" TargetMode="External"/><Relationship Id="rId108" Type="http://schemas.openxmlformats.org/officeDocument/2006/relationships/hyperlink" Target="https://www.sciencedirect.com/science/article/pii/S0007091225002661" TargetMode="External"/><Relationship Id="rId124" Type="http://schemas.openxmlformats.org/officeDocument/2006/relationships/hyperlink" Target="https://www.cpoc.org.uk/sites/cpoc/files/documents/2020-05/CWUK_patient_leaflet_v6.1%20FINAL%20%281%29.pdf" TargetMode="External"/><Relationship Id="rId129" Type="http://schemas.openxmlformats.org/officeDocument/2006/relationships/fontTable" Target="fontTable.xml"/><Relationship Id="rId54" Type="http://schemas.openxmlformats.org/officeDocument/2006/relationships/hyperlink" Target="https://pqip.org.uk/FilesUploaded/PQIP-Report2023-2024.pdf" TargetMode="External"/><Relationship Id="rId70" Type="http://schemas.openxmlformats.org/officeDocument/2006/relationships/hyperlink" Target="https://doi.org/10.1111/anae.16513" TargetMode="External"/><Relationship Id="rId75" Type="http://schemas.openxmlformats.org/officeDocument/2006/relationships/hyperlink" Target="https://www.nice.org.uk/guidance/ng24/chapter/Recommendations" TargetMode="External"/><Relationship Id="rId91" Type="http://schemas.openxmlformats.org/officeDocument/2006/relationships/hyperlink" Target="https://academic.oup.com/bjs/article-abstract/104/3/214/6094906?redirectedFrom=fulltext&amp;login=false" TargetMode="External"/><Relationship Id="rId96" Type="http://schemas.openxmlformats.org/officeDocument/2006/relationships/hyperlink" Target="https://pharmacosmosuk.sharepoint.com/sites/UKFieldBaseMedical/Shared%20Documents/General/TA%20specific%20projects,%20%20Workshops%20and%20shared%20docs/PBM/PERIOPERATIVE%20QS%202025/APOM-Sept21i.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mcmusculoskeletdisord.biomedcentral.com/articles/10.1186/s12891-025-08637-5" TargetMode="External"/><Relationship Id="rId28" Type="http://schemas.openxmlformats.org/officeDocument/2006/relationships/hyperlink" Target="https://pqip.org.uk/FilesUploaded/PQIP-Report2023-2024.pdf" TargetMode="External"/><Relationship Id="rId49" Type="http://schemas.openxmlformats.org/officeDocument/2006/relationships/hyperlink" Target="https://associationofanaesthetists-publications.onlinelibrary.wiley.com/doi/full/10.1111/anae.15924" TargetMode="External"/><Relationship Id="rId114" Type="http://schemas.openxmlformats.org/officeDocument/2006/relationships/hyperlink" Target="https://pubmed.ncbi.nlm.nih.gov/30858226/" TargetMode="External"/><Relationship Id="rId119" Type="http://schemas.openxmlformats.org/officeDocument/2006/relationships/hyperlink" Target="https://doi.org/10.1111/anae.16648" TargetMode="External"/><Relationship Id="rId44" Type="http://schemas.openxmlformats.org/officeDocument/2006/relationships/hyperlink" Target="https://www.bapen.org.uk/pdfs/nsw/bapen-nsw-uk.pdf" TargetMode="External"/><Relationship Id="rId60" Type="http://schemas.openxmlformats.org/officeDocument/2006/relationships/hyperlink" Target="https://www.nice.org.uk/guidance/qs15" TargetMode="External"/><Relationship Id="rId65" Type="http://schemas.openxmlformats.org/officeDocument/2006/relationships/hyperlink" Target="https://www.nice.org.uk/terms-and-conditions" TargetMode="External"/><Relationship Id="rId81" Type="http://schemas.openxmlformats.org/officeDocument/2006/relationships/hyperlink" Target="https://nhsbtdbe.blob.core.windows.net/umbraco-assets-corp/36009/2024-nice-qs138-audit-report.pdf" TargetMode="External"/><Relationship Id="rId86" Type="http://schemas.openxmlformats.org/officeDocument/2006/relationships/hyperlink" Target="https://pqip.org.uk/pages/ar23" TargetMode="External"/><Relationship Id="rId130" Type="http://schemas.openxmlformats.org/officeDocument/2006/relationships/theme" Target="theme/theme1.xml"/><Relationship Id="rId13" Type="http://schemas.openxmlformats.org/officeDocument/2006/relationships/hyperlink" Target="https://www.england.nhs.uk/long-read/theatres-surgery-and-perioperative-care/" TargetMode="External"/><Relationship Id="rId18" Type="http://schemas.openxmlformats.org/officeDocument/2006/relationships/hyperlink" Target="https://www.nice.org.uk/guidance/ng180" TargetMode="External"/><Relationship Id="rId39" Type="http://schemas.openxmlformats.org/officeDocument/2006/relationships/hyperlink" Target="https://academic.oup.com/bjs/article/109/Supplement_5/znac248.064/6660472" TargetMode="External"/><Relationship Id="rId109" Type="http://schemas.openxmlformats.org/officeDocument/2006/relationships/hyperlink" Target="https://cpoc.org.uk/guidelines-and-resources/guidelines/perioperative-care-people-living-frailty" TargetMode="External"/><Relationship Id="rId34" Type="http://schemas.openxmlformats.org/officeDocument/2006/relationships/hyperlink" Target="https://www.nice.org.uk/guidance/qs138" TargetMode="External"/><Relationship Id="rId50" Type="http://schemas.openxmlformats.org/officeDocument/2006/relationships/hyperlink" Target="https://associationofanaesthetists-publications.onlinelibrary.wiley.com/doi/10.1111/anae.15631" TargetMode="External"/><Relationship Id="rId55" Type="http://schemas.openxmlformats.org/officeDocument/2006/relationships/hyperlink" Target="https://academic.oup.com/bjs/article/110/Supplement_7/znad258.140/7254094" TargetMode="External"/><Relationship Id="rId76" Type="http://schemas.openxmlformats.org/officeDocument/2006/relationships/hyperlink" Target="https://b-s-h.org.uk/guidelines/guidelines/identification-and-management-of-preoperative-anaemia-in-adults-a-british-society-for-haematology-guideline-update" TargetMode="External"/><Relationship Id="rId97" Type="http://schemas.openxmlformats.org/officeDocument/2006/relationships/hyperlink" Target="https://associationofanaesthetists-publications.onlinelibrary.wiley.com/doi/10.1111/anae.14358" TargetMode="External"/><Relationship Id="rId104" Type="http://schemas.openxmlformats.org/officeDocument/2006/relationships/hyperlink" Target="https://www.cpoc.org.uk/patients/fitter-better-sooner-toolkit" TargetMode="External"/><Relationship Id="rId120" Type="http://schemas.openxmlformats.org/officeDocument/2006/relationships/hyperlink" Target="https://www.cpoc.org.uk/guidelines-and-resources/guidelines-resources/resources/key-reducing-waiting-lists" TargetMode="External"/><Relationship Id="rId125" Type="http://schemas.openxmlformats.org/officeDocument/2006/relationships/hyperlink" Target="https://doi.org/10.1111/anae.16648" TargetMode="External"/><Relationship Id="rId7" Type="http://schemas.openxmlformats.org/officeDocument/2006/relationships/endnotes" Target="endnotes.xml"/><Relationship Id="rId71" Type="http://schemas.openxmlformats.org/officeDocument/2006/relationships/hyperlink" Target="https://www.ficm.ac.uk/news-events-education/news/enhanced-care-guidance-service-development-hospital-setting" TargetMode="External"/><Relationship Id="rId92" Type="http://schemas.openxmlformats.org/officeDocument/2006/relationships/hyperlink" Target="https://www.thelancet.com/article/S0140-6736(20)31539-7/fulltext" TargetMode="External"/><Relationship Id="rId2" Type="http://schemas.openxmlformats.org/officeDocument/2006/relationships/numbering" Target="numbering.xml"/><Relationship Id="rId29" Type="http://schemas.openxmlformats.org/officeDocument/2006/relationships/hyperlink" Target="https://www.ncepod.org.uk/2011report2/downloads/POC_fullreport.pdf" TargetMode="External"/><Relationship Id="rId24" Type="http://schemas.openxmlformats.org/officeDocument/2006/relationships/hyperlink" Target="https://link.springer.com/article/10.1007/s12672-025-02254-3" TargetMode="External"/><Relationship Id="rId40" Type="http://schemas.openxmlformats.org/officeDocument/2006/relationships/hyperlink" Target="https://www.ncepod.org.uk/2011report2/downloads/POC_fullreport.pdf" TargetMode="External"/><Relationship Id="rId45" Type="http://schemas.openxmlformats.org/officeDocument/2006/relationships/hyperlink" Target="file://\\nice.nhs.uk\data\H&amp;SC\QS\Work%20programme\1.%20QS%20in%20development\Perioperative%20care\5.%20QSAC%20prioritisation%20meeting\Access%20to%20hip%20and%20knee%20arthroplasty%20in%20England:%20commissioners&#8217;%20policies%20for%20body%20mass%20index%20and%20smoking%20status%20and%20implications%20for%20integrated%20care%20systems" TargetMode="External"/><Relationship Id="rId66" Type="http://schemas.openxmlformats.org/officeDocument/2006/relationships/footer" Target="footer1.xml"/><Relationship Id="rId87" Type="http://schemas.openxmlformats.org/officeDocument/2006/relationships/hyperlink" Target="https://pharmacosmosuk.sharepoint.com/sites/UKFieldBaseMedical/Shared%20Documents/General/TA%20specific%20projects,%20%20Workshops%20and%20shared%20docs/PBM/PERIOPERATIVE%20QS%202025/APOM-Sept21i.pdf" TargetMode="External"/><Relationship Id="rId110" Type="http://schemas.openxmlformats.org/officeDocument/2006/relationships/hyperlink" Target="https://www.gov.uk/drug-safety-update/prolonged-release-opioids-removal-of-indication-for-relief-of-post-operative-pain" TargetMode="External"/><Relationship Id="rId115" Type="http://schemas.openxmlformats.org/officeDocument/2006/relationships/hyperlink" Target="https://www.bjanaesthesia.org/article/S0007-0912(17)37198-2/fulltext" TargetMode="External"/><Relationship Id="rId61" Type="http://schemas.openxmlformats.org/officeDocument/2006/relationships/hyperlink" Target="https://pqip.org.uk/FilesUploaded/PQIP-Report2023-2024.pdf" TargetMode="External"/><Relationship Id="rId82" Type="http://schemas.openxmlformats.org/officeDocument/2006/relationships/hyperlink" Target="https://www.nice.org.uk/guidance/ng24/chapter/Recommendations" TargetMode="External"/><Relationship Id="rId19" Type="http://schemas.openxmlformats.org/officeDocument/2006/relationships/hyperlink" Target="https://www.nice.org.uk/guidance/ng180" TargetMode="External"/><Relationship Id="rId14" Type="http://schemas.openxmlformats.org/officeDocument/2006/relationships/hyperlink" Target="https://gettingitrightfirsttime.co.uk/wp-content/uploads/2021/09/APOM-Sept21i.pdf" TargetMode="External"/><Relationship Id="rId30" Type="http://schemas.openxmlformats.org/officeDocument/2006/relationships/hyperlink" Target="https://indd.adobe.com/view/6af28812-8e93-4a31-a6e9-ff89b22667bf" TargetMode="External"/><Relationship Id="rId35" Type="http://schemas.openxmlformats.org/officeDocument/2006/relationships/hyperlink" Target="https://www.nice.org.uk/guidance/qs201" TargetMode="External"/><Relationship Id="rId56" Type="http://schemas.openxmlformats.org/officeDocument/2006/relationships/hyperlink" Target="https://link.springer.com/article/10.1007/s12672-025-02254-3" TargetMode="External"/><Relationship Id="rId77" Type="http://schemas.openxmlformats.org/officeDocument/2006/relationships/hyperlink" Target="https://cpoc.org.uk/guidelines-and-resources/guidelines/anaemia-perioperative-pathway" TargetMode="External"/><Relationship Id="rId100" Type="http://schemas.openxmlformats.org/officeDocument/2006/relationships/hyperlink" Target="https://cpoc.org.uk/guidelines-and-resources/guidelines-resources/resources" TargetMode="External"/><Relationship Id="rId105" Type="http://schemas.openxmlformats.org/officeDocument/2006/relationships/hyperlink" Target="https://journals.plos.org/plosmedicine/article?id=10.1371/journal.pmed.1003253" TargetMode="External"/><Relationship Id="rId126" Type="http://schemas.openxmlformats.org/officeDocument/2006/relationships/hyperlink" Target="https://www.nice.org.uk/guidance/cg138" TargetMode="External"/><Relationship Id="rId8" Type="http://schemas.openxmlformats.org/officeDocument/2006/relationships/hyperlink" Target="https://www.nice.org.uk/guidance/ng180" TargetMode="External"/><Relationship Id="rId51" Type="http://schemas.openxmlformats.org/officeDocument/2006/relationships/hyperlink" Target="https://www.nice.org.uk/guidance/ng180" TargetMode="External"/><Relationship Id="rId72" Type="http://schemas.openxmlformats.org/officeDocument/2006/relationships/hyperlink" Target="https://www.google.co.uk/url?sa=t&amp;rct=j&amp;q=&amp;esrc=s&amp;source=web&amp;cd=&amp;ved=2ahUKEwiGt7Xav7SOAxXSZ0EAHXveJFEQFnoECAkQAQ&amp;url=https%3A%2F%2Fwww.shu.ac.uk%2F-%2Fmedia%2Fhome%2Fresearch%2Fawrc%2Fprojects%2Factive-together%2Factive-together-service-evaluation-2024.pdf&amp;usg=AOvVaw1s8VXO93DHjXKaGDWREPvA&amp;opi=89978449" TargetMode="External"/><Relationship Id="rId93" Type="http://schemas.openxmlformats.org/officeDocument/2006/relationships/hyperlink" Target="https://www.bjanaesthesia.org/article/S0007-0912(22)00065-4/fulltext" TargetMode="External"/><Relationship Id="rId98" Type="http://schemas.openxmlformats.org/officeDocument/2006/relationships/hyperlink" Target="https://pubmed.ncbi.nlm.nih.gov/24780615/" TargetMode="External"/><Relationship Id="rId121" Type="http://schemas.openxmlformats.org/officeDocument/2006/relationships/hyperlink" Target="https://www.nice.org.uk/guidance/ng197" TargetMode="External"/><Relationship Id="rId3" Type="http://schemas.openxmlformats.org/officeDocument/2006/relationships/styles" Target="styles.xml"/><Relationship Id="rId25" Type="http://schemas.openxmlformats.org/officeDocument/2006/relationships/hyperlink" Target="https://publishing.rcseng.ac.uk/doi/10.1308/rcsann.2021.0365" TargetMode="External"/><Relationship Id="rId46" Type="http://schemas.openxmlformats.org/officeDocument/2006/relationships/hyperlink" Target="https://www.nice.org.uk/guidance/ng180" TargetMode="External"/><Relationship Id="rId67" Type="http://schemas.openxmlformats.org/officeDocument/2006/relationships/footer" Target="footer2.xml"/><Relationship Id="rId116" Type="http://schemas.openxmlformats.org/officeDocument/2006/relationships/hyperlink" Target="https://www.bjaed.org/article/S2058-5349(21)00153-0/fulltext" TargetMode="External"/><Relationship Id="rId20" Type="http://schemas.openxmlformats.org/officeDocument/2006/relationships/hyperlink" Target="https://www.bjanaesthesia.org/article/S0007-0912(24)00018-7/fulltext" TargetMode="External"/><Relationship Id="rId41" Type="http://schemas.openxmlformats.org/officeDocument/2006/relationships/hyperlink" Target="https://www.nice.org.uk/guidance/ng180" TargetMode="External"/><Relationship Id="rId62" Type="http://schemas.openxmlformats.org/officeDocument/2006/relationships/hyperlink" Target="https://bmcmusculoskeletdisord.biomedcentral.com/articles/10.1186/s12891-025-08637-5" TargetMode="External"/><Relationship Id="rId83" Type="http://schemas.openxmlformats.org/officeDocument/2006/relationships/hyperlink" Target="https://cpoc.org.uk/guidelines-and-resources/guidelines/anaemia-perioperative-pathway" TargetMode="External"/><Relationship Id="rId88" Type="http://schemas.openxmlformats.org/officeDocument/2006/relationships/hyperlink" Target="https://journals.lww.com/annalsofsurgery/abstract/2012/08000/effects_of_allogeneic_red_blood_cell_transfusions.8.aspx" TargetMode="External"/><Relationship Id="rId111" Type="http://schemas.openxmlformats.org/officeDocument/2006/relationships/hyperlink" Target="https://rcoa.ac.uk/node/21456" TargetMode="External"/><Relationship Id="rId15" Type="http://schemas.openxmlformats.org/officeDocument/2006/relationships/hyperlink" Target="https://pqip.org.uk/FilesUploaded/PQIP-Report2023-2024.pdf" TargetMode="External"/><Relationship Id="rId36" Type="http://schemas.openxmlformats.org/officeDocument/2006/relationships/hyperlink" Target="https://pqip.org.uk/FilesUploaded/PQIP-Report2023-2024.pdf" TargetMode="External"/><Relationship Id="rId57" Type="http://schemas.openxmlformats.org/officeDocument/2006/relationships/hyperlink" Target="https://www.nice.org.uk/guidance/ng180" TargetMode="External"/><Relationship Id="rId106" Type="http://schemas.openxmlformats.org/officeDocument/2006/relationships/hyperlink" Target="https://www.cpoc.org.uk/sites/cpoc/files/documents/2021-06/Preoperative%20assessment%20and%20optimisation%20guidance.pdf" TargetMode="External"/><Relationship Id="rId127" Type="http://schemas.openxmlformats.org/officeDocument/2006/relationships/hyperlink" Target="https://www.rcn.org.uk/Professional-Development/publications/rcn-nursing-workforce-standards-uk-pub-011-930" TargetMode="External"/><Relationship Id="rId10" Type="http://schemas.openxmlformats.org/officeDocument/2006/relationships/hyperlink" Target="https://www.bjanaesthesia.org.uk/article/S0007-0912(24)00394-5/pdf" TargetMode="External"/><Relationship Id="rId31" Type="http://schemas.openxmlformats.org/officeDocument/2006/relationships/hyperlink" Target="https://academic.oup.com/bjs/article/111/Supplement_8/znae197.198/7753174" TargetMode="External"/><Relationship Id="rId52" Type="http://schemas.openxmlformats.org/officeDocument/2006/relationships/hyperlink" Target="https://www.england.nhs.uk/long-read/provisional-publication-of-never-events-reported-as-occurring-between-1-april-2024-and-31-march-2025/" TargetMode="External"/><Relationship Id="rId73" Type="http://schemas.openxmlformats.org/officeDocument/2006/relationships/hyperlink" Target="https://doi.org/10.1186/s12876-024-03490-7" TargetMode="External"/><Relationship Id="rId78" Type="http://schemas.openxmlformats.org/officeDocument/2006/relationships/hyperlink" Target="https://pharmacosmosuk.sharepoint.com/sites/UKFieldBaseMedical/Shared%20Documents/General/TA%20specific%20projects,%20%20Workshops%20and%20shared%20docs/PBM/PERIOPERATIVE%20QS%202025/APOM-Sept21i.pdf" TargetMode="External"/><Relationship Id="rId94" Type="http://schemas.openxmlformats.org/officeDocument/2006/relationships/hyperlink" Target="https://bmjopenquality.bmj.com/content/9/1/e000776" TargetMode="External"/><Relationship Id="rId99" Type="http://schemas.openxmlformats.org/officeDocument/2006/relationships/hyperlink" Target="https://pubmed.ncbi.nlm.nih.gov/27570088/" TargetMode="External"/><Relationship Id="rId101" Type="http://schemas.openxmlformats.org/officeDocument/2006/relationships/hyperlink" Target="https://www.england.nhs.uk/long-read/earlier-screening-risk-assessment-and-health-optimisation-in-perioperative-pathways/" TargetMode="External"/><Relationship Id="rId122" Type="http://schemas.openxmlformats.org/officeDocument/2006/relationships/hyperlink" Target="https://www.nice.org.uk/guidance/ng197/chapter/Recommendations" TargetMode="External"/><Relationship Id="rId4" Type="http://schemas.openxmlformats.org/officeDocument/2006/relationships/settings" Target="settings.xml"/><Relationship Id="rId9" Type="http://schemas.openxmlformats.org/officeDocument/2006/relationships/hyperlink" Target="https://www.nice.org.uk/guidance/cg65" TargetMode="External"/><Relationship Id="rId26" Type="http://schemas.openxmlformats.org/officeDocument/2006/relationships/hyperlink" Target="https://www.nice.org.uk/guidance/ng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78</Pages>
  <Words>18681</Words>
  <Characters>124269</Characters>
  <Application>Microsoft Office Word</Application>
  <DocSecurity>0</DocSecurity>
  <Lines>4285</Lines>
  <Paragraphs>1287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141663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ODonaghue</dc:creator>
  <cp:lastModifiedBy>Katriona ODonoghue</cp:lastModifiedBy>
  <cp:revision>14</cp:revision>
  <cp:lastPrinted>2012-12-05T11:58:00Z</cp:lastPrinted>
  <dcterms:created xsi:type="dcterms:W3CDTF">2025-10-08T08:38:00Z</dcterms:created>
  <dcterms:modified xsi:type="dcterms:W3CDTF">2025-12-22T15:59:00Z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2023-04-28T09:56:55Z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07434e9b-fc2d-41c7-8e5d-cd4c96c55f92</vt:lpwstr>
  </property>
  <property fmtid="{D5CDD505-2E9C-101B-9397-08002B2CF9AE}" pid="8" name="MSIP_Label_37c1caf1-e4f0-4b5d-9415-ebd897024cb8_ContentBits">
    <vt:lpwstr>0</vt:lpwstr>
  </property>
</Properties>
</file>