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415BA" w14:textId="5ADF0F1E" w:rsidR="009F4837" w:rsidRDefault="009F4837" w:rsidP="009F4837"/>
    <w:p w14:paraId="28CBF3BE" w14:textId="50F9CFAD" w:rsidR="002C296A" w:rsidRPr="0067455E" w:rsidRDefault="002C296A" w:rsidP="00CE4759">
      <w:pPr>
        <w:pStyle w:val="Title"/>
      </w:pPr>
      <w:bookmarkStart w:id="0" w:name="_Toc357694770"/>
      <w:bookmarkStart w:id="1" w:name="_Toc365024196"/>
      <w:bookmarkStart w:id="2" w:name="_Toc432164921"/>
      <w:bookmarkStart w:id="3" w:name="_Toc467141962"/>
      <w:bookmarkStart w:id="4" w:name="_Toc51338696"/>
      <w:bookmarkStart w:id="5" w:name="_Toc51674491"/>
      <w:r w:rsidRPr="0067455E">
        <w:t>NATIONAL INSTITUTE FOR HEALTH AND C</w:t>
      </w:r>
      <w:r w:rsidR="00B96A88" w:rsidRPr="0067455E">
        <w:t>ARE</w:t>
      </w:r>
      <w:r w:rsidRPr="0067455E">
        <w:t xml:space="preserve"> EXCELLENCE</w:t>
      </w:r>
      <w:bookmarkEnd w:id="0"/>
      <w:bookmarkEnd w:id="1"/>
      <w:bookmarkEnd w:id="2"/>
      <w:bookmarkEnd w:id="3"/>
      <w:bookmarkEnd w:id="4"/>
      <w:bookmarkEnd w:id="5"/>
    </w:p>
    <w:p w14:paraId="33527C1E" w14:textId="77777777" w:rsidR="002C296A" w:rsidRPr="0067455E" w:rsidRDefault="002C296A" w:rsidP="00CE4759">
      <w:pPr>
        <w:pStyle w:val="Title"/>
      </w:pPr>
      <w:bookmarkStart w:id="6" w:name="_Toc357694771"/>
      <w:bookmarkStart w:id="7" w:name="_Toc365024197"/>
      <w:bookmarkStart w:id="8" w:name="_Toc432164922"/>
      <w:bookmarkStart w:id="9" w:name="_Toc467141963"/>
      <w:bookmarkStart w:id="10" w:name="_Toc51338697"/>
      <w:bookmarkStart w:id="11" w:name="_Toc51674492"/>
      <w:r w:rsidRPr="0067455E">
        <w:t>Health and social care directorate</w:t>
      </w:r>
      <w:bookmarkEnd w:id="6"/>
      <w:bookmarkEnd w:id="7"/>
      <w:bookmarkEnd w:id="8"/>
      <w:bookmarkEnd w:id="9"/>
      <w:bookmarkEnd w:id="10"/>
      <w:bookmarkEnd w:id="11"/>
    </w:p>
    <w:p w14:paraId="7E70584C" w14:textId="77777777" w:rsidR="002C296A" w:rsidRPr="0067455E" w:rsidRDefault="002C296A" w:rsidP="00CE4759">
      <w:pPr>
        <w:pStyle w:val="Title"/>
        <w:rPr>
          <w:rFonts w:cs="Arial"/>
        </w:rPr>
      </w:pPr>
      <w:bookmarkStart w:id="12" w:name="_Toc51338698"/>
      <w:bookmarkStart w:id="13" w:name="_Toc51674493"/>
      <w:bookmarkStart w:id="14" w:name="_Toc357694772"/>
      <w:bookmarkStart w:id="15" w:name="_Toc365024198"/>
      <w:bookmarkStart w:id="16" w:name="_Toc432164923"/>
      <w:bookmarkStart w:id="17" w:name="_Toc467141964"/>
      <w:r w:rsidRPr="0067455E">
        <w:rPr>
          <w:rFonts w:cs="Arial"/>
        </w:rPr>
        <w:t>Quality standards</w:t>
      </w:r>
      <w:bookmarkEnd w:id="12"/>
      <w:bookmarkEnd w:id="13"/>
      <w:r w:rsidRPr="0067455E">
        <w:rPr>
          <w:rFonts w:cs="Arial"/>
        </w:rPr>
        <w:t xml:space="preserve"> </w:t>
      </w:r>
      <w:bookmarkEnd w:id="14"/>
      <w:bookmarkEnd w:id="15"/>
      <w:bookmarkEnd w:id="16"/>
      <w:bookmarkEnd w:id="17"/>
    </w:p>
    <w:p w14:paraId="36F84DCD" w14:textId="77777777" w:rsidR="002C296A" w:rsidRPr="0067455E" w:rsidRDefault="002C296A" w:rsidP="00CE4759">
      <w:pPr>
        <w:pStyle w:val="Title"/>
        <w:rPr>
          <w:rFonts w:cs="Arial"/>
        </w:rPr>
      </w:pPr>
      <w:bookmarkStart w:id="18" w:name="_Toc357694773"/>
      <w:bookmarkStart w:id="19" w:name="_Toc365024199"/>
      <w:bookmarkStart w:id="20" w:name="_Toc432164924"/>
      <w:bookmarkStart w:id="21" w:name="_Toc467141965"/>
      <w:bookmarkStart w:id="22" w:name="_Toc51338699"/>
      <w:bookmarkStart w:id="23" w:name="_Toc51674494"/>
      <w:r w:rsidRPr="0067455E">
        <w:rPr>
          <w:rFonts w:cs="Arial"/>
        </w:rPr>
        <w:t>Briefing paper</w:t>
      </w:r>
      <w:bookmarkEnd w:id="18"/>
      <w:bookmarkEnd w:id="19"/>
      <w:bookmarkEnd w:id="20"/>
      <w:bookmarkEnd w:id="21"/>
      <w:bookmarkEnd w:id="22"/>
      <w:bookmarkEnd w:id="23"/>
    </w:p>
    <w:tbl>
      <w:tblPr>
        <w:tblStyle w:val="TableGrid"/>
        <w:tblW w:w="0" w:type="auto"/>
        <w:tblLook w:val="04A0" w:firstRow="1" w:lastRow="0" w:firstColumn="1" w:lastColumn="0" w:noHBand="0" w:noVBand="1"/>
      </w:tblPr>
      <w:tblGrid>
        <w:gridCol w:w="9016"/>
      </w:tblGrid>
      <w:tr w:rsidR="00427135" w14:paraId="7890613F" w14:textId="77777777" w:rsidTr="00427135">
        <w:tc>
          <w:tcPr>
            <w:tcW w:w="9016" w:type="dxa"/>
          </w:tcPr>
          <w:p w14:paraId="6ECD846A" w14:textId="09E34109" w:rsidR="00427135" w:rsidRPr="005A61AD" w:rsidRDefault="00427135" w:rsidP="00A813F7">
            <w:pPr>
              <w:pStyle w:val="Paragraph"/>
            </w:pPr>
            <w:r w:rsidRPr="000D48CF">
              <w:rPr>
                <w:rStyle w:val="Addbold"/>
              </w:rPr>
              <w:t>Quality standard topic:</w:t>
            </w:r>
            <w:r w:rsidRPr="005A61AD">
              <w:t xml:space="preserve"> </w:t>
            </w:r>
            <w:r w:rsidR="005D4356" w:rsidRPr="005D4356">
              <w:t>Workplace health: long-term sickness absence and capability to work</w:t>
            </w:r>
          </w:p>
          <w:p w14:paraId="5D5DD9A2" w14:textId="77777777" w:rsidR="00427135" w:rsidRPr="005A61AD" w:rsidRDefault="00427135" w:rsidP="00A813F7">
            <w:pPr>
              <w:pStyle w:val="Paragraph"/>
            </w:pPr>
            <w:r w:rsidRPr="000D48CF">
              <w:rPr>
                <w:rStyle w:val="Addbold"/>
              </w:rPr>
              <w:t>Output:</w:t>
            </w:r>
            <w:r w:rsidRPr="005A61AD">
              <w:t xml:space="preserve"> </w:t>
            </w:r>
            <w:r w:rsidRPr="000D48CF">
              <w:t>Prioritised</w:t>
            </w:r>
            <w:r w:rsidRPr="005A61AD">
              <w:t xml:space="preserve"> quality improvement areas for development. </w:t>
            </w:r>
          </w:p>
          <w:p w14:paraId="7472F0E4" w14:textId="080BDA80" w:rsidR="00427135" w:rsidRDefault="00427135" w:rsidP="00A813F7">
            <w:pPr>
              <w:pStyle w:val="Paragraph"/>
            </w:pPr>
            <w:r w:rsidRPr="000D48CF">
              <w:rPr>
                <w:rStyle w:val="Addbold"/>
              </w:rPr>
              <w:t>Date of Quality Standards Advisory Committee meeting:</w:t>
            </w:r>
            <w:r w:rsidRPr="005A61AD">
              <w:t xml:space="preserve"> </w:t>
            </w:r>
            <w:r w:rsidR="00FD3EF0">
              <w:t>29 September</w:t>
            </w:r>
            <w:r w:rsidR="00886A88">
              <w:t xml:space="preserve"> 2020</w:t>
            </w:r>
          </w:p>
        </w:tc>
      </w:tr>
    </w:tbl>
    <w:p w14:paraId="55EFA8FE" w14:textId="77777777" w:rsidR="002C296A" w:rsidRDefault="002C296A" w:rsidP="003D6F5F">
      <w:pPr>
        <w:pStyle w:val="Paragraph"/>
      </w:pPr>
    </w:p>
    <w:p w14:paraId="2599C1BD" w14:textId="77777777" w:rsidR="0037255B" w:rsidRDefault="002C296A" w:rsidP="0037255B">
      <w:pPr>
        <w:pStyle w:val="Heading1"/>
      </w:pPr>
      <w:bookmarkStart w:id="24" w:name="_Toc365024200"/>
      <w:bookmarkStart w:id="25" w:name="_Toc432164925"/>
      <w:bookmarkStart w:id="26" w:name="_Toc467141966"/>
      <w:bookmarkStart w:id="27" w:name="_Toc51338700"/>
      <w:bookmarkStart w:id="28" w:name="_Toc51674495"/>
      <w:r w:rsidRPr="0067455E">
        <w:t>Contents</w:t>
      </w:r>
      <w:bookmarkEnd w:id="24"/>
      <w:bookmarkEnd w:id="25"/>
      <w:bookmarkEnd w:id="26"/>
      <w:bookmarkEnd w:id="27"/>
      <w:bookmarkEnd w:id="28"/>
    </w:p>
    <w:p w14:paraId="6585C1E3" w14:textId="1DE69681" w:rsidR="0037255B" w:rsidRDefault="00893AF1" w:rsidP="0037255B">
      <w:pPr>
        <w:pStyle w:val="TOC1"/>
        <w:rPr>
          <w:rFonts w:asciiTheme="minorHAnsi" w:eastAsiaTheme="minorEastAsia" w:hAnsiTheme="minorHAnsi" w:cstheme="minorBidi"/>
          <w:sz w:val="22"/>
          <w:szCs w:val="22"/>
          <w:lang w:eastAsia="en-GB"/>
        </w:rPr>
      </w:pPr>
      <w:r>
        <w:fldChar w:fldCharType="begin"/>
      </w:r>
      <w:r w:rsidR="002C296A">
        <w:instrText xml:space="preserve"> TOC \o "1-1" \h \z \u </w:instrText>
      </w:r>
      <w:r>
        <w:fldChar w:fldCharType="separate"/>
      </w:r>
      <w:hyperlink w:anchor="_Toc51674495" w:history="1"/>
      <w:hyperlink w:anchor="_Toc51674496" w:history="1">
        <w:r w:rsidR="0037255B" w:rsidRPr="006A03CD">
          <w:rPr>
            <w:rStyle w:val="Hyperlink"/>
          </w:rPr>
          <w:t>1</w:t>
        </w:r>
        <w:r w:rsidR="0037255B">
          <w:rPr>
            <w:rFonts w:asciiTheme="minorHAnsi" w:eastAsiaTheme="minorEastAsia" w:hAnsiTheme="minorHAnsi" w:cstheme="minorBidi"/>
            <w:sz w:val="22"/>
            <w:szCs w:val="22"/>
            <w:lang w:eastAsia="en-GB"/>
          </w:rPr>
          <w:tab/>
        </w:r>
        <w:r w:rsidR="0037255B" w:rsidRPr="006A03CD">
          <w:rPr>
            <w:rStyle w:val="Hyperlink"/>
          </w:rPr>
          <w:t>Introduction</w:t>
        </w:r>
        <w:r w:rsidR="0037255B">
          <w:rPr>
            <w:webHidden/>
          </w:rPr>
          <w:tab/>
        </w:r>
        <w:r w:rsidR="0037255B">
          <w:rPr>
            <w:webHidden/>
          </w:rPr>
          <w:fldChar w:fldCharType="begin"/>
        </w:r>
        <w:r w:rsidR="0037255B">
          <w:rPr>
            <w:webHidden/>
          </w:rPr>
          <w:instrText xml:space="preserve"> PAGEREF _Toc51674496 \h </w:instrText>
        </w:r>
        <w:r w:rsidR="0037255B">
          <w:rPr>
            <w:webHidden/>
          </w:rPr>
        </w:r>
        <w:r w:rsidR="0037255B">
          <w:rPr>
            <w:webHidden/>
          </w:rPr>
          <w:fldChar w:fldCharType="separate"/>
        </w:r>
        <w:r w:rsidR="00636595">
          <w:rPr>
            <w:webHidden/>
          </w:rPr>
          <w:t>2</w:t>
        </w:r>
        <w:r w:rsidR="0037255B">
          <w:rPr>
            <w:webHidden/>
          </w:rPr>
          <w:fldChar w:fldCharType="end"/>
        </w:r>
      </w:hyperlink>
    </w:p>
    <w:p w14:paraId="576C1022" w14:textId="6FD58DB0" w:rsidR="0037255B" w:rsidRDefault="00DF1D4E">
      <w:pPr>
        <w:pStyle w:val="TOC1"/>
        <w:rPr>
          <w:rFonts w:asciiTheme="minorHAnsi" w:eastAsiaTheme="minorEastAsia" w:hAnsiTheme="minorHAnsi" w:cstheme="minorBidi"/>
          <w:sz w:val="22"/>
          <w:szCs w:val="22"/>
          <w:lang w:eastAsia="en-GB"/>
        </w:rPr>
      </w:pPr>
      <w:hyperlink w:anchor="_Toc51674497" w:history="1">
        <w:r w:rsidR="0037255B" w:rsidRPr="006A03CD">
          <w:rPr>
            <w:rStyle w:val="Hyperlink"/>
          </w:rPr>
          <w:t>2</w:t>
        </w:r>
        <w:r w:rsidR="0037255B">
          <w:rPr>
            <w:rFonts w:asciiTheme="minorHAnsi" w:eastAsiaTheme="minorEastAsia" w:hAnsiTheme="minorHAnsi" w:cstheme="minorBidi"/>
            <w:sz w:val="22"/>
            <w:szCs w:val="22"/>
            <w:lang w:eastAsia="en-GB"/>
          </w:rPr>
          <w:tab/>
        </w:r>
        <w:r w:rsidR="0037255B" w:rsidRPr="006A03CD">
          <w:rPr>
            <w:rStyle w:val="Hyperlink"/>
          </w:rPr>
          <w:t>Overview</w:t>
        </w:r>
        <w:r w:rsidR="0037255B">
          <w:rPr>
            <w:webHidden/>
          </w:rPr>
          <w:tab/>
        </w:r>
        <w:r w:rsidR="0037255B">
          <w:rPr>
            <w:webHidden/>
          </w:rPr>
          <w:fldChar w:fldCharType="begin"/>
        </w:r>
        <w:r w:rsidR="0037255B">
          <w:rPr>
            <w:webHidden/>
          </w:rPr>
          <w:instrText xml:space="preserve"> PAGEREF _Toc51674497 \h </w:instrText>
        </w:r>
        <w:r w:rsidR="0037255B">
          <w:rPr>
            <w:webHidden/>
          </w:rPr>
        </w:r>
        <w:r w:rsidR="0037255B">
          <w:rPr>
            <w:webHidden/>
          </w:rPr>
          <w:fldChar w:fldCharType="separate"/>
        </w:r>
        <w:r w:rsidR="00636595">
          <w:rPr>
            <w:webHidden/>
          </w:rPr>
          <w:t>2</w:t>
        </w:r>
        <w:r w:rsidR="0037255B">
          <w:rPr>
            <w:webHidden/>
          </w:rPr>
          <w:fldChar w:fldCharType="end"/>
        </w:r>
      </w:hyperlink>
    </w:p>
    <w:p w14:paraId="67B3CD0E" w14:textId="7B4DCCDB" w:rsidR="0037255B" w:rsidRDefault="00DF1D4E">
      <w:pPr>
        <w:pStyle w:val="TOC1"/>
        <w:rPr>
          <w:rFonts w:asciiTheme="minorHAnsi" w:eastAsiaTheme="minorEastAsia" w:hAnsiTheme="minorHAnsi" w:cstheme="minorBidi"/>
          <w:sz w:val="22"/>
          <w:szCs w:val="22"/>
          <w:lang w:eastAsia="en-GB"/>
        </w:rPr>
      </w:pPr>
      <w:hyperlink w:anchor="_Toc51674498" w:history="1">
        <w:r w:rsidR="0037255B" w:rsidRPr="006A03CD">
          <w:rPr>
            <w:rStyle w:val="Hyperlink"/>
          </w:rPr>
          <w:t>3</w:t>
        </w:r>
        <w:r w:rsidR="0037255B">
          <w:rPr>
            <w:rFonts w:asciiTheme="minorHAnsi" w:eastAsiaTheme="minorEastAsia" w:hAnsiTheme="minorHAnsi" w:cstheme="minorBidi"/>
            <w:sz w:val="22"/>
            <w:szCs w:val="22"/>
            <w:lang w:eastAsia="en-GB"/>
          </w:rPr>
          <w:tab/>
        </w:r>
        <w:r w:rsidR="0037255B" w:rsidRPr="006A03CD">
          <w:rPr>
            <w:rStyle w:val="Hyperlink"/>
          </w:rPr>
          <w:t>Summary of suggestions</w:t>
        </w:r>
        <w:r w:rsidR="0037255B">
          <w:rPr>
            <w:webHidden/>
          </w:rPr>
          <w:tab/>
        </w:r>
        <w:r w:rsidR="0037255B">
          <w:rPr>
            <w:webHidden/>
          </w:rPr>
          <w:fldChar w:fldCharType="begin"/>
        </w:r>
        <w:r w:rsidR="0037255B">
          <w:rPr>
            <w:webHidden/>
          </w:rPr>
          <w:instrText xml:space="preserve"> PAGEREF _Toc51674498 \h </w:instrText>
        </w:r>
        <w:r w:rsidR="0037255B">
          <w:rPr>
            <w:webHidden/>
          </w:rPr>
        </w:r>
        <w:r w:rsidR="0037255B">
          <w:rPr>
            <w:webHidden/>
          </w:rPr>
          <w:fldChar w:fldCharType="separate"/>
        </w:r>
        <w:r w:rsidR="00636595">
          <w:rPr>
            <w:webHidden/>
          </w:rPr>
          <w:t>5</w:t>
        </w:r>
        <w:r w:rsidR="0037255B">
          <w:rPr>
            <w:webHidden/>
          </w:rPr>
          <w:fldChar w:fldCharType="end"/>
        </w:r>
      </w:hyperlink>
    </w:p>
    <w:p w14:paraId="77CE70B8" w14:textId="3BB42185" w:rsidR="0037255B" w:rsidRDefault="00DF1D4E">
      <w:pPr>
        <w:pStyle w:val="TOC1"/>
        <w:rPr>
          <w:rFonts w:asciiTheme="minorHAnsi" w:eastAsiaTheme="minorEastAsia" w:hAnsiTheme="minorHAnsi" w:cstheme="minorBidi"/>
          <w:sz w:val="22"/>
          <w:szCs w:val="22"/>
          <w:lang w:eastAsia="en-GB"/>
        </w:rPr>
      </w:pPr>
      <w:hyperlink w:anchor="_Toc51674499" w:history="1">
        <w:r w:rsidR="0037255B" w:rsidRPr="006A03CD">
          <w:rPr>
            <w:rStyle w:val="Hyperlink"/>
          </w:rPr>
          <w:t>4</w:t>
        </w:r>
        <w:r w:rsidR="0037255B">
          <w:rPr>
            <w:rFonts w:asciiTheme="minorHAnsi" w:eastAsiaTheme="minorEastAsia" w:hAnsiTheme="minorHAnsi" w:cstheme="minorBidi"/>
            <w:sz w:val="22"/>
            <w:szCs w:val="22"/>
            <w:lang w:eastAsia="en-GB"/>
          </w:rPr>
          <w:tab/>
        </w:r>
        <w:r w:rsidR="0037255B" w:rsidRPr="006A03CD">
          <w:rPr>
            <w:rStyle w:val="Hyperlink"/>
          </w:rPr>
          <w:t>Suggested improvement areas</w:t>
        </w:r>
        <w:r w:rsidR="0037255B">
          <w:rPr>
            <w:webHidden/>
          </w:rPr>
          <w:tab/>
        </w:r>
        <w:r w:rsidR="0037255B">
          <w:rPr>
            <w:webHidden/>
          </w:rPr>
          <w:fldChar w:fldCharType="begin"/>
        </w:r>
        <w:r w:rsidR="0037255B">
          <w:rPr>
            <w:webHidden/>
          </w:rPr>
          <w:instrText xml:space="preserve"> PAGEREF _Toc51674499 \h </w:instrText>
        </w:r>
        <w:r w:rsidR="0037255B">
          <w:rPr>
            <w:webHidden/>
          </w:rPr>
        </w:r>
        <w:r w:rsidR="0037255B">
          <w:rPr>
            <w:webHidden/>
          </w:rPr>
          <w:fldChar w:fldCharType="separate"/>
        </w:r>
        <w:r w:rsidR="00636595">
          <w:rPr>
            <w:webHidden/>
          </w:rPr>
          <w:t>8</w:t>
        </w:r>
        <w:r w:rsidR="0037255B">
          <w:rPr>
            <w:webHidden/>
          </w:rPr>
          <w:fldChar w:fldCharType="end"/>
        </w:r>
      </w:hyperlink>
    </w:p>
    <w:p w14:paraId="45C72C7E" w14:textId="4C51856A" w:rsidR="0037255B" w:rsidRDefault="00DF1D4E">
      <w:pPr>
        <w:pStyle w:val="TOC1"/>
        <w:rPr>
          <w:rFonts w:asciiTheme="minorHAnsi" w:eastAsiaTheme="minorEastAsia" w:hAnsiTheme="minorHAnsi" w:cstheme="minorBidi"/>
          <w:sz w:val="22"/>
          <w:szCs w:val="22"/>
          <w:lang w:eastAsia="en-GB"/>
        </w:rPr>
      </w:pPr>
      <w:hyperlink w:anchor="_Toc51674500" w:history="1">
        <w:r w:rsidR="0037255B" w:rsidRPr="006A03CD">
          <w:rPr>
            <w:rStyle w:val="Hyperlink"/>
          </w:rPr>
          <w:t>Appendix 1: Review flowchart</w:t>
        </w:r>
        <w:r w:rsidR="0037255B">
          <w:rPr>
            <w:webHidden/>
          </w:rPr>
          <w:tab/>
        </w:r>
        <w:r w:rsidR="0037255B">
          <w:rPr>
            <w:webHidden/>
          </w:rPr>
          <w:fldChar w:fldCharType="begin"/>
        </w:r>
        <w:r w:rsidR="0037255B">
          <w:rPr>
            <w:webHidden/>
          </w:rPr>
          <w:instrText xml:space="preserve"> PAGEREF _Toc51674500 \h </w:instrText>
        </w:r>
        <w:r w:rsidR="0037255B">
          <w:rPr>
            <w:webHidden/>
          </w:rPr>
        </w:r>
        <w:r w:rsidR="0037255B">
          <w:rPr>
            <w:webHidden/>
          </w:rPr>
          <w:fldChar w:fldCharType="separate"/>
        </w:r>
        <w:r w:rsidR="00636595">
          <w:rPr>
            <w:webHidden/>
          </w:rPr>
          <w:t>27</w:t>
        </w:r>
        <w:r w:rsidR="0037255B">
          <w:rPr>
            <w:webHidden/>
          </w:rPr>
          <w:fldChar w:fldCharType="end"/>
        </w:r>
      </w:hyperlink>
    </w:p>
    <w:p w14:paraId="34E64404" w14:textId="4ABB046A" w:rsidR="006F7D33" w:rsidRPr="0088423C" w:rsidRDefault="00DF1D4E" w:rsidP="0088423C">
      <w:pPr>
        <w:pStyle w:val="TOC1"/>
        <w:rPr>
          <w:rFonts w:asciiTheme="minorHAnsi" w:eastAsiaTheme="minorEastAsia" w:hAnsiTheme="minorHAnsi" w:cstheme="minorBidi"/>
          <w:sz w:val="22"/>
          <w:szCs w:val="22"/>
          <w:lang w:eastAsia="en-GB"/>
        </w:rPr>
      </w:pPr>
      <w:hyperlink w:anchor="_Toc51674501" w:history="1">
        <w:r w:rsidR="0037255B" w:rsidRPr="006A03CD">
          <w:rPr>
            <w:rStyle w:val="Hyperlink"/>
          </w:rPr>
          <w:t>Appendix 2: Suggestions from stakeholder engagement exercise – registered stakeholders</w:t>
        </w:r>
        <w:r w:rsidR="0037255B">
          <w:rPr>
            <w:webHidden/>
          </w:rPr>
          <w:tab/>
        </w:r>
        <w:r w:rsidR="0037255B">
          <w:rPr>
            <w:webHidden/>
          </w:rPr>
          <w:fldChar w:fldCharType="begin"/>
        </w:r>
        <w:r w:rsidR="0037255B">
          <w:rPr>
            <w:webHidden/>
          </w:rPr>
          <w:instrText xml:space="preserve"> PAGEREF _Toc51674501 \h </w:instrText>
        </w:r>
        <w:r w:rsidR="0037255B">
          <w:rPr>
            <w:webHidden/>
          </w:rPr>
        </w:r>
        <w:r w:rsidR="0037255B">
          <w:rPr>
            <w:webHidden/>
          </w:rPr>
          <w:fldChar w:fldCharType="separate"/>
        </w:r>
        <w:r w:rsidR="00636595">
          <w:rPr>
            <w:webHidden/>
          </w:rPr>
          <w:t>28</w:t>
        </w:r>
        <w:r w:rsidR="0037255B">
          <w:rPr>
            <w:webHidden/>
          </w:rPr>
          <w:fldChar w:fldCharType="end"/>
        </w:r>
      </w:hyperlink>
      <w:r w:rsidR="00893AF1">
        <w:fldChar w:fldCharType="end"/>
      </w:r>
    </w:p>
    <w:p w14:paraId="00CC0FC5" w14:textId="77777777" w:rsidR="002C296A" w:rsidRDefault="002C296A" w:rsidP="00BB0BC1">
      <w:pPr>
        <w:pStyle w:val="Numberedheading1"/>
      </w:pPr>
      <w:r>
        <w:br w:type="page"/>
      </w:r>
      <w:bookmarkStart w:id="29" w:name="_Toc51674496"/>
      <w:r w:rsidRPr="009E470D">
        <w:lastRenderedPageBreak/>
        <w:t>Introduction</w:t>
      </w:r>
      <w:bookmarkEnd w:id="29"/>
    </w:p>
    <w:p w14:paraId="2F85A287" w14:textId="117CBFD7" w:rsidR="002C296A" w:rsidRPr="00E10156" w:rsidRDefault="002C296A" w:rsidP="002C296A">
      <w:pPr>
        <w:pStyle w:val="Paragraph"/>
      </w:pPr>
      <w:r w:rsidRPr="00623619">
        <w:t xml:space="preserve">This briefing paper presents a structured </w:t>
      </w:r>
      <w:r>
        <w:t xml:space="preserve">overview of potential quality improvement areas for </w:t>
      </w:r>
      <w:r w:rsidR="008B0768">
        <w:t>w</w:t>
      </w:r>
      <w:r w:rsidR="00C33860" w:rsidRPr="00C33860">
        <w:t>orkplace health: long-term sickness absence and capability to work</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34B8E418" w14:textId="77777777" w:rsidR="002C296A" w:rsidRDefault="002C296A" w:rsidP="009E23E2">
      <w:pPr>
        <w:pStyle w:val="Numberedheading2"/>
      </w:pPr>
      <w:r w:rsidRPr="005A61AD">
        <w:t>Structure</w:t>
      </w:r>
    </w:p>
    <w:p w14:paraId="341343E6" w14:textId="77777777" w:rsidR="002C296A" w:rsidRDefault="00D862D3" w:rsidP="002C296A">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6220A236" w14:textId="77777777" w:rsidR="002C296A" w:rsidRDefault="00D862D3" w:rsidP="002C296A">
      <w:pPr>
        <w:pStyle w:val="Paragraph"/>
      </w:pPr>
      <w:r>
        <w:t xml:space="preserve">If </w:t>
      </w:r>
      <w:r w:rsidR="002C296A">
        <w:t xml:space="preserve">relevant, </w:t>
      </w:r>
      <w:r w:rsidR="002C296A" w:rsidRPr="00E10156">
        <w:t xml:space="preserve">recommendations </w:t>
      </w:r>
      <w:r w:rsidR="002C296A">
        <w:t xml:space="preserve">selected </w:t>
      </w:r>
      <w:r w:rsidR="002C296A" w:rsidRPr="00E10156">
        <w:t xml:space="preserve">from the key development source </w:t>
      </w:r>
      <w:r w:rsidR="00C22DED">
        <w:t xml:space="preserve">below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18FBD709" w14:textId="77777777" w:rsidR="00C22DED" w:rsidRPr="00D862D3" w:rsidRDefault="000750FD" w:rsidP="00D862D3">
      <w:pPr>
        <w:pStyle w:val="Numberedheading2"/>
      </w:pPr>
      <w:r w:rsidRPr="00D862D3">
        <w:t>D</w:t>
      </w:r>
      <w:r w:rsidR="00C22DED" w:rsidRPr="00D862D3">
        <w:t>evelopment source</w:t>
      </w:r>
    </w:p>
    <w:p w14:paraId="10753529" w14:textId="3DDEC71E" w:rsidR="00C22DED" w:rsidRPr="00E10156" w:rsidRDefault="003B6DDC" w:rsidP="002C296A">
      <w:pPr>
        <w:pStyle w:val="Paragraph"/>
      </w:pPr>
      <w:r>
        <w:t>T</w:t>
      </w:r>
      <w:r w:rsidR="00C22DED">
        <w:t>he key development source referenced in this briefing paper</w:t>
      </w:r>
      <w:r w:rsidR="00766AE9">
        <w:t xml:space="preserve"> is</w:t>
      </w:r>
      <w:r w:rsidR="00C22DED">
        <w:t>:</w:t>
      </w:r>
    </w:p>
    <w:p w14:paraId="69ED7A2A" w14:textId="77777777" w:rsidR="00886A88" w:rsidRPr="00886A88" w:rsidRDefault="00DF1D4E" w:rsidP="00886A88">
      <w:pPr>
        <w:pStyle w:val="Paragraph"/>
      </w:pPr>
      <w:hyperlink r:id="rId8" w:history="1">
        <w:r w:rsidR="00886A88" w:rsidRPr="00886A88">
          <w:rPr>
            <w:rStyle w:val="Hyperlink"/>
          </w:rPr>
          <w:t>Workplace health: long-term sickness absence and capability to work</w:t>
        </w:r>
      </w:hyperlink>
      <w:r w:rsidR="00886A88" w:rsidRPr="00886A88">
        <w:t xml:space="preserve"> (2019) NICE guideline NG146</w:t>
      </w:r>
    </w:p>
    <w:p w14:paraId="4554CD15" w14:textId="77777777" w:rsidR="002C296A" w:rsidRDefault="002C296A" w:rsidP="002C296A">
      <w:pPr>
        <w:pStyle w:val="Numberedheading1"/>
      </w:pPr>
      <w:bookmarkStart w:id="30" w:name="_Toc51674497"/>
      <w:r>
        <w:t>Overview</w:t>
      </w:r>
      <w:bookmarkEnd w:id="30"/>
    </w:p>
    <w:p w14:paraId="614C758B" w14:textId="77777777" w:rsidR="002C296A" w:rsidRDefault="002C296A" w:rsidP="002C296A">
      <w:pPr>
        <w:pStyle w:val="Numberedheading2"/>
      </w:pPr>
      <w:r>
        <w:t>Focus of quality standard</w:t>
      </w:r>
    </w:p>
    <w:p w14:paraId="585E8585" w14:textId="50635D12" w:rsidR="006809E4" w:rsidRDefault="00CD746C" w:rsidP="007434D8">
      <w:pPr>
        <w:pStyle w:val="Paragraph"/>
      </w:pPr>
      <w:r>
        <w:t>This quality standard</w:t>
      </w:r>
      <w:r w:rsidR="00886A88" w:rsidRPr="00886A88">
        <w:t xml:space="preserve"> will cover how to help people return to work after long-term sickness absence, reduction of recurring sickness absence, and prevention of moving from short-term to long-term sickness absence. It will cover everyone aged over 16 who is in full-time or part-time employment (paid or unpaid) or who is unemployed and gets benefits because of a long-term condition or disability that prevents them from working.</w:t>
      </w:r>
    </w:p>
    <w:p w14:paraId="59F32D37" w14:textId="77777777" w:rsidR="002C296A" w:rsidRDefault="002C296A" w:rsidP="00BF70EA">
      <w:pPr>
        <w:pStyle w:val="Numberedheading2"/>
      </w:pPr>
      <w:r>
        <w:t>Definition</w:t>
      </w:r>
    </w:p>
    <w:p w14:paraId="611A7636" w14:textId="3321DB3A" w:rsidR="00BF70EA" w:rsidRDefault="00C33860" w:rsidP="00933944">
      <w:pPr>
        <w:pStyle w:val="Paragraph"/>
      </w:pPr>
      <w:r>
        <w:t>F</w:t>
      </w:r>
      <w:r w:rsidRPr="00C33860">
        <w:t xml:space="preserve">or this quality standard </w:t>
      </w:r>
      <w:r>
        <w:t>l</w:t>
      </w:r>
      <w:r w:rsidRPr="00C33860">
        <w:t>ong-term sickness absence is</w:t>
      </w:r>
      <w:r>
        <w:t xml:space="preserve"> </w:t>
      </w:r>
      <w:r w:rsidRPr="00C33860">
        <w:t xml:space="preserve">defined as an absence </w:t>
      </w:r>
      <w:r>
        <w:t xml:space="preserve">from employment due to sickness </w:t>
      </w:r>
      <w:r w:rsidRPr="00C33860">
        <w:t>lasting 4 or more week</w:t>
      </w:r>
      <w:r>
        <w:t>s</w:t>
      </w:r>
      <w:r w:rsidRPr="00C33860">
        <w:t xml:space="preserve">. Recurring long-term sickness absence </w:t>
      </w:r>
      <w:r>
        <w:t>is</w:t>
      </w:r>
      <w:r w:rsidRPr="00C33860">
        <w:t xml:space="preserve"> defined as more than 1 episode of long-term sickness absence, with each episode lasting more than 4 weeks.</w:t>
      </w:r>
      <w:r w:rsidR="00A813F7">
        <w:t xml:space="preserve"> </w:t>
      </w:r>
    </w:p>
    <w:p w14:paraId="548BA78D" w14:textId="6A6B6F53" w:rsidR="00D87F72" w:rsidRDefault="002C296A" w:rsidP="006E36AE">
      <w:pPr>
        <w:pStyle w:val="Numberedheading2"/>
      </w:pPr>
      <w:r>
        <w:t>Incidence and prevalence</w:t>
      </w:r>
    </w:p>
    <w:p w14:paraId="5E9FEED3" w14:textId="5135BBA2" w:rsidR="001D789C" w:rsidRDefault="001D789C" w:rsidP="00933944">
      <w:pPr>
        <w:pStyle w:val="Paragraph"/>
      </w:pPr>
      <w:r>
        <w:t>From January to December 2018</w:t>
      </w:r>
      <w:r w:rsidR="00A54C47">
        <w:t>,</w:t>
      </w:r>
      <w:r w:rsidR="00CA4DC2">
        <w:t xml:space="preserve"> </w:t>
      </w:r>
      <w:r w:rsidR="00A54C47">
        <w:t>there were 1.8 million spells of LTSA among 1.4 million working-age people.</w:t>
      </w:r>
    </w:p>
    <w:p w14:paraId="03E70304" w14:textId="63F35395" w:rsidR="00441B6C" w:rsidRDefault="00441B6C" w:rsidP="00933944">
      <w:pPr>
        <w:pStyle w:val="Paragraph"/>
      </w:pPr>
      <w:r>
        <w:rPr>
          <w:noProof/>
        </w:rPr>
        <w:lastRenderedPageBreak/>
        <w:drawing>
          <wp:inline distT="0" distB="0" distL="0" distR="0" wp14:anchorId="41E87E83" wp14:editId="7F5466A9">
            <wp:extent cx="4761230" cy="239014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1230" cy="2390140"/>
                    </a:xfrm>
                    <a:prstGeom prst="rect">
                      <a:avLst/>
                    </a:prstGeom>
                    <a:noFill/>
                  </pic:spPr>
                </pic:pic>
              </a:graphicData>
            </a:graphic>
          </wp:inline>
        </w:drawing>
      </w:r>
    </w:p>
    <w:p w14:paraId="16EC3348" w14:textId="71E92B9A" w:rsidR="001D789C" w:rsidRDefault="00A54C47" w:rsidP="00933944">
      <w:pPr>
        <w:pStyle w:val="Paragraph"/>
      </w:pPr>
      <w:r>
        <w:t>L</w:t>
      </w:r>
      <w:r w:rsidR="002959E5">
        <w:t>ong term sickness absence did not affect people equall</w:t>
      </w:r>
      <w:r>
        <w:t>y</w:t>
      </w:r>
      <w:r w:rsidR="00581471">
        <w:t>.</w:t>
      </w:r>
      <w:r w:rsidR="00581471" w:rsidRPr="00581471">
        <w:t xml:space="preserve"> </w:t>
      </w:r>
      <w:r w:rsidR="00581471">
        <w:t>The c</w:t>
      </w:r>
      <w:r w:rsidR="00581471" w:rsidRPr="00581471">
        <w:t>haracteristics of those who had at least one spell of LTSA</w:t>
      </w:r>
      <w:r w:rsidR="00581471">
        <w:t xml:space="preserve"> are as follows:</w:t>
      </w:r>
    </w:p>
    <w:p w14:paraId="309EE27E" w14:textId="2B54B0EF" w:rsidR="001D789C" w:rsidRDefault="002959E5" w:rsidP="001D789C">
      <w:pPr>
        <w:pStyle w:val="Paragraph"/>
        <w:numPr>
          <w:ilvl w:val="0"/>
          <w:numId w:val="18"/>
        </w:numPr>
      </w:pPr>
      <w:r>
        <w:t xml:space="preserve">Gender - </w:t>
      </w:r>
      <w:r w:rsidR="001D789C">
        <w:t>5.2% of women</w:t>
      </w:r>
      <w:r>
        <w:t xml:space="preserve"> vs 3.7% of men</w:t>
      </w:r>
      <w:r w:rsidR="00A54C47">
        <w:t xml:space="preserve"> </w:t>
      </w:r>
    </w:p>
    <w:p w14:paraId="3FE35258" w14:textId="38306504" w:rsidR="001D789C" w:rsidRDefault="002959E5" w:rsidP="001D789C">
      <w:pPr>
        <w:pStyle w:val="Paragraph"/>
        <w:numPr>
          <w:ilvl w:val="0"/>
          <w:numId w:val="18"/>
        </w:numPr>
      </w:pPr>
      <w:r>
        <w:t xml:space="preserve">Age - </w:t>
      </w:r>
      <w:r w:rsidR="001D789C">
        <w:t xml:space="preserve">7% of </w:t>
      </w:r>
      <w:r>
        <w:t>55</w:t>
      </w:r>
      <w:r w:rsidR="0013560A">
        <w:t xml:space="preserve"> </w:t>
      </w:r>
      <w:r>
        <w:t>-</w:t>
      </w:r>
      <w:r w:rsidR="0013560A">
        <w:t xml:space="preserve"> </w:t>
      </w:r>
      <w:proofErr w:type="gramStart"/>
      <w:r>
        <w:t>64 year</w:t>
      </w:r>
      <w:proofErr w:type="gramEnd"/>
      <w:r w:rsidR="001D789C">
        <w:t xml:space="preserve"> olds</w:t>
      </w:r>
      <w:r>
        <w:t xml:space="preserve"> vs 2% of under 25 year olds</w:t>
      </w:r>
      <w:r w:rsidR="00A54C47" w:rsidRPr="00A54C47">
        <w:t xml:space="preserve"> </w:t>
      </w:r>
    </w:p>
    <w:p w14:paraId="1485A9FF" w14:textId="663787DD" w:rsidR="001D789C" w:rsidRDefault="002959E5" w:rsidP="001D789C">
      <w:pPr>
        <w:pStyle w:val="Paragraph"/>
        <w:numPr>
          <w:ilvl w:val="0"/>
          <w:numId w:val="18"/>
        </w:numPr>
      </w:pPr>
      <w:r>
        <w:t xml:space="preserve">Ethnicity - </w:t>
      </w:r>
      <w:r w:rsidR="001D789C">
        <w:t>5% of those who identified as ‘White’ or ‘Mixed’ ethnicity</w:t>
      </w:r>
      <w:r>
        <w:t xml:space="preserve"> vs 3% of those who identified as ‘Asian’</w:t>
      </w:r>
      <w:r w:rsidR="00A54C47">
        <w:t xml:space="preserve"> </w:t>
      </w:r>
    </w:p>
    <w:p w14:paraId="246D4B48" w14:textId="64271517" w:rsidR="00CA4DC2" w:rsidRDefault="002959E5" w:rsidP="006E36AE">
      <w:pPr>
        <w:pStyle w:val="Paragraph"/>
        <w:numPr>
          <w:ilvl w:val="0"/>
          <w:numId w:val="18"/>
        </w:numPr>
      </w:pPr>
      <w:r>
        <w:t>Disability Status - 15% of people with a disability vs 3% of people who are not disabled</w:t>
      </w:r>
      <w:r>
        <w:rPr>
          <w:rStyle w:val="FootnoteReference"/>
        </w:rPr>
        <w:footnoteReference w:id="1"/>
      </w:r>
    </w:p>
    <w:p w14:paraId="4087ADC9" w14:textId="208EE17D" w:rsidR="00C33860" w:rsidRDefault="00C33860" w:rsidP="00933944">
      <w:pPr>
        <w:pStyle w:val="Paragraph"/>
      </w:pPr>
      <w:r w:rsidRPr="00C33860">
        <w:t>In England, 19% of long-term sickness absence is attributed to mental ill health. In 2009, the Department for Work and Pensions added employment advisers to some </w:t>
      </w:r>
      <w:hyperlink r:id="rId10" w:tgtFrame="_top" w:history="1">
        <w:r w:rsidRPr="00C33860">
          <w:rPr>
            <w:rStyle w:val="Hyperlink"/>
          </w:rPr>
          <w:t>Improving Access to Psychological Therapies</w:t>
        </w:r>
      </w:hyperlink>
      <w:r w:rsidRPr="00C33860">
        <w:t> (IAPT) services. In 2019 the NHS Long Term Plan identified stable employment as a major factor in maintaining good mental health and set out plans for investing in further employment support in IAPT.</w:t>
      </w:r>
    </w:p>
    <w:p w14:paraId="261FE923" w14:textId="12F76436" w:rsidR="00F543BA" w:rsidRDefault="00C33860" w:rsidP="00F543BA">
      <w:pPr>
        <w:pStyle w:val="Paragraph"/>
      </w:pPr>
      <w:r w:rsidRPr="00C33860">
        <w:t>Among claimants of </w:t>
      </w:r>
      <w:hyperlink r:id="rId11" w:anchor="employment-and-support-allowance" w:tgtFrame="_top" w:history="1">
        <w:r w:rsidRPr="00C33860">
          <w:rPr>
            <w:rStyle w:val="Hyperlink"/>
          </w:rPr>
          <w:t>Employment and Support Allowance</w:t>
        </w:r>
      </w:hyperlink>
      <w:r w:rsidRPr="00C33860">
        <w:t> who had worked in the 12 months before their claim, 45% took a period of sickness absence before they left work.</w:t>
      </w:r>
    </w:p>
    <w:p w14:paraId="37CC2550" w14:textId="4CB9A4A6" w:rsidR="00E96CC3" w:rsidRDefault="00E96CC3" w:rsidP="00F543BA">
      <w:pPr>
        <w:pStyle w:val="Paragraph"/>
        <w:rPr>
          <w:highlight w:val="cyan"/>
        </w:rPr>
      </w:pPr>
      <w:r>
        <w:t xml:space="preserve">For Great Britain, 44% of all </w:t>
      </w:r>
      <w:proofErr w:type="gramStart"/>
      <w:r>
        <w:t>work related</w:t>
      </w:r>
      <w:proofErr w:type="gramEnd"/>
      <w:r>
        <w:t xml:space="preserve"> ill health in 2018/19 was attributed to stress, depression or anxiety, accounting for 54% (12.8m) of lost working days.</w:t>
      </w:r>
      <w:r>
        <w:rPr>
          <w:rStyle w:val="FootnoteReference"/>
        </w:rPr>
        <w:footnoteReference w:id="2"/>
      </w:r>
    </w:p>
    <w:p w14:paraId="0BF8D6C8" w14:textId="5C30B7F5" w:rsidR="002C296A" w:rsidRDefault="000D0E0E" w:rsidP="002C296A">
      <w:pPr>
        <w:pStyle w:val="Numberedheading2"/>
      </w:pPr>
      <w:r>
        <w:lastRenderedPageBreak/>
        <w:t>Managing long term sickness absence</w:t>
      </w:r>
    </w:p>
    <w:p w14:paraId="6D61DB7E" w14:textId="2FC031B5" w:rsidR="000D0E0E" w:rsidRDefault="000D0E0E" w:rsidP="00833514">
      <w:pPr>
        <w:pStyle w:val="Paragraph"/>
      </w:pPr>
      <w:r w:rsidRPr="000D0E0E">
        <w:t>In 2008, </w:t>
      </w:r>
      <w:hyperlink r:id="rId12" w:tgtFrame="_top" w:history="1">
        <w:r w:rsidRPr="000D0E0E">
          <w:rPr>
            <w:rStyle w:val="Hyperlink"/>
          </w:rPr>
          <w:t>Working for a healthier tomorrow - work and health in Britain (Department for Work and Pensions)</w:t>
        </w:r>
      </w:hyperlink>
      <w:r w:rsidRPr="000D0E0E">
        <w:t> challenged the perception that it is inappropriate to be in work unless 100% fit. It shifted the emphasis from what a person cannot do to what they can do and led to a move from the 'sick' to the 'fit' note. A review in the</w:t>
      </w:r>
      <w:r w:rsidR="00894789">
        <w:t xml:space="preserve"> government policy paper</w:t>
      </w:r>
      <w:r w:rsidRPr="000D0E0E">
        <w:t> </w:t>
      </w:r>
      <w:hyperlink r:id="rId13" w:tgtFrame="_top" w:history="1">
        <w:r w:rsidR="00894789">
          <w:rPr>
            <w:rStyle w:val="Hyperlink"/>
          </w:rPr>
          <w:t>Improving lives: the future of work, health and disability</w:t>
        </w:r>
      </w:hyperlink>
      <w:r w:rsidRPr="000D0E0E">
        <w:t> suggests that there are too many fit notes stating 'not fit for work', when people 'may be fit for work' as long as appropriate workplace adjustments are made</w:t>
      </w:r>
      <w:r>
        <w:t>.</w:t>
      </w:r>
    </w:p>
    <w:p w14:paraId="600B9543" w14:textId="7A0520D1" w:rsidR="000D0E0E" w:rsidRDefault="000D0E0E" w:rsidP="00E22891">
      <w:pPr>
        <w:pStyle w:val="Paragraph"/>
      </w:pPr>
      <w:r w:rsidRPr="000D0E0E">
        <w:t>Employee assistance programmes, many of which provide counselling, are increasingly being offered as an employee benefit. In 2017 the </w:t>
      </w:r>
      <w:hyperlink r:id="rId14" w:tgtFrame="_top" w:history="1">
        <w:r w:rsidRPr="000D0E0E">
          <w:rPr>
            <w:rStyle w:val="Hyperlink"/>
          </w:rPr>
          <w:t>government's Thriving at work: a review of mental health and employers</w:t>
        </w:r>
      </w:hyperlink>
      <w:r w:rsidRPr="000D0E0E">
        <w:t> proposed core mental health standards that can be implemented by organisations of all sizes, and enhanced standards for larger organisations or those that are able to do more.</w:t>
      </w:r>
    </w:p>
    <w:p w14:paraId="509EC01A" w14:textId="77777777" w:rsidR="000C135B" w:rsidRPr="003F70B8" w:rsidRDefault="00466B16" w:rsidP="00466B16">
      <w:pPr>
        <w:pStyle w:val="Numberedheading2"/>
      </w:pPr>
      <w:bookmarkStart w:id="31" w:name="_Toc340835232"/>
      <w:bookmarkEnd w:id="31"/>
      <w:r>
        <w:t>Resource impact</w:t>
      </w:r>
    </w:p>
    <w:p w14:paraId="2B8D34F8" w14:textId="26247238" w:rsidR="00667EE6" w:rsidRPr="00E22891" w:rsidRDefault="00667EE6" w:rsidP="00E22891">
      <w:pPr>
        <w:pStyle w:val="Paragraph"/>
      </w:pPr>
      <w:r w:rsidRPr="002D4ECE">
        <w:t xml:space="preserve">We do not expect this </w:t>
      </w:r>
      <w:r>
        <w:t>QS</w:t>
      </w:r>
      <w:r w:rsidRPr="002D4ECE">
        <w:t xml:space="preserve"> to have a significant impact on resources</w:t>
      </w:r>
      <w:r>
        <w:t xml:space="preserve"> if organisations have fully implemented NICE guideline 146. The resource impact assessment for the guideline highlighted that </w:t>
      </w:r>
      <w:r w:rsidRPr="002D4ECE">
        <w:t>micro-, small- and medium-sized enterprises may have resource constraints for the provision of support and structured interventions</w:t>
      </w:r>
      <w:r>
        <w:t xml:space="preserve"> recommended in the guideline</w:t>
      </w:r>
      <w:r w:rsidRPr="002D4ECE">
        <w:t xml:space="preserve">. </w:t>
      </w:r>
      <w:r>
        <w:t>However, the</w:t>
      </w:r>
      <w:r w:rsidRPr="002D4ECE">
        <w:t xml:space="preserve"> support and structured interventions recommendations are ‘</w:t>
      </w:r>
      <w:proofErr w:type="gramStart"/>
      <w:r w:rsidRPr="002D4ECE">
        <w:t>consider</w:t>
      </w:r>
      <w:proofErr w:type="gramEnd"/>
      <w:r w:rsidRPr="002D4ECE">
        <w:t>’ recommendations, therefore the likely impact is not expected to be significant</w:t>
      </w:r>
      <w:r>
        <w:t>.</w:t>
      </w:r>
    </w:p>
    <w:p w14:paraId="3335BCC7" w14:textId="152A088E" w:rsidR="002C296A" w:rsidRDefault="00381592" w:rsidP="007434D8">
      <w:pPr>
        <w:pStyle w:val="Numberedheading1"/>
      </w:pPr>
      <w:r>
        <w:br w:type="page"/>
      </w:r>
      <w:bookmarkStart w:id="32" w:name="_Toc51674498"/>
      <w:r w:rsidR="002C296A">
        <w:lastRenderedPageBreak/>
        <w:t>Summary of suggestions</w:t>
      </w:r>
      <w:bookmarkEnd w:id="32"/>
    </w:p>
    <w:p w14:paraId="2F97E627" w14:textId="77777777" w:rsidR="002C296A" w:rsidRPr="007D4B1A" w:rsidRDefault="002C296A" w:rsidP="002C296A">
      <w:pPr>
        <w:pStyle w:val="Numberedheading2"/>
      </w:pPr>
      <w:r>
        <w:t>Responses</w:t>
      </w:r>
    </w:p>
    <w:p w14:paraId="7165210F" w14:textId="45FE7511" w:rsidR="0012414A" w:rsidRDefault="002C296A" w:rsidP="0012414A">
      <w:pPr>
        <w:pStyle w:val="Paragraph"/>
      </w:pPr>
      <w:r>
        <w:t xml:space="preserve">In total </w:t>
      </w:r>
      <w:r w:rsidR="009855DA">
        <w:t>1</w:t>
      </w:r>
      <w:r w:rsidR="00B45588">
        <w:t>5</w:t>
      </w:r>
      <w:r w:rsidR="00E12A17">
        <w:t xml:space="preserve"> </w:t>
      </w:r>
      <w:r w:rsidR="006D50F4">
        <w:t xml:space="preserve">registered </w:t>
      </w:r>
      <w:r>
        <w:t xml:space="preserve">stakeholders </w:t>
      </w:r>
      <w:r w:rsidR="000604CD">
        <w:t>responded to the 2-week engagement exer</w:t>
      </w:r>
      <w:r w:rsidR="00E56515">
        <w:t xml:space="preserve">cise </w:t>
      </w:r>
      <w:r w:rsidR="009855DA">
        <w:t>13/07/2020 – 28/07/2020</w:t>
      </w:r>
      <w:r w:rsidR="000604CD">
        <w:t>.</w:t>
      </w:r>
      <w:r w:rsidR="00CC4B4E" w:rsidRPr="009855DA">
        <w:t xml:space="preserve"> </w:t>
      </w:r>
      <w:r w:rsidR="00AB14D0" w:rsidRPr="007434D8">
        <w:t xml:space="preserve">We also received comments from </w:t>
      </w:r>
      <w:r w:rsidR="009855DA" w:rsidRPr="007434D8">
        <w:t>3</w:t>
      </w:r>
      <w:r w:rsidR="00AB14D0" w:rsidRPr="007434D8">
        <w:t xml:space="preserve"> specialist committee members</w:t>
      </w:r>
      <w:r w:rsidR="00AB14D0" w:rsidRPr="009855DA">
        <w:t>.</w:t>
      </w:r>
      <w:r w:rsidR="00D44D8A" w:rsidRPr="009855DA">
        <w:t xml:space="preserve"> The</w:t>
      </w:r>
      <w:r w:rsidR="00D44D8A">
        <w:t xml:space="preserve"> responses have been merged and summarised </w:t>
      </w:r>
      <w:r w:rsidR="00D44D8A" w:rsidRPr="00140C3A">
        <w:t>in table</w:t>
      </w:r>
      <w:r w:rsidR="00D44D8A">
        <w:t> </w:t>
      </w:r>
      <w:r w:rsidR="00C126A8">
        <w:t>1</w:t>
      </w:r>
      <w:r w:rsidR="00D44D8A">
        <w:t xml:space="preserve"> for further consideration by the </w:t>
      </w:r>
      <w:r w:rsidR="00E546C0">
        <w:t>c</w:t>
      </w:r>
      <w:r w:rsidR="00D44D8A">
        <w:t>ommittee</w:t>
      </w:r>
      <w:r w:rsidR="00D44D8A" w:rsidRPr="00E12A17">
        <w:t>.</w:t>
      </w:r>
    </w:p>
    <w:p w14:paraId="027A73AE" w14:textId="167E1456" w:rsidR="000C5484" w:rsidRDefault="00011EBF" w:rsidP="00E12A17">
      <w:pPr>
        <w:pStyle w:val="Paragraph"/>
      </w:pPr>
      <w:r>
        <w:t>F</w:t>
      </w:r>
      <w:r w:rsidR="00E12A17" w:rsidRPr="00E12A17">
        <w:t>ull detail</w:t>
      </w:r>
      <w:r>
        <w:t>s</w:t>
      </w:r>
      <w:r w:rsidR="00E12A17" w:rsidRPr="00E12A17">
        <w:t xml:space="preserve"> o</w:t>
      </w:r>
      <w:r w:rsidR="001C7AC5">
        <w:t>f all</w:t>
      </w:r>
      <w:r w:rsidR="00E12A17" w:rsidRPr="00E12A17">
        <w:t xml:space="preserve"> the suggestions </w:t>
      </w:r>
      <w:r w:rsidR="00E12A17">
        <w:t>provided</w:t>
      </w:r>
      <w:r w:rsidR="002F64BD">
        <w:t xml:space="preserve"> are given</w:t>
      </w:r>
      <w:r w:rsidR="00E12A17">
        <w:t xml:space="preserve"> in appendix</w:t>
      </w:r>
      <w:r w:rsidR="0043294A">
        <w:t> </w:t>
      </w:r>
      <w:r w:rsidR="007434D8">
        <w:t>2</w:t>
      </w:r>
      <w:r w:rsidR="00E12A17" w:rsidRPr="00E12A17">
        <w:t xml:space="preserve"> for information.</w:t>
      </w:r>
    </w:p>
    <w:p w14:paraId="2EB487C5" w14:textId="2D08D400" w:rsidR="005A61AD" w:rsidRPr="006E608E" w:rsidRDefault="005A61AD" w:rsidP="00DD0BD8">
      <w:pPr>
        <w:pStyle w:val="Heading3"/>
      </w:pPr>
      <w:r w:rsidRPr="006E608E">
        <w:t xml:space="preserve">Table </w:t>
      </w:r>
      <w:r w:rsidR="00C126A8">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358"/>
        <w:gridCol w:w="2658"/>
      </w:tblGrid>
      <w:tr w:rsidR="00F04826" w:rsidRPr="00DD0BD8" w14:paraId="555B3851" w14:textId="77777777" w:rsidTr="00AA3A48">
        <w:trPr>
          <w:tblHeader/>
        </w:trPr>
        <w:tc>
          <w:tcPr>
            <w:tcW w:w="3526" w:type="pct"/>
            <w:shd w:val="clear" w:color="auto" w:fill="auto"/>
          </w:tcPr>
          <w:p w14:paraId="5EC954D4" w14:textId="77777777" w:rsidR="00F04826" w:rsidRPr="00DD0BD8" w:rsidRDefault="00F04826" w:rsidP="00DD0BD8">
            <w:pPr>
              <w:pStyle w:val="Tabletitle"/>
            </w:pPr>
            <w:bookmarkStart w:id="33" w:name="_Hlk51152430"/>
            <w:r w:rsidRPr="00DD0BD8">
              <w:t>Suggested area for improvement</w:t>
            </w:r>
          </w:p>
        </w:tc>
        <w:tc>
          <w:tcPr>
            <w:tcW w:w="1474" w:type="pct"/>
            <w:shd w:val="clear" w:color="auto" w:fill="auto"/>
          </w:tcPr>
          <w:p w14:paraId="6CC825B3" w14:textId="77777777" w:rsidR="00F04826" w:rsidRPr="00DD0BD8" w:rsidRDefault="00F04826" w:rsidP="00DD0BD8">
            <w:pPr>
              <w:pStyle w:val="Tabletitle"/>
            </w:pPr>
            <w:r w:rsidRPr="00DD0BD8">
              <w:t>Stakeholder</w:t>
            </w:r>
            <w:r w:rsidR="0027103E" w:rsidRPr="00DD0BD8">
              <w:t>s</w:t>
            </w:r>
            <w:r w:rsidRPr="00DD0BD8">
              <w:t xml:space="preserve"> </w:t>
            </w:r>
          </w:p>
        </w:tc>
      </w:tr>
      <w:tr w:rsidR="004E4BF8" w:rsidRPr="00F04826" w14:paraId="763E9478"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56FB66F4" w14:textId="77777777" w:rsidR="004E4BF8" w:rsidRPr="007434D8" w:rsidRDefault="004E4BF8" w:rsidP="004E4BF8">
            <w:pPr>
              <w:pStyle w:val="Tabletitle"/>
            </w:pPr>
            <w:r w:rsidRPr="007434D8">
              <w:t>Statement of fitness for work</w:t>
            </w:r>
          </w:p>
          <w:p w14:paraId="05A98DC3" w14:textId="77777777" w:rsidR="004E4BF8" w:rsidRPr="007434D8" w:rsidRDefault="004E4BF8" w:rsidP="004E4BF8">
            <w:pPr>
              <w:pStyle w:val="Bulletstable"/>
            </w:pPr>
            <w:r w:rsidRPr="007434D8">
              <w:t>The role of health services</w:t>
            </w:r>
          </w:p>
          <w:p w14:paraId="4C8BE580" w14:textId="6A7583D4" w:rsidR="004E4BF8" w:rsidRPr="007434D8" w:rsidRDefault="004E4BF8" w:rsidP="004E4BF8">
            <w:pPr>
              <w:pStyle w:val="Bulletstable"/>
            </w:pPr>
            <w:r w:rsidRPr="007434D8">
              <w:t>The role of employers</w:t>
            </w:r>
          </w:p>
        </w:tc>
        <w:tc>
          <w:tcPr>
            <w:tcW w:w="1474" w:type="pct"/>
            <w:tcBorders>
              <w:top w:val="single" w:sz="4" w:space="0" w:color="auto"/>
              <w:left w:val="single" w:sz="4" w:space="0" w:color="auto"/>
              <w:right w:val="single" w:sz="4" w:space="0" w:color="auto"/>
            </w:tcBorders>
          </w:tcPr>
          <w:p w14:paraId="2DF04973" w14:textId="1C747AAE" w:rsidR="004E4BF8" w:rsidRPr="00381592" w:rsidRDefault="004E4BF8" w:rsidP="004E4BF8">
            <w:pPr>
              <w:pStyle w:val="Tabletext"/>
              <w:rPr>
                <w:highlight w:val="cyan"/>
              </w:rPr>
            </w:pPr>
            <w:r w:rsidRPr="00AC7BDE">
              <w:t>SCM2, RCOT</w:t>
            </w:r>
          </w:p>
        </w:tc>
      </w:tr>
      <w:tr w:rsidR="004E4BF8" w:rsidRPr="00F04826" w14:paraId="70C43AAB"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08F6FAB1" w14:textId="77777777" w:rsidR="004E4BF8" w:rsidRPr="007434D8" w:rsidRDefault="004E4BF8" w:rsidP="004E4BF8">
            <w:pPr>
              <w:pStyle w:val="Tabletitle"/>
            </w:pPr>
            <w:r w:rsidRPr="007434D8">
              <w:t>Support during long-term sickness absence</w:t>
            </w:r>
          </w:p>
          <w:p w14:paraId="05FC173F" w14:textId="77777777" w:rsidR="004E4BF8" w:rsidRPr="007434D8" w:rsidRDefault="004E4BF8" w:rsidP="004E4BF8">
            <w:pPr>
              <w:pStyle w:val="Bulletstable"/>
            </w:pPr>
            <w:r w:rsidRPr="007434D8">
              <w:t>Communication</w:t>
            </w:r>
          </w:p>
          <w:p w14:paraId="537FB2F3" w14:textId="596C98A2" w:rsidR="004E4BF8" w:rsidRPr="007434D8" w:rsidRDefault="004E4BF8" w:rsidP="004E4BF8">
            <w:pPr>
              <w:pStyle w:val="Bulletstable"/>
            </w:pPr>
            <w:r w:rsidRPr="007434D8">
              <w:t>Occupational health services</w:t>
            </w:r>
          </w:p>
        </w:tc>
        <w:tc>
          <w:tcPr>
            <w:tcW w:w="1474" w:type="pct"/>
            <w:tcBorders>
              <w:top w:val="single" w:sz="4" w:space="0" w:color="auto"/>
              <w:left w:val="single" w:sz="4" w:space="0" w:color="auto"/>
              <w:right w:val="single" w:sz="4" w:space="0" w:color="auto"/>
            </w:tcBorders>
          </w:tcPr>
          <w:p w14:paraId="6500F502" w14:textId="08EE1293" w:rsidR="004E4BF8" w:rsidRPr="00381592" w:rsidRDefault="004E4BF8" w:rsidP="004E4BF8">
            <w:pPr>
              <w:pStyle w:val="Tabletext"/>
              <w:rPr>
                <w:highlight w:val="cyan"/>
              </w:rPr>
            </w:pPr>
            <w:r w:rsidRPr="00AC7BDE">
              <w:t xml:space="preserve">ACPOHE, BSR, CH, </w:t>
            </w:r>
            <w:r w:rsidR="005A6352">
              <w:t xml:space="preserve">LCC, </w:t>
            </w:r>
            <w:r w:rsidRPr="00AC7BDE">
              <w:t xml:space="preserve">M, MSS, NRAS, </w:t>
            </w:r>
            <w:r w:rsidRPr="005E662A">
              <w:t>RCOT</w:t>
            </w:r>
            <w:r>
              <w:t xml:space="preserve">, </w:t>
            </w:r>
            <w:r w:rsidRPr="00AC7BDE">
              <w:t>SCM1</w:t>
            </w:r>
          </w:p>
        </w:tc>
      </w:tr>
      <w:tr w:rsidR="004E4BF8" w:rsidRPr="00F04826" w14:paraId="1F09F75D"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3D0A3666" w14:textId="50F4B323" w:rsidR="004E4BF8" w:rsidRPr="005D4E79" w:rsidRDefault="004E4BF8" w:rsidP="004E4BF8">
            <w:pPr>
              <w:pStyle w:val="Tabletitle"/>
            </w:pPr>
            <w:r w:rsidRPr="006E36AE">
              <w:t xml:space="preserve">Support to </w:t>
            </w:r>
            <w:r w:rsidR="00A744FE" w:rsidRPr="00A744FE">
              <w:t>stay in or return to work</w:t>
            </w:r>
          </w:p>
          <w:p w14:paraId="4BD5B5A7" w14:textId="77777777" w:rsidR="004E4BF8" w:rsidRPr="005D4E79" w:rsidRDefault="004E4BF8" w:rsidP="004E4BF8">
            <w:pPr>
              <w:pStyle w:val="Bulletstable"/>
            </w:pPr>
            <w:r>
              <w:t>Support to return to work</w:t>
            </w:r>
          </w:p>
          <w:p w14:paraId="60A6B643" w14:textId="77777777" w:rsidR="004E4BF8" w:rsidRDefault="004E4BF8" w:rsidP="004E4BF8">
            <w:pPr>
              <w:pStyle w:val="Bulletstable"/>
            </w:pPr>
            <w:r>
              <w:t>Reasonable adjustments</w:t>
            </w:r>
          </w:p>
          <w:p w14:paraId="26BA07AA" w14:textId="2D0F466E" w:rsidR="004E4BF8" w:rsidRPr="007434D8" w:rsidRDefault="004E4BF8" w:rsidP="004E4BF8">
            <w:pPr>
              <w:pStyle w:val="Bulletstable"/>
            </w:pPr>
            <w:r w:rsidRPr="007434D8">
              <w:t>Mental health</w:t>
            </w:r>
          </w:p>
        </w:tc>
        <w:tc>
          <w:tcPr>
            <w:tcW w:w="1474" w:type="pct"/>
            <w:tcBorders>
              <w:top w:val="single" w:sz="4" w:space="0" w:color="auto"/>
              <w:left w:val="single" w:sz="4" w:space="0" w:color="auto"/>
              <w:right w:val="single" w:sz="4" w:space="0" w:color="auto"/>
            </w:tcBorders>
          </w:tcPr>
          <w:p w14:paraId="49C4D41B" w14:textId="17A8D8ED" w:rsidR="004E4BF8" w:rsidRPr="00381592" w:rsidRDefault="004E4BF8" w:rsidP="004E4BF8">
            <w:pPr>
              <w:pStyle w:val="Tabletext"/>
              <w:rPr>
                <w:szCs w:val="22"/>
                <w:highlight w:val="cyan"/>
              </w:rPr>
            </w:pPr>
            <w:r w:rsidRPr="00AC7BDE">
              <w:t>CH,</w:t>
            </w:r>
            <w:r>
              <w:t xml:space="preserve"> </w:t>
            </w:r>
            <w:r w:rsidR="005A6352">
              <w:t xml:space="preserve">LCC, </w:t>
            </w:r>
            <w:r w:rsidRPr="00AC7BDE">
              <w:t>M, MSS, NRAS,</w:t>
            </w:r>
            <w:r>
              <w:t xml:space="preserve"> RCN, SCM1,</w:t>
            </w:r>
            <w:r w:rsidRPr="00AC7BDE">
              <w:t xml:space="preserve"> SHSC,</w:t>
            </w:r>
            <w:r>
              <w:t xml:space="preserve"> SFC, RCR</w:t>
            </w:r>
            <w:r w:rsidRPr="00AC7BDE">
              <w:t xml:space="preserve"> TPF</w:t>
            </w:r>
          </w:p>
        </w:tc>
      </w:tr>
      <w:tr w:rsidR="004E4BF8" w:rsidRPr="00F04826" w14:paraId="22519190"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23EDCB74" w14:textId="3AE3452B" w:rsidR="004E4BF8" w:rsidRPr="007434D8" w:rsidRDefault="00A744FE" w:rsidP="004E4BF8">
            <w:pPr>
              <w:pStyle w:val="Tabletitle"/>
            </w:pPr>
            <w:r>
              <w:t>Culture and policy</w:t>
            </w:r>
          </w:p>
          <w:p w14:paraId="74A2D5F6" w14:textId="576FD2D9" w:rsidR="004E4BF8" w:rsidRPr="007434D8" w:rsidRDefault="00891C5E" w:rsidP="004E4BF8">
            <w:pPr>
              <w:pStyle w:val="Bulletstable"/>
            </w:pPr>
            <w:r>
              <w:t>Workplace culture</w:t>
            </w:r>
          </w:p>
          <w:p w14:paraId="7E831BDF" w14:textId="4B7F2507" w:rsidR="004E4BF8" w:rsidRPr="007434D8" w:rsidDel="00B22AE2" w:rsidRDefault="00891C5E" w:rsidP="004E4BF8">
            <w:pPr>
              <w:pStyle w:val="Bulletstable"/>
            </w:pPr>
            <w:r w:rsidRPr="006E36AE">
              <w:rPr>
                <w:bCs/>
              </w:rPr>
              <w:t>Policy</w:t>
            </w:r>
          </w:p>
        </w:tc>
        <w:tc>
          <w:tcPr>
            <w:tcW w:w="1474" w:type="pct"/>
            <w:tcBorders>
              <w:top w:val="single" w:sz="4" w:space="0" w:color="auto"/>
              <w:left w:val="single" w:sz="4" w:space="0" w:color="auto"/>
              <w:right w:val="single" w:sz="4" w:space="0" w:color="auto"/>
            </w:tcBorders>
          </w:tcPr>
          <w:p w14:paraId="06D13100" w14:textId="03F7EF23" w:rsidR="004E4BF8" w:rsidRPr="00381592" w:rsidRDefault="005A6352" w:rsidP="004E4BF8">
            <w:pPr>
              <w:pStyle w:val="Tabletext"/>
              <w:rPr>
                <w:highlight w:val="cyan"/>
              </w:rPr>
            </w:pPr>
            <w:r>
              <w:t xml:space="preserve">LCC, </w:t>
            </w:r>
            <w:r w:rsidR="004E4BF8" w:rsidRPr="00AC7BDE">
              <w:t>MSS, RCN,</w:t>
            </w:r>
            <w:r w:rsidR="004E4BF8">
              <w:t xml:space="preserve"> </w:t>
            </w:r>
            <w:r w:rsidR="004E4BF8" w:rsidRPr="005E662A">
              <w:t>SCM1, SCM3, SFC</w:t>
            </w:r>
            <w:r w:rsidR="004E4BF8" w:rsidRPr="005E662A" w:rsidDel="00AC7BDE">
              <w:rPr>
                <w:highlight w:val="cyan"/>
              </w:rPr>
              <w:t xml:space="preserve"> </w:t>
            </w:r>
          </w:p>
        </w:tc>
      </w:tr>
      <w:tr w:rsidR="00C0457B" w:rsidRPr="00F04826" w14:paraId="60851853"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shd w:val="clear" w:color="auto" w:fill="auto"/>
          </w:tcPr>
          <w:p w14:paraId="5C635F4F" w14:textId="77777777" w:rsidR="00C0457B" w:rsidRPr="007434D8" w:rsidRDefault="00D41D49" w:rsidP="00A813F7">
            <w:pPr>
              <w:pStyle w:val="Tabletitle"/>
            </w:pPr>
            <w:r w:rsidRPr="007434D8">
              <w:t>Additional areas</w:t>
            </w:r>
          </w:p>
          <w:p w14:paraId="6B4C4033" w14:textId="0C7C9CEA" w:rsidR="00FA6FCE" w:rsidRPr="007434D8" w:rsidRDefault="00B3092D" w:rsidP="00AB14D0">
            <w:pPr>
              <w:pStyle w:val="Bulletstable"/>
            </w:pPr>
            <w:r w:rsidRPr="007434D8">
              <w:t>Short-term sickness absence</w:t>
            </w:r>
          </w:p>
          <w:p w14:paraId="6747D0F2" w14:textId="239C7F2C" w:rsidR="00D41D49" w:rsidRPr="007434D8" w:rsidRDefault="00B3092D" w:rsidP="00AB14D0">
            <w:pPr>
              <w:pStyle w:val="Bulletstable"/>
            </w:pPr>
            <w:r w:rsidRPr="007434D8">
              <w:t>Secondary care</w:t>
            </w:r>
          </w:p>
          <w:p w14:paraId="4927CDD2" w14:textId="45C77D5F" w:rsidR="00FA6FCE" w:rsidRPr="007434D8" w:rsidRDefault="00B3092D" w:rsidP="00AB14D0">
            <w:pPr>
              <w:pStyle w:val="Bulletstable"/>
            </w:pPr>
            <w:r w:rsidRPr="007434D8">
              <w:t>Specific conditions</w:t>
            </w:r>
          </w:p>
          <w:p w14:paraId="170FDF70" w14:textId="4CBDB5C4" w:rsidR="00FA6FCE" w:rsidRDefault="00B3092D" w:rsidP="00AB14D0">
            <w:pPr>
              <w:pStyle w:val="Bulletstable"/>
            </w:pPr>
            <w:r w:rsidRPr="007434D8">
              <w:t>Presenteeism and absenteeism</w:t>
            </w:r>
          </w:p>
          <w:p w14:paraId="0A307BFA" w14:textId="72BA1A98" w:rsidR="00AC7BDE" w:rsidRPr="007434D8" w:rsidRDefault="00AC7BDE" w:rsidP="00AB14D0">
            <w:pPr>
              <w:pStyle w:val="Bulletstable"/>
            </w:pPr>
            <w:r>
              <w:t>Training</w:t>
            </w:r>
          </w:p>
          <w:p w14:paraId="5FD768A3" w14:textId="70F6FC92" w:rsidR="00D41D49" w:rsidRPr="007434D8" w:rsidRDefault="00AC7BDE">
            <w:pPr>
              <w:pStyle w:val="Bulletstable"/>
            </w:pPr>
            <w:r>
              <w:t>Covid-19</w:t>
            </w:r>
          </w:p>
        </w:tc>
        <w:tc>
          <w:tcPr>
            <w:tcW w:w="1474" w:type="pct"/>
            <w:tcBorders>
              <w:top w:val="single" w:sz="4" w:space="0" w:color="auto"/>
              <w:left w:val="single" w:sz="4" w:space="0" w:color="auto"/>
              <w:bottom w:val="single" w:sz="4" w:space="0" w:color="auto"/>
              <w:right w:val="single" w:sz="4" w:space="0" w:color="auto"/>
            </w:tcBorders>
          </w:tcPr>
          <w:p w14:paraId="65D61233" w14:textId="12C4E0D7" w:rsidR="00C0457B" w:rsidRPr="00381592" w:rsidRDefault="00AC7BDE" w:rsidP="0029335E">
            <w:pPr>
              <w:pStyle w:val="Tabletext"/>
              <w:rPr>
                <w:highlight w:val="cyan"/>
              </w:rPr>
            </w:pPr>
            <w:r w:rsidRPr="00AC7BDE">
              <w:t>BSR, FTWW, MSS,</w:t>
            </w:r>
            <w:r>
              <w:t xml:space="preserve"> </w:t>
            </w:r>
            <w:r w:rsidRPr="00AC7BDE">
              <w:t xml:space="preserve">NRAS, </w:t>
            </w:r>
            <w:r w:rsidR="005E662A" w:rsidRPr="005E662A">
              <w:t xml:space="preserve">SCM2, </w:t>
            </w:r>
            <w:proofErr w:type="gramStart"/>
            <w:r w:rsidR="005E662A" w:rsidRPr="005E662A">
              <w:t xml:space="preserve">SHSC,  </w:t>
            </w:r>
            <w:r w:rsidRPr="00AC7BDE">
              <w:t>TPF</w:t>
            </w:r>
            <w:proofErr w:type="gramEnd"/>
            <w:r w:rsidRPr="00AC7BDE">
              <w:t>, RCOT</w:t>
            </w:r>
          </w:p>
        </w:tc>
      </w:tr>
      <w:tr w:rsidR="00BA005C" w:rsidRPr="00541079" w14:paraId="0C5189CC" w14:textId="77777777" w:rsidTr="00AA3A48">
        <w:tblPrEx>
          <w:tblCellMar>
            <w:left w:w="57" w:type="dxa"/>
            <w:right w:w="57" w:type="dxa"/>
          </w:tblCellMar>
        </w:tblPrEx>
        <w:trPr>
          <w:trHeight w:val="382"/>
        </w:trPr>
        <w:tc>
          <w:tcPr>
            <w:tcW w:w="5000" w:type="pct"/>
            <w:gridSpan w:val="2"/>
            <w:tcBorders>
              <w:top w:val="single" w:sz="4" w:space="0" w:color="auto"/>
              <w:left w:val="single" w:sz="4" w:space="0" w:color="auto"/>
              <w:right w:val="single" w:sz="4" w:space="0" w:color="auto"/>
            </w:tcBorders>
          </w:tcPr>
          <w:p w14:paraId="6D031445" w14:textId="77777777" w:rsidR="00DD0BD8" w:rsidRPr="007434D8" w:rsidRDefault="00DD0BD8" w:rsidP="00DD0BD8">
            <w:pPr>
              <w:pStyle w:val="Tabletext"/>
            </w:pPr>
            <w:r w:rsidRPr="007434D8">
              <w:t>Abbreviations:</w:t>
            </w:r>
          </w:p>
          <w:p w14:paraId="04FC8898" w14:textId="482C35AB" w:rsidR="00BB728C" w:rsidRDefault="00DA0B54" w:rsidP="00DD0BD8">
            <w:pPr>
              <w:pStyle w:val="Tabletext"/>
            </w:pPr>
            <w:r>
              <w:t xml:space="preserve">ACPOHE, </w:t>
            </w:r>
            <w:r w:rsidRPr="00DA0B54">
              <w:t>Association of Chartered Physiotherapist interested in Occupational Health and Ergonomics</w:t>
            </w:r>
          </w:p>
          <w:p w14:paraId="7A1E82D9" w14:textId="0D047279" w:rsidR="00DA0B54" w:rsidRDefault="00DA0B54" w:rsidP="00DD0BD8">
            <w:pPr>
              <w:pStyle w:val="Tabletext"/>
            </w:pPr>
            <w:r>
              <w:t xml:space="preserve">BSR, </w:t>
            </w:r>
            <w:r w:rsidRPr="00DA0B54">
              <w:t>British Society for Rheumatology</w:t>
            </w:r>
          </w:p>
          <w:p w14:paraId="7EA83DA2" w14:textId="17F5F535" w:rsidR="00DA0B54" w:rsidRDefault="00DA0B54" w:rsidP="00DD0BD8">
            <w:pPr>
              <w:pStyle w:val="Tabletext"/>
            </w:pPr>
            <w:r>
              <w:t>CH, Connect Health</w:t>
            </w:r>
          </w:p>
          <w:p w14:paraId="51CCBE9B" w14:textId="599DB8C0" w:rsidR="00DA0B54" w:rsidRDefault="00DA0B54" w:rsidP="00DD0BD8">
            <w:pPr>
              <w:pStyle w:val="Tabletext"/>
            </w:pPr>
            <w:r>
              <w:t xml:space="preserve">FTWW, </w:t>
            </w:r>
            <w:r w:rsidRPr="00DA0B54">
              <w:t>Fair Treatment for the Women of Wales</w:t>
            </w:r>
          </w:p>
          <w:p w14:paraId="12C58FF2" w14:textId="55D90A98" w:rsidR="005A6352" w:rsidRDefault="005A6352" w:rsidP="00DD0BD8">
            <w:pPr>
              <w:pStyle w:val="Tabletext"/>
            </w:pPr>
            <w:r>
              <w:t>LCC, Lincolnshire County Council</w:t>
            </w:r>
          </w:p>
          <w:p w14:paraId="64A20BF5" w14:textId="0B535361" w:rsidR="00DA0B54" w:rsidRDefault="00DA0B54" w:rsidP="00DD0BD8">
            <w:pPr>
              <w:pStyle w:val="Tabletext"/>
            </w:pPr>
            <w:r>
              <w:t>M, Mind</w:t>
            </w:r>
          </w:p>
          <w:p w14:paraId="16B25AE0" w14:textId="56F29699" w:rsidR="00DA0B54" w:rsidRDefault="00DA0B54" w:rsidP="00DD0BD8">
            <w:pPr>
              <w:pStyle w:val="Tabletext"/>
            </w:pPr>
            <w:r>
              <w:t xml:space="preserve">MSS, </w:t>
            </w:r>
            <w:r w:rsidRPr="00DA0B54">
              <w:t>Multiple Sclerosis Society</w:t>
            </w:r>
          </w:p>
          <w:p w14:paraId="33885861" w14:textId="643112CA" w:rsidR="00DA0B54" w:rsidRDefault="00DA0B54" w:rsidP="00DD0BD8">
            <w:pPr>
              <w:pStyle w:val="Tabletext"/>
            </w:pPr>
            <w:r>
              <w:t xml:space="preserve">NRAS, </w:t>
            </w:r>
            <w:r w:rsidRPr="00DA0B54">
              <w:t>National Rheumatoid Arthritis Society</w:t>
            </w:r>
          </w:p>
          <w:p w14:paraId="49AAC372" w14:textId="56831E82" w:rsidR="00DA0B54" w:rsidRDefault="00DA0B54" w:rsidP="00DD0BD8">
            <w:pPr>
              <w:pStyle w:val="Tabletext"/>
            </w:pPr>
            <w:r>
              <w:t xml:space="preserve">RCN, </w:t>
            </w:r>
            <w:r w:rsidRPr="00DA0B54">
              <w:t>Royal College of Nursing</w:t>
            </w:r>
          </w:p>
          <w:p w14:paraId="7F36343E" w14:textId="091BEC23" w:rsidR="00DA0B54" w:rsidRDefault="00DA0B54" w:rsidP="00DD0BD8">
            <w:pPr>
              <w:pStyle w:val="Tabletext"/>
            </w:pPr>
            <w:r>
              <w:t xml:space="preserve">RCOT, </w:t>
            </w:r>
            <w:r w:rsidRPr="00DA0B54">
              <w:t>Royal College of Occupational Therapists</w:t>
            </w:r>
          </w:p>
          <w:p w14:paraId="28E5F61F" w14:textId="45B54775" w:rsidR="00DA0B54" w:rsidRDefault="00DA0B54" w:rsidP="00DD0BD8">
            <w:pPr>
              <w:pStyle w:val="Tabletext"/>
            </w:pPr>
            <w:r>
              <w:lastRenderedPageBreak/>
              <w:t xml:space="preserve">RCR, </w:t>
            </w:r>
            <w:r w:rsidRPr="00DA0B54">
              <w:t>The Royal College of Radiologists</w:t>
            </w:r>
          </w:p>
          <w:p w14:paraId="2DE53F33" w14:textId="23FF798C" w:rsidR="00BA005C" w:rsidRDefault="00BA005C" w:rsidP="00DD0BD8">
            <w:pPr>
              <w:pStyle w:val="Tabletext"/>
            </w:pPr>
            <w:r w:rsidRPr="007434D8">
              <w:t>SCM, Specialist Committee Member</w:t>
            </w:r>
          </w:p>
          <w:p w14:paraId="1AE6AA28" w14:textId="114B8F2D" w:rsidR="00DA0B54" w:rsidRDefault="00DA0B54" w:rsidP="00DD0BD8">
            <w:pPr>
              <w:pStyle w:val="Tabletext"/>
            </w:pPr>
            <w:r>
              <w:t>SFC, Skills for Care</w:t>
            </w:r>
          </w:p>
          <w:p w14:paraId="360975F8" w14:textId="77777777" w:rsidR="00DA0B54" w:rsidRDefault="00DA0B54" w:rsidP="00DD0BD8">
            <w:pPr>
              <w:pStyle w:val="Tabletext"/>
            </w:pPr>
            <w:r w:rsidRPr="00DA0B54">
              <w:t>SHSC, Sheffield Health and Social Care NHS Foundation Trust</w:t>
            </w:r>
          </w:p>
          <w:p w14:paraId="6710D894" w14:textId="5930067F" w:rsidR="00DA0B54" w:rsidRPr="007434D8" w:rsidRDefault="00DA0B54" w:rsidP="00DD0BD8">
            <w:pPr>
              <w:pStyle w:val="Tabletext"/>
            </w:pPr>
            <w:r>
              <w:t xml:space="preserve">TPF, </w:t>
            </w:r>
            <w:r w:rsidRPr="00DA0B54">
              <w:t>The Pituitary Foundation</w:t>
            </w:r>
          </w:p>
        </w:tc>
      </w:tr>
    </w:tbl>
    <w:p w14:paraId="2F201D65" w14:textId="77777777" w:rsidR="00FA61CA" w:rsidRDefault="00FA61CA" w:rsidP="00FA61CA">
      <w:pPr>
        <w:pStyle w:val="Numberedheading2"/>
      </w:pPr>
      <w:bookmarkStart w:id="34" w:name="_Toc340835234"/>
      <w:bookmarkEnd w:id="33"/>
      <w:bookmarkEnd w:id="34"/>
      <w:r>
        <w:lastRenderedPageBreak/>
        <w:t>Identification of current practice evidence</w:t>
      </w:r>
    </w:p>
    <w:p w14:paraId="7E146DB3" w14:textId="2808358E" w:rsidR="00277952" w:rsidRPr="00277952" w:rsidRDefault="00277952" w:rsidP="00AB14D0">
      <w:pPr>
        <w:pStyle w:val="Paragraph"/>
      </w:pPr>
      <w:r w:rsidRPr="00277952">
        <w:t xml:space="preserve">Bibliographic databases were searched to identify examples of current practice in UK health and social care settings; </w:t>
      </w:r>
      <w:r w:rsidR="00437855">
        <w:t>415</w:t>
      </w:r>
      <w:r w:rsidR="00DD0BD8">
        <w:t xml:space="preserve"> </w:t>
      </w:r>
      <w:r w:rsidRPr="00277952">
        <w:t xml:space="preserve">papers were identified for </w:t>
      </w:r>
      <w:r w:rsidR="00437855" w:rsidRPr="00437855">
        <w:t>workplace health: long-term sickness absence and capability to work</w:t>
      </w:r>
      <w:r w:rsidRPr="00277952">
        <w:t xml:space="preserve">. In addition, </w:t>
      </w:r>
      <w:r w:rsidR="007434D8">
        <w:t>40</w:t>
      </w:r>
      <w:r>
        <w:t xml:space="preserve"> </w:t>
      </w:r>
      <w:r w:rsidRPr="00277952">
        <w:t xml:space="preserve">papers were suggested by stakeholders at topic </w:t>
      </w:r>
      <w:r w:rsidR="00C92D69">
        <w:t>engagement</w:t>
      </w:r>
      <w:r w:rsidR="00437855">
        <w:t>.</w:t>
      </w:r>
      <w:r w:rsidRPr="00277952">
        <w:t xml:space="preserve"> </w:t>
      </w:r>
    </w:p>
    <w:p w14:paraId="70C16D33" w14:textId="328F4E21" w:rsidR="00277952" w:rsidRDefault="00277952" w:rsidP="00AB14D0">
      <w:pPr>
        <w:pStyle w:val="Paragraph"/>
      </w:pPr>
      <w:r w:rsidRPr="00277952">
        <w:t xml:space="preserve">Of these papers, </w:t>
      </w:r>
      <w:r w:rsidR="00012446">
        <w:t>9</w:t>
      </w:r>
      <w:r>
        <w:t xml:space="preserve"> </w:t>
      </w:r>
      <w:r w:rsidRPr="00277952">
        <w:t>have been included in this report and are included in the current practice sec</w:t>
      </w:r>
      <w:r>
        <w:t xml:space="preserve">tions where relevant. Appendix </w:t>
      </w:r>
      <w:r w:rsidR="007434D8">
        <w:t>1</w:t>
      </w:r>
      <w:r w:rsidRPr="00277952">
        <w:t xml:space="preserve"> outlines the search process.</w:t>
      </w:r>
    </w:p>
    <w:p w14:paraId="63741B22" w14:textId="77777777" w:rsidR="008542E3" w:rsidRPr="008542E3" w:rsidRDefault="008542E3" w:rsidP="006E36AE">
      <w:pPr>
        <w:pStyle w:val="Numberedheading2"/>
      </w:pPr>
      <w:r w:rsidRPr="008542E3">
        <w:t>Priorities for committee discussion</w:t>
      </w:r>
    </w:p>
    <w:p w14:paraId="7841E587" w14:textId="18BBF4DC" w:rsidR="008542E3" w:rsidRPr="008542E3" w:rsidRDefault="008542E3" w:rsidP="008542E3">
      <w:pPr>
        <w:spacing w:before="240" w:after="240" w:line="276" w:lineRule="auto"/>
        <w:rPr>
          <w:rFonts w:ascii="Arial" w:hAnsi="Arial"/>
        </w:rPr>
      </w:pPr>
      <w:r w:rsidRPr="008542E3">
        <w:rPr>
          <w:rFonts w:ascii="Arial" w:hAnsi="Arial"/>
        </w:rPr>
        <w:t xml:space="preserve">The format of this briefing paper has been amended to support the move to virtual committee meetings. Table 2 summarises the availability of information presented in the briefing paper for each suggested quality improvement area. We have used this to suggest priority areas for the quality standards advisory committee to discuss. The areas that are not suggested as a priority for discussion are shaded in grey within the briefing paper. These are suggestions only however and the committee on </w:t>
      </w:r>
      <w:r w:rsidR="005952B0">
        <w:rPr>
          <w:rFonts w:ascii="Arial" w:hAnsi="Arial"/>
        </w:rPr>
        <w:t>29</w:t>
      </w:r>
      <w:r w:rsidR="005952B0" w:rsidRPr="007434D8">
        <w:rPr>
          <w:rFonts w:ascii="Arial" w:hAnsi="Arial"/>
          <w:vertAlign w:val="superscript"/>
        </w:rPr>
        <w:t>th</w:t>
      </w:r>
      <w:r w:rsidR="005952B0">
        <w:rPr>
          <w:rFonts w:ascii="Arial" w:hAnsi="Arial"/>
        </w:rPr>
        <w:t xml:space="preserve"> September</w:t>
      </w:r>
      <w:r w:rsidRPr="008542E3">
        <w:rPr>
          <w:rFonts w:ascii="Arial" w:hAnsi="Arial"/>
        </w:rPr>
        <w:t xml:space="preserve"> 2020 will decide which areas it wishes to discuss.</w:t>
      </w:r>
    </w:p>
    <w:p w14:paraId="130F67C1" w14:textId="77777777" w:rsidR="008542E3" w:rsidRPr="008542E3" w:rsidRDefault="008542E3" w:rsidP="008542E3">
      <w:pPr>
        <w:keepNext/>
        <w:spacing w:after="60"/>
        <w:rPr>
          <w:rFonts w:ascii="Arial" w:hAnsi="Arial"/>
          <w:b/>
          <w:sz w:val="22"/>
        </w:rPr>
      </w:pPr>
      <w:r w:rsidRPr="008542E3">
        <w:rPr>
          <w:rFonts w:ascii="Arial" w:hAnsi="Arial"/>
          <w:b/>
          <w:sz w:val="22"/>
        </w:rPr>
        <w:lastRenderedPageBreak/>
        <w:t>Table 2 Summary of information available for suggested areas for improvement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728"/>
        <w:gridCol w:w="1125"/>
        <w:gridCol w:w="1059"/>
        <w:gridCol w:w="998"/>
        <w:gridCol w:w="1096"/>
        <w:gridCol w:w="1010"/>
      </w:tblGrid>
      <w:tr w:rsidR="008542E3" w:rsidRPr="008542E3" w14:paraId="4683B87E" w14:textId="77777777" w:rsidTr="006E36AE">
        <w:trPr>
          <w:tblHeader/>
        </w:trPr>
        <w:tc>
          <w:tcPr>
            <w:tcW w:w="2067" w:type="pct"/>
            <w:shd w:val="clear" w:color="auto" w:fill="auto"/>
          </w:tcPr>
          <w:p w14:paraId="510C0664" w14:textId="77777777" w:rsidR="008542E3" w:rsidRPr="008542E3" w:rsidRDefault="008542E3" w:rsidP="008542E3">
            <w:pPr>
              <w:keepNext/>
              <w:spacing w:after="60"/>
              <w:rPr>
                <w:rFonts w:ascii="Arial" w:hAnsi="Arial"/>
                <w:b/>
                <w:sz w:val="22"/>
              </w:rPr>
            </w:pPr>
            <w:r w:rsidRPr="008542E3">
              <w:rPr>
                <w:rFonts w:ascii="Arial" w:hAnsi="Arial"/>
                <w:b/>
                <w:sz w:val="22"/>
              </w:rPr>
              <w:t>Suggested area for improvement</w:t>
            </w:r>
          </w:p>
        </w:tc>
        <w:tc>
          <w:tcPr>
            <w:tcW w:w="624" w:type="pct"/>
          </w:tcPr>
          <w:p w14:paraId="555E1BC5" w14:textId="77777777" w:rsidR="008542E3" w:rsidRPr="008542E3" w:rsidRDefault="008542E3" w:rsidP="008542E3">
            <w:pPr>
              <w:keepNext/>
              <w:spacing w:after="60"/>
              <w:rPr>
                <w:rFonts w:ascii="Arial" w:hAnsi="Arial"/>
                <w:b/>
                <w:sz w:val="22"/>
              </w:rPr>
            </w:pPr>
            <w:r w:rsidRPr="008542E3">
              <w:rPr>
                <w:rFonts w:ascii="Arial" w:hAnsi="Arial"/>
                <w:b/>
                <w:sz w:val="22"/>
              </w:rPr>
              <w:t>In scope</w:t>
            </w:r>
          </w:p>
        </w:tc>
        <w:tc>
          <w:tcPr>
            <w:tcW w:w="587" w:type="pct"/>
          </w:tcPr>
          <w:p w14:paraId="165C2E8F" w14:textId="77777777" w:rsidR="008542E3" w:rsidRPr="008542E3" w:rsidRDefault="008542E3" w:rsidP="008542E3">
            <w:pPr>
              <w:keepNext/>
              <w:spacing w:after="60"/>
              <w:rPr>
                <w:rFonts w:ascii="Arial" w:hAnsi="Arial"/>
                <w:b/>
                <w:sz w:val="22"/>
              </w:rPr>
            </w:pPr>
            <w:r w:rsidRPr="008542E3">
              <w:rPr>
                <w:rFonts w:ascii="Arial" w:hAnsi="Arial"/>
                <w:b/>
                <w:sz w:val="22"/>
              </w:rPr>
              <w:t>Guideline recs</w:t>
            </w:r>
          </w:p>
        </w:tc>
        <w:tc>
          <w:tcPr>
            <w:tcW w:w="553" w:type="pct"/>
          </w:tcPr>
          <w:p w14:paraId="6972DD31" w14:textId="77777777" w:rsidR="008542E3" w:rsidRPr="008542E3" w:rsidRDefault="008542E3" w:rsidP="008542E3">
            <w:pPr>
              <w:keepNext/>
              <w:spacing w:after="60"/>
              <w:rPr>
                <w:rFonts w:ascii="Arial" w:hAnsi="Arial"/>
                <w:b/>
                <w:sz w:val="22"/>
              </w:rPr>
            </w:pPr>
            <w:r w:rsidRPr="008542E3">
              <w:rPr>
                <w:rFonts w:ascii="Arial" w:hAnsi="Arial"/>
                <w:b/>
                <w:sz w:val="22"/>
              </w:rPr>
              <w:t xml:space="preserve">Current practice evidence  </w:t>
            </w:r>
          </w:p>
        </w:tc>
        <w:tc>
          <w:tcPr>
            <w:tcW w:w="608" w:type="pct"/>
          </w:tcPr>
          <w:p w14:paraId="769C984F" w14:textId="77777777" w:rsidR="008542E3" w:rsidRPr="008542E3" w:rsidRDefault="008542E3" w:rsidP="008542E3">
            <w:pPr>
              <w:keepNext/>
              <w:spacing w:after="60"/>
              <w:rPr>
                <w:rFonts w:ascii="Arial" w:hAnsi="Arial"/>
                <w:b/>
                <w:sz w:val="22"/>
              </w:rPr>
            </w:pPr>
            <w:r w:rsidRPr="008542E3">
              <w:rPr>
                <w:rFonts w:ascii="Arial" w:hAnsi="Arial"/>
                <w:b/>
                <w:sz w:val="22"/>
              </w:rPr>
              <w:t>Existing QS statement</w:t>
            </w:r>
          </w:p>
        </w:tc>
        <w:tc>
          <w:tcPr>
            <w:tcW w:w="560" w:type="pct"/>
          </w:tcPr>
          <w:p w14:paraId="708C0409" w14:textId="77777777" w:rsidR="008542E3" w:rsidRPr="008542E3" w:rsidRDefault="008542E3" w:rsidP="008542E3">
            <w:pPr>
              <w:keepNext/>
              <w:spacing w:after="60"/>
              <w:rPr>
                <w:rFonts w:ascii="Arial" w:hAnsi="Arial"/>
                <w:b/>
                <w:sz w:val="22"/>
              </w:rPr>
            </w:pPr>
            <w:r w:rsidRPr="008542E3">
              <w:rPr>
                <w:rFonts w:ascii="Arial" w:hAnsi="Arial"/>
                <w:b/>
                <w:sz w:val="22"/>
              </w:rPr>
              <w:t>Priority to discuss?</w:t>
            </w:r>
          </w:p>
        </w:tc>
      </w:tr>
      <w:tr w:rsidR="008542E3" w:rsidRPr="008542E3" w14:paraId="3DBAD6A6" w14:textId="77777777" w:rsidTr="006E36AE">
        <w:trPr>
          <w:trHeight w:val="382"/>
        </w:trPr>
        <w:tc>
          <w:tcPr>
            <w:tcW w:w="2067" w:type="pct"/>
            <w:tcBorders>
              <w:top w:val="single" w:sz="4" w:space="0" w:color="auto"/>
              <w:left w:val="single" w:sz="4" w:space="0" w:color="auto"/>
              <w:right w:val="single" w:sz="4" w:space="0" w:color="auto"/>
            </w:tcBorders>
            <w:shd w:val="clear" w:color="auto" w:fill="auto"/>
          </w:tcPr>
          <w:p w14:paraId="4CC9774E" w14:textId="3812F35A" w:rsidR="008542E3" w:rsidRPr="008542E3" w:rsidRDefault="00896DA7" w:rsidP="008542E3">
            <w:pPr>
              <w:keepNext/>
              <w:rPr>
                <w:rFonts w:ascii="Arial" w:hAnsi="Arial"/>
                <w:b/>
                <w:sz w:val="22"/>
              </w:rPr>
            </w:pPr>
            <w:bookmarkStart w:id="35" w:name="_Hlk51590162"/>
            <w:r>
              <w:rPr>
                <w:rFonts w:ascii="Arial" w:hAnsi="Arial"/>
                <w:b/>
                <w:sz w:val="22"/>
              </w:rPr>
              <w:t>Statement of fitness to work</w:t>
            </w:r>
          </w:p>
          <w:p w14:paraId="67F2DAC1" w14:textId="5ED267C9" w:rsidR="008542E3" w:rsidRPr="008542E3" w:rsidRDefault="00896DA7" w:rsidP="008542E3">
            <w:pPr>
              <w:numPr>
                <w:ilvl w:val="0"/>
                <w:numId w:val="1"/>
              </w:numPr>
              <w:tabs>
                <w:tab w:val="left" w:pos="284"/>
              </w:tabs>
              <w:rPr>
                <w:rFonts w:ascii="Arial" w:hAnsi="Arial"/>
                <w:sz w:val="22"/>
                <w:szCs w:val="22"/>
              </w:rPr>
            </w:pPr>
            <w:r>
              <w:rPr>
                <w:rFonts w:ascii="Arial" w:hAnsi="Arial"/>
                <w:sz w:val="22"/>
                <w:szCs w:val="22"/>
              </w:rPr>
              <w:t>The role of health services</w:t>
            </w:r>
          </w:p>
          <w:p w14:paraId="6ABEFBC5" w14:textId="6A19771D" w:rsidR="008542E3" w:rsidRPr="008542E3" w:rsidRDefault="00896DA7" w:rsidP="008542E3">
            <w:pPr>
              <w:numPr>
                <w:ilvl w:val="0"/>
                <w:numId w:val="1"/>
              </w:numPr>
              <w:tabs>
                <w:tab w:val="left" w:pos="284"/>
              </w:tabs>
              <w:rPr>
                <w:rFonts w:ascii="Arial" w:hAnsi="Arial"/>
                <w:sz w:val="22"/>
                <w:szCs w:val="22"/>
              </w:rPr>
            </w:pPr>
            <w:r>
              <w:rPr>
                <w:rFonts w:ascii="Arial" w:hAnsi="Arial"/>
                <w:sz w:val="22"/>
                <w:szCs w:val="22"/>
              </w:rPr>
              <w:t>The role of employers</w:t>
            </w:r>
          </w:p>
        </w:tc>
        <w:tc>
          <w:tcPr>
            <w:tcW w:w="624" w:type="pct"/>
          </w:tcPr>
          <w:p w14:paraId="3BCDB6B8" w14:textId="77777777" w:rsidR="008542E3" w:rsidRPr="008542E3" w:rsidRDefault="008542E3" w:rsidP="008542E3">
            <w:pPr>
              <w:rPr>
                <w:rFonts w:ascii="Arial" w:hAnsi="Arial"/>
                <w:sz w:val="22"/>
              </w:rPr>
            </w:pPr>
          </w:p>
          <w:p w14:paraId="13EEADB6" w14:textId="25F3C52F" w:rsidR="008542E3" w:rsidRPr="008542E3" w:rsidRDefault="008542E3" w:rsidP="008542E3">
            <w:pPr>
              <w:rPr>
                <w:rFonts w:ascii="Arial" w:hAnsi="Arial"/>
                <w:sz w:val="22"/>
              </w:rPr>
            </w:pPr>
            <w:r w:rsidRPr="008542E3">
              <w:rPr>
                <w:rFonts w:ascii="Arial" w:hAnsi="Arial"/>
                <w:sz w:val="22"/>
              </w:rPr>
              <w:t>Yes</w:t>
            </w:r>
          </w:p>
          <w:p w14:paraId="468AD0B8" w14:textId="77777777" w:rsidR="008542E3" w:rsidRPr="008542E3" w:rsidRDefault="008542E3" w:rsidP="008542E3">
            <w:pPr>
              <w:rPr>
                <w:rFonts w:ascii="Arial" w:hAnsi="Arial"/>
                <w:sz w:val="22"/>
              </w:rPr>
            </w:pPr>
            <w:r w:rsidRPr="008542E3">
              <w:rPr>
                <w:rFonts w:ascii="Arial" w:hAnsi="Arial"/>
                <w:sz w:val="22"/>
              </w:rPr>
              <w:t>Yes</w:t>
            </w:r>
          </w:p>
        </w:tc>
        <w:tc>
          <w:tcPr>
            <w:tcW w:w="587" w:type="pct"/>
          </w:tcPr>
          <w:p w14:paraId="5676061F" w14:textId="77777777" w:rsidR="008542E3" w:rsidRPr="008542E3" w:rsidRDefault="008542E3" w:rsidP="008542E3">
            <w:pPr>
              <w:rPr>
                <w:rFonts w:ascii="Arial" w:hAnsi="Arial"/>
                <w:sz w:val="22"/>
              </w:rPr>
            </w:pPr>
          </w:p>
          <w:p w14:paraId="0C3E4381" w14:textId="13E07445" w:rsidR="008542E3" w:rsidRPr="008542E3" w:rsidRDefault="008542E3" w:rsidP="008542E3">
            <w:pPr>
              <w:rPr>
                <w:rFonts w:ascii="Arial" w:hAnsi="Arial"/>
                <w:sz w:val="22"/>
              </w:rPr>
            </w:pPr>
            <w:r w:rsidRPr="008542E3">
              <w:rPr>
                <w:rFonts w:ascii="Arial" w:hAnsi="Arial"/>
                <w:sz w:val="22"/>
              </w:rPr>
              <w:t>Yes</w:t>
            </w:r>
          </w:p>
          <w:p w14:paraId="4BB05C91" w14:textId="77777777" w:rsidR="008542E3" w:rsidRPr="008542E3" w:rsidRDefault="008542E3" w:rsidP="008542E3">
            <w:pPr>
              <w:rPr>
                <w:rFonts w:ascii="Arial" w:hAnsi="Arial"/>
                <w:sz w:val="22"/>
              </w:rPr>
            </w:pPr>
            <w:r w:rsidRPr="008542E3">
              <w:rPr>
                <w:rFonts w:ascii="Arial" w:hAnsi="Arial"/>
                <w:sz w:val="22"/>
              </w:rPr>
              <w:t>Yes</w:t>
            </w:r>
          </w:p>
        </w:tc>
        <w:tc>
          <w:tcPr>
            <w:tcW w:w="553" w:type="pct"/>
          </w:tcPr>
          <w:p w14:paraId="47DC0310" w14:textId="77777777" w:rsidR="008542E3" w:rsidRPr="008542E3" w:rsidRDefault="008542E3" w:rsidP="008542E3">
            <w:pPr>
              <w:rPr>
                <w:rFonts w:ascii="Arial" w:hAnsi="Arial"/>
                <w:sz w:val="22"/>
              </w:rPr>
            </w:pPr>
          </w:p>
          <w:p w14:paraId="49C878CC" w14:textId="24D92687" w:rsidR="008542E3" w:rsidRPr="008542E3" w:rsidRDefault="008542E3" w:rsidP="008542E3">
            <w:pPr>
              <w:rPr>
                <w:rFonts w:ascii="Arial" w:hAnsi="Arial"/>
                <w:sz w:val="22"/>
              </w:rPr>
            </w:pPr>
            <w:r w:rsidRPr="008542E3">
              <w:rPr>
                <w:rFonts w:ascii="Arial" w:hAnsi="Arial"/>
                <w:sz w:val="22"/>
              </w:rPr>
              <w:t>Yes</w:t>
            </w:r>
          </w:p>
          <w:p w14:paraId="2ACF0513" w14:textId="4B9BADAF" w:rsidR="008542E3" w:rsidRPr="008542E3" w:rsidRDefault="00896DA7" w:rsidP="008542E3">
            <w:pPr>
              <w:rPr>
                <w:rFonts w:ascii="Arial" w:hAnsi="Arial"/>
                <w:sz w:val="22"/>
              </w:rPr>
            </w:pPr>
            <w:r>
              <w:rPr>
                <w:rFonts w:ascii="Arial" w:hAnsi="Arial"/>
                <w:sz w:val="22"/>
              </w:rPr>
              <w:t>No</w:t>
            </w:r>
          </w:p>
        </w:tc>
        <w:tc>
          <w:tcPr>
            <w:tcW w:w="608" w:type="pct"/>
          </w:tcPr>
          <w:p w14:paraId="63027102" w14:textId="77777777" w:rsidR="008542E3" w:rsidRPr="008542E3" w:rsidRDefault="008542E3" w:rsidP="008542E3">
            <w:pPr>
              <w:rPr>
                <w:rFonts w:ascii="Arial" w:hAnsi="Arial"/>
                <w:sz w:val="22"/>
              </w:rPr>
            </w:pPr>
          </w:p>
          <w:p w14:paraId="3E0FDA63" w14:textId="7BF527EB" w:rsidR="008542E3" w:rsidRPr="008542E3" w:rsidRDefault="00896DA7" w:rsidP="008542E3">
            <w:pPr>
              <w:rPr>
                <w:rFonts w:ascii="Arial" w:hAnsi="Arial"/>
                <w:sz w:val="22"/>
              </w:rPr>
            </w:pPr>
            <w:r>
              <w:rPr>
                <w:rFonts w:ascii="Arial" w:hAnsi="Arial"/>
                <w:sz w:val="22"/>
              </w:rPr>
              <w:t>No</w:t>
            </w:r>
          </w:p>
          <w:p w14:paraId="0139EBB3" w14:textId="77777777" w:rsidR="008542E3" w:rsidRPr="008542E3" w:rsidRDefault="008542E3" w:rsidP="008542E3">
            <w:pPr>
              <w:rPr>
                <w:rFonts w:ascii="Arial" w:hAnsi="Arial"/>
                <w:sz w:val="22"/>
              </w:rPr>
            </w:pPr>
            <w:r w:rsidRPr="008542E3">
              <w:rPr>
                <w:rFonts w:ascii="Arial" w:hAnsi="Arial"/>
                <w:sz w:val="22"/>
              </w:rPr>
              <w:t>No</w:t>
            </w:r>
          </w:p>
        </w:tc>
        <w:tc>
          <w:tcPr>
            <w:tcW w:w="560" w:type="pct"/>
          </w:tcPr>
          <w:p w14:paraId="2613DC70" w14:textId="77777777" w:rsidR="008542E3" w:rsidRPr="008542E3" w:rsidRDefault="008542E3" w:rsidP="008542E3">
            <w:pPr>
              <w:rPr>
                <w:rFonts w:ascii="Arial" w:hAnsi="Arial"/>
                <w:b/>
                <w:bCs/>
                <w:sz w:val="22"/>
              </w:rPr>
            </w:pPr>
          </w:p>
          <w:p w14:paraId="0CDAFAE5" w14:textId="74FD74B5" w:rsidR="008542E3" w:rsidRPr="008542E3" w:rsidRDefault="008542E3" w:rsidP="008542E3">
            <w:pPr>
              <w:rPr>
                <w:rFonts w:ascii="Arial" w:hAnsi="Arial"/>
                <w:b/>
                <w:bCs/>
                <w:sz w:val="22"/>
              </w:rPr>
            </w:pPr>
            <w:r w:rsidRPr="008542E3">
              <w:rPr>
                <w:rFonts w:ascii="Arial" w:hAnsi="Arial"/>
                <w:b/>
                <w:bCs/>
                <w:sz w:val="22"/>
              </w:rPr>
              <w:t>Yes</w:t>
            </w:r>
          </w:p>
          <w:p w14:paraId="47D7D2B2" w14:textId="77777777" w:rsidR="008542E3" w:rsidRPr="008542E3" w:rsidRDefault="008542E3" w:rsidP="008542E3">
            <w:pPr>
              <w:rPr>
                <w:rFonts w:ascii="Arial" w:hAnsi="Arial"/>
                <w:b/>
                <w:bCs/>
                <w:sz w:val="22"/>
              </w:rPr>
            </w:pPr>
            <w:r w:rsidRPr="008542E3">
              <w:rPr>
                <w:rFonts w:ascii="Arial" w:hAnsi="Arial"/>
                <w:b/>
                <w:bCs/>
                <w:sz w:val="22"/>
              </w:rPr>
              <w:t>Yes</w:t>
            </w:r>
          </w:p>
        </w:tc>
      </w:tr>
      <w:tr w:rsidR="008542E3" w:rsidRPr="008542E3" w14:paraId="64525D72" w14:textId="77777777" w:rsidTr="006E36AE">
        <w:trPr>
          <w:trHeight w:val="382"/>
        </w:trPr>
        <w:tc>
          <w:tcPr>
            <w:tcW w:w="2067" w:type="pct"/>
            <w:tcBorders>
              <w:top w:val="single" w:sz="4" w:space="0" w:color="auto"/>
              <w:left w:val="single" w:sz="4" w:space="0" w:color="auto"/>
              <w:right w:val="single" w:sz="4" w:space="0" w:color="auto"/>
            </w:tcBorders>
            <w:shd w:val="clear" w:color="auto" w:fill="auto"/>
          </w:tcPr>
          <w:p w14:paraId="43C96BEE" w14:textId="1716B5C7" w:rsidR="008542E3" w:rsidRPr="008542E3" w:rsidRDefault="00896DA7" w:rsidP="008542E3">
            <w:pPr>
              <w:keepNext/>
              <w:rPr>
                <w:rFonts w:ascii="Arial" w:hAnsi="Arial"/>
                <w:b/>
                <w:sz w:val="22"/>
              </w:rPr>
            </w:pPr>
            <w:r>
              <w:rPr>
                <w:rFonts w:ascii="Arial" w:hAnsi="Arial"/>
                <w:b/>
                <w:sz w:val="22"/>
              </w:rPr>
              <w:t>Support during long-term sickness absence</w:t>
            </w:r>
          </w:p>
          <w:p w14:paraId="213E6A32" w14:textId="12E6A1D7" w:rsidR="008542E3" w:rsidRPr="008542E3" w:rsidRDefault="00896DA7" w:rsidP="008542E3">
            <w:pPr>
              <w:numPr>
                <w:ilvl w:val="0"/>
                <w:numId w:val="1"/>
              </w:numPr>
              <w:tabs>
                <w:tab w:val="left" w:pos="284"/>
              </w:tabs>
              <w:rPr>
                <w:rFonts w:ascii="Arial" w:hAnsi="Arial"/>
                <w:sz w:val="22"/>
                <w:szCs w:val="22"/>
              </w:rPr>
            </w:pPr>
            <w:r>
              <w:rPr>
                <w:rFonts w:ascii="Arial" w:hAnsi="Arial"/>
                <w:sz w:val="22"/>
                <w:szCs w:val="22"/>
              </w:rPr>
              <w:t>Communication</w:t>
            </w:r>
          </w:p>
          <w:p w14:paraId="727CC6BE" w14:textId="06CAB62F" w:rsidR="008542E3" w:rsidRPr="008542E3" w:rsidRDefault="00896DA7" w:rsidP="008542E3">
            <w:pPr>
              <w:numPr>
                <w:ilvl w:val="0"/>
                <w:numId w:val="1"/>
              </w:numPr>
              <w:tabs>
                <w:tab w:val="left" w:pos="284"/>
              </w:tabs>
              <w:rPr>
                <w:rFonts w:ascii="Arial" w:hAnsi="Arial"/>
                <w:sz w:val="22"/>
                <w:szCs w:val="22"/>
              </w:rPr>
            </w:pPr>
            <w:r>
              <w:rPr>
                <w:rFonts w:ascii="Arial" w:hAnsi="Arial"/>
                <w:sz w:val="22"/>
                <w:szCs w:val="22"/>
              </w:rPr>
              <w:t>Occupational health services</w:t>
            </w:r>
          </w:p>
        </w:tc>
        <w:tc>
          <w:tcPr>
            <w:tcW w:w="624" w:type="pct"/>
          </w:tcPr>
          <w:p w14:paraId="37E16B46" w14:textId="77777777" w:rsidR="008542E3" w:rsidRPr="008542E3" w:rsidRDefault="008542E3" w:rsidP="008542E3">
            <w:pPr>
              <w:rPr>
                <w:rFonts w:ascii="Arial" w:hAnsi="Arial"/>
                <w:sz w:val="22"/>
              </w:rPr>
            </w:pPr>
          </w:p>
          <w:p w14:paraId="36F4F9A7" w14:textId="77777777" w:rsidR="00896DA7" w:rsidRDefault="00896DA7" w:rsidP="008542E3">
            <w:pPr>
              <w:rPr>
                <w:rFonts w:ascii="Arial" w:hAnsi="Arial"/>
                <w:sz w:val="22"/>
              </w:rPr>
            </w:pPr>
          </w:p>
          <w:p w14:paraId="5DDD26D5" w14:textId="0F3D1FAD" w:rsidR="008542E3" w:rsidRPr="008542E3" w:rsidRDefault="008542E3" w:rsidP="008542E3">
            <w:pPr>
              <w:rPr>
                <w:rFonts w:ascii="Arial" w:hAnsi="Arial"/>
                <w:sz w:val="22"/>
              </w:rPr>
            </w:pPr>
            <w:r w:rsidRPr="008542E3">
              <w:rPr>
                <w:rFonts w:ascii="Arial" w:hAnsi="Arial"/>
                <w:sz w:val="22"/>
              </w:rPr>
              <w:t>Yes</w:t>
            </w:r>
          </w:p>
          <w:p w14:paraId="0827A162" w14:textId="77777777" w:rsidR="008542E3" w:rsidRPr="008542E3" w:rsidRDefault="008542E3" w:rsidP="008542E3">
            <w:pPr>
              <w:rPr>
                <w:rFonts w:ascii="Arial" w:hAnsi="Arial"/>
                <w:sz w:val="22"/>
              </w:rPr>
            </w:pPr>
            <w:r w:rsidRPr="008542E3">
              <w:rPr>
                <w:rFonts w:ascii="Arial" w:hAnsi="Arial"/>
                <w:sz w:val="22"/>
              </w:rPr>
              <w:t>Yes</w:t>
            </w:r>
          </w:p>
        </w:tc>
        <w:tc>
          <w:tcPr>
            <w:tcW w:w="587" w:type="pct"/>
          </w:tcPr>
          <w:p w14:paraId="7366E492" w14:textId="77777777" w:rsidR="008542E3" w:rsidRPr="008542E3" w:rsidRDefault="008542E3" w:rsidP="008542E3">
            <w:pPr>
              <w:rPr>
                <w:rFonts w:ascii="Arial" w:hAnsi="Arial"/>
                <w:sz w:val="22"/>
              </w:rPr>
            </w:pPr>
          </w:p>
          <w:p w14:paraId="5FD39375" w14:textId="77777777" w:rsidR="00896DA7" w:rsidRDefault="00896DA7" w:rsidP="008542E3">
            <w:pPr>
              <w:rPr>
                <w:rFonts w:ascii="Arial" w:hAnsi="Arial"/>
                <w:sz w:val="22"/>
              </w:rPr>
            </w:pPr>
          </w:p>
          <w:p w14:paraId="4D5BA92D" w14:textId="6F1A5248" w:rsidR="008542E3" w:rsidRPr="008542E3" w:rsidRDefault="008542E3" w:rsidP="008542E3">
            <w:pPr>
              <w:rPr>
                <w:rFonts w:ascii="Arial" w:hAnsi="Arial"/>
                <w:sz w:val="22"/>
              </w:rPr>
            </w:pPr>
            <w:r w:rsidRPr="008542E3">
              <w:rPr>
                <w:rFonts w:ascii="Arial" w:hAnsi="Arial"/>
                <w:sz w:val="22"/>
              </w:rPr>
              <w:t>Yes</w:t>
            </w:r>
          </w:p>
          <w:p w14:paraId="5076122A" w14:textId="77777777" w:rsidR="008542E3" w:rsidRPr="008542E3" w:rsidRDefault="008542E3" w:rsidP="008542E3">
            <w:pPr>
              <w:rPr>
                <w:rFonts w:ascii="Arial" w:hAnsi="Arial"/>
                <w:sz w:val="22"/>
              </w:rPr>
            </w:pPr>
            <w:r w:rsidRPr="008542E3">
              <w:rPr>
                <w:rFonts w:ascii="Arial" w:hAnsi="Arial"/>
                <w:sz w:val="22"/>
              </w:rPr>
              <w:t>Yes</w:t>
            </w:r>
          </w:p>
        </w:tc>
        <w:tc>
          <w:tcPr>
            <w:tcW w:w="553" w:type="pct"/>
          </w:tcPr>
          <w:p w14:paraId="5CA3C7E6" w14:textId="77777777" w:rsidR="008542E3" w:rsidRPr="008542E3" w:rsidRDefault="008542E3" w:rsidP="008542E3">
            <w:pPr>
              <w:rPr>
                <w:rFonts w:ascii="Arial" w:hAnsi="Arial"/>
                <w:sz w:val="22"/>
              </w:rPr>
            </w:pPr>
          </w:p>
          <w:p w14:paraId="18D5DE4B" w14:textId="77777777" w:rsidR="00896DA7" w:rsidRDefault="00896DA7" w:rsidP="008542E3">
            <w:pPr>
              <w:rPr>
                <w:rFonts w:ascii="Arial" w:hAnsi="Arial"/>
                <w:sz w:val="22"/>
              </w:rPr>
            </w:pPr>
          </w:p>
          <w:p w14:paraId="123898F3" w14:textId="52CCE0B8" w:rsidR="008542E3" w:rsidRPr="008542E3" w:rsidRDefault="008542E3" w:rsidP="008542E3">
            <w:pPr>
              <w:rPr>
                <w:rFonts w:ascii="Arial" w:hAnsi="Arial"/>
                <w:sz w:val="22"/>
              </w:rPr>
            </w:pPr>
            <w:r w:rsidRPr="008542E3">
              <w:rPr>
                <w:rFonts w:ascii="Arial" w:hAnsi="Arial"/>
                <w:sz w:val="22"/>
              </w:rPr>
              <w:t>Yes</w:t>
            </w:r>
          </w:p>
          <w:p w14:paraId="20506651" w14:textId="4EA6A7BD" w:rsidR="008542E3" w:rsidRPr="008542E3" w:rsidRDefault="00896DA7" w:rsidP="008542E3">
            <w:pPr>
              <w:rPr>
                <w:rFonts w:ascii="Arial" w:hAnsi="Arial"/>
                <w:sz w:val="22"/>
              </w:rPr>
            </w:pPr>
            <w:r>
              <w:rPr>
                <w:rFonts w:ascii="Arial" w:hAnsi="Arial"/>
                <w:sz w:val="22"/>
              </w:rPr>
              <w:t>No</w:t>
            </w:r>
          </w:p>
        </w:tc>
        <w:tc>
          <w:tcPr>
            <w:tcW w:w="608" w:type="pct"/>
          </w:tcPr>
          <w:p w14:paraId="4771E234" w14:textId="77777777" w:rsidR="008542E3" w:rsidRPr="008542E3" w:rsidRDefault="008542E3" w:rsidP="008542E3">
            <w:pPr>
              <w:rPr>
                <w:rFonts w:ascii="Arial" w:hAnsi="Arial"/>
                <w:sz w:val="22"/>
              </w:rPr>
            </w:pPr>
          </w:p>
          <w:p w14:paraId="0A03A996" w14:textId="77777777" w:rsidR="00896DA7" w:rsidRDefault="00896DA7" w:rsidP="008542E3">
            <w:pPr>
              <w:rPr>
                <w:rFonts w:ascii="Arial" w:hAnsi="Arial"/>
                <w:sz w:val="22"/>
              </w:rPr>
            </w:pPr>
          </w:p>
          <w:p w14:paraId="76FFC83E" w14:textId="5FBDA8DA" w:rsidR="008542E3" w:rsidRPr="008542E3" w:rsidRDefault="008542E3" w:rsidP="008542E3">
            <w:pPr>
              <w:rPr>
                <w:rFonts w:ascii="Arial" w:hAnsi="Arial"/>
                <w:sz w:val="22"/>
              </w:rPr>
            </w:pPr>
            <w:r w:rsidRPr="008542E3">
              <w:rPr>
                <w:rFonts w:ascii="Arial" w:hAnsi="Arial"/>
                <w:sz w:val="22"/>
              </w:rPr>
              <w:t>No</w:t>
            </w:r>
          </w:p>
          <w:p w14:paraId="4DB1ED2E" w14:textId="77777777" w:rsidR="008542E3" w:rsidRPr="008542E3" w:rsidRDefault="008542E3" w:rsidP="008542E3">
            <w:pPr>
              <w:rPr>
                <w:rFonts w:ascii="Arial" w:hAnsi="Arial"/>
                <w:sz w:val="22"/>
              </w:rPr>
            </w:pPr>
            <w:r w:rsidRPr="008542E3">
              <w:rPr>
                <w:rFonts w:ascii="Arial" w:hAnsi="Arial"/>
                <w:sz w:val="22"/>
              </w:rPr>
              <w:t>No</w:t>
            </w:r>
          </w:p>
        </w:tc>
        <w:tc>
          <w:tcPr>
            <w:tcW w:w="560" w:type="pct"/>
          </w:tcPr>
          <w:p w14:paraId="3DE4E4E3" w14:textId="77777777" w:rsidR="008542E3" w:rsidRPr="008542E3" w:rsidRDefault="008542E3" w:rsidP="008542E3">
            <w:pPr>
              <w:rPr>
                <w:rFonts w:ascii="Arial" w:hAnsi="Arial"/>
                <w:b/>
                <w:bCs/>
                <w:sz w:val="22"/>
              </w:rPr>
            </w:pPr>
          </w:p>
          <w:p w14:paraId="57408648" w14:textId="77777777" w:rsidR="00896DA7" w:rsidRDefault="00896DA7" w:rsidP="008542E3">
            <w:pPr>
              <w:rPr>
                <w:rFonts w:ascii="Arial" w:hAnsi="Arial"/>
                <w:b/>
                <w:bCs/>
                <w:sz w:val="22"/>
              </w:rPr>
            </w:pPr>
          </w:p>
          <w:p w14:paraId="112DB6E1" w14:textId="498D92AB" w:rsidR="008542E3" w:rsidRPr="008542E3" w:rsidRDefault="008542E3" w:rsidP="008542E3">
            <w:pPr>
              <w:rPr>
                <w:rFonts w:ascii="Arial" w:hAnsi="Arial"/>
                <w:b/>
                <w:bCs/>
                <w:sz w:val="22"/>
              </w:rPr>
            </w:pPr>
            <w:r w:rsidRPr="008542E3">
              <w:rPr>
                <w:rFonts w:ascii="Arial" w:hAnsi="Arial"/>
                <w:b/>
                <w:bCs/>
                <w:sz w:val="22"/>
              </w:rPr>
              <w:t>Yes</w:t>
            </w:r>
          </w:p>
          <w:p w14:paraId="21CD841F" w14:textId="77777777" w:rsidR="008542E3" w:rsidRPr="008542E3" w:rsidRDefault="008542E3" w:rsidP="008542E3">
            <w:pPr>
              <w:rPr>
                <w:rFonts w:ascii="Arial" w:hAnsi="Arial"/>
                <w:b/>
                <w:bCs/>
                <w:sz w:val="22"/>
              </w:rPr>
            </w:pPr>
            <w:r w:rsidRPr="008542E3">
              <w:rPr>
                <w:rFonts w:ascii="Arial" w:hAnsi="Arial"/>
                <w:b/>
                <w:bCs/>
                <w:sz w:val="22"/>
              </w:rPr>
              <w:t>Yes</w:t>
            </w:r>
          </w:p>
        </w:tc>
      </w:tr>
      <w:tr w:rsidR="008542E3" w:rsidRPr="008542E3" w14:paraId="3F46BC3F" w14:textId="77777777" w:rsidTr="006E36AE">
        <w:trPr>
          <w:trHeight w:val="382"/>
        </w:trPr>
        <w:tc>
          <w:tcPr>
            <w:tcW w:w="2067" w:type="pct"/>
            <w:tcBorders>
              <w:top w:val="single" w:sz="4" w:space="0" w:color="auto"/>
              <w:left w:val="single" w:sz="4" w:space="0" w:color="auto"/>
              <w:right w:val="single" w:sz="4" w:space="0" w:color="auto"/>
            </w:tcBorders>
            <w:shd w:val="clear" w:color="auto" w:fill="auto"/>
          </w:tcPr>
          <w:p w14:paraId="46D7C37E" w14:textId="433C2915" w:rsidR="008542E3" w:rsidRPr="008542E3" w:rsidRDefault="008542E3" w:rsidP="008542E3">
            <w:pPr>
              <w:keepNext/>
              <w:rPr>
                <w:rFonts w:ascii="Arial" w:hAnsi="Arial"/>
                <w:b/>
                <w:sz w:val="22"/>
              </w:rPr>
            </w:pPr>
            <w:r w:rsidRPr="00A744FE">
              <w:rPr>
                <w:rFonts w:ascii="Arial" w:hAnsi="Arial"/>
                <w:b/>
                <w:sz w:val="22"/>
              </w:rPr>
              <w:t>Support</w:t>
            </w:r>
            <w:r w:rsidR="00896DA7" w:rsidRPr="00A744FE">
              <w:rPr>
                <w:rFonts w:ascii="Arial" w:hAnsi="Arial"/>
                <w:b/>
                <w:sz w:val="22"/>
              </w:rPr>
              <w:t xml:space="preserve"> to </w:t>
            </w:r>
            <w:r w:rsidR="00A744FE" w:rsidRPr="006E36AE">
              <w:rPr>
                <w:rFonts w:ascii="Arial" w:hAnsi="Arial"/>
                <w:b/>
                <w:sz w:val="22"/>
              </w:rPr>
              <w:t>stay in or return to work</w:t>
            </w:r>
          </w:p>
          <w:p w14:paraId="5E7393E2" w14:textId="3C0A63BB" w:rsidR="008542E3" w:rsidRPr="008542E3" w:rsidRDefault="00896DA7" w:rsidP="008542E3">
            <w:pPr>
              <w:numPr>
                <w:ilvl w:val="0"/>
                <w:numId w:val="1"/>
              </w:numPr>
              <w:tabs>
                <w:tab w:val="left" w:pos="284"/>
              </w:tabs>
              <w:rPr>
                <w:rFonts w:ascii="Arial" w:hAnsi="Arial"/>
                <w:sz w:val="22"/>
                <w:szCs w:val="22"/>
              </w:rPr>
            </w:pPr>
            <w:r>
              <w:rPr>
                <w:rFonts w:ascii="Arial" w:hAnsi="Arial"/>
                <w:sz w:val="22"/>
                <w:szCs w:val="22"/>
              </w:rPr>
              <w:t>Support to return to work</w:t>
            </w:r>
          </w:p>
          <w:p w14:paraId="2B3DB8DB" w14:textId="77777777" w:rsidR="008542E3" w:rsidRDefault="00896DA7">
            <w:pPr>
              <w:numPr>
                <w:ilvl w:val="0"/>
                <w:numId w:val="1"/>
              </w:numPr>
              <w:tabs>
                <w:tab w:val="left" w:pos="284"/>
              </w:tabs>
              <w:rPr>
                <w:rFonts w:ascii="Arial" w:hAnsi="Arial"/>
                <w:sz w:val="22"/>
                <w:szCs w:val="22"/>
              </w:rPr>
            </w:pPr>
            <w:r>
              <w:rPr>
                <w:rFonts w:ascii="Arial" w:hAnsi="Arial"/>
                <w:sz w:val="22"/>
                <w:szCs w:val="22"/>
              </w:rPr>
              <w:t>Reasonable adjustments</w:t>
            </w:r>
          </w:p>
          <w:p w14:paraId="6472141D" w14:textId="06E5E9DB" w:rsidR="004E4BF8" w:rsidRPr="00896DA7" w:rsidRDefault="004E4BF8">
            <w:pPr>
              <w:numPr>
                <w:ilvl w:val="0"/>
                <w:numId w:val="1"/>
              </w:numPr>
              <w:tabs>
                <w:tab w:val="left" w:pos="284"/>
              </w:tabs>
              <w:rPr>
                <w:rFonts w:ascii="Arial" w:hAnsi="Arial"/>
                <w:sz w:val="22"/>
                <w:szCs w:val="22"/>
              </w:rPr>
            </w:pPr>
            <w:r>
              <w:rPr>
                <w:rFonts w:ascii="Arial" w:hAnsi="Arial"/>
                <w:sz w:val="22"/>
                <w:szCs w:val="22"/>
              </w:rPr>
              <w:t>Mental health</w:t>
            </w:r>
          </w:p>
        </w:tc>
        <w:tc>
          <w:tcPr>
            <w:tcW w:w="624" w:type="pct"/>
          </w:tcPr>
          <w:p w14:paraId="077A7926" w14:textId="77777777" w:rsidR="008542E3" w:rsidRPr="008542E3" w:rsidRDefault="008542E3" w:rsidP="008542E3">
            <w:pPr>
              <w:rPr>
                <w:rFonts w:ascii="Arial" w:hAnsi="Arial"/>
                <w:sz w:val="22"/>
                <w:szCs w:val="22"/>
              </w:rPr>
            </w:pPr>
          </w:p>
          <w:p w14:paraId="2CB210F2" w14:textId="77777777" w:rsidR="00A744FE" w:rsidRDefault="00A744FE" w:rsidP="008542E3">
            <w:pPr>
              <w:rPr>
                <w:rFonts w:ascii="Arial" w:hAnsi="Arial"/>
                <w:sz w:val="22"/>
                <w:szCs w:val="22"/>
              </w:rPr>
            </w:pPr>
          </w:p>
          <w:p w14:paraId="5403650A" w14:textId="7F9FB364" w:rsidR="008542E3" w:rsidRDefault="008542E3" w:rsidP="008542E3">
            <w:pPr>
              <w:rPr>
                <w:rFonts w:ascii="Arial" w:hAnsi="Arial"/>
                <w:sz w:val="22"/>
                <w:szCs w:val="22"/>
              </w:rPr>
            </w:pPr>
            <w:r w:rsidRPr="008542E3">
              <w:rPr>
                <w:rFonts w:ascii="Arial" w:hAnsi="Arial"/>
                <w:sz w:val="22"/>
                <w:szCs w:val="22"/>
              </w:rPr>
              <w:t>Yes</w:t>
            </w:r>
          </w:p>
          <w:p w14:paraId="37F07A83" w14:textId="77777777" w:rsidR="00920DAB" w:rsidRDefault="00920DAB" w:rsidP="008542E3">
            <w:pPr>
              <w:rPr>
                <w:rFonts w:ascii="Arial" w:hAnsi="Arial"/>
                <w:sz w:val="22"/>
                <w:szCs w:val="22"/>
              </w:rPr>
            </w:pPr>
            <w:r>
              <w:rPr>
                <w:rFonts w:ascii="Arial" w:hAnsi="Arial"/>
                <w:sz w:val="22"/>
                <w:szCs w:val="22"/>
              </w:rPr>
              <w:t>Yes</w:t>
            </w:r>
          </w:p>
          <w:p w14:paraId="23637076" w14:textId="18657B98" w:rsidR="00891C5E" w:rsidRPr="008542E3" w:rsidRDefault="00891C5E" w:rsidP="008542E3">
            <w:pPr>
              <w:rPr>
                <w:rFonts w:ascii="Arial" w:hAnsi="Arial"/>
                <w:sz w:val="22"/>
                <w:szCs w:val="22"/>
              </w:rPr>
            </w:pPr>
            <w:r>
              <w:rPr>
                <w:rFonts w:ascii="Arial" w:hAnsi="Arial"/>
                <w:sz w:val="22"/>
                <w:szCs w:val="22"/>
              </w:rPr>
              <w:t>Yes</w:t>
            </w:r>
          </w:p>
        </w:tc>
        <w:tc>
          <w:tcPr>
            <w:tcW w:w="587" w:type="pct"/>
          </w:tcPr>
          <w:p w14:paraId="38DE24C7" w14:textId="77777777" w:rsidR="008542E3" w:rsidRPr="008542E3" w:rsidRDefault="008542E3" w:rsidP="008542E3">
            <w:pPr>
              <w:rPr>
                <w:rFonts w:ascii="Arial" w:hAnsi="Arial"/>
                <w:sz w:val="22"/>
                <w:szCs w:val="22"/>
              </w:rPr>
            </w:pPr>
          </w:p>
          <w:p w14:paraId="3FEE84D3" w14:textId="77777777" w:rsidR="00A744FE" w:rsidRDefault="00A744FE" w:rsidP="008542E3">
            <w:pPr>
              <w:rPr>
                <w:rFonts w:ascii="Arial" w:hAnsi="Arial"/>
                <w:sz w:val="22"/>
                <w:szCs w:val="22"/>
              </w:rPr>
            </w:pPr>
          </w:p>
          <w:p w14:paraId="621136F1" w14:textId="4640D314" w:rsidR="008542E3" w:rsidRDefault="008542E3" w:rsidP="008542E3">
            <w:pPr>
              <w:rPr>
                <w:rFonts w:ascii="Arial" w:hAnsi="Arial"/>
                <w:sz w:val="22"/>
                <w:szCs w:val="22"/>
              </w:rPr>
            </w:pPr>
            <w:r w:rsidRPr="008542E3">
              <w:rPr>
                <w:rFonts w:ascii="Arial" w:hAnsi="Arial"/>
                <w:sz w:val="22"/>
                <w:szCs w:val="22"/>
              </w:rPr>
              <w:t>Yes</w:t>
            </w:r>
          </w:p>
          <w:p w14:paraId="13AC02F3" w14:textId="77777777" w:rsidR="00920DAB" w:rsidRDefault="00920DAB" w:rsidP="008542E3">
            <w:pPr>
              <w:rPr>
                <w:rFonts w:ascii="Arial" w:hAnsi="Arial"/>
                <w:sz w:val="22"/>
                <w:szCs w:val="22"/>
              </w:rPr>
            </w:pPr>
            <w:r>
              <w:rPr>
                <w:rFonts w:ascii="Arial" w:hAnsi="Arial"/>
                <w:sz w:val="22"/>
                <w:szCs w:val="22"/>
              </w:rPr>
              <w:t>Yes</w:t>
            </w:r>
          </w:p>
          <w:p w14:paraId="1612F8D7" w14:textId="2A8D1024" w:rsidR="00891C5E" w:rsidRPr="008542E3" w:rsidRDefault="00A744FE" w:rsidP="008542E3">
            <w:pPr>
              <w:rPr>
                <w:rFonts w:ascii="Arial" w:hAnsi="Arial"/>
                <w:sz w:val="22"/>
                <w:szCs w:val="22"/>
              </w:rPr>
            </w:pPr>
            <w:r>
              <w:rPr>
                <w:rFonts w:ascii="Arial" w:hAnsi="Arial"/>
                <w:sz w:val="22"/>
                <w:szCs w:val="22"/>
              </w:rPr>
              <w:t>Y</w:t>
            </w:r>
            <w:r w:rsidR="00891C5E">
              <w:rPr>
                <w:rFonts w:ascii="Arial" w:hAnsi="Arial"/>
                <w:sz w:val="22"/>
                <w:szCs w:val="22"/>
              </w:rPr>
              <w:t>es</w:t>
            </w:r>
          </w:p>
        </w:tc>
        <w:tc>
          <w:tcPr>
            <w:tcW w:w="553" w:type="pct"/>
          </w:tcPr>
          <w:p w14:paraId="70E101C8" w14:textId="77777777" w:rsidR="008542E3" w:rsidRPr="008542E3" w:rsidRDefault="008542E3" w:rsidP="008542E3">
            <w:pPr>
              <w:rPr>
                <w:rFonts w:ascii="Arial" w:hAnsi="Arial"/>
                <w:sz w:val="22"/>
                <w:szCs w:val="22"/>
              </w:rPr>
            </w:pPr>
          </w:p>
          <w:p w14:paraId="2FD502D6" w14:textId="77777777" w:rsidR="00A744FE" w:rsidRDefault="00A744FE" w:rsidP="008542E3">
            <w:pPr>
              <w:rPr>
                <w:rFonts w:ascii="Arial" w:hAnsi="Arial"/>
                <w:sz w:val="22"/>
                <w:szCs w:val="22"/>
              </w:rPr>
            </w:pPr>
          </w:p>
          <w:p w14:paraId="387D51B5" w14:textId="0B64A9DC" w:rsidR="008542E3" w:rsidRDefault="008542E3" w:rsidP="008542E3">
            <w:pPr>
              <w:rPr>
                <w:rFonts w:ascii="Arial" w:hAnsi="Arial"/>
                <w:sz w:val="22"/>
                <w:szCs w:val="22"/>
              </w:rPr>
            </w:pPr>
            <w:r w:rsidRPr="008542E3">
              <w:rPr>
                <w:rFonts w:ascii="Arial" w:hAnsi="Arial"/>
                <w:sz w:val="22"/>
                <w:szCs w:val="22"/>
              </w:rPr>
              <w:t>Yes</w:t>
            </w:r>
          </w:p>
          <w:p w14:paraId="5D12A812" w14:textId="77777777" w:rsidR="00920DAB" w:rsidRDefault="00920DAB" w:rsidP="008542E3">
            <w:pPr>
              <w:rPr>
                <w:rFonts w:ascii="Arial" w:hAnsi="Arial"/>
                <w:sz w:val="22"/>
                <w:szCs w:val="22"/>
              </w:rPr>
            </w:pPr>
            <w:r>
              <w:rPr>
                <w:rFonts w:ascii="Arial" w:hAnsi="Arial"/>
                <w:sz w:val="22"/>
                <w:szCs w:val="22"/>
              </w:rPr>
              <w:t>No</w:t>
            </w:r>
          </w:p>
          <w:p w14:paraId="2FD8F18A" w14:textId="5BA91202" w:rsidR="00891C5E" w:rsidRPr="008542E3" w:rsidRDefault="008E4B01" w:rsidP="008542E3">
            <w:pPr>
              <w:rPr>
                <w:rFonts w:ascii="Arial" w:hAnsi="Arial"/>
                <w:sz w:val="22"/>
                <w:szCs w:val="22"/>
              </w:rPr>
            </w:pPr>
            <w:r>
              <w:rPr>
                <w:rFonts w:ascii="Arial" w:hAnsi="Arial"/>
                <w:sz w:val="22"/>
                <w:szCs w:val="22"/>
              </w:rPr>
              <w:t>Yes</w:t>
            </w:r>
          </w:p>
        </w:tc>
        <w:tc>
          <w:tcPr>
            <w:tcW w:w="608" w:type="pct"/>
          </w:tcPr>
          <w:p w14:paraId="30B6F893" w14:textId="77777777" w:rsidR="008542E3" w:rsidRPr="008542E3" w:rsidRDefault="008542E3" w:rsidP="008542E3">
            <w:pPr>
              <w:rPr>
                <w:rFonts w:ascii="Arial" w:hAnsi="Arial"/>
                <w:sz w:val="22"/>
                <w:szCs w:val="22"/>
              </w:rPr>
            </w:pPr>
          </w:p>
          <w:p w14:paraId="738ADCBF" w14:textId="77777777" w:rsidR="00A744FE" w:rsidRDefault="00A744FE" w:rsidP="008542E3">
            <w:pPr>
              <w:rPr>
                <w:rFonts w:ascii="Arial" w:hAnsi="Arial"/>
                <w:sz w:val="22"/>
                <w:szCs w:val="22"/>
              </w:rPr>
            </w:pPr>
          </w:p>
          <w:p w14:paraId="567FA038" w14:textId="19DAA223" w:rsidR="008542E3" w:rsidRDefault="008542E3" w:rsidP="008542E3">
            <w:pPr>
              <w:rPr>
                <w:rFonts w:ascii="Arial" w:hAnsi="Arial"/>
                <w:sz w:val="22"/>
                <w:szCs w:val="22"/>
              </w:rPr>
            </w:pPr>
            <w:r w:rsidRPr="008542E3">
              <w:rPr>
                <w:rFonts w:ascii="Arial" w:hAnsi="Arial"/>
                <w:sz w:val="22"/>
                <w:szCs w:val="22"/>
              </w:rPr>
              <w:t>No</w:t>
            </w:r>
          </w:p>
          <w:p w14:paraId="489AC121" w14:textId="77777777" w:rsidR="00920DAB" w:rsidRDefault="00920DAB" w:rsidP="008542E3">
            <w:pPr>
              <w:rPr>
                <w:rFonts w:ascii="Arial" w:hAnsi="Arial"/>
                <w:sz w:val="22"/>
                <w:szCs w:val="22"/>
              </w:rPr>
            </w:pPr>
            <w:r>
              <w:rPr>
                <w:rFonts w:ascii="Arial" w:hAnsi="Arial"/>
                <w:sz w:val="22"/>
                <w:szCs w:val="22"/>
              </w:rPr>
              <w:t>No</w:t>
            </w:r>
          </w:p>
          <w:p w14:paraId="0B0FB2FD" w14:textId="53D2950F" w:rsidR="00891C5E" w:rsidRPr="008542E3" w:rsidRDefault="00891C5E" w:rsidP="008542E3">
            <w:pPr>
              <w:rPr>
                <w:rFonts w:ascii="Arial" w:hAnsi="Arial"/>
                <w:sz w:val="22"/>
                <w:szCs w:val="22"/>
              </w:rPr>
            </w:pPr>
            <w:r>
              <w:rPr>
                <w:rFonts w:ascii="Arial" w:hAnsi="Arial"/>
                <w:sz w:val="22"/>
                <w:szCs w:val="22"/>
              </w:rPr>
              <w:t>No</w:t>
            </w:r>
          </w:p>
        </w:tc>
        <w:tc>
          <w:tcPr>
            <w:tcW w:w="560" w:type="pct"/>
          </w:tcPr>
          <w:p w14:paraId="74524C7A" w14:textId="77777777" w:rsidR="008542E3" w:rsidRPr="008542E3" w:rsidRDefault="008542E3" w:rsidP="008542E3">
            <w:pPr>
              <w:rPr>
                <w:rFonts w:ascii="Arial" w:hAnsi="Arial"/>
                <w:b/>
                <w:bCs/>
                <w:sz w:val="22"/>
                <w:szCs w:val="22"/>
              </w:rPr>
            </w:pPr>
          </w:p>
          <w:p w14:paraId="06E77643" w14:textId="77777777" w:rsidR="00A744FE" w:rsidRDefault="00A744FE" w:rsidP="008542E3">
            <w:pPr>
              <w:rPr>
                <w:rFonts w:ascii="Arial" w:hAnsi="Arial"/>
                <w:b/>
                <w:bCs/>
                <w:sz w:val="22"/>
                <w:szCs w:val="22"/>
              </w:rPr>
            </w:pPr>
          </w:p>
          <w:p w14:paraId="417FA87E" w14:textId="314388E5" w:rsidR="008542E3" w:rsidRDefault="008542E3" w:rsidP="008542E3">
            <w:pPr>
              <w:rPr>
                <w:rFonts w:ascii="Arial" w:hAnsi="Arial"/>
                <w:b/>
                <w:bCs/>
                <w:sz w:val="22"/>
                <w:szCs w:val="22"/>
              </w:rPr>
            </w:pPr>
            <w:r w:rsidRPr="008542E3">
              <w:rPr>
                <w:rFonts w:ascii="Arial" w:hAnsi="Arial"/>
                <w:b/>
                <w:bCs/>
                <w:sz w:val="22"/>
                <w:szCs w:val="22"/>
              </w:rPr>
              <w:t>Yes</w:t>
            </w:r>
          </w:p>
          <w:p w14:paraId="23EF1489" w14:textId="77777777" w:rsidR="00920DAB" w:rsidRDefault="00920DAB" w:rsidP="008542E3">
            <w:pPr>
              <w:rPr>
                <w:rFonts w:ascii="Arial" w:hAnsi="Arial"/>
                <w:b/>
                <w:bCs/>
                <w:sz w:val="22"/>
                <w:szCs w:val="22"/>
              </w:rPr>
            </w:pPr>
            <w:r>
              <w:rPr>
                <w:rFonts w:ascii="Arial" w:hAnsi="Arial"/>
                <w:b/>
                <w:bCs/>
                <w:sz w:val="22"/>
                <w:szCs w:val="22"/>
              </w:rPr>
              <w:t>Yes</w:t>
            </w:r>
          </w:p>
          <w:p w14:paraId="562E0A1C" w14:textId="2B2C0199" w:rsidR="00891C5E" w:rsidRPr="008542E3" w:rsidRDefault="00891C5E" w:rsidP="008542E3">
            <w:pPr>
              <w:rPr>
                <w:rFonts w:ascii="Arial" w:hAnsi="Arial"/>
                <w:b/>
                <w:bCs/>
                <w:sz w:val="22"/>
                <w:szCs w:val="22"/>
              </w:rPr>
            </w:pPr>
            <w:r>
              <w:rPr>
                <w:rFonts w:ascii="Arial" w:hAnsi="Arial"/>
                <w:b/>
                <w:bCs/>
                <w:sz w:val="22"/>
                <w:szCs w:val="22"/>
              </w:rPr>
              <w:t>Yes</w:t>
            </w:r>
          </w:p>
        </w:tc>
      </w:tr>
      <w:bookmarkEnd w:id="35"/>
      <w:tr w:rsidR="004E4BF8" w:rsidRPr="008542E3" w14:paraId="19DB1E28" w14:textId="77777777" w:rsidTr="004E4BF8">
        <w:trPr>
          <w:trHeight w:val="382"/>
        </w:trPr>
        <w:tc>
          <w:tcPr>
            <w:tcW w:w="2067" w:type="pct"/>
            <w:tcBorders>
              <w:top w:val="single" w:sz="4" w:space="0" w:color="auto"/>
              <w:left w:val="single" w:sz="4" w:space="0" w:color="auto"/>
              <w:right w:val="single" w:sz="4" w:space="0" w:color="auto"/>
            </w:tcBorders>
            <w:shd w:val="clear" w:color="auto" w:fill="auto"/>
          </w:tcPr>
          <w:p w14:paraId="6C7C8ECB" w14:textId="0475D7B3" w:rsidR="004E4BF8" w:rsidRPr="008542E3" w:rsidRDefault="00A744FE" w:rsidP="004E4BF8">
            <w:pPr>
              <w:keepNext/>
              <w:rPr>
                <w:rFonts w:ascii="Arial" w:hAnsi="Arial"/>
                <w:b/>
                <w:sz w:val="22"/>
              </w:rPr>
            </w:pPr>
            <w:r>
              <w:rPr>
                <w:rFonts w:ascii="Arial" w:hAnsi="Arial"/>
                <w:b/>
                <w:sz w:val="22"/>
              </w:rPr>
              <w:t>Culture and policy</w:t>
            </w:r>
          </w:p>
          <w:p w14:paraId="7F6B99F3" w14:textId="77777777" w:rsidR="004E4BF8" w:rsidRDefault="004E4BF8" w:rsidP="004E4BF8">
            <w:pPr>
              <w:numPr>
                <w:ilvl w:val="0"/>
                <w:numId w:val="1"/>
              </w:numPr>
              <w:tabs>
                <w:tab w:val="left" w:pos="284"/>
              </w:tabs>
              <w:rPr>
                <w:rFonts w:ascii="Arial" w:hAnsi="Arial"/>
                <w:sz w:val="22"/>
                <w:szCs w:val="22"/>
              </w:rPr>
            </w:pPr>
            <w:r>
              <w:rPr>
                <w:rFonts w:ascii="Arial" w:hAnsi="Arial"/>
                <w:sz w:val="22"/>
                <w:szCs w:val="22"/>
              </w:rPr>
              <w:t>Workplace culture</w:t>
            </w:r>
          </w:p>
          <w:p w14:paraId="002404B6" w14:textId="73696A5F" w:rsidR="00891C5E" w:rsidRPr="00891C5E" w:rsidRDefault="00891C5E">
            <w:pPr>
              <w:numPr>
                <w:ilvl w:val="0"/>
                <w:numId w:val="1"/>
              </w:numPr>
              <w:tabs>
                <w:tab w:val="left" w:pos="284"/>
              </w:tabs>
              <w:rPr>
                <w:rFonts w:ascii="Arial" w:hAnsi="Arial"/>
                <w:sz w:val="22"/>
                <w:szCs w:val="22"/>
              </w:rPr>
            </w:pPr>
            <w:r w:rsidRPr="007434D8">
              <w:rPr>
                <w:rFonts w:ascii="Arial" w:hAnsi="Arial"/>
                <w:sz w:val="22"/>
                <w:szCs w:val="22"/>
              </w:rPr>
              <w:t>Policy</w:t>
            </w:r>
          </w:p>
        </w:tc>
        <w:tc>
          <w:tcPr>
            <w:tcW w:w="624" w:type="pct"/>
          </w:tcPr>
          <w:p w14:paraId="00D5755A" w14:textId="77777777" w:rsidR="004E4BF8" w:rsidRPr="008542E3" w:rsidRDefault="004E4BF8" w:rsidP="004E4BF8">
            <w:pPr>
              <w:rPr>
                <w:rFonts w:ascii="Arial" w:hAnsi="Arial"/>
                <w:sz w:val="22"/>
              </w:rPr>
            </w:pPr>
          </w:p>
          <w:p w14:paraId="18039D83" w14:textId="77777777" w:rsidR="004E4BF8" w:rsidRPr="008542E3" w:rsidRDefault="004E4BF8" w:rsidP="004E4BF8">
            <w:pPr>
              <w:rPr>
                <w:rFonts w:ascii="Arial" w:hAnsi="Arial"/>
                <w:sz w:val="22"/>
              </w:rPr>
            </w:pPr>
            <w:r w:rsidRPr="008542E3">
              <w:rPr>
                <w:rFonts w:ascii="Arial" w:hAnsi="Arial"/>
                <w:sz w:val="22"/>
              </w:rPr>
              <w:t>Yes</w:t>
            </w:r>
          </w:p>
          <w:p w14:paraId="6FA692BB" w14:textId="77777777" w:rsidR="004E4BF8" w:rsidRPr="008542E3" w:rsidRDefault="004E4BF8" w:rsidP="004E4BF8">
            <w:pPr>
              <w:rPr>
                <w:rFonts w:ascii="Arial" w:hAnsi="Arial"/>
                <w:sz w:val="22"/>
              </w:rPr>
            </w:pPr>
            <w:r>
              <w:rPr>
                <w:rFonts w:ascii="Arial" w:hAnsi="Arial"/>
                <w:sz w:val="22"/>
              </w:rPr>
              <w:t>Yes</w:t>
            </w:r>
          </w:p>
        </w:tc>
        <w:tc>
          <w:tcPr>
            <w:tcW w:w="587" w:type="pct"/>
          </w:tcPr>
          <w:p w14:paraId="6457FC0E" w14:textId="77777777" w:rsidR="004E4BF8" w:rsidRPr="008542E3" w:rsidRDefault="004E4BF8" w:rsidP="004E4BF8">
            <w:pPr>
              <w:rPr>
                <w:rFonts w:ascii="Arial" w:hAnsi="Arial"/>
                <w:sz w:val="22"/>
              </w:rPr>
            </w:pPr>
          </w:p>
          <w:p w14:paraId="1E6D8320" w14:textId="77777777" w:rsidR="004E4BF8" w:rsidRPr="008542E3" w:rsidRDefault="004E4BF8" w:rsidP="004E4BF8">
            <w:pPr>
              <w:rPr>
                <w:rFonts w:ascii="Arial" w:hAnsi="Arial"/>
                <w:sz w:val="22"/>
              </w:rPr>
            </w:pPr>
            <w:r w:rsidRPr="008542E3">
              <w:rPr>
                <w:rFonts w:ascii="Arial" w:hAnsi="Arial"/>
                <w:sz w:val="22"/>
              </w:rPr>
              <w:t>Yes</w:t>
            </w:r>
          </w:p>
          <w:p w14:paraId="03BC57D6" w14:textId="77777777" w:rsidR="004E4BF8" w:rsidRPr="008542E3" w:rsidRDefault="004E4BF8" w:rsidP="004E4BF8">
            <w:pPr>
              <w:rPr>
                <w:rFonts w:ascii="Arial" w:hAnsi="Arial"/>
                <w:sz w:val="22"/>
              </w:rPr>
            </w:pPr>
            <w:r>
              <w:rPr>
                <w:rFonts w:ascii="Arial" w:hAnsi="Arial"/>
                <w:sz w:val="22"/>
              </w:rPr>
              <w:t>Yes</w:t>
            </w:r>
          </w:p>
        </w:tc>
        <w:tc>
          <w:tcPr>
            <w:tcW w:w="553" w:type="pct"/>
          </w:tcPr>
          <w:p w14:paraId="6B826995" w14:textId="77777777" w:rsidR="004E4BF8" w:rsidRPr="008542E3" w:rsidRDefault="004E4BF8" w:rsidP="004E4BF8">
            <w:pPr>
              <w:rPr>
                <w:rFonts w:ascii="Arial" w:hAnsi="Arial"/>
                <w:sz w:val="22"/>
              </w:rPr>
            </w:pPr>
          </w:p>
          <w:p w14:paraId="051965DB" w14:textId="4F307FB2" w:rsidR="004E4BF8" w:rsidRPr="008542E3" w:rsidRDefault="00891C5E" w:rsidP="004E4BF8">
            <w:pPr>
              <w:rPr>
                <w:rFonts w:ascii="Arial" w:hAnsi="Arial"/>
                <w:sz w:val="22"/>
              </w:rPr>
            </w:pPr>
            <w:r>
              <w:rPr>
                <w:rFonts w:ascii="Arial" w:hAnsi="Arial"/>
                <w:sz w:val="22"/>
              </w:rPr>
              <w:t>No</w:t>
            </w:r>
          </w:p>
          <w:p w14:paraId="5552E5E9" w14:textId="564ECEBC" w:rsidR="004E4BF8" w:rsidRPr="008542E3" w:rsidRDefault="00891C5E" w:rsidP="004E4BF8">
            <w:pPr>
              <w:rPr>
                <w:rFonts w:ascii="Arial" w:hAnsi="Arial"/>
                <w:sz w:val="22"/>
              </w:rPr>
            </w:pPr>
            <w:r>
              <w:rPr>
                <w:rFonts w:ascii="Arial" w:hAnsi="Arial"/>
                <w:sz w:val="22"/>
              </w:rPr>
              <w:t>Yes</w:t>
            </w:r>
          </w:p>
        </w:tc>
        <w:tc>
          <w:tcPr>
            <w:tcW w:w="608" w:type="pct"/>
          </w:tcPr>
          <w:p w14:paraId="684AF76E" w14:textId="77777777" w:rsidR="004E4BF8" w:rsidRPr="008542E3" w:rsidRDefault="004E4BF8" w:rsidP="004E4BF8">
            <w:pPr>
              <w:rPr>
                <w:rFonts w:ascii="Arial" w:hAnsi="Arial"/>
                <w:sz w:val="22"/>
              </w:rPr>
            </w:pPr>
          </w:p>
          <w:p w14:paraId="1F03245C" w14:textId="4C0D9428" w:rsidR="004E4BF8" w:rsidRPr="008542E3" w:rsidRDefault="00891C5E" w:rsidP="004E4BF8">
            <w:pPr>
              <w:rPr>
                <w:rFonts w:ascii="Arial" w:hAnsi="Arial"/>
                <w:sz w:val="22"/>
              </w:rPr>
            </w:pPr>
            <w:r>
              <w:rPr>
                <w:rFonts w:ascii="Arial" w:hAnsi="Arial"/>
                <w:sz w:val="22"/>
              </w:rPr>
              <w:t>Yes</w:t>
            </w:r>
          </w:p>
          <w:p w14:paraId="6A610C4B" w14:textId="28CC655D" w:rsidR="004E4BF8" w:rsidRPr="008542E3" w:rsidRDefault="00891C5E" w:rsidP="004E4BF8">
            <w:pPr>
              <w:rPr>
                <w:rFonts w:ascii="Arial" w:hAnsi="Arial"/>
                <w:sz w:val="22"/>
              </w:rPr>
            </w:pPr>
            <w:r>
              <w:rPr>
                <w:rFonts w:ascii="Arial" w:hAnsi="Arial"/>
                <w:sz w:val="22"/>
              </w:rPr>
              <w:t>No</w:t>
            </w:r>
          </w:p>
        </w:tc>
        <w:tc>
          <w:tcPr>
            <w:tcW w:w="560" w:type="pct"/>
          </w:tcPr>
          <w:p w14:paraId="28217C87" w14:textId="77777777" w:rsidR="004E4BF8" w:rsidRPr="008542E3" w:rsidRDefault="004E4BF8" w:rsidP="004E4BF8">
            <w:pPr>
              <w:rPr>
                <w:rFonts w:ascii="Arial" w:hAnsi="Arial"/>
                <w:b/>
                <w:bCs/>
                <w:sz w:val="22"/>
              </w:rPr>
            </w:pPr>
          </w:p>
          <w:p w14:paraId="27B3145F" w14:textId="77777777" w:rsidR="004E4BF8" w:rsidRPr="008542E3" w:rsidRDefault="004E4BF8" w:rsidP="004E4BF8">
            <w:pPr>
              <w:rPr>
                <w:rFonts w:ascii="Arial" w:hAnsi="Arial"/>
                <w:b/>
                <w:bCs/>
                <w:sz w:val="22"/>
              </w:rPr>
            </w:pPr>
            <w:r w:rsidRPr="008542E3">
              <w:rPr>
                <w:rFonts w:ascii="Arial" w:hAnsi="Arial"/>
                <w:b/>
                <w:bCs/>
                <w:sz w:val="22"/>
              </w:rPr>
              <w:t>Yes</w:t>
            </w:r>
          </w:p>
          <w:p w14:paraId="436F2494" w14:textId="77777777" w:rsidR="004E4BF8" w:rsidRPr="008542E3" w:rsidRDefault="004E4BF8" w:rsidP="004E4BF8">
            <w:pPr>
              <w:rPr>
                <w:rFonts w:ascii="Arial" w:hAnsi="Arial"/>
                <w:b/>
                <w:bCs/>
                <w:sz w:val="22"/>
              </w:rPr>
            </w:pPr>
            <w:r>
              <w:rPr>
                <w:rFonts w:ascii="Arial" w:hAnsi="Arial"/>
                <w:b/>
                <w:bCs/>
                <w:sz w:val="22"/>
              </w:rPr>
              <w:t>Yes</w:t>
            </w:r>
          </w:p>
        </w:tc>
      </w:tr>
      <w:tr w:rsidR="008542E3" w:rsidRPr="008542E3" w14:paraId="71B80D94" w14:textId="77777777" w:rsidTr="006E36AE">
        <w:trPr>
          <w:trHeight w:val="382"/>
        </w:trPr>
        <w:tc>
          <w:tcPr>
            <w:tcW w:w="2067" w:type="pct"/>
            <w:tcBorders>
              <w:top w:val="single" w:sz="4" w:space="0" w:color="auto"/>
              <w:left w:val="single" w:sz="4" w:space="0" w:color="auto"/>
              <w:bottom w:val="single" w:sz="4" w:space="0" w:color="auto"/>
              <w:right w:val="single" w:sz="4" w:space="0" w:color="auto"/>
            </w:tcBorders>
            <w:shd w:val="clear" w:color="auto" w:fill="auto"/>
          </w:tcPr>
          <w:p w14:paraId="5DF77F1B" w14:textId="77777777" w:rsidR="008542E3" w:rsidRPr="008542E3" w:rsidRDefault="008542E3" w:rsidP="008542E3">
            <w:pPr>
              <w:keepNext/>
              <w:rPr>
                <w:rFonts w:ascii="Arial" w:hAnsi="Arial"/>
                <w:b/>
                <w:sz w:val="22"/>
              </w:rPr>
            </w:pPr>
            <w:r w:rsidRPr="008542E3">
              <w:rPr>
                <w:rFonts w:ascii="Arial" w:hAnsi="Arial"/>
                <w:b/>
                <w:sz w:val="22"/>
              </w:rPr>
              <w:t>Additional areas</w:t>
            </w:r>
          </w:p>
          <w:p w14:paraId="7AD4274A" w14:textId="24393DC8" w:rsidR="008542E3" w:rsidRPr="008542E3" w:rsidRDefault="00896DA7" w:rsidP="008542E3">
            <w:pPr>
              <w:numPr>
                <w:ilvl w:val="0"/>
                <w:numId w:val="1"/>
              </w:numPr>
              <w:tabs>
                <w:tab w:val="left" w:pos="284"/>
              </w:tabs>
              <w:rPr>
                <w:rFonts w:ascii="Arial" w:hAnsi="Arial"/>
                <w:sz w:val="22"/>
                <w:szCs w:val="22"/>
              </w:rPr>
            </w:pPr>
            <w:r>
              <w:rPr>
                <w:rFonts w:ascii="Arial" w:hAnsi="Arial"/>
                <w:sz w:val="22"/>
                <w:szCs w:val="22"/>
              </w:rPr>
              <w:t>Short-term sickness absence</w:t>
            </w:r>
          </w:p>
          <w:p w14:paraId="37F44515" w14:textId="18E1B6F3" w:rsidR="008542E3" w:rsidRPr="008542E3" w:rsidRDefault="00896DA7" w:rsidP="008542E3">
            <w:pPr>
              <w:numPr>
                <w:ilvl w:val="0"/>
                <w:numId w:val="1"/>
              </w:numPr>
              <w:tabs>
                <w:tab w:val="left" w:pos="284"/>
              </w:tabs>
              <w:rPr>
                <w:rFonts w:ascii="Arial" w:hAnsi="Arial"/>
                <w:sz w:val="22"/>
                <w:szCs w:val="22"/>
              </w:rPr>
            </w:pPr>
            <w:r>
              <w:rPr>
                <w:rFonts w:ascii="Arial" w:hAnsi="Arial"/>
                <w:sz w:val="22"/>
                <w:szCs w:val="22"/>
              </w:rPr>
              <w:t>Secondary care</w:t>
            </w:r>
          </w:p>
          <w:p w14:paraId="09F32CD2" w14:textId="77777777" w:rsidR="008542E3" w:rsidRDefault="00896DA7" w:rsidP="008542E3">
            <w:pPr>
              <w:numPr>
                <w:ilvl w:val="0"/>
                <w:numId w:val="1"/>
              </w:numPr>
              <w:tabs>
                <w:tab w:val="left" w:pos="284"/>
              </w:tabs>
              <w:rPr>
                <w:rFonts w:ascii="Arial" w:hAnsi="Arial"/>
                <w:sz w:val="22"/>
                <w:szCs w:val="22"/>
              </w:rPr>
            </w:pPr>
            <w:r>
              <w:rPr>
                <w:rFonts w:ascii="Arial" w:hAnsi="Arial"/>
                <w:sz w:val="22"/>
                <w:szCs w:val="22"/>
              </w:rPr>
              <w:t>Specific conditions</w:t>
            </w:r>
          </w:p>
          <w:p w14:paraId="2C62690D" w14:textId="77777777" w:rsidR="00896DA7" w:rsidRPr="00415C89" w:rsidRDefault="00896DA7" w:rsidP="008542E3">
            <w:pPr>
              <w:numPr>
                <w:ilvl w:val="0"/>
                <w:numId w:val="1"/>
              </w:numPr>
              <w:tabs>
                <w:tab w:val="left" w:pos="284"/>
              </w:tabs>
              <w:rPr>
                <w:rFonts w:ascii="Arial" w:hAnsi="Arial"/>
                <w:sz w:val="22"/>
                <w:szCs w:val="22"/>
              </w:rPr>
            </w:pPr>
            <w:r w:rsidRPr="00415C89">
              <w:rPr>
                <w:rFonts w:ascii="Arial" w:hAnsi="Arial"/>
                <w:sz w:val="22"/>
                <w:szCs w:val="22"/>
              </w:rPr>
              <w:t>Presenteeism and absenteeism</w:t>
            </w:r>
          </w:p>
          <w:p w14:paraId="1F876022" w14:textId="77777777" w:rsidR="00896DA7" w:rsidRPr="00415C89" w:rsidRDefault="00AC7BDE" w:rsidP="008542E3">
            <w:pPr>
              <w:numPr>
                <w:ilvl w:val="0"/>
                <w:numId w:val="1"/>
              </w:numPr>
              <w:tabs>
                <w:tab w:val="left" w:pos="284"/>
              </w:tabs>
              <w:rPr>
                <w:rFonts w:ascii="Arial" w:hAnsi="Arial"/>
                <w:sz w:val="22"/>
                <w:szCs w:val="22"/>
              </w:rPr>
            </w:pPr>
            <w:r w:rsidRPr="00415C89">
              <w:rPr>
                <w:rFonts w:ascii="Arial" w:hAnsi="Arial"/>
                <w:sz w:val="22"/>
                <w:szCs w:val="22"/>
              </w:rPr>
              <w:t>Training</w:t>
            </w:r>
          </w:p>
          <w:p w14:paraId="310B1291" w14:textId="3B51A2CC" w:rsidR="00AC7BDE" w:rsidRPr="008542E3" w:rsidRDefault="00AC7BDE" w:rsidP="008542E3">
            <w:pPr>
              <w:numPr>
                <w:ilvl w:val="0"/>
                <w:numId w:val="1"/>
              </w:numPr>
              <w:tabs>
                <w:tab w:val="left" w:pos="284"/>
              </w:tabs>
              <w:rPr>
                <w:rFonts w:ascii="Arial" w:hAnsi="Arial"/>
                <w:sz w:val="22"/>
                <w:szCs w:val="22"/>
              </w:rPr>
            </w:pPr>
            <w:r w:rsidRPr="00415C89">
              <w:rPr>
                <w:rFonts w:ascii="Arial" w:hAnsi="Arial"/>
                <w:sz w:val="22"/>
                <w:szCs w:val="22"/>
              </w:rPr>
              <w:t>Covid-19</w:t>
            </w:r>
          </w:p>
        </w:tc>
        <w:tc>
          <w:tcPr>
            <w:tcW w:w="624" w:type="pct"/>
            <w:tcBorders>
              <w:bottom w:val="single" w:sz="4" w:space="0" w:color="auto"/>
            </w:tcBorders>
          </w:tcPr>
          <w:p w14:paraId="10D419A6" w14:textId="77777777" w:rsidR="008542E3" w:rsidRPr="008542E3" w:rsidRDefault="008542E3" w:rsidP="008542E3">
            <w:pPr>
              <w:rPr>
                <w:rFonts w:ascii="Arial" w:hAnsi="Arial"/>
                <w:sz w:val="22"/>
              </w:rPr>
            </w:pPr>
          </w:p>
          <w:p w14:paraId="33E8A808" w14:textId="12EE0CAA" w:rsidR="008542E3" w:rsidRPr="008542E3" w:rsidRDefault="00441B6C" w:rsidP="008542E3">
            <w:pPr>
              <w:rPr>
                <w:rFonts w:ascii="Arial" w:hAnsi="Arial"/>
                <w:sz w:val="22"/>
              </w:rPr>
            </w:pPr>
            <w:r>
              <w:rPr>
                <w:rFonts w:ascii="Arial" w:hAnsi="Arial"/>
                <w:sz w:val="22"/>
              </w:rPr>
              <w:t>No</w:t>
            </w:r>
          </w:p>
          <w:p w14:paraId="29F62AC0" w14:textId="77777777" w:rsidR="00441B6C" w:rsidRDefault="00441B6C" w:rsidP="008542E3">
            <w:pPr>
              <w:rPr>
                <w:rFonts w:ascii="Arial" w:hAnsi="Arial"/>
                <w:sz w:val="22"/>
              </w:rPr>
            </w:pPr>
          </w:p>
          <w:p w14:paraId="7F83139E" w14:textId="56D7A588" w:rsidR="008542E3" w:rsidRPr="008542E3" w:rsidRDefault="00896DA7" w:rsidP="008542E3">
            <w:pPr>
              <w:rPr>
                <w:rFonts w:ascii="Arial" w:hAnsi="Arial"/>
                <w:sz w:val="22"/>
              </w:rPr>
            </w:pPr>
            <w:r>
              <w:rPr>
                <w:rFonts w:ascii="Arial" w:hAnsi="Arial"/>
                <w:sz w:val="22"/>
              </w:rPr>
              <w:t>Yes</w:t>
            </w:r>
          </w:p>
          <w:p w14:paraId="24A6698F" w14:textId="31895C73" w:rsidR="008542E3" w:rsidRDefault="00896DA7" w:rsidP="008542E3">
            <w:pPr>
              <w:rPr>
                <w:rFonts w:ascii="Arial" w:hAnsi="Arial"/>
                <w:sz w:val="22"/>
              </w:rPr>
            </w:pPr>
            <w:r>
              <w:rPr>
                <w:rFonts w:ascii="Arial" w:hAnsi="Arial"/>
                <w:sz w:val="22"/>
              </w:rPr>
              <w:t>Yes</w:t>
            </w:r>
          </w:p>
          <w:p w14:paraId="3E59A9F0" w14:textId="3086F6B3" w:rsidR="00896DA7" w:rsidRDefault="00896DA7" w:rsidP="008542E3">
            <w:pPr>
              <w:rPr>
                <w:rFonts w:ascii="Arial" w:hAnsi="Arial"/>
                <w:sz w:val="22"/>
              </w:rPr>
            </w:pPr>
            <w:r>
              <w:rPr>
                <w:rFonts w:ascii="Arial" w:hAnsi="Arial"/>
                <w:sz w:val="22"/>
              </w:rPr>
              <w:t>No</w:t>
            </w:r>
          </w:p>
          <w:p w14:paraId="72BA4C5F" w14:textId="77777777" w:rsidR="00D14E10" w:rsidRDefault="00D14E10" w:rsidP="008542E3">
            <w:pPr>
              <w:rPr>
                <w:rFonts w:ascii="Arial" w:hAnsi="Arial"/>
                <w:sz w:val="22"/>
              </w:rPr>
            </w:pPr>
          </w:p>
          <w:p w14:paraId="44B30BEA" w14:textId="01F6C398" w:rsidR="00896DA7" w:rsidRDefault="00415C89" w:rsidP="008542E3">
            <w:pPr>
              <w:rPr>
                <w:rFonts w:ascii="Arial" w:hAnsi="Arial"/>
                <w:sz w:val="22"/>
              </w:rPr>
            </w:pPr>
            <w:r>
              <w:rPr>
                <w:rFonts w:ascii="Arial" w:hAnsi="Arial"/>
                <w:sz w:val="22"/>
              </w:rPr>
              <w:t>No</w:t>
            </w:r>
          </w:p>
          <w:p w14:paraId="629496FF" w14:textId="51688EA1" w:rsidR="00896DA7" w:rsidRPr="008542E3" w:rsidRDefault="00441B6C" w:rsidP="008542E3">
            <w:pPr>
              <w:rPr>
                <w:rFonts w:ascii="Arial" w:hAnsi="Arial"/>
                <w:sz w:val="22"/>
              </w:rPr>
            </w:pPr>
            <w:r>
              <w:rPr>
                <w:rFonts w:ascii="Arial" w:hAnsi="Arial"/>
                <w:sz w:val="22"/>
              </w:rPr>
              <w:t>Yes</w:t>
            </w:r>
          </w:p>
        </w:tc>
        <w:tc>
          <w:tcPr>
            <w:tcW w:w="587" w:type="pct"/>
            <w:tcBorders>
              <w:bottom w:val="single" w:sz="4" w:space="0" w:color="auto"/>
            </w:tcBorders>
          </w:tcPr>
          <w:p w14:paraId="7971A58D" w14:textId="77777777" w:rsidR="008542E3" w:rsidRPr="008542E3" w:rsidRDefault="008542E3" w:rsidP="008542E3">
            <w:pPr>
              <w:rPr>
                <w:rFonts w:ascii="Arial" w:hAnsi="Arial"/>
                <w:sz w:val="22"/>
              </w:rPr>
            </w:pPr>
          </w:p>
          <w:p w14:paraId="17E9082A" w14:textId="77777777" w:rsidR="008542E3" w:rsidRPr="008542E3" w:rsidRDefault="008542E3" w:rsidP="008542E3">
            <w:pPr>
              <w:rPr>
                <w:rFonts w:ascii="Arial" w:hAnsi="Arial"/>
                <w:sz w:val="22"/>
              </w:rPr>
            </w:pPr>
            <w:r w:rsidRPr="008542E3">
              <w:rPr>
                <w:rFonts w:ascii="Arial" w:hAnsi="Arial"/>
                <w:sz w:val="22"/>
              </w:rPr>
              <w:t>No</w:t>
            </w:r>
          </w:p>
          <w:p w14:paraId="27488787" w14:textId="77777777" w:rsidR="00441B6C" w:rsidRDefault="00441B6C" w:rsidP="008542E3">
            <w:pPr>
              <w:rPr>
                <w:rFonts w:ascii="Arial" w:hAnsi="Arial"/>
                <w:sz w:val="22"/>
              </w:rPr>
            </w:pPr>
          </w:p>
          <w:p w14:paraId="61EAE323" w14:textId="63D2C125" w:rsidR="008542E3" w:rsidRPr="008542E3" w:rsidRDefault="008542E3" w:rsidP="008542E3">
            <w:pPr>
              <w:rPr>
                <w:rFonts w:ascii="Arial" w:hAnsi="Arial"/>
                <w:sz w:val="22"/>
              </w:rPr>
            </w:pPr>
            <w:r w:rsidRPr="008542E3">
              <w:rPr>
                <w:rFonts w:ascii="Arial" w:hAnsi="Arial"/>
                <w:sz w:val="22"/>
              </w:rPr>
              <w:t>No</w:t>
            </w:r>
          </w:p>
          <w:p w14:paraId="299974F6" w14:textId="77777777" w:rsidR="008542E3" w:rsidRDefault="008542E3" w:rsidP="008542E3">
            <w:pPr>
              <w:rPr>
                <w:rFonts w:ascii="Arial" w:hAnsi="Arial"/>
                <w:sz w:val="22"/>
              </w:rPr>
            </w:pPr>
            <w:r w:rsidRPr="008542E3">
              <w:rPr>
                <w:rFonts w:ascii="Arial" w:hAnsi="Arial"/>
                <w:sz w:val="22"/>
              </w:rPr>
              <w:t>No</w:t>
            </w:r>
          </w:p>
          <w:p w14:paraId="1ADA278C" w14:textId="77777777" w:rsidR="00896DA7" w:rsidRDefault="00896DA7" w:rsidP="008542E3">
            <w:pPr>
              <w:rPr>
                <w:rFonts w:ascii="Arial" w:hAnsi="Arial"/>
                <w:sz w:val="22"/>
              </w:rPr>
            </w:pPr>
            <w:r>
              <w:rPr>
                <w:rFonts w:ascii="Arial" w:hAnsi="Arial"/>
                <w:sz w:val="22"/>
              </w:rPr>
              <w:t>No</w:t>
            </w:r>
          </w:p>
          <w:p w14:paraId="50B5D466" w14:textId="77777777" w:rsidR="00D14E10" w:rsidRDefault="00D14E10" w:rsidP="008542E3">
            <w:pPr>
              <w:rPr>
                <w:rFonts w:ascii="Arial" w:hAnsi="Arial"/>
                <w:sz w:val="22"/>
              </w:rPr>
            </w:pPr>
          </w:p>
          <w:p w14:paraId="3D09258D" w14:textId="7010D485" w:rsidR="00896DA7" w:rsidRDefault="00896DA7" w:rsidP="008542E3">
            <w:pPr>
              <w:rPr>
                <w:rFonts w:ascii="Arial" w:hAnsi="Arial"/>
                <w:sz w:val="22"/>
              </w:rPr>
            </w:pPr>
            <w:r>
              <w:rPr>
                <w:rFonts w:ascii="Arial" w:hAnsi="Arial"/>
                <w:sz w:val="22"/>
              </w:rPr>
              <w:t>No</w:t>
            </w:r>
          </w:p>
          <w:p w14:paraId="0B18922E" w14:textId="4A9E22AC" w:rsidR="00415C89" w:rsidRPr="008542E3" w:rsidRDefault="00415C89" w:rsidP="008542E3">
            <w:pPr>
              <w:rPr>
                <w:rFonts w:ascii="Arial" w:hAnsi="Arial"/>
                <w:sz w:val="22"/>
              </w:rPr>
            </w:pPr>
            <w:r>
              <w:rPr>
                <w:rFonts w:ascii="Arial" w:hAnsi="Arial"/>
                <w:sz w:val="22"/>
              </w:rPr>
              <w:t>No</w:t>
            </w:r>
          </w:p>
        </w:tc>
        <w:tc>
          <w:tcPr>
            <w:tcW w:w="553" w:type="pct"/>
            <w:tcBorders>
              <w:bottom w:val="single" w:sz="4" w:space="0" w:color="auto"/>
            </w:tcBorders>
          </w:tcPr>
          <w:p w14:paraId="48ACA7BB" w14:textId="77777777" w:rsidR="008542E3" w:rsidRPr="008542E3" w:rsidRDefault="008542E3" w:rsidP="008542E3">
            <w:pPr>
              <w:rPr>
                <w:rFonts w:ascii="Arial" w:hAnsi="Arial"/>
                <w:sz w:val="22"/>
              </w:rPr>
            </w:pPr>
          </w:p>
          <w:p w14:paraId="22AB938B" w14:textId="77777777" w:rsidR="008542E3" w:rsidRPr="008542E3" w:rsidRDefault="008542E3" w:rsidP="008542E3">
            <w:pPr>
              <w:rPr>
                <w:rFonts w:ascii="Arial" w:hAnsi="Arial"/>
                <w:sz w:val="22"/>
              </w:rPr>
            </w:pPr>
            <w:r w:rsidRPr="008542E3">
              <w:rPr>
                <w:rFonts w:ascii="Arial" w:hAnsi="Arial"/>
                <w:sz w:val="22"/>
              </w:rPr>
              <w:t>N/A</w:t>
            </w:r>
          </w:p>
          <w:p w14:paraId="78EAF3C0" w14:textId="77777777" w:rsidR="00441B6C" w:rsidRDefault="00441B6C" w:rsidP="008542E3">
            <w:pPr>
              <w:rPr>
                <w:rFonts w:ascii="Arial" w:hAnsi="Arial"/>
                <w:sz w:val="22"/>
              </w:rPr>
            </w:pPr>
          </w:p>
          <w:p w14:paraId="2B47F079" w14:textId="24840CC7" w:rsidR="008542E3" w:rsidRPr="008542E3" w:rsidRDefault="008542E3" w:rsidP="008542E3">
            <w:pPr>
              <w:rPr>
                <w:rFonts w:ascii="Arial" w:hAnsi="Arial"/>
                <w:sz w:val="22"/>
              </w:rPr>
            </w:pPr>
            <w:r w:rsidRPr="008542E3">
              <w:rPr>
                <w:rFonts w:ascii="Arial" w:hAnsi="Arial"/>
                <w:sz w:val="22"/>
              </w:rPr>
              <w:t>N/A</w:t>
            </w:r>
          </w:p>
          <w:p w14:paraId="4A894771" w14:textId="77777777" w:rsidR="008542E3" w:rsidRDefault="008542E3" w:rsidP="008542E3">
            <w:pPr>
              <w:rPr>
                <w:rFonts w:ascii="Arial" w:hAnsi="Arial"/>
                <w:sz w:val="22"/>
              </w:rPr>
            </w:pPr>
            <w:r w:rsidRPr="008542E3">
              <w:rPr>
                <w:rFonts w:ascii="Arial" w:hAnsi="Arial"/>
                <w:sz w:val="22"/>
              </w:rPr>
              <w:t>N/A</w:t>
            </w:r>
          </w:p>
          <w:p w14:paraId="2AD07258" w14:textId="77777777" w:rsidR="00896DA7" w:rsidRDefault="00896DA7" w:rsidP="008542E3">
            <w:pPr>
              <w:rPr>
                <w:rFonts w:ascii="Arial" w:hAnsi="Arial"/>
                <w:sz w:val="22"/>
              </w:rPr>
            </w:pPr>
            <w:r>
              <w:rPr>
                <w:rFonts w:ascii="Arial" w:hAnsi="Arial"/>
                <w:sz w:val="22"/>
              </w:rPr>
              <w:t>N/A</w:t>
            </w:r>
          </w:p>
          <w:p w14:paraId="6867C01F" w14:textId="77777777" w:rsidR="00D14E10" w:rsidRDefault="00D14E10" w:rsidP="008542E3">
            <w:pPr>
              <w:rPr>
                <w:rFonts w:ascii="Arial" w:hAnsi="Arial"/>
                <w:sz w:val="22"/>
              </w:rPr>
            </w:pPr>
          </w:p>
          <w:p w14:paraId="67469245" w14:textId="6AA21E0D" w:rsidR="00896DA7" w:rsidRDefault="00896DA7" w:rsidP="008542E3">
            <w:pPr>
              <w:rPr>
                <w:rFonts w:ascii="Arial" w:hAnsi="Arial"/>
                <w:sz w:val="22"/>
              </w:rPr>
            </w:pPr>
            <w:r>
              <w:rPr>
                <w:rFonts w:ascii="Arial" w:hAnsi="Arial"/>
                <w:sz w:val="22"/>
              </w:rPr>
              <w:t>N/A</w:t>
            </w:r>
          </w:p>
          <w:p w14:paraId="01E1158C" w14:textId="722629E2" w:rsidR="00415C89" w:rsidRPr="008542E3" w:rsidRDefault="00415C89" w:rsidP="008542E3">
            <w:pPr>
              <w:rPr>
                <w:rFonts w:ascii="Arial" w:hAnsi="Arial"/>
                <w:sz w:val="22"/>
              </w:rPr>
            </w:pPr>
            <w:r>
              <w:rPr>
                <w:rFonts w:ascii="Arial" w:hAnsi="Arial"/>
                <w:sz w:val="22"/>
              </w:rPr>
              <w:t>N/A</w:t>
            </w:r>
          </w:p>
        </w:tc>
        <w:tc>
          <w:tcPr>
            <w:tcW w:w="608" w:type="pct"/>
            <w:tcBorders>
              <w:bottom w:val="single" w:sz="4" w:space="0" w:color="auto"/>
            </w:tcBorders>
          </w:tcPr>
          <w:p w14:paraId="33044931" w14:textId="77777777" w:rsidR="008542E3" w:rsidRPr="008542E3" w:rsidRDefault="008542E3" w:rsidP="008542E3">
            <w:pPr>
              <w:rPr>
                <w:rFonts w:ascii="Arial" w:hAnsi="Arial"/>
                <w:sz w:val="22"/>
              </w:rPr>
            </w:pPr>
          </w:p>
          <w:p w14:paraId="4678B285" w14:textId="209C4C36" w:rsidR="008542E3" w:rsidRPr="008542E3" w:rsidRDefault="00896DA7" w:rsidP="008542E3">
            <w:pPr>
              <w:rPr>
                <w:rFonts w:ascii="Arial" w:hAnsi="Arial"/>
                <w:sz w:val="22"/>
              </w:rPr>
            </w:pPr>
            <w:r>
              <w:rPr>
                <w:rFonts w:ascii="Arial" w:hAnsi="Arial"/>
                <w:sz w:val="22"/>
              </w:rPr>
              <w:t>No</w:t>
            </w:r>
          </w:p>
          <w:p w14:paraId="5BEC8775" w14:textId="77777777" w:rsidR="00441B6C" w:rsidRDefault="00441B6C" w:rsidP="008542E3">
            <w:pPr>
              <w:rPr>
                <w:rFonts w:ascii="Arial" w:hAnsi="Arial"/>
                <w:sz w:val="22"/>
              </w:rPr>
            </w:pPr>
          </w:p>
          <w:p w14:paraId="1F65815E" w14:textId="6895F533" w:rsidR="008542E3" w:rsidRPr="008542E3" w:rsidRDefault="008542E3" w:rsidP="008542E3">
            <w:pPr>
              <w:rPr>
                <w:rFonts w:ascii="Arial" w:hAnsi="Arial"/>
                <w:sz w:val="22"/>
              </w:rPr>
            </w:pPr>
            <w:r w:rsidRPr="008542E3">
              <w:rPr>
                <w:rFonts w:ascii="Arial" w:hAnsi="Arial"/>
                <w:sz w:val="22"/>
              </w:rPr>
              <w:t>No</w:t>
            </w:r>
          </w:p>
          <w:p w14:paraId="52605F09" w14:textId="542EF65E" w:rsidR="008542E3" w:rsidRDefault="00B74961" w:rsidP="008542E3">
            <w:pPr>
              <w:rPr>
                <w:rFonts w:ascii="Arial" w:hAnsi="Arial"/>
                <w:sz w:val="22"/>
              </w:rPr>
            </w:pPr>
            <w:r>
              <w:rPr>
                <w:rFonts w:ascii="Arial" w:hAnsi="Arial"/>
                <w:sz w:val="22"/>
              </w:rPr>
              <w:t>Yes</w:t>
            </w:r>
          </w:p>
          <w:p w14:paraId="5FFB52B3" w14:textId="77777777" w:rsidR="00896DA7" w:rsidRDefault="00896DA7" w:rsidP="008542E3">
            <w:pPr>
              <w:rPr>
                <w:rFonts w:ascii="Arial" w:hAnsi="Arial"/>
                <w:sz w:val="22"/>
              </w:rPr>
            </w:pPr>
            <w:r>
              <w:rPr>
                <w:rFonts w:ascii="Arial" w:hAnsi="Arial"/>
                <w:sz w:val="22"/>
              </w:rPr>
              <w:t>No</w:t>
            </w:r>
          </w:p>
          <w:p w14:paraId="5F4CEE25" w14:textId="77777777" w:rsidR="00D14E10" w:rsidRDefault="00D14E10" w:rsidP="008542E3">
            <w:pPr>
              <w:rPr>
                <w:rFonts w:ascii="Arial" w:hAnsi="Arial"/>
                <w:sz w:val="22"/>
              </w:rPr>
            </w:pPr>
          </w:p>
          <w:p w14:paraId="546AEC5A" w14:textId="6F425893" w:rsidR="00896DA7" w:rsidRDefault="00896DA7" w:rsidP="008542E3">
            <w:pPr>
              <w:rPr>
                <w:rFonts w:ascii="Arial" w:hAnsi="Arial"/>
                <w:sz w:val="22"/>
              </w:rPr>
            </w:pPr>
            <w:r>
              <w:rPr>
                <w:rFonts w:ascii="Arial" w:hAnsi="Arial"/>
                <w:sz w:val="22"/>
              </w:rPr>
              <w:t>No</w:t>
            </w:r>
          </w:p>
          <w:p w14:paraId="1420BFF4" w14:textId="2CC4D3FB" w:rsidR="00415C89" w:rsidRPr="008542E3" w:rsidRDefault="00415C89" w:rsidP="008542E3">
            <w:pPr>
              <w:rPr>
                <w:rFonts w:ascii="Arial" w:hAnsi="Arial"/>
                <w:sz w:val="22"/>
              </w:rPr>
            </w:pPr>
            <w:r>
              <w:rPr>
                <w:rFonts w:ascii="Arial" w:hAnsi="Arial"/>
                <w:sz w:val="22"/>
              </w:rPr>
              <w:t>No</w:t>
            </w:r>
          </w:p>
        </w:tc>
        <w:tc>
          <w:tcPr>
            <w:tcW w:w="560" w:type="pct"/>
            <w:tcBorders>
              <w:bottom w:val="single" w:sz="4" w:space="0" w:color="auto"/>
            </w:tcBorders>
          </w:tcPr>
          <w:p w14:paraId="4770AE16" w14:textId="77777777" w:rsidR="008542E3" w:rsidRPr="008542E3" w:rsidRDefault="008542E3" w:rsidP="008542E3">
            <w:pPr>
              <w:rPr>
                <w:rFonts w:ascii="Arial" w:hAnsi="Arial"/>
                <w:b/>
                <w:bCs/>
                <w:sz w:val="22"/>
              </w:rPr>
            </w:pPr>
          </w:p>
          <w:p w14:paraId="48D34F8B" w14:textId="77777777" w:rsidR="008542E3" w:rsidRPr="008542E3" w:rsidRDefault="008542E3" w:rsidP="008542E3">
            <w:pPr>
              <w:rPr>
                <w:rFonts w:ascii="Arial" w:hAnsi="Arial"/>
                <w:b/>
                <w:bCs/>
                <w:sz w:val="22"/>
              </w:rPr>
            </w:pPr>
            <w:r w:rsidRPr="008542E3">
              <w:rPr>
                <w:rFonts w:ascii="Arial" w:hAnsi="Arial"/>
                <w:b/>
                <w:bCs/>
                <w:sz w:val="22"/>
              </w:rPr>
              <w:t>No</w:t>
            </w:r>
          </w:p>
          <w:p w14:paraId="7F639FDE" w14:textId="77777777" w:rsidR="00441B6C" w:rsidRDefault="00441B6C" w:rsidP="008542E3">
            <w:pPr>
              <w:rPr>
                <w:rFonts w:ascii="Arial" w:hAnsi="Arial"/>
                <w:b/>
                <w:bCs/>
                <w:sz w:val="22"/>
              </w:rPr>
            </w:pPr>
          </w:p>
          <w:p w14:paraId="6D9F6142" w14:textId="1C157CDB" w:rsidR="008542E3" w:rsidRPr="008542E3" w:rsidRDefault="008542E3" w:rsidP="008542E3">
            <w:pPr>
              <w:rPr>
                <w:rFonts w:ascii="Arial" w:hAnsi="Arial"/>
                <w:b/>
                <w:bCs/>
                <w:sz w:val="22"/>
              </w:rPr>
            </w:pPr>
            <w:r w:rsidRPr="008542E3">
              <w:rPr>
                <w:rFonts w:ascii="Arial" w:hAnsi="Arial"/>
                <w:b/>
                <w:bCs/>
                <w:sz w:val="22"/>
              </w:rPr>
              <w:t>No</w:t>
            </w:r>
          </w:p>
          <w:p w14:paraId="47E2DA66" w14:textId="77777777" w:rsidR="008542E3" w:rsidRDefault="008542E3" w:rsidP="008542E3">
            <w:pPr>
              <w:rPr>
                <w:rFonts w:ascii="Arial" w:hAnsi="Arial"/>
                <w:b/>
                <w:bCs/>
                <w:sz w:val="22"/>
              </w:rPr>
            </w:pPr>
            <w:r w:rsidRPr="008542E3">
              <w:rPr>
                <w:rFonts w:ascii="Arial" w:hAnsi="Arial"/>
                <w:b/>
                <w:bCs/>
                <w:sz w:val="22"/>
              </w:rPr>
              <w:t>No</w:t>
            </w:r>
          </w:p>
          <w:p w14:paraId="4EFBD838" w14:textId="77777777" w:rsidR="00896DA7" w:rsidRDefault="00896DA7" w:rsidP="008542E3">
            <w:pPr>
              <w:rPr>
                <w:rFonts w:ascii="Arial" w:hAnsi="Arial"/>
                <w:b/>
                <w:bCs/>
                <w:sz w:val="22"/>
              </w:rPr>
            </w:pPr>
            <w:r>
              <w:rPr>
                <w:rFonts w:ascii="Arial" w:hAnsi="Arial"/>
                <w:b/>
                <w:bCs/>
                <w:sz w:val="22"/>
              </w:rPr>
              <w:t>No</w:t>
            </w:r>
          </w:p>
          <w:p w14:paraId="5F930BCA" w14:textId="77777777" w:rsidR="00D14E10" w:rsidRDefault="00D14E10" w:rsidP="008542E3">
            <w:pPr>
              <w:rPr>
                <w:rFonts w:ascii="Arial" w:hAnsi="Arial"/>
                <w:b/>
                <w:bCs/>
                <w:sz w:val="22"/>
              </w:rPr>
            </w:pPr>
          </w:p>
          <w:p w14:paraId="5ADC9AB1" w14:textId="2558ED44" w:rsidR="00896DA7" w:rsidRDefault="00896DA7" w:rsidP="008542E3">
            <w:pPr>
              <w:rPr>
                <w:rFonts w:ascii="Arial" w:hAnsi="Arial"/>
                <w:b/>
                <w:bCs/>
                <w:sz w:val="22"/>
              </w:rPr>
            </w:pPr>
            <w:r>
              <w:rPr>
                <w:rFonts w:ascii="Arial" w:hAnsi="Arial"/>
                <w:b/>
                <w:bCs/>
                <w:sz w:val="22"/>
              </w:rPr>
              <w:t>No</w:t>
            </w:r>
          </w:p>
          <w:p w14:paraId="1663120C" w14:textId="6B33A480" w:rsidR="00415C89" w:rsidRPr="008542E3" w:rsidRDefault="00415C89" w:rsidP="008542E3">
            <w:pPr>
              <w:rPr>
                <w:rFonts w:ascii="Arial" w:hAnsi="Arial"/>
                <w:b/>
                <w:bCs/>
                <w:sz w:val="22"/>
              </w:rPr>
            </w:pPr>
            <w:r>
              <w:rPr>
                <w:rFonts w:ascii="Arial" w:hAnsi="Arial"/>
                <w:b/>
                <w:bCs/>
                <w:sz w:val="22"/>
              </w:rPr>
              <w:t>No</w:t>
            </w:r>
          </w:p>
        </w:tc>
      </w:tr>
    </w:tbl>
    <w:p w14:paraId="0E1F57B3" w14:textId="77777777" w:rsidR="008542E3" w:rsidRDefault="008542E3" w:rsidP="00AB14D0">
      <w:pPr>
        <w:pStyle w:val="Paragraph"/>
      </w:pPr>
    </w:p>
    <w:p w14:paraId="4787436D" w14:textId="77777777" w:rsidR="003B6DDC" w:rsidRDefault="003B6DDC" w:rsidP="009142F4">
      <w:pPr>
        <w:pStyle w:val="Numberedheading1"/>
      </w:pPr>
      <w:r>
        <w:br w:type="page"/>
      </w:r>
      <w:bookmarkStart w:id="36" w:name="_Toc51674499"/>
      <w:r w:rsidR="002C296A">
        <w:lastRenderedPageBreak/>
        <w:t>Suggested improvement area</w:t>
      </w:r>
      <w:r>
        <w:t>s</w:t>
      </w:r>
      <w:bookmarkEnd w:id="36"/>
    </w:p>
    <w:p w14:paraId="062F9D08" w14:textId="2EC8601F" w:rsidR="004510E0" w:rsidRPr="00433117" w:rsidRDefault="004D2038" w:rsidP="00910C02">
      <w:pPr>
        <w:pStyle w:val="Numberedheading2"/>
      </w:pPr>
      <w:r>
        <w:t>S</w:t>
      </w:r>
      <w:r w:rsidRPr="004D2038">
        <w:t>tatement of fitness for work</w:t>
      </w:r>
    </w:p>
    <w:p w14:paraId="2389206F" w14:textId="28424747" w:rsidR="00CE4759" w:rsidRPr="00BA01BE" w:rsidRDefault="004510E0" w:rsidP="00CE4759">
      <w:pPr>
        <w:pStyle w:val="Numberedheading3"/>
      </w:pPr>
      <w:r>
        <w:t>Summary of suggestions</w:t>
      </w:r>
    </w:p>
    <w:p w14:paraId="71D9FAE8" w14:textId="77777777" w:rsidR="007434A8" w:rsidRPr="00BA01BE" w:rsidRDefault="007434A8" w:rsidP="007434D8">
      <w:pPr>
        <w:pStyle w:val="Heading40"/>
      </w:pPr>
      <w:bookmarkStart w:id="37" w:name="_Hlk49262499"/>
      <w:bookmarkStart w:id="38" w:name="_Hlk49432700"/>
      <w:r w:rsidRPr="00BA01BE">
        <w:t>The role of health services</w:t>
      </w:r>
    </w:p>
    <w:p w14:paraId="2326DC17" w14:textId="71E68B24" w:rsidR="007434A8" w:rsidRDefault="007434A8" w:rsidP="007434D8">
      <w:pPr>
        <w:pStyle w:val="Paragraph"/>
      </w:pPr>
      <w:r w:rsidRPr="00BA01BE">
        <w:t>Stakeholders highlighted the important role of health professionals in providing advice on returning to work through the fit note</w:t>
      </w:r>
      <w:r w:rsidR="00451A8F">
        <w:t xml:space="preserve"> and for advocating for the employee’s needs</w:t>
      </w:r>
      <w:r w:rsidRPr="00BA01BE">
        <w:t>. Stakeholders noted the need for the fit note to be used consistently</w:t>
      </w:r>
      <w:r w:rsidR="00A63DE2">
        <w:t>,</w:t>
      </w:r>
      <w:r w:rsidR="00451A8F">
        <w:t xml:space="preserve"> including the length of time that employees are signed off for,</w:t>
      </w:r>
      <w:r w:rsidRPr="00BA01BE">
        <w:t xml:space="preserve"> and</w:t>
      </w:r>
      <w:r w:rsidR="00451A8F">
        <w:t xml:space="preserve"> the need for information</w:t>
      </w:r>
      <w:r w:rsidRPr="00BA01BE">
        <w:t xml:space="preserve"> to</w:t>
      </w:r>
      <w:r>
        <w:t xml:space="preserve"> be of</w:t>
      </w:r>
      <w:r w:rsidRPr="00BA01BE">
        <w:t xml:space="preserve"> good quality. They also commented that face to face elements of fitness to work assessments are important and should be preserved when digital approaches to healthcare are used</w:t>
      </w:r>
      <w:r>
        <w:t>.</w:t>
      </w:r>
    </w:p>
    <w:p w14:paraId="5EADF918" w14:textId="7E8A8540" w:rsidR="009920D7" w:rsidRPr="001937B1" w:rsidRDefault="001937B1" w:rsidP="007434D8">
      <w:pPr>
        <w:pStyle w:val="Heading40"/>
      </w:pPr>
      <w:r w:rsidRPr="001937B1">
        <w:t>The role of employers</w:t>
      </w:r>
    </w:p>
    <w:p w14:paraId="533A0574" w14:textId="7F678F69" w:rsidR="00CE4759" w:rsidRPr="001937B1" w:rsidRDefault="009920D7" w:rsidP="009920D7">
      <w:pPr>
        <w:pStyle w:val="Paragraph"/>
      </w:pPr>
      <w:r w:rsidRPr="001937B1">
        <w:t>Stakeho</w:t>
      </w:r>
      <w:r w:rsidR="001937B1" w:rsidRPr="001937B1">
        <w:t>lders felt that the existing approach to certifying fitness to work is too medically focused</w:t>
      </w:r>
      <w:r w:rsidR="00780D5F">
        <w:t xml:space="preserve">. They </w:t>
      </w:r>
      <w:r w:rsidR="00780D5F" w:rsidRPr="00780D5F">
        <w:t>suggested that employers taking responsibility for removing obstacles</w:t>
      </w:r>
      <w:r w:rsidR="001937B1" w:rsidRPr="001937B1">
        <w:t xml:space="preserve"> </w:t>
      </w:r>
      <w:r w:rsidR="00780D5F">
        <w:t xml:space="preserve">that prevent people from returning to work is an area for quality improvement. </w:t>
      </w:r>
      <w:r w:rsidR="00780D5F" w:rsidRPr="00780D5F">
        <w:t>Employers need to</w:t>
      </w:r>
      <w:r w:rsidR="00780D5F">
        <w:t xml:space="preserve"> actively consider how they can </w:t>
      </w:r>
      <w:proofErr w:type="gramStart"/>
      <w:r w:rsidR="00780D5F">
        <w:t>make adjustments</w:t>
      </w:r>
      <w:proofErr w:type="gramEnd"/>
      <w:r w:rsidR="00780D5F">
        <w:t xml:space="preserve"> in the workplace</w:t>
      </w:r>
      <w:r w:rsidR="00780D5F" w:rsidRPr="00780D5F">
        <w:t xml:space="preserve"> rather than </w:t>
      </w:r>
      <w:r w:rsidR="00780D5F">
        <w:t xml:space="preserve">viewing </w:t>
      </w:r>
      <w:r w:rsidR="00780D5F" w:rsidRPr="00780D5F">
        <w:t xml:space="preserve">this </w:t>
      </w:r>
      <w:r w:rsidR="00780D5F">
        <w:t xml:space="preserve">as the </w:t>
      </w:r>
      <w:r w:rsidR="00780D5F" w:rsidRPr="00780D5F">
        <w:t>responsibility o</w:t>
      </w:r>
      <w:r w:rsidR="00780D5F">
        <w:t>f</w:t>
      </w:r>
      <w:r w:rsidR="00780D5F" w:rsidRPr="00780D5F">
        <w:t xml:space="preserve"> </w:t>
      </w:r>
      <w:r w:rsidR="00780D5F">
        <w:t>occupational health</w:t>
      </w:r>
      <w:r w:rsidR="00780D5F" w:rsidRPr="00780D5F">
        <w:t xml:space="preserve"> providers and GPs</w:t>
      </w:r>
      <w:r w:rsidR="00780D5F">
        <w:t xml:space="preserve"> who have less knowledge of work requirements.</w:t>
      </w:r>
      <w:r w:rsidR="00780D5F" w:rsidRPr="00780D5F" w:rsidDel="00780D5F">
        <w:t xml:space="preserve"> </w:t>
      </w:r>
    </w:p>
    <w:bookmarkEnd w:id="37"/>
    <w:bookmarkEnd w:id="38"/>
    <w:p w14:paraId="73F01704" w14:textId="77777777" w:rsidR="004510E0" w:rsidRPr="007B1C0E" w:rsidRDefault="004510E0" w:rsidP="004510E0">
      <w:pPr>
        <w:pStyle w:val="Numberedheading3"/>
      </w:pPr>
      <w:r>
        <w:t>S</w:t>
      </w:r>
      <w:r w:rsidRPr="00CD3D03">
        <w:t>elected recommendations from development source</w:t>
      </w:r>
    </w:p>
    <w:p w14:paraId="5CAFF986" w14:textId="26019210" w:rsidR="004510E0" w:rsidRPr="00913701" w:rsidRDefault="00D97876" w:rsidP="00884CF8">
      <w:pPr>
        <w:pStyle w:val="Paragraph"/>
      </w:pPr>
      <w:r>
        <w:t xml:space="preserve">Table </w:t>
      </w:r>
      <w:r w:rsidR="00012446">
        <w:t>3</w:t>
      </w:r>
      <w:r w:rsidR="004510E0">
        <w:t xml:space="preserve"> below highlights </w:t>
      </w:r>
      <w:r w:rsidR="004510E0" w:rsidRPr="00913701">
        <w:t xml:space="preserve">recommendations that have been provisionally selected from the development </w:t>
      </w:r>
      <w:r w:rsidR="004510E0" w:rsidRPr="00F2333B">
        <w:t>source</w:t>
      </w:r>
      <w:r w:rsidR="00427135">
        <w:t>/source</w:t>
      </w:r>
      <w:r w:rsidR="004510E0">
        <w:t>s</w:t>
      </w:r>
      <w:r w:rsidR="004510E0" w:rsidRPr="00913701">
        <w:t xml:space="preserve"> </w:t>
      </w:r>
      <w:r w:rsidR="00884CF8">
        <w:t xml:space="preserve">that </w:t>
      </w:r>
      <w:r w:rsidR="004510E0">
        <w:t>may</w:t>
      </w:r>
      <w:r w:rsidR="004510E0" w:rsidRPr="00913701">
        <w:t xml:space="preserve"> support potential statement development.</w:t>
      </w:r>
      <w:r w:rsidR="004510E0">
        <w:t xml:space="preserve"> These are presented in full </w:t>
      </w:r>
      <w:r w:rsidR="00F2333B">
        <w:t xml:space="preserve">after table </w:t>
      </w:r>
      <w:r w:rsidR="00012446">
        <w:t>3</w:t>
      </w:r>
      <w:r w:rsidR="00F2333B">
        <w:t xml:space="preserve"> </w:t>
      </w:r>
      <w:r w:rsidR="004510E0">
        <w:t xml:space="preserve">to </w:t>
      </w:r>
      <w:r w:rsidR="00F2333B">
        <w:t xml:space="preserve">help </w:t>
      </w:r>
      <w:r w:rsidR="004510E0">
        <w:t xml:space="preserve">inform the </w:t>
      </w:r>
      <w:r w:rsidR="00C92D69">
        <w:t>c</w:t>
      </w:r>
      <w:r w:rsidR="004510E0">
        <w:t>ommittee’s discussion.</w:t>
      </w:r>
    </w:p>
    <w:p w14:paraId="66047A4B" w14:textId="254D3C04" w:rsidR="004510E0" w:rsidRPr="00F45FBA" w:rsidRDefault="00D97876" w:rsidP="00DD0BD8">
      <w:pPr>
        <w:pStyle w:val="Heading3"/>
      </w:pPr>
      <w:r>
        <w:t xml:space="preserve">Table </w:t>
      </w:r>
      <w:r w:rsidR="00012446">
        <w:t>3</w:t>
      </w:r>
      <w:r w:rsidR="004510E0"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4510E0" w:rsidRPr="00FD3FF6" w14:paraId="6F4152D6" w14:textId="77777777" w:rsidTr="00FD2318">
        <w:trPr>
          <w:trHeight w:val="321"/>
        </w:trPr>
        <w:tc>
          <w:tcPr>
            <w:tcW w:w="4113" w:type="dxa"/>
            <w:shd w:val="clear" w:color="auto" w:fill="auto"/>
            <w:hideMark/>
          </w:tcPr>
          <w:p w14:paraId="54D48FAC" w14:textId="77777777" w:rsidR="004510E0" w:rsidRPr="009C32E3" w:rsidRDefault="00F2333B" w:rsidP="0079479A">
            <w:pPr>
              <w:pStyle w:val="Tabletitle"/>
              <w:rPr>
                <w:highlight w:val="lightGray"/>
              </w:rPr>
            </w:pPr>
            <w:r w:rsidRPr="00F2333B">
              <w:t>Sug</w:t>
            </w:r>
            <w:r>
              <w:t>gested quality improvement area</w:t>
            </w:r>
            <w:r w:rsidR="004510E0" w:rsidRPr="009C32E3">
              <w:rPr>
                <w:highlight w:val="lightGray"/>
              </w:rPr>
              <w:t xml:space="preserve"> </w:t>
            </w:r>
          </w:p>
        </w:tc>
        <w:tc>
          <w:tcPr>
            <w:tcW w:w="4395" w:type="dxa"/>
            <w:shd w:val="clear" w:color="auto" w:fill="auto"/>
            <w:hideMark/>
          </w:tcPr>
          <w:p w14:paraId="7998A00F" w14:textId="77777777" w:rsidR="004510E0" w:rsidRPr="009C32E3" w:rsidRDefault="00F2333B" w:rsidP="0079479A">
            <w:pPr>
              <w:pStyle w:val="Tabletitle"/>
              <w:rPr>
                <w:highlight w:val="lightGray"/>
              </w:rPr>
            </w:pPr>
            <w:r w:rsidRPr="00F2333B">
              <w:t>Selected source guidance recommendations</w:t>
            </w:r>
          </w:p>
        </w:tc>
      </w:tr>
      <w:tr w:rsidR="007434A8" w:rsidRPr="005E5E3B" w14:paraId="2D2208A5" w14:textId="77777777" w:rsidTr="00E354A2">
        <w:trPr>
          <w:trHeight w:val="996"/>
        </w:trPr>
        <w:tc>
          <w:tcPr>
            <w:tcW w:w="4113" w:type="dxa"/>
            <w:shd w:val="clear" w:color="auto" w:fill="auto"/>
          </w:tcPr>
          <w:p w14:paraId="4190AA79" w14:textId="2572A166" w:rsidR="007434A8" w:rsidRPr="00BA01BE" w:rsidRDefault="007434A8" w:rsidP="007434A8">
            <w:pPr>
              <w:pStyle w:val="Tabletext"/>
            </w:pPr>
            <w:r w:rsidRPr="00BA01BE">
              <w:t>The role of health services</w:t>
            </w:r>
          </w:p>
        </w:tc>
        <w:tc>
          <w:tcPr>
            <w:tcW w:w="4395" w:type="dxa"/>
            <w:shd w:val="clear" w:color="auto" w:fill="auto"/>
          </w:tcPr>
          <w:p w14:paraId="65E8C031" w14:textId="23F2B5FB" w:rsidR="007434A8" w:rsidRPr="00F62045" w:rsidRDefault="007434A8" w:rsidP="007434A8">
            <w:pPr>
              <w:pStyle w:val="Tabletext"/>
            </w:pPr>
            <w:r w:rsidRPr="00F62045">
              <w:t>NG146 Recommendations 1.2.1,</w:t>
            </w:r>
            <w:r w:rsidR="007D69AA">
              <w:t xml:space="preserve"> 1.2.4,</w:t>
            </w:r>
            <w:r w:rsidRPr="00F62045">
              <w:t xml:space="preserve"> 1.2.5</w:t>
            </w:r>
          </w:p>
        </w:tc>
      </w:tr>
      <w:tr w:rsidR="007434A8" w:rsidRPr="005E5E3B" w14:paraId="0BDCDF10" w14:textId="77777777" w:rsidTr="00E354A2">
        <w:trPr>
          <w:trHeight w:val="996"/>
        </w:trPr>
        <w:tc>
          <w:tcPr>
            <w:tcW w:w="4113" w:type="dxa"/>
            <w:shd w:val="clear" w:color="auto" w:fill="auto"/>
          </w:tcPr>
          <w:p w14:paraId="3813D175" w14:textId="6742C37E" w:rsidR="007434A8" w:rsidRPr="00DD0BD8" w:rsidRDefault="007434A8" w:rsidP="007434A8">
            <w:pPr>
              <w:pStyle w:val="Tabletext"/>
              <w:rPr>
                <w:highlight w:val="lightGray"/>
              </w:rPr>
            </w:pPr>
            <w:r w:rsidRPr="00BA01BE">
              <w:t>The role of employers</w:t>
            </w:r>
          </w:p>
        </w:tc>
        <w:tc>
          <w:tcPr>
            <w:tcW w:w="4395" w:type="dxa"/>
            <w:shd w:val="clear" w:color="auto" w:fill="auto"/>
          </w:tcPr>
          <w:p w14:paraId="6B5736C4" w14:textId="3659C94A" w:rsidR="007434A8" w:rsidRPr="00F62045" w:rsidRDefault="007434A8" w:rsidP="007434A8">
            <w:pPr>
              <w:pStyle w:val="Tabletext"/>
            </w:pPr>
            <w:r w:rsidRPr="00F62045">
              <w:t>NICE NG146 Recommendations 1.3.1, 1.3.2, 1.3.3, 1.3.5</w:t>
            </w:r>
          </w:p>
        </w:tc>
      </w:tr>
    </w:tbl>
    <w:p w14:paraId="15608F39" w14:textId="77777777" w:rsidR="00636595" w:rsidRPr="00636595" w:rsidRDefault="00636595" w:rsidP="00636595"/>
    <w:p w14:paraId="5B7CB417" w14:textId="77777777" w:rsidR="00636595" w:rsidRDefault="00636595">
      <w:pPr>
        <w:rPr>
          <w:rFonts w:ascii="Arial" w:hAnsi="Arial"/>
          <w:b/>
          <w:bCs/>
          <w:szCs w:val="26"/>
        </w:rPr>
      </w:pPr>
      <w:r>
        <w:br w:type="page"/>
      </w:r>
    </w:p>
    <w:p w14:paraId="4923441B" w14:textId="34632B31" w:rsidR="007434A8" w:rsidRDefault="007434A8" w:rsidP="006E36AE">
      <w:pPr>
        <w:pStyle w:val="Heading3"/>
        <w:rPr>
          <w:highlight w:val="cyan"/>
        </w:rPr>
      </w:pPr>
      <w:r w:rsidRPr="00BA01BE">
        <w:lastRenderedPageBreak/>
        <w:t xml:space="preserve">The role of </w:t>
      </w:r>
      <w:r>
        <w:t>health services</w:t>
      </w:r>
      <w:r w:rsidRPr="00BA01BE">
        <w:rPr>
          <w:highlight w:val="cyan"/>
        </w:rPr>
        <w:t xml:space="preserve"> </w:t>
      </w:r>
    </w:p>
    <w:p w14:paraId="68F89680" w14:textId="77777777" w:rsidR="007434A8" w:rsidRPr="00BA01BE" w:rsidRDefault="007434A8" w:rsidP="007434A8">
      <w:pPr>
        <w:pStyle w:val="Heading40"/>
      </w:pPr>
      <w:r w:rsidRPr="00BA01BE">
        <w:t>NICE NG146</w:t>
      </w:r>
    </w:p>
    <w:p w14:paraId="23B28C69" w14:textId="77777777" w:rsidR="007434A8" w:rsidRPr="008C5493" w:rsidRDefault="007434A8" w:rsidP="007434A8">
      <w:pPr>
        <w:pStyle w:val="Heading40"/>
      </w:pPr>
      <w:r w:rsidRPr="008C5493">
        <w:t>Recommendation 1.2.1</w:t>
      </w:r>
    </w:p>
    <w:p w14:paraId="13C15ECE" w14:textId="77777777" w:rsidR="007434A8" w:rsidRDefault="007434A8" w:rsidP="007434A8">
      <w:pPr>
        <w:pStyle w:val="Paragraph"/>
        <w:rPr>
          <w:highlight w:val="lightGray"/>
        </w:rPr>
      </w:pPr>
      <w:r w:rsidRPr="008C5493">
        <w:t>The statement of fitness for work ('fit note') should be completed by the medical practitioner with the most relevant recent knowledge of the person's health, reason for absence and prognosis for return to work. This may be a GP or secondary care specialist. [2019]</w:t>
      </w:r>
    </w:p>
    <w:p w14:paraId="6F227D9F" w14:textId="140D4769" w:rsidR="007434A8" w:rsidRDefault="007434A8" w:rsidP="007434A8">
      <w:pPr>
        <w:pStyle w:val="Heading40"/>
      </w:pPr>
      <w:r w:rsidRPr="007434A8">
        <w:t>Recommendation 1.2.</w:t>
      </w:r>
      <w:r>
        <w:t>4</w:t>
      </w:r>
    </w:p>
    <w:p w14:paraId="69452BBD" w14:textId="77777777" w:rsidR="007434A8" w:rsidRPr="007434D8" w:rsidRDefault="007434A8" w:rsidP="006E36AE">
      <w:pPr>
        <w:pStyle w:val="Paragraph"/>
      </w:pPr>
      <w:r w:rsidRPr="007434D8">
        <w:t>Take account of the fact that reasons for sickness absence can be complex. Encourage the person to:</w:t>
      </w:r>
    </w:p>
    <w:p w14:paraId="1DABD3D2" w14:textId="77777777" w:rsidR="007434A8" w:rsidRPr="007434D8" w:rsidRDefault="007434A8" w:rsidP="006E36AE">
      <w:pPr>
        <w:pStyle w:val="Paragraph"/>
        <w:numPr>
          <w:ilvl w:val="0"/>
          <w:numId w:val="28"/>
        </w:numPr>
      </w:pPr>
      <w:r w:rsidRPr="007434D8">
        <w:t>reflect on any factors in their work or personal life that may be contributing to their current absence or causing concern about returning to work and</w:t>
      </w:r>
    </w:p>
    <w:p w14:paraId="63E9D0D1" w14:textId="77777777" w:rsidR="007434A8" w:rsidRPr="007434D8" w:rsidRDefault="007434A8" w:rsidP="006E36AE">
      <w:pPr>
        <w:pStyle w:val="Paragraph"/>
        <w:numPr>
          <w:ilvl w:val="0"/>
          <w:numId w:val="28"/>
        </w:numPr>
      </w:pPr>
      <w:r w:rsidRPr="007434D8">
        <w:t>identify any additional support they might need. [2019]</w:t>
      </w:r>
    </w:p>
    <w:p w14:paraId="7C5EC353" w14:textId="193A376C" w:rsidR="007434A8" w:rsidRPr="008C5493" w:rsidRDefault="007434A8" w:rsidP="007434A8">
      <w:pPr>
        <w:pStyle w:val="Heading40"/>
      </w:pPr>
      <w:r w:rsidRPr="008C5493">
        <w:t>Recommendation 1.2.5</w:t>
      </w:r>
    </w:p>
    <w:p w14:paraId="4417546B" w14:textId="2D8BE4DD" w:rsidR="007434A8" w:rsidRDefault="007434A8" w:rsidP="007434D8">
      <w:pPr>
        <w:pStyle w:val="Paragraph"/>
      </w:pPr>
      <w:bookmarkStart w:id="39" w:name="_Hlk51077462"/>
      <w:r w:rsidRPr="008C5493">
        <w:t xml:space="preserve">Be aware </w:t>
      </w:r>
      <w:bookmarkEnd w:id="39"/>
      <w:r w:rsidRPr="008C5493">
        <w:t>that employers need information on how the employee's health condition or treatment could affect them on their return to work. Use the statement of fitness for work to provide sufficient information in clear, non</w:t>
      </w:r>
      <w:r w:rsidRPr="008C5493">
        <w:rPr>
          <w:rFonts w:ascii="Cambria Math" w:hAnsi="Cambria Math" w:cs="Cambria Math"/>
        </w:rPr>
        <w:t>‑</w:t>
      </w:r>
      <w:r w:rsidRPr="008C5493">
        <w:t>technical language. [2019]</w:t>
      </w:r>
    </w:p>
    <w:p w14:paraId="73D6A89C" w14:textId="2F434E15" w:rsidR="00BA01BE" w:rsidRDefault="00BA01BE" w:rsidP="006E36AE">
      <w:pPr>
        <w:pStyle w:val="Heading3"/>
        <w:rPr>
          <w:highlight w:val="cyan"/>
        </w:rPr>
      </w:pPr>
      <w:r w:rsidRPr="00BA01BE">
        <w:t>The role of employers</w:t>
      </w:r>
      <w:r w:rsidRPr="00BA01BE">
        <w:rPr>
          <w:highlight w:val="cyan"/>
        </w:rPr>
        <w:t xml:space="preserve"> </w:t>
      </w:r>
    </w:p>
    <w:p w14:paraId="4B37A3C9" w14:textId="77C29082" w:rsidR="00237E01" w:rsidRPr="00BA01BE" w:rsidRDefault="00237E01" w:rsidP="00F2333B">
      <w:pPr>
        <w:pStyle w:val="Heading40"/>
      </w:pPr>
      <w:r w:rsidRPr="00BA01BE">
        <w:t xml:space="preserve">NICE </w:t>
      </w:r>
      <w:r w:rsidR="00BA01BE" w:rsidRPr="00BA01BE">
        <w:t>NG146</w:t>
      </w:r>
    </w:p>
    <w:p w14:paraId="3093388D" w14:textId="6D4B816F" w:rsidR="0079479A" w:rsidRPr="008C5493" w:rsidRDefault="00237E01" w:rsidP="00F2333B">
      <w:pPr>
        <w:pStyle w:val="Heading40"/>
      </w:pPr>
      <w:r w:rsidRPr="008C5493">
        <w:t xml:space="preserve">Recommendation </w:t>
      </w:r>
      <w:r w:rsidR="00BA01BE" w:rsidRPr="008C5493">
        <w:t>1.3.1</w:t>
      </w:r>
      <w:r w:rsidR="0079479A" w:rsidRPr="008C5493">
        <w:t xml:space="preserve"> </w:t>
      </w:r>
    </w:p>
    <w:p w14:paraId="24F6E00F" w14:textId="4BD05851" w:rsidR="00BA01BE" w:rsidRDefault="00BA01BE" w:rsidP="00BA01BE">
      <w:pPr>
        <w:pStyle w:val="Paragraph"/>
      </w:pPr>
      <w:r>
        <w:t xml:space="preserve">When a statement of fitness for work ('fit note') is received indicating that someone is not fit for work, </w:t>
      </w:r>
      <w:proofErr w:type="gramStart"/>
      <w:r>
        <w:t>start</w:t>
      </w:r>
      <w:proofErr w:type="gramEnd"/>
      <w:r>
        <w:t xml:space="preserve"> and maintain a confidential record. This record should include:</w:t>
      </w:r>
    </w:p>
    <w:p w14:paraId="12BA0903" w14:textId="3B8DD926" w:rsidR="00BA01BE" w:rsidRPr="008C5493" w:rsidRDefault="00BA01BE" w:rsidP="008C5493">
      <w:pPr>
        <w:pStyle w:val="Paragraph"/>
        <w:numPr>
          <w:ilvl w:val="0"/>
          <w:numId w:val="28"/>
        </w:numPr>
      </w:pPr>
      <w:r w:rsidRPr="008C5493">
        <w:t>the reason for absence, the anticipated length of absence and any recurrence of absence for the same reason and</w:t>
      </w:r>
    </w:p>
    <w:p w14:paraId="26BC25EB" w14:textId="07AAB928" w:rsidR="00BA01BE" w:rsidRPr="008C5493" w:rsidRDefault="00BA01BE" w:rsidP="008C5493">
      <w:pPr>
        <w:pStyle w:val="Paragraph"/>
        <w:numPr>
          <w:ilvl w:val="0"/>
          <w:numId w:val="28"/>
        </w:numPr>
      </w:pPr>
      <w:r w:rsidRPr="008C5493">
        <w:t>any comments from the medical practitioner about how the person's condition or treatment affects their capacity for work.</w:t>
      </w:r>
    </w:p>
    <w:p w14:paraId="3B0B48BF" w14:textId="1B076E22" w:rsidR="00BA01BE" w:rsidRPr="008C5493" w:rsidRDefault="00BA01BE" w:rsidP="008C5493">
      <w:pPr>
        <w:pStyle w:val="Paragraph"/>
        <w:numPr>
          <w:ilvl w:val="0"/>
          <w:numId w:val="28"/>
        </w:numPr>
      </w:pPr>
      <w:r w:rsidRPr="008C5493">
        <w:t>(Also see the section on keeping in touch with people on sickness absence). [2019]</w:t>
      </w:r>
    </w:p>
    <w:p w14:paraId="4592DBAD" w14:textId="18256C25" w:rsidR="00BA01BE" w:rsidRPr="008C5493" w:rsidRDefault="00BA01BE" w:rsidP="00BA01BE">
      <w:pPr>
        <w:pStyle w:val="Heading40"/>
      </w:pPr>
      <w:r w:rsidRPr="008C5493">
        <w:t xml:space="preserve">Recommendation 1.3.2 </w:t>
      </w:r>
    </w:p>
    <w:p w14:paraId="227A67CC" w14:textId="327F2401" w:rsidR="00BA01BE" w:rsidRDefault="00BA01BE" w:rsidP="00BA01BE">
      <w:pPr>
        <w:pStyle w:val="Paragraph"/>
      </w:pPr>
      <w:r>
        <w:lastRenderedPageBreak/>
        <w:t>To support the person who is currently not fit for work and plan for their return to the workplace, consider:</w:t>
      </w:r>
    </w:p>
    <w:p w14:paraId="3407C512" w14:textId="602CD1F2" w:rsidR="00BA01BE" w:rsidRPr="008C5493" w:rsidRDefault="00BA01BE" w:rsidP="008C5493">
      <w:pPr>
        <w:pStyle w:val="Paragraph"/>
        <w:numPr>
          <w:ilvl w:val="0"/>
          <w:numId w:val="27"/>
        </w:numPr>
      </w:pPr>
      <w:proofErr w:type="gramStart"/>
      <w:r w:rsidRPr="008C5493">
        <w:t>taking into account</w:t>
      </w:r>
      <w:proofErr w:type="gramEnd"/>
      <w:r w:rsidRPr="008C5493">
        <w:t xml:space="preserve"> any additional information provided (for example from an allied health professional's health and work report) about how their condition may affect their ability to do their role</w:t>
      </w:r>
    </w:p>
    <w:p w14:paraId="516154E8" w14:textId="5B2C757A" w:rsidR="00BA01BE" w:rsidRPr="008C5493" w:rsidRDefault="00BA01BE" w:rsidP="008C5493">
      <w:pPr>
        <w:pStyle w:val="Paragraph"/>
        <w:numPr>
          <w:ilvl w:val="0"/>
          <w:numId w:val="27"/>
        </w:numPr>
      </w:pPr>
      <w:r w:rsidRPr="008C5493">
        <w:t>seeking information and advice on what support they might need, such as from an occupational health service or from other possible expert sources of vocational advice and support relevant to their condition (this may include online resources, or telephone advice from external bodies)</w:t>
      </w:r>
    </w:p>
    <w:p w14:paraId="5C6ECC93" w14:textId="1E03365A" w:rsidR="00BA01BE" w:rsidRPr="008C5493" w:rsidRDefault="00BA01BE" w:rsidP="008C5493">
      <w:pPr>
        <w:pStyle w:val="Paragraph"/>
        <w:numPr>
          <w:ilvl w:val="0"/>
          <w:numId w:val="27"/>
        </w:numPr>
      </w:pPr>
      <w:r w:rsidRPr="008C5493">
        <w:t>discussing with them what adjustments or other support might be needed if any ongoing health needs are anticipated for when they return to work; if adjustments need approval, discuss these with decision makers to gain sign-off. [2019]</w:t>
      </w:r>
    </w:p>
    <w:p w14:paraId="2864EC38" w14:textId="51B7A8CF" w:rsidR="00BA01BE" w:rsidRPr="00BA01BE" w:rsidRDefault="00BA01BE" w:rsidP="00BA01BE">
      <w:pPr>
        <w:pStyle w:val="Heading40"/>
      </w:pPr>
      <w:r w:rsidRPr="00BA01BE">
        <w:t xml:space="preserve">Recommendation 1.3.3 </w:t>
      </w:r>
    </w:p>
    <w:p w14:paraId="50359436" w14:textId="674DF621" w:rsidR="00BA01BE" w:rsidRPr="008C5493" w:rsidRDefault="00BA01BE" w:rsidP="00BA01BE">
      <w:pPr>
        <w:pStyle w:val="Paragraph"/>
      </w:pPr>
      <w:r w:rsidRPr="008C5493">
        <w:t>When a statement of fitness for work indicates that a person may be fit for work, contact them as soon as possible:</w:t>
      </w:r>
    </w:p>
    <w:p w14:paraId="00F4E544" w14:textId="686AE131" w:rsidR="00BA01BE" w:rsidRPr="008C5493" w:rsidRDefault="00BA01BE" w:rsidP="00BA01BE">
      <w:pPr>
        <w:pStyle w:val="Paragraph"/>
        <w:numPr>
          <w:ilvl w:val="0"/>
          <w:numId w:val="26"/>
        </w:numPr>
      </w:pPr>
      <w:r w:rsidRPr="008C5493">
        <w:t>Discuss what adjustments (such as flexible working, phased return, reduced hours, changes to workstations or duties) might help them return to work. Use any recommendations in the statement of fitness for work as a starting point.</w:t>
      </w:r>
    </w:p>
    <w:p w14:paraId="42B1BF12" w14:textId="6D837D4D" w:rsidR="00BA01BE" w:rsidRPr="008C5493" w:rsidRDefault="00BA01BE" w:rsidP="00BA01BE">
      <w:pPr>
        <w:pStyle w:val="Paragraph"/>
        <w:numPr>
          <w:ilvl w:val="0"/>
          <w:numId w:val="26"/>
        </w:numPr>
      </w:pPr>
      <w:r w:rsidRPr="008C5493">
        <w:t>Involve the employee and line managers in these discussions initially, and occupational health services if needed.</w:t>
      </w:r>
    </w:p>
    <w:p w14:paraId="14DFE8B2" w14:textId="37FBF2E7" w:rsidR="00BA01BE" w:rsidRPr="008C5493" w:rsidRDefault="00BA01BE" w:rsidP="00BA01BE">
      <w:pPr>
        <w:pStyle w:val="Paragraph"/>
        <w:numPr>
          <w:ilvl w:val="0"/>
          <w:numId w:val="26"/>
        </w:numPr>
      </w:pPr>
      <w:r w:rsidRPr="008C5493">
        <w:t>Human resources, trade unions or occupational health services (if not already participating) may also be involved, especially if the circumstances or adjustments are more complex. [2019]</w:t>
      </w:r>
    </w:p>
    <w:p w14:paraId="1AFAC978" w14:textId="05357E94" w:rsidR="00BA01BE" w:rsidRPr="00BA01BE" w:rsidRDefault="00BA01BE" w:rsidP="00BA01BE">
      <w:pPr>
        <w:pStyle w:val="Heading40"/>
      </w:pPr>
      <w:r w:rsidRPr="00BA01BE">
        <w:t xml:space="preserve">Recommendation 1.3.5 </w:t>
      </w:r>
    </w:p>
    <w:p w14:paraId="4EA0420D" w14:textId="431F4B7A" w:rsidR="00BA01BE" w:rsidRDefault="00BA01BE" w:rsidP="00BA01BE">
      <w:pPr>
        <w:pStyle w:val="Paragraph"/>
      </w:pPr>
      <w:r>
        <w:t>If a person may be fit to return to work with adjustments but those adjustments cannot be made, the person should continue to be treated as 'not fit for work', in line with the Department for Work and Pensions' guidance for employers. In such cases:</w:t>
      </w:r>
    </w:p>
    <w:p w14:paraId="6E18BFCF" w14:textId="35E23BDD" w:rsidR="00BA01BE" w:rsidRPr="00BA01BE" w:rsidRDefault="00BA01BE" w:rsidP="00BA01BE">
      <w:pPr>
        <w:pStyle w:val="Paragraph"/>
        <w:numPr>
          <w:ilvl w:val="0"/>
          <w:numId w:val="25"/>
        </w:numPr>
      </w:pPr>
      <w:r w:rsidRPr="00BA01BE">
        <w:t>Advise the person that they should return to work only when they have sufficiently recovered and are able to perform their regular duties.</w:t>
      </w:r>
    </w:p>
    <w:p w14:paraId="03B86989" w14:textId="46834B08" w:rsidR="00BA01BE" w:rsidRPr="00BA01BE" w:rsidRDefault="00BA01BE" w:rsidP="00BA01BE">
      <w:pPr>
        <w:pStyle w:val="Paragraph"/>
        <w:numPr>
          <w:ilvl w:val="0"/>
          <w:numId w:val="25"/>
        </w:numPr>
      </w:pPr>
      <w:r w:rsidRPr="00BA01BE">
        <w:t xml:space="preserve">Discuss and jointly agree a plan for keeping in touch during their extended absence. Discuss any actions that may support them in making a full recovery and returning to their regular </w:t>
      </w:r>
      <w:proofErr w:type="gramStart"/>
      <w:r w:rsidRPr="00BA01BE">
        <w:t>duties, and</w:t>
      </w:r>
      <w:proofErr w:type="gramEnd"/>
      <w:r w:rsidRPr="00BA01BE">
        <w:t xml:space="preserve"> agree to regularly review these (see the section on early intervention). [2019]</w:t>
      </w:r>
    </w:p>
    <w:p w14:paraId="0759626C" w14:textId="62EA6E0F" w:rsidR="00CE4759" w:rsidRDefault="004510E0" w:rsidP="00CE4759">
      <w:pPr>
        <w:pStyle w:val="Numberedheading3"/>
      </w:pPr>
      <w:r>
        <w:lastRenderedPageBreak/>
        <w:t>Current UK practice</w:t>
      </w:r>
    </w:p>
    <w:p w14:paraId="1EA324D3" w14:textId="7A88C446" w:rsidR="00660953" w:rsidRDefault="00915A55">
      <w:pPr>
        <w:pStyle w:val="Paragraph"/>
      </w:pPr>
      <w:r w:rsidRPr="00915A55">
        <w:t>No published studies on current practice were highlighted for th</w:t>
      </w:r>
      <w:r w:rsidR="00FD795B">
        <w:t>e</w:t>
      </w:r>
      <w:r w:rsidRPr="00915A55">
        <w:t xml:space="preserve"> suggested area</w:t>
      </w:r>
      <w:r w:rsidR="00FD795B">
        <w:t>s</w:t>
      </w:r>
      <w:r w:rsidRPr="00915A55">
        <w:t xml:space="preserve"> for quality improvement; th</w:t>
      </w:r>
      <w:r w:rsidR="00FD795B">
        <w:t>ese</w:t>
      </w:r>
      <w:r w:rsidRPr="00915A55">
        <w:t xml:space="preserve"> area</w:t>
      </w:r>
      <w:r w:rsidR="00FD795B">
        <w:t>s</w:t>
      </w:r>
      <w:r w:rsidRPr="00915A55">
        <w:t xml:space="preserve"> </w:t>
      </w:r>
      <w:r w:rsidR="00FD795B">
        <w:t>are</w:t>
      </w:r>
      <w:r w:rsidRPr="00915A55">
        <w:t xml:space="preserve"> based on stakeholder’s knowledge and experience.</w:t>
      </w:r>
    </w:p>
    <w:p w14:paraId="26ADEDED" w14:textId="77777777" w:rsidR="00F87339" w:rsidRPr="00F87339" w:rsidRDefault="00F87339" w:rsidP="00F87339">
      <w:pPr>
        <w:keepNext/>
        <w:spacing w:before="240" w:after="60"/>
        <w:outlineLvl w:val="2"/>
        <w:rPr>
          <w:rFonts w:ascii="Arial" w:hAnsi="Arial"/>
          <w:b/>
          <w:bCs/>
          <w:szCs w:val="26"/>
        </w:rPr>
      </w:pPr>
      <w:r w:rsidRPr="00F87339">
        <w:rPr>
          <w:rFonts w:ascii="Arial" w:hAnsi="Arial"/>
          <w:b/>
          <w:bCs/>
          <w:szCs w:val="26"/>
        </w:rPr>
        <w:t>Committee discussion</w:t>
      </w:r>
    </w:p>
    <w:tbl>
      <w:tblPr>
        <w:tblStyle w:val="TableGridLight"/>
        <w:tblW w:w="0" w:type="auto"/>
        <w:tblLook w:val="04A0" w:firstRow="1" w:lastRow="0" w:firstColumn="1" w:lastColumn="0" w:noHBand="0" w:noVBand="1"/>
      </w:tblPr>
      <w:tblGrid>
        <w:gridCol w:w="9016"/>
      </w:tblGrid>
      <w:tr w:rsidR="00F87339" w:rsidRPr="00F87339" w14:paraId="40444773" w14:textId="77777777" w:rsidTr="007434D8">
        <w:trPr>
          <w:trHeight w:val="434"/>
        </w:trPr>
        <w:tc>
          <w:tcPr>
            <w:tcW w:w="9016" w:type="dxa"/>
            <w:shd w:val="clear" w:color="auto" w:fill="7F7F7F" w:themeFill="text1" w:themeFillTint="80"/>
          </w:tcPr>
          <w:p w14:paraId="798D640D" w14:textId="77777777" w:rsidR="00F87339" w:rsidRPr="00F87339" w:rsidRDefault="00F87339" w:rsidP="00F87339">
            <w:pPr>
              <w:keepNext/>
              <w:rPr>
                <w:rFonts w:ascii="Arial" w:hAnsi="Arial"/>
                <w:b/>
                <w:sz w:val="22"/>
              </w:rPr>
            </w:pPr>
            <w:r w:rsidRPr="00F87339">
              <w:rPr>
                <w:rFonts w:ascii="Arial" w:hAnsi="Arial"/>
                <w:b/>
                <w:sz w:val="22"/>
              </w:rPr>
              <w:t xml:space="preserve">For discussion </w:t>
            </w:r>
          </w:p>
        </w:tc>
      </w:tr>
      <w:tr w:rsidR="00F87339" w:rsidRPr="00F87339" w14:paraId="6ACB2D7F" w14:textId="77777777" w:rsidTr="007434D8">
        <w:trPr>
          <w:trHeight w:val="265"/>
        </w:trPr>
        <w:tc>
          <w:tcPr>
            <w:tcW w:w="9016" w:type="dxa"/>
            <w:shd w:val="clear" w:color="auto" w:fill="F2F2F2" w:themeFill="background1" w:themeFillShade="F2"/>
          </w:tcPr>
          <w:p w14:paraId="1675E304" w14:textId="77777777" w:rsidR="00F87339" w:rsidRPr="00F87339" w:rsidRDefault="00F87339" w:rsidP="00F87339">
            <w:pPr>
              <w:numPr>
                <w:ilvl w:val="0"/>
                <w:numId w:val="1"/>
              </w:numPr>
              <w:tabs>
                <w:tab w:val="left" w:pos="284"/>
              </w:tabs>
              <w:rPr>
                <w:rFonts w:ascii="Arial" w:hAnsi="Arial"/>
                <w:sz w:val="22"/>
                <w:szCs w:val="22"/>
              </w:rPr>
            </w:pPr>
            <w:r w:rsidRPr="00F87339">
              <w:rPr>
                <w:rFonts w:ascii="Arial" w:hAnsi="Arial"/>
                <w:sz w:val="22"/>
                <w:szCs w:val="22"/>
              </w:rPr>
              <w:t>What is the priority for improvement?</w:t>
            </w:r>
          </w:p>
          <w:p w14:paraId="4392DAEF" w14:textId="77777777" w:rsidR="00F87339" w:rsidRPr="00F87339" w:rsidRDefault="00F87339" w:rsidP="00F87339">
            <w:pPr>
              <w:numPr>
                <w:ilvl w:val="0"/>
                <w:numId w:val="1"/>
              </w:numPr>
              <w:tabs>
                <w:tab w:val="left" w:pos="284"/>
              </w:tabs>
              <w:rPr>
                <w:rFonts w:ascii="Arial" w:hAnsi="Arial"/>
                <w:sz w:val="22"/>
                <w:szCs w:val="22"/>
              </w:rPr>
            </w:pPr>
            <w:r w:rsidRPr="00F87339">
              <w:rPr>
                <w:rFonts w:ascii="Arial" w:hAnsi="Arial"/>
                <w:sz w:val="22"/>
                <w:szCs w:val="22"/>
              </w:rPr>
              <w:t>What is the key action that will lead to improvement?</w:t>
            </w:r>
          </w:p>
          <w:p w14:paraId="73E5CB6D" w14:textId="77777777" w:rsidR="00F87339" w:rsidRPr="00F87339" w:rsidRDefault="00F87339" w:rsidP="00F87339">
            <w:pPr>
              <w:numPr>
                <w:ilvl w:val="0"/>
                <w:numId w:val="1"/>
              </w:numPr>
              <w:tabs>
                <w:tab w:val="left" w:pos="284"/>
              </w:tabs>
              <w:rPr>
                <w:rFonts w:ascii="Arial" w:hAnsi="Arial"/>
                <w:sz w:val="22"/>
                <w:szCs w:val="22"/>
              </w:rPr>
            </w:pPr>
            <w:r w:rsidRPr="00F87339">
              <w:rPr>
                <w:rFonts w:ascii="Arial" w:hAnsi="Arial"/>
                <w:sz w:val="22"/>
                <w:szCs w:val="22"/>
              </w:rPr>
              <w:t>Could we focus on a specific audience or setting?</w:t>
            </w:r>
          </w:p>
          <w:p w14:paraId="51BA152D" w14:textId="77777777" w:rsidR="00F87339" w:rsidRPr="00F87339" w:rsidRDefault="00F87339" w:rsidP="00F87339">
            <w:pPr>
              <w:numPr>
                <w:ilvl w:val="0"/>
                <w:numId w:val="1"/>
              </w:numPr>
              <w:tabs>
                <w:tab w:val="left" w:pos="284"/>
              </w:tabs>
              <w:rPr>
                <w:rFonts w:ascii="Arial" w:hAnsi="Arial"/>
                <w:sz w:val="22"/>
                <w:szCs w:val="22"/>
              </w:rPr>
            </w:pPr>
            <w:r w:rsidRPr="00F87339">
              <w:rPr>
                <w:rFonts w:ascii="Arial" w:hAnsi="Arial"/>
                <w:sz w:val="22"/>
                <w:szCs w:val="22"/>
              </w:rPr>
              <w:t>Can we develop a specific, measurable statement?</w:t>
            </w:r>
          </w:p>
        </w:tc>
      </w:tr>
      <w:tr w:rsidR="00F87339" w:rsidRPr="00F87339" w14:paraId="10E7B9A7" w14:textId="77777777" w:rsidTr="007434D8">
        <w:trPr>
          <w:trHeight w:val="265"/>
        </w:trPr>
        <w:tc>
          <w:tcPr>
            <w:tcW w:w="9016" w:type="dxa"/>
            <w:shd w:val="clear" w:color="auto" w:fill="7F7F7F" w:themeFill="text1" w:themeFillTint="80"/>
          </w:tcPr>
          <w:p w14:paraId="0F9D4C4A" w14:textId="77777777" w:rsidR="00F87339" w:rsidRPr="00F87339" w:rsidRDefault="00F87339" w:rsidP="00F87339">
            <w:pPr>
              <w:keepNext/>
              <w:rPr>
                <w:rFonts w:ascii="Arial" w:hAnsi="Arial"/>
                <w:b/>
                <w:sz w:val="22"/>
              </w:rPr>
            </w:pPr>
            <w:r w:rsidRPr="00F87339">
              <w:rPr>
                <w:rFonts w:ascii="Arial" w:hAnsi="Arial"/>
                <w:b/>
                <w:sz w:val="22"/>
              </w:rPr>
              <w:t>For decision</w:t>
            </w:r>
          </w:p>
          <w:p w14:paraId="20845CC5" w14:textId="77777777" w:rsidR="00F87339" w:rsidRPr="00F87339" w:rsidRDefault="00F87339" w:rsidP="00F87339"/>
        </w:tc>
      </w:tr>
      <w:tr w:rsidR="00F87339" w:rsidRPr="00F87339" w14:paraId="3AAF3494" w14:textId="77777777" w:rsidTr="007434D8">
        <w:trPr>
          <w:trHeight w:val="265"/>
        </w:trPr>
        <w:tc>
          <w:tcPr>
            <w:tcW w:w="9016" w:type="dxa"/>
            <w:shd w:val="clear" w:color="auto" w:fill="F2F2F2" w:themeFill="background1" w:themeFillShade="F2"/>
          </w:tcPr>
          <w:p w14:paraId="24C9E51B" w14:textId="77777777" w:rsidR="00F87339" w:rsidRPr="00F87339" w:rsidRDefault="00F87339" w:rsidP="00F87339">
            <w:pPr>
              <w:numPr>
                <w:ilvl w:val="0"/>
                <w:numId w:val="1"/>
              </w:numPr>
              <w:tabs>
                <w:tab w:val="left" w:pos="284"/>
              </w:tabs>
              <w:rPr>
                <w:rFonts w:ascii="Arial" w:hAnsi="Arial"/>
                <w:sz w:val="22"/>
                <w:szCs w:val="22"/>
              </w:rPr>
            </w:pPr>
            <w:r w:rsidRPr="00F87339">
              <w:rPr>
                <w:rFonts w:ascii="Arial" w:hAnsi="Arial"/>
                <w:sz w:val="22"/>
                <w:szCs w:val="22"/>
              </w:rPr>
              <w:t>Should this area be prioritised for inclusion in the quality standard?</w:t>
            </w:r>
          </w:p>
          <w:p w14:paraId="70670171" w14:textId="77777777" w:rsidR="00F87339" w:rsidRPr="00F87339" w:rsidRDefault="00F87339" w:rsidP="00F87339">
            <w:pPr>
              <w:tabs>
                <w:tab w:val="left" w:pos="284"/>
              </w:tabs>
              <w:ind w:left="284"/>
              <w:rPr>
                <w:rFonts w:ascii="Arial" w:hAnsi="Arial"/>
                <w:sz w:val="22"/>
                <w:szCs w:val="22"/>
              </w:rPr>
            </w:pPr>
          </w:p>
        </w:tc>
      </w:tr>
    </w:tbl>
    <w:p w14:paraId="28F6AB15" w14:textId="77777777" w:rsidR="00F87339" w:rsidRDefault="00F87339" w:rsidP="00CE4759">
      <w:pPr>
        <w:pStyle w:val="Paragraph"/>
      </w:pPr>
    </w:p>
    <w:p w14:paraId="40A0CB88" w14:textId="2E1E7EA5" w:rsidR="0034530F" w:rsidRDefault="0034530F">
      <w:pPr>
        <w:rPr>
          <w:rFonts w:ascii="Arial" w:hAnsi="Arial"/>
        </w:rPr>
      </w:pPr>
      <w:r>
        <w:br w:type="page"/>
      </w:r>
    </w:p>
    <w:p w14:paraId="3C221EDE" w14:textId="5B7E0407" w:rsidR="0034530F" w:rsidRPr="00433117" w:rsidRDefault="008854A7" w:rsidP="0034530F">
      <w:pPr>
        <w:pStyle w:val="Numberedheading2"/>
      </w:pPr>
      <w:r>
        <w:lastRenderedPageBreak/>
        <w:t xml:space="preserve">Support during </w:t>
      </w:r>
      <w:r w:rsidR="00254113">
        <w:t>l</w:t>
      </w:r>
      <w:r>
        <w:t>ong</w:t>
      </w:r>
      <w:r w:rsidR="00254113">
        <w:t>-t</w:t>
      </w:r>
      <w:r>
        <w:t xml:space="preserve">erm </w:t>
      </w:r>
      <w:r w:rsidR="00254113">
        <w:t>s</w:t>
      </w:r>
      <w:r>
        <w:t>ickness</w:t>
      </w:r>
      <w:r w:rsidR="00254113">
        <w:t xml:space="preserve"> absence</w:t>
      </w:r>
    </w:p>
    <w:p w14:paraId="0407016B" w14:textId="77777777" w:rsidR="0034530F" w:rsidRDefault="0034530F" w:rsidP="0034530F">
      <w:pPr>
        <w:pStyle w:val="Numberedheading3"/>
      </w:pPr>
      <w:r>
        <w:t>Summary of suggestions</w:t>
      </w:r>
    </w:p>
    <w:p w14:paraId="2E1B0EAA" w14:textId="774ABF32" w:rsidR="002146D9" w:rsidRPr="001937B1" w:rsidRDefault="00B703D8" w:rsidP="007434D8">
      <w:pPr>
        <w:pStyle w:val="Heading40"/>
      </w:pPr>
      <w:r>
        <w:t>Communication</w:t>
      </w:r>
    </w:p>
    <w:p w14:paraId="5F0E61A7" w14:textId="4A6B7C7E" w:rsidR="002146D9" w:rsidRDefault="00B703D8" w:rsidP="002146D9">
      <w:pPr>
        <w:pStyle w:val="Paragraph"/>
      </w:pPr>
      <w:r w:rsidRPr="00B703D8">
        <w:t>Stakeholders highlighted the role of employers and managers in communicating about health needs of employees related to sickness absence. They noted the need for meaningful discussion, communication to resolve job insecurities while absent</w:t>
      </w:r>
      <w:r w:rsidR="00C22E9B">
        <w:t xml:space="preserve"> and</w:t>
      </w:r>
      <w:r w:rsidRPr="00B703D8">
        <w:t xml:space="preserve"> for managers to be competent in undertaking discussion</w:t>
      </w:r>
      <w:r w:rsidR="001C4B9B">
        <w:t>.</w:t>
      </w:r>
    </w:p>
    <w:p w14:paraId="00B1CD24" w14:textId="13C7FD0C" w:rsidR="00B703D8" w:rsidRDefault="00B703D8" w:rsidP="002146D9">
      <w:pPr>
        <w:pStyle w:val="Paragraph"/>
      </w:pPr>
      <w:r w:rsidRPr="00B703D8">
        <w:t>Stakeholders highlighted the need for clear communication between support services and between employers and support services. They suggested joined up approaches to workplace health that employers should have a central role in, including sourcing support, as well as the need for high quality information to be exchanged.</w:t>
      </w:r>
    </w:p>
    <w:p w14:paraId="77C26140" w14:textId="4754CA03" w:rsidR="009B1436" w:rsidRDefault="009B1436" w:rsidP="007434D8">
      <w:pPr>
        <w:pStyle w:val="Heading40"/>
      </w:pPr>
      <w:r>
        <w:t>Occupational health services</w:t>
      </w:r>
    </w:p>
    <w:p w14:paraId="023CA03E" w14:textId="65696D20" w:rsidR="009B1436" w:rsidRPr="001937B1" w:rsidRDefault="009B1436" w:rsidP="002146D9">
      <w:pPr>
        <w:pStyle w:val="Paragraph"/>
      </w:pPr>
      <w:r>
        <w:t>Stakeholders highlighted the need for and importance of access to occupational health services while employees are on long term sickness absence, particularly those with long term health conditions. They felt that access should be through GPs as well as employers, should not have a negative financial impact on the employee, and that referral could be done through the fit note.</w:t>
      </w:r>
    </w:p>
    <w:p w14:paraId="333AC59F" w14:textId="77777777" w:rsidR="0034530F" w:rsidRPr="007B1C0E" w:rsidRDefault="0034530F" w:rsidP="0034530F">
      <w:pPr>
        <w:pStyle w:val="Numberedheading3"/>
      </w:pPr>
      <w:r>
        <w:t>S</w:t>
      </w:r>
      <w:r w:rsidRPr="00CD3D03">
        <w:t>elected recommendations from development source</w:t>
      </w:r>
    </w:p>
    <w:p w14:paraId="70BC31B6" w14:textId="7DE9CF3F" w:rsidR="0034530F" w:rsidRPr="00913701" w:rsidRDefault="0034530F" w:rsidP="0034530F">
      <w:pPr>
        <w:pStyle w:val="Paragraph"/>
      </w:pPr>
      <w:r>
        <w:t xml:space="preserve">Table </w:t>
      </w:r>
      <w:r w:rsidR="00012446">
        <w:t>4</w:t>
      </w:r>
      <w:r>
        <w:t xml:space="preserve"> below highlights </w:t>
      </w:r>
      <w:r w:rsidRPr="00913701">
        <w:t xml:space="preserve">recommendations that have been provisionally selected from the development </w:t>
      </w:r>
      <w:r w:rsidRPr="00F2333B">
        <w:t>source</w:t>
      </w:r>
      <w:r>
        <w:t>/sources</w:t>
      </w:r>
      <w:r w:rsidRPr="00913701">
        <w:t xml:space="preserve"> </w:t>
      </w:r>
      <w:r>
        <w:t>that may</w:t>
      </w:r>
      <w:r w:rsidRPr="00913701">
        <w:t xml:space="preserve"> support potential statement development.</w:t>
      </w:r>
      <w:r>
        <w:t xml:space="preserve"> These are presented in full after table </w:t>
      </w:r>
      <w:r w:rsidR="00012446">
        <w:t>4</w:t>
      </w:r>
      <w:r>
        <w:t xml:space="preserve"> to help inform the committee’s discussion.</w:t>
      </w:r>
    </w:p>
    <w:p w14:paraId="7ECC01DC" w14:textId="0DC0A631" w:rsidR="0034530F" w:rsidRPr="00F45FBA" w:rsidRDefault="0034530F" w:rsidP="0034530F">
      <w:pPr>
        <w:pStyle w:val="Heading3"/>
      </w:pPr>
      <w:r>
        <w:t xml:space="preserve">Table </w:t>
      </w:r>
      <w:r w:rsidR="00012446">
        <w:t>4</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34530F" w:rsidRPr="00FD3FF6" w14:paraId="5FF260AF" w14:textId="77777777" w:rsidTr="0034530F">
        <w:trPr>
          <w:trHeight w:val="321"/>
        </w:trPr>
        <w:tc>
          <w:tcPr>
            <w:tcW w:w="4113" w:type="dxa"/>
            <w:shd w:val="clear" w:color="auto" w:fill="auto"/>
            <w:hideMark/>
          </w:tcPr>
          <w:p w14:paraId="737040BE" w14:textId="77777777" w:rsidR="0034530F" w:rsidRPr="009C32E3" w:rsidRDefault="0034530F" w:rsidP="0034530F">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14:paraId="3470A18D" w14:textId="77777777" w:rsidR="0034530F" w:rsidRPr="009C32E3" w:rsidRDefault="0034530F" w:rsidP="0034530F">
            <w:pPr>
              <w:pStyle w:val="Tabletitle"/>
              <w:rPr>
                <w:highlight w:val="lightGray"/>
              </w:rPr>
            </w:pPr>
            <w:r w:rsidRPr="00F2333B">
              <w:t>Selected source guidance recommendations</w:t>
            </w:r>
          </w:p>
        </w:tc>
      </w:tr>
      <w:tr w:rsidR="0034530F" w:rsidRPr="005E5E3B" w14:paraId="53E454B9" w14:textId="77777777" w:rsidTr="0034530F">
        <w:trPr>
          <w:trHeight w:val="996"/>
        </w:trPr>
        <w:tc>
          <w:tcPr>
            <w:tcW w:w="4113" w:type="dxa"/>
            <w:shd w:val="clear" w:color="auto" w:fill="auto"/>
          </w:tcPr>
          <w:p w14:paraId="7073F7D5" w14:textId="12159543" w:rsidR="0034530F" w:rsidRPr="0021273B" w:rsidRDefault="00B703D8" w:rsidP="0034530F">
            <w:pPr>
              <w:pStyle w:val="Tabletext"/>
            </w:pPr>
            <w:r>
              <w:t>Communication</w:t>
            </w:r>
          </w:p>
        </w:tc>
        <w:tc>
          <w:tcPr>
            <w:tcW w:w="4395" w:type="dxa"/>
            <w:shd w:val="clear" w:color="auto" w:fill="auto"/>
          </w:tcPr>
          <w:p w14:paraId="2BF7938D" w14:textId="33A6CDB4" w:rsidR="0034530F" w:rsidRPr="00DD0BD8" w:rsidRDefault="0034530F" w:rsidP="0034530F">
            <w:pPr>
              <w:pStyle w:val="Tabletext"/>
              <w:rPr>
                <w:highlight w:val="lightGray"/>
              </w:rPr>
            </w:pPr>
            <w:r w:rsidRPr="00671470">
              <w:t>NICE NG</w:t>
            </w:r>
            <w:r w:rsidR="00671470" w:rsidRPr="00671470">
              <w:t>146</w:t>
            </w:r>
            <w:r w:rsidRPr="00671470">
              <w:t xml:space="preserve"> Recommendations</w:t>
            </w:r>
            <w:r w:rsidR="00B703D8">
              <w:t xml:space="preserve"> 1.2.2, 1.2.5, 1.3.2, 1.5.1, 1.5.2, 1.5.3, 1.5.4</w:t>
            </w:r>
          </w:p>
        </w:tc>
      </w:tr>
      <w:tr w:rsidR="009B1436" w:rsidRPr="005E5E3B" w14:paraId="1D86F78B" w14:textId="77777777" w:rsidTr="0034530F">
        <w:trPr>
          <w:trHeight w:val="996"/>
        </w:trPr>
        <w:tc>
          <w:tcPr>
            <w:tcW w:w="4113" w:type="dxa"/>
            <w:shd w:val="clear" w:color="auto" w:fill="auto"/>
          </w:tcPr>
          <w:p w14:paraId="7D5F2E4D" w14:textId="3847BBA6" w:rsidR="009B1436" w:rsidRDefault="009B1436" w:rsidP="0034530F">
            <w:pPr>
              <w:pStyle w:val="Tabletext"/>
            </w:pPr>
            <w:r>
              <w:t>Occupational health services</w:t>
            </w:r>
          </w:p>
        </w:tc>
        <w:tc>
          <w:tcPr>
            <w:tcW w:w="4395" w:type="dxa"/>
            <w:shd w:val="clear" w:color="auto" w:fill="auto"/>
          </w:tcPr>
          <w:p w14:paraId="47803BE7" w14:textId="2A317057" w:rsidR="009B1436" w:rsidRPr="00671470" w:rsidRDefault="002437B2" w:rsidP="0034530F">
            <w:pPr>
              <w:pStyle w:val="Tabletext"/>
            </w:pPr>
            <w:r w:rsidRPr="002437B2">
              <w:t>NICE NG146 Recommendations 1.2.</w:t>
            </w:r>
            <w:r>
              <w:t>3, 1.3.3, 1.5.3, 1.6.3, 1.6.4</w:t>
            </w:r>
            <w:r w:rsidR="00950176">
              <w:t xml:space="preserve"> and</w:t>
            </w:r>
            <w:r>
              <w:t xml:space="preserve"> 1.7.1</w:t>
            </w:r>
          </w:p>
        </w:tc>
      </w:tr>
    </w:tbl>
    <w:p w14:paraId="106DD94D" w14:textId="77777777" w:rsidR="00636595" w:rsidRPr="00636595" w:rsidRDefault="00636595" w:rsidP="00636595">
      <w:bookmarkStart w:id="40" w:name="_Hlk51140848"/>
      <w:bookmarkStart w:id="41" w:name="_Hlk51141570"/>
    </w:p>
    <w:p w14:paraId="724C1900" w14:textId="77777777" w:rsidR="00636595" w:rsidRDefault="00636595">
      <w:pPr>
        <w:rPr>
          <w:rFonts w:ascii="Arial" w:hAnsi="Arial"/>
          <w:b/>
          <w:bCs/>
          <w:szCs w:val="26"/>
        </w:rPr>
      </w:pPr>
      <w:r>
        <w:br w:type="page"/>
      </w:r>
    </w:p>
    <w:p w14:paraId="2F69EDF3" w14:textId="6136118C" w:rsidR="0034530F" w:rsidRPr="009F3D9C" w:rsidRDefault="00B703D8" w:rsidP="0034530F">
      <w:pPr>
        <w:pStyle w:val="Heading3"/>
        <w:rPr>
          <w:highlight w:val="cyan"/>
        </w:rPr>
      </w:pPr>
      <w:r>
        <w:lastRenderedPageBreak/>
        <w:t>Communication</w:t>
      </w:r>
    </w:p>
    <w:bookmarkEnd w:id="40"/>
    <w:p w14:paraId="0DDA625D" w14:textId="7D901FE0" w:rsidR="0034530F" w:rsidRPr="00CA5CF7" w:rsidRDefault="0034530F" w:rsidP="0034530F">
      <w:pPr>
        <w:pStyle w:val="Heading40"/>
      </w:pPr>
      <w:r w:rsidRPr="00CA5CF7">
        <w:t xml:space="preserve">NICE </w:t>
      </w:r>
      <w:r w:rsidR="00CA5CF7" w:rsidRPr="00CA5CF7">
        <w:t>NG146</w:t>
      </w:r>
    </w:p>
    <w:p w14:paraId="1DC6197C" w14:textId="77777777" w:rsidR="00B703D8" w:rsidRPr="00E23B7B" w:rsidRDefault="00B703D8" w:rsidP="00B703D8">
      <w:pPr>
        <w:pStyle w:val="Heading40"/>
      </w:pPr>
      <w:r w:rsidRPr="00E23B7B">
        <w:t>Recommendation 1.2.2</w:t>
      </w:r>
    </w:p>
    <w:bookmarkEnd w:id="41"/>
    <w:p w14:paraId="53CC6610" w14:textId="77777777" w:rsidR="00B703D8" w:rsidRPr="00E23B7B" w:rsidRDefault="00B703D8" w:rsidP="00B703D8">
      <w:pPr>
        <w:pStyle w:val="Paragraph"/>
      </w:pPr>
      <w:r w:rsidRPr="00E23B7B">
        <w:t>Encourage people who are assessed as not fit for work to maintain regular contact with their workplace. [2019]</w:t>
      </w:r>
    </w:p>
    <w:p w14:paraId="2EFC3111" w14:textId="77777777" w:rsidR="00B703D8" w:rsidRPr="00E23B7B" w:rsidRDefault="00B703D8" w:rsidP="00B703D8">
      <w:pPr>
        <w:pStyle w:val="Heading40"/>
      </w:pPr>
      <w:r w:rsidRPr="00E23B7B">
        <w:t>Recommendation 1.2.5</w:t>
      </w:r>
    </w:p>
    <w:p w14:paraId="1BF328E7" w14:textId="77777777" w:rsidR="00B703D8" w:rsidRPr="00E23B7B" w:rsidRDefault="00B703D8" w:rsidP="00B703D8">
      <w:pPr>
        <w:pStyle w:val="Paragraph"/>
      </w:pPr>
      <w:r w:rsidRPr="00E23B7B">
        <w:t>Be aware that employers need information on how the employee's health condition or treatment could affect them on their return to work. Use the statement of fitness for work to provide sufficient information in clear, non</w:t>
      </w:r>
      <w:r w:rsidRPr="00E23B7B">
        <w:rPr>
          <w:rFonts w:ascii="Cambria Math" w:hAnsi="Cambria Math" w:cs="Cambria Math"/>
        </w:rPr>
        <w:t>‑</w:t>
      </w:r>
      <w:r w:rsidRPr="00E23B7B">
        <w:t>technical language. [2019]</w:t>
      </w:r>
    </w:p>
    <w:p w14:paraId="48D2BA5C" w14:textId="77777777" w:rsidR="00B703D8" w:rsidRPr="00E23B7B" w:rsidRDefault="00B703D8" w:rsidP="00B703D8">
      <w:pPr>
        <w:pStyle w:val="Heading40"/>
      </w:pPr>
      <w:r w:rsidRPr="00E23B7B">
        <w:t>Recommendation 1.3.2</w:t>
      </w:r>
    </w:p>
    <w:p w14:paraId="57444080" w14:textId="21732F07" w:rsidR="00B703D8" w:rsidRDefault="00B703D8" w:rsidP="00B703D8">
      <w:pPr>
        <w:pStyle w:val="Paragraph"/>
      </w:pPr>
      <w:r w:rsidRPr="00E23B7B">
        <w:t>To support the person who is currently not fit for work and plan for their return to the workplace, consider:</w:t>
      </w:r>
    </w:p>
    <w:p w14:paraId="706B499C" w14:textId="77777777" w:rsidR="00B703D8" w:rsidRPr="00E23B7B" w:rsidRDefault="00B703D8" w:rsidP="00B703D8">
      <w:pPr>
        <w:pStyle w:val="Paragraph"/>
        <w:numPr>
          <w:ilvl w:val="0"/>
          <w:numId w:val="41"/>
        </w:numPr>
      </w:pPr>
      <w:proofErr w:type="gramStart"/>
      <w:r w:rsidRPr="00E23B7B">
        <w:t>taking into account</w:t>
      </w:r>
      <w:proofErr w:type="gramEnd"/>
      <w:r w:rsidRPr="00E23B7B">
        <w:t xml:space="preserve"> any additional information provided (for example from an allied health professional's health and work report) about how their condition may affect their ability to do their role</w:t>
      </w:r>
    </w:p>
    <w:p w14:paraId="5EF3E114" w14:textId="77777777" w:rsidR="00B703D8" w:rsidRPr="00E23B7B" w:rsidRDefault="00B703D8" w:rsidP="00B703D8">
      <w:pPr>
        <w:pStyle w:val="Paragraph"/>
        <w:numPr>
          <w:ilvl w:val="0"/>
          <w:numId w:val="41"/>
        </w:numPr>
      </w:pPr>
      <w:r w:rsidRPr="00E23B7B">
        <w:t>seeking information and advice on what support they might need, such as from an occupational health service or from other possible expert sources of vocational advice and support relevant to their condition (this may include online resources, or telephone advice from external bodies)</w:t>
      </w:r>
    </w:p>
    <w:p w14:paraId="4D0E9C66" w14:textId="77777777" w:rsidR="00B703D8" w:rsidRPr="00E23B7B" w:rsidRDefault="00B703D8" w:rsidP="00B703D8">
      <w:pPr>
        <w:pStyle w:val="Paragraph"/>
        <w:numPr>
          <w:ilvl w:val="0"/>
          <w:numId w:val="41"/>
        </w:numPr>
      </w:pPr>
      <w:r w:rsidRPr="00E23B7B">
        <w:t>discussing with them what adjustments or other support might be needed if any ongoing health needs are anticipated for when they return to work; if adjustments need approval, discuss these with decision makers to gain sign-off. [2019]</w:t>
      </w:r>
    </w:p>
    <w:p w14:paraId="4492D09E" w14:textId="77777777" w:rsidR="00B703D8" w:rsidRPr="00E23B7B" w:rsidRDefault="00B703D8" w:rsidP="00B703D8">
      <w:pPr>
        <w:pStyle w:val="Heading40"/>
      </w:pPr>
      <w:r w:rsidRPr="00E23B7B">
        <w:t>Recommendation 1.5.1</w:t>
      </w:r>
    </w:p>
    <w:p w14:paraId="4F5A15E3" w14:textId="77777777" w:rsidR="00B703D8" w:rsidRPr="00E23B7B" w:rsidRDefault="00B703D8" w:rsidP="00B703D8">
      <w:pPr>
        <w:pStyle w:val="Paragraph"/>
      </w:pPr>
      <w:r w:rsidRPr="00E23B7B">
        <w:t>Ensure that the organisation regularly keeps in touch with people who are 'not fit for work' during periods of sickness absence, including people with a </w:t>
      </w:r>
      <w:hyperlink r:id="rId15" w:tgtFrame="_top" w:history="1">
        <w:r w:rsidRPr="00E23B7B">
          <w:rPr>
            <w:rStyle w:val="Hyperlink"/>
          </w:rPr>
          <w:t>chronic health condition or a progressive illness or disability covered by the Equality Act 2010</w:t>
        </w:r>
      </w:hyperlink>
      <w:r w:rsidRPr="00E23B7B">
        <w:t>. [2019]</w:t>
      </w:r>
    </w:p>
    <w:p w14:paraId="4E069329" w14:textId="77777777" w:rsidR="00B703D8" w:rsidRPr="00E23B7B" w:rsidRDefault="00B703D8" w:rsidP="00B703D8">
      <w:pPr>
        <w:pStyle w:val="Heading40"/>
      </w:pPr>
      <w:r w:rsidRPr="00E23B7B">
        <w:t>Recommendation 1.5.2</w:t>
      </w:r>
    </w:p>
    <w:p w14:paraId="6D4862BC" w14:textId="77777777" w:rsidR="00B703D8" w:rsidRPr="00E23B7B" w:rsidRDefault="00B703D8" w:rsidP="00B703D8">
      <w:pPr>
        <w:pStyle w:val="Paragraph"/>
      </w:pPr>
      <w:r w:rsidRPr="00E23B7B">
        <w:t>Make contact as early as possible, and within 4 weeks of them starting sickness absence, depending on the circumstances. [2019]</w:t>
      </w:r>
    </w:p>
    <w:p w14:paraId="0D00B425" w14:textId="77777777" w:rsidR="00B703D8" w:rsidRPr="00E23B7B" w:rsidRDefault="00B703D8" w:rsidP="00B703D8">
      <w:pPr>
        <w:pStyle w:val="Heading40"/>
      </w:pPr>
      <w:r w:rsidRPr="00E23B7B">
        <w:t>Recommendation 1.5.3</w:t>
      </w:r>
    </w:p>
    <w:p w14:paraId="6F0BAE01" w14:textId="77777777" w:rsidR="00B703D8" w:rsidRDefault="00B703D8" w:rsidP="00B703D8">
      <w:pPr>
        <w:pStyle w:val="Paragraph"/>
      </w:pPr>
      <w:r>
        <w:lastRenderedPageBreak/>
        <w:t>When contacting the employee:</w:t>
      </w:r>
    </w:p>
    <w:p w14:paraId="2E1F4FE7" w14:textId="77777777" w:rsidR="00B703D8" w:rsidRPr="00E23B7B" w:rsidRDefault="00B703D8" w:rsidP="00B703D8">
      <w:pPr>
        <w:pStyle w:val="Paragraph"/>
        <w:numPr>
          <w:ilvl w:val="0"/>
          <w:numId w:val="39"/>
        </w:numPr>
      </w:pPr>
      <w:r w:rsidRPr="00E23B7B">
        <w:t>Be sensitive to their individual needs and circumstances.</w:t>
      </w:r>
    </w:p>
    <w:p w14:paraId="02492E5C" w14:textId="77777777" w:rsidR="00B703D8" w:rsidRPr="00E23B7B" w:rsidRDefault="00B703D8" w:rsidP="00B703D8">
      <w:pPr>
        <w:pStyle w:val="Paragraph"/>
        <w:numPr>
          <w:ilvl w:val="0"/>
          <w:numId w:val="39"/>
        </w:numPr>
      </w:pPr>
      <w:r w:rsidRPr="00E23B7B">
        <w:t>Be aware that communication style and content could affect their wellbeing and decision to return to work.</w:t>
      </w:r>
    </w:p>
    <w:p w14:paraId="4C841FF1" w14:textId="77777777" w:rsidR="00B703D8" w:rsidRPr="00E23B7B" w:rsidRDefault="00B703D8" w:rsidP="00B703D8">
      <w:pPr>
        <w:pStyle w:val="Paragraph"/>
        <w:numPr>
          <w:ilvl w:val="0"/>
          <w:numId w:val="39"/>
        </w:numPr>
      </w:pPr>
      <w:r w:rsidRPr="00E23B7B">
        <w:t>Ensure that they are aware that the purpose of keeping in touch is to provide support and help them return to the workplace when they feel ready.</w:t>
      </w:r>
    </w:p>
    <w:p w14:paraId="03CA33F4" w14:textId="77777777" w:rsidR="00B703D8" w:rsidRPr="00E23B7B" w:rsidRDefault="00B703D8" w:rsidP="00B703D8">
      <w:pPr>
        <w:pStyle w:val="Paragraph"/>
        <w:numPr>
          <w:ilvl w:val="0"/>
          <w:numId w:val="39"/>
        </w:numPr>
      </w:pPr>
      <w:r w:rsidRPr="00E23B7B">
        <w:t xml:space="preserve">If an early referral to support services (for example physiotherapy, </w:t>
      </w:r>
      <w:proofErr w:type="gramStart"/>
      <w:r w:rsidRPr="00E23B7B">
        <w:t>counselling</w:t>
      </w:r>
      <w:proofErr w:type="gramEnd"/>
      <w:r w:rsidRPr="00E23B7B">
        <w:t xml:space="preserve"> or occupational therapy) is available through the organisation's occupational health provider, discuss if this may be helpful.</w:t>
      </w:r>
    </w:p>
    <w:p w14:paraId="7F37C21F" w14:textId="77777777" w:rsidR="00B703D8" w:rsidRPr="00E23B7B" w:rsidRDefault="00B703D8" w:rsidP="00B703D8">
      <w:pPr>
        <w:pStyle w:val="Paragraph"/>
        <w:numPr>
          <w:ilvl w:val="0"/>
          <w:numId w:val="39"/>
        </w:numPr>
      </w:pPr>
      <w:r w:rsidRPr="00E23B7B">
        <w:t>Discuss how they would like to be contacted in future, how frequently and by whom. If the line manager is not the most appropriate person to keep in touch, offer alternatives.</w:t>
      </w:r>
    </w:p>
    <w:p w14:paraId="191F1F18" w14:textId="77777777" w:rsidR="00B703D8" w:rsidRPr="00E23B7B" w:rsidRDefault="00B703D8" w:rsidP="00B703D8">
      <w:pPr>
        <w:pStyle w:val="Paragraph"/>
        <w:numPr>
          <w:ilvl w:val="0"/>
          <w:numId w:val="39"/>
        </w:numPr>
      </w:pPr>
      <w:r w:rsidRPr="00E23B7B">
        <w:t xml:space="preserve">Provide reassurance that anything they share about their health will be kept </w:t>
      </w:r>
      <w:proofErr w:type="gramStart"/>
      <w:r w:rsidRPr="00E23B7B">
        <w:t>confidential, unless</w:t>
      </w:r>
      <w:proofErr w:type="gramEnd"/>
      <w:r w:rsidRPr="00E23B7B">
        <w:t xml:space="preserve"> there are serious concerns for their or others' wellbeing. [2019]</w:t>
      </w:r>
    </w:p>
    <w:p w14:paraId="59F88AB3" w14:textId="77777777" w:rsidR="00B703D8" w:rsidRPr="00E23B7B" w:rsidRDefault="00B703D8" w:rsidP="00B703D8">
      <w:pPr>
        <w:pStyle w:val="Heading40"/>
      </w:pPr>
      <w:r w:rsidRPr="00E23B7B">
        <w:t>Recommendation 1.5.4</w:t>
      </w:r>
    </w:p>
    <w:p w14:paraId="2EEDCA99" w14:textId="77777777" w:rsidR="00B703D8" w:rsidRPr="00E23B7B" w:rsidRDefault="00B703D8" w:rsidP="00B703D8">
      <w:pPr>
        <w:pStyle w:val="Paragraph"/>
      </w:pPr>
      <w:r w:rsidRPr="00E23B7B">
        <w:t>Ensure that members of staff responsible for keeping in touch with people on sickness absence:</w:t>
      </w:r>
    </w:p>
    <w:p w14:paraId="738213B0" w14:textId="77777777" w:rsidR="00B703D8" w:rsidRPr="00E23B7B" w:rsidRDefault="00B703D8" w:rsidP="00B703D8">
      <w:pPr>
        <w:pStyle w:val="Paragraph"/>
        <w:numPr>
          <w:ilvl w:val="0"/>
          <w:numId w:val="38"/>
        </w:numPr>
      </w:pPr>
      <w:proofErr w:type="gramStart"/>
      <w:r w:rsidRPr="00E23B7B">
        <w:t>are aware of the need for sensitivity and discretion at all times</w:t>
      </w:r>
      <w:proofErr w:type="gramEnd"/>
    </w:p>
    <w:p w14:paraId="603A4B69" w14:textId="77777777" w:rsidR="00B703D8" w:rsidRPr="00E23B7B" w:rsidRDefault="00B703D8" w:rsidP="00B703D8">
      <w:pPr>
        <w:pStyle w:val="Paragraph"/>
        <w:numPr>
          <w:ilvl w:val="0"/>
          <w:numId w:val="38"/>
        </w:numPr>
      </w:pPr>
      <w:r w:rsidRPr="00E23B7B">
        <w:t>understand the organisation's policies or procedures on managing sickness absence and returning to work</w:t>
      </w:r>
    </w:p>
    <w:p w14:paraId="482EB8B5" w14:textId="376BDA61" w:rsidR="00CA5CF7" w:rsidRPr="00CA5CF7" w:rsidRDefault="00B703D8" w:rsidP="007434D8">
      <w:pPr>
        <w:pStyle w:val="Bulletparagraphlast"/>
      </w:pPr>
      <w:r w:rsidRPr="00E23B7B">
        <w:t>are competent in relevant communication skills and are signposted to and encouraged to use online or other resources and advice to improve these skills. [2019]</w:t>
      </w:r>
    </w:p>
    <w:p w14:paraId="0CEC3BCD" w14:textId="2EA54E27" w:rsidR="002437B2" w:rsidRPr="009F3D9C" w:rsidRDefault="002437B2" w:rsidP="002437B2">
      <w:pPr>
        <w:pStyle w:val="Heading3"/>
        <w:rPr>
          <w:highlight w:val="cyan"/>
        </w:rPr>
      </w:pPr>
      <w:r>
        <w:t>Occupational health services</w:t>
      </w:r>
    </w:p>
    <w:p w14:paraId="5DBED6D3" w14:textId="77777777" w:rsidR="002437B2" w:rsidRPr="00CA5CF7" w:rsidRDefault="002437B2" w:rsidP="002437B2">
      <w:pPr>
        <w:pStyle w:val="Heading40"/>
      </w:pPr>
      <w:r w:rsidRPr="00CA5CF7">
        <w:t>NICE NG146</w:t>
      </w:r>
    </w:p>
    <w:p w14:paraId="3D2EDA5E" w14:textId="77777777" w:rsidR="002437B2" w:rsidRPr="001B6D37" w:rsidRDefault="002437B2" w:rsidP="002437B2">
      <w:pPr>
        <w:pStyle w:val="Heading40"/>
      </w:pPr>
      <w:r w:rsidRPr="001B6D37">
        <w:t>Recommendation 1.</w:t>
      </w:r>
      <w:r>
        <w:t>2.3</w:t>
      </w:r>
    </w:p>
    <w:p w14:paraId="497C17CC" w14:textId="77777777" w:rsidR="002437B2" w:rsidRDefault="002437B2" w:rsidP="002437B2">
      <w:pPr>
        <w:pStyle w:val="Paragraph"/>
      </w:pPr>
      <w:r>
        <w:t>If the person is likely to be absent from work for more than 4 weeks, consider:</w:t>
      </w:r>
    </w:p>
    <w:p w14:paraId="38A9CA2C" w14:textId="77777777" w:rsidR="002437B2" w:rsidRPr="006506C8" w:rsidRDefault="002437B2" w:rsidP="002437B2">
      <w:pPr>
        <w:pStyle w:val="Paragraph"/>
        <w:numPr>
          <w:ilvl w:val="0"/>
          <w:numId w:val="22"/>
        </w:numPr>
      </w:pPr>
      <w:r w:rsidRPr="006506C8">
        <w:t xml:space="preserve">referral to health rehabilitation and support services, such as physiotherapy, </w:t>
      </w:r>
      <w:proofErr w:type="gramStart"/>
      <w:r w:rsidRPr="006506C8">
        <w:t>counselling</w:t>
      </w:r>
      <w:proofErr w:type="gramEnd"/>
      <w:r w:rsidRPr="006506C8">
        <w:t xml:space="preserve"> or occupational therapy</w:t>
      </w:r>
    </w:p>
    <w:p w14:paraId="64BDC463" w14:textId="77777777" w:rsidR="002437B2" w:rsidRPr="006506C8" w:rsidRDefault="002437B2" w:rsidP="002437B2">
      <w:pPr>
        <w:pStyle w:val="Paragraph"/>
        <w:numPr>
          <w:ilvl w:val="0"/>
          <w:numId w:val="22"/>
        </w:numPr>
      </w:pPr>
      <w:r w:rsidRPr="006506C8">
        <w:lastRenderedPageBreak/>
        <w:t>signposting them to other possible expert sources of vocational advice and support relevant to their condition. [2019]</w:t>
      </w:r>
    </w:p>
    <w:p w14:paraId="4371589D" w14:textId="77777777" w:rsidR="002437B2" w:rsidRPr="001B6D37" w:rsidRDefault="002437B2" w:rsidP="002437B2">
      <w:pPr>
        <w:pStyle w:val="Heading40"/>
      </w:pPr>
      <w:r w:rsidRPr="001B6D37">
        <w:t>Recommendation 1.3.3</w:t>
      </w:r>
    </w:p>
    <w:p w14:paraId="6E61526E" w14:textId="77777777" w:rsidR="002437B2" w:rsidRPr="001B6D37" w:rsidRDefault="002437B2" w:rsidP="002437B2">
      <w:pPr>
        <w:pStyle w:val="Paragraph"/>
      </w:pPr>
      <w:r w:rsidRPr="001B6D37">
        <w:t>When a statement of fitness for work indicates that a person may be fit for work, contact them as soon as possible:</w:t>
      </w:r>
    </w:p>
    <w:p w14:paraId="26A4262C" w14:textId="77777777" w:rsidR="002437B2" w:rsidRPr="001B6D37" w:rsidRDefault="002437B2" w:rsidP="002437B2">
      <w:pPr>
        <w:pStyle w:val="Paragraph"/>
        <w:numPr>
          <w:ilvl w:val="0"/>
          <w:numId w:val="19"/>
        </w:numPr>
      </w:pPr>
      <w:r w:rsidRPr="001B6D37">
        <w:t>Discuss what adjustments (such as flexible working, phased return, reduced hours, changes to workstations or duties) might help them return to work. Use any recommendations in the statement of fitness for work as a starting point.</w:t>
      </w:r>
    </w:p>
    <w:p w14:paraId="02592228" w14:textId="77777777" w:rsidR="002437B2" w:rsidRPr="001B6D37" w:rsidRDefault="002437B2" w:rsidP="002437B2">
      <w:pPr>
        <w:pStyle w:val="Paragraph"/>
        <w:numPr>
          <w:ilvl w:val="0"/>
          <w:numId w:val="19"/>
        </w:numPr>
      </w:pPr>
      <w:r w:rsidRPr="001B6D37">
        <w:t>Involve the employee and line managers in these discussions initially, and occupational health services if needed.</w:t>
      </w:r>
    </w:p>
    <w:p w14:paraId="3080068A" w14:textId="77777777" w:rsidR="002437B2" w:rsidRPr="001B6D37" w:rsidRDefault="002437B2" w:rsidP="002437B2">
      <w:pPr>
        <w:pStyle w:val="Paragraph"/>
        <w:numPr>
          <w:ilvl w:val="0"/>
          <w:numId w:val="19"/>
        </w:numPr>
      </w:pPr>
      <w:r w:rsidRPr="001B6D37">
        <w:t>Human resources, trade unions or occupational health services (if not already participating) may also be involved, especially if the circumstances or adjustments are more complex. [2019]</w:t>
      </w:r>
    </w:p>
    <w:p w14:paraId="5212F91A" w14:textId="77777777" w:rsidR="002437B2" w:rsidRPr="001B6D37" w:rsidRDefault="002437B2" w:rsidP="002437B2">
      <w:pPr>
        <w:pStyle w:val="Heading40"/>
      </w:pPr>
      <w:r w:rsidRPr="001B6D37">
        <w:t>Recommendation 1.</w:t>
      </w:r>
      <w:r>
        <w:t>6.3</w:t>
      </w:r>
    </w:p>
    <w:p w14:paraId="3CEB2C0B" w14:textId="77777777" w:rsidR="002437B2" w:rsidRDefault="002437B2" w:rsidP="002437B2">
      <w:pPr>
        <w:pStyle w:val="Paragraph"/>
      </w:pPr>
      <w:r>
        <w:t xml:space="preserve">For </w:t>
      </w:r>
      <w:proofErr w:type="gramStart"/>
      <w:r>
        <w:t>employees</w:t>
      </w:r>
      <w:proofErr w:type="gramEnd"/>
      <w:r>
        <w:t xml:space="preserve"> whose sickness absence is expected to continue beyond 4 weeks, in organisations with access to an occupational health provider:</w:t>
      </w:r>
    </w:p>
    <w:p w14:paraId="25057FE2" w14:textId="77777777" w:rsidR="002437B2" w:rsidRPr="006506C8" w:rsidRDefault="002437B2" w:rsidP="002437B2">
      <w:pPr>
        <w:pStyle w:val="Paragraph"/>
        <w:numPr>
          <w:ilvl w:val="0"/>
          <w:numId w:val="23"/>
        </w:numPr>
      </w:pPr>
      <w:r w:rsidRPr="006506C8">
        <w:t>discuss the possibility of a referral to occupational health for an assessment of fitness for work or</w:t>
      </w:r>
    </w:p>
    <w:p w14:paraId="5F07CB6E" w14:textId="65E599A7" w:rsidR="002437B2" w:rsidRDefault="002437B2" w:rsidP="002437B2">
      <w:pPr>
        <w:pStyle w:val="Paragraph"/>
        <w:numPr>
          <w:ilvl w:val="0"/>
          <w:numId w:val="23"/>
        </w:numPr>
      </w:pPr>
      <w:r w:rsidRPr="006506C8">
        <w:t>discuss the suitability for early referral to support services; if referral is appropriate, ensure that this takes place as early as possible. [2019]</w:t>
      </w:r>
    </w:p>
    <w:p w14:paraId="147825A7" w14:textId="77777777" w:rsidR="002437B2" w:rsidRPr="001B6D37" w:rsidRDefault="002437B2" w:rsidP="002437B2">
      <w:pPr>
        <w:pStyle w:val="Heading40"/>
      </w:pPr>
      <w:r w:rsidRPr="001B6D37">
        <w:t>Recommendation 1.6.4</w:t>
      </w:r>
    </w:p>
    <w:p w14:paraId="78392E58" w14:textId="27FF6E32" w:rsidR="002437B2" w:rsidRPr="007434D8" w:rsidRDefault="002437B2" w:rsidP="007434D8">
      <w:pPr>
        <w:pStyle w:val="Paragraph"/>
        <w:rPr>
          <w:highlight w:val="cyan"/>
        </w:rPr>
      </w:pPr>
      <w:r w:rsidRPr="001B6D37">
        <w:t>If occupational health services or an employee assistance programme are not available, encourage employees whose sickness absence is expected to continue beyond 4 weeks to discuss with their GP or secondary care specialist any options for referral to support services such as physiotherapy, counselling or occupational therapy. [2019]</w:t>
      </w:r>
    </w:p>
    <w:p w14:paraId="1DCC4A06" w14:textId="32F9DBB7" w:rsidR="0034530F" w:rsidRDefault="0034530F" w:rsidP="0034530F">
      <w:pPr>
        <w:pStyle w:val="Numberedheading3"/>
      </w:pPr>
      <w:r>
        <w:t>Current UK practice</w:t>
      </w:r>
    </w:p>
    <w:p w14:paraId="62110AFC" w14:textId="04EA40E3" w:rsidR="0034530F" w:rsidRDefault="00DF1D4E" w:rsidP="0034530F">
      <w:pPr>
        <w:pStyle w:val="Paragraph"/>
      </w:pPr>
      <w:hyperlink r:id="rId16" w:history="1">
        <w:r w:rsidR="00F028CB">
          <w:rPr>
            <w:rStyle w:val="Hyperlink"/>
          </w:rPr>
          <w:t>Public Health England and The Work Foundation</w:t>
        </w:r>
      </w:hyperlink>
      <w:r w:rsidR="00F028CB">
        <w:t xml:space="preserve"> report that 1 in 3 employees with a </w:t>
      </w:r>
      <w:r w:rsidR="0013560A">
        <w:t>long-term</w:t>
      </w:r>
      <w:r w:rsidR="00F028CB">
        <w:t xml:space="preserve"> health condition have not discussed it with their employer. They also state that 52% of employees have access to occupational health services through their employer, and 39% of employees report having access to independent counselling.</w:t>
      </w:r>
    </w:p>
    <w:p w14:paraId="47C65DE5" w14:textId="77777777" w:rsidR="00F87339" w:rsidRPr="00F87339" w:rsidRDefault="00F87339" w:rsidP="00F87339">
      <w:pPr>
        <w:keepNext/>
        <w:spacing w:before="240" w:after="60"/>
        <w:outlineLvl w:val="2"/>
        <w:rPr>
          <w:rFonts w:ascii="Arial" w:hAnsi="Arial"/>
          <w:b/>
          <w:bCs/>
          <w:szCs w:val="26"/>
        </w:rPr>
      </w:pPr>
      <w:r w:rsidRPr="00F87339">
        <w:rPr>
          <w:rFonts w:ascii="Arial" w:hAnsi="Arial"/>
          <w:b/>
          <w:bCs/>
          <w:szCs w:val="26"/>
        </w:rPr>
        <w:lastRenderedPageBreak/>
        <w:t>Committee discussion</w:t>
      </w:r>
    </w:p>
    <w:tbl>
      <w:tblPr>
        <w:tblStyle w:val="TableGridLight"/>
        <w:tblW w:w="0" w:type="auto"/>
        <w:tblLook w:val="04A0" w:firstRow="1" w:lastRow="0" w:firstColumn="1" w:lastColumn="0" w:noHBand="0" w:noVBand="1"/>
      </w:tblPr>
      <w:tblGrid>
        <w:gridCol w:w="9016"/>
      </w:tblGrid>
      <w:tr w:rsidR="00F87339" w:rsidRPr="00F87339" w14:paraId="2D5678EE" w14:textId="77777777" w:rsidTr="007434D8">
        <w:trPr>
          <w:trHeight w:val="434"/>
        </w:trPr>
        <w:tc>
          <w:tcPr>
            <w:tcW w:w="9016" w:type="dxa"/>
            <w:shd w:val="clear" w:color="auto" w:fill="7F7F7F" w:themeFill="text1" w:themeFillTint="80"/>
          </w:tcPr>
          <w:p w14:paraId="200CFD19" w14:textId="77777777" w:rsidR="00F87339" w:rsidRPr="00F87339" w:rsidRDefault="00F87339" w:rsidP="00F87339">
            <w:pPr>
              <w:keepNext/>
              <w:rPr>
                <w:rFonts w:ascii="Arial" w:hAnsi="Arial"/>
                <w:b/>
                <w:sz w:val="22"/>
              </w:rPr>
            </w:pPr>
            <w:r w:rsidRPr="00F87339">
              <w:rPr>
                <w:rFonts w:ascii="Arial" w:hAnsi="Arial"/>
                <w:b/>
                <w:sz w:val="22"/>
              </w:rPr>
              <w:t xml:space="preserve">For discussion </w:t>
            </w:r>
          </w:p>
        </w:tc>
      </w:tr>
      <w:tr w:rsidR="00F87339" w:rsidRPr="00F87339" w14:paraId="28542FB8" w14:textId="77777777" w:rsidTr="007434D8">
        <w:trPr>
          <w:trHeight w:val="265"/>
        </w:trPr>
        <w:tc>
          <w:tcPr>
            <w:tcW w:w="9016" w:type="dxa"/>
            <w:shd w:val="clear" w:color="auto" w:fill="F2F2F2" w:themeFill="background1" w:themeFillShade="F2"/>
          </w:tcPr>
          <w:p w14:paraId="696A1BEC" w14:textId="77777777" w:rsidR="00F87339" w:rsidRPr="00F87339" w:rsidRDefault="00F87339" w:rsidP="00F87339">
            <w:pPr>
              <w:numPr>
                <w:ilvl w:val="0"/>
                <w:numId w:val="1"/>
              </w:numPr>
              <w:tabs>
                <w:tab w:val="left" w:pos="284"/>
              </w:tabs>
              <w:rPr>
                <w:rFonts w:ascii="Arial" w:hAnsi="Arial"/>
                <w:sz w:val="22"/>
                <w:szCs w:val="22"/>
              </w:rPr>
            </w:pPr>
            <w:r w:rsidRPr="00F87339">
              <w:rPr>
                <w:rFonts w:ascii="Arial" w:hAnsi="Arial"/>
                <w:sz w:val="22"/>
                <w:szCs w:val="22"/>
              </w:rPr>
              <w:t>What is the priority for improvement?</w:t>
            </w:r>
          </w:p>
          <w:p w14:paraId="26BE284B" w14:textId="77777777" w:rsidR="00F87339" w:rsidRPr="00F87339" w:rsidRDefault="00F87339" w:rsidP="00F87339">
            <w:pPr>
              <w:numPr>
                <w:ilvl w:val="0"/>
                <w:numId w:val="1"/>
              </w:numPr>
              <w:tabs>
                <w:tab w:val="left" w:pos="284"/>
              </w:tabs>
              <w:rPr>
                <w:rFonts w:ascii="Arial" w:hAnsi="Arial"/>
                <w:sz w:val="22"/>
                <w:szCs w:val="22"/>
              </w:rPr>
            </w:pPr>
            <w:r w:rsidRPr="00F87339">
              <w:rPr>
                <w:rFonts w:ascii="Arial" w:hAnsi="Arial"/>
                <w:sz w:val="22"/>
                <w:szCs w:val="22"/>
              </w:rPr>
              <w:t>What is the key action that will lead to improvement?</w:t>
            </w:r>
          </w:p>
          <w:p w14:paraId="681C8CE0" w14:textId="77777777" w:rsidR="00F87339" w:rsidRPr="00F87339" w:rsidRDefault="00F87339" w:rsidP="00F87339">
            <w:pPr>
              <w:numPr>
                <w:ilvl w:val="0"/>
                <w:numId w:val="1"/>
              </w:numPr>
              <w:tabs>
                <w:tab w:val="left" w:pos="284"/>
              </w:tabs>
              <w:rPr>
                <w:rFonts w:ascii="Arial" w:hAnsi="Arial"/>
                <w:sz w:val="22"/>
                <w:szCs w:val="22"/>
              </w:rPr>
            </w:pPr>
            <w:r w:rsidRPr="00F87339">
              <w:rPr>
                <w:rFonts w:ascii="Arial" w:hAnsi="Arial"/>
                <w:sz w:val="22"/>
                <w:szCs w:val="22"/>
              </w:rPr>
              <w:t>Could we focus on a specific audience or setting?</w:t>
            </w:r>
          </w:p>
          <w:p w14:paraId="2A556018" w14:textId="77777777" w:rsidR="00F87339" w:rsidRPr="00F87339" w:rsidRDefault="00F87339" w:rsidP="00F87339">
            <w:pPr>
              <w:numPr>
                <w:ilvl w:val="0"/>
                <w:numId w:val="1"/>
              </w:numPr>
              <w:tabs>
                <w:tab w:val="left" w:pos="284"/>
              </w:tabs>
              <w:rPr>
                <w:rFonts w:ascii="Arial" w:hAnsi="Arial"/>
                <w:sz w:val="22"/>
                <w:szCs w:val="22"/>
              </w:rPr>
            </w:pPr>
            <w:r w:rsidRPr="00F87339">
              <w:rPr>
                <w:rFonts w:ascii="Arial" w:hAnsi="Arial"/>
                <w:sz w:val="22"/>
                <w:szCs w:val="22"/>
              </w:rPr>
              <w:t>Can we develop a specific, measurable statement?</w:t>
            </w:r>
          </w:p>
        </w:tc>
      </w:tr>
      <w:tr w:rsidR="00F87339" w:rsidRPr="00F87339" w14:paraId="4291E21B" w14:textId="77777777" w:rsidTr="007434D8">
        <w:trPr>
          <w:trHeight w:val="265"/>
        </w:trPr>
        <w:tc>
          <w:tcPr>
            <w:tcW w:w="9016" w:type="dxa"/>
            <w:shd w:val="clear" w:color="auto" w:fill="7F7F7F" w:themeFill="text1" w:themeFillTint="80"/>
          </w:tcPr>
          <w:p w14:paraId="40B765C2" w14:textId="77777777" w:rsidR="00F87339" w:rsidRPr="00F87339" w:rsidRDefault="00F87339" w:rsidP="00F87339">
            <w:pPr>
              <w:keepNext/>
              <w:rPr>
                <w:rFonts w:ascii="Arial" w:hAnsi="Arial"/>
                <w:b/>
                <w:sz w:val="22"/>
              </w:rPr>
            </w:pPr>
            <w:r w:rsidRPr="00F87339">
              <w:rPr>
                <w:rFonts w:ascii="Arial" w:hAnsi="Arial"/>
                <w:b/>
                <w:sz w:val="22"/>
              </w:rPr>
              <w:t>For decision</w:t>
            </w:r>
          </w:p>
          <w:p w14:paraId="56C79AFE" w14:textId="77777777" w:rsidR="00F87339" w:rsidRPr="00F87339" w:rsidRDefault="00F87339" w:rsidP="00F87339"/>
        </w:tc>
      </w:tr>
      <w:tr w:rsidR="00F87339" w:rsidRPr="00F87339" w14:paraId="66BD4076" w14:textId="77777777" w:rsidTr="007434D8">
        <w:trPr>
          <w:trHeight w:val="265"/>
        </w:trPr>
        <w:tc>
          <w:tcPr>
            <w:tcW w:w="9016" w:type="dxa"/>
            <w:shd w:val="clear" w:color="auto" w:fill="F2F2F2" w:themeFill="background1" w:themeFillShade="F2"/>
          </w:tcPr>
          <w:p w14:paraId="719C0BDC" w14:textId="77777777" w:rsidR="00F87339" w:rsidRPr="00F87339" w:rsidRDefault="00F87339" w:rsidP="00F87339">
            <w:pPr>
              <w:numPr>
                <w:ilvl w:val="0"/>
                <w:numId w:val="1"/>
              </w:numPr>
              <w:tabs>
                <w:tab w:val="left" w:pos="284"/>
              </w:tabs>
              <w:rPr>
                <w:rFonts w:ascii="Arial" w:hAnsi="Arial"/>
                <w:sz w:val="22"/>
                <w:szCs w:val="22"/>
              </w:rPr>
            </w:pPr>
            <w:r w:rsidRPr="00F87339">
              <w:rPr>
                <w:rFonts w:ascii="Arial" w:hAnsi="Arial"/>
                <w:sz w:val="22"/>
                <w:szCs w:val="22"/>
              </w:rPr>
              <w:t>Should this area be prioritised for inclusion in the quality standard?</w:t>
            </w:r>
          </w:p>
          <w:p w14:paraId="0A7FDFE6" w14:textId="77777777" w:rsidR="00F87339" w:rsidRPr="00F87339" w:rsidRDefault="00F87339" w:rsidP="00F87339">
            <w:pPr>
              <w:tabs>
                <w:tab w:val="left" w:pos="284"/>
              </w:tabs>
              <w:ind w:left="284"/>
              <w:rPr>
                <w:rFonts w:ascii="Arial" w:hAnsi="Arial"/>
                <w:sz w:val="22"/>
                <w:szCs w:val="22"/>
              </w:rPr>
            </w:pPr>
          </w:p>
        </w:tc>
      </w:tr>
    </w:tbl>
    <w:p w14:paraId="2687EE1C" w14:textId="77777777" w:rsidR="00F87339" w:rsidRDefault="00F87339" w:rsidP="0034530F">
      <w:pPr>
        <w:pStyle w:val="Paragraph"/>
      </w:pPr>
    </w:p>
    <w:p w14:paraId="62ED4E2A" w14:textId="2E54E7AC" w:rsidR="0034530F" w:rsidRDefault="0034530F">
      <w:pPr>
        <w:rPr>
          <w:rFonts w:ascii="Arial" w:hAnsi="Arial"/>
        </w:rPr>
      </w:pPr>
      <w:r>
        <w:br w:type="page"/>
      </w:r>
    </w:p>
    <w:p w14:paraId="1AD0EF71" w14:textId="7A7086E8" w:rsidR="0034530F" w:rsidRPr="00433117" w:rsidRDefault="0050339D" w:rsidP="0034530F">
      <w:pPr>
        <w:pStyle w:val="Numberedheading2"/>
      </w:pPr>
      <w:r>
        <w:lastRenderedPageBreak/>
        <w:t xml:space="preserve">Support to </w:t>
      </w:r>
      <w:r w:rsidR="00193002">
        <w:t xml:space="preserve">stay in or </w:t>
      </w:r>
      <w:r>
        <w:t>return to work</w:t>
      </w:r>
    </w:p>
    <w:p w14:paraId="5C7E7A65" w14:textId="77777777" w:rsidR="0034530F" w:rsidRDefault="0034530F" w:rsidP="0034530F">
      <w:pPr>
        <w:pStyle w:val="Numberedheading3"/>
      </w:pPr>
      <w:r>
        <w:t>Summary of suggestions</w:t>
      </w:r>
    </w:p>
    <w:p w14:paraId="307A7053" w14:textId="56100754" w:rsidR="00D42A09" w:rsidRDefault="00D42A09" w:rsidP="007434D8">
      <w:pPr>
        <w:pStyle w:val="Heading40"/>
      </w:pPr>
      <w:r>
        <w:t>Support to return to work</w:t>
      </w:r>
    </w:p>
    <w:p w14:paraId="791C5C90" w14:textId="7546F9A6" w:rsidR="0034530F" w:rsidRPr="0050339D" w:rsidRDefault="0034530F" w:rsidP="0034530F">
      <w:pPr>
        <w:pStyle w:val="Paragraph"/>
      </w:pPr>
      <w:r w:rsidRPr="0050339D">
        <w:t>Stakeh</w:t>
      </w:r>
      <w:r w:rsidR="0050339D" w:rsidRPr="0050339D">
        <w:t>ol</w:t>
      </w:r>
      <w:r w:rsidR="0050339D">
        <w:t>d</w:t>
      </w:r>
      <w:r w:rsidR="0050339D" w:rsidRPr="0050339D">
        <w:t>ers highlighted the importance and effectiveness of giving employees appropriate support when returning to work from a long</w:t>
      </w:r>
      <w:r w:rsidR="00182EE1">
        <w:t>-</w:t>
      </w:r>
      <w:r w:rsidR="0050339D" w:rsidRPr="0050339D">
        <w:t>term absence. They suggested different kinds and approaches to support:</w:t>
      </w:r>
    </w:p>
    <w:p w14:paraId="4FA0133C" w14:textId="5652D5AF" w:rsidR="0050339D" w:rsidRPr="0050339D" w:rsidRDefault="0050339D" w:rsidP="0050339D">
      <w:pPr>
        <w:pStyle w:val="Paragraph"/>
        <w:numPr>
          <w:ilvl w:val="0"/>
          <w:numId w:val="32"/>
        </w:numPr>
      </w:pPr>
      <w:r w:rsidRPr="0050339D">
        <w:t>Intensive multidisciplinary interventions for people with ongoing or chronic pain</w:t>
      </w:r>
      <w:r w:rsidR="00250115">
        <w:t>.</w:t>
      </w:r>
    </w:p>
    <w:p w14:paraId="521EFAE7" w14:textId="42DC7D68" w:rsidR="0050339D" w:rsidRPr="0050339D" w:rsidRDefault="0050339D" w:rsidP="0050339D">
      <w:pPr>
        <w:pStyle w:val="Paragraph"/>
        <w:numPr>
          <w:ilvl w:val="0"/>
          <w:numId w:val="32"/>
        </w:numPr>
      </w:pPr>
      <w:r w:rsidRPr="0050339D">
        <w:t>Virtual rehabilitation</w:t>
      </w:r>
      <w:r w:rsidR="00250115">
        <w:t>.</w:t>
      </w:r>
    </w:p>
    <w:p w14:paraId="74E3862D" w14:textId="1FC3C8AA" w:rsidR="0050339D" w:rsidRPr="0050339D" w:rsidRDefault="0050339D" w:rsidP="0050339D">
      <w:pPr>
        <w:pStyle w:val="Paragraph"/>
        <w:numPr>
          <w:ilvl w:val="0"/>
          <w:numId w:val="32"/>
        </w:numPr>
      </w:pPr>
      <w:r w:rsidRPr="0050339D">
        <w:t>Return to work plans</w:t>
      </w:r>
      <w:r w:rsidR="00250115">
        <w:t>.</w:t>
      </w:r>
    </w:p>
    <w:p w14:paraId="352CCAB0" w14:textId="4868C8C3" w:rsidR="0050339D" w:rsidRDefault="0050339D" w:rsidP="0050339D">
      <w:pPr>
        <w:pStyle w:val="Paragraph"/>
        <w:numPr>
          <w:ilvl w:val="0"/>
          <w:numId w:val="32"/>
        </w:numPr>
      </w:pPr>
      <w:r w:rsidRPr="0050339D">
        <w:t>Flexible working</w:t>
      </w:r>
      <w:r w:rsidR="00B3092D">
        <w:t xml:space="preserve"> and remote working</w:t>
      </w:r>
      <w:r w:rsidR="00250115">
        <w:t>.</w:t>
      </w:r>
    </w:p>
    <w:p w14:paraId="618C4484" w14:textId="667B793B" w:rsidR="00D42A09" w:rsidRDefault="00D42A09" w:rsidP="007434D8">
      <w:pPr>
        <w:pStyle w:val="Heading40"/>
      </w:pPr>
      <w:r>
        <w:t>Reasonable adjustments</w:t>
      </w:r>
    </w:p>
    <w:p w14:paraId="29E6B5B6" w14:textId="3CA7F1C7" w:rsidR="00D42A09" w:rsidRDefault="00D42A09" w:rsidP="007434D8">
      <w:pPr>
        <w:pStyle w:val="Paragraph"/>
      </w:pPr>
      <w:r w:rsidRPr="00966BA7">
        <w:t>Stakeholder highlighted the importance of making reasonable adjustments to enable employees to work. They noted the particular importance of this to employees with a disability, multiple sclerosis, or arthritis.</w:t>
      </w:r>
    </w:p>
    <w:p w14:paraId="5F8FA0D4" w14:textId="77777777" w:rsidR="00995E81" w:rsidRPr="00FB3784" w:rsidRDefault="00995E81" w:rsidP="00995E81">
      <w:pPr>
        <w:pStyle w:val="Heading40"/>
      </w:pPr>
      <w:r>
        <w:t>Mental Health</w:t>
      </w:r>
    </w:p>
    <w:p w14:paraId="11F3226F" w14:textId="15146611" w:rsidR="00995E81" w:rsidRPr="0050339D" w:rsidRDefault="00995E81" w:rsidP="007434D8">
      <w:pPr>
        <w:pStyle w:val="Paragraph"/>
      </w:pPr>
      <w:r w:rsidRPr="008854A7">
        <w:t>Stakeholders</w:t>
      </w:r>
      <w:r>
        <w:t xml:space="preserve"> also</w:t>
      </w:r>
      <w:r w:rsidRPr="008854A7">
        <w:t xml:space="preserve"> highlighted the importance of employees being supported with their mental health at </w:t>
      </w:r>
      <w:proofErr w:type="gramStart"/>
      <w:r w:rsidRPr="008854A7">
        <w:t>work,</w:t>
      </w:r>
      <w:r>
        <w:t xml:space="preserve"> </w:t>
      </w:r>
      <w:r w:rsidRPr="008854A7">
        <w:t>and</w:t>
      </w:r>
      <w:proofErr w:type="gramEnd"/>
      <w:r w:rsidRPr="008854A7">
        <w:t xml:space="preserve"> gave examples of support including Individual Placement and Supervision, mental health first aid, safe spaces, flexible working, and early intervention.</w:t>
      </w:r>
      <w:r w:rsidRPr="00995E81">
        <w:t xml:space="preserve"> They also highlighted the need for employees to know their rights regarding mental health related absence from work.</w:t>
      </w:r>
    </w:p>
    <w:p w14:paraId="501801A3" w14:textId="77777777" w:rsidR="0034530F" w:rsidRPr="007B1C0E" w:rsidRDefault="0034530F" w:rsidP="0034530F">
      <w:pPr>
        <w:pStyle w:val="Numberedheading3"/>
      </w:pPr>
      <w:r>
        <w:t>S</w:t>
      </w:r>
      <w:r w:rsidRPr="00CD3D03">
        <w:t>elected recommendations from development source</w:t>
      </w:r>
    </w:p>
    <w:p w14:paraId="4403B7D6" w14:textId="4B19D2BE" w:rsidR="0034530F" w:rsidRPr="00913701" w:rsidRDefault="0034530F" w:rsidP="0034530F">
      <w:pPr>
        <w:pStyle w:val="Paragraph"/>
      </w:pPr>
      <w:r>
        <w:t xml:space="preserve">Table </w:t>
      </w:r>
      <w:r w:rsidR="00012446">
        <w:t>5</w:t>
      </w:r>
      <w:r>
        <w:t xml:space="preserve"> below highlights </w:t>
      </w:r>
      <w:r w:rsidRPr="00913701">
        <w:t xml:space="preserve">recommendations that have been provisionally selected from the development </w:t>
      </w:r>
      <w:r w:rsidRPr="00F2333B">
        <w:t>source</w:t>
      </w:r>
      <w:r>
        <w:t>/sources</w:t>
      </w:r>
      <w:r w:rsidRPr="00913701">
        <w:t xml:space="preserve"> </w:t>
      </w:r>
      <w:r>
        <w:t>that may</w:t>
      </w:r>
      <w:r w:rsidRPr="00913701">
        <w:t xml:space="preserve"> support potential statement development.</w:t>
      </w:r>
      <w:r>
        <w:t xml:space="preserve"> These are presented in full after table </w:t>
      </w:r>
      <w:r w:rsidR="00012446">
        <w:t>5</w:t>
      </w:r>
      <w:r>
        <w:t xml:space="preserve"> to help inform the committee’s discussion.</w:t>
      </w:r>
    </w:p>
    <w:p w14:paraId="5DB05C9D" w14:textId="38B6979E" w:rsidR="0034530F" w:rsidRPr="00F45FBA" w:rsidRDefault="0034530F" w:rsidP="0034530F">
      <w:pPr>
        <w:pStyle w:val="Heading3"/>
      </w:pPr>
      <w:r>
        <w:t xml:space="preserve">Table </w:t>
      </w:r>
      <w:r w:rsidR="00012446">
        <w:t>5</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34530F" w:rsidRPr="00FD3FF6" w14:paraId="4CECF98B" w14:textId="77777777" w:rsidTr="0034530F">
        <w:trPr>
          <w:trHeight w:val="321"/>
        </w:trPr>
        <w:tc>
          <w:tcPr>
            <w:tcW w:w="4113" w:type="dxa"/>
            <w:shd w:val="clear" w:color="auto" w:fill="auto"/>
            <w:hideMark/>
          </w:tcPr>
          <w:p w14:paraId="51DDE500" w14:textId="77777777" w:rsidR="0034530F" w:rsidRPr="009C32E3" w:rsidRDefault="0034530F" w:rsidP="0034530F">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14:paraId="48A71567" w14:textId="77777777" w:rsidR="0034530F" w:rsidRPr="009C32E3" w:rsidRDefault="0034530F" w:rsidP="0034530F">
            <w:pPr>
              <w:pStyle w:val="Tabletitle"/>
              <w:rPr>
                <w:highlight w:val="lightGray"/>
              </w:rPr>
            </w:pPr>
            <w:r w:rsidRPr="00F2333B">
              <w:t>Selected source guidance recommendations</w:t>
            </w:r>
          </w:p>
        </w:tc>
      </w:tr>
      <w:tr w:rsidR="0034530F" w:rsidRPr="005E5E3B" w14:paraId="3B074841" w14:textId="77777777" w:rsidTr="0034530F">
        <w:trPr>
          <w:trHeight w:val="996"/>
        </w:trPr>
        <w:tc>
          <w:tcPr>
            <w:tcW w:w="4113" w:type="dxa"/>
            <w:shd w:val="clear" w:color="auto" w:fill="auto"/>
          </w:tcPr>
          <w:p w14:paraId="3A2E1D44" w14:textId="59CB8FAD" w:rsidR="0034530F" w:rsidRPr="00DD0BD8" w:rsidRDefault="0050339D" w:rsidP="0034530F">
            <w:pPr>
              <w:pStyle w:val="Tabletext"/>
              <w:rPr>
                <w:highlight w:val="lightGray"/>
              </w:rPr>
            </w:pPr>
            <w:r w:rsidRPr="0050339D">
              <w:t>Support to return to work</w:t>
            </w:r>
          </w:p>
        </w:tc>
        <w:tc>
          <w:tcPr>
            <w:tcW w:w="4395" w:type="dxa"/>
            <w:shd w:val="clear" w:color="auto" w:fill="auto"/>
          </w:tcPr>
          <w:p w14:paraId="16259664" w14:textId="61A6EB0C" w:rsidR="0034530F" w:rsidRPr="002E7696" w:rsidRDefault="0034530F" w:rsidP="0034530F">
            <w:pPr>
              <w:pStyle w:val="Tabletext"/>
            </w:pPr>
            <w:r w:rsidRPr="002E7696">
              <w:t>NICE NG</w:t>
            </w:r>
            <w:r w:rsidR="0050339D" w:rsidRPr="002E7696">
              <w:t>146</w:t>
            </w:r>
            <w:r w:rsidRPr="002E7696">
              <w:t xml:space="preserve"> Recommendations</w:t>
            </w:r>
            <w:r w:rsidR="00D42A09">
              <w:t xml:space="preserve"> 1</w:t>
            </w:r>
            <w:r w:rsidR="00B02705" w:rsidRPr="002E7696">
              <w:t>.3.3</w:t>
            </w:r>
            <w:r w:rsidR="00383E0A">
              <w:t xml:space="preserve"> </w:t>
            </w:r>
            <w:r w:rsidR="00950176">
              <w:t>and</w:t>
            </w:r>
            <w:r w:rsidR="00B02705" w:rsidRPr="002E7696">
              <w:t xml:space="preserve"> 1.7.2</w:t>
            </w:r>
          </w:p>
        </w:tc>
      </w:tr>
      <w:tr w:rsidR="00D42A09" w:rsidRPr="005E5E3B" w14:paraId="2D2677BE" w14:textId="77777777" w:rsidTr="0034530F">
        <w:trPr>
          <w:trHeight w:val="996"/>
        </w:trPr>
        <w:tc>
          <w:tcPr>
            <w:tcW w:w="4113" w:type="dxa"/>
            <w:shd w:val="clear" w:color="auto" w:fill="auto"/>
          </w:tcPr>
          <w:p w14:paraId="7CBA9CD2" w14:textId="3843CE4D" w:rsidR="00D42A09" w:rsidRPr="0050339D" w:rsidRDefault="00D42A09" w:rsidP="00D42A09">
            <w:pPr>
              <w:pStyle w:val="Tabletext"/>
            </w:pPr>
            <w:r w:rsidRPr="00966BA7">
              <w:lastRenderedPageBreak/>
              <w:t>Making reasonable adjustments</w:t>
            </w:r>
          </w:p>
        </w:tc>
        <w:tc>
          <w:tcPr>
            <w:tcW w:w="4395" w:type="dxa"/>
            <w:shd w:val="clear" w:color="auto" w:fill="auto"/>
          </w:tcPr>
          <w:p w14:paraId="1E1F2DA3" w14:textId="5B9405B9" w:rsidR="00D42A09" w:rsidRPr="002E7696" w:rsidRDefault="00D42A09" w:rsidP="00D42A09">
            <w:pPr>
              <w:pStyle w:val="Tabletext"/>
            </w:pPr>
            <w:r w:rsidRPr="00966BA7">
              <w:t>NICE NG146 Recommendations 1.4.1, 1.4.</w:t>
            </w:r>
            <w:r w:rsidR="00383E0A">
              <w:t>2</w:t>
            </w:r>
            <w:r w:rsidRPr="00966BA7">
              <w:t>, 1.4.3</w:t>
            </w:r>
            <w:r w:rsidR="00950176">
              <w:t xml:space="preserve"> and </w:t>
            </w:r>
            <w:r w:rsidR="00950176" w:rsidRPr="00950176">
              <w:t>1.7.1</w:t>
            </w:r>
          </w:p>
        </w:tc>
      </w:tr>
      <w:tr w:rsidR="00995E81" w:rsidRPr="005E5E3B" w14:paraId="3246F3A4" w14:textId="77777777" w:rsidTr="0034530F">
        <w:trPr>
          <w:trHeight w:val="996"/>
        </w:trPr>
        <w:tc>
          <w:tcPr>
            <w:tcW w:w="4113" w:type="dxa"/>
            <w:shd w:val="clear" w:color="auto" w:fill="auto"/>
          </w:tcPr>
          <w:p w14:paraId="561ADDCA" w14:textId="19FA0C98" w:rsidR="00995E81" w:rsidRPr="00966BA7" w:rsidRDefault="00995E81" w:rsidP="00995E81">
            <w:pPr>
              <w:pStyle w:val="Tabletext"/>
            </w:pPr>
            <w:r w:rsidRPr="00632011">
              <w:rPr>
                <w:bCs/>
              </w:rPr>
              <w:t>Mental Health</w:t>
            </w:r>
          </w:p>
        </w:tc>
        <w:tc>
          <w:tcPr>
            <w:tcW w:w="4395" w:type="dxa"/>
            <w:shd w:val="clear" w:color="auto" w:fill="auto"/>
          </w:tcPr>
          <w:p w14:paraId="5FBB5F61" w14:textId="32C21438" w:rsidR="00995E81" w:rsidRPr="00966BA7" w:rsidRDefault="00995E81" w:rsidP="00995E81">
            <w:pPr>
              <w:pStyle w:val="Tabletext"/>
            </w:pPr>
            <w:r w:rsidRPr="001B6D37">
              <w:t>NICE NG146 Recommendation</w:t>
            </w:r>
            <w:r w:rsidR="00052C6A">
              <w:t>s</w:t>
            </w:r>
            <w:r w:rsidRPr="001B6D37">
              <w:t xml:space="preserve"> 1.</w:t>
            </w:r>
            <w:r>
              <w:t>2.3, 1.2.4 1.7.2</w:t>
            </w:r>
          </w:p>
        </w:tc>
      </w:tr>
    </w:tbl>
    <w:p w14:paraId="5E6729D2" w14:textId="1C027D1E" w:rsidR="00D42A09" w:rsidRPr="007434D8" w:rsidRDefault="00562246" w:rsidP="007434D8">
      <w:pPr>
        <w:pStyle w:val="Heading3"/>
        <w:rPr>
          <w:highlight w:val="cyan"/>
        </w:rPr>
      </w:pPr>
      <w:bookmarkStart w:id="42" w:name="_Hlk49506112"/>
      <w:r>
        <w:t>Support to return to work</w:t>
      </w:r>
    </w:p>
    <w:p w14:paraId="0DAAE6B1" w14:textId="5519EB5D" w:rsidR="0034530F" w:rsidRPr="002E7696" w:rsidRDefault="0034530F" w:rsidP="0034530F">
      <w:pPr>
        <w:pStyle w:val="Heading40"/>
      </w:pPr>
      <w:r w:rsidRPr="002E7696">
        <w:t>NICE</w:t>
      </w:r>
      <w:r w:rsidR="00B02705" w:rsidRPr="002E7696">
        <w:t xml:space="preserve"> NG146</w:t>
      </w:r>
    </w:p>
    <w:bookmarkEnd w:id="42"/>
    <w:p w14:paraId="45046599" w14:textId="7CC3AB0C" w:rsidR="00B02705" w:rsidRPr="002E7696" w:rsidRDefault="00B02705" w:rsidP="00B02705">
      <w:pPr>
        <w:pStyle w:val="Heading40"/>
      </w:pPr>
      <w:r w:rsidRPr="002E7696">
        <w:t>Recommendation 1.3.3</w:t>
      </w:r>
    </w:p>
    <w:p w14:paraId="75479861" w14:textId="4DAE6F23" w:rsidR="00B02705" w:rsidRPr="002E7696" w:rsidRDefault="00B02705" w:rsidP="00B02705">
      <w:pPr>
        <w:pStyle w:val="Paragraph"/>
      </w:pPr>
      <w:r w:rsidRPr="002E7696">
        <w:t>When a statement of fitness for work indicates that a person may be fit for work, contact them as soon as possible:</w:t>
      </w:r>
    </w:p>
    <w:p w14:paraId="639DC3B3" w14:textId="3BB29943" w:rsidR="00B02705" w:rsidRPr="002E7696" w:rsidRDefault="00B02705" w:rsidP="002E7696">
      <w:pPr>
        <w:pStyle w:val="Paragraph"/>
        <w:numPr>
          <w:ilvl w:val="0"/>
          <w:numId w:val="35"/>
        </w:numPr>
      </w:pPr>
      <w:r w:rsidRPr="002E7696">
        <w:t>Discuss what adjustments (such as flexible working, phased return, reduced hours, changes to workstations or duties) might help them return to work. Use any recommendations in the statement of fitness for work as a starting point.</w:t>
      </w:r>
    </w:p>
    <w:p w14:paraId="0E0512FF" w14:textId="27B3E706" w:rsidR="00B02705" w:rsidRPr="002E7696" w:rsidRDefault="00B02705" w:rsidP="002E7696">
      <w:pPr>
        <w:pStyle w:val="Paragraph"/>
        <w:numPr>
          <w:ilvl w:val="0"/>
          <w:numId w:val="35"/>
        </w:numPr>
      </w:pPr>
      <w:r w:rsidRPr="002E7696">
        <w:t>Involve the employee and line managers in these discussions initially, and occupational health services if needed.</w:t>
      </w:r>
    </w:p>
    <w:p w14:paraId="21CD4382" w14:textId="73B688DD" w:rsidR="00B02705" w:rsidRPr="002E7696" w:rsidRDefault="00B02705" w:rsidP="002E7696">
      <w:pPr>
        <w:pStyle w:val="Paragraph"/>
        <w:numPr>
          <w:ilvl w:val="0"/>
          <w:numId w:val="35"/>
        </w:numPr>
      </w:pPr>
      <w:r w:rsidRPr="002E7696">
        <w:t>Human resources, trade unions or occupational health services (if not already participating) may also be involved, especially if the circumstances or adjustments are more complex. [2019]</w:t>
      </w:r>
    </w:p>
    <w:p w14:paraId="7E9E5818" w14:textId="59BD20A6" w:rsidR="00B02705" w:rsidRPr="002E7696" w:rsidRDefault="00B02705" w:rsidP="00950176">
      <w:pPr>
        <w:pStyle w:val="Heading40"/>
        <w:tabs>
          <w:tab w:val="left" w:pos="1500"/>
        </w:tabs>
      </w:pPr>
      <w:r w:rsidRPr="002E7696">
        <w:t xml:space="preserve">Recommendation </w:t>
      </w:r>
      <w:r w:rsidR="002E7696" w:rsidRPr="002E7696">
        <w:t>1.7.2</w:t>
      </w:r>
    </w:p>
    <w:p w14:paraId="6D688987" w14:textId="6AE038EC" w:rsidR="002E7696" w:rsidRPr="002E7696" w:rsidRDefault="002E7696" w:rsidP="002E7696">
      <w:pPr>
        <w:pStyle w:val="Paragraph"/>
      </w:pPr>
      <w:r w:rsidRPr="002E7696">
        <w:t>For people who resume work after an absence of 4 or more weeks for a common mental health condition, consider a 3</w:t>
      </w:r>
      <w:r w:rsidRPr="002E7696">
        <w:rPr>
          <w:rFonts w:ascii="Cambria Math" w:hAnsi="Cambria Math" w:cs="Cambria Math"/>
        </w:rPr>
        <w:t>‑</w:t>
      </w:r>
      <w:r w:rsidRPr="002E7696">
        <w:t>month structured support intervention to reduce the likelihood of a recurrence of absence. Involve the line manager in this process, which could be led by an impartial person. The intervention may include:</w:t>
      </w:r>
    </w:p>
    <w:p w14:paraId="2E40585D" w14:textId="7AD8D13E" w:rsidR="002E7696" w:rsidRPr="002E7696" w:rsidRDefault="002E7696" w:rsidP="002E7696">
      <w:pPr>
        <w:pStyle w:val="Paragraph"/>
        <w:numPr>
          <w:ilvl w:val="0"/>
          <w:numId w:val="33"/>
        </w:numPr>
      </w:pPr>
      <w:r w:rsidRPr="002E7696">
        <w:t xml:space="preserve">Meeting the person to identify any issues encountered since their return to </w:t>
      </w:r>
      <w:proofErr w:type="gramStart"/>
      <w:r w:rsidRPr="002E7696">
        <w:t>work, and</w:t>
      </w:r>
      <w:proofErr w:type="gramEnd"/>
      <w:r w:rsidRPr="002E7696">
        <w:t xml:space="preserve"> exploring possible solutions and support needs.</w:t>
      </w:r>
    </w:p>
    <w:p w14:paraId="62B23CA8" w14:textId="75814249" w:rsidR="002E7696" w:rsidRPr="002E7696" w:rsidRDefault="002E7696" w:rsidP="002E7696">
      <w:pPr>
        <w:pStyle w:val="Paragraph"/>
        <w:numPr>
          <w:ilvl w:val="0"/>
          <w:numId w:val="33"/>
        </w:numPr>
      </w:pPr>
      <w:r w:rsidRPr="002E7696">
        <w:t>Developing an action plan to implement, which is agreed with the person's line manager.</w:t>
      </w:r>
    </w:p>
    <w:p w14:paraId="11C794B8" w14:textId="155E6C4C" w:rsidR="00B02705" w:rsidRDefault="002E7696" w:rsidP="002E7696">
      <w:pPr>
        <w:pStyle w:val="Paragraph"/>
        <w:numPr>
          <w:ilvl w:val="0"/>
          <w:numId w:val="33"/>
        </w:numPr>
      </w:pPr>
      <w:r w:rsidRPr="002E7696">
        <w:t>Regular follow-up meetings with the person and their line manager to evaluate progress. [2019]</w:t>
      </w:r>
    </w:p>
    <w:p w14:paraId="15D55A1C" w14:textId="5E1DED54" w:rsidR="00562246" w:rsidRPr="007434D8" w:rsidRDefault="00562246" w:rsidP="007434D8">
      <w:pPr>
        <w:pStyle w:val="Heading3"/>
        <w:rPr>
          <w:highlight w:val="cyan"/>
        </w:rPr>
      </w:pPr>
      <w:r>
        <w:t>Reasonable adjustments</w:t>
      </w:r>
    </w:p>
    <w:p w14:paraId="412E4303" w14:textId="2686A0D9" w:rsidR="00D42A09" w:rsidRPr="00966BA7" w:rsidRDefault="00D42A09" w:rsidP="00D42A09">
      <w:pPr>
        <w:pStyle w:val="Heading40"/>
      </w:pPr>
      <w:r w:rsidRPr="00966BA7">
        <w:t>NICE NG146</w:t>
      </w:r>
    </w:p>
    <w:p w14:paraId="26CDA5A7" w14:textId="77777777" w:rsidR="00D42A09" w:rsidRPr="00966BA7" w:rsidRDefault="00D42A09" w:rsidP="00D42A09">
      <w:pPr>
        <w:pStyle w:val="Heading40"/>
      </w:pPr>
      <w:r w:rsidRPr="00966BA7">
        <w:lastRenderedPageBreak/>
        <w:t>Recommendation 1.4.1</w:t>
      </w:r>
    </w:p>
    <w:p w14:paraId="3A58D029" w14:textId="77777777" w:rsidR="00D42A09" w:rsidRDefault="00D42A09" w:rsidP="00D42A09">
      <w:pPr>
        <w:pStyle w:val="Paragraph"/>
      </w:pPr>
      <w:r w:rsidRPr="00966BA7">
        <w:t>When any work adjustments have been agreed with a person returning from sickness absence:</w:t>
      </w:r>
    </w:p>
    <w:p w14:paraId="7C367C39" w14:textId="77777777" w:rsidR="00D42A09" w:rsidRPr="00966BA7" w:rsidRDefault="00D42A09" w:rsidP="00D42A09">
      <w:pPr>
        <w:pStyle w:val="Paragraph"/>
        <w:numPr>
          <w:ilvl w:val="0"/>
          <w:numId w:val="36"/>
        </w:numPr>
      </w:pPr>
      <w:r w:rsidRPr="00966BA7">
        <w:t>Arrange additional risk assessments if needed. Guidance on these is available on the Health and Safety Executive website.</w:t>
      </w:r>
    </w:p>
    <w:p w14:paraId="514893E9" w14:textId="598E5B49" w:rsidR="00D42A09" w:rsidRDefault="00D42A09" w:rsidP="00D42A09">
      <w:pPr>
        <w:pStyle w:val="Paragraph"/>
        <w:numPr>
          <w:ilvl w:val="0"/>
          <w:numId w:val="36"/>
        </w:numPr>
      </w:pPr>
      <w:r w:rsidRPr="00966BA7">
        <w:t>Discuss with the returning person whether colleagues could be informed about the adjustments to help them understand the need for them. Seek the person's informed consent and, if it is given, explain the reasons why the adjustments are being made. Discuss with colleagues any concerns that they may have about the impact of adjustments. [2019]</w:t>
      </w:r>
    </w:p>
    <w:p w14:paraId="79F93346" w14:textId="41E871D7" w:rsidR="00383E0A" w:rsidRPr="00966BA7" w:rsidRDefault="00383E0A" w:rsidP="00383E0A">
      <w:pPr>
        <w:pStyle w:val="Heading40"/>
      </w:pPr>
      <w:r w:rsidRPr="00966BA7">
        <w:t>Recommendation 1.4.</w:t>
      </w:r>
      <w:r>
        <w:t>2</w:t>
      </w:r>
    </w:p>
    <w:p w14:paraId="13F151D8" w14:textId="1BBBCBE1" w:rsidR="00383E0A" w:rsidRPr="00966BA7" w:rsidRDefault="00383E0A" w:rsidP="006E36AE">
      <w:pPr>
        <w:pStyle w:val="Paragraph"/>
      </w:pPr>
      <w:r w:rsidRPr="00383E0A">
        <w:t>Record any workplace adjustments agreed with the employee, including a timeframe for their implementation and how long they are expected to last, in a written return-to-work plan for the employee and their line manager. [2019]</w:t>
      </w:r>
    </w:p>
    <w:p w14:paraId="685F3F90" w14:textId="77777777" w:rsidR="00D42A09" w:rsidRPr="00966BA7" w:rsidRDefault="00D42A09" w:rsidP="00D42A09">
      <w:pPr>
        <w:pStyle w:val="Heading40"/>
      </w:pPr>
      <w:bookmarkStart w:id="43" w:name="_Hlk51593621"/>
      <w:r w:rsidRPr="00966BA7">
        <w:t>Recommendation 1.4.3</w:t>
      </w:r>
    </w:p>
    <w:bookmarkEnd w:id="43"/>
    <w:p w14:paraId="626D6DAF" w14:textId="403F4916" w:rsidR="00D42A09" w:rsidRDefault="00D42A09" w:rsidP="007434D8">
      <w:pPr>
        <w:pStyle w:val="Paragraph"/>
      </w:pPr>
      <w:r w:rsidRPr="00966BA7">
        <w:t>Monitor any workplace adjustments that have been put in place to see if they are meeting the needs of both the employee and employer. Review this regularly, within a timeframe agreed by the employee and line manager in the written return-to-work plan.</w:t>
      </w:r>
    </w:p>
    <w:p w14:paraId="769C24DE" w14:textId="77777777" w:rsidR="00950176" w:rsidRPr="002E7696" w:rsidRDefault="00950176" w:rsidP="00950176">
      <w:pPr>
        <w:pStyle w:val="Heading40"/>
      </w:pPr>
      <w:r w:rsidRPr="002E7696">
        <w:t>Recommendation 1.7.1</w:t>
      </w:r>
    </w:p>
    <w:p w14:paraId="5F3F5208" w14:textId="77777777" w:rsidR="00950176" w:rsidRDefault="00950176" w:rsidP="00950176">
      <w:pPr>
        <w:pStyle w:val="Paragraph"/>
      </w:pPr>
      <w:r w:rsidRPr="002E7696">
        <w:t>For people who have been absent for 4 or more weeks because of a musculoskeletal condition, consider interventions to help them return to work. For example:</w:t>
      </w:r>
    </w:p>
    <w:p w14:paraId="1B3AE0A3" w14:textId="77777777" w:rsidR="00950176" w:rsidRPr="002E7696" w:rsidRDefault="00950176" w:rsidP="00950176">
      <w:pPr>
        <w:pStyle w:val="Paragraph"/>
        <w:numPr>
          <w:ilvl w:val="0"/>
          <w:numId w:val="34"/>
        </w:numPr>
      </w:pPr>
      <w:r w:rsidRPr="002E7696">
        <w:t>A programme of graded activity delivered by someone with appropriate training (for example, a physical or occupational therapist).</w:t>
      </w:r>
    </w:p>
    <w:p w14:paraId="3CC89DFD" w14:textId="77777777" w:rsidR="00950176" w:rsidRPr="002E7696" w:rsidRDefault="00950176" w:rsidP="00950176">
      <w:pPr>
        <w:pStyle w:val="Paragraph"/>
        <w:numPr>
          <w:ilvl w:val="0"/>
          <w:numId w:val="34"/>
        </w:numPr>
      </w:pPr>
      <w:r w:rsidRPr="002E7696">
        <w:t>Problem-solving therapy.</w:t>
      </w:r>
    </w:p>
    <w:p w14:paraId="7761C567" w14:textId="77777777" w:rsidR="00950176" w:rsidRPr="002E7696" w:rsidRDefault="00950176" w:rsidP="00950176">
      <w:pPr>
        <w:pStyle w:val="Paragraph"/>
        <w:numPr>
          <w:ilvl w:val="0"/>
          <w:numId w:val="34"/>
        </w:numPr>
      </w:pPr>
      <w:r w:rsidRPr="002E7696">
        <w:t>A worksite assessment by a suitably qualified professional to review and discuss with the employee, together with a representative of the employer, the suitability of work tasks or any adjustments that could be made.</w:t>
      </w:r>
    </w:p>
    <w:p w14:paraId="56E3A775" w14:textId="5AECB3B6" w:rsidR="00950176" w:rsidRDefault="00950176" w:rsidP="006E36AE">
      <w:pPr>
        <w:pStyle w:val="Paragraph"/>
        <w:numPr>
          <w:ilvl w:val="0"/>
          <w:numId w:val="34"/>
        </w:numPr>
      </w:pPr>
      <w:r w:rsidRPr="002E7696">
        <w:t>A meeting between the employee and their line manager, facilitated by an impartial person, to agree the key barriers to returning to work and what modifications could be made to the work environment to overcome these. [2019]</w:t>
      </w:r>
    </w:p>
    <w:p w14:paraId="1EF3CFF4" w14:textId="77777777" w:rsidR="00995E81" w:rsidRPr="000D48CF" w:rsidRDefault="00995E81" w:rsidP="00995E81">
      <w:pPr>
        <w:pStyle w:val="Heading3"/>
        <w:rPr>
          <w:highlight w:val="cyan"/>
        </w:rPr>
      </w:pPr>
      <w:r>
        <w:lastRenderedPageBreak/>
        <w:t>Mental Health</w:t>
      </w:r>
    </w:p>
    <w:p w14:paraId="0A7D868E" w14:textId="77777777" w:rsidR="00995E81" w:rsidRPr="00FF256B" w:rsidRDefault="00995E81" w:rsidP="00995E81">
      <w:pPr>
        <w:pStyle w:val="Heading40"/>
      </w:pPr>
      <w:r w:rsidRPr="00FF256B">
        <w:t>NICE NG146</w:t>
      </w:r>
    </w:p>
    <w:p w14:paraId="0C9FB0EF" w14:textId="77777777" w:rsidR="00995E81" w:rsidRPr="00FF256B" w:rsidRDefault="00995E81" w:rsidP="00995E81">
      <w:pPr>
        <w:pStyle w:val="Heading40"/>
      </w:pPr>
      <w:r w:rsidRPr="00FF256B">
        <w:t>Recommendation 1.2.3</w:t>
      </w:r>
    </w:p>
    <w:p w14:paraId="65536EE7" w14:textId="489E012A" w:rsidR="00995E81" w:rsidRPr="00FF256B" w:rsidRDefault="00995E81" w:rsidP="00995E81">
      <w:pPr>
        <w:pStyle w:val="Paragraph"/>
      </w:pPr>
      <w:r w:rsidRPr="00FF256B">
        <w:t>If the person is likely to be absent from work for more than 4 weeks, consider:</w:t>
      </w:r>
    </w:p>
    <w:p w14:paraId="4CD288F5" w14:textId="77777777" w:rsidR="00995E81" w:rsidRPr="00FF256B" w:rsidRDefault="00995E81" w:rsidP="00995E81">
      <w:pPr>
        <w:pStyle w:val="Paragraph"/>
        <w:numPr>
          <w:ilvl w:val="0"/>
          <w:numId w:val="31"/>
        </w:numPr>
      </w:pPr>
      <w:r w:rsidRPr="00FF256B">
        <w:t xml:space="preserve">referral to health rehabilitation and support services, such as physiotherapy, </w:t>
      </w:r>
      <w:proofErr w:type="gramStart"/>
      <w:r w:rsidRPr="00FF256B">
        <w:t>counselling</w:t>
      </w:r>
      <w:proofErr w:type="gramEnd"/>
      <w:r w:rsidRPr="00FF256B">
        <w:t xml:space="preserve"> or occupational therapy</w:t>
      </w:r>
    </w:p>
    <w:p w14:paraId="43DCEE34" w14:textId="77777777" w:rsidR="00995E81" w:rsidRDefault="00995E81" w:rsidP="00995E81">
      <w:pPr>
        <w:pStyle w:val="Paragraph"/>
        <w:numPr>
          <w:ilvl w:val="0"/>
          <w:numId w:val="31"/>
        </w:numPr>
      </w:pPr>
      <w:r w:rsidRPr="00FF256B">
        <w:t>signposting them to other possible expert sources of vocational advice and support relevant to their condition. [2019]</w:t>
      </w:r>
    </w:p>
    <w:p w14:paraId="0DAB1A82" w14:textId="77777777" w:rsidR="00995E81" w:rsidRPr="00CA5CF7" w:rsidRDefault="00995E81" w:rsidP="00995E81">
      <w:pPr>
        <w:pStyle w:val="Heading40"/>
      </w:pPr>
      <w:r w:rsidRPr="00CA5CF7">
        <w:t xml:space="preserve">Recommendation 1.2.4 </w:t>
      </w:r>
    </w:p>
    <w:p w14:paraId="7824A9FE" w14:textId="77777777" w:rsidR="00995E81" w:rsidRDefault="00995E81" w:rsidP="00995E81">
      <w:pPr>
        <w:pStyle w:val="Paragraph"/>
      </w:pPr>
      <w:r>
        <w:t>Take account of the fact that reasons for sickness absence can be complex. Encourage the person to:</w:t>
      </w:r>
    </w:p>
    <w:p w14:paraId="319A5B07" w14:textId="77777777" w:rsidR="00995E81" w:rsidRPr="00CA5CF7" w:rsidRDefault="00995E81" w:rsidP="00995E81">
      <w:pPr>
        <w:pStyle w:val="Paragraph"/>
        <w:numPr>
          <w:ilvl w:val="0"/>
          <w:numId w:val="29"/>
        </w:numPr>
      </w:pPr>
      <w:r w:rsidRPr="00CA5CF7">
        <w:t>reflect on any factors in their work or personal life that may be contributing to their current absence or causing concern about returning to work and</w:t>
      </w:r>
    </w:p>
    <w:p w14:paraId="09A2E8CC" w14:textId="77777777" w:rsidR="00995E81" w:rsidRPr="00CA5CF7" w:rsidRDefault="00995E81" w:rsidP="00995E81">
      <w:pPr>
        <w:pStyle w:val="Paragraph"/>
        <w:numPr>
          <w:ilvl w:val="0"/>
          <w:numId w:val="29"/>
        </w:numPr>
      </w:pPr>
      <w:r w:rsidRPr="00CA5CF7">
        <w:t>identify any additional support they might need. [2019]</w:t>
      </w:r>
    </w:p>
    <w:p w14:paraId="12EB41B1" w14:textId="77777777" w:rsidR="0034530F" w:rsidRDefault="0034530F" w:rsidP="0034530F">
      <w:pPr>
        <w:pStyle w:val="Numberedheading3"/>
      </w:pPr>
      <w:r>
        <w:t>Current UK practice</w:t>
      </w:r>
    </w:p>
    <w:p w14:paraId="49F582EB" w14:textId="75953D13" w:rsidR="00562246" w:rsidRPr="007434D8" w:rsidRDefault="00562246" w:rsidP="007434D8">
      <w:pPr>
        <w:keepNext/>
        <w:spacing w:before="240" w:after="60"/>
        <w:outlineLvl w:val="2"/>
        <w:rPr>
          <w:b/>
          <w:bCs/>
          <w:szCs w:val="26"/>
        </w:rPr>
      </w:pPr>
      <w:r>
        <w:rPr>
          <w:rFonts w:ascii="Arial" w:hAnsi="Arial"/>
          <w:b/>
          <w:bCs/>
          <w:szCs w:val="26"/>
        </w:rPr>
        <w:t>Support to return to work</w:t>
      </w:r>
    </w:p>
    <w:p w14:paraId="1B1B8D53" w14:textId="0D6DD79E" w:rsidR="0034530F" w:rsidRDefault="006C6A29" w:rsidP="0034530F">
      <w:pPr>
        <w:pStyle w:val="Paragraph"/>
      </w:pPr>
      <w:r w:rsidRPr="006C6A29">
        <w:t xml:space="preserve">In a </w:t>
      </w:r>
      <w:hyperlink r:id="rId17" w:history="1">
        <w:r w:rsidRPr="006C6A29">
          <w:rPr>
            <w:rStyle w:val="Hyperlink"/>
          </w:rPr>
          <w:t>DWP and DHSC telephone survey with 2,564 employers</w:t>
        </w:r>
      </w:hyperlink>
      <w:r w:rsidRPr="006C6A29">
        <w:t>,</w:t>
      </w:r>
      <w:r>
        <w:t xml:space="preserve"> employers reported using a range of methods to manage employees return to work after a long term sickness absence</w:t>
      </w:r>
      <w:r w:rsidR="00250115">
        <w:t xml:space="preserve"> including</w:t>
      </w:r>
      <w:r>
        <w:t>:</w:t>
      </w:r>
    </w:p>
    <w:p w14:paraId="4879EEA3" w14:textId="77777777" w:rsidR="006C6A29" w:rsidRDefault="006C6A29" w:rsidP="006C6A29">
      <w:pPr>
        <w:pStyle w:val="Paragraphnonumbers"/>
        <w:numPr>
          <w:ilvl w:val="0"/>
          <w:numId w:val="46"/>
        </w:numPr>
      </w:pPr>
      <w:r w:rsidRPr="00BE5938">
        <w:t>opportunities for employees to return to work in a flexible manner (84%)</w:t>
      </w:r>
    </w:p>
    <w:p w14:paraId="08C4BD5B" w14:textId="77777777" w:rsidR="006C6A29" w:rsidRDefault="006C6A29" w:rsidP="006C6A29">
      <w:pPr>
        <w:pStyle w:val="Paragraphnonumbers"/>
        <w:numPr>
          <w:ilvl w:val="0"/>
          <w:numId w:val="46"/>
        </w:numPr>
      </w:pPr>
      <w:r w:rsidRPr="00BE5938">
        <w:t>offering regular meetings (79%)</w:t>
      </w:r>
    </w:p>
    <w:p w14:paraId="7EA1133D" w14:textId="77777777" w:rsidR="006C6A29" w:rsidRDefault="006C6A29" w:rsidP="006C6A29">
      <w:pPr>
        <w:pStyle w:val="Paragraphnonumbers"/>
        <w:numPr>
          <w:ilvl w:val="0"/>
          <w:numId w:val="46"/>
        </w:numPr>
      </w:pPr>
      <w:r w:rsidRPr="00BE5938">
        <w:t>developing return to work plans (69%)</w:t>
      </w:r>
    </w:p>
    <w:p w14:paraId="6D572345" w14:textId="79588C44" w:rsidR="006C6A29" w:rsidRDefault="00250115" w:rsidP="006C6A29">
      <w:pPr>
        <w:pStyle w:val="Paragraphnonumbers"/>
        <w:numPr>
          <w:ilvl w:val="0"/>
          <w:numId w:val="46"/>
        </w:numPr>
      </w:pPr>
      <w:r>
        <w:t>l</w:t>
      </w:r>
      <w:r w:rsidR="006C6A29" w:rsidRPr="00BE5938">
        <w:t>arger employers were more likely to have used external, specialist support to manage an employee’s return to work (70%) and independent assessments of an employee’s work capacity (80%)</w:t>
      </w:r>
      <w:r>
        <w:t>.</w:t>
      </w:r>
    </w:p>
    <w:p w14:paraId="79B2BF3C" w14:textId="3AEA572D" w:rsidR="00383E0A" w:rsidRPr="007434D8" w:rsidRDefault="00383E0A" w:rsidP="00383E0A">
      <w:pPr>
        <w:pStyle w:val="Heading3"/>
      </w:pPr>
      <w:r>
        <w:t>Reasonable adjustments</w:t>
      </w:r>
    </w:p>
    <w:p w14:paraId="5509F2C1" w14:textId="0FE0749B" w:rsidR="00383E0A" w:rsidRDefault="00383E0A" w:rsidP="006E36AE">
      <w:pPr>
        <w:pStyle w:val="Paragraphnonumbers"/>
      </w:pPr>
      <w:r w:rsidRPr="0068606B">
        <w:t>No published studies on current practice were highlighted for this suggested area for quality improvement; this area is based on stakeholder’s knowledge and experience.</w:t>
      </w:r>
    </w:p>
    <w:p w14:paraId="7530CC4F" w14:textId="3F8B0EDB" w:rsidR="00995E81" w:rsidRDefault="00995E81" w:rsidP="00995E81">
      <w:pPr>
        <w:pStyle w:val="Heading3"/>
      </w:pPr>
      <w:r w:rsidRPr="007434D8">
        <w:lastRenderedPageBreak/>
        <w:t>Mental health</w:t>
      </w:r>
    </w:p>
    <w:p w14:paraId="54C5AF30" w14:textId="01253088" w:rsidR="0037255B" w:rsidRPr="0037255B" w:rsidRDefault="0037255B" w:rsidP="0037255B">
      <w:pPr>
        <w:pStyle w:val="Paragraph"/>
      </w:pPr>
      <w:r w:rsidRPr="0068606B">
        <w:t>No published studies on current practice were highlighted for this suggested area for quality improvement; this area is based on stakeholder’s knowledge and experience</w:t>
      </w:r>
      <w:r>
        <w:t>.</w:t>
      </w:r>
    </w:p>
    <w:p w14:paraId="15B9AE27" w14:textId="77777777" w:rsidR="00F87339" w:rsidRPr="00F87339" w:rsidRDefault="00F87339" w:rsidP="00F87339">
      <w:pPr>
        <w:keepNext/>
        <w:spacing w:before="240" w:after="60"/>
        <w:outlineLvl w:val="2"/>
        <w:rPr>
          <w:rFonts w:ascii="Arial" w:hAnsi="Arial"/>
          <w:b/>
          <w:bCs/>
          <w:szCs w:val="26"/>
        </w:rPr>
      </w:pPr>
      <w:r w:rsidRPr="00F87339">
        <w:rPr>
          <w:rFonts w:ascii="Arial" w:hAnsi="Arial"/>
          <w:b/>
          <w:bCs/>
          <w:szCs w:val="26"/>
        </w:rPr>
        <w:t>Committee discussion</w:t>
      </w:r>
    </w:p>
    <w:tbl>
      <w:tblPr>
        <w:tblStyle w:val="TableGridLight"/>
        <w:tblW w:w="0" w:type="auto"/>
        <w:tblLook w:val="04A0" w:firstRow="1" w:lastRow="0" w:firstColumn="1" w:lastColumn="0" w:noHBand="0" w:noVBand="1"/>
      </w:tblPr>
      <w:tblGrid>
        <w:gridCol w:w="9016"/>
      </w:tblGrid>
      <w:tr w:rsidR="00F87339" w:rsidRPr="00F87339" w14:paraId="27D4E7D7" w14:textId="77777777" w:rsidTr="007434D8">
        <w:trPr>
          <w:trHeight w:val="434"/>
        </w:trPr>
        <w:tc>
          <w:tcPr>
            <w:tcW w:w="9016" w:type="dxa"/>
            <w:shd w:val="clear" w:color="auto" w:fill="7F7F7F" w:themeFill="text1" w:themeFillTint="80"/>
          </w:tcPr>
          <w:p w14:paraId="0F5AC219" w14:textId="77777777" w:rsidR="00F87339" w:rsidRPr="00F87339" w:rsidRDefault="00F87339" w:rsidP="00F87339">
            <w:pPr>
              <w:keepNext/>
              <w:rPr>
                <w:rFonts w:ascii="Arial" w:hAnsi="Arial"/>
                <w:b/>
                <w:sz w:val="22"/>
              </w:rPr>
            </w:pPr>
            <w:r w:rsidRPr="00F87339">
              <w:rPr>
                <w:rFonts w:ascii="Arial" w:hAnsi="Arial"/>
                <w:b/>
                <w:sz w:val="22"/>
              </w:rPr>
              <w:t xml:space="preserve">For discussion </w:t>
            </w:r>
          </w:p>
        </w:tc>
      </w:tr>
      <w:tr w:rsidR="00F87339" w:rsidRPr="00F87339" w14:paraId="623E6228" w14:textId="77777777" w:rsidTr="007434D8">
        <w:trPr>
          <w:trHeight w:val="265"/>
        </w:trPr>
        <w:tc>
          <w:tcPr>
            <w:tcW w:w="9016" w:type="dxa"/>
            <w:shd w:val="clear" w:color="auto" w:fill="F2F2F2" w:themeFill="background1" w:themeFillShade="F2"/>
          </w:tcPr>
          <w:p w14:paraId="2DCEE3C5" w14:textId="77777777" w:rsidR="00F87339" w:rsidRPr="00F87339" w:rsidRDefault="00F87339" w:rsidP="00F87339">
            <w:pPr>
              <w:numPr>
                <w:ilvl w:val="0"/>
                <w:numId w:val="1"/>
              </w:numPr>
              <w:tabs>
                <w:tab w:val="left" w:pos="284"/>
              </w:tabs>
              <w:rPr>
                <w:rFonts w:ascii="Arial" w:hAnsi="Arial"/>
                <w:sz w:val="22"/>
                <w:szCs w:val="22"/>
              </w:rPr>
            </w:pPr>
            <w:r w:rsidRPr="00F87339">
              <w:rPr>
                <w:rFonts w:ascii="Arial" w:hAnsi="Arial"/>
                <w:sz w:val="22"/>
                <w:szCs w:val="22"/>
              </w:rPr>
              <w:t>What is the priority for improvement?</w:t>
            </w:r>
          </w:p>
          <w:p w14:paraId="7504CD09" w14:textId="278DBAA9" w:rsidR="00F87339" w:rsidRDefault="00F87339" w:rsidP="00F87339">
            <w:pPr>
              <w:numPr>
                <w:ilvl w:val="0"/>
                <w:numId w:val="1"/>
              </w:numPr>
              <w:tabs>
                <w:tab w:val="left" w:pos="284"/>
              </w:tabs>
              <w:rPr>
                <w:rFonts w:ascii="Arial" w:hAnsi="Arial"/>
                <w:sz w:val="22"/>
                <w:szCs w:val="22"/>
              </w:rPr>
            </w:pPr>
            <w:r w:rsidRPr="00F87339">
              <w:rPr>
                <w:rFonts w:ascii="Arial" w:hAnsi="Arial"/>
                <w:sz w:val="22"/>
                <w:szCs w:val="22"/>
              </w:rPr>
              <w:t>What is the key action that will lead to improvement?</w:t>
            </w:r>
          </w:p>
          <w:p w14:paraId="2ECAFF31" w14:textId="77777777" w:rsidR="001B7CC4" w:rsidRPr="00F87339" w:rsidRDefault="001B7CC4" w:rsidP="001B7CC4">
            <w:pPr>
              <w:numPr>
                <w:ilvl w:val="0"/>
                <w:numId w:val="1"/>
              </w:numPr>
              <w:tabs>
                <w:tab w:val="left" w:pos="284"/>
              </w:tabs>
              <w:rPr>
                <w:rFonts w:ascii="Arial" w:hAnsi="Arial"/>
                <w:sz w:val="22"/>
                <w:szCs w:val="22"/>
              </w:rPr>
            </w:pPr>
            <w:r w:rsidRPr="00F87339">
              <w:rPr>
                <w:rFonts w:ascii="Arial" w:hAnsi="Arial"/>
                <w:sz w:val="22"/>
                <w:szCs w:val="22"/>
              </w:rPr>
              <w:t>Could we focus on a specific audience or setting?</w:t>
            </w:r>
          </w:p>
          <w:p w14:paraId="7021F845" w14:textId="77777777" w:rsidR="00F87339" w:rsidRPr="00F87339" w:rsidRDefault="00F87339" w:rsidP="00F87339">
            <w:pPr>
              <w:numPr>
                <w:ilvl w:val="0"/>
                <w:numId w:val="1"/>
              </w:numPr>
              <w:tabs>
                <w:tab w:val="left" w:pos="284"/>
              </w:tabs>
              <w:rPr>
                <w:rFonts w:ascii="Arial" w:hAnsi="Arial"/>
                <w:sz w:val="22"/>
                <w:szCs w:val="22"/>
              </w:rPr>
            </w:pPr>
            <w:r w:rsidRPr="00F87339">
              <w:rPr>
                <w:rFonts w:ascii="Arial" w:hAnsi="Arial"/>
                <w:sz w:val="22"/>
                <w:szCs w:val="22"/>
              </w:rPr>
              <w:t>Can we develop a specific, measurable statement?</w:t>
            </w:r>
          </w:p>
        </w:tc>
      </w:tr>
      <w:tr w:rsidR="00F87339" w:rsidRPr="00F87339" w14:paraId="39077C77" w14:textId="77777777" w:rsidTr="007434D8">
        <w:trPr>
          <w:trHeight w:val="265"/>
        </w:trPr>
        <w:tc>
          <w:tcPr>
            <w:tcW w:w="9016" w:type="dxa"/>
            <w:shd w:val="clear" w:color="auto" w:fill="7F7F7F" w:themeFill="text1" w:themeFillTint="80"/>
          </w:tcPr>
          <w:p w14:paraId="0E487260" w14:textId="77777777" w:rsidR="00F87339" w:rsidRPr="00F87339" w:rsidRDefault="00F87339" w:rsidP="00F87339">
            <w:pPr>
              <w:keepNext/>
              <w:rPr>
                <w:rFonts w:ascii="Arial" w:hAnsi="Arial"/>
                <w:b/>
                <w:sz w:val="22"/>
              </w:rPr>
            </w:pPr>
            <w:r w:rsidRPr="00F87339">
              <w:rPr>
                <w:rFonts w:ascii="Arial" w:hAnsi="Arial"/>
                <w:b/>
                <w:sz w:val="22"/>
              </w:rPr>
              <w:t>For decision</w:t>
            </w:r>
          </w:p>
          <w:p w14:paraId="0C587830" w14:textId="77777777" w:rsidR="00F87339" w:rsidRPr="00F87339" w:rsidRDefault="00F87339" w:rsidP="00F87339"/>
        </w:tc>
      </w:tr>
      <w:tr w:rsidR="00F87339" w:rsidRPr="00F87339" w14:paraId="25FD9B08" w14:textId="77777777" w:rsidTr="007434D8">
        <w:trPr>
          <w:trHeight w:val="265"/>
        </w:trPr>
        <w:tc>
          <w:tcPr>
            <w:tcW w:w="9016" w:type="dxa"/>
            <w:shd w:val="clear" w:color="auto" w:fill="F2F2F2" w:themeFill="background1" w:themeFillShade="F2"/>
          </w:tcPr>
          <w:p w14:paraId="6F3EAF74" w14:textId="77777777" w:rsidR="00F87339" w:rsidRPr="00F87339" w:rsidRDefault="00F87339" w:rsidP="00F87339">
            <w:pPr>
              <w:numPr>
                <w:ilvl w:val="0"/>
                <w:numId w:val="1"/>
              </w:numPr>
              <w:tabs>
                <w:tab w:val="left" w:pos="284"/>
              </w:tabs>
              <w:rPr>
                <w:rFonts w:ascii="Arial" w:hAnsi="Arial"/>
                <w:sz w:val="22"/>
                <w:szCs w:val="22"/>
              </w:rPr>
            </w:pPr>
            <w:r w:rsidRPr="00F87339">
              <w:rPr>
                <w:rFonts w:ascii="Arial" w:hAnsi="Arial"/>
                <w:sz w:val="22"/>
                <w:szCs w:val="22"/>
              </w:rPr>
              <w:t>Should this area be prioritised for inclusion in the quality standard?</w:t>
            </w:r>
          </w:p>
          <w:p w14:paraId="52DDE741" w14:textId="77777777" w:rsidR="00F87339" w:rsidRPr="00F87339" w:rsidRDefault="00F87339" w:rsidP="00F87339">
            <w:pPr>
              <w:tabs>
                <w:tab w:val="left" w:pos="284"/>
              </w:tabs>
              <w:ind w:left="284"/>
              <w:rPr>
                <w:rFonts w:ascii="Arial" w:hAnsi="Arial"/>
                <w:sz w:val="22"/>
                <w:szCs w:val="22"/>
              </w:rPr>
            </w:pPr>
          </w:p>
        </w:tc>
      </w:tr>
    </w:tbl>
    <w:p w14:paraId="01DB1002" w14:textId="743109A2" w:rsidR="00F87339" w:rsidRDefault="00F87339" w:rsidP="007434D8">
      <w:pPr>
        <w:pStyle w:val="Paragraphnonumbers"/>
      </w:pPr>
    </w:p>
    <w:p w14:paraId="184B779A" w14:textId="6DDF3B3E" w:rsidR="00915A55" w:rsidRDefault="00915A55">
      <w:pPr>
        <w:rPr>
          <w:rFonts w:ascii="Arial" w:hAnsi="Arial"/>
          <w:lang w:eastAsia="en-GB"/>
        </w:rPr>
      </w:pPr>
      <w:r>
        <w:br w:type="page"/>
      </w:r>
    </w:p>
    <w:p w14:paraId="57CD1501" w14:textId="77777777" w:rsidR="00915A55" w:rsidRPr="00433117" w:rsidRDefault="00915A55" w:rsidP="00915A55">
      <w:pPr>
        <w:pStyle w:val="Numberedheading2"/>
      </w:pPr>
      <w:r>
        <w:lastRenderedPageBreak/>
        <w:t>Culture and Policy</w:t>
      </w:r>
    </w:p>
    <w:p w14:paraId="71ABB402" w14:textId="77777777" w:rsidR="00915A55" w:rsidRDefault="00915A55" w:rsidP="00915A55">
      <w:pPr>
        <w:pStyle w:val="Numberedheading3"/>
      </w:pPr>
      <w:r>
        <w:t>Summary of suggestions</w:t>
      </w:r>
    </w:p>
    <w:p w14:paraId="6325991A" w14:textId="77777777" w:rsidR="00915A55" w:rsidRPr="00E327C3" w:rsidRDefault="00915A55" w:rsidP="00915A55">
      <w:pPr>
        <w:pStyle w:val="Heading40"/>
      </w:pPr>
      <w:r>
        <w:t>Workplace Culture</w:t>
      </w:r>
    </w:p>
    <w:p w14:paraId="346F5556" w14:textId="77777777" w:rsidR="00915A55" w:rsidRDefault="00915A55" w:rsidP="00915A55">
      <w:pPr>
        <w:pStyle w:val="Paragraph"/>
      </w:pPr>
      <w:r w:rsidRPr="00BB1469">
        <w:t xml:space="preserve">Stakeholders highlighted the role of workplace culture and leadership in creating and supporting healthy </w:t>
      </w:r>
      <w:proofErr w:type="gramStart"/>
      <w:r w:rsidRPr="00BB1469">
        <w:t>workplaces</w:t>
      </w:r>
      <w:r>
        <w:t>, and</w:t>
      </w:r>
      <w:proofErr w:type="gramEnd"/>
      <w:r>
        <w:t xml:space="preserve"> prioritising health and wellbeing of their employees</w:t>
      </w:r>
      <w:r w:rsidRPr="00BB1469">
        <w:t>. They also highlighted the importance of workplace culture that recognises disabilities and long</w:t>
      </w:r>
      <w:r>
        <w:t>-</w:t>
      </w:r>
      <w:r w:rsidRPr="00BB1469">
        <w:t>term health conditions as part of working life.</w:t>
      </w:r>
    </w:p>
    <w:p w14:paraId="2E298462" w14:textId="77777777" w:rsidR="00915A55" w:rsidRPr="00FB3784" w:rsidRDefault="00915A55" w:rsidP="00915A55">
      <w:pPr>
        <w:pStyle w:val="Heading40"/>
      </w:pPr>
      <w:r>
        <w:t>Policy</w:t>
      </w:r>
    </w:p>
    <w:p w14:paraId="09C869AA" w14:textId="77777777" w:rsidR="00915A55" w:rsidRPr="00E327C3" w:rsidRDefault="00915A55" w:rsidP="00915A55">
      <w:pPr>
        <w:pStyle w:val="Heading40"/>
      </w:pPr>
      <w:r w:rsidRPr="00BB1469">
        <w:rPr>
          <w:u w:val="none"/>
        </w:rPr>
        <w:t>Stakeholder</w:t>
      </w:r>
      <w:r>
        <w:rPr>
          <w:u w:val="none"/>
        </w:rPr>
        <w:t>s</w:t>
      </w:r>
      <w:r w:rsidRPr="00BB1469">
        <w:rPr>
          <w:u w:val="none"/>
        </w:rPr>
        <w:t xml:space="preserve"> highlighted the importance of policy documents that take into account the needs of people with disabilities and/or long term </w:t>
      </w:r>
      <w:proofErr w:type="gramStart"/>
      <w:r w:rsidRPr="00BB1469">
        <w:rPr>
          <w:u w:val="none"/>
        </w:rPr>
        <w:t>conditions, and</w:t>
      </w:r>
      <w:proofErr w:type="gramEnd"/>
      <w:r w:rsidRPr="00BB1469">
        <w:rPr>
          <w:u w:val="none"/>
        </w:rPr>
        <w:t xml:space="preserve"> can be adapted to suit the needs of individual employees. They commented that people with disabilities and/or long-term conditions may be disadvantaged when absence policies do not take in to account their increased likelihood for taking sickness absence. Stakeholders suggested differentiating sickness absence related to an employee’s disability from </w:t>
      </w:r>
      <w:r>
        <w:rPr>
          <w:u w:val="none"/>
        </w:rPr>
        <w:t xml:space="preserve">other </w:t>
      </w:r>
      <w:r w:rsidRPr="00BB1469">
        <w:rPr>
          <w:u w:val="none"/>
        </w:rPr>
        <w:t>sickness absence as an example of reasonable adjustment to policy.</w:t>
      </w:r>
    </w:p>
    <w:p w14:paraId="688A4BDD" w14:textId="77777777" w:rsidR="00915A55" w:rsidRPr="007B1C0E" w:rsidRDefault="00915A55" w:rsidP="00915A55">
      <w:pPr>
        <w:pStyle w:val="Numberedheading3"/>
      </w:pPr>
      <w:r>
        <w:t>S</w:t>
      </w:r>
      <w:r w:rsidRPr="00CD3D03">
        <w:t>elected recommendations from development source</w:t>
      </w:r>
    </w:p>
    <w:p w14:paraId="1C8D4477" w14:textId="4702C628" w:rsidR="00915A55" w:rsidRPr="00DD56F6" w:rsidRDefault="00915A55" w:rsidP="00915A55">
      <w:pPr>
        <w:pStyle w:val="Paragraph"/>
      </w:pPr>
      <w:r w:rsidRPr="00DD56F6">
        <w:t xml:space="preserve">Table </w:t>
      </w:r>
      <w:r w:rsidR="00012446">
        <w:t>6</w:t>
      </w:r>
      <w:r w:rsidRPr="00DD56F6">
        <w:t xml:space="preserve"> below highlights recommendations that have been provisionally selected from the development source</w:t>
      </w:r>
      <w:r>
        <w:t>/sources</w:t>
      </w:r>
      <w:r w:rsidRPr="00DD56F6">
        <w:t xml:space="preserve"> </w:t>
      </w:r>
      <w:r>
        <w:t>that</w:t>
      </w:r>
      <w:r w:rsidRPr="00DD56F6">
        <w:t xml:space="preserve"> may support potential statement development. </w:t>
      </w:r>
      <w:r>
        <w:t xml:space="preserve">These are presented in full after table </w:t>
      </w:r>
      <w:r w:rsidR="00012446">
        <w:t>6</w:t>
      </w:r>
      <w:r>
        <w:t xml:space="preserve"> to help inform the committee’s discussion.</w:t>
      </w:r>
    </w:p>
    <w:p w14:paraId="72884146" w14:textId="446A7BAB" w:rsidR="00915A55" w:rsidRPr="00F45FBA" w:rsidRDefault="00915A55" w:rsidP="00915A55">
      <w:pPr>
        <w:pStyle w:val="Heading3"/>
      </w:pPr>
      <w:r w:rsidRPr="00F45FBA">
        <w:t xml:space="preserve">Table </w:t>
      </w:r>
      <w:r w:rsidR="00012446">
        <w:t>6</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915A55" w:rsidRPr="00FD3FF6" w14:paraId="50A4CF73" w14:textId="77777777" w:rsidTr="004E4BF8">
        <w:trPr>
          <w:trHeight w:val="321"/>
        </w:trPr>
        <w:tc>
          <w:tcPr>
            <w:tcW w:w="4113" w:type="dxa"/>
            <w:shd w:val="clear" w:color="auto" w:fill="auto"/>
            <w:hideMark/>
          </w:tcPr>
          <w:p w14:paraId="703D1589" w14:textId="77777777" w:rsidR="00915A55" w:rsidRPr="009C32E3" w:rsidRDefault="00915A55" w:rsidP="004E4BF8">
            <w:pPr>
              <w:pStyle w:val="Tabletitle"/>
              <w:rPr>
                <w:highlight w:val="lightGray"/>
              </w:rPr>
            </w:pPr>
            <w:r w:rsidRPr="00DD56F6">
              <w:t>Suggested quality improvement are</w:t>
            </w:r>
            <w:r>
              <w:t>a</w:t>
            </w:r>
          </w:p>
        </w:tc>
        <w:tc>
          <w:tcPr>
            <w:tcW w:w="4395" w:type="dxa"/>
            <w:shd w:val="clear" w:color="auto" w:fill="auto"/>
            <w:hideMark/>
          </w:tcPr>
          <w:p w14:paraId="72701364" w14:textId="77777777" w:rsidR="00915A55" w:rsidRPr="009C32E3" w:rsidRDefault="00915A55" w:rsidP="004E4BF8">
            <w:pPr>
              <w:pStyle w:val="Tabletitle"/>
              <w:rPr>
                <w:highlight w:val="lightGray"/>
              </w:rPr>
            </w:pPr>
            <w:r w:rsidRPr="00DD56F6">
              <w:t>Suggested source guidance recommendation</w:t>
            </w:r>
            <w:r>
              <w:t>s</w:t>
            </w:r>
          </w:p>
        </w:tc>
      </w:tr>
      <w:tr w:rsidR="00915A55" w:rsidRPr="005E5E3B" w14:paraId="1EA260CF" w14:textId="77777777" w:rsidTr="004E4BF8">
        <w:trPr>
          <w:trHeight w:val="996"/>
        </w:trPr>
        <w:tc>
          <w:tcPr>
            <w:tcW w:w="4113" w:type="dxa"/>
            <w:shd w:val="clear" w:color="auto" w:fill="auto"/>
          </w:tcPr>
          <w:p w14:paraId="5DB74CD0" w14:textId="77777777" w:rsidR="00915A55" w:rsidRPr="001E7267" w:rsidRDefault="00915A55" w:rsidP="004E4BF8">
            <w:pPr>
              <w:pStyle w:val="Tabletext"/>
              <w:rPr>
                <w:bCs/>
                <w:highlight w:val="cyan"/>
              </w:rPr>
            </w:pPr>
            <w:r>
              <w:rPr>
                <w:bCs/>
              </w:rPr>
              <w:t>Workplace culture</w:t>
            </w:r>
          </w:p>
        </w:tc>
        <w:tc>
          <w:tcPr>
            <w:tcW w:w="4395" w:type="dxa"/>
            <w:shd w:val="clear" w:color="auto" w:fill="auto"/>
          </w:tcPr>
          <w:p w14:paraId="5C0A9FD4" w14:textId="77777777" w:rsidR="00915A55" w:rsidRPr="007434D8" w:rsidRDefault="00915A55" w:rsidP="004E4BF8">
            <w:pPr>
              <w:pStyle w:val="Tabletext"/>
            </w:pPr>
            <w:r>
              <w:t>NICE NG146 Recommendations 1.1.1, 1.1.2, 1.1.5</w:t>
            </w:r>
          </w:p>
        </w:tc>
      </w:tr>
      <w:tr w:rsidR="00915A55" w:rsidRPr="005E5E3B" w14:paraId="0920DA0B" w14:textId="77777777" w:rsidTr="004E4BF8">
        <w:trPr>
          <w:trHeight w:val="996"/>
        </w:trPr>
        <w:tc>
          <w:tcPr>
            <w:tcW w:w="4113" w:type="dxa"/>
            <w:shd w:val="clear" w:color="auto" w:fill="auto"/>
          </w:tcPr>
          <w:p w14:paraId="5668A20A" w14:textId="77777777" w:rsidR="00915A55" w:rsidRPr="000C5484" w:rsidRDefault="00915A55" w:rsidP="004E4BF8">
            <w:pPr>
              <w:pStyle w:val="Tabletext"/>
              <w:rPr>
                <w:bCs/>
                <w:highlight w:val="cyan"/>
              </w:rPr>
            </w:pPr>
            <w:r>
              <w:rPr>
                <w:bCs/>
              </w:rPr>
              <w:t>Policy</w:t>
            </w:r>
          </w:p>
        </w:tc>
        <w:tc>
          <w:tcPr>
            <w:tcW w:w="4395" w:type="dxa"/>
            <w:shd w:val="clear" w:color="auto" w:fill="auto"/>
          </w:tcPr>
          <w:p w14:paraId="071D465C" w14:textId="77777777" w:rsidR="00915A55" w:rsidRPr="00381592" w:rsidRDefault="00915A55" w:rsidP="004E4BF8">
            <w:pPr>
              <w:pStyle w:val="Tabletext"/>
            </w:pPr>
            <w:r w:rsidRPr="001B6D37">
              <w:t>NICE NG146 Recommendation</w:t>
            </w:r>
            <w:r>
              <w:t>s</w:t>
            </w:r>
            <w:r w:rsidRPr="001B6D37">
              <w:t xml:space="preserve"> </w:t>
            </w:r>
            <w:r>
              <w:t>1.1.7, 1.1.9</w:t>
            </w:r>
          </w:p>
        </w:tc>
      </w:tr>
    </w:tbl>
    <w:p w14:paraId="3D34B135" w14:textId="77777777" w:rsidR="00636595" w:rsidRDefault="00636595" w:rsidP="00915A55">
      <w:pPr>
        <w:pStyle w:val="Paragraph"/>
        <w:rPr>
          <w:b/>
          <w:bCs/>
          <w:szCs w:val="26"/>
        </w:rPr>
      </w:pPr>
    </w:p>
    <w:p w14:paraId="084B4ABE" w14:textId="77777777" w:rsidR="00636595" w:rsidRDefault="00636595">
      <w:pPr>
        <w:rPr>
          <w:rFonts w:ascii="Arial" w:hAnsi="Arial"/>
          <w:b/>
          <w:bCs/>
          <w:szCs w:val="26"/>
        </w:rPr>
      </w:pPr>
      <w:r>
        <w:rPr>
          <w:b/>
          <w:bCs/>
          <w:szCs w:val="26"/>
        </w:rPr>
        <w:br w:type="page"/>
      </w:r>
    </w:p>
    <w:p w14:paraId="4C598853" w14:textId="297F00B8" w:rsidR="00915A55" w:rsidRDefault="00915A55" w:rsidP="00636595">
      <w:pPr>
        <w:pStyle w:val="Heading3"/>
      </w:pPr>
      <w:r>
        <w:lastRenderedPageBreak/>
        <w:t>Workplace Culture</w:t>
      </w:r>
      <w:r w:rsidRPr="006506C8">
        <w:t xml:space="preserve"> </w:t>
      </w:r>
    </w:p>
    <w:p w14:paraId="21CFB810" w14:textId="77777777" w:rsidR="00915A55" w:rsidRPr="00E23B7B" w:rsidRDefault="00915A55" w:rsidP="00915A55">
      <w:pPr>
        <w:pStyle w:val="Heading40"/>
      </w:pPr>
      <w:r w:rsidRPr="00E23B7B">
        <w:t>NICE NG146</w:t>
      </w:r>
    </w:p>
    <w:p w14:paraId="38D50478" w14:textId="77777777" w:rsidR="00915A55" w:rsidRPr="00E23B7B" w:rsidRDefault="00915A55" w:rsidP="00915A55">
      <w:pPr>
        <w:pStyle w:val="Heading40"/>
      </w:pPr>
      <w:r w:rsidRPr="00E23B7B">
        <w:t xml:space="preserve">Recommendation 1.1.1 </w:t>
      </w:r>
    </w:p>
    <w:p w14:paraId="5F195472" w14:textId="77777777" w:rsidR="00915A55" w:rsidRDefault="00915A55" w:rsidP="00915A55">
      <w:pPr>
        <w:pStyle w:val="Paragraph"/>
      </w:pPr>
      <w:r w:rsidRPr="00E23B7B">
        <w:t>Make health and </w:t>
      </w:r>
      <w:hyperlink r:id="rId18" w:anchor="wellbeing" w:tgtFrame="_top" w:history="1">
        <w:r w:rsidRPr="00E23B7B">
          <w:rPr>
            <w:rStyle w:val="Hyperlink"/>
          </w:rPr>
          <w:t>wellbeing</w:t>
        </w:r>
      </w:hyperlink>
      <w:r w:rsidRPr="00E23B7B">
        <w:t> a core priority for the top level of management of the organisation. See the </w:t>
      </w:r>
      <w:hyperlink r:id="rId19" w:anchor="organisational-commitment" w:tgtFrame="_top" w:history="1">
        <w:r w:rsidRPr="00E23B7B">
          <w:rPr>
            <w:rStyle w:val="Hyperlink"/>
          </w:rPr>
          <w:t>section on organisational commitment in NICE's guideline on workplace health: management practices</w:t>
        </w:r>
      </w:hyperlink>
      <w:r w:rsidRPr="00E23B7B">
        <w:t> (this section includes making health and wellbeing a core priority, ensuring the commitment of managers, and the importance of policies and of clear communication). [2019]</w:t>
      </w:r>
    </w:p>
    <w:p w14:paraId="69C985FC" w14:textId="77777777" w:rsidR="00915A55" w:rsidRPr="00E23B7B" w:rsidRDefault="00915A55" w:rsidP="00915A55">
      <w:pPr>
        <w:pStyle w:val="Heading40"/>
      </w:pPr>
      <w:r w:rsidRPr="00E23B7B">
        <w:t>Recommendation 1.1.2</w:t>
      </w:r>
    </w:p>
    <w:p w14:paraId="7325F5F3" w14:textId="77777777" w:rsidR="00915A55" w:rsidRPr="00E23B7B" w:rsidRDefault="00915A55" w:rsidP="00915A55">
      <w:pPr>
        <w:pStyle w:val="Paragraph"/>
      </w:pPr>
      <w:r w:rsidRPr="00E23B7B">
        <w:t>Foster a caring and supportive culture that encourages a consistent, proactive approach to all employees' health and wellbeing. [2019]</w:t>
      </w:r>
    </w:p>
    <w:p w14:paraId="12597094" w14:textId="77777777" w:rsidR="00915A55" w:rsidRPr="00E23B7B" w:rsidRDefault="00915A55" w:rsidP="00915A55">
      <w:pPr>
        <w:pStyle w:val="Heading40"/>
      </w:pPr>
      <w:r w:rsidRPr="00E23B7B">
        <w:t>Recommendation 1.1.5</w:t>
      </w:r>
    </w:p>
    <w:p w14:paraId="0C4096A4" w14:textId="77777777" w:rsidR="00915A55" w:rsidRPr="00E23B7B" w:rsidRDefault="00915A55" w:rsidP="00915A55">
      <w:pPr>
        <w:pStyle w:val="Paragraph"/>
      </w:pPr>
      <w:r w:rsidRPr="00E23B7B">
        <w:t>When developing workplace policies for managing sickness absence and return to work, ensure that these are part of a broader, strategically led approach to promoting employees' health and wellbeing (see recommendation 1.1.1). [2019]</w:t>
      </w:r>
    </w:p>
    <w:p w14:paraId="24DFBFE3" w14:textId="77777777" w:rsidR="00915A55" w:rsidRDefault="00915A55" w:rsidP="00915A55">
      <w:pPr>
        <w:pStyle w:val="Heading3"/>
      </w:pPr>
      <w:r>
        <w:t xml:space="preserve">Policy </w:t>
      </w:r>
    </w:p>
    <w:p w14:paraId="36D124AF" w14:textId="77777777" w:rsidR="00915A55" w:rsidRPr="001B6D37" w:rsidRDefault="00915A55" w:rsidP="00915A55">
      <w:pPr>
        <w:pStyle w:val="Heading40"/>
      </w:pPr>
      <w:r w:rsidRPr="001B6D37">
        <w:t xml:space="preserve">NICE NG146 </w:t>
      </w:r>
    </w:p>
    <w:p w14:paraId="1079106A" w14:textId="77777777" w:rsidR="00915A55" w:rsidRPr="00B264A5" w:rsidRDefault="00915A55" w:rsidP="00915A55">
      <w:pPr>
        <w:pStyle w:val="Heading40"/>
      </w:pPr>
      <w:r w:rsidRPr="00B264A5">
        <w:t>Recommendation 1.1.7</w:t>
      </w:r>
    </w:p>
    <w:p w14:paraId="0F7766E3" w14:textId="77777777" w:rsidR="00915A55" w:rsidRDefault="00915A55" w:rsidP="00915A55">
      <w:pPr>
        <w:pStyle w:val="Paragraph"/>
      </w:pPr>
      <w:r w:rsidRPr="00B264A5">
        <w:t>Monitor and regularly review the impact of sickness absence policies and procedures to ensure that they are being implemented fairly and consistently across the organisation and that they are fit for purpose. [2019]</w:t>
      </w:r>
    </w:p>
    <w:p w14:paraId="72B2C4AA" w14:textId="77777777" w:rsidR="00915A55" w:rsidRPr="00B264A5" w:rsidRDefault="00915A55" w:rsidP="00915A55">
      <w:pPr>
        <w:pStyle w:val="Heading40"/>
      </w:pPr>
      <w:r w:rsidRPr="00B264A5">
        <w:t>Recommendation 1.1.</w:t>
      </w:r>
      <w:r>
        <w:t>9</w:t>
      </w:r>
    </w:p>
    <w:p w14:paraId="4F2FA26C" w14:textId="77777777" w:rsidR="00915A55" w:rsidRDefault="00915A55" w:rsidP="00915A55">
      <w:pPr>
        <w:pStyle w:val="Paragraph"/>
      </w:pPr>
      <w:r>
        <w:t>Regularly review the data on trends in sickness absence to identify:</w:t>
      </w:r>
    </w:p>
    <w:p w14:paraId="7176DC07" w14:textId="77777777" w:rsidR="00915A55" w:rsidRDefault="00915A55" w:rsidP="00915A55">
      <w:pPr>
        <w:pStyle w:val="Paragraph"/>
        <w:numPr>
          <w:ilvl w:val="0"/>
          <w:numId w:val="59"/>
        </w:numPr>
      </w:pPr>
      <w:r>
        <w:t>areas in which intervention may be needed to support employees' health and wellbeing and</w:t>
      </w:r>
    </w:p>
    <w:p w14:paraId="77E3EDBA" w14:textId="77777777" w:rsidR="00915A55" w:rsidRPr="007E62A0" w:rsidRDefault="00915A55" w:rsidP="00915A55">
      <w:pPr>
        <w:pStyle w:val="Paragraph"/>
        <w:numPr>
          <w:ilvl w:val="0"/>
          <w:numId w:val="59"/>
        </w:numPr>
      </w:pPr>
      <w:r>
        <w:t>policies or procedures that may need to be reviewed or amended. [2019]</w:t>
      </w:r>
    </w:p>
    <w:p w14:paraId="7E23FC11" w14:textId="77777777" w:rsidR="00915A55" w:rsidRPr="006C6A29" w:rsidRDefault="00915A55" w:rsidP="00915A55">
      <w:pPr>
        <w:pStyle w:val="Numberedheading3"/>
      </w:pPr>
      <w:r>
        <w:t>Current UK practice</w:t>
      </w:r>
    </w:p>
    <w:p w14:paraId="458A0FFC" w14:textId="77777777" w:rsidR="00915A55" w:rsidRPr="007434D8" w:rsidRDefault="00915A55" w:rsidP="00915A55">
      <w:pPr>
        <w:pStyle w:val="Heading3"/>
      </w:pPr>
      <w:r w:rsidRPr="007434D8">
        <w:t>Workplace culture</w:t>
      </w:r>
    </w:p>
    <w:p w14:paraId="5C942178" w14:textId="22DFFFAE" w:rsidR="00915A55" w:rsidRPr="006C6A29" w:rsidRDefault="00915A55" w:rsidP="00915A55">
      <w:pPr>
        <w:pStyle w:val="Paragraph"/>
      </w:pPr>
      <w:r w:rsidRPr="006C6A29">
        <w:t xml:space="preserve">In a </w:t>
      </w:r>
      <w:hyperlink r:id="rId20" w:history="1">
        <w:r w:rsidRPr="006C6A29">
          <w:rPr>
            <w:rStyle w:val="Hyperlink"/>
          </w:rPr>
          <w:t>DWP and DHSC telephone survey with 2,564 employers</w:t>
        </w:r>
      </w:hyperlink>
      <w:r w:rsidRPr="006C6A29">
        <w:t xml:space="preserve">, 91% agreed that there is a link between work and the health and wellbeing of their employees, and 90% </w:t>
      </w:r>
      <w:r w:rsidRPr="006C6A29">
        <w:lastRenderedPageBreak/>
        <w:t xml:space="preserve">agreed that it was the responsibility of employers to encourage their employees to be healthy. </w:t>
      </w:r>
      <w:r w:rsidR="0013560A" w:rsidRPr="006C6A29">
        <w:t>However,</w:t>
      </w:r>
      <w:r w:rsidRPr="006C6A29">
        <w:t xml:space="preserve"> the employers found their own reputation (79%) and legal responsibilities (69%) to be the most important when deciding on investments in the health and wellbeing of their employees.</w:t>
      </w:r>
      <w:r>
        <w:t xml:space="preserve"> While 92% of large employers provided occupational health services, only 18% of small employers did this. There were also differences between large and small employers in paying sick pay above the statutory minimum, 77% and 26% respectively.</w:t>
      </w:r>
    </w:p>
    <w:p w14:paraId="39D4DA27" w14:textId="77777777" w:rsidR="00915A55" w:rsidRPr="007434D8" w:rsidRDefault="00915A55" w:rsidP="00915A55">
      <w:pPr>
        <w:pStyle w:val="Heading3"/>
      </w:pPr>
      <w:r w:rsidRPr="007434D8">
        <w:t>Policy</w:t>
      </w:r>
    </w:p>
    <w:p w14:paraId="35C1D0AD" w14:textId="77777777" w:rsidR="00915A55" w:rsidRDefault="00915A55" w:rsidP="00915A55">
      <w:pPr>
        <w:pStyle w:val="Paragraph"/>
      </w:pPr>
      <w:r w:rsidRPr="0068606B">
        <w:t>No published studies on current practice were highlighted for this suggested area for quality improvement; this area is based on stakeholder’s knowledge and experience.</w:t>
      </w:r>
    </w:p>
    <w:p w14:paraId="676F53C3" w14:textId="77777777" w:rsidR="00915A55" w:rsidRPr="00F87339" w:rsidRDefault="00915A55" w:rsidP="00915A55">
      <w:pPr>
        <w:keepNext/>
        <w:spacing w:before="240" w:after="60"/>
        <w:outlineLvl w:val="2"/>
        <w:rPr>
          <w:rFonts w:ascii="Arial" w:hAnsi="Arial"/>
          <w:b/>
          <w:bCs/>
          <w:szCs w:val="26"/>
        </w:rPr>
      </w:pPr>
      <w:r w:rsidRPr="00F87339">
        <w:rPr>
          <w:rFonts w:ascii="Arial" w:hAnsi="Arial"/>
          <w:b/>
          <w:bCs/>
          <w:szCs w:val="26"/>
        </w:rPr>
        <w:t>Committee discussion</w:t>
      </w:r>
    </w:p>
    <w:tbl>
      <w:tblPr>
        <w:tblStyle w:val="TableGridLight"/>
        <w:tblW w:w="0" w:type="auto"/>
        <w:tblLook w:val="04A0" w:firstRow="1" w:lastRow="0" w:firstColumn="1" w:lastColumn="0" w:noHBand="0" w:noVBand="1"/>
      </w:tblPr>
      <w:tblGrid>
        <w:gridCol w:w="9016"/>
      </w:tblGrid>
      <w:tr w:rsidR="00915A55" w:rsidRPr="00F87339" w14:paraId="0FD56B54" w14:textId="77777777" w:rsidTr="004E4BF8">
        <w:trPr>
          <w:trHeight w:val="434"/>
        </w:trPr>
        <w:tc>
          <w:tcPr>
            <w:tcW w:w="9016" w:type="dxa"/>
            <w:shd w:val="clear" w:color="auto" w:fill="7F7F7F" w:themeFill="text1" w:themeFillTint="80"/>
          </w:tcPr>
          <w:p w14:paraId="34ED54A7" w14:textId="77777777" w:rsidR="00915A55" w:rsidRPr="00F87339" w:rsidRDefault="00915A55" w:rsidP="004E4BF8">
            <w:pPr>
              <w:keepNext/>
              <w:rPr>
                <w:rFonts w:ascii="Arial" w:hAnsi="Arial"/>
                <w:b/>
                <w:sz w:val="22"/>
              </w:rPr>
            </w:pPr>
            <w:r w:rsidRPr="00F87339">
              <w:rPr>
                <w:rFonts w:ascii="Arial" w:hAnsi="Arial"/>
                <w:b/>
                <w:sz w:val="22"/>
              </w:rPr>
              <w:t xml:space="preserve">For discussion </w:t>
            </w:r>
          </w:p>
        </w:tc>
      </w:tr>
      <w:tr w:rsidR="00915A55" w:rsidRPr="00F87339" w14:paraId="4A6F41FE" w14:textId="77777777" w:rsidTr="004E4BF8">
        <w:trPr>
          <w:trHeight w:val="265"/>
        </w:trPr>
        <w:tc>
          <w:tcPr>
            <w:tcW w:w="9016" w:type="dxa"/>
            <w:shd w:val="clear" w:color="auto" w:fill="F2F2F2" w:themeFill="background1" w:themeFillShade="F2"/>
          </w:tcPr>
          <w:p w14:paraId="09833522" w14:textId="77777777" w:rsidR="00915A55" w:rsidRPr="00F87339" w:rsidRDefault="00915A55" w:rsidP="004E4BF8">
            <w:pPr>
              <w:numPr>
                <w:ilvl w:val="0"/>
                <w:numId w:val="1"/>
              </w:numPr>
              <w:tabs>
                <w:tab w:val="left" w:pos="284"/>
              </w:tabs>
              <w:rPr>
                <w:rFonts w:ascii="Arial" w:hAnsi="Arial"/>
                <w:sz w:val="22"/>
                <w:szCs w:val="22"/>
              </w:rPr>
            </w:pPr>
            <w:r w:rsidRPr="00F87339">
              <w:rPr>
                <w:rFonts w:ascii="Arial" w:hAnsi="Arial"/>
                <w:sz w:val="22"/>
                <w:szCs w:val="22"/>
              </w:rPr>
              <w:t>What is the priority for improvement</w:t>
            </w:r>
            <w:r>
              <w:rPr>
                <w:rFonts w:ascii="Arial" w:hAnsi="Arial"/>
                <w:sz w:val="22"/>
                <w:szCs w:val="22"/>
              </w:rPr>
              <w:t xml:space="preserve"> (beyond st1 in </w:t>
            </w:r>
            <w:hyperlink r:id="rId21" w:history="1">
              <w:r w:rsidRPr="00F87339">
                <w:rPr>
                  <w:rStyle w:val="Hyperlink"/>
                  <w:rFonts w:ascii="Arial" w:hAnsi="Arial"/>
                  <w:sz w:val="22"/>
                  <w:szCs w:val="22"/>
                </w:rPr>
                <w:t>QS147</w:t>
              </w:r>
            </w:hyperlink>
            <w:r>
              <w:rPr>
                <w:rFonts w:ascii="Arial" w:hAnsi="Arial"/>
                <w:sz w:val="22"/>
                <w:szCs w:val="22"/>
              </w:rPr>
              <w:t>)</w:t>
            </w:r>
            <w:r w:rsidRPr="00F87339">
              <w:rPr>
                <w:rFonts w:ascii="Arial" w:hAnsi="Arial"/>
                <w:sz w:val="22"/>
                <w:szCs w:val="22"/>
              </w:rPr>
              <w:t>?</w:t>
            </w:r>
          </w:p>
          <w:p w14:paraId="099A1500" w14:textId="77777777" w:rsidR="00915A55" w:rsidRPr="00F87339" w:rsidRDefault="00915A55" w:rsidP="004E4BF8">
            <w:pPr>
              <w:numPr>
                <w:ilvl w:val="0"/>
                <w:numId w:val="1"/>
              </w:numPr>
              <w:tabs>
                <w:tab w:val="left" w:pos="284"/>
              </w:tabs>
              <w:rPr>
                <w:rFonts w:ascii="Arial" w:hAnsi="Arial"/>
                <w:sz w:val="22"/>
                <w:szCs w:val="22"/>
              </w:rPr>
            </w:pPr>
            <w:r w:rsidRPr="00F87339">
              <w:rPr>
                <w:rFonts w:ascii="Arial" w:hAnsi="Arial"/>
                <w:sz w:val="22"/>
                <w:szCs w:val="22"/>
              </w:rPr>
              <w:t>What is the key action that will lead to improvement?</w:t>
            </w:r>
          </w:p>
          <w:p w14:paraId="45683969" w14:textId="77777777" w:rsidR="00915A55" w:rsidRPr="00F87339" w:rsidRDefault="00915A55" w:rsidP="004E4BF8">
            <w:pPr>
              <w:numPr>
                <w:ilvl w:val="0"/>
                <w:numId w:val="1"/>
              </w:numPr>
              <w:tabs>
                <w:tab w:val="left" w:pos="284"/>
              </w:tabs>
              <w:rPr>
                <w:rFonts w:ascii="Arial" w:hAnsi="Arial"/>
                <w:sz w:val="22"/>
                <w:szCs w:val="22"/>
              </w:rPr>
            </w:pPr>
            <w:r w:rsidRPr="00F87339">
              <w:rPr>
                <w:rFonts w:ascii="Arial" w:hAnsi="Arial"/>
                <w:sz w:val="22"/>
                <w:szCs w:val="22"/>
              </w:rPr>
              <w:t>Can we develop a specific, measurable statement?</w:t>
            </w:r>
          </w:p>
        </w:tc>
      </w:tr>
      <w:tr w:rsidR="00915A55" w:rsidRPr="00F87339" w14:paraId="4EDCFA31" w14:textId="77777777" w:rsidTr="004E4BF8">
        <w:trPr>
          <w:trHeight w:val="265"/>
        </w:trPr>
        <w:tc>
          <w:tcPr>
            <w:tcW w:w="9016" w:type="dxa"/>
            <w:shd w:val="clear" w:color="auto" w:fill="7F7F7F" w:themeFill="text1" w:themeFillTint="80"/>
          </w:tcPr>
          <w:p w14:paraId="294386BD" w14:textId="77777777" w:rsidR="00915A55" w:rsidRPr="00F87339" w:rsidRDefault="00915A55" w:rsidP="004E4BF8">
            <w:pPr>
              <w:keepNext/>
              <w:rPr>
                <w:rFonts w:ascii="Arial" w:hAnsi="Arial"/>
                <w:b/>
                <w:sz w:val="22"/>
              </w:rPr>
            </w:pPr>
            <w:r w:rsidRPr="00F87339">
              <w:rPr>
                <w:rFonts w:ascii="Arial" w:hAnsi="Arial"/>
                <w:b/>
                <w:sz w:val="22"/>
              </w:rPr>
              <w:t>For decision</w:t>
            </w:r>
          </w:p>
          <w:p w14:paraId="1E94D5DB" w14:textId="77777777" w:rsidR="00915A55" w:rsidRPr="00F87339" w:rsidRDefault="00915A55" w:rsidP="004E4BF8"/>
        </w:tc>
      </w:tr>
      <w:tr w:rsidR="00915A55" w:rsidRPr="00F87339" w14:paraId="70D00851" w14:textId="77777777" w:rsidTr="004E4BF8">
        <w:trPr>
          <w:trHeight w:val="265"/>
        </w:trPr>
        <w:tc>
          <w:tcPr>
            <w:tcW w:w="9016" w:type="dxa"/>
            <w:shd w:val="clear" w:color="auto" w:fill="F2F2F2" w:themeFill="background1" w:themeFillShade="F2"/>
          </w:tcPr>
          <w:p w14:paraId="0E76F628" w14:textId="77777777" w:rsidR="00915A55" w:rsidRPr="00F87339" w:rsidRDefault="00915A55" w:rsidP="004E4BF8">
            <w:pPr>
              <w:numPr>
                <w:ilvl w:val="0"/>
                <w:numId w:val="1"/>
              </w:numPr>
              <w:tabs>
                <w:tab w:val="left" w:pos="284"/>
              </w:tabs>
              <w:rPr>
                <w:rFonts w:ascii="Arial" w:hAnsi="Arial"/>
                <w:sz w:val="22"/>
                <w:szCs w:val="22"/>
              </w:rPr>
            </w:pPr>
            <w:r w:rsidRPr="00F87339">
              <w:rPr>
                <w:rFonts w:ascii="Arial" w:hAnsi="Arial"/>
                <w:sz w:val="22"/>
                <w:szCs w:val="22"/>
              </w:rPr>
              <w:t>Should this area be prioritised for inclusion in the quality standard?</w:t>
            </w:r>
          </w:p>
          <w:p w14:paraId="04CE1388" w14:textId="77777777" w:rsidR="00915A55" w:rsidRPr="00F87339" w:rsidRDefault="00915A55" w:rsidP="004E4BF8">
            <w:pPr>
              <w:tabs>
                <w:tab w:val="left" w:pos="284"/>
              </w:tabs>
              <w:ind w:left="284"/>
              <w:rPr>
                <w:rFonts w:ascii="Arial" w:hAnsi="Arial"/>
                <w:sz w:val="22"/>
                <w:szCs w:val="22"/>
              </w:rPr>
            </w:pPr>
          </w:p>
        </w:tc>
      </w:tr>
    </w:tbl>
    <w:p w14:paraId="292E3CCD" w14:textId="77777777" w:rsidR="00915A55" w:rsidRDefault="00915A55" w:rsidP="007434D8">
      <w:pPr>
        <w:pStyle w:val="Paragraphnonumbers"/>
      </w:pPr>
    </w:p>
    <w:p w14:paraId="168EFFD0" w14:textId="41445ED2" w:rsidR="00253773" w:rsidRDefault="00253773">
      <w:pPr>
        <w:rPr>
          <w:rFonts w:ascii="Arial" w:hAnsi="Arial"/>
        </w:rPr>
      </w:pPr>
      <w:r>
        <w:br w:type="page"/>
      </w:r>
    </w:p>
    <w:p w14:paraId="7973FA51" w14:textId="539F06F9" w:rsidR="00626943" w:rsidRPr="00427135" w:rsidRDefault="00626943" w:rsidP="00427135">
      <w:pPr>
        <w:pStyle w:val="Numberedheading2"/>
      </w:pPr>
      <w:r w:rsidRPr="00427135">
        <w:lastRenderedPageBreak/>
        <w:t>Additional areas</w:t>
      </w:r>
    </w:p>
    <w:p w14:paraId="7156F4BA" w14:textId="77777777" w:rsidR="00626943" w:rsidRPr="00462D05" w:rsidRDefault="00626943" w:rsidP="00427135">
      <w:pPr>
        <w:pStyle w:val="Heading3"/>
        <w:rPr>
          <w:highlight w:val="lightGray"/>
        </w:rPr>
      </w:pPr>
      <w:r w:rsidRPr="00462D05">
        <w:rPr>
          <w:highlight w:val="lightGray"/>
        </w:rPr>
        <w:t>Summary of suggestions</w:t>
      </w:r>
    </w:p>
    <w:p w14:paraId="2FF774CA" w14:textId="77777777" w:rsidR="00626943" w:rsidRPr="00462D05" w:rsidRDefault="00626943" w:rsidP="00427135">
      <w:pPr>
        <w:pStyle w:val="Paragraph"/>
        <w:rPr>
          <w:highlight w:val="lightGray"/>
        </w:rPr>
      </w:pPr>
      <w:r w:rsidRPr="00462D05">
        <w:rPr>
          <w:highlight w:val="lightGray"/>
        </w:rPr>
        <w:t>The improvement areas below were suggested as part of the stakeholder engagement exercise. However</w:t>
      </w:r>
      <w:r w:rsidR="00DD0BD8" w:rsidRPr="00462D05">
        <w:rPr>
          <w:highlight w:val="lightGray"/>
        </w:rPr>
        <w:t>,</w:t>
      </w:r>
      <w:r w:rsidRPr="00462D05">
        <w:rPr>
          <w:highlight w:val="lightGray"/>
        </w:rPr>
        <w:t xml:space="preserve"> they were felt to be either unsuitable for development as quality statements, outside the remit of this </w:t>
      </w:r>
      <w:proofErr w:type="gramStart"/>
      <w:r w:rsidRPr="00462D05">
        <w:rPr>
          <w:highlight w:val="lightGray"/>
        </w:rPr>
        <w:t>particular quality</w:t>
      </w:r>
      <w:proofErr w:type="gramEnd"/>
      <w:r w:rsidRPr="00462D05">
        <w:rPr>
          <w:highlight w:val="lightGray"/>
        </w:rPr>
        <w:t xml:space="preserve"> standard referral or </w:t>
      </w:r>
      <w:r w:rsidR="00DD0BD8" w:rsidRPr="00462D05">
        <w:rPr>
          <w:highlight w:val="lightGray"/>
        </w:rPr>
        <w:t>need</w:t>
      </w:r>
      <w:r w:rsidRPr="00462D05">
        <w:rPr>
          <w:highlight w:val="lightGray"/>
        </w:rPr>
        <w:t xml:space="preserve"> further discussion by the </w:t>
      </w:r>
      <w:r w:rsidR="00C92D69" w:rsidRPr="00462D05">
        <w:rPr>
          <w:highlight w:val="lightGray"/>
        </w:rPr>
        <w:t>c</w:t>
      </w:r>
      <w:r w:rsidRPr="00462D05">
        <w:rPr>
          <w:highlight w:val="lightGray"/>
        </w:rPr>
        <w:t xml:space="preserve">ommittee to establish potential for statement development. </w:t>
      </w:r>
    </w:p>
    <w:p w14:paraId="43482E8B" w14:textId="5CDBCE9A" w:rsidR="00626943" w:rsidRPr="00462D05" w:rsidRDefault="00626943" w:rsidP="00427135">
      <w:pPr>
        <w:pStyle w:val="Paragraph"/>
        <w:rPr>
          <w:highlight w:val="lightGray"/>
        </w:rPr>
      </w:pPr>
      <w:r w:rsidRPr="00462D05">
        <w:rPr>
          <w:highlight w:val="lightGray"/>
        </w:rPr>
        <w:t xml:space="preserve">There will be an opportunity for the </w:t>
      </w:r>
      <w:r w:rsidR="00C92D69" w:rsidRPr="00462D05">
        <w:rPr>
          <w:highlight w:val="lightGray"/>
        </w:rPr>
        <w:t>committee</w:t>
      </w:r>
      <w:r w:rsidRPr="00462D05">
        <w:rPr>
          <w:highlight w:val="lightGray"/>
        </w:rPr>
        <w:t xml:space="preserve"> to discuss these areas at the end of the session on </w:t>
      </w:r>
      <w:r w:rsidR="001D0D6B" w:rsidRPr="00462D05">
        <w:rPr>
          <w:highlight w:val="lightGray"/>
        </w:rPr>
        <w:t>29/09/2020</w:t>
      </w:r>
      <w:r w:rsidRPr="00462D05">
        <w:rPr>
          <w:highlight w:val="lightGray"/>
        </w:rPr>
        <w:t>.</w:t>
      </w:r>
    </w:p>
    <w:p w14:paraId="20CF9BC1" w14:textId="770BC28C" w:rsidR="007C6EB9" w:rsidRPr="00462D05" w:rsidRDefault="00B264A5" w:rsidP="007C6EB9">
      <w:pPr>
        <w:pStyle w:val="Heading3"/>
        <w:rPr>
          <w:highlight w:val="lightGray"/>
        </w:rPr>
      </w:pPr>
      <w:bookmarkStart w:id="44" w:name="_Hlk50369295"/>
      <w:bookmarkStart w:id="45" w:name="_Toc404063922"/>
      <w:bookmarkStart w:id="46" w:name="_Toc404587493"/>
      <w:bookmarkStart w:id="47" w:name="_Toc432164930"/>
      <w:bookmarkStart w:id="48" w:name="_Toc467141920"/>
      <w:bookmarkStart w:id="49" w:name="_Toc467141971"/>
      <w:r w:rsidRPr="00462D05">
        <w:rPr>
          <w:highlight w:val="lightGray"/>
        </w:rPr>
        <w:t>Short term sickness absence</w:t>
      </w:r>
    </w:p>
    <w:p w14:paraId="5796ED64" w14:textId="6264C9A4" w:rsidR="007C6EB9" w:rsidRPr="001D7EC8" w:rsidRDefault="00B264A5" w:rsidP="007C6EB9">
      <w:pPr>
        <w:pStyle w:val="Paragraph"/>
        <w:rPr>
          <w:highlight w:val="lightGray"/>
        </w:rPr>
      </w:pPr>
      <w:r w:rsidRPr="001D7EC8">
        <w:rPr>
          <w:highlight w:val="lightGray"/>
        </w:rPr>
        <w:t xml:space="preserve">Support for people </w:t>
      </w:r>
      <w:r w:rsidR="004A5893" w:rsidRPr="001D7EC8">
        <w:rPr>
          <w:highlight w:val="lightGray"/>
        </w:rPr>
        <w:t>with long term conditions having</w:t>
      </w:r>
      <w:r w:rsidRPr="001D7EC8">
        <w:rPr>
          <w:highlight w:val="lightGray"/>
        </w:rPr>
        <w:t xml:space="preserve"> short term sickness absence</w:t>
      </w:r>
      <w:r w:rsidR="001D7EC8">
        <w:rPr>
          <w:highlight w:val="lightGray"/>
        </w:rPr>
        <w:t>,</w:t>
      </w:r>
      <w:r w:rsidR="007C6EB9" w:rsidRPr="001D7EC8">
        <w:rPr>
          <w:highlight w:val="lightGray"/>
        </w:rPr>
        <w:t xml:space="preserve"> </w:t>
      </w:r>
      <w:r w:rsidR="004A5893" w:rsidRPr="001D7EC8">
        <w:rPr>
          <w:highlight w:val="lightGray"/>
        </w:rPr>
        <w:t xml:space="preserve">and occupational health support in primary care for managing short term sickness certification </w:t>
      </w:r>
      <w:r w:rsidR="007C6EB9" w:rsidRPr="001D7EC8">
        <w:rPr>
          <w:highlight w:val="lightGray"/>
        </w:rPr>
        <w:t xml:space="preserve">was suggested. </w:t>
      </w:r>
    </w:p>
    <w:p w14:paraId="541DEA98" w14:textId="766CC6FA" w:rsidR="007C6EB9" w:rsidRPr="00462D05" w:rsidRDefault="007C6EB9" w:rsidP="007C6EB9">
      <w:pPr>
        <w:pStyle w:val="Paragraph"/>
        <w:rPr>
          <w:highlight w:val="lightGray"/>
        </w:rPr>
      </w:pPr>
      <w:r w:rsidRPr="00462D05">
        <w:rPr>
          <w:highlight w:val="lightGray"/>
        </w:rPr>
        <w:t xml:space="preserve">This suggestion has </w:t>
      </w:r>
      <w:r w:rsidRPr="00383E0A">
        <w:rPr>
          <w:highlight w:val="lightGray"/>
        </w:rPr>
        <w:t xml:space="preserve">not been progressed. </w:t>
      </w:r>
      <w:r w:rsidR="004A5893">
        <w:rPr>
          <w:highlight w:val="lightGray"/>
        </w:rPr>
        <w:t>These specific suggestions about managing s</w:t>
      </w:r>
      <w:r w:rsidR="00383E0A" w:rsidRPr="00383E0A">
        <w:rPr>
          <w:highlight w:val="lightGray"/>
        </w:rPr>
        <w:t>hort</w:t>
      </w:r>
      <w:r w:rsidR="00B264A5" w:rsidRPr="00383E0A">
        <w:rPr>
          <w:highlight w:val="lightGray"/>
        </w:rPr>
        <w:t xml:space="preserve"> term sickness absence</w:t>
      </w:r>
      <w:r w:rsidR="00383E0A" w:rsidRPr="006E36AE">
        <w:rPr>
          <w:highlight w:val="lightGray"/>
        </w:rPr>
        <w:t xml:space="preserve"> </w:t>
      </w:r>
      <w:r w:rsidR="004A5893">
        <w:rPr>
          <w:highlight w:val="lightGray"/>
        </w:rPr>
        <w:t>are</w:t>
      </w:r>
      <w:r w:rsidR="00383E0A" w:rsidRPr="006E36AE">
        <w:rPr>
          <w:highlight w:val="lightGray"/>
        </w:rPr>
        <w:t xml:space="preserve"> outside the scope of the quality standard.</w:t>
      </w:r>
      <w:r w:rsidR="004A5893">
        <w:rPr>
          <w:highlight w:val="lightGray"/>
        </w:rPr>
        <w:t xml:space="preserve"> </w:t>
      </w:r>
    </w:p>
    <w:bookmarkEnd w:id="44"/>
    <w:p w14:paraId="1ABDBE2F" w14:textId="1A0FE651" w:rsidR="007C6EB9" w:rsidRPr="00462D05" w:rsidRDefault="00B264A5" w:rsidP="007C6EB9">
      <w:pPr>
        <w:pStyle w:val="Heading3"/>
        <w:rPr>
          <w:highlight w:val="lightGray"/>
        </w:rPr>
      </w:pPr>
      <w:r w:rsidRPr="00462D05">
        <w:rPr>
          <w:highlight w:val="lightGray"/>
        </w:rPr>
        <w:t>Secondary care</w:t>
      </w:r>
      <w:r w:rsidR="007C6EB9" w:rsidRPr="00462D05">
        <w:rPr>
          <w:highlight w:val="lightGray"/>
        </w:rPr>
        <w:t xml:space="preserve"> </w:t>
      </w:r>
    </w:p>
    <w:p w14:paraId="7C35D94D" w14:textId="0DBDF141" w:rsidR="007C6EB9" w:rsidRPr="00462D05" w:rsidRDefault="00A05216" w:rsidP="007C6EB9">
      <w:pPr>
        <w:pStyle w:val="Paragraph"/>
        <w:rPr>
          <w:highlight w:val="lightGray"/>
        </w:rPr>
      </w:pPr>
      <w:r w:rsidRPr="00462D05">
        <w:rPr>
          <w:highlight w:val="lightGray"/>
        </w:rPr>
        <w:t>Coordination of care and referral pathways for people in secondary care was suggested</w:t>
      </w:r>
      <w:r w:rsidR="007C6EB9" w:rsidRPr="00462D05">
        <w:rPr>
          <w:highlight w:val="lightGray"/>
        </w:rPr>
        <w:t xml:space="preserve"> as an area of quality improvement.</w:t>
      </w:r>
    </w:p>
    <w:p w14:paraId="38DE6312" w14:textId="10EC3C0B" w:rsidR="007C6EB9" w:rsidRPr="00462D05" w:rsidRDefault="007C6EB9" w:rsidP="007C6EB9">
      <w:pPr>
        <w:pStyle w:val="Paragraph"/>
        <w:rPr>
          <w:highlight w:val="lightGray"/>
        </w:rPr>
      </w:pPr>
      <w:r w:rsidRPr="00462D05">
        <w:rPr>
          <w:highlight w:val="lightGray"/>
        </w:rPr>
        <w:t xml:space="preserve">This suggestion has not been progressed. </w:t>
      </w:r>
      <w:r w:rsidR="00A05216" w:rsidRPr="00462D05">
        <w:rPr>
          <w:highlight w:val="lightGray"/>
        </w:rPr>
        <w:t>There are no recommendations in the source guideline specific to secondary care.</w:t>
      </w:r>
    </w:p>
    <w:bookmarkEnd w:id="45"/>
    <w:bookmarkEnd w:id="46"/>
    <w:bookmarkEnd w:id="47"/>
    <w:bookmarkEnd w:id="48"/>
    <w:bookmarkEnd w:id="49"/>
    <w:p w14:paraId="54BDF3EA" w14:textId="601F204C" w:rsidR="00626943" w:rsidRPr="00462D05" w:rsidRDefault="00B264A5" w:rsidP="007C6EB9">
      <w:pPr>
        <w:pStyle w:val="Heading3"/>
        <w:rPr>
          <w:highlight w:val="lightGray"/>
        </w:rPr>
      </w:pPr>
      <w:r w:rsidRPr="00462D05">
        <w:rPr>
          <w:highlight w:val="lightGray"/>
        </w:rPr>
        <w:t>Specific conditions</w:t>
      </w:r>
    </w:p>
    <w:p w14:paraId="16432CE8" w14:textId="6C30CF7A" w:rsidR="00626943" w:rsidRPr="00462D05" w:rsidRDefault="00A05216" w:rsidP="007C6EB9">
      <w:pPr>
        <w:pStyle w:val="Paragraph"/>
        <w:rPr>
          <w:highlight w:val="lightGray"/>
        </w:rPr>
      </w:pPr>
      <w:r w:rsidRPr="00462D05">
        <w:rPr>
          <w:highlight w:val="lightGray"/>
        </w:rPr>
        <w:t xml:space="preserve">There were suggestions of areas for quality improvement that were specific to </w:t>
      </w:r>
      <w:proofErr w:type="gramStart"/>
      <w:r w:rsidRPr="00462D05">
        <w:rPr>
          <w:highlight w:val="lightGray"/>
        </w:rPr>
        <w:t>particular conditions</w:t>
      </w:r>
      <w:proofErr w:type="gramEnd"/>
      <w:r w:rsidRPr="00462D05">
        <w:rPr>
          <w:highlight w:val="lightGray"/>
        </w:rPr>
        <w:t xml:space="preserve">. </w:t>
      </w:r>
    </w:p>
    <w:p w14:paraId="27947F7F" w14:textId="135FDB57" w:rsidR="00A05216" w:rsidRPr="00462D05" w:rsidRDefault="00A05216" w:rsidP="007C6EB9">
      <w:pPr>
        <w:pStyle w:val="Paragraph"/>
        <w:rPr>
          <w:highlight w:val="lightGray"/>
        </w:rPr>
      </w:pPr>
      <w:r w:rsidRPr="00462D05">
        <w:rPr>
          <w:highlight w:val="lightGray"/>
        </w:rPr>
        <w:t xml:space="preserve">These suggestions have not been progressed. </w:t>
      </w:r>
      <w:r w:rsidR="00734C86" w:rsidRPr="00462D05">
        <w:rPr>
          <w:highlight w:val="lightGray"/>
        </w:rPr>
        <w:t xml:space="preserve">Women’s </w:t>
      </w:r>
      <w:r w:rsidR="005E2ACF" w:rsidRPr="00462D05">
        <w:rPr>
          <w:highlight w:val="lightGray"/>
        </w:rPr>
        <w:t>health is covered by the following separate quality standards:</w:t>
      </w:r>
    </w:p>
    <w:p w14:paraId="1DACCF31" w14:textId="745CDD81" w:rsidR="005E2ACF" w:rsidRPr="00462D05" w:rsidRDefault="00DF1D4E" w:rsidP="007C6EB9">
      <w:pPr>
        <w:pStyle w:val="Paragraph"/>
        <w:rPr>
          <w:highlight w:val="lightGray"/>
        </w:rPr>
      </w:pPr>
      <w:hyperlink r:id="rId22" w:history="1">
        <w:r w:rsidR="005E2ACF" w:rsidRPr="00462D05">
          <w:rPr>
            <w:rStyle w:val="Hyperlink"/>
            <w:highlight w:val="lightGray"/>
          </w:rPr>
          <w:t>NICE Quality Standard Heavy menstrual bleeding (QS47)</w:t>
        </w:r>
      </w:hyperlink>
    </w:p>
    <w:p w14:paraId="6E263EA5" w14:textId="42F49096" w:rsidR="005E2ACF" w:rsidRPr="00462D05" w:rsidRDefault="00DF1D4E" w:rsidP="007C6EB9">
      <w:pPr>
        <w:pStyle w:val="Paragraph"/>
        <w:rPr>
          <w:highlight w:val="lightGray"/>
        </w:rPr>
      </w:pPr>
      <w:hyperlink r:id="rId23" w:history="1">
        <w:r w:rsidR="005E2ACF" w:rsidRPr="00462D05">
          <w:rPr>
            <w:rStyle w:val="Hyperlink"/>
            <w:highlight w:val="lightGray"/>
          </w:rPr>
          <w:t>NICE Quality Standard Endometriosis (QS172)</w:t>
        </w:r>
      </w:hyperlink>
    </w:p>
    <w:p w14:paraId="368D9D25" w14:textId="6A2D0437" w:rsidR="005E2ACF" w:rsidRPr="00462D05" w:rsidRDefault="00DF1D4E" w:rsidP="007C6EB9">
      <w:pPr>
        <w:pStyle w:val="Paragraph"/>
        <w:rPr>
          <w:highlight w:val="lightGray"/>
        </w:rPr>
      </w:pPr>
      <w:hyperlink r:id="rId24" w:history="1">
        <w:r w:rsidR="005E2ACF" w:rsidRPr="00462D05">
          <w:rPr>
            <w:rStyle w:val="Hyperlink"/>
            <w:highlight w:val="lightGray"/>
          </w:rPr>
          <w:t>NICE Quality Standard Menopause (QS143)</w:t>
        </w:r>
      </w:hyperlink>
    </w:p>
    <w:p w14:paraId="5C07B1E2" w14:textId="73616B6C" w:rsidR="005E2ACF" w:rsidRPr="00462D05" w:rsidRDefault="00DF1D4E" w:rsidP="007C6EB9">
      <w:pPr>
        <w:pStyle w:val="Paragraph"/>
        <w:rPr>
          <w:highlight w:val="lightGray"/>
        </w:rPr>
      </w:pPr>
      <w:hyperlink r:id="rId25" w:history="1">
        <w:r w:rsidR="005E2ACF" w:rsidRPr="00462D05">
          <w:rPr>
            <w:rStyle w:val="Hyperlink"/>
            <w:highlight w:val="lightGray"/>
          </w:rPr>
          <w:t>NICE Quality Standard Antenatal care (QS22)</w:t>
        </w:r>
      </w:hyperlink>
    </w:p>
    <w:p w14:paraId="7B63072A" w14:textId="48CEF1C0" w:rsidR="00734C86" w:rsidRPr="00462D05" w:rsidRDefault="00DF1D4E" w:rsidP="007C6EB9">
      <w:pPr>
        <w:pStyle w:val="Paragraph"/>
        <w:rPr>
          <w:highlight w:val="lightGray"/>
        </w:rPr>
      </w:pPr>
      <w:hyperlink r:id="rId26" w:history="1">
        <w:r w:rsidR="00734C86" w:rsidRPr="00462D05">
          <w:rPr>
            <w:rStyle w:val="Hyperlink"/>
            <w:highlight w:val="lightGray"/>
          </w:rPr>
          <w:t>NICE Quality Standard Postnatal care (QS37)</w:t>
        </w:r>
      </w:hyperlink>
    </w:p>
    <w:p w14:paraId="461D1CB4" w14:textId="57DD46F6" w:rsidR="00734C86" w:rsidRPr="00462D05" w:rsidRDefault="00DF1D4E" w:rsidP="007C6EB9">
      <w:pPr>
        <w:pStyle w:val="Paragraph"/>
        <w:rPr>
          <w:highlight w:val="lightGray"/>
        </w:rPr>
      </w:pPr>
      <w:hyperlink r:id="rId27" w:history="1">
        <w:r w:rsidR="00734C86" w:rsidRPr="00462D05">
          <w:rPr>
            <w:rStyle w:val="Hyperlink"/>
            <w:highlight w:val="lightGray"/>
          </w:rPr>
          <w:t>NICE Quality Standard Ectopic pregnancy and miscarriage (QS69)</w:t>
        </w:r>
      </w:hyperlink>
    </w:p>
    <w:p w14:paraId="5EF8408E" w14:textId="08A5F691" w:rsidR="00734C86" w:rsidRPr="00462D05" w:rsidRDefault="00DF1D4E" w:rsidP="007C6EB9">
      <w:pPr>
        <w:pStyle w:val="Paragraph"/>
        <w:rPr>
          <w:highlight w:val="lightGray"/>
        </w:rPr>
      </w:pPr>
      <w:hyperlink r:id="rId28" w:history="1">
        <w:r w:rsidR="00734C86" w:rsidRPr="00462D05">
          <w:rPr>
            <w:rStyle w:val="Hyperlink"/>
            <w:highlight w:val="lightGray"/>
          </w:rPr>
          <w:t>NICE Quality Standard Preterm labour and birth (QS135)</w:t>
        </w:r>
      </w:hyperlink>
    </w:p>
    <w:p w14:paraId="61F0CF39" w14:textId="10C14D6B" w:rsidR="00734C86" w:rsidRPr="00462D05" w:rsidRDefault="00DF1D4E" w:rsidP="007C6EB9">
      <w:pPr>
        <w:pStyle w:val="Paragraph"/>
        <w:rPr>
          <w:highlight w:val="lightGray"/>
        </w:rPr>
      </w:pPr>
      <w:hyperlink r:id="rId29" w:history="1">
        <w:r w:rsidR="00734C86" w:rsidRPr="00462D05">
          <w:rPr>
            <w:rStyle w:val="Hyperlink"/>
            <w:highlight w:val="lightGray"/>
          </w:rPr>
          <w:t>NICE Quality Standard Fertility problems (QS73)</w:t>
        </w:r>
      </w:hyperlink>
    </w:p>
    <w:p w14:paraId="7634DDA6" w14:textId="24771CD4" w:rsidR="00734C86" w:rsidRPr="00462D05" w:rsidRDefault="00734C86" w:rsidP="007C6EB9">
      <w:pPr>
        <w:pStyle w:val="Paragraph"/>
        <w:rPr>
          <w:highlight w:val="lightGray"/>
        </w:rPr>
      </w:pPr>
      <w:r w:rsidRPr="00462D05">
        <w:rPr>
          <w:highlight w:val="lightGray"/>
        </w:rPr>
        <w:t xml:space="preserve">Multiple sclerosis is covered by a separate </w:t>
      </w:r>
      <w:hyperlink r:id="rId30" w:history="1">
        <w:r w:rsidRPr="00462D05">
          <w:rPr>
            <w:rStyle w:val="Hyperlink"/>
            <w:highlight w:val="lightGray"/>
          </w:rPr>
          <w:t>NICE Quality Standard Multiple sclerosis (QS108)</w:t>
        </w:r>
      </w:hyperlink>
    </w:p>
    <w:p w14:paraId="2A1E6C0B" w14:textId="6B5E15AD" w:rsidR="00466B16" w:rsidRPr="00462D05" w:rsidRDefault="00B264A5" w:rsidP="00466B16">
      <w:pPr>
        <w:pStyle w:val="Heading3"/>
        <w:rPr>
          <w:highlight w:val="lightGray"/>
        </w:rPr>
      </w:pPr>
      <w:bookmarkStart w:id="50" w:name="_Hlk51166195"/>
      <w:r w:rsidRPr="00462D05">
        <w:rPr>
          <w:highlight w:val="lightGray"/>
        </w:rPr>
        <w:t>Presenteeism and absenteeism</w:t>
      </w:r>
    </w:p>
    <w:p w14:paraId="6C239877" w14:textId="183F8244" w:rsidR="00466B16" w:rsidRPr="00462D05" w:rsidRDefault="00A05216" w:rsidP="00427135">
      <w:pPr>
        <w:pStyle w:val="Paragraph"/>
        <w:rPr>
          <w:highlight w:val="lightGray"/>
        </w:rPr>
      </w:pPr>
      <w:r w:rsidRPr="00462D05">
        <w:rPr>
          <w:highlight w:val="lightGray"/>
        </w:rPr>
        <w:t>There was one suggestion for research on presenteeism and absenteeism as an area for quality improvement.</w:t>
      </w:r>
    </w:p>
    <w:p w14:paraId="2C9D0F75" w14:textId="3CD4DA5F" w:rsidR="00466B16" w:rsidRPr="00462D05" w:rsidRDefault="00A05216" w:rsidP="00466B16">
      <w:pPr>
        <w:pStyle w:val="Paragraph"/>
        <w:rPr>
          <w:highlight w:val="lightGray"/>
        </w:rPr>
      </w:pPr>
      <w:r w:rsidRPr="00462D05">
        <w:rPr>
          <w:highlight w:val="lightGray"/>
        </w:rPr>
        <w:t xml:space="preserve">This suggestion has not been progressed. </w:t>
      </w:r>
      <w:r w:rsidR="00C43685" w:rsidRPr="00462D05">
        <w:rPr>
          <w:highlight w:val="lightGray"/>
        </w:rPr>
        <w:t>Research is outside the scope of the quality standard</w:t>
      </w:r>
      <w:r w:rsidR="001D0D6B" w:rsidRPr="00462D05">
        <w:rPr>
          <w:highlight w:val="lightGray"/>
        </w:rPr>
        <w:t>.</w:t>
      </w:r>
    </w:p>
    <w:bookmarkEnd w:id="50"/>
    <w:p w14:paraId="0FD7D4C7" w14:textId="77777777" w:rsidR="0019718E" w:rsidRPr="00462D05" w:rsidRDefault="0019718E" w:rsidP="0019718E">
      <w:pPr>
        <w:pStyle w:val="Heading3"/>
        <w:rPr>
          <w:highlight w:val="lightGray"/>
        </w:rPr>
      </w:pPr>
      <w:r w:rsidRPr="00462D05">
        <w:rPr>
          <w:highlight w:val="lightGray"/>
        </w:rPr>
        <w:t xml:space="preserve">Training and development </w:t>
      </w:r>
    </w:p>
    <w:p w14:paraId="660A862C" w14:textId="77777777" w:rsidR="0019718E" w:rsidRPr="00462D05" w:rsidRDefault="0019718E" w:rsidP="0019718E">
      <w:pPr>
        <w:pStyle w:val="Paragraph"/>
        <w:rPr>
          <w:highlight w:val="lightGray"/>
        </w:rPr>
      </w:pPr>
      <w:r w:rsidRPr="00462D05">
        <w:rPr>
          <w:highlight w:val="lightGray"/>
        </w:rPr>
        <w:t>The training of staff was suggested as an area of quality improvement.</w:t>
      </w:r>
    </w:p>
    <w:p w14:paraId="6AEFE2AC" w14:textId="6DA83269" w:rsidR="0019718E" w:rsidRPr="00462D05" w:rsidRDefault="0019718E" w:rsidP="005E662A">
      <w:pPr>
        <w:pStyle w:val="Paragraph"/>
        <w:rPr>
          <w:highlight w:val="lightGray"/>
        </w:rPr>
      </w:pPr>
      <w:r w:rsidRPr="00462D05">
        <w:rPr>
          <w:highlight w:val="lightGray"/>
        </w:rPr>
        <w:t>This suggestion has not been progressed. Quality statements focus on actions that demonstrate high quality care or support, not the training that enables the actions to take place. The committee should consider which parts of care and support would be improved by increased training. Training may be referred to in the audience descriptors.</w:t>
      </w:r>
    </w:p>
    <w:p w14:paraId="0A3E6100" w14:textId="1FA2317D" w:rsidR="005E662A" w:rsidRPr="00462D05" w:rsidRDefault="005E662A" w:rsidP="005E662A">
      <w:pPr>
        <w:pStyle w:val="Heading3"/>
        <w:rPr>
          <w:highlight w:val="lightGray"/>
        </w:rPr>
      </w:pPr>
      <w:r w:rsidRPr="00462D05">
        <w:rPr>
          <w:highlight w:val="lightGray"/>
        </w:rPr>
        <w:t>C</w:t>
      </w:r>
      <w:r w:rsidR="00383E0A">
        <w:rPr>
          <w:highlight w:val="lightGray"/>
        </w:rPr>
        <w:t>OVID</w:t>
      </w:r>
      <w:r w:rsidRPr="00462D05">
        <w:rPr>
          <w:highlight w:val="lightGray"/>
        </w:rPr>
        <w:t>-19</w:t>
      </w:r>
    </w:p>
    <w:p w14:paraId="19B111CC" w14:textId="2C5147BA" w:rsidR="00D14E10" w:rsidRPr="00462D05" w:rsidRDefault="00734C86" w:rsidP="00D14E10">
      <w:pPr>
        <w:pStyle w:val="Paragraph"/>
        <w:rPr>
          <w:highlight w:val="lightGray"/>
        </w:rPr>
      </w:pPr>
      <w:r w:rsidRPr="00462D05">
        <w:rPr>
          <w:highlight w:val="lightGray"/>
        </w:rPr>
        <w:t xml:space="preserve">At topic engagement we asked stakeholders to tell us if there were any </w:t>
      </w:r>
      <w:proofErr w:type="gramStart"/>
      <w:r w:rsidRPr="00462D05">
        <w:rPr>
          <w:highlight w:val="lightGray"/>
        </w:rPr>
        <w:t>particular issues</w:t>
      </w:r>
      <w:proofErr w:type="gramEnd"/>
      <w:r w:rsidRPr="00462D05">
        <w:rPr>
          <w:highlight w:val="lightGray"/>
        </w:rPr>
        <w:t xml:space="preserve"> relating to COVID-19 that we should take into account when developing this quality standard. </w:t>
      </w:r>
      <w:r w:rsidR="00D14E10" w:rsidRPr="00462D05">
        <w:rPr>
          <w:highlight w:val="lightGray"/>
        </w:rPr>
        <w:t xml:space="preserve">Some of the issues have already been highlighted as areas for quality improvement discussed earlier in the paper. </w:t>
      </w:r>
    </w:p>
    <w:p w14:paraId="1B475DD1" w14:textId="79A4420F" w:rsidR="005E662A" w:rsidRPr="00462D05" w:rsidRDefault="00D14E10" w:rsidP="00D14E10">
      <w:pPr>
        <w:pStyle w:val="Paragraph"/>
        <w:rPr>
          <w:highlight w:val="lightGray"/>
        </w:rPr>
      </w:pPr>
      <w:r w:rsidRPr="00462D05">
        <w:rPr>
          <w:highlight w:val="lightGray"/>
        </w:rPr>
        <w:t>However, there were also additional themes highlighted by stakeholders that are not currently covered by NICE guidelines:</w:t>
      </w:r>
    </w:p>
    <w:p w14:paraId="2D8734B5" w14:textId="453970B4" w:rsidR="00D14E10" w:rsidRPr="00462D05" w:rsidRDefault="00D14E10" w:rsidP="00D14E10">
      <w:pPr>
        <w:pStyle w:val="Paragraph"/>
        <w:numPr>
          <w:ilvl w:val="0"/>
          <w:numId w:val="60"/>
        </w:numPr>
        <w:rPr>
          <w:highlight w:val="lightGray"/>
        </w:rPr>
      </w:pPr>
      <w:r w:rsidRPr="00462D05">
        <w:rPr>
          <w:highlight w:val="lightGray"/>
        </w:rPr>
        <w:t>C</w:t>
      </w:r>
      <w:r w:rsidR="00383E0A">
        <w:rPr>
          <w:highlight w:val="lightGray"/>
        </w:rPr>
        <w:t>OVID</w:t>
      </w:r>
      <w:r w:rsidRPr="00462D05">
        <w:rPr>
          <w:highlight w:val="lightGray"/>
        </w:rPr>
        <w:t>-19 risk assessments in the workplace</w:t>
      </w:r>
    </w:p>
    <w:p w14:paraId="541B28C7" w14:textId="33BF3F12" w:rsidR="00D14E10" w:rsidRPr="00462D05" w:rsidRDefault="00D14E10" w:rsidP="00D14E10">
      <w:pPr>
        <w:pStyle w:val="Paragraph"/>
        <w:numPr>
          <w:ilvl w:val="0"/>
          <w:numId w:val="60"/>
        </w:numPr>
        <w:rPr>
          <w:highlight w:val="lightGray"/>
        </w:rPr>
      </w:pPr>
      <w:r w:rsidRPr="00462D05">
        <w:rPr>
          <w:highlight w:val="lightGray"/>
        </w:rPr>
        <w:t>Specific actions for people returning to work with post-C</w:t>
      </w:r>
      <w:r w:rsidR="00383E0A">
        <w:rPr>
          <w:highlight w:val="lightGray"/>
        </w:rPr>
        <w:t>OVID-</w:t>
      </w:r>
      <w:r w:rsidRPr="00462D05">
        <w:rPr>
          <w:highlight w:val="lightGray"/>
        </w:rPr>
        <w:t>19 complications</w:t>
      </w:r>
    </w:p>
    <w:p w14:paraId="01D76664" w14:textId="4AE37453" w:rsidR="00D14E10" w:rsidRPr="00462D05" w:rsidRDefault="00D14E10" w:rsidP="007434D8">
      <w:pPr>
        <w:pStyle w:val="Paragraph"/>
        <w:numPr>
          <w:ilvl w:val="0"/>
          <w:numId w:val="60"/>
        </w:numPr>
        <w:rPr>
          <w:highlight w:val="lightGray"/>
        </w:rPr>
      </w:pPr>
      <w:r w:rsidRPr="00462D05">
        <w:rPr>
          <w:highlight w:val="lightGray"/>
        </w:rPr>
        <w:t>C</w:t>
      </w:r>
      <w:r w:rsidR="00383E0A">
        <w:rPr>
          <w:highlight w:val="lightGray"/>
        </w:rPr>
        <w:t>OVID</w:t>
      </w:r>
      <w:r w:rsidRPr="00462D05">
        <w:rPr>
          <w:highlight w:val="lightGray"/>
        </w:rPr>
        <w:t>-19 related rises in unemployment</w:t>
      </w:r>
    </w:p>
    <w:p w14:paraId="0F6E646C" w14:textId="40A0D30B" w:rsidR="008D5584" w:rsidRPr="00E80EE3" w:rsidRDefault="008D5584" w:rsidP="00A813F7">
      <w:pPr>
        <w:pStyle w:val="Paragraph"/>
      </w:pPr>
      <w:r w:rsidRPr="00A813F7">
        <w:t xml:space="preserve">© NICE </w:t>
      </w:r>
      <w:r w:rsidR="001D0D6B">
        <w:t>2020</w:t>
      </w:r>
      <w:r w:rsidRPr="00A813F7">
        <w:t xml:space="preserve">. All rights reserved. </w:t>
      </w:r>
      <w:r w:rsidR="008A5E6E" w:rsidRPr="00A813F7">
        <w:t xml:space="preserve">Subject to </w:t>
      </w:r>
      <w:hyperlink r:id="rId31" w:anchor="notice-of-rights" w:history="1">
        <w:r w:rsidR="008A5E6E">
          <w:rPr>
            <w:rStyle w:val="Hyperlink"/>
            <w:rFonts w:cs="Arial"/>
          </w:rPr>
          <w:t>Notice of rights</w:t>
        </w:r>
      </w:hyperlink>
      <w:r w:rsidRPr="00A813F7">
        <w:t>.</w:t>
      </w:r>
    </w:p>
    <w:p w14:paraId="007957F6" w14:textId="5FDB187D" w:rsidR="00FA61CA" w:rsidRDefault="000E401D" w:rsidP="0001392D">
      <w:pPr>
        <w:pStyle w:val="Heading1"/>
      </w:pPr>
      <w:r>
        <w:br w:type="page"/>
      </w:r>
      <w:bookmarkStart w:id="51" w:name="_Toc51674500"/>
      <w:r w:rsidR="0001392D" w:rsidRPr="00FC11EC">
        <w:lastRenderedPageBreak/>
        <w:t>Appendix</w:t>
      </w:r>
      <w:r w:rsidR="0001392D">
        <w:t xml:space="preserve"> </w:t>
      </w:r>
      <w:r w:rsidR="005E662A">
        <w:t>1</w:t>
      </w:r>
      <w:r w:rsidR="0001392D">
        <w:t xml:space="preserve">: </w:t>
      </w:r>
      <w:r w:rsidR="00FA61CA">
        <w:t>Review flowchart</w:t>
      </w:r>
      <w:bookmarkEnd w:id="51"/>
    </w:p>
    <w:p w14:paraId="731E4944" w14:textId="73475D95" w:rsidR="00277952" w:rsidRPr="00065914" w:rsidRDefault="009D2009" w:rsidP="00A813F7">
      <w:pPr>
        <w:pStyle w:val="Paragraph"/>
      </w:pPr>
      <w:r>
        <w:rPr>
          <w:noProof/>
          <w:lang w:eastAsia="en-GB"/>
        </w:rPr>
        <mc:AlternateContent>
          <mc:Choice Requires="wps">
            <w:drawing>
              <wp:anchor distT="0" distB="0" distL="114300" distR="114300" simplePos="0" relativeHeight="251662336" behindDoc="0" locked="0" layoutInCell="1" allowOverlap="1" wp14:anchorId="4A749156" wp14:editId="478EA04A">
                <wp:simplePos x="0" y="0"/>
                <wp:positionH relativeFrom="column">
                  <wp:posOffset>4146550</wp:posOffset>
                </wp:positionH>
                <wp:positionV relativeFrom="paragraph">
                  <wp:posOffset>6985</wp:posOffset>
                </wp:positionV>
                <wp:extent cx="2061845" cy="685800"/>
                <wp:effectExtent l="0" t="0" r="14605" b="1905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685800"/>
                        </a:xfrm>
                        <a:prstGeom prst="rect">
                          <a:avLst/>
                        </a:prstGeom>
                        <a:solidFill>
                          <a:srgbClr val="FFFFFF"/>
                        </a:solidFill>
                        <a:ln w="9525">
                          <a:solidFill>
                            <a:srgbClr val="000000"/>
                          </a:solidFill>
                          <a:miter lim="800000"/>
                          <a:headEnd/>
                          <a:tailEnd/>
                        </a:ln>
                      </wps:spPr>
                      <wps:txbx>
                        <w:txbxContent>
                          <w:p w14:paraId="2A2C4044" w14:textId="5A381AB9" w:rsidR="00BE1EE9" w:rsidRDefault="00BE1EE9"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40]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49156" id="Rectangle 20" o:spid="_x0000_s1026" style="position:absolute;margin-left:326.5pt;margin-top:.55pt;width:162.3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">
                <v:textbox inset=",7.2pt,,7.2pt">
                  <w:txbxContent>
                    <w:p w14:paraId="2A2C4044" w14:textId="5A381AB9" w:rsidR="00BE1EE9" w:rsidRDefault="00BE1EE9"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40]</w:t>
                      </w:r>
                    </w:p>
                  </w:txbxContent>
                </v:textbox>
              </v:rect>
            </w:pict>
          </mc:Fallback>
        </mc:AlternateContent>
      </w:r>
      <w:r w:rsidR="00516718">
        <w:rPr>
          <w:noProof/>
          <w:lang w:eastAsia="en-GB"/>
        </w:rPr>
        <mc:AlternateContent>
          <mc:Choice Requires="wps">
            <w:drawing>
              <wp:anchor distT="0" distB="0" distL="114300" distR="114300" simplePos="0" relativeHeight="251661312" behindDoc="0" locked="0" layoutInCell="1" allowOverlap="1" wp14:anchorId="784FA1B4" wp14:editId="21FB758C">
                <wp:simplePos x="0" y="0"/>
                <wp:positionH relativeFrom="column">
                  <wp:posOffset>1739900</wp:posOffset>
                </wp:positionH>
                <wp:positionV relativeFrom="paragraph">
                  <wp:posOffset>-9525</wp:posOffset>
                </wp:positionV>
                <wp:extent cx="2228850" cy="685800"/>
                <wp:effectExtent l="0" t="0" r="19050" b="19050"/>
                <wp:wrapNone/>
                <wp:docPr id="3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659BAC6F" w14:textId="38909126" w:rsidR="00BE1EE9" w:rsidRDefault="00BE1EE9"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w:t>
                            </w:r>
                            <w:r w:rsidRPr="00850647">
                              <w:rPr>
                                <w:rFonts w:ascii="Calibri" w:hAnsi="Calibri"/>
                                <w:sz w:val="22"/>
                                <w:szCs w:val="22"/>
                              </w:rPr>
                              <w:t>n =</w:t>
                            </w:r>
                            <w:r>
                              <w:rPr>
                                <w:rFonts w:ascii="Calibri" w:hAnsi="Calibri"/>
                                <w:sz w:val="22"/>
                                <w:szCs w:val="22"/>
                              </w:rPr>
                              <w:t xml:space="preserve"> 34]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FA1B4" id="Rectangle 19" o:spid="_x0000_s1027" style="position:absolute;margin-left:137pt;margin-top:-.75pt;width:175.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">
                <v:textbox inset=",7.2pt,,7.2pt">
                  <w:txbxContent>
                    <w:p w14:paraId="659BAC6F" w14:textId="38909126" w:rsidR="00BE1EE9" w:rsidRDefault="00BE1EE9"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w:t>
                      </w:r>
                      <w:r w:rsidRPr="00850647">
                        <w:rPr>
                          <w:rFonts w:ascii="Calibri" w:hAnsi="Calibri"/>
                          <w:sz w:val="22"/>
                          <w:szCs w:val="22"/>
                        </w:rPr>
                        <w:t>n =</w:t>
                      </w:r>
                      <w:r>
                        <w:rPr>
                          <w:rFonts w:ascii="Calibri" w:hAnsi="Calibri"/>
                          <w:sz w:val="22"/>
                          <w:szCs w:val="22"/>
                        </w:rPr>
                        <w:t xml:space="preserve"> 34]</w:t>
                      </w:r>
                    </w:p>
                  </w:txbxContent>
                </v:textbox>
              </v:rect>
            </w:pict>
          </mc:Fallback>
        </mc:AlternateContent>
      </w:r>
      <w:r w:rsidR="00516718">
        <w:rPr>
          <w:noProof/>
          <w:lang w:eastAsia="en-GB"/>
        </w:rPr>
        <mc:AlternateContent>
          <mc:Choice Requires="wps">
            <w:drawing>
              <wp:anchor distT="0" distB="0" distL="114300" distR="114300" simplePos="0" relativeHeight="251660288" behindDoc="0" locked="0" layoutInCell="1" allowOverlap="1" wp14:anchorId="46D938C7" wp14:editId="1663F79F">
                <wp:simplePos x="0" y="0"/>
                <wp:positionH relativeFrom="column">
                  <wp:posOffset>-596900</wp:posOffset>
                </wp:positionH>
                <wp:positionV relativeFrom="paragraph">
                  <wp:posOffset>-6350</wp:posOffset>
                </wp:positionV>
                <wp:extent cx="2228850" cy="682625"/>
                <wp:effectExtent l="0" t="0" r="19050" b="22225"/>
                <wp:wrapNone/>
                <wp:docPr id="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617AD17E" w14:textId="1D1D2C6F" w:rsidR="00BE1EE9" w:rsidRDefault="00BE1EE9"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415]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938C7" id="Rectangle 18" o:spid="_x0000_s1028" style="position:absolute;margin-left:-47pt;margin-top:-.5pt;width:175.5pt;height:5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">
                <v:textbox inset=",7.2pt,,7.2pt">
                  <w:txbxContent>
                    <w:p w14:paraId="617AD17E" w14:textId="1D1D2C6F" w:rsidR="00BE1EE9" w:rsidRDefault="00BE1EE9"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415]</w:t>
                      </w:r>
                    </w:p>
                  </w:txbxContent>
                </v:textbox>
              </v:rect>
            </w:pict>
          </mc:Fallback>
        </mc:AlternateContent>
      </w:r>
    </w:p>
    <w:p w14:paraId="6BED97DB" w14:textId="63C2E736" w:rsidR="00277952" w:rsidRDefault="009D2009" w:rsidP="00A813F7">
      <w:pPr>
        <w:pStyle w:val="Paragraph"/>
      </w:pPr>
      <w:r>
        <w:rPr>
          <w:noProof/>
          <w:lang w:eastAsia="en-GB"/>
        </w:rPr>
        <mc:AlternateContent>
          <mc:Choice Requires="wps">
            <w:drawing>
              <wp:anchor distT="0" distB="0" distL="114300" distR="114300" simplePos="0" relativeHeight="251675648" behindDoc="0" locked="0" layoutInCell="1" allowOverlap="1" wp14:anchorId="42998E67" wp14:editId="27434B50">
                <wp:simplePos x="0" y="0"/>
                <wp:positionH relativeFrom="column">
                  <wp:posOffset>466725</wp:posOffset>
                </wp:positionH>
                <wp:positionV relativeFrom="paragraph">
                  <wp:posOffset>260985</wp:posOffset>
                </wp:positionV>
                <wp:extent cx="2273300" cy="388620"/>
                <wp:effectExtent l="19050" t="0" r="12700" b="30480"/>
                <wp:wrapNone/>
                <wp:docPr id="30" name="Elb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0" cy="388620"/>
                        </a:xfrm>
                        <a:prstGeom prst="bentConnector3">
                          <a:avLst>
                            <a:gd name="adj1" fmla="val -83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62FBD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6" o:spid="_x0000_s1026" type="#_x0000_t34" style="position:absolute;margin-left:36.75pt;margin-top:20.55pt;width:179pt;height:3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" adj="-181"/>
            </w:pict>
          </mc:Fallback>
        </mc:AlternateContent>
      </w:r>
      <w:r w:rsidR="00AA3A48">
        <w:rPr>
          <w:noProof/>
          <w:lang w:eastAsia="en-GB"/>
        </w:rPr>
        <mc:AlternateContent>
          <mc:Choice Requires="wps">
            <w:drawing>
              <wp:anchor distT="0" distB="0" distL="114300" distR="114300" simplePos="0" relativeHeight="251676672" behindDoc="0" locked="0" layoutInCell="1" allowOverlap="1" wp14:anchorId="141F53A0" wp14:editId="1CD4358F">
                <wp:simplePos x="0" y="0"/>
                <wp:positionH relativeFrom="column">
                  <wp:posOffset>2743200</wp:posOffset>
                </wp:positionH>
                <wp:positionV relativeFrom="paragraph">
                  <wp:posOffset>260985</wp:posOffset>
                </wp:positionV>
                <wp:extent cx="2374900" cy="388620"/>
                <wp:effectExtent l="0" t="0" r="25400" b="30480"/>
                <wp:wrapNone/>
                <wp:docPr id="31"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74900" cy="388620"/>
                        </a:xfrm>
                        <a:prstGeom prst="bentConnector3">
                          <a:avLst>
                            <a:gd name="adj1" fmla="val 80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83A3E" id="Elbow Connector 17" o:spid="_x0000_s1026" type="#_x0000_t34" style="position:absolute;margin-left:3in;margin-top:20.55pt;width:187pt;height:30.6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" adj="173"/>
            </w:pict>
          </mc:Fallback>
        </mc:AlternateContent>
      </w:r>
      <w:r w:rsidR="00AA3A48">
        <w:rPr>
          <w:noProof/>
          <w:lang w:eastAsia="en-GB"/>
        </w:rPr>
        <mc:AlternateContent>
          <mc:Choice Requires="wps">
            <w:drawing>
              <wp:anchor distT="0" distB="0" distL="114298" distR="114298" simplePos="0" relativeHeight="251674624" behindDoc="0" locked="0" layoutInCell="1" allowOverlap="1" wp14:anchorId="41631B1B" wp14:editId="6FC8E027">
                <wp:simplePos x="0" y="0"/>
                <wp:positionH relativeFrom="column">
                  <wp:posOffset>2742565</wp:posOffset>
                </wp:positionH>
                <wp:positionV relativeFrom="paragraph">
                  <wp:posOffset>298288</wp:posOffset>
                </wp:positionV>
                <wp:extent cx="0" cy="561975"/>
                <wp:effectExtent l="76200" t="0" r="57150" b="47625"/>
                <wp:wrapNone/>
                <wp:docPr id="2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8329B9" id="_x0000_t32" coordsize="21600,21600" o:spt="32" o:oned="t" path="m,l21600,21600e" filled="f">
                <v:path arrowok="t" fillok="f" o:connecttype="none"/>
                <o:lock v:ext="edit" shapetype="t"/>
              </v:shapetype>
              <v:shape id="Straight Arrow Connector 15" o:spid="_x0000_s1026" type="#_x0000_t32" style="position:absolute;margin-left:215.95pt;margin-top:23.5pt;width:0;height:44.25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">
                <v:stroke endarrow="block"/>
              </v:shape>
            </w:pict>
          </mc:Fallback>
        </mc:AlternateContent>
      </w:r>
    </w:p>
    <w:p w14:paraId="14E7AAF7" w14:textId="77777777" w:rsidR="00277952" w:rsidRPr="00065914" w:rsidRDefault="00277952" w:rsidP="00A813F7">
      <w:pPr>
        <w:pStyle w:val="Paragraph"/>
      </w:pPr>
    </w:p>
    <w:p w14:paraId="169689B1" w14:textId="77777777" w:rsidR="00277952" w:rsidRPr="00065914" w:rsidRDefault="00307736" w:rsidP="00A813F7">
      <w:pPr>
        <w:pStyle w:val="Paragraph"/>
      </w:pPr>
      <w:r>
        <w:rPr>
          <w:noProof/>
          <w:lang w:eastAsia="en-GB"/>
        </w:rPr>
        <mc:AlternateContent>
          <mc:Choice Requires="wps">
            <w:drawing>
              <wp:anchor distT="0" distB="0" distL="114300" distR="114300" simplePos="0" relativeHeight="251664384" behindDoc="0" locked="0" layoutInCell="1" allowOverlap="1" wp14:anchorId="1931340A" wp14:editId="0FA62593">
                <wp:simplePos x="0" y="0"/>
                <wp:positionH relativeFrom="column">
                  <wp:posOffset>4229100</wp:posOffset>
                </wp:positionH>
                <wp:positionV relativeFrom="paragraph">
                  <wp:posOffset>220183</wp:posOffset>
                </wp:positionV>
                <wp:extent cx="1714500" cy="571500"/>
                <wp:effectExtent l="0" t="0" r="19050" b="1905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5358BBFA" w14:textId="7CD4C0C6" w:rsidR="00BE1EE9" w:rsidRDefault="00BE1EE9"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409</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1340A" id="Rectangle 14" o:spid="_x0000_s1029" style="position:absolute;margin-left:333pt;margin-top:17.35pt;width:13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">
                <v:textbox inset=",7.2pt,,7.2pt">
                  <w:txbxContent>
                    <w:p w14:paraId="5358BBFA" w14:textId="7CD4C0C6" w:rsidR="00BE1EE9" w:rsidRDefault="00BE1EE9"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409</w:t>
                      </w:r>
                      <w:r w:rsidRPr="00B64536">
                        <w:rPr>
                          <w:rFonts w:ascii="Calibri" w:hAnsi="Calibri"/>
                          <w:sz w:val="22"/>
                          <w:szCs w:val="22"/>
                        </w:rPr>
                        <w:t>]</w:t>
                      </w:r>
                    </w:p>
                  </w:txbxContent>
                </v:textbox>
              </v:rect>
            </w:pict>
          </mc:Fallback>
        </mc:AlternateContent>
      </w:r>
      <w:r w:rsidR="00DD0BD8">
        <w:rPr>
          <w:noProof/>
          <w:lang w:eastAsia="en-GB"/>
        </w:rPr>
        <mc:AlternateContent>
          <mc:Choice Requires="wps">
            <w:drawing>
              <wp:anchor distT="0" distB="0" distL="114300" distR="114300" simplePos="0" relativeHeight="251663360" behindDoc="0" locked="0" layoutInCell="1" allowOverlap="1" wp14:anchorId="73FC25E2" wp14:editId="2B4632C2">
                <wp:simplePos x="0" y="0"/>
                <wp:positionH relativeFrom="column">
                  <wp:posOffset>1908175</wp:posOffset>
                </wp:positionH>
                <wp:positionV relativeFrom="paragraph">
                  <wp:posOffset>192243</wp:posOffset>
                </wp:positionV>
                <wp:extent cx="1670050" cy="571500"/>
                <wp:effectExtent l="0" t="0" r="25400" b="19050"/>
                <wp:wrapNone/>
                <wp:docPr id="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6ECA2840" w14:textId="033E58B3" w:rsidR="00BE1EE9" w:rsidRDefault="00BE1EE9"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489]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C25E2" id="Rectangle 13" o:spid="_x0000_s1030" style="position:absolute;margin-left:150.25pt;margin-top:15.15pt;width:131.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">
                <v:textbox inset=",7.2pt,,7.2pt">
                  <w:txbxContent>
                    <w:p w14:paraId="6ECA2840" w14:textId="033E58B3" w:rsidR="00BE1EE9" w:rsidRDefault="00BE1EE9"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489]</w:t>
                      </w:r>
                    </w:p>
                  </w:txbxContent>
                </v:textbox>
              </v:rect>
            </w:pict>
          </mc:Fallback>
        </mc:AlternateContent>
      </w:r>
    </w:p>
    <w:p w14:paraId="282D1B7A" w14:textId="77777777" w:rsidR="00277952" w:rsidRPr="00065914" w:rsidRDefault="00307736" w:rsidP="00A813F7">
      <w:pPr>
        <w:pStyle w:val="Paragraph"/>
      </w:pPr>
      <w:r>
        <w:rPr>
          <w:noProof/>
          <w:lang w:eastAsia="en-GB"/>
        </w:rPr>
        <mc:AlternateContent>
          <mc:Choice Requires="wps">
            <w:drawing>
              <wp:anchor distT="36575" distB="36575" distL="36576" distR="36576" simplePos="0" relativeHeight="251670528" behindDoc="0" locked="0" layoutInCell="1" allowOverlap="1" wp14:anchorId="3F16066E" wp14:editId="4B018E84">
                <wp:simplePos x="0" y="0"/>
                <wp:positionH relativeFrom="column">
                  <wp:posOffset>3578225</wp:posOffset>
                </wp:positionH>
                <wp:positionV relativeFrom="paragraph">
                  <wp:posOffset>121447</wp:posOffset>
                </wp:positionV>
                <wp:extent cx="650875" cy="0"/>
                <wp:effectExtent l="0" t="76200" r="15875" b="95250"/>
                <wp:wrapNone/>
                <wp:docPr id="2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8C37DF" id="Straight Arrow Connector 12" o:spid="_x0000_s1026" type="#_x0000_t32" style="position:absolute;margin-left:281.75pt;margin-top:9.55pt;width:51.25pt;height:0;z-index:25167052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">
                <v:stroke endarrow="block"/>
                <v:shadow color="#ccc"/>
              </v:shape>
            </w:pict>
          </mc:Fallback>
        </mc:AlternateContent>
      </w:r>
    </w:p>
    <w:p w14:paraId="6583D86E" w14:textId="77777777" w:rsidR="00277952" w:rsidRPr="00065914" w:rsidRDefault="00307736" w:rsidP="00A813F7">
      <w:pPr>
        <w:pStyle w:val="Paragraph"/>
      </w:pPr>
      <w:r>
        <w:rPr>
          <w:noProof/>
          <w:lang w:eastAsia="en-GB"/>
        </w:rPr>
        <mc:AlternateContent>
          <mc:Choice Requires="wps">
            <w:drawing>
              <wp:anchor distT="0" distB="0" distL="114300" distR="114300" simplePos="0" relativeHeight="251672576" behindDoc="0" locked="0" layoutInCell="1" allowOverlap="1" wp14:anchorId="15C52EA7" wp14:editId="489B8832">
                <wp:simplePos x="0" y="0"/>
                <wp:positionH relativeFrom="column">
                  <wp:posOffset>-538480</wp:posOffset>
                </wp:positionH>
                <wp:positionV relativeFrom="paragraph">
                  <wp:posOffset>418303</wp:posOffset>
                </wp:positionV>
                <wp:extent cx="1812925" cy="685800"/>
                <wp:effectExtent l="0" t="0" r="15875" b="1905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685800"/>
                        </a:xfrm>
                        <a:prstGeom prst="rect">
                          <a:avLst/>
                        </a:prstGeom>
                        <a:solidFill>
                          <a:srgbClr val="FFFFFF"/>
                        </a:solidFill>
                        <a:ln w="9525">
                          <a:solidFill>
                            <a:srgbClr val="000000"/>
                          </a:solidFill>
                          <a:miter lim="800000"/>
                          <a:headEnd/>
                          <a:tailEnd/>
                        </a:ln>
                      </wps:spPr>
                      <wps:txbx>
                        <w:txbxContent>
                          <w:p w14:paraId="5E7A93DB" w14:textId="77777777" w:rsidR="00BE1EE9" w:rsidRPr="001519AA" w:rsidRDefault="00BE1EE9" w:rsidP="00277952">
                            <w:pPr>
                              <w:jc w:val="center"/>
                              <w:rPr>
                                <w:rFonts w:ascii="Calibri" w:hAnsi="Calibri"/>
                                <w:sz w:val="22"/>
                                <w:szCs w:val="22"/>
                              </w:rPr>
                            </w:pPr>
                            <w:r w:rsidRPr="001519AA">
                              <w:rPr>
                                <w:rFonts w:ascii="Calibri" w:hAnsi="Calibri"/>
                                <w:sz w:val="22"/>
                                <w:szCs w:val="22"/>
                              </w:rPr>
                              <w:t>Citation searching or snowballing</w:t>
                            </w:r>
                          </w:p>
                          <w:p w14:paraId="1F871B51" w14:textId="74A3661B" w:rsidR="00BE1EE9" w:rsidRPr="001519AA" w:rsidRDefault="00BE1EE9" w:rsidP="00277952">
                            <w:pPr>
                              <w:jc w:val="center"/>
                              <w:rPr>
                                <w:rFonts w:ascii="Calibri" w:hAnsi="Calibri"/>
                                <w:sz w:val="22"/>
                                <w:szCs w:val="22"/>
                              </w:rPr>
                            </w:pPr>
                            <w:r>
                              <w:rPr>
                                <w:rFonts w:ascii="Calibri" w:hAnsi="Calibri"/>
                                <w:sz w:val="22"/>
                                <w:szCs w:val="22"/>
                              </w:rPr>
                              <w:t>[</w:t>
                            </w:r>
                            <w:r w:rsidRPr="00850647">
                              <w:rPr>
                                <w:rFonts w:ascii="Calibri" w:hAnsi="Calibri"/>
                                <w:sz w:val="22"/>
                                <w:szCs w:val="22"/>
                              </w:rPr>
                              <w:t>n=</w:t>
                            </w:r>
                            <w:r>
                              <w:rPr>
                                <w:rFonts w:ascii="Calibri" w:hAnsi="Calibri"/>
                                <w:sz w:val="22"/>
                                <w:szCs w:val="22"/>
                              </w:rPr>
                              <w:t xml:space="preserv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52EA7" id="_x0000_t202" coordsize="21600,21600" o:spt="202" path="m,l,21600r21600,l21600,xe">
                <v:stroke joinstyle="miter"/>
                <v:path gradientshapeok="t" o:connecttype="rect"/>
              </v:shapetype>
              <v:shape id="Text Box 9" o:spid="_x0000_s1031" type="#_x0000_t202" style="position:absolute;margin-left:-42.4pt;margin-top:32.95pt;width:142.7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">
                <v:textbox>
                  <w:txbxContent>
                    <w:p w14:paraId="5E7A93DB" w14:textId="77777777" w:rsidR="00BE1EE9" w:rsidRPr="001519AA" w:rsidRDefault="00BE1EE9" w:rsidP="00277952">
                      <w:pPr>
                        <w:jc w:val="center"/>
                        <w:rPr>
                          <w:rFonts w:ascii="Calibri" w:hAnsi="Calibri"/>
                          <w:sz w:val="22"/>
                          <w:szCs w:val="22"/>
                        </w:rPr>
                      </w:pPr>
                      <w:r w:rsidRPr="001519AA">
                        <w:rPr>
                          <w:rFonts w:ascii="Calibri" w:hAnsi="Calibri"/>
                          <w:sz w:val="22"/>
                          <w:szCs w:val="22"/>
                        </w:rPr>
                        <w:t>Citation searching or snowballing</w:t>
                      </w:r>
                    </w:p>
                    <w:p w14:paraId="1F871B51" w14:textId="74A3661B" w:rsidR="00BE1EE9" w:rsidRPr="001519AA" w:rsidRDefault="00BE1EE9" w:rsidP="00277952">
                      <w:pPr>
                        <w:jc w:val="center"/>
                        <w:rPr>
                          <w:rFonts w:ascii="Calibri" w:hAnsi="Calibri"/>
                          <w:sz w:val="22"/>
                          <w:szCs w:val="22"/>
                        </w:rPr>
                      </w:pPr>
                      <w:r>
                        <w:rPr>
                          <w:rFonts w:ascii="Calibri" w:hAnsi="Calibri"/>
                          <w:sz w:val="22"/>
                          <w:szCs w:val="22"/>
                        </w:rPr>
                        <w:t>[</w:t>
                      </w:r>
                      <w:r w:rsidRPr="00850647">
                        <w:rPr>
                          <w:rFonts w:ascii="Calibri" w:hAnsi="Calibri"/>
                          <w:sz w:val="22"/>
                          <w:szCs w:val="22"/>
                        </w:rPr>
                        <w:t>n=</w:t>
                      </w:r>
                      <w:r>
                        <w:rPr>
                          <w:rFonts w:ascii="Calibri" w:hAnsi="Calibri"/>
                          <w:sz w:val="22"/>
                          <w:szCs w:val="22"/>
                        </w:rPr>
                        <w:t xml:space="preserve"> 4]</w:t>
                      </w:r>
                    </w:p>
                  </w:txbxContent>
                </v:textbox>
              </v:shape>
            </w:pict>
          </mc:Fallback>
        </mc:AlternateContent>
      </w:r>
      <w:r w:rsidR="00AA3A48">
        <w:rPr>
          <w:noProof/>
          <w:lang w:eastAsia="en-GB"/>
        </w:rPr>
        <mc:AlternateContent>
          <mc:Choice Requires="wps">
            <w:drawing>
              <wp:anchor distT="36576" distB="36576" distL="36575" distR="36575" simplePos="0" relativeHeight="251668480" behindDoc="0" locked="0" layoutInCell="1" allowOverlap="1" wp14:anchorId="11C4C39A" wp14:editId="4490B1D4">
                <wp:simplePos x="0" y="0"/>
                <wp:positionH relativeFrom="column">
                  <wp:posOffset>2742565</wp:posOffset>
                </wp:positionH>
                <wp:positionV relativeFrom="paragraph">
                  <wp:posOffset>41748</wp:posOffset>
                </wp:positionV>
                <wp:extent cx="0" cy="355600"/>
                <wp:effectExtent l="76200" t="0" r="76200" b="63500"/>
                <wp:wrapNone/>
                <wp:docPr id="2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C07443" id="Straight Arrow Connector 11" o:spid="_x0000_s1026" type="#_x0000_t32" style="position:absolute;margin-left:215.95pt;margin-top:3.3pt;width:0;height:28pt;z-index:25166848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">
                <v:stroke endarrow="block"/>
                <v:shadow color="#ccc"/>
              </v:shape>
            </w:pict>
          </mc:Fallback>
        </mc:AlternateContent>
      </w:r>
    </w:p>
    <w:p w14:paraId="0E12EE3F" w14:textId="77777777" w:rsidR="00277952" w:rsidRDefault="00307736" w:rsidP="00A813F7">
      <w:pPr>
        <w:pStyle w:val="Paragraph"/>
      </w:pPr>
      <w:r>
        <w:rPr>
          <w:noProof/>
          <w:lang w:eastAsia="en-GB"/>
        </w:rPr>
        <mc:AlternateContent>
          <mc:Choice Requires="wps">
            <w:drawing>
              <wp:anchor distT="0" distB="0" distL="114300" distR="114300" simplePos="0" relativeHeight="251666432" behindDoc="0" locked="0" layoutInCell="1" allowOverlap="1" wp14:anchorId="7E02E568" wp14:editId="5027CD5A">
                <wp:simplePos x="0" y="0"/>
                <wp:positionH relativeFrom="column">
                  <wp:posOffset>4229100</wp:posOffset>
                </wp:positionH>
                <wp:positionV relativeFrom="paragraph">
                  <wp:posOffset>69053</wp:posOffset>
                </wp:positionV>
                <wp:extent cx="1714500" cy="685800"/>
                <wp:effectExtent l="0" t="0" r="19050" b="1905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4A4C85F3" w14:textId="3AF3580D" w:rsidR="00BE1EE9" w:rsidRDefault="00BE1EE9"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75</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2E568" id="Rectangle 10" o:spid="_x0000_s1032" style="position:absolute;margin-left:333pt;margin-top:5.45pt;width:13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">
                <v:textbox inset=",7.2pt,,7.2pt">
                  <w:txbxContent>
                    <w:p w14:paraId="4A4C85F3" w14:textId="3AF3580D" w:rsidR="00BE1EE9" w:rsidRDefault="00BE1EE9"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75</w:t>
                      </w:r>
                      <w:r w:rsidRPr="00B64536">
                        <w:rPr>
                          <w:rFonts w:ascii="Calibri" w:hAnsi="Calibri"/>
                          <w:sz w:val="22"/>
                          <w:szCs w:val="22"/>
                        </w:rPr>
                        <w:t>]</w:t>
                      </w:r>
                    </w:p>
                  </w:txbxContent>
                </v:textbox>
              </v:rect>
            </w:pict>
          </mc:Fallback>
        </mc:AlternateContent>
      </w:r>
      <w:r w:rsidR="00AA3A48">
        <w:rPr>
          <w:noProof/>
          <w:lang w:eastAsia="en-GB"/>
        </w:rPr>
        <mc:AlternateContent>
          <mc:Choice Requires="wps">
            <w:drawing>
              <wp:anchor distT="0" distB="0" distL="114300" distR="114300" simplePos="0" relativeHeight="251665408" behindDoc="0" locked="0" layoutInCell="1" allowOverlap="1" wp14:anchorId="21FDD83A" wp14:editId="225CFD71">
                <wp:simplePos x="0" y="0"/>
                <wp:positionH relativeFrom="column">
                  <wp:posOffset>1885950</wp:posOffset>
                </wp:positionH>
                <wp:positionV relativeFrom="paragraph">
                  <wp:posOffset>67472</wp:posOffset>
                </wp:positionV>
                <wp:extent cx="1714500" cy="685800"/>
                <wp:effectExtent l="0" t="0" r="19050" b="1905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5A857AE1" w14:textId="3B910E2C" w:rsidR="00BE1EE9" w:rsidRDefault="00BE1EE9"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84</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DD83A" id="Rectangle 8" o:spid="_x0000_s1033" style="position:absolute;margin-left:148.5pt;margin-top:5.3pt;width:13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">
                <v:textbox inset=",7.2pt,,7.2pt">
                  <w:txbxContent>
                    <w:p w14:paraId="5A857AE1" w14:textId="3B910E2C" w:rsidR="00BE1EE9" w:rsidRDefault="00BE1EE9"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84</w:t>
                      </w:r>
                      <w:r w:rsidRPr="00B64536">
                        <w:rPr>
                          <w:rFonts w:ascii="Calibri" w:hAnsi="Calibri"/>
                          <w:sz w:val="22"/>
                          <w:szCs w:val="22"/>
                        </w:rPr>
                        <w:t>]</w:t>
                      </w:r>
                    </w:p>
                  </w:txbxContent>
                </v:textbox>
              </v:rect>
            </w:pict>
          </mc:Fallback>
        </mc:AlternateContent>
      </w:r>
    </w:p>
    <w:p w14:paraId="074AAB26" w14:textId="77777777" w:rsidR="00277952" w:rsidRPr="00065914" w:rsidRDefault="00307736" w:rsidP="00A813F7">
      <w:pPr>
        <w:pStyle w:val="Paragraph"/>
      </w:pPr>
      <w:r>
        <w:rPr>
          <w:noProof/>
          <w:lang w:eastAsia="en-GB"/>
        </w:rPr>
        <mc:AlternateContent>
          <mc:Choice Requires="wps">
            <w:drawing>
              <wp:anchor distT="4294967294" distB="4294967294" distL="114300" distR="114300" simplePos="0" relativeHeight="251673600" behindDoc="0" locked="0" layoutInCell="1" allowOverlap="1" wp14:anchorId="64739FC1" wp14:editId="42C4A8CC">
                <wp:simplePos x="0" y="0"/>
                <wp:positionH relativeFrom="column">
                  <wp:posOffset>1268730</wp:posOffset>
                </wp:positionH>
                <wp:positionV relativeFrom="paragraph">
                  <wp:posOffset>58582</wp:posOffset>
                </wp:positionV>
                <wp:extent cx="611505" cy="0"/>
                <wp:effectExtent l="0" t="76200" r="17145" b="95250"/>
                <wp:wrapNone/>
                <wp:docPr id="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CB0DF" id="Straight Arrow Connector 6" o:spid="_x0000_s1026" type="#_x0000_t32" style="position:absolute;margin-left:99.9pt;margin-top:4.6pt;width:48.1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">
                <v:stroke endarrow="block"/>
              </v:shape>
            </w:pict>
          </mc:Fallback>
        </mc:AlternateContent>
      </w:r>
      <w:r>
        <w:rPr>
          <w:noProof/>
          <w:lang w:eastAsia="en-GB"/>
        </w:rPr>
        <mc:AlternateContent>
          <mc:Choice Requires="wps">
            <w:drawing>
              <wp:anchor distT="36575" distB="36575" distL="36576" distR="36576" simplePos="0" relativeHeight="251671552" behindDoc="0" locked="0" layoutInCell="1" allowOverlap="1" wp14:anchorId="0D8C735A" wp14:editId="603203FB">
                <wp:simplePos x="0" y="0"/>
                <wp:positionH relativeFrom="column">
                  <wp:posOffset>3600450</wp:posOffset>
                </wp:positionH>
                <wp:positionV relativeFrom="paragraph">
                  <wp:posOffset>50003</wp:posOffset>
                </wp:positionV>
                <wp:extent cx="628650" cy="0"/>
                <wp:effectExtent l="0" t="76200" r="19050" b="95250"/>
                <wp:wrapNone/>
                <wp:docPr id="2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780CE8B" id="Straight Arrow Connector 7" o:spid="_x0000_s1026" type="#_x0000_t32" style="position:absolute;margin-left:283.5pt;margin-top:3.95pt;width:49.5pt;height:0;z-index:25167155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">
                <v:stroke endarrow="block"/>
                <v:shadow color="#ccc"/>
              </v:shape>
            </w:pict>
          </mc:Fallback>
        </mc:AlternateContent>
      </w:r>
    </w:p>
    <w:p w14:paraId="5694967D" w14:textId="77777777" w:rsidR="00277952" w:rsidRDefault="00AA3A48" w:rsidP="00A813F7">
      <w:pPr>
        <w:pStyle w:val="Paragraph"/>
      </w:pPr>
      <w:r>
        <w:rPr>
          <w:noProof/>
          <w:lang w:eastAsia="en-GB"/>
        </w:rPr>
        <mc:AlternateContent>
          <mc:Choice Requires="wps">
            <w:drawing>
              <wp:anchor distT="36576" distB="36576" distL="36575" distR="36575" simplePos="0" relativeHeight="251669504" behindDoc="0" locked="0" layoutInCell="1" allowOverlap="1" wp14:anchorId="79CFAE8A" wp14:editId="2F67D5BA">
                <wp:simplePos x="0" y="0"/>
                <wp:positionH relativeFrom="column">
                  <wp:posOffset>2742565</wp:posOffset>
                </wp:positionH>
                <wp:positionV relativeFrom="paragraph">
                  <wp:posOffset>52543</wp:posOffset>
                </wp:positionV>
                <wp:extent cx="0" cy="329565"/>
                <wp:effectExtent l="76200" t="0" r="76200" b="51435"/>
                <wp:wrapNone/>
                <wp:docPr id="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A20C99" id="Straight Arrow Connector 5" o:spid="_x0000_s1026" type="#_x0000_t32" style="position:absolute;margin-left:215.95pt;margin-top:4.15pt;width:0;height:25.95pt;z-index:25166950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">
                <v:stroke endarrow="block"/>
                <v:shadow color="#ccc"/>
              </v:shape>
            </w:pict>
          </mc:Fallback>
        </mc:AlternateContent>
      </w:r>
    </w:p>
    <w:p w14:paraId="1D5E1068" w14:textId="77777777" w:rsidR="00307736" w:rsidRDefault="00307736" w:rsidP="00A813F7">
      <w:pPr>
        <w:pStyle w:val="Paragraph"/>
      </w:pPr>
      <w:r>
        <w:rPr>
          <w:noProof/>
          <w:lang w:eastAsia="en-GB"/>
        </w:rPr>
        <mc:AlternateContent>
          <mc:Choice Requires="wps">
            <w:drawing>
              <wp:anchor distT="0" distB="0" distL="114300" distR="114300" simplePos="0" relativeHeight="251667456" behindDoc="0" locked="0" layoutInCell="1" allowOverlap="1" wp14:anchorId="3D7F0222" wp14:editId="4C81A9B8">
                <wp:simplePos x="0" y="0"/>
                <wp:positionH relativeFrom="column">
                  <wp:posOffset>1885950</wp:posOffset>
                </wp:positionH>
                <wp:positionV relativeFrom="paragraph">
                  <wp:posOffset>60487</wp:posOffset>
                </wp:positionV>
                <wp:extent cx="1714500" cy="864870"/>
                <wp:effectExtent l="0" t="0" r="1905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64870"/>
                        </a:xfrm>
                        <a:prstGeom prst="rect">
                          <a:avLst/>
                        </a:prstGeom>
                        <a:solidFill>
                          <a:srgbClr val="FFFFFF"/>
                        </a:solidFill>
                        <a:ln w="9525">
                          <a:solidFill>
                            <a:srgbClr val="000000"/>
                          </a:solidFill>
                          <a:miter lim="800000"/>
                          <a:headEnd/>
                          <a:tailEnd/>
                        </a:ln>
                      </wps:spPr>
                      <wps:txbx>
                        <w:txbxContent>
                          <w:p w14:paraId="0C9FC655" w14:textId="779BE08B" w:rsidR="00BE1EE9" w:rsidRPr="004C6931" w:rsidRDefault="00BE1EE9"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9</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F0222" id="Rectangle 2" o:spid="_x0000_s1034" style="position:absolute;margin-left:148.5pt;margin-top:4.75pt;width:135pt;height:6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">
                <v:textbox inset=",7.2pt,,7.2pt">
                  <w:txbxContent>
                    <w:p w14:paraId="0C9FC655" w14:textId="779BE08B" w:rsidR="00BE1EE9" w:rsidRPr="004C6931" w:rsidRDefault="00BE1EE9"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w:t>
                      </w:r>
                      <w:r w:rsidRPr="00850647">
                        <w:rPr>
                          <w:rFonts w:ascii="Calibri" w:hAnsi="Calibri"/>
                          <w:sz w:val="22"/>
                          <w:szCs w:val="22"/>
                        </w:rPr>
                        <w:t>n =</w:t>
                      </w:r>
                      <w:r w:rsidRPr="00B64536">
                        <w:rPr>
                          <w:rFonts w:ascii="Calibri" w:hAnsi="Calibri"/>
                          <w:sz w:val="22"/>
                          <w:szCs w:val="22"/>
                        </w:rPr>
                        <w:t xml:space="preserve"> </w:t>
                      </w:r>
                      <w:r>
                        <w:rPr>
                          <w:rFonts w:ascii="Calibri" w:hAnsi="Calibri"/>
                          <w:sz w:val="22"/>
                          <w:szCs w:val="22"/>
                        </w:rPr>
                        <w:t>9</w:t>
                      </w:r>
                      <w:r w:rsidRPr="00B64536">
                        <w:rPr>
                          <w:rFonts w:ascii="Calibri" w:hAnsi="Calibri"/>
                          <w:sz w:val="22"/>
                          <w:szCs w:val="22"/>
                        </w:rPr>
                        <w:t>]</w:t>
                      </w:r>
                    </w:p>
                  </w:txbxContent>
                </v:textbox>
              </v:rect>
            </w:pict>
          </mc:Fallback>
        </mc:AlternateContent>
      </w:r>
    </w:p>
    <w:p w14:paraId="3CA814D6" w14:textId="77777777" w:rsidR="00307736" w:rsidRDefault="00307736" w:rsidP="00A813F7">
      <w:pPr>
        <w:pStyle w:val="Paragraph"/>
      </w:pPr>
    </w:p>
    <w:p w14:paraId="17343248" w14:textId="77777777" w:rsidR="00AA3A48" w:rsidRDefault="00AA3A48" w:rsidP="00A813F7">
      <w:pPr>
        <w:pStyle w:val="Paragraph"/>
      </w:pPr>
    </w:p>
    <w:p w14:paraId="4879B425" w14:textId="77777777" w:rsidR="00277952" w:rsidRDefault="00277952" w:rsidP="00A813F7">
      <w:pPr>
        <w:pStyle w:val="Paragraph"/>
      </w:pPr>
    </w:p>
    <w:p w14:paraId="0644E45E" w14:textId="77777777" w:rsidR="0001392D" w:rsidRDefault="0001392D" w:rsidP="0088696C">
      <w:pPr>
        <w:pStyle w:val="Paragraph"/>
      </w:pPr>
    </w:p>
    <w:p w14:paraId="1BF9AB90" w14:textId="77777777" w:rsidR="0001392D" w:rsidRPr="0001392D" w:rsidRDefault="0001392D" w:rsidP="0001392D">
      <w:pPr>
        <w:pStyle w:val="Paragraph"/>
        <w:sectPr w:rsidR="0001392D" w:rsidRPr="0001392D" w:rsidSect="00491FE4">
          <w:footerReference w:type="default" r:id="rId32"/>
          <w:footerReference w:type="first" r:id="rId33"/>
          <w:pgSz w:w="11906" w:h="16838"/>
          <w:pgMar w:top="1440" w:right="1440" w:bottom="1440" w:left="1440" w:header="708" w:footer="708" w:gutter="0"/>
          <w:cols w:space="708"/>
          <w:titlePg/>
          <w:docGrid w:linePitch="360"/>
        </w:sectPr>
      </w:pPr>
    </w:p>
    <w:p w14:paraId="35849571" w14:textId="0E682DC7" w:rsidR="00DC2522" w:rsidRDefault="005C6F10" w:rsidP="007434D8">
      <w:pPr>
        <w:pStyle w:val="Heading1"/>
      </w:pPr>
      <w:bookmarkStart w:id="52" w:name="_Toc51674501"/>
      <w:r w:rsidRPr="00FC11EC">
        <w:lastRenderedPageBreak/>
        <w:t xml:space="preserve">Appendix </w:t>
      </w:r>
      <w:r w:rsidR="007434D8">
        <w:t>2</w:t>
      </w:r>
      <w:r w:rsidR="00603263">
        <w:t xml:space="preserve">: </w:t>
      </w:r>
      <w:r w:rsidR="002C296A" w:rsidRPr="00FC11EC">
        <w:t>Suggestions from stakeholder engagement exercise</w:t>
      </w:r>
      <w:r w:rsidR="00626943">
        <w:t xml:space="preserve"> – registered stakeholders</w:t>
      </w:r>
      <w:bookmarkEnd w:id="52"/>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04"/>
        <w:gridCol w:w="1701"/>
        <w:gridCol w:w="1985"/>
        <w:gridCol w:w="3426"/>
        <w:gridCol w:w="3426"/>
        <w:gridCol w:w="3426"/>
      </w:tblGrid>
      <w:tr w:rsidR="00271885" w:rsidRPr="006E36AE" w14:paraId="32684D1E" w14:textId="77777777" w:rsidTr="006E36AE">
        <w:trPr>
          <w:tblHeader/>
        </w:trPr>
        <w:tc>
          <w:tcPr>
            <w:tcW w:w="704" w:type="dxa"/>
            <w:shd w:val="clear" w:color="auto" w:fill="E6E6E6"/>
          </w:tcPr>
          <w:p w14:paraId="3A65D91B" w14:textId="77777777" w:rsidR="00F27622" w:rsidRPr="006E36AE" w:rsidRDefault="00F27622">
            <w:pPr>
              <w:pStyle w:val="Tabletitle"/>
              <w:rPr>
                <w:rFonts w:cs="Arial"/>
                <w:szCs w:val="22"/>
              </w:rPr>
            </w:pPr>
            <w:r w:rsidRPr="006E36AE">
              <w:rPr>
                <w:rFonts w:cs="Arial"/>
                <w:szCs w:val="22"/>
              </w:rPr>
              <w:t>ID</w:t>
            </w:r>
          </w:p>
        </w:tc>
        <w:tc>
          <w:tcPr>
            <w:tcW w:w="1701" w:type="dxa"/>
            <w:shd w:val="clear" w:color="auto" w:fill="E6E6E6"/>
          </w:tcPr>
          <w:p w14:paraId="7046BE77" w14:textId="77777777" w:rsidR="00F27622" w:rsidRPr="006E36AE" w:rsidRDefault="00F27622">
            <w:pPr>
              <w:pStyle w:val="Tabletitle"/>
              <w:rPr>
                <w:rFonts w:cs="Arial"/>
                <w:szCs w:val="22"/>
              </w:rPr>
            </w:pPr>
            <w:r w:rsidRPr="006E36AE">
              <w:rPr>
                <w:rFonts w:cs="Arial"/>
                <w:szCs w:val="22"/>
              </w:rPr>
              <w:t>Stakeholder</w:t>
            </w:r>
          </w:p>
        </w:tc>
        <w:tc>
          <w:tcPr>
            <w:tcW w:w="1985" w:type="dxa"/>
            <w:shd w:val="clear" w:color="auto" w:fill="E6E6E6"/>
          </w:tcPr>
          <w:p w14:paraId="6505DD61" w14:textId="77777777" w:rsidR="00F27622" w:rsidRPr="006E36AE" w:rsidRDefault="00F27622">
            <w:pPr>
              <w:pStyle w:val="Tabletitle"/>
              <w:rPr>
                <w:rFonts w:cs="Arial"/>
                <w:szCs w:val="22"/>
              </w:rPr>
            </w:pPr>
            <w:r w:rsidRPr="006E36AE">
              <w:rPr>
                <w:rFonts w:cs="Arial"/>
                <w:szCs w:val="22"/>
              </w:rPr>
              <w:t>Suggested key area for quality improvement</w:t>
            </w:r>
          </w:p>
        </w:tc>
        <w:tc>
          <w:tcPr>
            <w:tcW w:w="3426" w:type="dxa"/>
            <w:shd w:val="clear" w:color="auto" w:fill="E6E6E6"/>
          </w:tcPr>
          <w:p w14:paraId="2D0ABFB6" w14:textId="77777777" w:rsidR="00F27622" w:rsidRPr="006E36AE" w:rsidRDefault="00F27622">
            <w:pPr>
              <w:pStyle w:val="Tabletitle"/>
              <w:rPr>
                <w:rFonts w:cs="Arial"/>
                <w:szCs w:val="22"/>
              </w:rPr>
            </w:pPr>
            <w:r w:rsidRPr="006E36AE">
              <w:rPr>
                <w:rFonts w:cs="Arial"/>
                <w:szCs w:val="22"/>
              </w:rPr>
              <w:t>Why is this important?</w:t>
            </w:r>
          </w:p>
        </w:tc>
        <w:tc>
          <w:tcPr>
            <w:tcW w:w="3426" w:type="dxa"/>
            <w:shd w:val="clear" w:color="auto" w:fill="E6E6E6"/>
          </w:tcPr>
          <w:p w14:paraId="10696B0F" w14:textId="77777777" w:rsidR="00F27622" w:rsidRPr="006E36AE" w:rsidRDefault="00F27622">
            <w:pPr>
              <w:pStyle w:val="Tabletitle"/>
              <w:rPr>
                <w:rFonts w:cs="Arial"/>
                <w:szCs w:val="22"/>
              </w:rPr>
            </w:pPr>
            <w:r w:rsidRPr="006E36AE">
              <w:rPr>
                <w:rFonts w:cs="Arial"/>
                <w:szCs w:val="22"/>
              </w:rPr>
              <w:t>Why is this a key area for quality improvement?</w:t>
            </w:r>
          </w:p>
        </w:tc>
        <w:tc>
          <w:tcPr>
            <w:tcW w:w="3426" w:type="dxa"/>
            <w:shd w:val="clear" w:color="auto" w:fill="E6E6E6"/>
          </w:tcPr>
          <w:p w14:paraId="373CCBEE" w14:textId="77777777" w:rsidR="00F27622" w:rsidRPr="006E36AE" w:rsidRDefault="00F27622">
            <w:pPr>
              <w:pStyle w:val="Tabletitle"/>
              <w:rPr>
                <w:rFonts w:cs="Arial"/>
                <w:szCs w:val="22"/>
              </w:rPr>
            </w:pPr>
            <w:r w:rsidRPr="006E36AE">
              <w:rPr>
                <w:rFonts w:cs="Arial"/>
                <w:szCs w:val="22"/>
              </w:rPr>
              <w:t>Supporting information</w:t>
            </w:r>
          </w:p>
        </w:tc>
      </w:tr>
      <w:tr w:rsidR="00B62782" w:rsidRPr="006E36AE" w14:paraId="6A844C16" w14:textId="77777777" w:rsidTr="007434D8">
        <w:trPr>
          <w:trHeight w:val="282"/>
        </w:trPr>
        <w:tc>
          <w:tcPr>
            <w:tcW w:w="14668" w:type="dxa"/>
            <w:gridSpan w:val="6"/>
          </w:tcPr>
          <w:p w14:paraId="5AFB01E3" w14:textId="1B5AEFB0" w:rsidR="00B62782" w:rsidRPr="006E36AE" w:rsidRDefault="00B62782">
            <w:pPr>
              <w:pStyle w:val="Tabletitle"/>
              <w:rPr>
                <w:rFonts w:cs="Arial"/>
                <w:szCs w:val="22"/>
              </w:rPr>
            </w:pPr>
            <w:bookmarkStart w:id="53" w:name="_Hlk51152613"/>
            <w:r w:rsidRPr="006E36AE">
              <w:rPr>
                <w:rFonts w:cs="Arial"/>
                <w:szCs w:val="22"/>
              </w:rPr>
              <w:t>Statement of fitness to work</w:t>
            </w:r>
          </w:p>
        </w:tc>
      </w:tr>
      <w:tr w:rsidR="00B62782" w:rsidRPr="006E36AE" w14:paraId="6A355EF8" w14:textId="77777777" w:rsidTr="006E36AE">
        <w:trPr>
          <w:trHeight w:val="282"/>
        </w:trPr>
        <w:tc>
          <w:tcPr>
            <w:tcW w:w="704" w:type="dxa"/>
          </w:tcPr>
          <w:p w14:paraId="58E47F9A" w14:textId="7827E9D1" w:rsidR="00B62782" w:rsidRPr="006E36AE" w:rsidRDefault="005C029B">
            <w:pPr>
              <w:pStyle w:val="Tabletext"/>
              <w:rPr>
                <w:rFonts w:cs="Arial"/>
                <w:bCs/>
                <w:szCs w:val="22"/>
                <w:lang w:eastAsia="en-GB"/>
              </w:rPr>
            </w:pPr>
            <w:r w:rsidRPr="006E36AE">
              <w:rPr>
                <w:rFonts w:cs="Arial"/>
                <w:bCs/>
                <w:szCs w:val="22"/>
              </w:rPr>
              <w:t>1</w:t>
            </w:r>
          </w:p>
        </w:tc>
        <w:tc>
          <w:tcPr>
            <w:tcW w:w="1701" w:type="dxa"/>
          </w:tcPr>
          <w:p w14:paraId="51000ECC" w14:textId="0AAA031E" w:rsidR="00B62782" w:rsidRPr="006E36AE" w:rsidRDefault="00B62782">
            <w:pPr>
              <w:pStyle w:val="Tabletext"/>
              <w:rPr>
                <w:rFonts w:cs="Arial"/>
                <w:bCs/>
                <w:szCs w:val="22"/>
              </w:rPr>
            </w:pPr>
            <w:r w:rsidRPr="006E36AE">
              <w:rPr>
                <w:rFonts w:cs="Arial"/>
                <w:bCs/>
                <w:szCs w:val="22"/>
              </w:rPr>
              <w:t>SCM2</w:t>
            </w:r>
          </w:p>
        </w:tc>
        <w:tc>
          <w:tcPr>
            <w:tcW w:w="1985" w:type="dxa"/>
          </w:tcPr>
          <w:p w14:paraId="13B97A0F" w14:textId="77777777" w:rsidR="00B62782" w:rsidRPr="006E36AE" w:rsidRDefault="00B62782" w:rsidP="007434D8">
            <w:pPr>
              <w:pStyle w:val="TableText1"/>
              <w:spacing w:after="60"/>
              <w:rPr>
                <w:rFonts w:cs="Arial"/>
                <w:bCs/>
                <w:szCs w:val="22"/>
              </w:rPr>
            </w:pPr>
            <w:r w:rsidRPr="006E36AE">
              <w:rPr>
                <w:rFonts w:cs="Arial"/>
                <w:bCs/>
                <w:szCs w:val="22"/>
              </w:rPr>
              <w:t>Key area for quality improvement 2</w:t>
            </w:r>
          </w:p>
          <w:p w14:paraId="0A447D28" w14:textId="374647A7" w:rsidR="00B62782" w:rsidRPr="006E36AE" w:rsidRDefault="00B62782">
            <w:pPr>
              <w:pStyle w:val="Tabletext"/>
              <w:rPr>
                <w:rFonts w:cs="Arial"/>
                <w:bCs/>
                <w:szCs w:val="22"/>
              </w:rPr>
            </w:pPr>
            <w:r w:rsidRPr="006E36AE">
              <w:rPr>
                <w:rFonts w:cs="Arial"/>
                <w:bCs/>
                <w:szCs w:val="22"/>
              </w:rPr>
              <w:t>Importance of assessing and recording work, job role and fitness for work and review as routine when completing MED3 sickness certification</w:t>
            </w:r>
          </w:p>
        </w:tc>
        <w:tc>
          <w:tcPr>
            <w:tcW w:w="3426" w:type="dxa"/>
          </w:tcPr>
          <w:p w14:paraId="0082213B" w14:textId="1E379C86" w:rsidR="00B62782" w:rsidRPr="006E36AE" w:rsidRDefault="00B62782">
            <w:pPr>
              <w:pStyle w:val="Tabletext"/>
              <w:rPr>
                <w:rFonts w:cs="Arial"/>
                <w:bCs/>
                <w:szCs w:val="22"/>
              </w:rPr>
            </w:pPr>
            <w:r w:rsidRPr="006E36AE">
              <w:rPr>
                <w:rFonts w:cs="Arial"/>
                <w:bCs/>
                <w:szCs w:val="22"/>
                <w:lang w:eastAsia="en-GB"/>
              </w:rPr>
              <w:t>Risk of post-COVID-19 assumptions that this is done by e Consult or brief telephone call. Potential to reduce potential to properly assess work capability and negotiate partial or full RTW in face to face- thus lengthening periods of sickness absence and potential for prolonged absence and drifting into worklessness and welfare with the associated negative health consequences linked to poverty and debt risks and mental ill-health.</w:t>
            </w:r>
          </w:p>
        </w:tc>
        <w:tc>
          <w:tcPr>
            <w:tcW w:w="3426" w:type="dxa"/>
          </w:tcPr>
          <w:p w14:paraId="1B4182AB" w14:textId="567C85C3" w:rsidR="00B62782" w:rsidRPr="006E36AE" w:rsidRDefault="00B62782" w:rsidP="007434D8">
            <w:pPr>
              <w:spacing w:after="60"/>
              <w:rPr>
                <w:rFonts w:ascii="Arial" w:hAnsi="Arial" w:cs="Arial"/>
                <w:bCs/>
                <w:sz w:val="22"/>
                <w:szCs w:val="22"/>
              </w:rPr>
            </w:pPr>
            <w:r w:rsidRPr="006E36AE">
              <w:rPr>
                <w:rFonts w:ascii="Arial" w:hAnsi="Arial" w:cs="Arial"/>
                <w:bCs/>
                <w:sz w:val="22"/>
                <w:szCs w:val="22"/>
              </w:rPr>
              <w:t xml:space="preserve">A clear expectation that at least the initial and a proportion of review (including pre RTW) assessments for MED3 certification record type of work, restrictions and work ability, with at least one including visual assessment (face to face/video call) except in exceptional circumstances </w:t>
            </w:r>
          </w:p>
        </w:tc>
        <w:tc>
          <w:tcPr>
            <w:tcW w:w="3426" w:type="dxa"/>
          </w:tcPr>
          <w:p w14:paraId="3B3E905F" w14:textId="022475D1" w:rsidR="00B62782" w:rsidRPr="006E36AE" w:rsidRDefault="00B62782" w:rsidP="007434D8">
            <w:pPr>
              <w:spacing w:after="60"/>
              <w:rPr>
                <w:rFonts w:ascii="Arial" w:hAnsi="Arial" w:cs="Arial"/>
                <w:bCs/>
                <w:sz w:val="22"/>
                <w:szCs w:val="22"/>
              </w:rPr>
            </w:pPr>
            <w:r w:rsidRPr="006E36AE">
              <w:rPr>
                <w:rFonts w:ascii="Arial" w:hAnsi="Arial" w:cs="Arial"/>
                <w:bCs/>
                <w:sz w:val="22"/>
                <w:szCs w:val="22"/>
                <w:lang w:eastAsia="en-GB"/>
              </w:rPr>
              <w:t xml:space="preserve">Dame Carol Black’s report and work by Gabbay, </w:t>
            </w:r>
            <w:proofErr w:type="spellStart"/>
            <w:r w:rsidRPr="006E36AE">
              <w:rPr>
                <w:rFonts w:ascii="Arial" w:hAnsi="Arial" w:cs="Arial"/>
                <w:bCs/>
                <w:sz w:val="22"/>
                <w:szCs w:val="22"/>
                <w:lang w:eastAsia="en-GB"/>
              </w:rPr>
              <w:t>Shiels</w:t>
            </w:r>
            <w:proofErr w:type="spellEnd"/>
            <w:r w:rsidRPr="006E36AE">
              <w:rPr>
                <w:rFonts w:ascii="Arial" w:hAnsi="Arial" w:cs="Arial"/>
                <w:bCs/>
                <w:sz w:val="22"/>
                <w:szCs w:val="22"/>
                <w:lang w:eastAsia="en-GB"/>
              </w:rPr>
              <w:t xml:space="preserve">, </w:t>
            </w:r>
            <w:proofErr w:type="spellStart"/>
            <w:r w:rsidRPr="006E36AE">
              <w:rPr>
                <w:rFonts w:ascii="Arial" w:hAnsi="Arial" w:cs="Arial"/>
                <w:bCs/>
                <w:sz w:val="22"/>
                <w:szCs w:val="22"/>
                <w:lang w:eastAsia="en-GB"/>
              </w:rPr>
              <w:t>Hillage</w:t>
            </w:r>
            <w:proofErr w:type="spellEnd"/>
            <w:r w:rsidRPr="006E36AE">
              <w:rPr>
                <w:rFonts w:ascii="Arial" w:hAnsi="Arial" w:cs="Arial"/>
                <w:bCs/>
                <w:sz w:val="22"/>
                <w:szCs w:val="22"/>
                <w:lang w:eastAsia="en-GB"/>
              </w:rPr>
              <w:t xml:space="preserve"> etc on long-term absenteeism risk and </w:t>
            </w:r>
            <w:proofErr w:type="spellStart"/>
            <w:r w:rsidRPr="006E36AE">
              <w:rPr>
                <w:rFonts w:ascii="Arial" w:hAnsi="Arial" w:cs="Arial"/>
                <w:bCs/>
                <w:sz w:val="22"/>
                <w:szCs w:val="22"/>
                <w:lang w:eastAsia="en-GB"/>
              </w:rPr>
              <w:t>fitnotes</w:t>
            </w:r>
            <w:proofErr w:type="spellEnd"/>
            <w:r w:rsidRPr="006E36AE">
              <w:rPr>
                <w:rFonts w:ascii="Arial" w:hAnsi="Arial" w:cs="Arial"/>
                <w:bCs/>
                <w:sz w:val="22"/>
                <w:szCs w:val="22"/>
                <w:lang w:eastAsia="en-GB"/>
              </w:rPr>
              <w:t>.</w:t>
            </w:r>
          </w:p>
        </w:tc>
      </w:tr>
      <w:bookmarkEnd w:id="53"/>
      <w:tr w:rsidR="00B62782" w:rsidRPr="006E36AE" w14:paraId="10B5FBC7" w14:textId="77777777" w:rsidTr="006E36AE">
        <w:trPr>
          <w:trHeight w:val="282"/>
        </w:trPr>
        <w:tc>
          <w:tcPr>
            <w:tcW w:w="704" w:type="dxa"/>
          </w:tcPr>
          <w:p w14:paraId="7D6B1F0D" w14:textId="3037C2A8" w:rsidR="00B62782" w:rsidRPr="006E36AE" w:rsidRDefault="005C029B">
            <w:pPr>
              <w:pStyle w:val="Tabletext"/>
              <w:rPr>
                <w:rFonts w:cs="Arial"/>
                <w:bCs/>
                <w:szCs w:val="22"/>
              </w:rPr>
            </w:pPr>
            <w:r w:rsidRPr="006E36AE">
              <w:rPr>
                <w:rFonts w:cs="Arial"/>
                <w:bCs/>
                <w:szCs w:val="22"/>
              </w:rPr>
              <w:t>2</w:t>
            </w:r>
          </w:p>
        </w:tc>
        <w:tc>
          <w:tcPr>
            <w:tcW w:w="1701" w:type="dxa"/>
          </w:tcPr>
          <w:p w14:paraId="119340A5" w14:textId="4E42CB8B" w:rsidR="00B62782" w:rsidRPr="006E36AE" w:rsidRDefault="00B62782">
            <w:pPr>
              <w:pStyle w:val="Tabletext"/>
              <w:rPr>
                <w:rFonts w:cs="Arial"/>
                <w:bCs/>
                <w:szCs w:val="22"/>
              </w:rPr>
            </w:pPr>
            <w:r w:rsidRPr="006E36AE">
              <w:rPr>
                <w:rFonts w:cs="Arial"/>
                <w:bCs/>
                <w:szCs w:val="22"/>
              </w:rPr>
              <w:t>Royal College of Occupational Therapists</w:t>
            </w:r>
          </w:p>
        </w:tc>
        <w:tc>
          <w:tcPr>
            <w:tcW w:w="1985" w:type="dxa"/>
          </w:tcPr>
          <w:p w14:paraId="73877BB8" w14:textId="77777777" w:rsidR="00B62782" w:rsidRPr="006E36AE" w:rsidRDefault="00B62782" w:rsidP="007434D8">
            <w:pPr>
              <w:pStyle w:val="Paragraphnonumbers"/>
              <w:spacing w:after="60" w:line="240" w:lineRule="auto"/>
              <w:rPr>
                <w:rFonts w:cs="Arial"/>
                <w:bCs/>
                <w:sz w:val="22"/>
                <w:szCs w:val="22"/>
              </w:rPr>
            </w:pPr>
            <w:r w:rsidRPr="006E36AE">
              <w:rPr>
                <w:rFonts w:cs="Arial"/>
                <w:bCs/>
                <w:sz w:val="22"/>
                <w:szCs w:val="22"/>
              </w:rPr>
              <w:t>Key area for quality improvement 2</w:t>
            </w:r>
          </w:p>
          <w:p w14:paraId="5923A46D" w14:textId="2FA23516" w:rsidR="00B62782" w:rsidRPr="006E36AE" w:rsidRDefault="00B62782">
            <w:pPr>
              <w:pStyle w:val="Tabletext"/>
              <w:rPr>
                <w:rFonts w:cs="Arial"/>
                <w:bCs/>
                <w:szCs w:val="22"/>
              </w:rPr>
            </w:pPr>
            <w:r w:rsidRPr="006E36AE">
              <w:rPr>
                <w:rFonts w:cs="Arial"/>
                <w:bCs/>
                <w:szCs w:val="22"/>
              </w:rPr>
              <w:t>Improved and increased correct use of the GP/Medical Fit Note</w:t>
            </w:r>
          </w:p>
        </w:tc>
        <w:tc>
          <w:tcPr>
            <w:tcW w:w="3426" w:type="dxa"/>
          </w:tcPr>
          <w:p w14:paraId="7CDB4E8D" w14:textId="77777777" w:rsidR="00B62782" w:rsidRPr="006E36AE" w:rsidRDefault="00B62782" w:rsidP="007434D8">
            <w:pPr>
              <w:spacing w:after="60"/>
              <w:rPr>
                <w:rFonts w:ascii="Arial" w:hAnsi="Arial" w:cs="Arial"/>
                <w:bCs/>
                <w:color w:val="FF0000"/>
                <w:sz w:val="22"/>
                <w:szCs w:val="22"/>
              </w:rPr>
            </w:pPr>
            <w:r w:rsidRPr="006E36AE">
              <w:rPr>
                <w:rFonts w:ascii="Arial" w:hAnsi="Arial" w:cs="Arial"/>
                <w:bCs/>
                <w:sz w:val="22"/>
                <w:szCs w:val="22"/>
              </w:rPr>
              <w:t xml:space="preserve">Regarding long term sickness absence, there is still too much variation at the first step of the journey, i.e. the GP or Medical Fit Note (1.2 and 1.3). </w:t>
            </w:r>
          </w:p>
          <w:p w14:paraId="046174F5" w14:textId="77777777" w:rsidR="00B62782" w:rsidRPr="006E36AE" w:rsidRDefault="00B62782" w:rsidP="007434D8">
            <w:pPr>
              <w:spacing w:after="60"/>
              <w:rPr>
                <w:rFonts w:ascii="Arial" w:hAnsi="Arial" w:cs="Arial"/>
                <w:bCs/>
                <w:color w:val="1F497D"/>
                <w:sz w:val="22"/>
                <w:szCs w:val="22"/>
              </w:rPr>
            </w:pPr>
          </w:p>
          <w:p w14:paraId="4767C310" w14:textId="77777777" w:rsidR="00B62782" w:rsidRPr="006E36AE" w:rsidRDefault="00B62782">
            <w:pPr>
              <w:pStyle w:val="Tabletext"/>
              <w:rPr>
                <w:rFonts w:cs="Arial"/>
                <w:bCs/>
                <w:szCs w:val="22"/>
              </w:rPr>
            </w:pPr>
          </w:p>
        </w:tc>
        <w:tc>
          <w:tcPr>
            <w:tcW w:w="3426" w:type="dxa"/>
          </w:tcPr>
          <w:p w14:paraId="29D086B0" w14:textId="77777777" w:rsidR="00B62782" w:rsidRPr="006E36AE" w:rsidRDefault="00B62782" w:rsidP="007434D8">
            <w:pPr>
              <w:pStyle w:val="xxmsonormal"/>
              <w:spacing w:after="60"/>
              <w:rPr>
                <w:rFonts w:ascii="Arial" w:hAnsi="Arial" w:cs="Arial"/>
                <w:bCs/>
                <w:sz w:val="22"/>
                <w:szCs w:val="22"/>
              </w:rPr>
            </w:pPr>
            <w:r w:rsidRPr="006E36AE">
              <w:rPr>
                <w:rFonts w:ascii="Arial" w:hAnsi="Arial" w:cs="Arial"/>
                <w:bCs/>
                <w:sz w:val="22"/>
                <w:szCs w:val="22"/>
              </w:rPr>
              <w:t xml:space="preserve">A crucial component that can be prioritised is how do we get better quality information on the fit note and more clinical consistency about the length of time people are signed off for? Better quality information needs to consider the </w:t>
            </w:r>
            <w:proofErr w:type="spellStart"/>
            <w:r w:rsidRPr="006E36AE">
              <w:rPr>
                <w:rFonts w:ascii="Arial" w:hAnsi="Arial" w:cs="Arial"/>
                <w:bCs/>
                <w:sz w:val="22"/>
                <w:szCs w:val="22"/>
              </w:rPr>
              <w:t>self management</w:t>
            </w:r>
            <w:proofErr w:type="spellEnd"/>
            <w:r w:rsidRPr="006E36AE">
              <w:rPr>
                <w:rFonts w:ascii="Arial" w:hAnsi="Arial" w:cs="Arial"/>
                <w:bCs/>
                <w:sz w:val="22"/>
                <w:szCs w:val="22"/>
              </w:rPr>
              <w:t xml:space="preserve"> advice given to the employee and the suggestions for workplace modifications that ideally need to be tailored and specific to each person, their </w:t>
            </w:r>
            <w:r w:rsidRPr="006E36AE">
              <w:rPr>
                <w:rFonts w:ascii="Arial" w:hAnsi="Arial" w:cs="Arial"/>
                <w:bCs/>
                <w:sz w:val="22"/>
                <w:szCs w:val="22"/>
              </w:rPr>
              <w:lastRenderedPageBreak/>
              <w:t xml:space="preserve">health </w:t>
            </w:r>
            <w:proofErr w:type="gramStart"/>
            <w:r w:rsidRPr="006E36AE">
              <w:rPr>
                <w:rFonts w:ascii="Arial" w:hAnsi="Arial" w:cs="Arial"/>
                <w:bCs/>
                <w:sz w:val="22"/>
                <w:szCs w:val="22"/>
              </w:rPr>
              <w:t>condition</w:t>
            </w:r>
            <w:proofErr w:type="gramEnd"/>
            <w:r w:rsidRPr="006E36AE">
              <w:rPr>
                <w:rFonts w:ascii="Arial" w:hAnsi="Arial" w:cs="Arial"/>
                <w:bCs/>
                <w:sz w:val="22"/>
                <w:szCs w:val="22"/>
              </w:rPr>
              <w:t xml:space="preserve"> and their work role. </w:t>
            </w:r>
          </w:p>
          <w:p w14:paraId="72B31201" w14:textId="77777777" w:rsidR="00B62782" w:rsidRPr="006E36AE" w:rsidRDefault="00B62782" w:rsidP="007434D8">
            <w:pPr>
              <w:spacing w:after="60"/>
              <w:rPr>
                <w:rFonts w:ascii="Arial" w:hAnsi="Arial" w:cs="Arial"/>
                <w:bCs/>
                <w:sz w:val="22"/>
                <w:szCs w:val="22"/>
              </w:rPr>
            </w:pPr>
          </w:p>
        </w:tc>
        <w:tc>
          <w:tcPr>
            <w:tcW w:w="3426" w:type="dxa"/>
          </w:tcPr>
          <w:p w14:paraId="3FCBE3CE" w14:textId="77777777" w:rsidR="00B62782" w:rsidRPr="006E36AE" w:rsidRDefault="00B62782" w:rsidP="007434D8">
            <w:pPr>
              <w:spacing w:after="60"/>
              <w:rPr>
                <w:rFonts w:ascii="Arial" w:hAnsi="Arial" w:cs="Arial"/>
                <w:bCs/>
                <w:color w:val="1F497D"/>
                <w:sz w:val="22"/>
                <w:szCs w:val="22"/>
              </w:rPr>
            </w:pPr>
            <w:r w:rsidRPr="006E36AE">
              <w:rPr>
                <w:rFonts w:ascii="Arial" w:hAnsi="Arial" w:cs="Arial"/>
                <w:bCs/>
                <w:sz w:val="22"/>
                <w:szCs w:val="22"/>
              </w:rPr>
              <w:lastRenderedPageBreak/>
              <w:t xml:space="preserve">Data from the DWP shows that in England about 93% still have no information about possible workplace modifications. Anecdotal evidence suggests that in some areas, Practice Nurses complete them and there is not always a correlation between the presenting problem and the length of time given on the fit note. A recent paper from the BMA indicates a desire to widen the group of professionals </w:t>
            </w:r>
            <w:r w:rsidRPr="006E36AE">
              <w:rPr>
                <w:rFonts w:ascii="Arial" w:hAnsi="Arial" w:cs="Arial"/>
                <w:bCs/>
                <w:sz w:val="22"/>
                <w:szCs w:val="22"/>
              </w:rPr>
              <w:lastRenderedPageBreak/>
              <w:t>who could carry out this task on page 7/8:</w:t>
            </w:r>
          </w:p>
          <w:p w14:paraId="0BEF35D3" w14:textId="77777777" w:rsidR="00B62782" w:rsidRPr="006E36AE" w:rsidRDefault="00DF1D4E" w:rsidP="007434D8">
            <w:pPr>
              <w:spacing w:after="60"/>
              <w:rPr>
                <w:rFonts w:ascii="Arial" w:hAnsi="Arial" w:cs="Arial"/>
                <w:bCs/>
                <w:sz w:val="22"/>
                <w:szCs w:val="22"/>
              </w:rPr>
            </w:pPr>
            <w:hyperlink r:id="rId34" w:history="1">
              <w:r w:rsidR="00B62782" w:rsidRPr="006E36AE">
                <w:rPr>
                  <w:rStyle w:val="Hyperlink"/>
                  <w:rFonts w:ascii="Arial" w:hAnsi="Arial" w:cs="Arial"/>
                  <w:bCs/>
                  <w:sz w:val="22"/>
                  <w:szCs w:val="22"/>
                </w:rPr>
                <w:t>https://www.bma.org.uk/advice-and-support/covid-19/bma-asks/trust-gps-to-lead-learning-from-the-response-to-covid-19-within-general-practice-in-england</w:t>
              </w:r>
            </w:hyperlink>
          </w:p>
          <w:p w14:paraId="72F086E9" w14:textId="77777777" w:rsidR="00B62782" w:rsidRPr="006E36AE" w:rsidRDefault="00B62782" w:rsidP="007434D8">
            <w:pPr>
              <w:spacing w:after="60"/>
              <w:rPr>
                <w:rFonts w:ascii="Arial" w:hAnsi="Arial" w:cs="Arial"/>
                <w:bCs/>
                <w:color w:val="FF0000"/>
                <w:sz w:val="22"/>
                <w:szCs w:val="22"/>
              </w:rPr>
            </w:pPr>
          </w:p>
          <w:p w14:paraId="10749FBE" w14:textId="77777777" w:rsidR="00B62782" w:rsidRPr="006E36AE" w:rsidRDefault="00B62782" w:rsidP="007434D8">
            <w:pPr>
              <w:pStyle w:val="Paragraphnonumbers"/>
              <w:spacing w:after="60" w:line="240" w:lineRule="auto"/>
              <w:rPr>
                <w:rFonts w:cs="Arial"/>
                <w:bCs/>
                <w:color w:val="1F497D"/>
                <w:sz w:val="22"/>
                <w:szCs w:val="22"/>
              </w:rPr>
            </w:pPr>
            <w:r w:rsidRPr="006E36AE">
              <w:rPr>
                <w:rFonts w:cs="Arial"/>
                <w:bCs/>
                <w:sz w:val="22"/>
                <w:szCs w:val="22"/>
              </w:rPr>
              <w:t xml:space="preserve">Supporting information: the DWP in March 2020 finished a series of proof of concept projects to improve job retention. Two of these projects focused on advice given in the GP surgery using occupational therapists and physiotherapists. A summary of one of the projects;  Primary Care in Practice: </w:t>
            </w:r>
            <w:hyperlink r:id="rId35" w:history="1">
              <w:r w:rsidRPr="006E36AE">
                <w:rPr>
                  <w:rStyle w:val="Hyperlink"/>
                  <w:rFonts w:cs="Arial"/>
                  <w:bCs/>
                  <w:sz w:val="22"/>
                  <w:szCs w:val="22"/>
                </w:rPr>
                <w:t>https://www.rcot.co.uk/occupational-therapy-primary-care</w:t>
              </w:r>
            </w:hyperlink>
          </w:p>
          <w:p w14:paraId="5AC69E5B" w14:textId="652102AE" w:rsidR="00B62782" w:rsidRPr="006E36AE" w:rsidRDefault="00B62782" w:rsidP="007434D8">
            <w:pPr>
              <w:spacing w:after="60"/>
              <w:rPr>
                <w:rFonts w:ascii="Arial" w:hAnsi="Arial" w:cs="Arial"/>
                <w:bCs/>
                <w:sz w:val="22"/>
                <w:szCs w:val="22"/>
              </w:rPr>
            </w:pPr>
            <w:r w:rsidRPr="006E36AE">
              <w:rPr>
                <w:rFonts w:ascii="Arial" w:hAnsi="Arial" w:cs="Arial"/>
                <w:bCs/>
                <w:sz w:val="22"/>
                <w:szCs w:val="22"/>
              </w:rPr>
              <w:t xml:space="preserve">The DWP has access to all the full results of both projects: DWP Work and Health Unit Challenge Fund </w:t>
            </w:r>
            <w:hyperlink r:id="rId36" w:history="1">
              <w:r w:rsidRPr="006E36AE">
                <w:rPr>
                  <w:rStyle w:val="Hyperlink"/>
                  <w:rFonts w:ascii="Arial" w:hAnsi="Arial" w:cs="Arial"/>
                  <w:bCs/>
                  <w:sz w:val="22"/>
                  <w:szCs w:val="22"/>
                </w:rPr>
                <w:t>workandhealthunit.challengefund@dwp.gov.uk</w:t>
              </w:r>
            </w:hyperlink>
          </w:p>
        </w:tc>
      </w:tr>
      <w:tr w:rsidR="00B62782" w:rsidRPr="006E36AE" w14:paraId="6578C908" w14:textId="77777777" w:rsidTr="007434D8">
        <w:trPr>
          <w:trHeight w:val="282"/>
        </w:trPr>
        <w:tc>
          <w:tcPr>
            <w:tcW w:w="14668" w:type="dxa"/>
            <w:gridSpan w:val="6"/>
          </w:tcPr>
          <w:p w14:paraId="09177F3C" w14:textId="19EB7D7F" w:rsidR="00B62782" w:rsidRPr="006E36AE" w:rsidRDefault="00B62782">
            <w:pPr>
              <w:pStyle w:val="Tabletitle"/>
              <w:rPr>
                <w:rFonts w:cs="Arial"/>
                <w:szCs w:val="22"/>
              </w:rPr>
            </w:pPr>
            <w:r w:rsidRPr="006E36AE">
              <w:rPr>
                <w:rFonts w:cs="Arial"/>
                <w:szCs w:val="22"/>
              </w:rPr>
              <w:lastRenderedPageBreak/>
              <w:t>Support during long-term sickness absence</w:t>
            </w:r>
          </w:p>
        </w:tc>
      </w:tr>
      <w:tr w:rsidR="00B62782" w:rsidRPr="006E36AE" w14:paraId="542BDEAE" w14:textId="77777777" w:rsidTr="006E36AE">
        <w:trPr>
          <w:trHeight w:val="282"/>
        </w:trPr>
        <w:tc>
          <w:tcPr>
            <w:tcW w:w="704" w:type="dxa"/>
          </w:tcPr>
          <w:p w14:paraId="65C52680" w14:textId="66337867" w:rsidR="00B62782" w:rsidRPr="006E36AE" w:rsidRDefault="005C029B">
            <w:pPr>
              <w:pStyle w:val="Tabletext"/>
              <w:rPr>
                <w:rFonts w:cs="Arial"/>
                <w:bCs/>
                <w:szCs w:val="22"/>
                <w:lang w:eastAsia="en-GB"/>
              </w:rPr>
            </w:pPr>
            <w:r w:rsidRPr="006E36AE">
              <w:rPr>
                <w:rFonts w:cs="Arial"/>
                <w:bCs/>
                <w:szCs w:val="22"/>
              </w:rPr>
              <w:t>3</w:t>
            </w:r>
          </w:p>
        </w:tc>
        <w:tc>
          <w:tcPr>
            <w:tcW w:w="1701" w:type="dxa"/>
          </w:tcPr>
          <w:p w14:paraId="5762DA3C" w14:textId="23434029" w:rsidR="00B62782" w:rsidRPr="006E36AE" w:rsidRDefault="00B62782">
            <w:pPr>
              <w:pStyle w:val="Tabletext"/>
              <w:rPr>
                <w:rFonts w:cs="Arial"/>
                <w:bCs/>
                <w:szCs w:val="22"/>
              </w:rPr>
            </w:pPr>
            <w:r w:rsidRPr="006E36AE">
              <w:rPr>
                <w:rFonts w:cs="Arial"/>
                <w:bCs/>
                <w:szCs w:val="22"/>
              </w:rPr>
              <w:t>ACPOHE (Association of Chartered Physiotherapist interested in Occupational Health and Ergonomics)</w:t>
            </w:r>
          </w:p>
        </w:tc>
        <w:tc>
          <w:tcPr>
            <w:tcW w:w="1985" w:type="dxa"/>
          </w:tcPr>
          <w:p w14:paraId="065B128E" w14:textId="53082692" w:rsidR="00B62782" w:rsidRPr="006E36AE" w:rsidRDefault="00B62782">
            <w:pPr>
              <w:pStyle w:val="Tabletext"/>
              <w:rPr>
                <w:rFonts w:cs="Arial"/>
                <w:bCs/>
                <w:szCs w:val="22"/>
              </w:rPr>
            </w:pPr>
            <w:r w:rsidRPr="006E36AE">
              <w:rPr>
                <w:rFonts w:cs="Arial"/>
                <w:bCs/>
                <w:szCs w:val="22"/>
              </w:rPr>
              <w:t>Key area for quality improvement 1</w:t>
            </w:r>
          </w:p>
        </w:tc>
        <w:tc>
          <w:tcPr>
            <w:tcW w:w="3426" w:type="dxa"/>
          </w:tcPr>
          <w:p w14:paraId="2FA4FCD9" w14:textId="77777777" w:rsidR="00B62782" w:rsidRPr="006E36AE" w:rsidRDefault="00B62782" w:rsidP="007434D8">
            <w:pPr>
              <w:shd w:val="clear" w:color="auto" w:fill="FFFFFF"/>
              <w:spacing w:after="60"/>
              <w:rPr>
                <w:rFonts w:ascii="Arial" w:hAnsi="Arial" w:cs="Arial"/>
                <w:bCs/>
                <w:sz w:val="22"/>
                <w:szCs w:val="22"/>
                <w:lang w:eastAsia="en-GB"/>
              </w:rPr>
            </w:pPr>
            <w:r w:rsidRPr="006E36AE">
              <w:rPr>
                <w:rFonts w:ascii="Arial" w:hAnsi="Arial" w:cs="Arial"/>
                <w:bCs/>
                <w:sz w:val="22"/>
                <w:szCs w:val="22"/>
                <w:lang w:eastAsia="en-GB"/>
              </w:rPr>
              <w:t xml:space="preserve">Fast track access to Occupational health physiotherapy should be immediate rather than have an expectation of a </w:t>
            </w:r>
            <w:proofErr w:type="gramStart"/>
            <w:r w:rsidRPr="006E36AE">
              <w:rPr>
                <w:rFonts w:ascii="Arial" w:hAnsi="Arial" w:cs="Arial"/>
                <w:bCs/>
                <w:sz w:val="22"/>
                <w:szCs w:val="22"/>
                <w:lang w:eastAsia="en-GB"/>
              </w:rPr>
              <w:t>4 week</w:t>
            </w:r>
            <w:proofErr w:type="gramEnd"/>
            <w:r w:rsidRPr="006E36AE">
              <w:rPr>
                <w:rFonts w:ascii="Arial" w:hAnsi="Arial" w:cs="Arial"/>
                <w:bCs/>
                <w:sz w:val="22"/>
                <w:szCs w:val="22"/>
                <w:lang w:eastAsia="en-GB"/>
              </w:rPr>
              <w:t xml:space="preserve"> delay. </w:t>
            </w:r>
          </w:p>
          <w:p w14:paraId="6EE3947F" w14:textId="7ABC94CA" w:rsidR="00B62782" w:rsidRPr="006E36AE" w:rsidRDefault="00B62782">
            <w:pPr>
              <w:pStyle w:val="Tabletext"/>
              <w:rPr>
                <w:rFonts w:cs="Arial"/>
                <w:bCs/>
                <w:szCs w:val="22"/>
              </w:rPr>
            </w:pPr>
          </w:p>
        </w:tc>
        <w:tc>
          <w:tcPr>
            <w:tcW w:w="3426" w:type="dxa"/>
          </w:tcPr>
          <w:p w14:paraId="70A7601A" w14:textId="77777777" w:rsidR="00B62782" w:rsidRPr="006E36AE" w:rsidRDefault="00B62782" w:rsidP="007434D8">
            <w:pPr>
              <w:shd w:val="clear" w:color="auto" w:fill="FFFFFF"/>
              <w:spacing w:after="60"/>
              <w:rPr>
                <w:rFonts w:ascii="Arial" w:hAnsi="Arial" w:cs="Arial"/>
                <w:bCs/>
                <w:sz w:val="22"/>
                <w:szCs w:val="22"/>
                <w:lang w:eastAsia="en-GB"/>
              </w:rPr>
            </w:pPr>
            <w:r w:rsidRPr="006E36AE">
              <w:rPr>
                <w:rFonts w:ascii="Arial" w:hAnsi="Arial" w:cs="Arial"/>
                <w:bCs/>
                <w:sz w:val="22"/>
                <w:szCs w:val="22"/>
                <w:lang w:eastAsia="en-GB"/>
              </w:rPr>
              <w:t>Rationale: The longer people are off work the harder it is for them to return. </w:t>
            </w:r>
          </w:p>
          <w:p w14:paraId="2BC4ADD8" w14:textId="6784E739" w:rsidR="00B62782" w:rsidRPr="006E36AE" w:rsidRDefault="00B62782" w:rsidP="007434D8">
            <w:pPr>
              <w:spacing w:after="60"/>
              <w:rPr>
                <w:rFonts w:ascii="Arial" w:hAnsi="Arial" w:cs="Arial"/>
                <w:bCs/>
                <w:sz w:val="22"/>
                <w:szCs w:val="22"/>
              </w:rPr>
            </w:pPr>
          </w:p>
        </w:tc>
        <w:tc>
          <w:tcPr>
            <w:tcW w:w="3426" w:type="dxa"/>
          </w:tcPr>
          <w:p w14:paraId="334E0BEA" w14:textId="601EC2F3" w:rsidR="00B62782" w:rsidRPr="006E36AE" w:rsidRDefault="00B62782" w:rsidP="007434D8">
            <w:pPr>
              <w:spacing w:after="60"/>
              <w:rPr>
                <w:rFonts w:ascii="Arial" w:hAnsi="Arial" w:cs="Arial"/>
                <w:bCs/>
                <w:sz w:val="22"/>
                <w:szCs w:val="22"/>
              </w:rPr>
            </w:pPr>
          </w:p>
        </w:tc>
      </w:tr>
      <w:tr w:rsidR="00B62782" w:rsidRPr="006E36AE" w14:paraId="4C14ADAA" w14:textId="77777777" w:rsidTr="006E36AE">
        <w:trPr>
          <w:trHeight w:val="282"/>
        </w:trPr>
        <w:tc>
          <w:tcPr>
            <w:tcW w:w="704" w:type="dxa"/>
          </w:tcPr>
          <w:p w14:paraId="320AAEC6" w14:textId="5F9EEB4C" w:rsidR="00B62782" w:rsidRPr="006E36AE" w:rsidRDefault="005C029B">
            <w:pPr>
              <w:pStyle w:val="Tabletext"/>
              <w:rPr>
                <w:rFonts w:cs="Arial"/>
                <w:bCs/>
                <w:szCs w:val="22"/>
              </w:rPr>
            </w:pPr>
            <w:r w:rsidRPr="006E36AE">
              <w:rPr>
                <w:rFonts w:cs="Arial"/>
                <w:bCs/>
                <w:szCs w:val="22"/>
              </w:rPr>
              <w:t>4</w:t>
            </w:r>
          </w:p>
        </w:tc>
        <w:tc>
          <w:tcPr>
            <w:tcW w:w="1701" w:type="dxa"/>
          </w:tcPr>
          <w:p w14:paraId="5EDFBB8B" w14:textId="3FF90933" w:rsidR="00B62782" w:rsidRPr="006E36AE" w:rsidRDefault="00B62782">
            <w:pPr>
              <w:pStyle w:val="Tabletext"/>
              <w:rPr>
                <w:rFonts w:cs="Arial"/>
                <w:bCs/>
                <w:szCs w:val="22"/>
              </w:rPr>
            </w:pPr>
            <w:r w:rsidRPr="006E36AE">
              <w:rPr>
                <w:rFonts w:cs="Arial"/>
                <w:bCs/>
                <w:szCs w:val="22"/>
              </w:rPr>
              <w:t>ACPOHE (Association of Chartered Physiotherapist interested in Occupational Health and Ergonomics)</w:t>
            </w:r>
          </w:p>
        </w:tc>
        <w:tc>
          <w:tcPr>
            <w:tcW w:w="1985" w:type="dxa"/>
          </w:tcPr>
          <w:p w14:paraId="482AA6A0" w14:textId="4FE2D31A" w:rsidR="00B62782" w:rsidRPr="006E36AE" w:rsidRDefault="00B62782">
            <w:pPr>
              <w:pStyle w:val="Tabletext"/>
              <w:rPr>
                <w:rFonts w:cs="Arial"/>
                <w:bCs/>
                <w:szCs w:val="22"/>
              </w:rPr>
            </w:pPr>
            <w:r w:rsidRPr="006E36AE">
              <w:rPr>
                <w:rFonts w:cs="Arial"/>
                <w:bCs/>
                <w:szCs w:val="22"/>
              </w:rPr>
              <w:t>Key area for quality improvement 2</w:t>
            </w:r>
          </w:p>
        </w:tc>
        <w:tc>
          <w:tcPr>
            <w:tcW w:w="3426" w:type="dxa"/>
          </w:tcPr>
          <w:p w14:paraId="4BC9714C" w14:textId="77777777" w:rsidR="00B62782" w:rsidRPr="006E36AE" w:rsidRDefault="00B62782" w:rsidP="007434D8">
            <w:pPr>
              <w:shd w:val="clear" w:color="auto" w:fill="FFFFFF"/>
              <w:spacing w:after="60"/>
              <w:rPr>
                <w:rFonts w:ascii="Arial" w:hAnsi="Arial" w:cs="Arial"/>
                <w:bCs/>
                <w:sz w:val="22"/>
                <w:szCs w:val="22"/>
                <w:lang w:eastAsia="en-GB"/>
              </w:rPr>
            </w:pPr>
            <w:r w:rsidRPr="006E36AE">
              <w:rPr>
                <w:rFonts w:ascii="Arial" w:hAnsi="Arial" w:cs="Arial"/>
                <w:bCs/>
                <w:sz w:val="22"/>
                <w:szCs w:val="22"/>
                <w:lang w:eastAsia="en-GB"/>
              </w:rPr>
              <w:t>Access to OH Physio should be non-taxable to recipients (</w:t>
            </w:r>
            <w:proofErr w:type="spellStart"/>
            <w:r w:rsidRPr="006E36AE">
              <w:rPr>
                <w:rFonts w:ascii="Arial" w:hAnsi="Arial" w:cs="Arial"/>
                <w:bCs/>
                <w:sz w:val="22"/>
                <w:szCs w:val="22"/>
                <w:lang w:eastAsia="en-GB"/>
              </w:rPr>
              <w:t>ie</w:t>
            </w:r>
            <w:proofErr w:type="spellEnd"/>
            <w:r w:rsidRPr="006E36AE">
              <w:rPr>
                <w:rFonts w:ascii="Arial" w:hAnsi="Arial" w:cs="Arial"/>
                <w:bCs/>
                <w:sz w:val="22"/>
                <w:szCs w:val="22"/>
                <w:lang w:eastAsia="en-GB"/>
              </w:rPr>
              <w:t xml:space="preserve"> No tax benefit perceived)</w:t>
            </w:r>
          </w:p>
          <w:p w14:paraId="27472DE1" w14:textId="22237326" w:rsidR="00B62782" w:rsidRPr="006E36AE" w:rsidRDefault="00B62782">
            <w:pPr>
              <w:pStyle w:val="Tabletext"/>
              <w:rPr>
                <w:rFonts w:cs="Arial"/>
                <w:bCs/>
                <w:szCs w:val="22"/>
              </w:rPr>
            </w:pPr>
          </w:p>
        </w:tc>
        <w:tc>
          <w:tcPr>
            <w:tcW w:w="3426" w:type="dxa"/>
          </w:tcPr>
          <w:p w14:paraId="70B7DDD6" w14:textId="7C88B78B" w:rsidR="00B62782" w:rsidRPr="006E36AE" w:rsidRDefault="00B62782" w:rsidP="00FC4593">
            <w:pPr>
              <w:shd w:val="clear" w:color="auto" w:fill="FFFFFF"/>
              <w:spacing w:after="60"/>
              <w:rPr>
                <w:rFonts w:ascii="Arial" w:hAnsi="Arial" w:cs="Arial"/>
                <w:bCs/>
                <w:sz w:val="22"/>
                <w:szCs w:val="22"/>
              </w:rPr>
            </w:pPr>
            <w:r w:rsidRPr="006E36AE">
              <w:rPr>
                <w:rFonts w:ascii="Arial" w:hAnsi="Arial" w:cs="Arial"/>
                <w:bCs/>
                <w:sz w:val="22"/>
                <w:szCs w:val="22"/>
                <w:lang w:eastAsia="en-GB"/>
              </w:rPr>
              <w:t xml:space="preserve">Rationale: It is illogical that steps taken to help keep staff at work and return to work could potentially be to the financial detriment of the recipient and may prohibit those that need it from participating. Keeping people in work aids the economy and is particularly vital during/ post </w:t>
            </w:r>
            <w:proofErr w:type="spellStart"/>
            <w:r w:rsidRPr="006E36AE">
              <w:rPr>
                <w:rFonts w:ascii="Arial" w:hAnsi="Arial" w:cs="Arial"/>
                <w:bCs/>
                <w:sz w:val="22"/>
                <w:szCs w:val="22"/>
                <w:lang w:eastAsia="en-GB"/>
              </w:rPr>
              <w:t>Covid</w:t>
            </w:r>
            <w:proofErr w:type="spellEnd"/>
          </w:p>
        </w:tc>
        <w:tc>
          <w:tcPr>
            <w:tcW w:w="3426" w:type="dxa"/>
          </w:tcPr>
          <w:p w14:paraId="58C6576C" w14:textId="3554033F" w:rsidR="00B62782" w:rsidRPr="006E36AE" w:rsidRDefault="00B62782" w:rsidP="007434D8">
            <w:pPr>
              <w:spacing w:after="60"/>
              <w:rPr>
                <w:rFonts w:ascii="Arial" w:hAnsi="Arial" w:cs="Arial"/>
                <w:bCs/>
                <w:sz w:val="22"/>
                <w:szCs w:val="22"/>
              </w:rPr>
            </w:pPr>
          </w:p>
        </w:tc>
      </w:tr>
      <w:tr w:rsidR="00B62782" w:rsidRPr="006E36AE" w14:paraId="6CC9C59F" w14:textId="77777777" w:rsidTr="006E36AE">
        <w:trPr>
          <w:trHeight w:val="282"/>
        </w:trPr>
        <w:tc>
          <w:tcPr>
            <w:tcW w:w="704" w:type="dxa"/>
          </w:tcPr>
          <w:p w14:paraId="6FA94E91" w14:textId="6EB5A151" w:rsidR="00B62782" w:rsidRPr="006E36AE" w:rsidRDefault="005C029B">
            <w:pPr>
              <w:pStyle w:val="Tabletext"/>
              <w:rPr>
                <w:rFonts w:cs="Arial"/>
                <w:bCs/>
                <w:szCs w:val="22"/>
              </w:rPr>
            </w:pPr>
            <w:r w:rsidRPr="006E36AE">
              <w:rPr>
                <w:rFonts w:cs="Arial"/>
                <w:bCs/>
                <w:szCs w:val="22"/>
              </w:rPr>
              <w:t>5</w:t>
            </w:r>
          </w:p>
        </w:tc>
        <w:tc>
          <w:tcPr>
            <w:tcW w:w="1701" w:type="dxa"/>
          </w:tcPr>
          <w:p w14:paraId="4D3814EC" w14:textId="0F88394C" w:rsidR="00B62782" w:rsidRPr="006E36AE" w:rsidRDefault="00B62782">
            <w:pPr>
              <w:pStyle w:val="Tabletext"/>
              <w:rPr>
                <w:rFonts w:cs="Arial"/>
                <w:bCs/>
                <w:szCs w:val="22"/>
              </w:rPr>
            </w:pPr>
            <w:r w:rsidRPr="006E36AE">
              <w:rPr>
                <w:rFonts w:cs="Arial"/>
                <w:bCs/>
                <w:szCs w:val="22"/>
              </w:rPr>
              <w:t>ACPOHE (Association of Chartered Physiotherapist interested in Occupational Health and Ergonomics)</w:t>
            </w:r>
          </w:p>
        </w:tc>
        <w:tc>
          <w:tcPr>
            <w:tcW w:w="1985" w:type="dxa"/>
          </w:tcPr>
          <w:p w14:paraId="7B879280" w14:textId="6F901BAE" w:rsidR="00B62782" w:rsidRPr="006E36AE" w:rsidRDefault="00B62782">
            <w:pPr>
              <w:pStyle w:val="Tabletext"/>
              <w:rPr>
                <w:rFonts w:cs="Arial"/>
                <w:bCs/>
                <w:szCs w:val="22"/>
              </w:rPr>
            </w:pPr>
            <w:r w:rsidRPr="006E36AE">
              <w:rPr>
                <w:rFonts w:cs="Arial"/>
                <w:bCs/>
                <w:szCs w:val="22"/>
              </w:rPr>
              <w:t>Key area for quality improvement 3</w:t>
            </w:r>
          </w:p>
        </w:tc>
        <w:tc>
          <w:tcPr>
            <w:tcW w:w="3426" w:type="dxa"/>
          </w:tcPr>
          <w:p w14:paraId="0682C80B" w14:textId="77777777" w:rsidR="00B62782" w:rsidRPr="006E36AE" w:rsidRDefault="00B62782" w:rsidP="007434D8">
            <w:pPr>
              <w:shd w:val="clear" w:color="auto" w:fill="FFFFFF"/>
              <w:spacing w:after="60"/>
              <w:rPr>
                <w:rFonts w:ascii="Arial" w:hAnsi="Arial" w:cs="Arial"/>
                <w:bCs/>
                <w:sz w:val="22"/>
                <w:szCs w:val="22"/>
                <w:lang w:eastAsia="en-GB"/>
              </w:rPr>
            </w:pPr>
            <w:r w:rsidRPr="006E36AE">
              <w:rPr>
                <w:rFonts w:ascii="Arial" w:hAnsi="Arial" w:cs="Arial"/>
                <w:bCs/>
                <w:sz w:val="22"/>
                <w:szCs w:val="22"/>
                <w:lang w:eastAsia="en-GB"/>
              </w:rPr>
              <w:t>Fit note - GP's should be trained and encouraged to include reference to referring to Occupational health service for further guidance (where one is available) for employees.</w:t>
            </w:r>
          </w:p>
          <w:p w14:paraId="1B0C2081" w14:textId="77777777" w:rsidR="00B62782" w:rsidRPr="006E36AE" w:rsidRDefault="00B62782">
            <w:pPr>
              <w:pStyle w:val="Tabletext"/>
              <w:rPr>
                <w:rFonts w:cs="Arial"/>
                <w:bCs/>
                <w:szCs w:val="22"/>
              </w:rPr>
            </w:pPr>
          </w:p>
        </w:tc>
        <w:tc>
          <w:tcPr>
            <w:tcW w:w="3426" w:type="dxa"/>
          </w:tcPr>
          <w:p w14:paraId="3B47ACD6" w14:textId="33C60210" w:rsidR="00B62782" w:rsidRPr="006E36AE" w:rsidRDefault="00B62782" w:rsidP="007434D8">
            <w:pPr>
              <w:shd w:val="clear" w:color="auto" w:fill="FFFFFF"/>
              <w:spacing w:after="60"/>
              <w:rPr>
                <w:rFonts w:ascii="Arial" w:hAnsi="Arial" w:cs="Arial"/>
                <w:bCs/>
                <w:sz w:val="22"/>
                <w:szCs w:val="22"/>
                <w:lang w:eastAsia="en-GB"/>
              </w:rPr>
            </w:pPr>
            <w:r w:rsidRPr="006E36AE">
              <w:rPr>
                <w:rFonts w:ascii="Arial" w:hAnsi="Arial" w:cs="Arial"/>
                <w:bCs/>
                <w:sz w:val="22"/>
                <w:szCs w:val="22"/>
                <w:lang w:eastAsia="en-GB"/>
              </w:rPr>
              <w:t xml:space="preserve">Rationale: The logistics/ expectations of supporting people to stay in and return to the workplace can be managed more efficiently, by health professionals closer to understanding the workplace demands allowing more targeted advice. It would also help to reduce the potential for conflict between GP recommendations (which are often vague) and OH </w:t>
            </w:r>
            <w:r w:rsidRPr="006E36AE">
              <w:rPr>
                <w:rFonts w:ascii="Arial" w:hAnsi="Arial" w:cs="Arial"/>
                <w:bCs/>
                <w:sz w:val="22"/>
                <w:szCs w:val="22"/>
                <w:lang w:eastAsia="en-GB"/>
              </w:rPr>
              <w:lastRenderedPageBreak/>
              <w:t>advice, and any cherry picking of the advice.</w:t>
            </w:r>
          </w:p>
        </w:tc>
        <w:tc>
          <w:tcPr>
            <w:tcW w:w="3426" w:type="dxa"/>
          </w:tcPr>
          <w:p w14:paraId="47BE5B85" w14:textId="77777777" w:rsidR="00B62782" w:rsidRPr="006E36AE" w:rsidRDefault="00B62782" w:rsidP="007434D8">
            <w:pPr>
              <w:shd w:val="clear" w:color="auto" w:fill="FFFFFF"/>
              <w:spacing w:after="60"/>
              <w:rPr>
                <w:rFonts w:ascii="Arial" w:hAnsi="Arial" w:cs="Arial"/>
                <w:bCs/>
                <w:sz w:val="22"/>
                <w:szCs w:val="22"/>
                <w:lang w:eastAsia="en-GB"/>
              </w:rPr>
            </w:pPr>
          </w:p>
        </w:tc>
      </w:tr>
      <w:tr w:rsidR="00B62782" w:rsidRPr="006E36AE" w14:paraId="68759D71" w14:textId="77777777" w:rsidTr="006E36AE">
        <w:trPr>
          <w:trHeight w:val="282"/>
        </w:trPr>
        <w:tc>
          <w:tcPr>
            <w:tcW w:w="704" w:type="dxa"/>
          </w:tcPr>
          <w:p w14:paraId="268F5B08" w14:textId="48FA910B" w:rsidR="00B62782" w:rsidRPr="006E36AE" w:rsidRDefault="005C029B">
            <w:pPr>
              <w:pStyle w:val="Tabletext"/>
              <w:rPr>
                <w:rFonts w:cs="Arial"/>
                <w:bCs/>
                <w:szCs w:val="22"/>
              </w:rPr>
            </w:pPr>
            <w:r w:rsidRPr="006E36AE">
              <w:rPr>
                <w:rFonts w:cs="Arial"/>
                <w:bCs/>
                <w:szCs w:val="22"/>
              </w:rPr>
              <w:t>6</w:t>
            </w:r>
          </w:p>
        </w:tc>
        <w:tc>
          <w:tcPr>
            <w:tcW w:w="1701" w:type="dxa"/>
          </w:tcPr>
          <w:p w14:paraId="64A3F8E7" w14:textId="0606FB1D" w:rsidR="00B62782" w:rsidRPr="006E36AE" w:rsidRDefault="00B62782">
            <w:pPr>
              <w:pStyle w:val="Tabletext"/>
              <w:rPr>
                <w:rFonts w:cs="Arial"/>
                <w:bCs/>
                <w:szCs w:val="22"/>
              </w:rPr>
            </w:pPr>
            <w:r w:rsidRPr="006E36AE">
              <w:rPr>
                <w:rFonts w:cs="Arial"/>
                <w:bCs/>
                <w:szCs w:val="22"/>
              </w:rPr>
              <w:t>ACPOHE (Association of Chartered Physiotherapist interested in Occupational Health and Ergonomics)</w:t>
            </w:r>
          </w:p>
        </w:tc>
        <w:tc>
          <w:tcPr>
            <w:tcW w:w="1985" w:type="dxa"/>
          </w:tcPr>
          <w:p w14:paraId="01909C33" w14:textId="54DC3CBC" w:rsidR="00B62782" w:rsidRPr="006E36AE" w:rsidRDefault="00B62782">
            <w:pPr>
              <w:pStyle w:val="Tabletext"/>
              <w:rPr>
                <w:rFonts w:cs="Arial"/>
                <w:bCs/>
                <w:szCs w:val="22"/>
              </w:rPr>
            </w:pPr>
            <w:r w:rsidRPr="006E36AE">
              <w:rPr>
                <w:rFonts w:cs="Arial"/>
                <w:bCs/>
                <w:szCs w:val="22"/>
                <w:lang w:eastAsia="en-GB"/>
              </w:rPr>
              <w:t>Key area for quality improvement 4</w:t>
            </w:r>
          </w:p>
        </w:tc>
        <w:tc>
          <w:tcPr>
            <w:tcW w:w="3426" w:type="dxa"/>
          </w:tcPr>
          <w:p w14:paraId="2012D0CA" w14:textId="77777777" w:rsidR="00B62782" w:rsidRPr="006E36AE" w:rsidRDefault="00B62782" w:rsidP="007434D8">
            <w:pPr>
              <w:shd w:val="clear" w:color="auto" w:fill="FFFFFF"/>
              <w:spacing w:after="60"/>
              <w:rPr>
                <w:rFonts w:ascii="Arial" w:hAnsi="Arial" w:cs="Arial"/>
                <w:bCs/>
                <w:sz w:val="22"/>
                <w:szCs w:val="22"/>
                <w:lang w:eastAsia="en-GB"/>
              </w:rPr>
            </w:pPr>
            <w:r w:rsidRPr="006E36AE">
              <w:rPr>
                <w:rFonts w:ascii="Arial" w:hAnsi="Arial" w:cs="Arial"/>
                <w:bCs/>
                <w:sz w:val="22"/>
                <w:szCs w:val="22"/>
                <w:lang w:eastAsia="en-GB"/>
              </w:rPr>
              <w:t>Tax breaks for companies (particularly SME's) who provide access to an OH service</w:t>
            </w:r>
          </w:p>
          <w:p w14:paraId="23C501AF" w14:textId="77777777" w:rsidR="00B62782" w:rsidRPr="006E36AE" w:rsidRDefault="00B62782" w:rsidP="007434D8">
            <w:pPr>
              <w:shd w:val="clear" w:color="auto" w:fill="FFFFFF"/>
              <w:spacing w:after="60"/>
              <w:rPr>
                <w:rFonts w:ascii="Arial" w:hAnsi="Arial" w:cs="Arial"/>
                <w:bCs/>
                <w:sz w:val="22"/>
                <w:szCs w:val="22"/>
                <w:lang w:eastAsia="en-GB"/>
              </w:rPr>
            </w:pPr>
          </w:p>
        </w:tc>
        <w:tc>
          <w:tcPr>
            <w:tcW w:w="3426" w:type="dxa"/>
          </w:tcPr>
          <w:p w14:paraId="0CE09CB8" w14:textId="77777777" w:rsidR="00B62782" w:rsidRPr="006E36AE" w:rsidRDefault="00B62782" w:rsidP="007434D8">
            <w:pPr>
              <w:shd w:val="clear" w:color="auto" w:fill="FFFFFF"/>
              <w:spacing w:after="60"/>
              <w:rPr>
                <w:rFonts w:ascii="Arial" w:hAnsi="Arial" w:cs="Arial"/>
                <w:bCs/>
                <w:sz w:val="22"/>
                <w:szCs w:val="22"/>
                <w:lang w:eastAsia="en-GB"/>
              </w:rPr>
            </w:pPr>
            <w:r w:rsidRPr="006E36AE">
              <w:rPr>
                <w:rFonts w:ascii="Arial" w:hAnsi="Arial" w:cs="Arial"/>
                <w:bCs/>
                <w:sz w:val="22"/>
                <w:szCs w:val="22"/>
                <w:lang w:eastAsia="en-GB"/>
              </w:rPr>
              <w:t>Rationale: Cost may become more affordable for companies to then provide access to services</w:t>
            </w:r>
          </w:p>
          <w:p w14:paraId="57DE500B" w14:textId="77777777" w:rsidR="00B62782" w:rsidRPr="006E36AE" w:rsidRDefault="00B62782" w:rsidP="007434D8">
            <w:pPr>
              <w:shd w:val="clear" w:color="auto" w:fill="FFFFFF"/>
              <w:spacing w:after="60"/>
              <w:rPr>
                <w:rFonts w:ascii="Arial" w:hAnsi="Arial" w:cs="Arial"/>
                <w:bCs/>
                <w:sz w:val="22"/>
                <w:szCs w:val="22"/>
                <w:lang w:eastAsia="en-GB"/>
              </w:rPr>
            </w:pPr>
          </w:p>
        </w:tc>
        <w:tc>
          <w:tcPr>
            <w:tcW w:w="3426" w:type="dxa"/>
          </w:tcPr>
          <w:p w14:paraId="06B1A78E" w14:textId="77777777" w:rsidR="00B62782" w:rsidRPr="006E36AE" w:rsidRDefault="00B62782" w:rsidP="007434D8">
            <w:pPr>
              <w:shd w:val="clear" w:color="auto" w:fill="FFFFFF"/>
              <w:spacing w:after="60"/>
              <w:rPr>
                <w:rFonts w:ascii="Arial" w:hAnsi="Arial" w:cs="Arial"/>
                <w:bCs/>
                <w:sz w:val="22"/>
                <w:szCs w:val="22"/>
                <w:lang w:eastAsia="en-GB"/>
              </w:rPr>
            </w:pPr>
          </w:p>
        </w:tc>
      </w:tr>
      <w:tr w:rsidR="00B62782" w:rsidRPr="006E36AE" w14:paraId="694AD323" w14:textId="77777777" w:rsidTr="006E36AE">
        <w:trPr>
          <w:trHeight w:val="282"/>
        </w:trPr>
        <w:tc>
          <w:tcPr>
            <w:tcW w:w="704" w:type="dxa"/>
          </w:tcPr>
          <w:p w14:paraId="7C95A6B3" w14:textId="4F9B2D22" w:rsidR="00B62782" w:rsidRPr="006E36AE" w:rsidRDefault="005C029B">
            <w:pPr>
              <w:pStyle w:val="Tabletext"/>
              <w:rPr>
                <w:rFonts w:cs="Arial"/>
                <w:bCs/>
                <w:szCs w:val="22"/>
              </w:rPr>
            </w:pPr>
            <w:r w:rsidRPr="006E36AE">
              <w:rPr>
                <w:rFonts w:cs="Arial"/>
                <w:bCs/>
                <w:szCs w:val="22"/>
              </w:rPr>
              <w:t>7</w:t>
            </w:r>
          </w:p>
        </w:tc>
        <w:tc>
          <w:tcPr>
            <w:tcW w:w="1701" w:type="dxa"/>
          </w:tcPr>
          <w:p w14:paraId="1429104D" w14:textId="73950EF0" w:rsidR="00B62782" w:rsidRPr="006E36AE" w:rsidRDefault="00B62782">
            <w:pPr>
              <w:pStyle w:val="Tabletext"/>
              <w:rPr>
                <w:rFonts w:cs="Arial"/>
                <w:bCs/>
                <w:szCs w:val="22"/>
              </w:rPr>
            </w:pPr>
            <w:r w:rsidRPr="006E36AE">
              <w:rPr>
                <w:rFonts w:cs="Arial"/>
                <w:bCs/>
                <w:szCs w:val="22"/>
              </w:rPr>
              <w:t>ACPOHE (Association of Chartered Physiotherapist interested in Occupational Health and Ergonomics)</w:t>
            </w:r>
          </w:p>
        </w:tc>
        <w:tc>
          <w:tcPr>
            <w:tcW w:w="1985" w:type="dxa"/>
          </w:tcPr>
          <w:p w14:paraId="06630369" w14:textId="386AF617" w:rsidR="00B62782" w:rsidRPr="006E36AE" w:rsidRDefault="00B62782">
            <w:pPr>
              <w:pStyle w:val="Tabletext"/>
              <w:rPr>
                <w:rFonts w:cs="Arial"/>
                <w:bCs/>
                <w:szCs w:val="22"/>
              </w:rPr>
            </w:pPr>
            <w:r w:rsidRPr="006E36AE">
              <w:rPr>
                <w:rFonts w:cs="Arial"/>
                <w:bCs/>
                <w:szCs w:val="22"/>
              </w:rPr>
              <w:t>Key area for quality improvement 5</w:t>
            </w:r>
          </w:p>
        </w:tc>
        <w:tc>
          <w:tcPr>
            <w:tcW w:w="3426" w:type="dxa"/>
          </w:tcPr>
          <w:p w14:paraId="1F8697C8" w14:textId="7A6F8F38" w:rsidR="00B62782" w:rsidRPr="006E36AE" w:rsidRDefault="00B62782" w:rsidP="007434D8">
            <w:pPr>
              <w:shd w:val="clear" w:color="auto" w:fill="FFFFFF"/>
              <w:spacing w:after="60"/>
              <w:rPr>
                <w:rFonts w:ascii="Arial" w:hAnsi="Arial" w:cs="Arial"/>
                <w:bCs/>
                <w:sz w:val="22"/>
                <w:szCs w:val="22"/>
                <w:lang w:eastAsia="en-GB"/>
              </w:rPr>
            </w:pPr>
            <w:r w:rsidRPr="006E36AE">
              <w:rPr>
                <w:rFonts w:ascii="Arial" w:hAnsi="Arial" w:cs="Arial"/>
                <w:bCs/>
                <w:sz w:val="22"/>
                <w:szCs w:val="22"/>
                <w:lang w:eastAsia="en-GB"/>
              </w:rPr>
              <w:t>Training and support for managers and health professionals (including OH professionals</w:t>
            </w:r>
          </w:p>
        </w:tc>
        <w:tc>
          <w:tcPr>
            <w:tcW w:w="3426" w:type="dxa"/>
          </w:tcPr>
          <w:p w14:paraId="24D64065" w14:textId="77777777" w:rsidR="00B62782" w:rsidRPr="006E36AE" w:rsidRDefault="00B62782" w:rsidP="007434D8">
            <w:pPr>
              <w:shd w:val="clear" w:color="auto" w:fill="FFFFFF"/>
              <w:spacing w:after="60"/>
              <w:rPr>
                <w:rFonts w:ascii="Arial" w:hAnsi="Arial" w:cs="Arial"/>
                <w:bCs/>
                <w:sz w:val="22"/>
                <w:szCs w:val="22"/>
                <w:lang w:eastAsia="en-GB"/>
              </w:rPr>
            </w:pPr>
            <w:r w:rsidRPr="006E36AE">
              <w:rPr>
                <w:rFonts w:ascii="Arial" w:hAnsi="Arial" w:cs="Arial"/>
                <w:bCs/>
                <w:sz w:val="22"/>
                <w:szCs w:val="22"/>
                <w:lang w:eastAsia="en-GB"/>
              </w:rPr>
              <w:t>Rationale: Managers will benefit by understanding how to better help support staff for RTW, Graded RTW and help to eliminate the 'must be 100% better' perception. More</w:t>
            </w:r>
          </w:p>
          <w:p w14:paraId="097995D2" w14:textId="41886676" w:rsidR="00B62782" w:rsidRPr="006E36AE" w:rsidRDefault="00B62782" w:rsidP="007434D8">
            <w:pPr>
              <w:shd w:val="clear" w:color="auto" w:fill="FFFFFF"/>
              <w:spacing w:after="60"/>
              <w:rPr>
                <w:rFonts w:ascii="Arial" w:hAnsi="Arial" w:cs="Arial"/>
                <w:bCs/>
                <w:sz w:val="22"/>
                <w:szCs w:val="22"/>
                <w:lang w:eastAsia="en-GB"/>
              </w:rPr>
            </w:pPr>
            <w:r w:rsidRPr="006E36AE">
              <w:rPr>
                <w:rFonts w:ascii="Arial" w:hAnsi="Arial" w:cs="Arial"/>
                <w:bCs/>
                <w:sz w:val="22"/>
                <w:szCs w:val="22"/>
                <w:lang w:eastAsia="en-GB"/>
              </w:rPr>
              <w:t>health professionals trained in the requirements of OH will be available to deliver the support/ advice required to help employers and employees.</w:t>
            </w:r>
          </w:p>
        </w:tc>
        <w:tc>
          <w:tcPr>
            <w:tcW w:w="3426" w:type="dxa"/>
          </w:tcPr>
          <w:p w14:paraId="18755BAE" w14:textId="77777777" w:rsidR="00B62782" w:rsidRPr="006E36AE" w:rsidRDefault="00B62782" w:rsidP="007434D8">
            <w:pPr>
              <w:shd w:val="clear" w:color="auto" w:fill="FFFFFF"/>
              <w:spacing w:after="60"/>
              <w:rPr>
                <w:rFonts w:ascii="Arial" w:hAnsi="Arial" w:cs="Arial"/>
                <w:bCs/>
                <w:sz w:val="22"/>
                <w:szCs w:val="22"/>
                <w:lang w:eastAsia="en-GB"/>
              </w:rPr>
            </w:pPr>
          </w:p>
        </w:tc>
      </w:tr>
      <w:tr w:rsidR="00B62782" w:rsidRPr="006E36AE" w14:paraId="09ED53D2" w14:textId="77777777" w:rsidTr="006E36AE">
        <w:trPr>
          <w:trHeight w:val="282"/>
        </w:trPr>
        <w:tc>
          <w:tcPr>
            <w:tcW w:w="704" w:type="dxa"/>
          </w:tcPr>
          <w:p w14:paraId="2EDD3508" w14:textId="28CF8C98" w:rsidR="00B62782" w:rsidRPr="006E36AE" w:rsidRDefault="005C029B">
            <w:pPr>
              <w:pStyle w:val="Tabletext"/>
              <w:rPr>
                <w:rFonts w:cs="Arial"/>
                <w:bCs/>
                <w:szCs w:val="22"/>
              </w:rPr>
            </w:pPr>
            <w:r w:rsidRPr="006E36AE">
              <w:rPr>
                <w:rFonts w:cs="Arial"/>
                <w:bCs/>
                <w:szCs w:val="22"/>
              </w:rPr>
              <w:t>8</w:t>
            </w:r>
          </w:p>
        </w:tc>
        <w:tc>
          <w:tcPr>
            <w:tcW w:w="1701" w:type="dxa"/>
          </w:tcPr>
          <w:p w14:paraId="77483D42" w14:textId="006525CC" w:rsidR="00B62782" w:rsidRPr="006E36AE" w:rsidRDefault="00B62782">
            <w:pPr>
              <w:pStyle w:val="Tabletext"/>
              <w:rPr>
                <w:rFonts w:cs="Arial"/>
                <w:bCs/>
                <w:szCs w:val="22"/>
              </w:rPr>
            </w:pPr>
            <w:r w:rsidRPr="006E36AE">
              <w:rPr>
                <w:rFonts w:cs="Arial"/>
                <w:bCs/>
                <w:szCs w:val="22"/>
              </w:rPr>
              <w:t xml:space="preserve">British Society for Rheumatology </w:t>
            </w:r>
          </w:p>
        </w:tc>
        <w:tc>
          <w:tcPr>
            <w:tcW w:w="1985" w:type="dxa"/>
          </w:tcPr>
          <w:p w14:paraId="29630683" w14:textId="4367A341" w:rsidR="00B62782" w:rsidRPr="006E36AE" w:rsidRDefault="00B62782">
            <w:pPr>
              <w:pStyle w:val="Tabletext"/>
              <w:rPr>
                <w:rFonts w:cs="Arial"/>
                <w:bCs/>
                <w:szCs w:val="22"/>
              </w:rPr>
            </w:pPr>
            <w:r w:rsidRPr="006E36AE">
              <w:rPr>
                <w:rFonts w:cs="Arial"/>
                <w:bCs/>
                <w:szCs w:val="22"/>
              </w:rPr>
              <w:t>3)</w:t>
            </w:r>
            <w:r w:rsidRPr="006E36AE">
              <w:rPr>
                <w:rFonts w:cs="Arial"/>
                <w:bCs/>
                <w:szCs w:val="22"/>
              </w:rPr>
              <w:tab/>
              <w:t xml:space="preserve">Provide comprehensive OH support for people who have been continually off sick for &gt; 3 months with </w:t>
            </w:r>
            <w:proofErr w:type="gramStart"/>
            <w:r w:rsidRPr="006E36AE">
              <w:rPr>
                <w:rFonts w:cs="Arial"/>
                <w:bCs/>
                <w:szCs w:val="22"/>
              </w:rPr>
              <w:t>a  long</w:t>
            </w:r>
            <w:proofErr w:type="gramEnd"/>
            <w:r w:rsidRPr="006E36AE">
              <w:rPr>
                <w:rFonts w:cs="Arial"/>
                <w:bCs/>
                <w:szCs w:val="22"/>
              </w:rPr>
              <w:t xml:space="preserve">-term health conditions. These people are at high </w:t>
            </w:r>
            <w:r w:rsidRPr="006E36AE">
              <w:rPr>
                <w:rFonts w:cs="Arial"/>
                <w:bCs/>
                <w:szCs w:val="22"/>
              </w:rPr>
              <w:lastRenderedPageBreak/>
              <w:t>risk for long term work disability</w:t>
            </w:r>
          </w:p>
        </w:tc>
        <w:tc>
          <w:tcPr>
            <w:tcW w:w="3426" w:type="dxa"/>
          </w:tcPr>
          <w:p w14:paraId="56FD9B0B" w14:textId="77777777" w:rsidR="00B62782" w:rsidRPr="006E36AE" w:rsidRDefault="00B62782" w:rsidP="007434D8">
            <w:pPr>
              <w:shd w:val="clear" w:color="auto" w:fill="FFFFFF"/>
              <w:spacing w:after="60"/>
              <w:rPr>
                <w:rFonts w:ascii="Arial" w:hAnsi="Arial" w:cs="Arial"/>
                <w:bCs/>
                <w:sz w:val="22"/>
                <w:szCs w:val="22"/>
                <w:lang w:eastAsia="en-GB"/>
              </w:rPr>
            </w:pPr>
          </w:p>
        </w:tc>
        <w:tc>
          <w:tcPr>
            <w:tcW w:w="3426" w:type="dxa"/>
          </w:tcPr>
          <w:p w14:paraId="5A31CB76" w14:textId="77777777" w:rsidR="00B62782" w:rsidRPr="006E36AE" w:rsidRDefault="00B62782" w:rsidP="007434D8">
            <w:pPr>
              <w:shd w:val="clear" w:color="auto" w:fill="FFFFFF"/>
              <w:spacing w:after="60"/>
              <w:rPr>
                <w:rFonts w:ascii="Arial" w:hAnsi="Arial" w:cs="Arial"/>
                <w:bCs/>
                <w:sz w:val="22"/>
                <w:szCs w:val="22"/>
                <w:lang w:eastAsia="en-GB"/>
              </w:rPr>
            </w:pPr>
          </w:p>
        </w:tc>
        <w:tc>
          <w:tcPr>
            <w:tcW w:w="3426" w:type="dxa"/>
          </w:tcPr>
          <w:p w14:paraId="43575F3C" w14:textId="77777777" w:rsidR="00B62782" w:rsidRPr="006E36AE" w:rsidRDefault="00B62782" w:rsidP="007434D8">
            <w:pPr>
              <w:shd w:val="clear" w:color="auto" w:fill="FFFFFF"/>
              <w:spacing w:after="60"/>
              <w:rPr>
                <w:rFonts w:ascii="Arial" w:hAnsi="Arial" w:cs="Arial"/>
                <w:bCs/>
                <w:sz w:val="22"/>
                <w:szCs w:val="22"/>
                <w:lang w:eastAsia="en-GB"/>
              </w:rPr>
            </w:pPr>
          </w:p>
        </w:tc>
      </w:tr>
      <w:tr w:rsidR="00B62782" w:rsidRPr="006E36AE" w14:paraId="52B2DBB2" w14:textId="77777777" w:rsidTr="006E36AE">
        <w:trPr>
          <w:trHeight w:val="282"/>
        </w:trPr>
        <w:tc>
          <w:tcPr>
            <w:tcW w:w="704" w:type="dxa"/>
          </w:tcPr>
          <w:p w14:paraId="34DB9C5E" w14:textId="3D5160E3" w:rsidR="00B62782" w:rsidRPr="006E36AE" w:rsidRDefault="005C029B">
            <w:pPr>
              <w:pStyle w:val="Tabletext"/>
              <w:rPr>
                <w:rFonts w:cs="Arial"/>
                <w:bCs/>
                <w:szCs w:val="22"/>
              </w:rPr>
            </w:pPr>
            <w:r w:rsidRPr="006E36AE">
              <w:rPr>
                <w:rFonts w:cs="Arial"/>
                <w:bCs/>
                <w:szCs w:val="22"/>
              </w:rPr>
              <w:t>9</w:t>
            </w:r>
          </w:p>
        </w:tc>
        <w:tc>
          <w:tcPr>
            <w:tcW w:w="1701" w:type="dxa"/>
          </w:tcPr>
          <w:p w14:paraId="680A9B9C" w14:textId="3635FD82" w:rsidR="00B62782" w:rsidRPr="006E36AE" w:rsidRDefault="00B62782">
            <w:pPr>
              <w:pStyle w:val="Tabletext"/>
              <w:rPr>
                <w:rFonts w:cs="Arial"/>
                <w:bCs/>
                <w:szCs w:val="22"/>
              </w:rPr>
            </w:pPr>
            <w:r w:rsidRPr="006E36AE">
              <w:rPr>
                <w:rFonts w:cs="Arial"/>
                <w:bCs/>
                <w:szCs w:val="22"/>
              </w:rPr>
              <w:t xml:space="preserve">Connect Health </w:t>
            </w:r>
          </w:p>
        </w:tc>
        <w:tc>
          <w:tcPr>
            <w:tcW w:w="1985" w:type="dxa"/>
          </w:tcPr>
          <w:p w14:paraId="7A00AB3A" w14:textId="504B3F44" w:rsidR="00B62782" w:rsidRPr="006E36AE" w:rsidRDefault="00B62782">
            <w:pPr>
              <w:pStyle w:val="Tabletext"/>
              <w:rPr>
                <w:rFonts w:cs="Arial"/>
                <w:bCs/>
                <w:szCs w:val="22"/>
              </w:rPr>
            </w:pPr>
            <w:r w:rsidRPr="006E36AE">
              <w:rPr>
                <w:rFonts w:cs="Arial"/>
                <w:bCs/>
                <w:szCs w:val="22"/>
              </w:rPr>
              <w:t>Managing uncertainty and job insecurity in employees absent from work</w:t>
            </w:r>
          </w:p>
        </w:tc>
        <w:tc>
          <w:tcPr>
            <w:tcW w:w="3426" w:type="dxa"/>
          </w:tcPr>
          <w:p w14:paraId="71C6E1C7" w14:textId="77777777" w:rsidR="00B62782" w:rsidRPr="006E36AE" w:rsidRDefault="00B62782" w:rsidP="007434D8">
            <w:pPr>
              <w:pStyle w:val="Paragraphnonumbers"/>
              <w:spacing w:after="60" w:line="240" w:lineRule="auto"/>
              <w:rPr>
                <w:rFonts w:cs="Arial"/>
                <w:bCs/>
                <w:sz w:val="22"/>
                <w:szCs w:val="22"/>
              </w:rPr>
            </w:pPr>
            <w:r w:rsidRPr="006E36AE">
              <w:rPr>
                <w:rFonts w:cs="Arial"/>
                <w:bCs/>
                <w:sz w:val="22"/>
                <w:szCs w:val="22"/>
              </w:rPr>
              <w:t xml:space="preserve">Job insecurity has been recognised as a workplace issue prior to the coronavirus pandemic. This has only been made worse and job insecurity could be considered a key risk factor for recurrent or long-term sickness absence. </w:t>
            </w:r>
          </w:p>
          <w:p w14:paraId="75D07378" w14:textId="77777777" w:rsidR="00B62782" w:rsidRPr="006E36AE" w:rsidRDefault="00B62782" w:rsidP="007434D8">
            <w:pPr>
              <w:pStyle w:val="Paragraphnonumbers"/>
              <w:spacing w:after="60" w:line="240" w:lineRule="auto"/>
              <w:rPr>
                <w:rFonts w:cs="Arial"/>
                <w:bCs/>
                <w:sz w:val="22"/>
                <w:szCs w:val="22"/>
              </w:rPr>
            </w:pPr>
          </w:p>
          <w:p w14:paraId="06B5BE12" w14:textId="77777777" w:rsidR="00B62782" w:rsidRPr="006E36AE" w:rsidRDefault="00B62782" w:rsidP="007434D8">
            <w:pPr>
              <w:shd w:val="clear" w:color="auto" w:fill="FFFFFF"/>
              <w:spacing w:after="60"/>
              <w:rPr>
                <w:rFonts w:ascii="Arial" w:hAnsi="Arial" w:cs="Arial"/>
                <w:bCs/>
                <w:sz w:val="22"/>
                <w:szCs w:val="22"/>
                <w:lang w:eastAsia="en-GB"/>
              </w:rPr>
            </w:pPr>
          </w:p>
        </w:tc>
        <w:tc>
          <w:tcPr>
            <w:tcW w:w="3426" w:type="dxa"/>
          </w:tcPr>
          <w:p w14:paraId="05495E88" w14:textId="58EABD40" w:rsidR="00B62782" w:rsidRPr="006E36AE" w:rsidRDefault="00B62782" w:rsidP="007434D8">
            <w:pPr>
              <w:shd w:val="clear" w:color="auto" w:fill="FFFFFF"/>
              <w:spacing w:after="60"/>
              <w:rPr>
                <w:rFonts w:ascii="Arial" w:hAnsi="Arial" w:cs="Arial"/>
                <w:bCs/>
                <w:sz w:val="22"/>
                <w:szCs w:val="22"/>
                <w:lang w:eastAsia="en-GB"/>
              </w:rPr>
            </w:pPr>
            <w:r w:rsidRPr="006E36AE">
              <w:rPr>
                <w:rFonts w:ascii="Arial" w:hAnsi="Arial" w:cs="Arial"/>
                <w:bCs/>
                <w:sz w:val="22"/>
                <w:szCs w:val="22"/>
              </w:rPr>
              <w:t xml:space="preserve">Further update of the section ‘Keeping in touch with people on sickness absence’ included in the previous set up guidelines. Highlighting the increasing importance of this recommendation but also introducing any other strategies that may be supported by the level of evidence available. </w:t>
            </w:r>
          </w:p>
        </w:tc>
        <w:tc>
          <w:tcPr>
            <w:tcW w:w="3426" w:type="dxa"/>
          </w:tcPr>
          <w:p w14:paraId="406B276D" w14:textId="77777777" w:rsidR="00B62782" w:rsidRPr="006E36AE" w:rsidRDefault="00B62782" w:rsidP="007434D8">
            <w:pPr>
              <w:pStyle w:val="Paragraphnonumbers"/>
              <w:spacing w:after="60" w:line="240" w:lineRule="auto"/>
              <w:rPr>
                <w:rFonts w:cs="Arial"/>
                <w:bCs/>
                <w:sz w:val="22"/>
                <w:szCs w:val="22"/>
              </w:rPr>
            </w:pPr>
            <w:r w:rsidRPr="006E36AE">
              <w:rPr>
                <w:rFonts w:cs="Arial"/>
                <w:bCs/>
                <w:sz w:val="22"/>
                <w:szCs w:val="22"/>
              </w:rPr>
              <w:t xml:space="preserve">Job insecurity is predicted (prior to coronavirus) in this government paper ‘the future of work jobs and skills in 2030’. </w:t>
            </w:r>
            <w:hyperlink r:id="rId37" w:history="1">
              <w:r w:rsidRPr="006E36AE">
                <w:rPr>
                  <w:rFonts w:cs="Arial"/>
                  <w:bCs/>
                  <w:sz w:val="22"/>
                  <w:szCs w:val="22"/>
                </w:rPr>
                <w:t>https://assets.publishing.service.gov.uk/government/uploads/system/uploads/attachment_data/file/303335/the_future_of_work_key_findings_edit.pdf</w:t>
              </w:r>
            </w:hyperlink>
          </w:p>
          <w:p w14:paraId="6ABC3E67" w14:textId="69D45F01" w:rsidR="00B62782" w:rsidRPr="006E36AE" w:rsidRDefault="00B62782" w:rsidP="007434D8">
            <w:pPr>
              <w:shd w:val="clear" w:color="auto" w:fill="FFFFFF"/>
              <w:spacing w:after="60"/>
              <w:rPr>
                <w:rFonts w:ascii="Arial" w:hAnsi="Arial" w:cs="Arial"/>
                <w:bCs/>
                <w:sz w:val="22"/>
                <w:szCs w:val="22"/>
                <w:lang w:eastAsia="en-GB"/>
              </w:rPr>
            </w:pPr>
            <w:r w:rsidRPr="006E36AE">
              <w:rPr>
                <w:rFonts w:ascii="Arial" w:hAnsi="Arial" w:cs="Arial"/>
                <w:bCs/>
                <w:sz w:val="22"/>
                <w:szCs w:val="22"/>
                <w:lang w:eastAsia="en-GB"/>
              </w:rPr>
              <w:t xml:space="preserve">The subsequent job loss and insecurity is reported on by this CIPD survey </w:t>
            </w:r>
            <w:hyperlink r:id="rId38" w:history="1">
              <w:r w:rsidRPr="006E36AE">
                <w:rPr>
                  <w:rFonts w:ascii="Arial" w:hAnsi="Arial" w:cs="Arial"/>
                  <w:bCs/>
                  <w:sz w:val="22"/>
                  <w:szCs w:val="22"/>
                  <w:lang w:eastAsia="en-GB"/>
                </w:rPr>
                <w:t>https://www.cipd.co.uk/Images/good-work-index-summary-report-2020-1_tcm18-79211.pdf</w:t>
              </w:r>
            </w:hyperlink>
            <w:r w:rsidRPr="006E36AE">
              <w:rPr>
                <w:rFonts w:ascii="Arial" w:hAnsi="Arial" w:cs="Arial"/>
                <w:bCs/>
                <w:sz w:val="22"/>
                <w:szCs w:val="22"/>
                <w:lang w:eastAsia="en-GB"/>
              </w:rPr>
              <w:t xml:space="preserve"> and this office of national statistics report </w:t>
            </w:r>
            <w:hyperlink r:id="rId39" w:history="1">
              <w:r w:rsidRPr="006E36AE">
                <w:rPr>
                  <w:rFonts w:ascii="Arial" w:hAnsi="Arial" w:cs="Arial"/>
                  <w:bCs/>
                  <w:sz w:val="22"/>
                  <w:szCs w:val="22"/>
                  <w:lang w:eastAsia="en-GB"/>
                </w:rPr>
                <w:t>https://www.ons.gov.uk/employmentandlabourmarket/peopleinwork/employmentandemployeetypes/bulletins/uklabourmarket/july2020</w:t>
              </w:r>
            </w:hyperlink>
          </w:p>
        </w:tc>
      </w:tr>
      <w:tr w:rsidR="00B62782" w:rsidRPr="006E36AE" w14:paraId="67D9D11C" w14:textId="77777777" w:rsidTr="006E36AE">
        <w:trPr>
          <w:trHeight w:val="282"/>
        </w:trPr>
        <w:tc>
          <w:tcPr>
            <w:tcW w:w="704" w:type="dxa"/>
          </w:tcPr>
          <w:p w14:paraId="2FBAAD0E" w14:textId="75FEAABF" w:rsidR="00B62782" w:rsidRPr="006E36AE" w:rsidRDefault="005C029B">
            <w:pPr>
              <w:pStyle w:val="Tabletext"/>
              <w:rPr>
                <w:rFonts w:cs="Arial"/>
                <w:bCs/>
                <w:szCs w:val="22"/>
              </w:rPr>
            </w:pPr>
            <w:r w:rsidRPr="006E36AE">
              <w:rPr>
                <w:rFonts w:cs="Arial"/>
                <w:bCs/>
                <w:szCs w:val="22"/>
              </w:rPr>
              <w:t>10</w:t>
            </w:r>
          </w:p>
        </w:tc>
        <w:tc>
          <w:tcPr>
            <w:tcW w:w="1701" w:type="dxa"/>
          </w:tcPr>
          <w:p w14:paraId="278DCF60" w14:textId="44CF532C" w:rsidR="00B62782" w:rsidRPr="006E36AE" w:rsidRDefault="00B62782">
            <w:pPr>
              <w:pStyle w:val="Tabletext"/>
              <w:rPr>
                <w:rFonts w:cs="Arial"/>
                <w:bCs/>
                <w:szCs w:val="22"/>
              </w:rPr>
            </w:pPr>
            <w:r w:rsidRPr="006E36AE">
              <w:rPr>
                <w:rFonts w:cs="Arial"/>
                <w:bCs/>
                <w:szCs w:val="22"/>
              </w:rPr>
              <w:t xml:space="preserve">Connect Health </w:t>
            </w:r>
          </w:p>
        </w:tc>
        <w:tc>
          <w:tcPr>
            <w:tcW w:w="1985" w:type="dxa"/>
          </w:tcPr>
          <w:p w14:paraId="06594ED3" w14:textId="60B6AA21" w:rsidR="00B62782" w:rsidRPr="006E36AE" w:rsidRDefault="00B62782">
            <w:pPr>
              <w:pStyle w:val="Tabletext"/>
              <w:rPr>
                <w:rFonts w:cs="Arial"/>
                <w:bCs/>
                <w:szCs w:val="22"/>
              </w:rPr>
            </w:pPr>
            <w:r w:rsidRPr="006E36AE">
              <w:rPr>
                <w:rFonts w:cs="Arial"/>
                <w:bCs/>
                <w:szCs w:val="22"/>
              </w:rPr>
              <w:t>Supporting employees absent from work with participation in healthy lifestyle behaviours</w:t>
            </w:r>
          </w:p>
        </w:tc>
        <w:tc>
          <w:tcPr>
            <w:tcW w:w="3426" w:type="dxa"/>
          </w:tcPr>
          <w:p w14:paraId="2B31A9EE" w14:textId="5AA9AA73" w:rsidR="00B62782" w:rsidRPr="006E36AE" w:rsidRDefault="00B62782" w:rsidP="007434D8">
            <w:pPr>
              <w:shd w:val="clear" w:color="auto" w:fill="FFFFFF"/>
              <w:spacing w:after="60"/>
              <w:rPr>
                <w:rFonts w:ascii="Arial" w:hAnsi="Arial" w:cs="Arial"/>
                <w:bCs/>
                <w:sz w:val="22"/>
                <w:szCs w:val="22"/>
                <w:lang w:eastAsia="en-GB"/>
              </w:rPr>
            </w:pPr>
            <w:r w:rsidRPr="006E36AE">
              <w:rPr>
                <w:rFonts w:ascii="Arial" w:hAnsi="Arial" w:cs="Arial"/>
                <w:bCs/>
                <w:sz w:val="22"/>
                <w:szCs w:val="22"/>
                <w:lang w:eastAsia="en-GB"/>
              </w:rPr>
              <w:t xml:space="preserve">Healthy lifestyle behaviours have good evidence for improving workplace and public health. Engagement in these behaviours is all the more important for people on long </w:t>
            </w:r>
            <w:r w:rsidRPr="006E36AE">
              <w:rPr>
                <w:rFonts w:ascii="Arial" w:hAnsi="Arial" w:cs="Arial"/>
                <w:bCs/>
                <w:sz w:val="22"/>
                <w:szCs w:val="22"/>
                <w:lang w:eastAsia="en-GB"/>
              </w:rPr>
              <w:lastRenderedPageBreak/>
              <w:t xml:space="preserve">term sickness absence or at risk of </w:t>
            </w:r>
            <w:proofErr w:type="gramStart"/>
            <w:r w:rsidRPr="006E36AE">
              <w:rPr>
                <w:rFonts w:ascii="Arial" w:hAnsi="Arial" w:cs="Arial"/>
                <w:bCs/>
                <w:sz w:val="22"/>
                <w:szCs w:val="22"/>
                <w:lang w:eastAsia="en-GB"/>
              </w:rPr>
              <w:t>long term</w:t>
            </w:r>
            <w:proofErr w:type="gramEnd"/>
            <w:r w:rsidRPr="006E36AE">
              <w:rPr>
                <w:rFonts w:ascii="Arial" w:hAnsi="Arial" w:cs="Arial"/>
                <w:bCs/>
                <w:sz w:val="22"/>
                <w:szCs w:val="22"/>
                <w:lang w:eastAsia="en-GB"/>
              </w:rPr>
              <w:t xml:space="preserve"> sickness absence. </w:t>
            </w:r>
          </w:p>
        </w:tc>
        <w:tc>
          <w:tcPr>
            <w:tcW w:w="3426" w:type="dxa"/>
          </w:tcPr>
          <w:p w14:paraId="2B50C88F" w14:textId="39FCDE49" w:rsidR="00B62782" w:rsidRPr="006E36AE" w:rsidRDefault="00B62782" w:rsidP="007434D8">
            <w:pPr>
              <w:shd w:val="clear" w:color="auto" w:fill="FFFFFF"/>
              <w:spacing w:after="60"/>
              <w:rPr>
                <w:rFonts w:ascii="Arial" w:hAnsi="Arial" w:cs="Arial"/>
                <w:bCs/>
                <w:sz w:val="22"/>
                <w:szCs w:val="22"/>
                <w:lang w:eastAsia="en-GB"/>
              </w:rPr>
            </w:pPr>
            <w:r w:rsidRPr="006E36AE">
              <w:rPr>
                <w:rFonts w:ascii="Arial" w:hAnsi="Arial" w:cs="Arial"/>
                <w:bCs/>
                <w:sz w:val="22"/>
                <w:szCs w:val="22"/>
              </w:rPr>
              <w:lastRenderedPageBreak/>
              <w:t xml:space="preserve">UK policy produce by public health England is very supportive of this approach and sets out a strategy to achieve this in the public and the workplace. This is touched on in the previous guidance </w:t>
            </w:r>
            <w:proofErr w:type="gramStart"/>
            <w:r w:rsidRPr="006E36AE">
              <w:rPr>
                <w:rFonts w:ascii="Arial" w:hAnsi="Arial" w:cs="Arial"/>
                <w:bCs/>
                <w:sz w:val="22"/>
                <w:szCs w:val="22"/>
              </w:rPr>
              <w:t>document</w:t>
            </w:r>
            <w:proofErr w:type="gramEnd"/>
            <w:r w:rsidRPr="006E36AE">
              <w:rPr>
                <w:rFonts w:ascii="Arial" w:hAnsi="Arial" w:cs="Arial"/>
                <w:bCs/>
                <w:sz w:val="22"/>
                <w:szCs w:val="22"/>
              </w:rPr>
              <w:t xml:space="preserve"> </w:t>
            </w:r>
            <w:r w:rsidRPr="006E36AE">
              <w:rPr>
                <w:rFonts w:ascii="Arial" w:hAnsi="Arial" w:cs="Arial"/>
                <w:bCs/>
                <w:sz w:val="22"/>
                <w:szCs w:val="22"/>
              </w:rPr>
              <w:lastRenderedPageBreak/>
              <w:t>but new evidence and policy documents have been produced which should be included in the update.</w:t>
            </w:r>
          </w:p>
        </w:tc>
        <w:tc>
          <w:tcPr>
            <w:tcW w:w="3426" w:type="dxa"/>
          </w:tcPr>
          <w:p w14:paraId="34E86E90" w14:textId="77777777" w:rsidR="00B62782" w:rsidRPr="006E36AE" w:rsidRDefault="00B62782" w:rsidP="007434D8">
            <w:pPr>
              <w:pStyle w:val="Paragraphnonumbers"/>
              <w:spacing w:after="60" w:line="240" w:lineRule="auto"/>
              <w:rPr>
                <w:rFonts w:cs="Arial"/>
                <w:bCs/>
                <w:sz w:val="22"/>
                <w:szCs w:val="22"/>
              </w:rPr>
            </w:pPr>
            <w:r w:rsidRPr="006E36AE">
              <w:rPr>
                <w:rFonts w:cs="Arial"/>
                <w:bCs/>
                <w:sz w:val="22"/>
                <w:szCs w:val="22"/>
              </w:rPr>
              <w:lastRenderedPageBreak/>
              <w:t xml:space="preserve">Public Health England workplace health guidance: </w:t>
            </w:r>
            <w:hyperlink r:id="rId40" w:history="1">
              <w:r w:rsidRPr="006E36AE">
                <w:rPr>
                  <w:rFonts w:cs="Arial"/>
                  <w:bCs/>
                  <w:sz w:val="22"/>
                  <w:szCs w:val="22"/>
                </w:rPr>
                <w:t>https://www.gov.uk/government/publications/workplace-health-applying-all-our-health/workplace-health-applying-all-our-health</w:t>
              </w:r>
            </w:hyperlink>
          </w:p>
          <w:p w14:paraId="53E64E32" w14:textId="77777777" w:rsidR="00B62782" w:rsidRPr="006E36AE" w:rsidRDefault="00B62782" w:rsidP="007434D8">
            <w:pPr>
              <w:pStyle w:val="Paragraphnonumbers"/>
              <w:spacing w:after="60" w:line="240" w:lineRule="auto"/>
              <w:rPr>
                <w:rFonts w:cs="Arial"/>
                <w:bCs/>
                <w:sz w:val="22"/>
                <w:szCs w:val="22"/>
              </w:rPr>
            </w:pPr>
          </w:p>
          <w:p w14:paraId="552AD929" w14:textId="4552C3BB" w:rsidR="00B62782" w:rsidRPr="006E36AE" w:rsidRDefault="00B62782" w:rsidP="007434D8">
            <w:pPr>
              <w:shd w:val="clear" w:color="auto" w:fill="FFFFFF"/>
              <w:spacing w:after="60"/>
              <w:rPr>
                <w:rFonts w:ascii="Arial" w:hAnsi="Arial" w:cs="Arial"/>
                <w:bCs/>
                <w:sz w:val="22"/>
                <w:szCs w:val="22"/>
                <w:lang w:eastAsia="en-GB"/>
              </w:rPr>
            </w:pPr>
            <w:r w:rsidRPr="006E36AE">
              <w:rPr>
                <w:rFonts w:ascii="Arial" w:hAnsi="Arial" w:cs="Arial"/>
                <w:bCs/>
                <w:sz w:val="22"/>
                <w:szCs w:val="22"/>
                <w:lang w:eastAsia="en-GB"/>
              </w:rPr>
              <w:t xml:space="preserve">Public Health England 2020-2025 strategy: </w:t>
            </w:r>
            <w:hyperlink r:id="rId41" w:history="1">
              <w:r w:rsidRPr="006E36AE">
                <w:rPr>
                  <w:rFonts w:ascii="Arial" w:hAnsi="Arial" w:cs="Arial"/>
                  <w:bCs/>
                  <w:sz w:val="22"/>
                  <w:szCs w:val="22"/>
                  <w:lang w:eastAsia="en-GB"/>
                </w:rPr>
                <w:t>https://assets.publishing.service.gov.uk/government/uploads/system/uploads/attachment_data/file/831562/PHE_Strategy_2020-25.pdf</w:t>
              </w:r>
            </w:hyperlink>
          </w:p>
        </w:tc>
      </w:tr>
      <w:tr w:rsidR="005A6352" w:rsidRPr="006E36AE" w14:paraId="71810F81" w14:textId="77777777" w:rsidTr="006E36AE">
        <w:trPr>
          <w:trHeight w:val="282"/>
        </w:trPr>
        <w:tc>
          <w:tcPr>
            <w:tcW w:w="704" w:type="dxa"/>
          </w:tcPr>
          <w:p w14:paraId="2E40BDAD" w14:textId="3C0F2569" w:rsidR="005A6352" w:rsidRPr="006E36AE" w:rsidRDefault="00BE1EE9" w:rsidP="005A6352">
            <w:pPr>
              <w:pStyle w:val="Tabletext"/>
              <w:rPr>
                <w:rFonts w:cs="Arial"/>
                <w:bCs/>
                <w:szCs w:val="22"/>
              </w:rPr>
            </w:pPr>
            <w:r>
              <w:rPr>
                <w:rFonts w:cs="Arial"/>
                <w:bCs/>
                <w:szCs w:val="22"/>
              </w:rPr>
              <w:lastRenderedPageBreak/>
              <w:t>11</w:t>
            </w:r>
          </w:p>
        </w:tc>
        <w:tc>
          <w:tcPr>
            <w:tcW w:w="1701" w:type="dxa"/>
          </w:tcPr>
          <w:p w14:paraId="04B96C18" w14:textId="7E5A5034" w:rsidR="005A6352" w:rsidRPr="006E36AE" w:rsidRDefault="005A6352" w:rsidP="005A6352">
            <w:pPr>
              <w:pStyle w:val="Tabletext"/>
              <w:rPr>
                <w:rFonts w:cs="Arial"/>
                <w:bCs/>
                <w:szCs w:val="22"/>
              </w:rPr>
            </w:pPr>
            <w:r>
              <w:rPr>
                <w:rFonts w:cs="Arial"/>
                <w:bCs/>
                <w:szCs w:val="22"/>
              </w:rPr>
              <w:t>Lincolnshire County Council</w:t>
            </w:r>
          </w:p>
        </w:tc>
        <w:tc>
          <w:tcPr>
            <w:tcW w:w="1985" w:type="dxa"/>
          </w:tcPr>
          <w:p w14:paraId="45144766" w14:textId="77777777" w:rsidR="005A6352" w:rsidRPr="007434D8" w:rsidRDefault="005A6352" w:rsidP="005A6352">
            <w:pPr>
              <w:pStyle w:val="TableText1"/>
              <w:spacing w:after="60"/>
              <w:rPr>
                <w:rFonts w:cs="Arial"/>
                <w:bCs/>
                <w:szCs w:val="22"/>
              </w:rPr>
            </w:pPr>
            <w:r w:rsidRPr="007434D8">
              <w:rPr>
                <w:rFonts w:cs="Arial"/>
                <w:bCs/>
                <w:szCs w:val="22"/>
              </w:rPr>
              <w:t>Key area for quality improvement 5</w:t>
            </w:r>
          </w:p>
          <w:p w14:paraId="58748AD1" w14:textId="3603E008" w:rsidR="005A6352" w:rsidRPr="006E36AE" w:rsidRDefault="005A6352" w:rsidP="005A6352">
            <w:pPr>
              <w:pStyle w:val="Tabletext"/>
              <w:rPr>
                <w:rFonts w:cs="Arial"/>
                <w:bCs/>
                <w:szCs w:val="22"/>
              </w:rPr>
            </w:pPr>
            <w:r w:rsidRPr="007434D8">
              <w:rPr>
                <w:rFonts w:cs="Arial"/>
                <w:bCs/>
                <w:szCs w:val="22"/>
              </w:rPr>
              <w:t>Occupational health provision</w:t>
            </w:r>
          </w:p>
        </w:tc>
        <w:tc>
          <w:tcPr>
            <w:tcW w:w="3426" w:type="dxa"/>
          </w:tcPr>
          <w:p w14:paraId="09FE5350" w14:textId="4DB673CA" w:rsidR="005A6352" w:rsidRPr="006E36AE" w:rsidRDefault="005A6352" w:rsidP="005A6352">
            <w:pPr>
              <w:shd w:val="clear" w:color="auto" w:fill="FFFFFF"/>
              <w:spacing w:after="60"/>
              <w:rPr>
                <w:rFonts w:ascii="Arial" w:hAnsi="Arial" w:cs="Arial"/>
                <w:bCs/>
                <w:sz w:val="22"/>
                <w:szCs w:val="22"/>
                <w:lang w:eastAsia="en-GB"/>
              </w:rPr>
            </w:pPr>
            <w:proofErr w:type="gramStart"/>
            <w:r w:rsidRPr="007434D8">
              <w:rPr>
                <w:rFonts w:cs="Arial"/>
                <w:bCs/>
                <w:szCs w:val="22"/>
              </w:rPr>
              <w:t>A number of</w:t>
            </w:r>
            <w:proofErr w:type="gramEnd"/>
            <w:r w:rsidRPr="007434D8">
              <w:rPr>
                <w:rFonts w:cs="Arial"/>
                <w:bCs/>
                <w:szCs w:val="22"/>
              </w:rPr>
              <w:t xml:space="preserve"> the recommendations in the guidance reference accessible occupational health services however there can be supply issues with trained occupational health doctors.</w:t>
            </w:r>
          </w:p>
        </w:tc>
        <w:tc>
          <w:tcPr>
            <w:tcW w:w="3426" w:type="dxa"/>
          </w:tcPr>
          <w:p w14:paraId="6B84E0E6" w14:textId="77777777" w:rsidR="005A6352" w:rsidRPr="007434D8" w:rsidRDefault="005A6352" w:rsidP="005A6352">
            <w:pPr>
              <w:pStyle w:val="TableText1"/>
              <w:spacing w:after="60"/>
              <w:rPr>
                <w:rFonts w:cs="Arial"/>
                <w:bCs/>
                <w:szCs w:val="22"/>
              </w:rPr>
            </w:pPr>
            <w:r w:rsidRPr="007434D8">
              <w:rPr>
                <w:rFonts w:cs="Arial"/>
                <w:bCs/>
                <w:szCs w:val="22"/>
              </w:rPr>
              <w:t xml:space="preserve">Research by DWP has found that employers’ wishes to retain employees emerged as the main, overarching reason why they sought OH support. </w:t>
            </w:r>
            <w:proofErr w:type="gramStart"/>
            <w:r w:rsidRPr="007434D8">
              <w:rPr>
                <w:rFonts w:cs="Arial"/>
                <w:bCs/>
                <w:szCs w:val="22"/>
              </w:rPr>
              <w:t>However</w:t>
            </w:r>
            <w:proofErr w:type="gramEnd"/>
            <w:r w:rsidRPr="007434D8">
              <w:rPr>
                <w:rFonts w:cs="Arial"/>
                <w:bCs/>
                <w:szCs w:val="22"/>
              </w:rPr>
              <w:t xml:space="preserve"> it has been reported in the BMJ that there is a major shortage of doctors and nurses who specialise in occupational medicine in the UK, partly due to occupational health services not being legislated for.</w:t>
            </w:r>
          </w:p>
          <w:p w14:paraId="7CCEE04D" w14:textId="63B4D38F" w:rsidR="005A6352" w:rsidRPr="006E36AE" w:rsidRDefault="005A6352" w:rsidP="005A6352">
            <w:pPr>
              <w:pStyle w:val="Paragraphnonumbers"/>
              <w:spacing w:after="60" w:line="240" w:lineRule="auto"/>
              <w:rPr>
                <w:rFonts w:cs="Arial"/>
                <w:bCs/>
                <w:sz w:val="22"/>
                <w:szCs w:val="22"/>
              </w:rPr>
            </w:pPr>
            <w:r w:rsidRPr="007434D8">
              <w:rPr>
                <w:rFonts w:cs="Arial"/>
                <w:bCs/>
                <w:szCs w:val="22"/>
              </w:rPr>
              <w:t xml:space="preserve">A quality statement relating to robust procurement of OH services including working with local partners to attempt to address the lack of occupational health professionals may provide a useful lever for discussions regarding attraction to and </w:t>
            </w:r>
            <w:r w:rsidRPr="007434D8">
              <w:rPr>
                <w:rFonts w:cs="Arial"/>
                <w:bCs/>
                <w:szCs w:val="22"/>
              </w:rPr>
              <w:lastRenderedPageBreak/>
              <w:t>training in OH disciplines in future.</w:t>
            </w:r>
          </w:p>
        </w:tc>
        <w:tc>
          <w:tcPr>
            <w:tcW w:w="3426" w:type="dxa"/>
          </w:tcPr>
          <w:p w14:paraId="2B250678" w14:textId="77777777" w:rsidR="005A6352" w:rsidRPr="007434D8" w:rsidRDefault="005A6352" w:rsidP="005A6352">
            <w:pPr>
              <w:pStyle w:val="TableText1"/>
              <w:spacing w:after="60"/>
              <w:rPr>
                <w:rFonts w:cs="Arial"/>
                <w:bCs/>
                <w:szCs w:val="22"/>
              </w:rPr>
            </w:pPr>
            <w:r w:rsidRPr="007434D8">
              <w:rPr>
                <w:rFonts w:cs="Arial"/>
                <w:bCs/>
                <w:szCs w:val="22"/>
              </w:rPr>
              <w:lastRenderedPageBreak/>
              <w:t xml:space="preserve">Department for Work and Pensions and Department of Health and Social Care (2019). </w:t>
            </w:r>
            <w:r w:rsidRPr="007434D8">
              <w:rPr>
                <w:rFonts w:cs="Arial"/>
                <w:bCs/>
                <w:i/>
                <w:szCs w:val="22"/>
              </w:rPr>
              <w:t>Employers’ motivations and practices: A study of the use of occupational health services.</w:t>
            </w:r>
            <w:r w:rsidRPr="007434D8">
              <w:rPr>
                <w:rFonts w:cs="Arial"/>
                <w:bCs/>
                <w:szCs w:val="22"/>
              </w:rPr>
              <w:t xml:space="preserve"> </w:t>
            </w:r>
          </w:p>
          <w:p w14:paraId="4675E430" w14:textId="77777777" w:rsidR="005A6352" w:rsidRPr="007434D8" w:rsidRDefault="005A6352" w:rsidP="005A6352">
            <w:pPr>
              <w:pStyle w:val="TableText1"/>
              <w:spacing w:after="60"/>
              <w:rPr>
                <w:rFonts w:cs="Arial"/>
                <w:bCs/>
                <w:szCs w:val="22"/>
              </w:rPr>
            </w:pPr>
            <w:r w:rsidRPr="007434D8">
              <w:rPr>
                <w:rFonts w:cs="Arial"/>
                <w:bCs/>
                <w:szCs w:val="22"/>
              </w:rPr>
              <w:t xml:space="preserve">Retrieved from: </w:t>
            </w:r>
            <w:hyperlink r:id="rId42" w:history="1">
              <w:r w:rsidRPr="007434D8">
                <w:rPr>
                  <w:rStyle w:val="Hyperlink"/>
                  <w:rFonts w:cs="Arial"/>
                  <w:bCs/>
                  <w:szCs w:val="22"/>
                </w:rPr>
                <w:t>https://www.gov.uk/government/publications/occupational-health-services-and-employers</w:t>
              </w:r>
            </w:hyperlink>
            <w:r w:rsidRPr="007434D8">
              <w:rPr>
                <w:rFonts w:cs="Arial"/>
                <w:bCs/>
                <w:szCs w:val="22"/>
              </w:rPr>
              <w:t xml:space="preserve"> </w:t>
            </w:r>
          </w:p>
          <w:p w14:paraId="33BFE0ED" w14:textId="77777777" w:rsidR="005A6352" w:rsidRPr="007434D8" w:rsidRDefault="005A6352" w:rsidP="005A6352">
            <w:pPr>
              <w:pStyle w:val="TableText1"/>
              <w:spacing w:after="60"/>
              <w:rPr>
                <w:rFonts w:cs="Arial"/>
                <w:bCs/>
                <w:szCs w:val="22"/>
              </w:rPr>
            </w:pPr>
          </w:p>
          <w:p w14:paraId="277FEBAD" w14:textId="6324B59E" w:rsidR="005A6352" w:rsidRPr="006E36AE" w:rsidRDefault="005A6352" w:rsidP="005A6352">
            <w:pPr>
              <w:shd w:val="clear" w:color="auto" w:fill="FFFFFF"/>
              <w:spacing w:after="60"/>
              <w:rPr>
                <w:rFonts w:ascii="Arial" w:hAnsi="Arial" w:cs="Arial"/>
                <w:bCs/>
                <w:sz w:val="22"/>
                <w:szCs w:val="22"/>
                <w:lang w:eastAsia="en-GB"/>
              </w:rPr>
            </w:pPr>
            <w:proofErr w:type="spellStart"/>
            <w:r w:rsidRPr="007434D8">
              <w:rPr>
                <w:rFonts w:cs="Arial"/>
                <w:bCs/>
                <w:szCs w:val="22"/>
              </w:rPr>
              <w:t>Raynal</w:t>
            </w:r>
            <w:proofErr w:type="spellEnd"/>
            <w:r w:rsidRPr="007434D8">
              <w:rPr>
                <w:rFonts w:cs="Arial"/>
                <w:bCs/>
                <w:szCs w:val="22"/>
              </w:rPr>
              <w:t xml:space="preserve"> A, </w:t>
            </w:r>
            <w:proofErr w:type="spellStart"/>
            <w:r w:rsidRPr="007434D8">
              <w:rPr>
                <w:rFonts w:cs="Arial"/>
                <w:bCs/>
                <w:szCs w:val="22"/>
              </w:rPr>
              <w:t>Hermanns</w:t>
            </w:r>
            <w:proofErr w:type="spellEnd"/>
            <w:r w:rsidRPr="007434D8">
              <w:rPr>
                <w:rFonts w:cs="Arial"/>
                <w:bCs/>
                <w:szCs w:val="22"/>
              </w:rPr>
              <w:t xml:space="preserve"> R, Robson S, Weir M, Carry D. Everybody should have access to occupational health services. BMJ. 2019;</w:t>
            </w:r>
            <w:proofErr w:type="gramStart"/>
            <w:r w:rsidRPr="007434D8">
              <w:rPr>
                <w:rFonts w:cs="Arial"/>
                <w:bCs/>
                <w:szCs w:val="22"/>
              </w:rPr>
              <w:t>364:k</w:t>
            </w:r>
            <w:proofErr w:type="gramEnd"/>
            <w:r w:rsidRPr="007434D8">
              <w:rPr>
                <w:rFonts w:cs="Arial"/>
                <w:bCs/>
                <w:szCs w:val="22"/>
              </w:rPr>
              <w:t>5220.</w:t>
            </w:r>
          </w:p>
        </w:tc>
      </w:tr>
      <w:tr w:rsidR="005A6352" w:rsidRPr="006E36AE" w14:paraId="2BFF0C68" w14:textId="77777777" w:rsidTr="006E36AE">
        <w:trPr>
          <w:trHeight w:val="282"/>
        </w:trPr>
        <w:tc>
          <w:tcPr>
            <w:tcW w:w="704" w:type="dxa"/>
          </w:tcPr>
          <w:p w14:paraId="6DC9436D" w14:textId="230D4D0D" w:rsidR="005A6352" w:rsidRPr="006E36AE" w:rsidRDefault="005A6352" w:rsidP="005A6352">
            <w:pPr>
              <w:pStyle w:val="Tabletext"/>
              <w:rPr>
                <w:rFonts w:cs="Arial"/>
                <w:bCs/>
                <w:szCs w:val="22"/>
              </w:rPr>
            </w:pPr>
            <w:r w:rsidRPr="006E36AE">
              <w:rPr>
                <w:rFonts w:cs="Arial"/>
                <w:bCs/>
                <w:szCs w:val="22"/>
              </w:rPr>
              <w:t>1</w:t>
            </w:r>
            <w:r w:rsidR="00BE1EE9">
              <w:rPr>
                <w:rFonts w:cs="Arial"/>
                <w:bCs/>
                <w:szCs w:val="22"/>
              </w:rPr>
              <w:t>2</w:t>
            </w:r>
          </w:p>
        </w:tc>
        <w:tc>
          <w:tcPr>
            <w:tcW w:w="1701" w:type="dxa"/>
          </w:tcPr>
          <w:p w14:paraId="5D2CAB00" w14:textId="665FF0B0" w:rsidR="005A6352" w:rsidRPr="006E36AE" w:rsidRDefault="005A6352" w:rsidP="005A6352">
            <w:pPr>
              <w:pStyle w:val="Tabletext"/>
              <w:rPr>
                <w:rFonts w:cs="Arial"/>
                <w:bCs/>
                <w:szCs w:val="22"/>
              </w:rPr>
            </w:pPr>
            <w:r w:rsidRPr="006E36AE">
              <w:rPr>
                <w:rFonts w:cs="Arial"/>
                <w:bCs/>
                <w:szCs w:val="22"/>
              </w:rPr>
              <w:t>Mind</w:t>
            </w:r>
          </w:p>
        </w:tc>
        <w:tc>
          <w:tcPr>
            <w:tcW w:w="1985" w:type="dxa"/>
          </w:tcPr>
          <w:p w14:paraId="15A90953" w14:textId="09A18DBF" w:rsidR="005A6352" w:rsidRPr="006E36AE" w:rsidRDefault="005A6352" w:rsidP="005A6352">
            <w:pPr>
              <w:pStyle w:val="Tabletext"/>
              <w:rPr>
                <w:rFonts w:cs="Arial"/>
                <w:bCs/>
                <w:szCs w:val="22"/>
              </w:rPr>
            </w:pPr>
            <w:r w:rsidRPr="006E36AE">
              <w:rPr>
                <w:rFonts w:cs="Arial"/>
                <w:bCs/>
                <w:szCs w:val="22"/>
              </w:rPr>
              <w:t>Occupational health services for people with mental health problems</w:t>
            </w:r>
          </w:p>
        </w:tc>
        <w:tc>
          <w:tcPr>
            <w:tcW w:w="3426" w:type="dxa"/>
          </w:tcPr>
          <w:p w14:paraId="10D78554" w14:textId="15C78AE4" w:rsidR="005A6352" w:rsidRPr="006E36AE" w:rsidRDefault="005A6352" w:rsidP="005A6352">
            <w:pPr>
              <w:shd w:val="clear" w:color="auto" w:fill="FFFFFF"/>
              <w:spacing w:after="60"/>
              <w:rPr>
                <w:rFonts w:ascii="Arial" w:hAnsi="Arial" w:cs="Arial"/>
                <w:bCs/>
                <w:sz w:val="22"/>
                <w:szCs w:val="22"/>
                <w:lang w:eastAsia="en-GB"/>
              </w:rPr>
            </w:pPr>
            <w:r w:rsidRPr="006E36AE">
              <w:rPr>
                <w:rFonts w:ascii="Arial" w:hAnsi="Arial" w:cs="Arial"/>
                <w:bCs/>
                <w:sz w:val="22"/>
                <w:szCs w:val="22"/>
                <w:lang w:eastAsia="en-GB"/>
              </w:rPr>
              <w:t xml:space="preserve">Good occupational health services can be key in supporting people to return or continue to work when they have a health condition which </w:t>
            </w:r>
            <w:proofErr w:type="gramStart"/>
            <w:r w:rsidRPr="006E36AE">
              <w:rPr>
                <w:rFonts w:ascii="Arial" w:hAnsi="Arial" w:cs="Arial"/>
                <w:bCs/>
                <w:sz w:val="22"/>
                <w:szCs w:val="22"/>
                <w:lang w:eastAsia="en-GB"/>
              </w:rPr>
              <w:t>effects</w:t>
            </w:r>
            <w:proofErr w:type="gramEnd"/>
            <w:r w:rsidRPr="006E36AE">
              <w:rPr>
                <w:rFonts w:ascii="Arial" w:hAnsi="Arial" w:cs="Arial"/>
                <w:bCs/>
                <w:sz w:val="22"/>
                <w:szCs w:val="22"/>
                <w:lang w:eastAsia="en-GB"/>
              </w:rPr>
              <w:t xml:space="preserve"> them at work. Many people are pushed out of the workplace due to a mental health problem, even when they feel well enough to work. Often, some simple support measures can mean that they are instead able to continue to work. Occupational health professionals can also help employers to understand an employee’s mental health problem and how the employer can support them. </w:t>
            </w:r>
          </w:p>
        </w:tc>
        <w:tc>
          <w:tcPr>
            <w:tcW w:w="3426" w:type="dxa"/>
          </w:tcPr>
          <w:p w14:paraId="232810A4"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Occupational health services are lacking in expertise on mental health. We hear from people with mental health problems who have had unsympathetic and stigmatising views from occupational health assessors, who have only made their experiences in work worse and pushed them further from the workplace.</w:t>
            </w:r>
          </w:p>
          <w:p w14:paraId="531325D0"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As most people only have access to occupational health through their employer, this can cause issues if their relationship with their employer has become difficult. It is important that individuals who have experienced a breakdown in their relationship with their employer, or who are worried about accessing </w:t>
            </w:r>
            <w:proofErr w:type="gramStart"/>
            <w:r w:rsidRPr="006E36AE">
              <w:rPr>
                <w:rFonts w:cs="Arial"/>
                <w:bCs/>
                <w:sz w:val="22"/>
                <w:szCs w:val="22"/>
              </w:rPr>
              <w:t>support</w:t>
            </w:r>
            <w:proofErr w:type="gramEnd"/>
            <w:r w:rsidRPr="006E36AE">
              <w:rPr>
                <w:rFonts w:cs="Arial"/>
                <w:bCs/>
                <w:sz w:val="22"/>
                <w:szCs w:val="22"/>
              </w:rPr>
              <w:t xml:space="preserve"> which is provided by their employer, have access to services through the NHS. </w:t>
            </w:r>
          </w:p>
          <w:p w14:paraId="209E8C48"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People commonly see their GPs when they are experiencing problems with their health and </w:t>
            </w:r>
            <w:proofErr w:type="gramStart"/>
            <w:r w:rsidRPr="006E36AE">
              <w:rPr>
                <w:rFonts w:cs="Arial"/>
                <w:bCs/>
                <w:sz w:val="22"/>
                <w:szCs w:val="22"/>
              </w:rPr>
              <w:t>work, and</w:t>
            </w:r>
            <w:proofErr w:type="gramEnd"/>
            <w:r w:rsidRPr="006E36AE">
              <w:rPr>
                <w:rFonts w:cs="Arial"/>
                <w:bCs/>
                <w:sz w:val="22"/>
                <w:szCs w:val="22"/>
              </w:rPr>
              <w:t xml:space="preserve"> should be able to </w:t>
            </w:r>
            <w:r w:rsidRPr="006E36AE">
              <w:rPr>
                <w:rFonts w:cs="Arial"/>
                <w:bCs/>
                <w:sz w:val="22"/>
                <w:szCs w:val="22"/>
              </w:rPr>
              <w:lastRenderedPageBreak/>
              <w:t>access support through a referral to NHS services from their GP.</w:t>
            </w:r>
          </w:p>
          <w:p w14:paraId="3722A8A1" w14:textId="7D787953" w:rsidR="005A6352" w:rsidRPr="006E36AE" w:rsidRDefault="005A6352" w:rsidP="005A6352">
            <w:pPr>
              <w:shd w:val="clear" w:color="auto" w:fill="FFFFFF"/>
              <w:spacing w:after="60"/>
              <w:rPr>
                <w:rFonts w:ascii="Arial" w:hAnsi="Arial" w:cs="Arial"/>
                <w:bCs/>
                <w:sz w:val="22"/>
                <w:szCs w:val="22"/>
                <w:lang w:eastAsia="en-GB"/>
              </w:rPr>
            </w:pPr>
            <w:r w:rsidRPr="006E36AE">
              <w:rPr>
                <w:rFonts w:ascii="Arial" w:hAnsi="Arial" w:cs="Arial"/>
                <w:bCs/>
                <w:sz w:val="22"/>
                <w:szCs w:val="22"/>
              </w:rPr>
              <w:t>We recommend that all CCGs should have occupational health specialists available for individuals to access support.</w:t>
            </w:r>
          </w:p>
        </w:tc>
        <w:tc>
          <w:tcPr>
            <w:tcW w:w="3426" w:type="dxa"/>
          </w:tcPr>
          <w:p w14:paraId="47ABFC68" w14:textId="77777777" w:rsidR="005A6352" w:rsidRPr="006E36AE" w:rsidRDefault="005A6352" w:rsidP="005A6352">
            <w:pPr>
              <w:shd w:val="clear" w:color="auto" w:fill="FFFFFF"/>
              <w:spacing w:after="60"/>
              <w:rPr>
                <w:rFonts w:ascii="Arial" w:hAnsi="Arial" w:cs="Arial"/>
                <w:bCs/>
                <w:sz w:val="22"/>
                <w:szCs w:val="22"/>
                <w:lang w:eastAsia="en-GB"/>
              </w:rPr>
            </w:pPr>
          </w:p>
        </w:tc>
      </w:tr>
      <w:tr w:rsidR="005A6352" w:rsidRPr="006E36AE" w14:paraId="75DC0F79" w14:textId="77777777" w:rsidTr="006E36AE">
        <w:trPr>
          <w:trHeight w:val="282"/>
        </w:trPr>
        <w:tc>
          <w:tcPr>
            <w:tcW w:w="704" w:type="dxa"/>
          </w:tcPr>
          <w:p w14:paraId="219C6A2A" w14:textId="67356F1C" w:rsidR="005A6352" w:rsidRPr="006E36AE" w:rsidRDefault="005A6352" w:rsidP="005A6352">
            <w:pPr>
              <w:pStyle w:val="Tabletext"/>
              <w:rPr>
                <w:rFonts w:cs="Arial"/>
                <w:bCs/>
                <w:szCs w:val="22"/>
              </w:rPr>
            </w:pPr>
            <w:r w:rsidRPr="006E36AE">
              <w:rPr>
                <w:rFonts w:cs="Arial"/>
                <w:bCs/>
                <w:szCs w:val="22"/>
              </w:rPr>
              <w:t>1</w:t>
            </w:r>
            <w:r w:rsidR="00BE1EE9">
              <w:rPr>
                <w:rFonts w:cs="Arial"/>
                <w:bCs/>
                <w:szCs w:val="22"/>
              </w:rPr>
              <w:t>3</w:t>
            </w:r>
          </w:p>
        </w:tc>
        <w:tc>
          <w:tcPr>
            <w:tcW w:w="1701" w:type="dxa"/>
          </w:tcPr>
          <w:p w14:paraId="08A1939F" w14:textId="54056CAC" w:rsidR="005A6352" w:rsidRPr="006E36AE" w:rsidRDefault="005A6352" w:rsidP="005A6352">
            <w:pPr>
              <w:pStyle w:val="Tabletext"/>
              <w:rPr>
                <w:rFonts w:cs="Arial"/>
                <w:bCs/>
                <w:szCs w:val="22"/>
              </w:rPr>
            </w:pPr>
            <w:r w:rsidRPr="006E36AE">
              <w:rPr>
                <w:rFonts w:cs="Arial"/>
                <w:bCs/>
                <w:szCs w:val="22"/>
              </w:rPr>
              <w:t>Multiple Sclerosis Society</w:t>
            </w:r>
          </w:p>
        </w:tc>
        <w:tc>
          <w:tcPr>
            <w:tcW w:w="1985" w:type="dxa"/>
          </w:tcPr>
          <w:p w14:paraId="1998A12A"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Key area for quality improvement 4</w:t>
            </w:r>
          </w:p>
          <w:p w14:paraId="39A8DD61" w14:textId="0F6B94D6" w:rsidR="005A6352" w:rsidRPr="006E36AE" w:rsidRDefault="005A6352" w:rsidP="005A6352">
            <w:pPr>
              <w:pStyle w:val="Tabletext"/>
              <w:rPr>
                <w:rFonts w:cs="Arial"/>
                <w:bCs/>
                <w:szCs w:val="22"/>
              </w:rPr>
            </w:pPr>
            <w:r w:rsidRPr="006E36AE">
              <w:rPr>
                <w:rFonts w:cs="Arial"/>
                <w:bCs/>
                <w:szCs w:val="22"/>
              </w:rPr>
              <w:t>Lack of joined up health and employment support</w:t>
            </w:r>
          </w:p>
        </w:tc>
        <w:tc>
          <w:tcPr>
            <w:tcW w:w="3426" w:type="dxa"/>
          </w:tcPr>
          <w:p w14:paraId="1E41A8EF" w14:textId="2D39A1A5" w:rsidR="005A6352" w:rsidRPr="006E36AE" w:rsidRDefault="005A6352" w:rsidP="005A6352">
            <w:pPr>
              <w:shd w:val="clear" w:color="auto" w:fill="FFFFFF"/>
              <w:spacing w:after="60"/>
              <w:rPr>
                <w:rFonts w:ascii="Arial" w:hAnsi="Arial" w:cs="Arial"/>
                <w:bCs/>
                <w:sz w:val="22"/>
                <w:szCs w:val="22"/>
                <w:lang w:eastAsia="en-GB"/>
              </w:rPr>
            </w:pPr>
            <w:r w:rsidRPr="006E36AE">
              <w:rPr>
                <w:rFonts w:ascii="Arial" w:hAnsi="Arial" w:cs="Arial"/>
                <w:bCs/>
                <w:sz w:val="22"/>
                <w:szCs w:val="22"/>
              </w:rPr>
              <w:t xml:space="preserve">Access to statutory employment support is limited outside the welfare system. For people with MS who are in work but are struggling to remain in their jobs, there is little support if they are not claiming benefits. This is </w:t>
            </w:r>
            <w:proofErr w:type="gramStart"/>
            <w:r w:rsidRPr="006E36AE">
              <w:rPr>
                <w:rFonts w:ascii="Arial" w:hAnsi="Arial" w:cs="Arial"/>
                <w:bCs/>
                <w:sz w:val="22"/>
                <w:szCs w:val="22"/>
              </w:rPr>
              <w:t>despite the fact that</w:t>
            </w:r>
            <w:proofErr w:type="gramEnd"/>
            <w:r w:rsidRPr="006E36AE">
              <w:rPr>
                <w:rFonts w:ascii="Arial" w:hAnsi="Arial" w:cs="Arial"/>
                <w:bCs/>
                <w:sz w:val="22"/>
                <w:szCs w:val="22"/>
              </w:rPr>
              <w:t xml:space="preserve"> the employment rate for people with MS is 36%, which is significantly below the overall population employment rate. </w:t>
            </w:r>
            <w:proofErr w:type="gramStart"/>
            <w:r w:rsidRPr="006E36AE">
              <w:rPr>
                <w:rFonts w:ascii="Arial" w:hAnsi="Arial" w:cs="Arial"/>
                <w:bCs/>
                <w:sz w:val="22"/>
                <w:szCs w:val="22"/>
              </w:rPr>
              <w:t>The majority of</w:t>
            </w:r>
            <w:proofErr w:type="gramEnd"/>
            <w:r w:rsidRPr="006E36AE">
              <w:rPr>
                <w:rFonts w:ascii="Arial" w:hAnsi="Arial" w:cs="Arial"/>
                <w:bCs/>
                <w:sz w:val="22"/>
                <w:szCs w:val="22"/>
              </w:rPr>
              <w:t xml:space="preserve"> people with MS say they stop working because of the severity of their symptoms. However, early intervention before symptoms overwhelm an employee with MS, can support people with MS to stay in employment for as long as this is right for them. There is a lack of focus among healthcare professionals, and in NHS and NICE guidelines, on employment </w:t>
            </w:r>
            <w:r w:rsidRPr="006E36AE">
              <w:rPr>
                <w:rFonts w:ascii="Arial" w:hAnsi="Arial" w:cs="Arial"/>
                <w:bCs/>
                <w:sz w:val="22"/>
                <w:szCs w:val="22"/>
              </w:rPr>
              <w:lastRenderedPageBreak/>
              <w:t xml:space="preserve">outcomes. However, as healthcare professionals who see most people with MS on a semi-regular basis, are well placed to sign post people to employment support as early as possible, as long as this support is available, accessible and appropriate.  </w:t>
            </w:r>
          </w:p>
        </w:tc>
        <w:tc>
          <w:tcPr>
            <w:tcW w:w="3426" w:type="dxa"/>
          </w:tcPr>
          <w:p w14:paraId="57FA925E" w14:textId="16FB10DC" w:rsidR="005A6352" w:rsidRPr="006E36AE" w:rsidRDefault="005A6352" w:rsidP="005A6352">
            <w:pPr>
              <w:shd w:val="clear" w:color="auto" w:fill="FFFFFF"/>
              <w:spacing w:after="60"/>
              <w:rPr>
                <w:rFonts w:ascii="Arial" w:hAnsi="Arial" w:cs="Arial"/>
                <w:bCs/>
                <w:sz w:val="22"/>
                <w:szCs w:val="22"/>
                <w:lang w:eastAsia="en-GB"/>
              </w:rPr>
            </w:pPr>
            <w:r w:rsidRPr="006E36AE">
              <w:rPr>
                <w:rFonts w:ascii="Arial" w:hAnsi="Arial" w:cs="Arial"/>
                <w:bCs/>
                <w:sz w:val="22"/>
                <w:szCs w:val="22"/>
              </w:rPr>
              <w:lastRenderedPageBreak/>
              <w:t xml:space="preserve">Through research conducted by the MS Society, we know that some healthcare professionals do discuss employment with their patients. However, there are no clear NICE or NHS guidelines for healthcare professionals on how to discuss employment at different stages of the disease, what outcomes may be expected, and how and where to refer to services. Healthcare professionals told us they do not currently have meaningful discussions about work with their patients mainly due to lack of referable local services, including vocational rehabilitation (see key are for quality improvement 5 below); lack of knowledge of reasonable adjustments; and a focus on treatments, which means work is deprioritised. Large workloads </w:t>
            </w:r>
            <w:r w:rsidRPr="006E36AE">
              <w:rPr>
                <w:rFonts w:ascii="Arial" w:hAnsi="Arial" w:cs="Arial"/>
                <w:bCs/>
                <w:sz w:val="22"/>
                <w:szCs w:val="22"/>
              </w:rPr>
              <w:lastRenderedPageBreak/>
              <w:t xml:space="preserve">and short appointment times are also a barrier to providing meaningful support. People with MS want to have the support of their healthcare professionals to remain in work, especially where statutory support is lacking. Providing joined up, tailored employment support for people with MS is crucial if the Government is to achieve its goal of significantly reducing the disability employment gap. Healthcare professionals are particularly well-placed to identify need for </w:t>
            </w:r>
            <w:proofErr w:type="gramStart"/>
            <w:r w:rsidRPr="006E36AE">
              <w:rPr>
                <w:rFonts w:ascii="Arial" w:hAnsi="Arial" w:cs="Arial"/>
                <w:bCs/>
                <w:sz w:val="22"/>
                <w:szCs w:val="22"/>
              </w:rPr>
              <w:t>support, and</w:t>
            </w:r>
            <w:proofErr w:type="gramEnd"/>
            <w:r w:rsidRPr="006E36AE">
              <w:rPr>
                <w:rFonts w:ascii="Arial" w:hAnsi="Arial" w:cs="Arial"/>
                <w:bCs/>
                <w:sz w:val="22"/>
                <w:szCs w:val="22"/>
              </w:rPr>
              <w:t xml:space="preserve"> should then be able to refer their patients with MS to local and appropriate employment support. </w:t>
            </w:r>
          </w:p>
        </w:tc>
        <w:tc>
          <w:tcPr>
            <w:tcW w:w="3426" w:type="dxa"/>
          </w:tcPr>
          <w:p w14:paraId="42CE0D2B" w14:textId="77777777" w:rsidR="005A6352" w:rsidRPr="006E36AE" w:rsidRDefault="005A6352" w:rsidP="005A6352">
            <w:pPr>
              <w:shd w:val="clear" w:color="auto" w:fill="FFFFFF"/>
              <w:spacing w:after="60"/>
              <w:rPr>
                <w:rFonts w:ascii="Arial" w:hAnsi="Arial" w:cs="Arial"/>
                <w:bCs/>
                <w:sz w:val="22"/>
                <w:szCs w:val="22"/>
                <w:lang w:eastAsia="en-GB"/>
              </w:rPr>
            </w:pPr>
          </w:p>
        </w:tc>
      </w:tr>
      <w:tr w:rsidR="005A6352" w:rsidRPr="006E36AE" w14:paraId="14041A38" w14:textId="77777777" w:rsidTr="006E36AE">
        <w:trPr>
          <w:trHeight w:val="282"/>
        </w:trPr>
        <w:tc>
          <w:tcPr>
            <w:tcW w:w="704" w:type="dxa"/>
          </w:tcPr>
          <w:p w14:paraId="5E01CC4D" w14:textId="486E9F69" w:rsidR="005A6352" w:rsidRPr="006E36AE" w:rsidRDefault="005A6352" w:rsidP="005A6352">
            <w:pPr>
              <w:pStyle w:val="Tabletext"/>
              <w:rPr>
                <w:rFonts w:cs="Arial"/>
                <w:bCs/>
                <w:szCs w:val="22"/>
              </w:rPr>
            </w:pPr>
            <w:r w:rsidRPr="006E36AE">
              <w:rPr>
                <w:rFonts w:cs="Arial"/>
                <w:bCs/>
                <w:szCs w:val="22"/>
              </w:rPr>
              <w:t>1</w:t>
            </w:r>
            <w:r w:rsidR="00BE1EE9">
              <w:rPr>
                <w:rFonts w:cs="Arial"/>
                <w:bCs/>
                <w:szCs w:val="22"/>
              </w:rPr>
              <w:t>4</w:t>
            </w:r>
          </w:p>
        </w:tc>
        <w:tc>
          <w:tcPr>
            <w:tcW w:w="1701" w:type="dxa"/>
          </w:tcPr>
          <w:p w14:paraId="06079B3D" w14:textId="79690BC4" w:rsidR="005A6352" w:rsidRPr="006E36AE" w:rsidRDefault="005A6352" w:rsidP="005A6352">
            <w:pPr>
              <w:pStyle w:val="Tabletext"/>
              <w:rPr>
                <w:rFonts w:cs="Arial"/>
                <w:bCs/>
                <w:szCs w:val="22"/>
              </w:rPr>
            </w:pPr>
            <w:r w:rsidRPr="006E36AE">
              <w:rPr>
                <w:rFonts w:cs="Arial"/>
                <w:bCs/>
                <w:szCs w:val="22"/>
              </w:rPr>
              <w:t>National Rheumatoid Arthritis Society</w:t>
            </w:r>
          </w:p>
        </w:tc>
        <w:tc>
          <w:tcPr>
            <w:tcW w:w="1985" w:type="dxa"/>
          </w:tcPr>
          <w:p w14:paraId="6CDB30E6" w14:textId="4DF5648D" w:rsidR="005A6352" w:rsidRPr="006E36AE" w:rsidRDefault="005A6352" w:rsidP="005A6352">
            <w:pPr>
              <w:pStyle w:val="Tabletext"/>
              <w:rPr>
                <w:rFonts w:cs="Arial"/>
                <w:bCs/>
                <w:szCs w:val="22"/>
              </w:rPr>
            </w:pPr>
            <w:r w:rsidRPr="006E36AE">
              <w:rPr>
                <w:rFonts w:cs="Arial"/>
                <w:bCs/>
                <w:szCs w:val="22"/>
              </w:rPr>
              <w:t>Provision of occupational health advisor consultations for those returning to work.</w:t>
            </w:r>
          </w:p>
        </w:tc>
        <w:tc>
          <w:tcPr>
            <w:tcW w:w="3426" w:type="dxa"/>
          </w:tcPr>
          <w:p w14:paraId="2FEFDB2C" w14:textId="5A1F42EC" w:rsidR="005A6352" w:rsidRPr="006E36AE" w:rsidRDefault="005A6352" w:rsidP="005A6352">
            <w:pPr>
              <w:shd w:val="clear" w:color="auto" w:fill="FFFFFF"/>
              <w:spacing w:after="60"/>
              <w:rPr>
                <w:rFonts w:ascii="Arial" w:hAnsi="Arial" w:cs="Arial"/>
                <w:bCs/>
                <w:sz w:val="22"/>
                <w:szCs w:val="22"/>
                <w:lang w:eastAsia="en-GB"/>
              </w:rPr>
            </w:pPr>
            <w:r w:rsidRPr="006E36AE">
              <w:rPr>
                <w:rFonts w:ascii="Arial" w:hAnsi="Arial" w:cs="Arial"/>
                <w:bCs/>
                <w:sz w:val="22"/>
                <w:szCs w:val="22"/>
              </w:rPr>
              <w:t xml:space="preserve"> Pain &amp; fatigue are the most common symptoms causing barriers to employment, both of which can in many cases be improved with appropriate equipment and/or flexible working arrangements.</w:t>
            </w:r>
          </w:p>
        </w:tc>
        <w:tc>
          <w:tcPr>
            <w:tcW w:w="3426" w:type="dxa"/>
          </w:tcPr>
          <w:p w14:paraId="1FB7E4F4" w14:textId="7C573F6F" w:rsidR="005A6352" w:rsidRPr="006E36AE" w:rsidRDefault="005A6352" w:rsidP="005A6352">
            <w:pPr>
              <w:shd w:val="clear" w:color="auto" w:fill="FFFFFF"/>
              <w:spacing w:after="60"/>
              <w:rPr>
                <w:rFonts w:ascii="Arial" w:hAnsi="Arial" w:cs="Arial"/>
                <w:bCs/>
                <w:sz w:val="22"/>
                <w:szCs w:val="22"/>
                <w:lang w:eastAsia="en-GB"/>
              </w:rPr>
            </w:pPr>
            <w:r w:rsidRPr="006E36AE">
              <w:rPr>
                <w:rFonts w:ascii="Arial" w:hAnsi="Arial" w:cs="Arial"/>
                <w:bCs/>
                <w:sz w:val="22"/>
                <w:szCs w:val="22"/>
              </w:rPr>
              <w:t>In the provisional findings of an employment survey NRAS is running, a consultation with an occupational health adviser was the second most asked-for form of support, after a return to work interview with a line manager (35% and 48% respectively).</w:t>
            </w:r>
          </w:p>
        </w:tc>
        <w:tc>
          <w:tcPr>
            <w:tcW w:w="3426" w:type="dxa"/>
          </w:tcPr>
          <w:p w14:paraId="3A296E26"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Data on this subject is available in the NRAS 2017 Work Survey, accessible at https://www.nras.org.uk/work-survey-2017.</w:t>
            </w:r>
          </w:p>
          <w:p w14:paraId="6CD7206E" w14:textId="60E9E4F5" w:rsidR="005A6352" w:rsidRPr="006E36AE" w:rsidRDefault="005A6352" w:rsidP="005A6352">
            <w:pPr>
              <w:pStyle w:val="Paragraphnonumbers"/>
              <w:spacing w:after="60" w:line="240" w:lineRule="auto"/>
            </w:pPr>
            <w:r w:rsidRPr="006E36AE">
              <w:rPr>
                <w:rFonts w:cs="Arial"/>
                <w:bCs/>
                <w:sz w:val="22"/>
                <w:szCs w:val="22"/>
              </w:rPr>
              <w:t>NRAS is currently running a work survey and may be able to provide further supporting data once that survey has closed.</w:t>
            </w:r>
          </w:p>
        </w:tc>
      </w:tr>
      <w:tr w:rsidR="005A6352" w:rsidRPr="006E36AE" w14:paraId="58DD4948" w14:textId="77777777" w:rsidTr="006E36AE">
        <w:trPr>
          <w:trHeight w:val="282"/>
        </w:trPr>
        <w:tc>
          <w:tcPr>
            <w:tcW w:w="704" w:type="dxa"/>
          </w:tcPr>
          <w:p w14:paraId="6D74B164" w14:textId="60A82DEC" w:rsidR="005A6352" w:rsidRPr="006E36AE" w:rsidRDefault="005A6352" w:rsidP="005A6352">
            <w:pPr>
              <w:pStyle w:val="Tabletext"/>
              <w:rPr>
                <w:rFonts w:cs="Arial"/>
                <w:bCs/>
                <w:szCs w:val="22"/>
              </w:rPr>
            </w:pPr>
            <w:r w:rsidRPr="006E36AE">
              <w:rPr>
                <w:rFonts w:cs="Arial"/>
                <w:bCs/>
                <w:szCs w:val="22"/>
              </w:rPr>
              <w:lastRenderedPageBreak/>
              <w:t>1</w:t>
            </w:r>
            <w:r w:rsidR="00BE1EE9">
              <w:rPr>
                <w:rFonts w:cs="Arial"/>
                <w:bCs/>
                <w:szCs w:val="22"/>
              </w:rPr>
              <w:t>5</w:t>
            </w:r>
          </w:p>
        </w:tc>
        <w:tc>
          <w:tcPr>
            <w:tcW w:w="1701" w:type="dxa"/>
          </w:tcPr>
          <w:p w14:paraId="30C62830" w14:textId="4C24FFBA" w:rsidR="005A6352" w:rsidRPr="006E36AE" w:rsidRDefault="005A6352" w:rsidP="005A6352">
            <w:pPr>
              <w:pStyle w:val="Tabletext"/>
              <w:rPr>
                <w:rFonts w:cs="Arial"/>
                <w:bCs/>
                <w:szCs w:val="22"/>
              </w:rPr>
            </w:pPr>
            <w:r w:rsidRPr="006E36AE">
              <w:rPr>
                <w:rFonts w:cs="Arial"/>
                <w:bCs/>
                <w:szCs w:val="22"/>
              </w:rPr>
              <w:t>Royal College of Occupational Therapists</w:t>
            </w:r>
          </w:p>
        </w:tc>
        <w:tc>
          <w:tcPr>
            <w:tcW w:w="1985" w:type="dxa"/>
          </w:tcPr>
          <w:p w14:paraId="42736853"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Key area for quality improvement 1</w:t>
            </w:r>
          </w:p>
          <w:p w14:paraId="3D0091C7" w14:textId="60760540" w:rsidR="005A6352" w:rsidRPr="006E36AE" w:rsidRDefault="005A6352" w:rsidP="005A6352">
            <w:pPr>
              <w:pStyle w:val="Tabletext"/>
              <w:rPr>
                <w:rFonts w:cs="Arial"/>
                <w:bCs/>
                <w:szCs w:val="22"/>
              </w:rPr>
            </w:pPr>
            <w:r w:rsidRPr="006E36AE">
              <w:rPr>
                <w:rFonts w:cs="Arial"/>
                <w:bCs/>
                <w:szCs w:val="22"/>
              </w:rPr>
              <w:t>Continued and increased involvement of occupational therapists in workplace health initiatives and practices.</w:t>
            </w:r>
          </w:p>
        </w:tc>
        <w:tc>
          <w:tcPr>
            <w:tcW w:w="3426" w:type="dxa"/>
          </w:tcPr>
          <w:p w14:paraId="2AB464EF" w14:textId="77777777"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The related NICE guideline (published November 2019) mentions occupational therapy in relation to:</w:t>
            </w:r>
          </w:p>
          <w:p w14:paraId="6590E1E4" w14:textId="77777777" w:rsidR="005A6352" w:rsidRPr="006E36AE" w:rsidRDefault="005A6352" w:rsidP="005A6352">
            <w:pPr>
              <w:spacing w:after="60"/>
              <w:rPr>
                <w:rFonts w:ascii="Arial" w:hAnsi="Arial" w:cs="Arial"/>
                <w:bCs/>
                <w:sz w:val="22"/>
                <w:szCs w:val="22"/>
              </w:rPr>
            </w:pPr>
          </w:p>
          <w:p w14:paraId="0236C318" w14:textId="77777777" w:rsidR="005A6352" w:rsidRPr="006E36AE" w:rsidRDefault="005A6352" w:rsidP="005A6352">
            <w:pPr>
              <w:pStyle w:val="ListParagraph"/>
              <w:numPr>
                <w:ilvl w:val="0"/>
                <w:numId w:val="53"/>
              </w:numPr>
              <w:spacing w:after="60"/>
              <w:ind w:left="0" w:firstLine="0"/>
              <w:rPr>
                <w:rFonts w:ascii="Arial" w:hAnsi="Arial" w:cs="Arial"/>
                <w:bCs/>
                <w:sz w:val="22"/>
                <w:szCs w:val="22"/>
              </w:rPr>
            </w:pPr>
            <w:r w:rsidRPr="006E36AE">
              <w:rPr>
                <w:rFonts w:ascii="Arial" w:hAnsi="Arial" w:cs="Arial"/>
                <w:bCs/>
                <w:sz w:val="22"/>
                <w:szCs w:val="22"/>
              </w:rPr>
              <w:t xml:space="preserve">Statement of fitness for work </w:t>
            </w:r>
            <w:proofErr w:type="gramStart"/>
            <w:r w:rsidRPr="006E36AE">
              <w:rPr>
                <w:rFonts w:ascii="Arial" w:hAnsi="Arial" w:cs="Arial"/>
                <w:bCs/>
                <w:sz w:val="22"/>
                <w:szCs w:val="22"/>
              </w:rPr>
              <w:t>( AHP</w:t>
            </w:r>
            <w:proofErr w:type="gramEnd"/>
            <w:r w:rsidRPr="006E36AE">
              <w:rPr>
                <w:rFonts w:ascii="Arial" w:hAnsi="Arial" w:cs="Arial"/>
                <w:bCs/>
                <w:sz w:val="22"/>
                <w:szCs w:val="22"/>
              </w:rPr>
              <w:t xml:space="preserve"> Health and Work Report)</w:t>
            </w:r>
          </w:p>
          <w:p w14:paraId="09E72C57" w14:textId="77777777" w:rsidR="005A6352" w:rsidRPr="006E36AE" w:rsidRDefault="005A6352" w:rsidP="005A6352">
            <w:pPr>
              <w:pStyle w:val="ListParagraph"/>
              <w:numPr>
                <w:ilvl w:val="0"/>
                <w:numId w:val="53"/>
              </w:numPr>
              <w:spacing w:after="60"/>
              <w:ind w:left="0" w:firstLine="0"/>
              <w:rPr>
                <w:rFonts w:ascii="Arial" w:hAnsi="Arial" w:cs="Arial"/>
                <w:bCs/>
                <w:sz w:val="22"/>
                <w:szCs w:val="22"/>
              </w:rPr>
            </w:pPr>
            <w:r w:rsidRPr="006E36AE">
              <w:rPr>
                <w:rFonts w:ascii="Arial" w:hAnsi="Arial" w:cs="Arial"/>
                <w:bCs/>
                <w:sz w:val="22"/>
                <w:szCs w:val="22"/>
              </w:rPr>
              <w:t>Keeping in touch with people on sickness absence</w:t>
            </w:r>
          </w:p>
          <w:p w14:paraId="049CB710" w14:textId="77777777" w:rsidR="005A6352" w:rsidRPr="006E36AE" w:rsidRDefault="005A6352" w:rsidP="005A6352">
            <w:pPr>
              <w:pStyle w:val="ListParagraph"/>
              <w:numPr>
                <w:ilvl w:val="0"/>
                <w:numId w:val="53"/>
              </w:numPr>
              <w:spacing w:after="60"/>
              <w:ind w:left="0" w:firstLine="0"/>
              <w:rPr>
                <w:rFonts w:ascii="Arial" w:hAnsi="Arial" w:cs="Arial"/>
                <w:bCs/>
                <w:sz w:val="22"/>
                <w:szCs w:val="22"/>
              </w:rPr>
            </w:pPr>
            <w:r w:rsidRPr="006E36AE">
              <w:rPr>
                <w:rFonts w:ascii="Arial" w:hAnsi="Arial" w:cs="Arial"/>
                <w:bCs/>
                <w:sz w:val="22"/>
                <w:szCs w:val="22"/>
              </w:rPr>
              <w:t>Early intervention</w:t>
            </w:r>
          </w:p>
          <w:p w14:paraId="59E55F0D" w14:textId="0B27A6CA" w:rsidR="005A6352" w:rsidRPr="006E36AE" w:rsidRDefault="005A6352" w:rsidP="005A6352">
            <w:pPr>
              <w:shd w:val="clear" w:color="auto" w:fill="FFFFFF"/>
              <w:spacing w:after="60"/>
              <w:rPr>
                <w:rFonts w:ascii="Arial" w:hAnsi="Arial" w:cs="Arial"/>
                <w:bCs/>
                <w:sz w:val="22"/>
                <w:szCs w:val="22"/>
                <w:lang w:eastAsia="en-GB"/>
              </w:rPr>
            </w:pPr>
            <w:r w:rsidRPr="006E36AE">
              <w:rPr>
                <w:rFonts w:ascii="Arial" w:hAnsi="Arial" w:cs="Arial"/>
                <w:bCs/>
                <w:sz w:val="22"/>
                <w:szCs w:val="22"/>
              </w:rPr>
              <w:t>Sustainable RTW and recurrence of absence for MSK problems</w:t>
            </w:r>
          </w:p>
        </w:tc>
        <w:tc>
          <w:tcPr>
            <w:tcW w:w="3426" w:type="dxa"/>
          </w:tcPr>
          <w:p w14:paraId="0B3650A2" w14:textId="77777777"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The occupational therapy component of the items listed above should continue to be priorities regarding workplace health.</w:t>
            </w:r>
          </w:p>
          <w:p w14:paraId="4F7C54CE" w14:textId="77777777" w:rsidR="005A6352" w:rsidRPr="006E36AE" w:rsidRDefault="005A6352" w:rsidP="005A6352">
            <w:pPr>
              <w:shd w:val="clear" w:color="auto" w:fill="FFFFFF"/>
              <w:spacing w:after="60"/>
              <w:rPr>
                <w:rFonts w:ascii="Arial" w:hAnsi="Arial" w:cs="Arial"/>
                <w:bCs/>
                <w:sz w:val="22"/>
                <w:szCs w:val="22"/>
                <w:lang w:eastAsia="en-GB"/>
              </w:rPr>
            </w:pPr>
          </w:p>
        </w:tc>
        <w:tc>
          <w:tcPr>
            <w:tcW w:w="3426" w:type="dxa"/>
          </w:tcPr>
          <w:p w14:paraId="3DBFFABC"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The AHP Health and Work Report:</w:t>
            </w:r>
          </w:p>
          <w:p w14:paraId="6FCE4FEE" w14:textId="0902C91B" w:rsidR="005A6352" w:rsidRPr="006E36AE" w:rsidRDefault="00DF1D4E" w:rsidP="005A6352">
            <w:pPr>
              <w:shd w:val="clear" w:color="auto" w:fill="FFFFFF"/>
              <w:spacing w:after="60"/>
              <w:rPr>
                <w:rFonts w:ascii="Arial" w:hAnsi="Arial" w:cs="Arial"/>
                <w:bCs/>
                <w:sz w:val="22"/>
                <w:szCs w:val="22"/>
                <w:lang w:eastAsia="en-GB"/>
              </w:rPr>
            </w:pPr>
            <w:hyperlink r:id="rId43" w:history="1">
              <w:r w:rsidR="005A6352" w:rsidRPr="006E36AE">
                <w:rPr>
                  <w:rStyle w:val="Hyperlink"/>
                  <w:rFonts w:ascii="Arial" w:hAnsi="Arial" w:cs="Arial"/>
                  <w:bCs/>
                  <w:sz w:val="22"/>
                  <w:szCs w:val="22"/>
                </w:rPr>
                <w:t>https://www.rcot.co.uk/practice-resources/standards-and-ethics/ahp-health-and-work-report</w:t>
              </w:r>
            </w:hyperlink>
            <w:r w:rsidR="005A6352" w:rsidRPr="006E36AE">
              <w:rPr>
                <w:rFonts w:ascii="Arial" w:hAnsi="Arial" w:cs="Arial"/>
                <w:bCs/>
                <w:sz w:val="22"/>
                <w:szCs w:val="22"/>
              </w:rPr>
              <w:t xml:space="preserve"> </w:t>
            </w:r>
          </w:p>
        </w:tc>
      </w:tr>
      <w:tr w:rsidR="005A6352" w:rsidRPr="006E36AE" w14:paraId="64CF7A5D" w14:textId="77777777" w:rsidTr="006E36AE">
        <w:trPr>
          <w:trHeight w:val="282"/>
        </w:trPr>
        <w:tc>
          <w:tcPr>
            <w:tcW w:w="704" w:type="dxa"/>
          </w:tcPr>
          <w:p w14:paraId="3D6D576C" w14:textId="4409A997" w:rsidR="005A6352" w:rsidRPr="006E36AE" w:rsidRDefault="005A6352" w:rsidP="005A6352">
            <w:pPr>
              <w:pStyle w:val="Tabletext"/>
              <w:rPr>
                <w:rFonts w:cs="Arial"/>
                <w:bCs/>
                <w:szCs w:val="22"/>
              </w:rPr>
            </w:pPr>
            <w:r w:rsidRPr="006E36AE">
              <w:rPr>
                <w:rFonts w:cs="Arial"/>
                <w:bCs/>
                <w:szCs w:val="22"/>
              </w:rPr>
              <w:t>1</w:t>
            </w:r>
            <w:r w:rsidR="00BE1EE9">
              <w:rPr>
                <w:rFonts w:cs="Arial"/>
                <w:bCs/>
                <w:szCs w:val="22"/>
              </w:rPr>
              <w:t>6</w:t>
            </w:r>
          </w:p>
        </w:tc>
        <w:tc>
          <w:tcPr>
            <w:tcW w:w="1701" w:type="dxa"/>
          </w:tcPr>
          <w:p w14:paraId="26BFA041" w14:textId="64AFCFD5" w:rsidR="005A6352" w:rsidRPr="006E36AE" w:rsidRDefault="005A6352" w:rsidP="005A6352">
            <w:pPr>
              <w:pStyle w:val="Tabletext"/>
              <w:rPr>
                <w:rFonts w:cs="Arial"/>
                <w:bCs/>
                <w:szCs w:val="22"/>
              </w:rPr>
            </w:pPr>
            <w:r w:rsidRPr="006E36AE">
              <w:rPr>
                <w:rFonts w:cs="Arial"/>
                <w:bCs/>
                <w:szCs w:val="22"/>
              </w:rPr>
              <w:t>Royal College of Occupational Therapists</w:t>
            </w:r>
          </w:p>
        </w:tc>
        <w:tc>
          <w:tcPr>
            <w:tcW w:w="1985" w:type="dxa"/>
          </w:tcPr>
          <w:p w14:paraId="47C51537"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Key area for quality improvement 3</w:t>
            </w:r>
          </w:p>
          <w:p w14:paraId="2073A52C" w14:textId="6ECBBBF7" w:rsidR="005A6352" w:rsidRPr="006E36AE" w:rsidRDefault="005A6352" w:rsidP="005A6352">
            <w:pPr>
              <w:pStyle w:val="Tabletext"/>
              <w:rPr>
                <w:rFonts w:cs="Arial"/>
                <w:bCs/>
                <w:szCs w:val="22"/>
              </w:rPr>
            </w:pPr>
            <w:r w:rsidRPr="006E36AE">
              <w:rPr>
                <w:rFonts w:cs="Arial"/>
                <w:bCs/>
                <w:szCs w:val="22"/>
              </w:rPr>
              <w:t>Improved communication between employers and health services</w:t>
            </w:r>
          </w:p>
        </w:tc>
        <w:tc>
          <w:tcPr>
            <w:tcW w:w="3426" w:type="dxa"/>
          </w:tcPr>
          <w:p w14:paraId="18F6DC88" w14:textId="77777777"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The second stage of the journey that has too much variation and is at the employer liaison/health interface (1.4- 1.7).  </w:t>
            </w:r>
          </w:p>
          <w:p w14:paraId="0F944E5F" w14:textId="77777777" w:rsidR="005A6352" w:rsidRPr="006E36AE" w:rsidRDefault="005A6352" w:rsidP="005A6352">
            <w:pPr>
              <w:shd w:val="clear" w:color="auto" w:fill="FFFFFF"/>
              <w:spacing w:after="60"/>
              <w:rPr>
                <w:rFonts w:ascii="Arial" w:hAnsi="Arial" w:cs="Arial"/>
                <w:bCs/>
                <w:sz w:val="22"/>
                <w:szCs w:val="22"/>
                <w:lang w:eastAsia="en-GB"/>
              </w:rPr>
            </w:pPr>
          </w:p>
        </w:tc>
        <w:tc>
          <w:tcPr>
            <w:tcW w:w="3426" w:type="dxa"/>
          </w:tcPr>
          <w:p w14:paraId="5177132A" w14:textId="77777777"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 xml:space="preserve">Many employers for some time have been asking for more help to guide them. They are not healthcare professionals and only have the GP Fit Note and/or an occupational health report to guide them. As reported above, the GP Fit note in its current format usually has no information on it about possible workplace modifications, and anecdotally, some employers query the utility of information in some OH reports. There are additional complications about the confidentiality of health </w:t>
            </w:r>
            <w:r w:rsidRPr="006E36AE">
              <w:rPr>
                <w:rFonts w:ascii="Arial" w:hAnsi="Arial" w:cs="Arial"/>
                <w:bCs/>
                <w:sz w:val="22"/>
                <w:szCs w:val="22"/>
              </w:rPr>
              <w:lastRenderedPageBreak/>
              <w:t>information and employers/OH departments wrestling with whether someone “qualifies” as disabled under the Equalities legislation.</w:t>
            </w:r>
          </w:p>
          <w:p w14:paraId="478F4DA1" w14:textId="60271037" w:rsidR="005A6352" w:rsidRPr="006E36AE" w:rsidRDefault="005A6352" w:rsidP="005A6352">
            <w:pPr>
              <w:shd w:val="clear" w:color="auto" w:fill="FFFFFF"/>
              <w:spacing w:after="60"/>
              <w:rPr>
                <w:rFonts w:ascii="Arial" w:hAnsi="Arial" w:cs="Arial"/>
                <w:bCs/>
                <w:sz w:val="22"/>
                <w:szCs w:val="22"/>
                <w:lang w:eastAsia="en-GB"/>
              </w:rPr>
            </w:pPr>
            <w:r w:rsidRPr="006E36AE">
              <w:rPr>
                <w:rFonts w:ascii="Arial" w:hAnsi="Arial" w:cs="Arial"/>
                <w:bCs/>
                <w:sz w:val="22"/>
                <w:szCs w:val="22"/>
              </w:rPr>
              <w:t xml:space="preserve">From the project above, two </w:t>
            </w:r>
            <w:proofErr w:type="gramStart"/>
            <w:r w:rsidRPr="006E36AE">
              <w:rPr>
                <w:rFonts w:ascii="Arial" w:hAnsi="Arial" w:cs="Arial"/>
                <w:bCs/>
                <w:sz w:val="22"/>
                <w:szCs w:val="22"/>
              </w:rPr>
              <w:t>key ways</w:t>
            </w:r>
            <w:proofErr w:type="gramEnd"/>
            <w:r w:rsidRPr="006E36AE">
              <w:rPr>
                <w:rFonts w:ascii="Arial" w:hAnsi="Arial" w:cs="Arial"/>
                <w:bCs/>
                <w:sz w:val="22"/>
                <w:szCs w:val="22"/>
              </w:rPr>
              <w:t xml:space="preserve"> to help the employer and cut through some of the problems described are the worksite assessment and the meeting with an impartial person (1.7.1). Particularly for complex situations with multiple variables where communication had broken down between the employer and employee, these visits and meetings were crucial ways to move the situation forward and keep the person in employment. More information about what makes a good workplace visit would drive quality in this area for all parties involved.</w:t>
            </w:r>
          </w:p>
        </w:tc>
        <w:tc>
          <w:tcPr>
            <w:tcW w:w="3426" w:type="dxa"/>
          </w:tcPr>
          <w:p w14:paraId="5FA1FF64" w14:textId="77777777" w:rsidR="005A6352" w:rsidRPr="006E36AE" w:rsidRDefault="005A6352" w:rsidP="005A6352">
            <w:pPr>
              <w:shd w:val="clear" w:color="auto" w:fill="FFFFFF"/>
              <w:spacing w:after="60"/>
              <w:rPr>
                <w:rFonts w:ascii="Arial" w:hAnsi="Arial" w:cs="Arial"/>
                <w:bCs/>
                <w:sz w:val="22"/>
                <w:szCs w:val="22"/>
                <w:lang w:eastAsia="en-GB"/>
              </w:rPr>
            </w:pPr>
          </w:p>
        </w:tc>
      </w:tr>
      <w:tr w:rsidR="005A6352" w:rsidRPr="006E36AE" w14:paraId="479B2284" w14:textId="77777777" w:rsidTr="006E36AE">
        <w:trPr>
          <w:trHeight w:val="282"/>
        </w:trPr>
        <w:tc>
          <w:tcPr>
            <w:tcW w:w="704" w:type="dxa"/>
          </w:tcPr>
          <w:p w14:paraId="61A20F15" w14:textId="61E8A5A9" w:rsidR="005A6352" w:rsidRPr="006E36AE" w:rsidRDefault="005A6352" w:rsidP="005A6352">
            <w:pPr>
              <w:pStyle w:val="Tabletext"/>
              <w:rPr>
                <w:rFonts w:cs="Arial"/>
                <w:bCs/>
                <w:szCs w:val="22"/>
              </w:rPr>
            </w:pPr>
            <w:r w:rsidRPr="006E36AE">
              <w:rPr>
                <w:rFonts w:cs="Arial"/>
                <w:bCs/>
                <w:szCs w:val="22"/>
              </w:rPr>
              <w:t>1</w:t>
            </w:r>
            <w:r w:rsidR="00BE1EE9">
              <w:rPr>
                <w:rFonts w:cs="Arial"/>
                <w:bCs/>
                <w:szCs w:val="22"/>
              </w:rPr>
              <w:t>7</w:t>
            </w:r>
          </w:p>
        </w:tc>
        <w:tc>
          <w:tcPr>
            <w:tcW w:w="1701" w:type="dxa"/>
          </w:tcPr>
          <w:p w14:paraId="21297983" w14:textId="77777777" w:rsidR="005A6352" w:rsidRPr="006E36AE" w:rsidRDefault="005A6352" w:rsidP="005A6352">
            <w:pPr>
              <w:pStyle w:val="Tabletext"/>
              <w:rPr>
                <w:rFonts w:cs="Arial"/>
                <w:bCs/>
                <w:szCs w:val="22"/>
              </w:rPr>
            </w:pPr>
            <w:r w:rsidRPr="006E36AE">
              <w:rPr>
                <w:rFonts w:cs="Arial"/>
                <w:bCs/>
                <w:szCs w:val="22"/>
              </w:rPr>
              <w:t>SCM1</w:t>
            </w:r>
          </w:p>
        </w:tc>
        <w:tc>
          <w:tcPr>
            <w:tcW w:w="1985" w:type="dxa"/>
          </w:tcPr>
          <w:p w14:paraId="4F276B1C" w14:textId="77777777" w:rsidR="005A6352" w:rsidRPr="006E36AE" w:rsidRDefault="005A6352" w:rsidP="005A6352">
            <w:pPr>
              <w:pStyle w:val="TableText1"/>
              <w:spacing w:after="60"/>
              <w:rPr>
                <w:rFonts w:cs="Arial"/>
                <w:bCs/>
                <w:szCs w:val="22"/>
              </w:rPr>
            </w:pPr>
            <w:r w:rsidRPr="006E36AE">
              <w:rPr>
                <w:rFonts w:cs="Arial"/>
                <w:bCs/>
                <w:szCs w:val="22"/>
              </w:rPr>
              <w:t xml:space="preserve">Key area for quality improvement 1  </w:t>
            </w:r>
          </w:p>
          <w:p w14:paraId="3644E6D1" w14:textId="77777777" w:rsidR="005A6352" w:rsidRPr="006E36AE" w:rsidRDefault="005A6352" w:rsidP="005A6352">
            <w:pPr>
              <w:pStyle w:val="TableText1"/>
              <w:spacing w:after="60"/>
              <w:rPr>
                <w:rFonts w:cs="Arial"/>
                <w:bCs/>
                <w:szCs w:val="22"/>
              </w:rPr>
            </w:pPr>
          </w:p>
          <w:p w14:paraId="606B1805" w14:textId="6E61E291" w:rsidR="005A6352" w:rsidRPr="006E36AE" w:rsidRDefault="005A6352" w:rsidP="005A6352">
            <w:pPr>
              <w:pStyle w:val="TableText1"/>
              <w:spacing w:after="60"/>
              <w:rPr>
                <w:rFonts w:cs="Arial"/>
                <w:bCs/>
                <w:szCs w:val="22"/>
              </w:rPr>
            </w:pPr>
            <w:r w:rsidRPr="006E36AE">
              <w:rPr>
                <w:rFonts w:cs="Arial"/>
                <w:bCs/>
                <w:szCs w:val="22"/>
              </w:rPr>
              <w:t xml:space="preserve">Open and transparent communication </w:t>
            </w:r>
            <w:r w:rsidRPr="006E36AE">
              <w:rPr>
                <w:rFonts w:cs="Arial"/>
                <w:bCs/>
                <w:szCs w:val="22"/>
              </w:rPr>
              <w:lastRenderedPageBreak/>
              <w:t xml:space="preserve">around </w:t>
            </w:r>
            <w:proofErr w:type="gramStart"/>
            <w:r w:rsidRPr="006E36AE">
              <w:rPr>
                <w:rFonts w:cs="Arial"/>
                <w:bCs/>
                <w:szCs w:val="22"/>
              </w:rPr>
              <w:t>health related</w:t>
            </w:r>
            <w:proofErr w:type="gramEnd"/>
            <w:r w:rsidRPr="006E36AE">
              <w:rPr>
                <w:rFonts w:cs="Arial"/>
                <w:bCs/>
                <w:szCs w:val="22"/>
              </w:rPr>
              <w:t xml:space="preserve"> issues in the workplace and in the home life</w:t>
            </w:r>
          </w:p>
        </w:tc>
        <w:tc>
          <w:tcPr>
            <w:tcW w:w="3426" w:type="dxa"/>
          </w:tcPr>
          <w:p w14:paraId="078562E5" w14:textId="77777777" w:rsidR="005A6352" w:rsidRPr="006E36AE" w:rsidRDefault="005A6352" w:rsidP="005A6352">
            <w:pPr>
              <w:shd w:val="clear" w:color="auto" w:fill="FFFFFF"/>
              <w:spacing w:after="60"/>
              <w:rPr>
                <w:rFonts w:ascii="Arial" w:hAnsi="Arial" w:cs="Arial"/>
                <w:bCs/>
                <w:sz w:val="22"/>
                <w:szCs w:val="22"/>
              </w:rPr>
            </w:pPr>
            <w:r w:rsidRPr="006E36AE">
              <w:rPr>
                <w:rFonts w:ascii="Arial" w:hAnsi="Arial" w:cs="Arial"/>
                <w:bCs/>
                <w:sz w:val="22"/>
                <w:szCs w:val="22"/>
                <w:lang w:eastAsia="en-GB"/>
              </w:rPr>
              <w:lastRenderedPageBreak/>
              <w:t>Enables employees and managers to engage in meaningful discussions at any point in their health issues that may be having an impact on their ability to carry out their duties.</w:t>
            </w:r>
          </w:p>
        </w:tc>
        <w:tc>
          <w:tcPr>
            <w:tcW w:w="3426" w:type="dxa"/>
          </w:tcPr>
          <w:p w14:paraId="232F8DF6" w14:textId="77777777" w:rsidR="005A6352" w:rsidRPr="006E36AE" w:rsidRDefault="005A6352" w:rsidP="005A6352">
            <w:pPr>
              <w:shd w:val="clear" w:color="auto" w:fill="FFFFFF"/>
              <w:spacing w:after="60"/>
              <w:rPr>
                <w:rFonts w:ascii="Arial" w:hAnsi="Arial" w:cs="Arial"/>
                <w:bCs/>
                <w:sz w:val="22"/>
                <w:szCs w:val="22"/>
              </w:rPr>
            </w:pPr>
            <w:r w:rsidRPr="006E36AE">
              <w:rPr>
                <w:rFonts w:ascii="Arial" w:hAnsi="Arial" w:cs="Arial"/>
                <w:bCs/>
                <w:sz w:val="22"/>
                <w:szCs w:val="22"/>
                <w:lang w:eastAsia="en-GB"/>
              </w:rPr>
              <w:t xml:space="preserve">Contributes to a better workplace culture, promotes positive </w:t>
            </w:r>
            <w:proofErr w:type="gramStart"/>
            <w:r w:rsidRPr="006E36AE">
              <w:rPr>
                <w:rFonts w:ascii="Arial" w:hAnsi="Arial" w:cs="Arial"/>
                <w:bCs/>
                <w:sz w:val="22"/>
                <w:szCs w:val="22"/>
                <w:lang w:eastAsia="en-GB"/>
              </w:rPr>
              <w:t>engagement</w:t>
            </w:r>
            <w:proofErr w:type="gramEnd"/>
            <w:r w:rsidRPr="006E36AE">
              <w:rPr>
                <w:rFonts w:ascii="Arial" w:hAnsi="Arial" w:cs="Arial"/>
                <w:bCs/>
                <w:sz w:val="22"/>
                <w:szCs w:val="22"/>
                <w:lang w:eastAsia="en-GB"/>
              </w:rPr>
              <w:t xml:space="preserve"> and hopefully helps to reduce sickness and or ill health by addressing the problems early </w:t>
            </w:r>
            <w:r w:rsidRPr="006E36AE">
              <w:rPr>
                <w:rFonts w:ascii="Arial" w:hAnsi="Arial" w:cs="Arial"/>
                <w:bCs/>
                <w:sz w:val="22"/>
                <w:szCs w:val="22"/>
                <w:lang w:eastAsia="en-GB"/>
              </w:rPr>
              <w:lastRenderedPageBreak/>
              <w:t>and gaining the appropriate support.</w:t>
            </w:r>
          </w:p>
        </w:tc>
        <w:tc>
          <w:tcPr>
            <w:tcW w:w="3426" w:type="dxa"/>
          </w:tcPr>
          <w:p w14:paraId="7265D4A1" w14:textId="77777777" w:rsidR="005A6352" w:rsidRPr="006E36AE" w:rsidRDefault="005A6352" w:rsidP="005A6352">
            <w:pPr>
              <w:pStyle w:val="Paragraphnonumbers"/>
              <w:spacing w:after="60" w:line="240" w:lineRule="auto"/>
              <w:rPr>
                <w:rFonts w:cs="Arial"/>
                <w:bCs/>
                <w:sz w:val="22"/>
                <w:szCs w:val="22"/>
              </w:rPr>
            </w:pPr>
          </w:p>
        </w:tc>
      </w:tr>
      <w:tr w:rsidR="005A6352" w:rsidRPr="006E36AE" w14:paraId="19A93064" w14:textId="77777777" w:rsidTr="006E36AE">
        <w:trPr>
          <w:trHeight w:val="282"/>
        </w:trPr>
        <w:tc>
          <w:tcPr>
            <w:tcW w:w="704" w:type="dxa"/>
          </w:tcPr>
          <w:p w14:paraId="37CF3951" w14:textId="5F1CB578" w:rsidR="005A6352" w:rsidRPr="006E36AE" w:rsidRDefault="005A6352" w:rsidP="005A6352">
            <w:pPr>
              <w:pStyle w:val="Tabletext"/>
              <w:rPr>
                <w:rFonts w:cs="Arial"/>
                <w:bCs/>
                <w:szCs w:val="22"/>
              </w:rPr>
            </w:pPr>
            <w:r w:rsidRPr="006E36AE">
              <w:rPr>
                <w:rFonts w:cs="Arial"/>
                <w:bCs/>
                <w:szCs w:val="22"/>
              </w:rPr>
              <w:t>1</w:t>
            </w:r>
            <w:r w:rsidR="00BE1EE9">
              <w:rPr>
                <w:rFonts w:cs="Arial"/>
                <w:bCs/>
                <w:szCs w:val="22"/>
              </w:rPr>
              <w:t>8</w:t>
            </w:r>
          </w:p>
        </w:tc>
        <w:tc>
          <w:tcPr>
            <w:tcW w:w="1701" w:type="dxa"/>
          </w:tcPr>
          <w:p w14:paraId="23D69F76" w14:textId="77777777" w:rsidR="005A6352" w:rsidRPr="006E36AE" w:rsidRDefault="005A6352" w:rsidP="005A6352">
            <w:pPr>
              <w:pStyle w:val="Tabletext"/>
              <w:rPr>
                <w:rFonts w:cs="Arial"/>
                <w:bCs/>
                <w:szCs w:val="22"/>
              </w:rPr>
            </w:pPr>
            <w:r w:rsidRPr="006E36AE">
              <w:rPr>
                <w:rFonts w:cs="Arial"/>
                <w:bCs/>
                <w:szCs w:val="22"/>
              </w:rPr>
              <w:t>SCM1</w:t>
            </w:r>
          </w:p>
        </w:tc>
        <w:tc>
          <w:tcPr>
            <w:tcW w:w="1985" w:type="dxa"/>
          </w:tcPr>
          <w:p w14:paraId="7BB02CD5" w14:textId="77777777" w:rsidR="005A6352" w:rsidRPr="006E36AE" w:rsidRDefault="005A6352" w:rsidP="005A6352">
            <w:pPr>
              <w:pStyle w:val="TableText1"/>
              <w:spacing w:after="60"/>
              <w:rPr>
                <w:rFonts w:cs="Arial"/>
                <w:bCs/>
                <w:szCs w:val="22"/>
              </w:rPr>
            </w:pPr>
            <w:r w:rsidRPr="006E36AE">
              <w:rPr>
                <w:rFonts w:cs="Arial"/>
                <w:bCs/>
                <w:szCs w:val="22"/>
              </w:rPr>
              <w:t>Key area for quality improvement 4</w:t>
            </w:r>
          </w:p>
          <w:p w14:paraId="30B4E5B6" w14:textId="77777777" w:rsidR="005A6352" w:rsidRPr="006E36AE" w:rsidRDefault="005A6352" w:rsidP="005A6352">
            <w:pPr>
              <w:pStyle w:val="TableText1"/>
              <w:spacing w:after="60"/>
              <w:rPr>
                <w:rFonts w:cs="Arial"/>
                <w:bCs/>
                <w:szCs w:val="22"/>
              </w:rPr>
            </w:pPr>
          </w:p>
          <w:p w14:paraId="0672EC07" w14:textId="51A1D3C0" w:rsidR="005A6352" w:rsidRPr="006E36AE" w:rsidRDefault="005A6352" w:rsidP="005A6352">
            <w:pPr>
              <w:pStyle w:val="Tabletext"/>
              <w:rPr>
                <w:rFonts w:cs="Arial"/>
                <w:bCs/>
                <w:szCs w:val="22"/>
              </w:rPr>
            </w:pPr>
            <w:r w:rsidRPr="006E36AE">
              <w:rPr>
                <w:rFonts w:cs="Arial"/>
                <w:bCs/>
                <w:szCs w:val="22"/>
              </w:rPr>
              <w:t xml:space="preserve">A more joined up approach to sickness absence. </w:t>
            </w:r>
            <w:proofErr w:type="spellStart"/>
            <w:r w:rsidRPr="006E36AE">
              <w:rPr>
                <w:rFonts w:cs="Arial"/>
                <w:bCs/>
                <w:szCs w:val="22"/>
              </w:rPr>
              <w:t>Eg</w:t>
            </w:r>
            <w:proofErr w:type="spellEnd"/>
            <w:r w:rsidRPr="006E36AE">
              <w:rPr>
                <w:rFonts w:cs="Arial"/>
                <w:bCs/>
                <w:szCs w:val="22"/>
              </w:rPr>
              <w:t xml:space="preserve"> gaining support from relevant people or services. Engaging more with the employee around what they need, not relying too much solely on the GP to determine RTW schedules. Try to address the situation early.</w:t>
            </w:r>
          </w:p>
        </w:tc>
        <w:tc>
          <w:tcPr>
            <w:tcW w:w="3426" w:type="dxa"/>
          </w:tcPr>
          <w:p w14:paraId="605DCB37" w14:textId="77777777" w:rsidR="005A6352" w:rsidRPr="006E36AE" w:rsidRDefault="005A6352" w:rsidP="005A6352">
            <w:pPr>
              <w:shd w:val="clear" w:color="auto" w:fill="FFFFFF"/>
              <w:spacing w:after="60"/>
              <w:rPr>
                <w:rFonts w:ascii="Arial" w:hAnsi="Arial" w:cs="Arial"/>
                <w:bCs/>
                <w:sz w:val="22"/>
                <w:szCs w:val="22"/>
              </w:rPr>
            </w:pPr>
            <w:r w:rsidRPr="006E36AE">
              <w:rPr>
                <w:rFonts w:ascii="Arial" w:hAnsi="Arial" w:cs="Arial"/>
                <w:bCs/>
                <w:sz w:val="22"/>
                <w:szCs w:val="22"/>
                <w:lang w:eastAsia="en-GB"/>
              </w:rPr>
              <w:t xml:space="preserve">May reduce the amount of time a person is off work or even stop this in the first instance. Gives the individual more influence to engage and explain. Takes the burden away from the GP. Makes good use of local services who may be more experts in a certain field. </w:t>
            </w:r>
          </w:p>
        </w:tc>
        <w:tc>
          <w:tcPr>
            <w:tcW w:w="3426" w:type="dxa"/>
          </w:tcPr>
          <w:p w14:paraId="778AD220" w14:textId="3B59DD82" w:rsidR="005A6352" w:rsidRPr="006E36AE" w:rsidRDefault="005A6352" w:rsidP="005A6352">
            <w:pPr>
              <w:shd w:val="clear" w:color="auto" w:fill="FFFFFF"/>
              <w:spacing w:after="60"/>
              <w:rPr>
                <w:rFonts w:ascii="Arial" w:hAnsi="Arial" w:cs="Arial"/>
                <w:bCs/>
                <w:sz w:val="22"/>
                <w:szCs w:val="22"/>
              </w:rPr>
            </w:pPr>
            <w:r>
              <w:rPr>
                <w:rFonts w:ascii="Arial" w:hAnsi="Arial" w:cs="Arial"/>
                <w:bCs/>
                <w:sz w:val="22"/>
                <w:szCs w:val="22"/>
              </w:rPr>
              <w:t>T</w:t>
            </w:r>
            <w:r w:rsidRPr="006E36AE">
              <w:rPr>
                <w:rFonts w:ascii="Arial" w:hAnsi="Arial" w:cs="Arial"/>
                <w:bCs/>
                <w:sz w:val="22"/>
                <w:szCs w:val="22"/>
              </w:rPr>
              <w:t xml:space="preserve">his gives the individual more choices and opportunity to engage with the employer direct about the issues. May well reduce burden on GP services. Enables employees to see that the organisation </w:t>
            </w:r>
            <w:proofErr w:type="gramStart"/>
            <w:r w:rsidRPr="006E36AE">
              <w:rPr>
                <w:rFonts w:ascii="Arial" w:hAnsi="Arial" w:cs="Arial"/>
                <w:bCs/>
                <w:sz w:val="22"/>
                <w:szCs w:val="22"/>
              </w:rPr>
              <w:t>are</w:t>
            </w:r>
            <w:proofErr w:type="gramEnd"/>
            <w:r w:rsidRPr="006E36AE">
              <w:rPr>
                <w:rFonts w:ascii="Arial" w:hAnsi="Arial" w:cs="Arial"/>
                <w:bCs/>
                <w:sz w:val="22"/>
                <w:szCs w:val="22"/>
              </w:rPr>
              <w:t xml:space="preserve"> willing to offer support based on individuals issues/circumstances.</w:t>
            </w:r>
          </w:p>
        </w:tc>
        <w:tc>
          <w:tcPr>
            <w:tcW w:w="3426" w:type="dxa"/>
          </w:tcPr>
          <w:p w14:paraId="23AC0785" w14:textId="77777777" w:rsidR="005A6352" w:rsidRPr="006E36AE" w:rsidRDefault="005A6352" w:rsidP="005A6352">
            <w:pPr>
              <w:pStyle w:val="Paragraphnonumbers"/>
              <w:spacing w:after="60" w:line="240" w:lineRule="auto"/>
              <w:rPr>
                <w:rFonts w:cs="Arial"/>
                <w:bCs/>
                <w:sz w:val="22"/>
                <w:szCs w:val="22"/>
              </w:rPr>
            </w:pPr>
          </w:p>
        </w:tc>
      </w:tr>
      <w:tr w:rsidR="005A6352" w:rsidRPr="006E36AE" w14:paraId="3B8D58CC" w14:textId="77777777" w:rsidTr="007434D8">
        <w:trPr>
          <w:trHeight w:val="282"/>
        </w:trPr>
        <w:tc>
          <w:tcPr>
            <w:tcW w:w="14668" w:type="dxa"/>
            <w:gridSpan w:val="6"/>
          </w:tcPr>
          <w:p w14:paraId="50572E05" w14:textId="73017175" w:rsidR="005A6352" w:rsidRPr="006E36AE" w:rsidRDefault="005A6352" w:rsidP="005A6352">
            <w:pPr>
              <w:pStyle w:val="Tabletitle"/>
              <w:rPr>
                <w:rFonts w:cs="Arial"/>
                <w:szCs w:val="22"/>
              </w:rPr>
            </w:pPr>
            <w:r w:rsidRPr="006E36AE">
              <w:rPr>
                <w:rFonts w:cs="Arial"/>
                <w:szCs w:val="22"/>
              </w:rPr>
              <w:lastRenderedPageBreak/>
              <w:t>Support to stay in or return to work</w:t>
            </w:r>
          </w:p>
        </w:tc>
      </w:tr>
      <w:tr w:rsidR="005A6352" w:rsidRPr="006E36AE" w14:paraId="5BA8BEE1" w14:textId="77777777" w:rsidTr="006E36AE">
        <w:trPr>
          <w:trHeight w:val="282"/>
        </w:trPr>
        <w:tc>
          <w:tcPr>
            <w:tcW w:w="704" w:type="dxa"/>
          </w:tcPr>
          <w:p w14:paraId="389461ED" w14:textId="7308B2C5" w:rsidR="005A6352" w:rsidRPr="006E36AE" w:rsidRDefault="005A6352" w:rsidP="005A6352">
            <w:pPr>
              <w:pStyle w:val="Tabletext"/>
              <w:rPr>
                <w:rFonts w:cs="Arial"/>
                <w:bCs/>
                <w:szCs w:val="22"/>
                <w:lang w:eastAsia="en-GB"/>
              </w:rPr>
            </w:pPr>
            <w:r w:rsidRPr="006E36AE">
              <w:rPr>
                <w:rFonts w:cs="Arial"/>
                <w:bCs/>
                <w:szCs w:val="22"/>
              </w:rPr>
              <w:t>1</w:t>
            </w:r>
            <w:r w:rsidR="00BE1EE9">
              <w:rPr>
                <w:rFonts w:cs="Arial"/>
                <w:bCs/>
                <w:szCs w:val="22"/>
              </w:rPr>
              <w:t>9</w:t>
            </w:r>
          </w:p>
        </w:tc>
        <w:tc>
          <w:tcPr>
            <w:tcW w:w="1701" w:type="dxa"/>
          </w:tcPr>
          <w:p w14:paraId="2F7D9671" w14:textId="2A18B6DE" w:rsidR="005A6352" w:rsidRPr="006E36AE" w:rsidRDefault="005A6352" w:rsidP="005A6352">
            <w:pPr>
              <w:pStyle w:val="Tabletext"/>
              <w:rPr>
                <w:rFonts w:cs="Arial"/>
                <w:bCs/>
                <w:szCs w:val="22"/>
              </w:rPr>
            </w:pPr>
            <w:r w:rsidRPr="006E36AE">
              <w:rPr>
                <w:rFonts w:cs="Arial"/>
                <w:bCs/>
                <w:szCs w:val="22"/>
              </w:rPr>
              <w:t xml:space="preserve">Connect Health </w:t>
            </w:r>
          </w:p>
        </w:tc>
        <w:tc>
          <w:tcPr>
            <w:tcW w:w="1985" w:type="dxa"/>
          </w:tcPr>
          <w:p w14:paraId="65ACA086"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Return to work support following long-term sickness absence associated with Coronavirus</w:t>
            </w:r>
          </w:p>
          <w:p w14:paraId="000142A0" w14:textId="112C25A3" w:rsidR="005A6352" w:rsidRPr="006E36AE" w:rsidRDefault="005A6352" w:rsidP="005A6352">
            <w:pPr>
              <w:pStyle w:val="Tabletext"/>
              <w:rPr>
                <w:rFonts w:cs="Arial"/>
                <w:bCs/>
                <w:szCs w:val="22"/>
              </w:rPr>
            </w:pPr>
          </w:p>
        </w:tc>
        <w:tc>
          <w:tcPr>
            <w:tcW w:w="3426" w:type="dxa"/>
          </w:tcPr>
          <w:p w14:paraId="04678434"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Coronavirus is a new contributor to sickness absence. The pandemic itself as well symptoms of the virus, has created a complex set of physical, </w:t>
            </w:r>
            <w:proofErr w:type="gramStart"/>
            <w:r w:rsidRPr="006E36AE">
              <w:rPr>
                <w:rFonts w:cs="Arial"/>
                <w:bCs/>
                <w:sz w:val="22"/>
                <w:szCs w:val="22"/>
              </w:rPr>
              <w:t>mental</w:t>
            </w:r>
            <w:proofErr w:type="gramEnd"/>
            <w:r w:rsidRPr="006E36AE">
              <w:rPr>
                <w:rFonts w:cs="Arial"/>
                <w:bCs/>
                <w:sz w:val="22"/>
                <w:szCs w:val="22"/>
              </w:rPr>
              <w:t xml:space="preserve"> and social health symptoms to overcome to achieve return to work.</w:t>
            </w:r>
          </w:p>
          <w:p w14:paraId="4B6591DF" w14:textId="12476435" w:rsidR="005A6352" w:rsidRPr="006E36AE" w:rsidRDefault="005A6352" w:rsidP="005A6352">
            <w:pPr>
              <w:pStyle w:val="Tabletext"/>
              <w:rPr>
                <w:rFonts w:cs="Arial"/>
                <w:bCs/>
                <w:szCs w:val="22"/>
              </w:rPr>
            </w:pPr>
            <w:r w:rsidRPr="006E36AE">
              <w:rPr>
                <w:rFonts w:cs="Arial"/>
                <w:bCs/>
                <w:szCs w:val="22"/>
                <w:lang w:eastAsia="en-GB"/>
              </w:rPr>
              <w:t>‘Reconditioning’ for return to work is one such example. Who should be involved with this and what support is available for businesses?</w:t>
            </w:r>
          </w:p>
        </w:tc>
        <w:tc>
          <w:tcPr>
            <w:tcW w:w="3426" w:type="dxa"/>
          </w:tcPr>
          <w:p w14:paraId="1299F620" w14:textId="2F829158"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 xml:space="preserve">Limited guidance exists for this area and the guidance that does exist has not been through a rigorous review of the quality of evidence. </w:t>
            </w:r>
          </w:p>
        </w:tc>
        <w:tc>
          <w:tcPr>
            <w:tcW w:w="3426" w:type="dxa"/>
          </w:tcPr>
          <w:p w14:paraId="31AD7EB3"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Over half of working adults (54%) said the coronavirus (COVID-19) pandemic was having an impact on their work. Please see the latest data from the Office of National Statistics, reflecting the social (in. work) impacts of coronavirus on Great Britain: </w:t>
            </w:r>
          </w:p>
          <w:p w14:paraId="3783F05C" w14:textId="67E278B5" w:rsidR="005A6352" w:rsidRPr="006E36AE" w:rsidRDefault="00DF1D4E" w:rsidP="005A6352">
            <w:pPr>
              <w:spacing w:after="60"/>
              <w:rPr>
                <w:rFonts w:ascii="Arial" w:hAnsi="Arial" w:cs="Arial"/>
                <w:bCs/>
                <w:sz w:val="22"/>
                <w:szCs w:val="22"/>
              </w:rPr>
            </w:pPr>
            <w:hyperlink r:id="rId44" w:history="1">
              <w:r w:rsidR="005A6352" w:rsidRPr="006E36AE">
                <w:rPr>
                  <w:rFonts w:ascii="Arial" w:hAnsi="Arial" w:cs="Arial"/>
                  <w:bCs/>
                  <w:sz w:val="22"/>
                  <w:szCs w:val="22"/>
                  <w:lang w:eastAsia="en-GB"/>
                </w:rPr>
                <w:t>https://www.ons.gov.uk/</w:t>
              </w:r>
            </w:hyperlink>
          </w:p>
        </w:tc>
      </w:tr>
      <w:tr w:rsidR="005A6352" w:rsidRPr="006E36AE" w14:paraId="22BD1C9C" w14:textId="77777777" w:rsidTr="006E36AE">
        <w:trPr>
          <w:trHeight w:val="282"/>
        </w:trPr>
        <w:tc>
          <w:tcPr>
            <w:tcW w:w="704" w:type="dxa"/>
          </w:tcPr>
          <w:p w14:paraId="431995F7" w14:textId="3FD59638" w:rsidR="005A6352" w:rsidRPr="006E36AE" w:rsidRDefault="00BE1EE9" w:rsidP="005A6352">
            <w:pPr>
              <w:pStyle w:val="Tabletext"/>
              <w:rPr>
                <w:rFonts w:cs="Arial"/>
                <w:bCs/>
                <w:szCs w:val="22"/>
              </w:rPr>
            </w:pPr>
            <w:r>
              <w:rPr>
                <w:rFonts w:cs="Arial"/>
                <w:bCs/>
                <w:szCs w:val="22"/>
              </w:rPr>
              <w:t>20</w:t>
            </w:r>
          </w:p>
        </w:tc>
        <w:tc>
          <w:tcPr>
            <w:tcW w:w="1701" w:type="dxa"/>
          </w:tcPr>
          <w:p w14:paraId="479B0BD5" w14:textId="1F1F18EF" w:rsidR="005A6352" w:rsidRPr="006E36AE" w:rsidRDefault="005A6352" w:rsidP="005A6352">
            <w:pPr>
              <w:pStyle w:val="Tabletext"/>
              <w:rPr>
                <w:rFonts w:cs="Arial"/>
                <w:bCs/>
                <w:szCs w:val="22"/>
              </w:rPr>
            </w:pPr>
            <w:r w:rsidRPr="006E36AE">
              <w:rPr>
                <w:rFonts w:cs="Arial"/>
                <w:bCs/>
                <w:szCs w:val="22"/>
              </w:rPr>
              <w:t xml:space="preserve">Connect Health </w:t>
            </w:r>
          </w:p>
        </w:tc>
        <w:tc>
          <w:tcPr>
            <w:tcW w:w="1985" w:type="dxa"/>
          </w:tcPr>
          <w:p w14:paraId="2221C1D3" w14:textId="070C3975" w:rsidR="005A6352" w:rsidRPr="006E36AE" w:rsidRDefault="005A6352" w:rsidP="005A6352">
            <w:pPr>
              <w:pStyle w:val="Tabletext"/>
              <w:rPr>
                <w:rFonts w:cs="Arial"/>
                <w:bCs/>
                <w:szCs w:val="22"/>
              </w:rPr>
            </w:pPr>
            <w:r w:rsidRPr="006E36AE">
              <w:rPr>
                <w:rFonts w:cs="Arial"/>
                <w:bCs/>
                <w:szCs w:val="22"/>
              </w:rPr>
              <w:t>Virtual rehabilitation options for people absent from work</w:t>
            </w:r>
          </w:p>
        </w:tc>
        <w:tc>
          <w:tcPr>
            <w:tcW w:w="3426" w:type="dxa"/>
          </w:tcPr>
          <w:p w14:paraId="04156E28" w14:textId="4E49F588" w:rsidR="005A6352" w:rsidRPr="006E36AE" w:rsidRDefault="005A6352" w:rsidP="005A6352">
            <w:pPr>
              <w:pStyle w:val="Paragraphnonumbers"/>
              <w:spacing w:after="60" w:line="240" w:lineRule="auto"/>
            </w:pPr>
            <w:r w:rsidRPr="006E36AE">
              <w:rPr>
                <w:rFonts w:cs="Arial"/>
                <w:bCs/>
                <w:sz w:val="22"/>
                <w:szCs w:val="22"/>
              </w:rPr>
              <w:t>Various remote and virtual services exist for supporting return to work from long term absence. Such as the DWP ‘Access to work Mental Health Support Service’ which business may not be aware of. ‘Virtual’ is an increasingly accepted method of healthcare delivery and businesses are likely to be more accepting of these support services</w:t>
            </w:r>
            <w:r>
              <w:rPr>
                <w:rFonts w:cs="Arial"/>
                <w:bCs/>
                <w:sz w:val="22"/>
                <w:szCs w:val="22"/>
              </w:rPr>
              <w:t>.</w:t>
            </w:r>
          </w:p>
        </w:tc>
        <w:tc>
          <w:tcPr>
            <w:tcW w:w="3426" w:type="dxa"/>
          </w:tcPr>
          <w:p w14:paraId="452FB857" w14:textId="06F4067D"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Many new virtual services for supporting health have been launched. This will and has become a focus of health research and plenty of new evidence is likely to exist since the previous guidelines were produced.</w:t>
            </w:r>
          </w:p>
        </w:tc>
        <w:tc>
          <w:tcPr>
            <w:tcW w:w="3426" w:type="dxa"/>
          </w:tcPr>
          <w:p w14:paraId="52BFCA34" w14:textId="5AA9A979" w:rsidR="005A6352" w:rsidRPr="006E36AE" w:rsidRDefault="005A6352" w:rsidP="005A6352">
            <w:pPr>
              <w:spacing w:after="60"/>
              <w:rPr>
                <w:rFonts w:ascii="Arial" w:hAnsi="Arial" w:cs="Arial"/>
                <w:bCs/>
                <w:sz w:val="22"/>
                <w:szCs w:val="22"/>
              </w:rPr>
            </w:pPr>
            <w:r w:rsidRPr="006E36AE">
              <w:rPr>
                <w:rFonts w:ascii="Arial" w:hAnsi="Arial" w:cs="Arial"/>
                <w:bCs/>
                <w:sz w:val="22"/>
                <w:szCs w:val="22"/>
                <w:lang w:eastAsia="en-GB"/>
              </w:rPr>
              <w:t xml:space="preserve">Access to work Mental Health Support Service: </w:t>
            </w:r>
            <w:hyperlink r:id="rId45" w:history="1">
              <w:r w:rsidRPr="006E36AE">
                <w:rPr>
                  <w:rFonts w:ascii="Arial" w:hAnsi="Arial" w:cs="Arial"/>
                  <w:bCs/>
                  <w:sz w:val="22"/>
                  <w:szCs w:val="22"/>
                  <w:lang w:eastAsia="en-GB"/>
                </w:rPr>
                <w:t>https://www.remploy.co.uk/employers/mental-health-and-wellbeing/workplace-mental-health-support-service-employers</w:t>
              </w:r>
            </w:hyperlink>
          </w:p>
        </w:tc>
      </w:tr>
      <w:tr w:rsidR="005A6352" w:rsidRPr="006E36AE" w14:paraId="74A1533E" w14:textId="77777777" w:rsidTr="006E36AE">
        <w:trPr>
          <w:trHeight w:val="282"/>
        </w:trPr>
        <w:tc>
          <w:tcPr>
            <w:tcW w:w="704" w:type="dxa"/>
          </w:tcPr>
          <w:p w14:paraId="76E6AD5D" w14:textId="50E06F36" w:rsidR="005A6352" w:rsidRPr="006E36AE" w:rsidRDefault="005A6352" w:rsidP="005A6352">
            <w:pPr>
              <w:pStyle w:val="Tabletext"/>
              <w:rPr>
                <w:rFonts w:cs="Arial"/>
                <w:bCs/>
                <w:szCs w:val="22"/>
              </w:rPr>
            </w:pPr>
            <w:r w:rsidRPr="006E36AE">
              <w:rPr>
                <w:rFonts w:cs="Arial"/>
                <w:bCs/>
                <w:szCs w:val="22"/>
              </w:rPr>
              <w:t>2</w:t>
            </w:r>
            <w:r w:rsidR="00BE1EE9">
              <w:rPr>
                <w:rFonts w:cs="Arial"/>
                <w:bCs/>
                <w:szCs w:val="22"/>
              </w:rPr>
              <w:t>1</w:t>
            </w:r>
          </w:p>
        </w:tc>
        <w:tc>
          <w:tcPr>
            <w:tcW w:w="1701" w:type="dxa"/>
          </w:tcPr>
          <w:p w14:paraId="0A95C4DF" w14:textId="07168D60" w:rsidR="005A6352" w:rsidRPr="006E36AE" w:rsidRDefault="005A6352" w:rsidP="005A6352">
            <w:pPr>
              <w:pStyle w:val="Tabletext"/>
              <w:rPr>
                <w:rFonts w:cs="Arial"/>
                <w:bCs/>
                <w:szCs w:val="22"/>
              </w:rPr>
            </w:pPr>
            <w:r w:rsidRPr="006E36AE">
              <w:rPr>
                <w:rFonts w:cs="Arial"/>
                <w:bCs/>
                <w:szCs w:val="22"/>
              </w:rPr>
              <w:t xml:space="preserve">Connect Health </w:t>
            </w:r>
          </w:p>
        </w:tc>
        <w:tc>
          <w:tcPr>
            <w:tcW w:w="1985" w:type="dxa"/>
          </w:tcPr>
          <w:p w14:paraId="2EAE4AB2" w14:textId="073A4012" w:rsidR="005A6352" w:rsidRPr="006E36AE" w:rsidRDefault="005A6352" w:rsidP="005A6352">
            <w:pPr>
              <w:pStyle w:val="Tabletext"/>
              <w:rPr>
                <w:rFonts w:cs="Arial"/>
                <w:bCs/>
                <w:szCs w:val="22"/>
              </w:rPr>
            </w:pPr>
            <w:r w:rsidRPr="006E36AE">
              <w:rPr>
                <w:rFonts w:cs="Arial"/>
                <w:bCs/>
                <w:szCs w:val="22"/>
              </w:rPr>
              <w:t>Working from home as an option to help people return to work</w:t>
            </w:r>
          </w:p>
        </w:tc>
        <w:tc>
          <w:tcPr>
            <w:tcW w:w="3426" w:type="dxa"/>
          </w:tcPr>
          <w:p w14:paraId="60B89BBF"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An increasing number of people are working from home and working from home has become an increasingly accepted way of working.</w:t>
            </w:r>
          </w:p>
          <w:p w14:paraId="253BEAD8"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lastRenderedPageBreak/>
              <w:t>This presents an increasingly recognised and accepted strategy for helping people work return to work after long term sickness absence and in preventing short term sickness absence becoming long term.</w:t>
            </w:r>
          </w:p>
          <w:p w14:paraId="6F746488" w14:textId="06AD2EFF" w:rsidR="005A6352" w:rsidRPr="006E36AE" w:rsidRDefault="005A6352" w:rsidP="005A6352">
            <w:pPr>
              <w:pStyle w:val="Tabletext"/>
              <w:rPr>
                <w:rFonts w:cs="Arial"/>
                <w:bCs/>
                <w:szCs w:val="22"/>
              </w:rPr>
            </w:pPr>
            <w:r w:rsidRPr="006E36AE">
              <w:rPr>
                <w:rFonts w:cs="Arial"/>
                <w:bCs/>
                <w:szCs w:val="22"/>
                <w:lang w:eastAsia="en-GB"/>
              </w:rPr>
              <w:t>In contrast, working from home presents some workplace health issues which may contribute to sickness absence and business may need support in managing.</w:t>
            </w:r>
          </w:p>
        </w:tc>
        <w:tc>
          <w:tcPr>
            <w:tcW w:w="3426" w:type="dxa"/>
          </w:tcPr>
          <w:p w14:paraId="5F419563" w14:textId="3CF0ADE6" w:rsidR="005A6352" w:rsidRPr="006E36AE" w:rsidRDefault="005A6352" w:rsidP="005A6352">
            <w:pPr>
              <w:spacing w:after="60"/>
              <w:rPr>
                <w:rFonts w:ascii="Arial" w:hAnsi="Arial" w:cs="Arial"/>
                <w:bCs/>
                <w:sz w:val="22"/>
                <w:szCs w:val="22"/>
              </w:rPr>
            </w:pPr>
            <w:r w:rsidRPr="006E36AE">
              <w:rPr>
                <w:rFonts w:ascii="Arial" w:hAnsi="Arial" w:cs="Arial"/>
                <w:bCs/>
                <w:sz w:val="22"/>
                <w:szCs w:val="22"/>
              </w:rPr>
              <w:lastRenderedPageBreak/>
              <w:t xml:space="preserve">With an increasing number of people either working from home or having the option to work from home. This has become a really relevant working environment </w:t>
            </w:r>
            <w:r w:rsidRPr="006E36AE">
              <w:rPr>
                <w:rFonts w:ascii="Arial" w:hAnsi="Arial" w:cs="Arial"/>
                <w:bCs/>
                <w:sz w:val="22"/>
                <w:szCs w:val="22"/>
              </w:rPr>
              <w:lastRenderedPageBreak/>
              <w:t xml:space="preserve">which may contribute to </w:t>
            </w:r>
            <w:proofErr w:type="gramStart"/>
            <w:r w:rsidRPr="006E36AE">
              <w:rPr>
                <w:rFonts w:ascii="Arial" w:hAnsi="Arial" w:cs="Arial"/>
                <w:bCs/>
                <w:sz w:val="22"/>
                <w:szCs w:val="22"/>
              </w:rPr>
              <w:t>peoples</w:t>
            </w:r>
            <w:proofErr w:type="gramEnd"/>
            <w:r w:rsidRPr="006E36AE">
              <w:rPr>
                <w:rFonts w:ascii="Arial" w:hAnsi="Arial" w:cs="Arial"/>
                <w:bCs/>
                <w:sz w:val="22"/>
                <w:szCs w:val="22"/>
              </w:rPr>
              <w:t xml:space="preserve"> capability to work in a positive or negative way. Guidance does exist but much has been produced in reaction to the UK lockdown and consensus on best practice is needed.</w:t>
            </w:r>
          </w:p>
        </w:tc>
        <w:tc>
          <w:tcPr>
            <w:tcW w:w="3426" w:type="dxa"/>
          </w:tcPr>
          <w:p w14:paraId="784C3268"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lastRenderedPageBreak/>
              <w:t xml:space="preserve">This survey completed by the Institute for Employment </w:t>
            </w:r>
            <w:proofErr w:type="gramStart"/>
            <w:r w:rsidRPr="006E36AE">
              <w:rPr>
                <w:rFonts w:cs="Arial"/>
                <w:bCs/>
                <w:sz w:val="22"/>
                <w:szCs w:val="22"/>
              </w:rPr>
              <w:t>Studies,</w:t>
            </w:r>
            <w:proofErr w:type="gramEnd"/>
            <w:r w:rsidRPr="006E36AE">
              <w:rPr>
                <w:rFonts w:cs="Arial"/>
                <w:bCs/>
                <w:sz w:val="22"/>
                <w:szCs w:val="22"/>
              </w:rPr>
              <w:t xml:space="preserve"> UK presents various health issues reported by people </w:t>
            </w:r>
            <w:r w:rsidRPr="006E36AE">
              <w:rPr>
                <w:rFonts w:cs="Arial"/>
                <w:bCs/>
                <w:sz w:val="22"/>
                <w:szCs w:val="22"/>
              </w:rPr>
              <w:lastRenderedPageBreak/>
              <w:t>working from home due to the UK lockdown:</w:t>
            </w:r>
          </w:p>
          <w:p w14:paraId="720CEB07" w14:textId="1E36C887" w:rsidR="005A6352" w:rsidRPr="006E36AE" w:rsidRDefault="00DF1D4E" w:rsidP="005A6352">
            <w:pPr>
              <w:spacing w:after="60"/>
              <w:rPr>
                <w:rFonts w:ascii="Arial" w:hAnsi="Arial" w:cs="Arial"/>
                <w:bCs/>
                <w:sz w:val="22"/>
                <w:szCs w:val="22"/>
              </w:rPr>
            </w:pPr>
            <w:hyperlink r:id="rId46" w:history="1">
              <w:r w:rsidR="005A6352" w:rsidRPr="006E36AE">
                <w:rPr>
                  <w:rFonts w:ascii="Arial" w:hAnsi="Arial" w:cs="Arial"/>
                  <w:bCs/>
                  <w:sz w:val="22"/>
                  <w:szCs w:val="22"/>
                  <w:lang w:eastAsia="en-GB"/>
                </w:rPr>
                <w:t>https://www.employment-studies.co.uk/sites/default/files/resources/summarypdfs/IES%20Homeworker%20Wellbeing%20Survey%20-%20Interim%20Findings.pdf</w:t>
              </w:r>
            </w:hyperlink>
          </w:p>
        </w:tc>
      </w:tr>
      <w:tr w:rsidR="005A6352" w:rsidRPr="006E36AE" w14:paraId="01820364" w14:textId="77777777" w:rsidTr="006E36AE">
        <w:trPr>
          <w:trHeight w:val="282"/>
        </w:trPr>
        <w:tc>
          <w:tcPr>
            <w:tcW w:w="704" w:type="dxa"/>
          </w:tcPr>
          <w:p w14:paraId="59E8AF2E" w14:textId="12BAF662" w:rsidR="005A6352" w:rsidRPr="006E36AE" w:rsidRDefault="00BE1EE9" w:rsidP="005A6352">
            <w:pPr>
              <w:pStyle w:val="Tabletext"/>
              <w:rPr>
                <w:rFonts w:cs="Arial"/>
                <w:bCs/>
                <w:szCs w:val="22"/>
              </w:rPr>
            </w:pPr>
            <w:r>
              <w:rPr>
                <w:rFonts w:cs="Arial"/>
                <w:bCs/>
                <w:szCs w:val="22"/>
              </w:rPr>
              <w:lastRenderedPageBreak/>
              <w:t>22</w:t>
            </w:r>
          </w:p>
        </w:tc>
        <w:tc>
          <w:tcPr>
            <w:tcW w:w="1701" w:type="dxa"/>
          </w:tcPr>
          <w:p w14:paraId="4E955346" w14:textId="35625D50" w:rsidR="005A6352" w:rsidRPr="006E36AE" w:rsidRDefault="005A6352" w:rsidP="005A6352">
            <w:pPr>
              <w:pStyle w:val="Tabletext"/>
              <w:rPr>
                <w:rFonts w:cs="Arial"/>
                <w:bCs/>
                <w:szCs w:val="22"/>
              </w:rPr>
            </w:pPr>
            <w:r>
              <w:rPr>
                <w:rFonts w:cs="Arial"/>
                <w:bCs/>
                <w:szCs w:val="22"/>
              </w:rPr>
              <w:t>Lincolnshire County Council</w:t>
            </w:r>
          </w:p>
        </w:tc>
        <w:tc>
          <w:tcPr>
            <w:tcW w:w="1985" w:type="dxa"/>
          </w:tcPr>
          <w:p w14:paraId="42742B4B" w14:textId="77777777" w:rsidR="005A6352" w:rsidRPr="007434D8" w:rsidRDefault="005A6352" w:rsidP="005A6352">
            <w:pPr>
              <w:pStyle w:val="TableText1"/>
              <w:spacing w:after="60"/>
              <w:rPr>
                <w:rFonts w:cs="Arial"/>
                <w:bCs/>
                <w:szCs w:val="22"/>
              </w:rPr>
            </w:pPr>
            <w:r w:rsidRPr="007434D8">
              <w:rPr>
                <w:rFonts w:cs="Arial"/>
                <w:bCs/>
                <w:szCs w:val="22"/>
              </w:rPr>
              <w:t>Key area for quality improvement 4</w:t>
            </w:r>
          </w:p>
          <w:p w14:paraId="51A87CEB" w14:textId="7DADAAC4" w:rsidR="005A6352" w:rsidRPr="006E36AE" w:rsidRDefault="005A6352" w:rsidP="005A6352">
            <w:pPr>
              <w:pStyle w:val="Tabletext"/>
              <w:rPr>
                <w:rFonts w:cs="Arial"/>
                <w:bCs/>
                <w:szCs w:val="22"/>
              </w:rPr>
            </w:pPr>
            <w:r w:rsidRPr="007434D8">
              <w:rPr>
                <w:rFonts w:cs="Arial"/>
                <w:bCs/>
                <w:szCs w:val="22"/>
              </w:rPr>
              <w:t>Sustainable return to work</w:t>
            </w:r>
          </w:p>
        </w:tc>
        <w:tc>
          <w:tcPr>
            <w:tcW w:w="3426" w:type="dxa"/>
          </w:tcPr>
          <w:p w14:paraId="47CD3111" w14:textId="0A7D2F32" w:rsidR="005A6352" w:rsidRPr="006E36AE" w:rsidRDefault="005A6352" w:rsidP="005A6352">
            <w:pPr>
              <w:pStyle w:val="Paragraphnonumbers"/>
              <w:spacing w:after="60" w:line="240" w:lineRule="auto"/>
              <w:rPr>
                <w:rFonts w:cs="Arial"/>
                <w:bCs/>
                <w:sz w:val="22"/>
                <w:szCs w:val="22"/>
              </w:rPr>
            </w:pPr>
            <w:r w:rsidRPr="007434D8">
              <w:rPr>
                <w:rFonts w:cs="Arial"/>
                <w:bCs/>
                <w:szCs w:val="22"/>
              </w:rPr>
              <w:t>Particularly for vulnerable employees a sustainable return to work supported by the recommendations in NG146 is crucial. However, whilst the guidance helpfully focuses on particular issues (MSK and Mental Health) there may also be wider vulnerabilities that people face which would be of benefit in the Quality Standard, e.g. long term health conditions or protected characteristics under equalities legislation which might also be of relevance</w:t>
            </w:r>
          </w:p>
        </w:tc>
        <w:tc>
          <w:tcPr>
            <w:tcW w:w="3426" w:type="dxa"/>
          </w:tcPr>
          <w:p w14:paraId="25E03005" w14:textId="7F884CBA" w:rsidR="005A6352" w:rsidRPr="006E36AE" w:rsidRDefault="005A6352" w:rsidP="005A6352">
            <w:pPr>
              <w:spacing w:after="60"/>
              <w:rPr>
                <w:rFonts w:ascii="Arial" w:hAnsi="Arial" w:cs="Arial"/>
                <w:bCs/>
                <w:sz w:val="22"/>
                <w:szCs w:val="22"/>
              </w:rPr>
            </w:pPr>
            <w:r w:rsidRPr="007434D8">
              <w:rPr>
                <w:rFonts w:cs="Arial"/>
                <w:bCs/>
                <w:szCs w:val="22"/>
              </w:rPr>
              <w:t xml:space="preserve">Supporting staff through reasonable adjustments and flexible working has been recognised in the NICE guidance and so a benchmark quality statement would allow employers to assess themselves against a well evidenced standard of practice when support staff to return to work and stay working in a productive and sustainable way. This is also supported by the WHO Healthy Workplace Framework and Model which finds that there is strong evidence for return to work programmes that use a participatory approach. Equally </w:t>
            </w:r>
            <w:r w:rsidRPr="007434D8">
              <w:rPr>
                <w:rFonts w:cs="Arial"/>
                <w:bCs/>
                <w:szCs w:val="22"/>
              </w:rPr>
              <w:lastRenderedPageBreak/>
              <w:t xml:space="preserve">it reports </w:t>
            </w:r>
            <w:proofErr w:type="gramStart"/>
            <w:r w:rsidRPr="007434D8">
              <w:rPr>
                <w:rFonts w:cs="Arial"/>
                <w:bCs/>
                <w:szCs w:val="22"/>
              </w:rPr>
              <w:t>a number of</w:t>
            </w:r>
            <w:proofErr w:type="gramEnd"/>
            <w:r w:rsidRPr="007434D8">
              <w:rPr>
                <w:rFonts w:cs="Arial"/>
                <w:bCs/>
                <w:szCs w:val="22"/>
              </w:rPr>
              <w:t xml:space="preserve"> critical factors including the physical environment, psycho-social working environment and personal health resources in the workplace with regard to return to work.</w:t>
            </w:r>
            <w:r w:rsidRPr="007434D8">
              <w:t xml:space="preserve"> </w:t>
            </w:r>
          </w:p>
        </w:tc>
        <w:tc>
          <w:tcPr>
            <w:tcW w:w="3426" w:type="dxa"/>
          </w:tcPr>
          <w:p w14:paraId="2AF48B49" w14:textId="77777777" w:rsidR="005A6352" w:rsidRPr="007434D8" w:rsidRDefault="005A6352" w:rsidP="005A6352">
            <w:pPr>
              <w:pStyle w:val="TableText1"/>
              <w:spacing w:after="60"/>
              <w:rPr>
                <w:rFonts w:cs="Arial"/>
                <w:bCs/>
                <w:szCs w:val="22"/>
              </w:rPr>
            </w:pPr>
            <w:r w:rsidRPr="007434D8">
              <w:rPr>
                <w:rFonts w:cs="Arial"/>
                <w:bCs/>
                <w:szCs w:val="22"/>
              </w:rPr>
              <w:lastRenderedPageBreak/>
              <w:t>World Health Organisation (2010).</w:t>
            </w:r>
          </w:p>
          <w:p w14:paraId="249EF74D" w14:textId="029031FC" w:rsidR="005A6352" w:rsidRPr="006E36AE" w:rsidRDefault="005A6352" w:rsidP="005A6352">
            <w:pPr>
              <w:pStyle w:val="Paragraphnonumbers"/>
              <w:spacing w:after="60" w:line="240" w:lineRule="auto"/>
              <w:rPr>
                <w:rFonts w:cs="Arial"/>
                <w:bCs/>
                <w:sz w:val="22"/>
                <w:szCs w:val="22"/>
              </w:rPr>
            </w:pPr>
            <w:r w:rsidRPr="007434D8">
              <w:rPr>
                <w:rFonts w:cs="Arial"/>
                <w:bCs/>
                <w:i/>
                <w:szCs w:val="22"/>
              </w:rPr>
              <w:t xml:space="preserve">WHO Healthy Workplace Framework and Model: Background Document and Supporting Literature and Practices. </w:t>
            </w:r>
            <w:r w:rsidRPr="007434D8">
              <w:rPr>
                <w:rFonts w:cs="Arial"/>
                <w:bCs/>
                <w:szCs w:val="22"/>
              </w:rPr>
              <w:t xml:space="preserve">Retrieved from: </w:t>
            </w:r>
            <w:hyperlink r:id="rId47" w:history="1">
              <w:r w:rsidRPr="007434D8">
                <w:rPr>
                  <w:rStyle w:val="Hyperlink"/>
                  <w:rFonts w:cs="Arial"/>
                  <w:bCs/>
                  <w:szCs w:val="22"/>
                </w:rPr>
                <w:t>https://www.who.int/occupational_health/healthy_workplace_framework.pdf</w:t>
              </w:r>
            </w:hyperlink>
            <w:r w:rsidRPr="007434D8">
              <w:rPr>
                <w:rFonts w:cs="Arial"/>
                <w:bCs/>
                <w:szCs w:val="22"/>
              </w:rPr>
              <w:t xml:space="preserve"> </w:t>
            </w:r>
          </w:p>
        </w:tc>
      </w:tr>
      <w:tr w:rsidR="005A6352" w:rsidRPr="006E36AE" w14:paraId="5D41968C" w14:textId="77777777" w:rsidTr="006E36AE">
        <w:trPr>
          <w:trHeight w:val="282"/>
        </w:trPr>
        <w:tc>
          <w:tcPr>
            <w:tcW w:w="704" w:type="dxa"/>
          </w:tcPr>
          <w:p w14:paraId="085B9575" w14:textId="4C659F32" w:rsidR="005A6352" w:rsidRPr="006E36AE" w:rsidRDefault="005A6352" w:rsidP="005A6352">
            <w:pPr>
              <w:pStyle w:val="Tabletext"/>
              <w:rPr>
                <w:rFonts w:cs="Arial"/>
                <w:bCs/>
                <w:szCs w:val="22"/>
              </w:rPr>
            </w:pPr>
            <w:r w:rsidRPr="006E36AE">
              <w:rPr>
                <w:rFonts w:cs="Arial"/>
                <w:bCs/>
                <w:szCs w:val="22"/>
              </w:rPr>
              <w:t>2</w:t>
            </w:r>
            <w:r w:rsidR="00BE1EE9">
              <w:rPr>
                <w:rFonts w:cs="Arial"/>
                <w:bCs/>
                <w:szCs w:val="22"/>
              </w:rPr>
              <w:t>3</w:t>
            </w:r>
          </w:p>
        </w:tc>
        <w:tc>
          <w:tcPr>
            <w:tcW w:w="1701" w:type="dxa"/>
          </w:tcPr>
          <w:p w14:paraId="3C8171A9" w14:textId="59045E81" w:rsidR="005A6352" w:rsidRPr="006E36AE" w:rsidRDefault="005A6352" w:rsidP="005A6352">
            <w:pPr>
              <w:pStyle w:val="Tabletext"/>
              <w:rPr>
                <w:rFonts w:cs="Arial"/>
                <w:bCs/>
                <w:szCs w:val="22"/>
              </w:rPr>
            </w:pPr>
            <w:r w:rsidRPr="006E36AE">
              <w:rPr>
                <w:rFonts w:cs="Arial"/>
                <w:bCs/>
                <w:szCs w:val="22"/>
              </w:rPr>
              <w:t>Mind</w:t>
            </w:r>
          </w:p>
        </w:tc>
        <w:tc>
          <w:tcPr>
            <w:tcW w:w="1985" w:type="dxa"/>
          </w:tcPr>
          <w:p w14:paraId="4CF23729" w14:textId="17AA4DBD"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Supporting people with mental health problems to know their rights at work</w:t>
            </w:r>
          </w:p>
        </w:tc>
        <w:tc>
          <w:tcPr>
            <w:tcW w:w="3426" w:type="dxa"/>
          </w:tcPr>
          <w:p w14:paraId="7B74FB16"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Medical professionals have a key role in supporting people who are experiencing, or likely to experience, long-term sickness absence from work to know their rights at work. People with mental health problems often do not know they are entitled to protection under the Equality Act 2010, may have a right to Statutory Sick Pay, and have as much right to good occupational health services as people with physical health problems.</w:t>
            </w:r>
          </w:p>
          <w:p w14:paraId="51D17A5F"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When people are aware of their rights, they are more likely to feel empowered to advocate for themselves at work to access these rights, which can enable them to reduce their sickness absence or return to work, for example with some reasonable adjustments. </w:t>
            </w:r>
          </w:p>
          <w:p w14:paraId="033B06C6" w14:textId="77777777" w:rsidR="005A6352" w:rsidRPr="006E36AE" w:rsidRDefault="005A6352" w:rsidP="005A6352">
            <w:pPr>
              <w:pStyle w:val="Paragraphnonumbers"/>
              <w:spacing w:after="60" w:line="240" w:lineRule="auto"/>
              <w:rPr>
                <w:rFonts w:cs="Arial"/>
                <w:bCs/>
                <w:sz w:val="22"/>
                <w:szCs w:val="22"/>
              </w:rPr>
            </w:pPr>
          </w:p>
        </w:tc>
        <w:tc>
          <w:tcPr>
            <w:tcW w:w="3426" w:type="dxa"/>
          </w:tcPr>
          <w:p w14:paraId="6C506042"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lastRenderedPageBreak/>
              <w:t>At Mind, we frequently hear from people with mental health problems who were unaware of their rights in the workplace at a time of illness. Often, this has left them feeling disempowered and kept them away from the workplace for longer than they needed or wanted to be.</w:t>
            </w:r>
          </w:p>
          <w:p w14:paraId="6289A455"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In most cases, they would have been in touch with a medical professional (often seeing a GP for fit notes) but they have not had guidance on their rights in the workplace. </w:t>
            </w:r>
          </w:p>
          <w:p w14:paraId="0A7F9C78" w14:textId="5572417F"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 xml:space="preserve">It is important that professionals who are working to support a person with mental health problems who are experiencing sickness absence should be equipped to remind them off their rights at work, or refer them to information that would help </w:t>
            </w:r>
            <w:r w:rsidRPr="006E36AE">
              <w:rPr>
                <w:rFonts w:ascii="Arial" w:hAnsi="Arial" w:cs="Arial"/>
                <w:bCs/>
                <w:sz w:val="22"/>
                <w:szCs w:val="22"/>
              </w:rPr>
              <w:lastRenderedPageBreak/>
              <w:t xml:space="preserve">them with this. In the long term, this could reduce the amount of care that the person needs, due to the positive benefits of accessing their rights at work. </w:t>
            </w:r>
          </w:p>
        </w:tc>
        <w:tc>
          <w:tcPr>
            <w:tcW w:w="3426" w:type="dxa"/>
          </w:tcPr>
          <w:p w14:paraId="1B477F34"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lastRenderedPageBreak/>
              <w:t xml:space="preserve">Scottish Association for Mental Health resource, ‘Know your rights: Employment’: </w:t>
            </w:r>
            <w:hyperlink r:id="rId48" w:history="1">
              <w:r w:rsidRPr="006E36AE">
                <w:rPr>
                  <w:rStyle w:val="Hyperlink"/>
                  <w:rFonts w:cs="Arial"/>
                  <w:bCs/>
                  <w:sz w:val="22"/>
                  <w:szCs w:val="22"/>
                </w:rPr>
                <w:t>https://www.samh.org.uk/about-mental-health/know-your-rights/employment</w:t>
              </w:r>
            </w:hyperlink>
          </w:p>
          <w:p w14:paraId="20E7AE1B"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Mind’s guidance ‘How to be mentally healthy at work’: </w:t>
            </w:r>
            <w:hyperlink r:id="rId49" w:history="1">
              <w:r w:rsidRPr="006E36AE">
                <w:rPr>
                  <w:rStyle w:val="Hyperlink"/>
                  <w:rFonts w:cs="Arial"/>
                  <w:bCs/>
                  <w:sz w:val="22"/>
                  <w:szCs w:val="22"/>
                </w:rPr>
                <w:t>https://www.mind.org.uk/information-support/tips-for-everyday-living/workplace-mental-health/work-and-mental-health/</w:t>
              </w:r>
            </w:hyperlink>
          </w:p>
          <w:p w14:paraId="5CA26676" w14:textId="77777777" w:rsidR="005A6352" w:rsidRPr="006E36AE" w:rsidRDefault="005A6352" w:rsidP="005A6352">
            <w:pPr>
              <w:pStyle w:val="Paragraphnonumbers"/>
              <w:numPr>
                <w:ilvl w:val="0"/>
                <w:numId w:val="52"/>
              </w:numPr>
              <w:spacing w:after="60" w:line="240" w:lineRule="auto"/>
              <w:ind w:left="0" w:firstLine="0"/>
              <w:rPr>
                <w:rFonts w:cs="Arial"/>
                <w:sz w:val="22"/>
                <w:szCs w:val="22"/>
              </w:rPr>
            </w:pPr>
          </w:p>
        </w:tc>
      </w:tr>
      <w:tr w:rsidR="005A6352" w:rsidRPr="006E36AE" w14:paraId="5C20C8EA" w14:textId="77777777" w:rsidTr="006E36AE">
        <w:trPr>
          <w:trHeight w:val="282"/>
        </w:trPr>
        <w:tc>
          <w:tcPr>
            <w:tcW w:w="704" w:type="dxa"/>
          </w:tcPr>
          <w:p w14:paraId="1FEF3900" w14:textId="1832581C" w:rsidR="005A6352" w:rsidRPr="006E36AE" w:rsidRDefault="005A6352" w:rsidP="005A6352">
            <w:pPr>
              <w:pStyle w:val="Tabletext"/>
              <w:rPr>
                <w:rFonts w:cs="Arial"/>
                <w:bCs/>
                <w:szCs w:val="22"/>
              </w:rPr>
            </w:pPr>
            <w:r w:rsidRPr="006E36AE">
              <w:rPr>
                <w:rFonts w:cs="Arial"/>
                <w:bCs/>
                <w:szCs w:val="22"/>
              </w:rPr>
              <w:t>2</w:t>
            </w:r>
            <w:r w:rsidR="00BE1EE9">
              <w:rPr>
                <w:rFonts w:cs="Arial"/>
                <w:bCs/>
                <w:szCs w:val="22"/>
              </w:rPr>
              <w:t>4</w:t>
            </w:r>
          </w:p>
        </w:tc>
        <w:tc>
          <w:tcPr>
            <w:tcW w:w="1701" w:type="dxa"/>
          </w:tcPr>
          <w:p w14:paraId="376A66E7" w14:textId="2F4B4BFA" w:rsidR="005A6352" w:rsidRPr="006E36AE" w:rsidRDefault="005A6352" w:rsidP="005A6352">
            <w:pPr>
              <w:pStyle w:val="Tabletext"/>
              <w:rPr>
                <w:rFonts w:cs="Arial"/>
                <w:bCs/>
                <w:szCs w:val="22"/>
              </w:rPr>
            </w:pPr>
            <w:r w:rsidRPr="006E36AE">
              <w:rPr>
                <w:rFonts w:cs="Arial"/>
                <w:bCs/>
                <w:szCs w:val="22"/>
              </w:rPr>
              <w:t>Mind</w:t>
            </w:r>
          </w:p>
        </w:tc>
        <w:tc>
          <w:tcPr>
            <w:tcW w:w="1985" w:type="dxa"/>
          </w:tcPr>
          <w:p w14:paraId="76AE81CC"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Support with benefits claims for people with health-conditions who face barriers to work</w:t>
            </w:r>
          </w:p>
          <w:p w14:paraId="1FB65B7F" w14:textId="77777777" w:rsidR="005A6352" w:rsidRPr="006E36AE" w:rsidRDefault="005A6352" w:rsidP="005A6352">
            <w:pPr>
              <w:pStyle w:val="Paragraphnonumbers"/>
              <w:spacing w:after="60" w:line="240" w:lineRule="auto"/>
              <w:rPr>
                <w:rFonts w:cs="Arial"/>
                <w:bCs/>
                <w:sz w:val="22"/>
                <w:szCs w:val="22"/>
              </w:rPr>
            </w:pPr>
          </w:p>
          <w:p w14:paraId="07FA84B6" w14:textId="77777777" w:rsidR="005A6352" w:rsidRPr="006E36AE" w:rsidRDefault="005A6352" w:rsidP="005A6352">
            <w:pPr>
              <w:pStyle w:val="Tabletext"/>
              <w:rPr>
                <w:rFonts w:cs="Arial"/>
                <w:bCs/>
                <w:szCs w:val="22"/>
              </w:rPr>
            </w:pPr>
          </w:p>
        </w:tc>
        <w:tc>
          <w:tcPr>
            <w:tcW w:w="3426" w:type="dxa"/>
          </w:tcPr>
          <w:p w14:paraId="31E0D40E"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There is good evidence that financial difficulties can lead to worse health outcomes for people with mental health problems. People who are at risk of losing their jobs are particularly vulnerable to experiencing shocks in their income which can exacerbate the impact of an existing health problem.</w:t>
            </w:r>
          </w:p>
          <w:p w14:paraId="30C1F6F6" w14:textId="1933EA6A" w:rsidR="005A6352" w:rsidRPr="006E36AE" w:rsidRDefault="005A6352" w:rsidP="005A6352">
            <w:pPr>
              <w:pStyle w:val="Tabletext"/>
              <w:rPr>
                <w:rFonts w:cs="Arial"/>
                <w:bCs/>
                <w:szCs w:val="22"/>
              </w:rPr>
            </w:pPr>
            <w:r w:rsidRPr="006E36AE">
              <w:rPr>
                <w:rFonts w:cs="Arial"/>
                <w:bCs/>
                <w:szCs w:val="22"/>
                <w:lang w:eastAsia="en-GB"/>
              </w:rPr>
              <w:t xml:space="preserve">There is also evidence that support with benefits claims can have a significant impact on an individual’s recovery, including through quicker discharge from hospital, the prevention of relapse and preventing people from becoming homeless.  </w:t>
            </w:r>
          </w:p>
        </w:tc>
        <w:tc>
          <w:tcPr>
            <w:tcW w:w="3426" w:type="dxa"/>
          </w:tcPr>
          <w:p w14:paraId="1C2C01BA" w14:textId="77B4A95D"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 xml:space="preserve">Research from the Money and Mental Health Policy Institute has found that mental health practitioners often identify a need for their clients to receive targeted help with money and benefits problems, but can be unsure of the most effective way they can support with these needs.   </w:t>
            </w:r>
          </w:p>
        </w:tc>
        <w:tc>
          <w:tcPr>
            <w:tcW w:w="3426" w:type="dxa"/>
          </w:tcPr>
          <w:p w14:paraId="68D25237" w14:textId="77777777" w:rsidR="005A6352" w:rsidRPr="006E36AE" w:rsidRDefault="00DF1D4E" w:rsidP="005A6352">
            <w:pPr>
              <w:pStyle w:val="Paragraphnonumbers"/>
              <w:numPr>
                <w:ilvl w:val="0"/>
                <w:numId w:val="52"/>
              </w:numPr>
              <w:spacing w:after="60" w:line="240" w:lineRule="auto"/>
              <w:ind w:left="0" w:firstLine="0"/>
              <w:rPr>
                <w:rFonts w:cs="Arial"/>
                <w:bCs/>
                <w:sz w:val="22"/>
                <w:szCs w:val="22"/>
              </w:rPr>
            </w:pPr>
            <w:hyperlink r:id="rId50" w:history="1">
              <w:r w:rsidR="005A6352" w:rsidRPr="006E36AE">
                <w:rPr>
                  <w:rStyle w:val="Hyperlink"/>
                  <w:rFonts w:cs="Arial"/>
                  <w:bCs/>
                  <w:sz w:val="22"/>
                  <w:szCs w:val="22"/>
                </w:rPr>
                <w:t>Money and Mental Health: Whose job is it anyway? How mental health practitioners help navigate financial difficulty (2017)</w:t>
              </w:r>
            </w:hyperlink>
          </w:p>
          <w:p w14:paraId="67A8E484" w14:textId="77777777" w:rsidR="005A6352" w:rsidRPr="006E36AE" w:rsidRDefault="00DF1D4E" w:rsidP="005A6352">
            <w:pPr>
              <w:pStyle w:val="Paragraphnonumbers"/>
              <w:numPr>
                <w:ilvl w:val="0"/>
                <w:numId w:val="52"/>
              </w:numPr>
              <w:spacing w:after="60" w:line="240" w:lineRule="auto"/>
              <w:ind w:left="0" w:firstLine="0"/>
              <w:rPr>
                <w:rFonts w:cs="Arial"/>
                <w:bCs/>
                <w:sz w:val="22"/>
                <w:szCs w:val="22"/>
              </w:rPr>
            </w:pPr>
            <w:hyperlink r:id="rId51" w:history="1">
              <w:r w:rsidR="005A6352" w:rsidRPr="006E36AE">
                <w:rPr>
                  <w:rStyle w:val="Hyperlink"/>
                  <w:rFonts w:cs="Arial"/>
                  <w:bCs/>
                  <w:sz w:val="22"/>
                  <w:szCs w:val="22"/>
                </w:rPr>
                <w:t>Money and Mental Health: Too ill to work, too broke not to: The cost of sickness absence for people with mental health problems (2018)</w:t>
              </w:r>
            </w:hyperlink>
          </w:p>
          <w:p w14:paraId="5553824E" w14:textId="77777777" w:rsidR="005A6352" w:rsidRPr="006E36AE" w:rsidRDefault="00DF1D4E" w:rsidP="005A6352">
            <w:pPr>
              <w:pStyle w:val="Paragraphnonumbers"/>
              <w:numPr>
                <w:ilvl w:val="0"/>
                <w:numId w:val="52"/>
              </w:numPr>
              <w:spacing w:after="60" w:line="240" w:lineRule="auto"/>
              <w:ind w:left="0" w:firstLine="0"/>
              <w:rPr>
                <w:rFonts w:cs="Arial"/>
                <w:bCs/>
                <w:sz w:val="22"/>
                <w:szCs w:val="22"/>
              </w:rPr>
            </w:pPr>
            <w:hyperlink r:id="rId52" w:history="1">
              <w:r w:rsidR="005A6352" w:rsidRPr="006E36AE">
                <w:rPr>
                  <w:rStyle w:val="Hyperlink"/>
                  <w:rFonts w:cs="Arial"/>
                  <w:bCs/>
                  <w:sz w:val="22"/>
                  <w:szCs w:val="22"/>
                </w:rPr>
                <w:t>Citizens Advice: Joining the dots Integrating practical support in mental healthcare settings in England (2017)</w:t>
              </w:r>
            </w:hyperlink>
          </w:p>
          <w:p w14:paraId="5F4B058D" w14:textId="7FBAC8D1" w:rsidR="005A6352" w:rsidRPr="006E36AE" w:rsidRDefault="00DF1D4E" w:rsidP="005A6352">
            <w:pPr>
              <w:spacing w:after="60"/>
              <w:rPr>
                <w:rFonts w:ascii="Arial" w:hAnsi="Arial" w:cs="Arial"/>
                <w:bCs/>
                <w:sz w:val="22"/>
                <w:szCs w:val="22"/>
              </w:rPr>
            </w:pPr>
            <w:hyperlink r:id="rId53" w:history="1">
              <w:r w:rsidR="005A6352" w:rsidRPr="006E36AE">
                <w:rPr>
                  <w:rStyle w:val="Hyperlink"/>
                  <w:rFonts w:ascii="Arial" w:hAnsi="Arial" w:cs="Arial"/>
                  <w:bCs/>
                  <w:sz w:val="22"/>
                  <w:szCs w:val="22"/>
                </w:rPr>
                <w:t>Centre for Mental Health: Welfare advice for people who use mental health services (2013)</w:t>
              </w:r>
            </w:hyperlink>
          </w:p>
        </w:tc>
      </w:tr>
      <w:tr w:rsidR="005A6352" w:rsidRPr="006E36AE" w14:paraId="7699BEDC" w14:textId="77777777" w:rsidTr="006E36AE">
        <w:trPr>
          <w:trHeight w:val="282"/>
        </w:trPr>
        <w:tc>
          <w:tcPr>
            <w:tcW w:w="704" w:type="dxa"/>
          </w:tcPr>
          <w:p w14:paraId="55AB3330" w14:textId="45C2EF99" w:rsidR="005A6352" w:rsidRPr="006E36AE" w:rsidRDefault="005A6352" w:rsidP="005A6352">
            <w:pPr>
              <w:pStyle w:val="Tabletext"/>
              <w:rPr>
                <w:rFonts w:cs="Arial"/>
                <w:bCs/>
                <w:szCs w:val="22"/>
              </w:rPr>
            </w:pPr>
            <w:r w:rsidRPr="006E36AE">
              <w:rPr>
                <w:rFonts w:cs="Arial"/>
                <w:bCs/>
                <w:szCs w:val="22"/>
              </w:rPr>
              <w:t>2</w:t>
            </w:r>
            <w:r w:rsidR="00BE1EE9">
              <w:rPr>
                <w:rFonts w:cs="Arial"/>
                <w:bCs/>
                <w:szCs w:val="22"/>
              </w:rPr>
              <w:t>5</w:t>
            </w:r>
          </w:p>
        </w:tc>
        <w:tc>
          <w:tcPr>
            <w:tcW w:w="1701" w:type="dxa"/>
          </w:tcPr>
          <w:p w14:paraId="23D793C7" w14:textId="0A1B8FE5" w:rsidR="005A6352" w:rsidRPr="006E36AE" w:rsidRDefault="005A6352" w:rsidP="005A6352">
            <w:pPr>
              <w:pStyle w:val="Tabletext"/>
              <w:rPr>
                <w:rFonts w:cs="Arial"/>
                <w:bCs/>
                <w:szCs w:val="22"/>
              </w:rPr>
            </w:pPr>
            <w:r w:rsidRPr="006E36AE">
              <w:rPr>
                <w:rFonts w:cs="Arial"/>
                <w:bCs/>
                <w:szCs w:val="22"/>
              </w:rPr>
              <w:t>Mind</w:t>
            </w:r>
          </w:p>
        </w:tc>
        <w:tc>
          <w:tcPr>
            <w:tcW w:w="1985" w:type="dxa"/>
          </w:tcPr>
          <w:p w14:paraId="204CFCE1" w14:textId="5E6BE9CE" w:rsidR="005A6352" w:rsidRPr="006E36AE" w:rsidRDefault="005A6352" w:rsidP="005A6352">
            <w:pPr>
              <w:pStyle w:val="Tabletext"/>
              <w:rPr>
                <w:rFonts w:cs="Arial"/>
                <w:bCs/>
                <w:szCs w:val="22"/>
              </w:rPr>
            </w:pPr>
            <w:r w:rsidRPr="006E36AE">
              <w:rPr>
                <w:rFonts w:cs="Arial"/>
                <w:bCs/>
                <w:szCs w:val="22"/>
              </w:rPr>
              <w:t>Employers providing reasonable adjustments</w:t>
            </w:r>
          </w:p>
        </w:tc>
        <w:tc>
          <w:tcPr>
            <w:tcW w:w="3426" w:type="dxa"/>
          </w:tcPr>
          <w:p w14:paraId="6CF564B7"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Making reasonable adjustments is a legal requirement under the Equality Act 2010 and these adjustments are vital in enabling people with a mental or physical disability to obtain and retain employment. </w:t>
            </w:r>
          </w:p>
          <w:p w14:paraId="448E176F" w14:textId="1D25BB5E" w:rsidR="005A6352" w:rsidRPr="006E36AE" w:rsidRDefault="005A6352" w:rsidP="005A6352">
            <w:pPr>
              <w:pStyle w:val="Tabletext"/>
              <w:rPr>
                <w:rFonts w:cs="Arial"/>
                <w:bCs/>
                <w:szCs w:val="22"/>
              </w:rPr>
            </w:pPr>
            <w:r w:rsidRPr="006E36AE">
              <w:rPr>
                <w:rFonts w:cs="Arial"/>
                <w:bCs/>
                <w:szCs w:val="22"/>
                <w:lang w:eastAsia="en-GB"/>
              </w:rPr>
              <w:lastRenderedPageBreak/>
              <w:t>Protecting employees with a disability from discrimination and creating working environments is not just a legal obligation but also creates a more diverse and inclusive organisation that is able to attract a wider range of talent.</w:t>
            </w:r>
          </w:p>
        </w:tc>
        <w:tc>
          <w:tcPr>
            <w:tcW w:w="3426" w:type="dxa"/>
          </w:tcPr>
          <w:p w14:paraId="4B91B46E"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lastRenderedPageBreak/>
              <w:t xml:space="preserve">There is a large disparity in employment between people with a disability and those without that needs to be addressed. According to the Office for National Statistics (ONS). Between 2013 and 2019 </w:t>
            </w:r>
            <w:r w:rsidRPr="006E36AE">
              <w:rPr>
                <w:rFonts w:cs="Arial"/>
                <w:bCs/>
                <w:sz w:val="22"/>
                <w:szCs w:val="22"/>
              </w:rPr>
              <w:lastRenderedPageBreak/>
              <w:t>data shows roughly half of people with a disability were in employment (53.2%) compared with just over four out of five people without a disability (81.8%). People whose ‘main impairment’ is depression, bad nerves or anxiety formed the largest group of those with a disability at 17.6%, with ‘mental illness or other nervous disorders’ accounting for a further 3.9%.</w:t>
            </w:r>
          </w:p>
          <w:p w14:paraId="2FC3AB0A"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To close this employment gap, awareness needs to be raised that protection from discrimination under the Equality Act begins as soon as an employee formally discloses their disability or an employer has evidence to reasonably indicate that an employee has a disability. As soon as an employer is aware that something about work is causing a problem for someone with a </w:t>
            </w:r>
            <w:proofErr w:type="gramStart"/>
            <w:r w:rsidRPr="006E36AE">
              <w:rPr>
                <w:rFonts w:cs="Arial"/>
                <w:bCs/>
                <w:sz w:val="22"/>
                <w:szCs w:val="22"/>
              </w:rPr>
              <w:t>disability</w:t>
            </w:r>
            <w:proofErr w:type="gramEnd"/>
            <w:r w:rsidRPr="006E36AE">
              <w:rPr>
                <w:rFonts w:cs="Arial"/>
                <w:bCs/>
                <w:sz w:val="22"/>
                <w:szCs w:val="22"/>
              </w:rPr>
              <w:t xml:space="preserve"> they have a legal duty to make reasonable adjustments. Providing the right support for people experiencing mental health problems will lead to greater employee retention, </w:t>
            </w:r>
            <w:r w:rsidRPr="006E36AE">
              <w:rPr>
                <w:rFonts w:cs="Arial"/>
                <w:bCs/>
                <w:sz w:val="22"/>
                <w:szCs w:val="22"/>
              </w:rPr>
              <w:lastRenderedPageBreak/>
              <w:t>decreased discrimination and help close this employment gap.</w:t>
            </w:r>
          </w:p>
          <w:p w14:paraId="008578A0"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Increasing awareness of reasonable adjustments will become even more pressing as people return to work after the coronavirus lockdown, with many people expected to have worsened existing or developed new mental health problems.</w:t>
            </w:r>
          </w:p>
          <w:p w14:paraId="1A25D30B" w14:textId="1B714B5F"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There have also been recent clarifications to the law surrounding reasonable adjustments due to an Employment Appeal Tribunal that employers and employees need to understand. This clarification means employers must make reasonable adjustments to address any interpersonal issues that affect people with mental health problems in the workplace, and they may also need to give concrete and permanent solutions to these interpersonal issues.</w:t>
            </w:r>
          </w:p>
        </w:tc>
        <w:tc>
          <w:tcPr>
            <w:tcW w:w="3426" w:type="dxa"/>
          </w:tcPr>
          <w:p w14:paraId="64654CA9"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lastRenderedPageBreak/>
              <w:t xml:space="preserve">Section of the Equality Act 2010 (chapter 2 section 20) regarding ‘adjustments for disabled persons’: </w:t>
            </w:r>
            <w:hyperlink r:id="rId54" w:history="1">
              <w:r w:rsidRPr="006E36AE">
                <w:rPr>
                  <w:rStyle w:val="Hyperlink"/>
                  <w:rFonts w:cs="Arial"/>
                  <w:bCs/>
                  <w:sz w:val="22"/>
                  <w:szCs w:val="22"/>
                </w:rPr>
                <w:t>https://www.legislation.gov.uk/ukpga/2010/15/section/20</w:t>
              </w:r>
            </w:hyperlink>
            <w:r w:rsidRPr="006E36AE">
              <w:rPr>
                <w:rFonts w:cs="Arial"/>
                <w:bCs/>
                <w:sz w:val="22"/>
                <w:szCs w:val="22"/>
              </w:rPr>
              <w:t xml:space="preserve"> </w:t>
            </w:r>
          </w:p>
          <w:p w14:paraId="1D3AC9DF"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lastRenderedPageBreak/>
              <w:t xml:space="preserve">Please see guidance on reasonable adjustments outlined by Mind’s legal team: </w:t>
            </w:r>
            <w:hyperlink r:id="rId55" w:history="1">
              <w:r w:rsidRPr="006E36AE">
                <w:rPr>
                  <w:rStyle w:val="Hyperlink"/>
                  <w:rFonts w:cs="Arial"/>
                  <w:bCs/>
                  <w:sz w:val="22"/>
                  <w:szCs w:val="22"/>
                </w:rPr>
                <w:t>https://www.mind.org.uk/information-support/legal-rights/discrimination-in-everyday-life/reasonable-adjustments/</w:t>
              </w:r>
            </w:hyperlink>
            <w:r w:rsidRPr="006E36AE">
              <w:rPr>
                <w:rFonts w:cs="Arial"/>
                <w:bCs/>
                <w:sz w:val="22"/>
                <w:szCs w:val="22"/>
              </w:rPr>
              <w:t xml:space="preserve"> </w:t>
            </w:r>
          </w:p>
          <w:p w14:paraId="735F4354"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ONS figures showing employment disparity between those with a disability and those without Disability and employment: </w:t>
            </w:r>
            <w:hyperlink r:id="rId56" w:history="1">
              <w:r w:rsidRPr="006E36AE">
                <w:rPr>
                  <w:rStyle w:val="Hyperlink"/>
                  <w:rFonts w:cs="Arial"/>
                  <w:bCs/>
                  <w:sz w:val="22"/>
                  <w:szCs w:val="22"/>
                </w:rPr>
                <w:t>https://www.ons.gov.uk/peoplepopulationandcommunity/healthandsocialcare/disability/bulletins/disabilityandemploymentuk/2019</w:t>
              </w:r>
            </w:hyperlink>
            <w:r w:rsidRPr="006E36AE">
              <w:rPr>
                <w:rFonts w:cs="Arial"/>
                <w:bCs/>
                <w:sz w:val="22"/>
                <w:szCs w:val="22"/>
              </w:rPr>
              <w:t xml:space="preserve"> </w:t>
            </w:r>
          </w:p>
          <w:p w14:paraId="28A6ED1F"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Rethink Mental Illness guide: ‘What’s reasonable at work’ </w:t>
            </w:r>
            <w:hyperlink r:id="rId57" w:history="1">
              <w:r w:rsidRPr="006E36AE">
                <w:rPr>
                  <w:rStyle w:val="Hyperlink"/>
                  <w:rFonts w:cs="Arial"/>
                  <w:bCs/>
                  <w:sz w:val="22"/>
                  <w:szCs w:val="22"/>
                </w:rPr>
                <w:t>https://www.rethink.org/media/2818/whats-reasonable-at-work.pdf</w:t>
              </w:r>
            </w:hyperlink>
            <w:r w:rsidRPr="006E36AE">
              <w:rPr>
                <w:rFonts w:cs="Arial"/>
                <w:bCs/>
                <w:sz w:val="22"/>
                <w:szCs w:val="22"/>
              </w:rPr>
              <w:t xml:space="preserve"> </w:t>
            </w:r>
          </w:p>
          <w:p w14:paraId="26E37EA1"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Chartered Institute of Personnel and Development (CIPD) article: How can we shrink the disability employment gap? </w:t>
            </w:r>
            <w:hyperlink r:id="rId58" w:history="1">
              <w:r w:rsidRPr="006E36AE">
                <w:rPr>
                  <w:rStyle w:val="Hyperlink"/>
                  <w:rFonts w:cs="Arial"/>
                  <w:bCs/>
                  <w:sz w:val="22"/>
                  <w:szCs w:val="22"/>
                </w:rPr>
                <w:t>https://www.cipd.co.uk/news-views/cipd-voice/issue-16/disability-employment-gap</w:t>
              </w:r>
            </w:hyperlink>
            <w:r w:rsidRPr="006E36AE">
              <w:rPr>
                <w:rFonts w:cs="Arial"/>
                <w:bCs/>
                <w:sz w:val="22"/>
                <w:szCs w:val="22"/>
              </w:rPr>
              <w:t xml:space="preserve"> </w:t>
            </w:r>
          </w:p>
          <w:p w14:paraId="007D9B18"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International Comparative Legal Guides (ICLG) article touches on reasonable adjustments post-</w:t>
            </w:r>
            <w:r w:rsidRPr="006E36AE">
              <w:rPr>
                <w:rFonts w:cs="Arial"/>
                <w:bCs/>
                <w:sz w:val="22"/>
                <w:szCs w:val="22"/>
              </w:rPr>
              <w:lastRenderedPageBreak/>
              <w:t xml:space="preserve">lockdown: ‘Post-Lockdown Issues for Employers’ </w:t>
            </w:r>
            <w:hyperlink r:id="rId59" w:history="1">
              <w:r w:rsidRPr="006E36AE">
                <w:rPr>
                  <w:rStyle w:val="Hyperlink"/>
                  <w:rFonts w:cs="Arial"/>
                  <w:bCs/>
                  <w:sz w:val="22"/>
                  <w:szCs w:val="22"/>
                </w:rPr>
                <w:t>https://iclg.com/briefing/13810-united-kingdom-people-post-lockdown-issues-for-employers</w:t>
              </w:r>
            </w:hyperlink>
            <w:r w:rsidRPr="006E36AE">
              <w:rPr>
                <w:rFonts w:cs="Arial"/>
                <w:bCs/>
                <w:sz w:val="22"/>
                <w:szCs w:val="22"/>
              </w:rPr>
              <w:t xml:space="preserve"> </w:t>
            </w:r>
          </w:p>
          <w:p w14:paraId="381E1F0B" w14:textId="6DB38876"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 xml:space="preserve">Employment Appeal Tribunal (Hill vs Lloyds Bank PLC) document outlining clarification of reasonable adjustments law: </w:t>
            </w:r>
            <w:hyperlink r:id="rId60" w:history="1">
              <w:r w:rsidRPr="006E36AE">
                <w:rPr>
                  <w:rStyle w:val="Hyperlink"/>
                  <w:rFonts w:ascii="Arial" w:hAnsi="Arial" w:cs="Arial"/>
                  <w:bCs/>
                  <w:sz w:val="22"/>
                  <w:szCs w:val="22"/>
                </w:rPr>
                <w:t>https://assets.publishing.service.gov.uk/media/5efcc303d3bf7f768e27c64d/Mrs_S_Hill_v_Lloyds_Bank_Plc_UKEAT_0173_19_LA.pdf</w:t>
              </w:r>
            </w:hyperlink>
            <w:r w:rsidRPr="006E36AE">
              <w:rPr>
                <w:rFonts w:ascii="Arial" w:hAnsi="Arial" w:cs="Arial"/>
                <w:bCs/>
                <w:sz w:val="22"/>
                <w:szCs w:val="22"/>
              </w:rPr>
              <w:t xml:space="preserve"> </w:t>
            </w:r>
          </w:p>
        </w:tc>
      </w:tr>
      <w:tr w:rsidR="005A6352" w:rsidRPr="006E36AE" w14:paraId="5A5F502C" w14:textId="77777777" w:rsidTr="006E36AE">
        <w:trPr>
          <w:trHeight w:val="282"/>
        </w:trPr>
        <w:tc>
          <w:tcPr>
            <w:tcW w:w="704" w:type="dxa"/>
          </w:tcPr>
          <w:p w14:paraId="6B58D731" w14:textId="457AD1B0" w:rsidR="005A6352" w:rsidRPr="006E36AE" w:rsidRDefault="005A6352" w:rsidP="005A6352">
            <w:pPr>
              <w:pStyle w:val="Tabletext"/>
              <w:rPr>
                <w:rFonts w:cs="Arial"/>
                <w:bCs/>
                <w:szCs w:val="22"/>
              </w:rPr>
            </w:pPr>
            <w:r w:rsidRPr="006E36AE">
              <w:rPr>
                <w:rFonts w:cs="Arial"/>
                <w:bCs/>
                <w:szCs w:val="22"/>
              </w:rPr>
              <w:lastRenderedPageBreak/>
              <w:t>2</w:t>
            </w:r>
            <w:r w:rsidR="00BE1EE9">
              <w:rPr>
                <w:rFonts w:cs="Arial"/>
                <w:bCs/>
                <w:szCs w:val="22"/>
              </w:rPr>
              <w:t>6</w:t>
            </w:r>
          </w:p>
        </w:tc>
        <w:tc>
          <w:tcPr>
            <w:tcW w:w="1701" w:type="dxa"/>
          </w:tcPr>
          <w:p w14:paraId="4A445029" w14:textId="7F5307BA" w:rsidR="005A6352" w:rsidRPr="006E36AE" w:rsidRDefault="005A6352" w:rsidP="005A6352">
            <w:pPr>
              <w:pStyle w:val="Tabletext"/>
              <w:rPr>
                <w:rFonts w:cs="Arial"/>
                <w:bCs/>
                <w:szCs w:val="22"/>
              </w:rPr>
            </w:pPr>
            <w:r w:rsidRPr="006E36AE">
              <w:rPr>
                <w:rFonts w:cs="Arial"/>
                <w:bCs/>
                <w:szCs w:val="22"/>
              </w:rPr>
              <w:t>Mind</w:t>
            </w:r>
          </w:p>
        </w:tc>
        <w:tc>
          <w:tcPr>
            <w:tcW w:w="1985" w:type="dxa"/>
          </w:tcPr>
          <w:p w14:paraId="39C41B52" w14:textId="2F5C6095" w:rsidR="005A6352" w:rsidRPr="006E36AE" w:rsidRDefault="005A6352" w:rsidP="005A6352">
            <w:pPr>
              <w:pStyle w:val="Tabletext"/>
              <w:rPr>
                <w:rFonts w:cs="Arial"/>
                <w:bCs/>
                <w:szCs w:val="22"/>
              </w:rPr>
            </w:pPr>
            <w:r w:rsidRPr="006E36AE">
              <w:rPr>
                <w:rFonts w:cs="Arial"/>
                <w:bCs/>
                <w:szCs w:val="22"/>
              </w:rPr>
              <w:t>Individual Placement and Support (IPS) provision</w:t>
            </w:r>
          </w:p>
        </w:tc>
        <w:tc>
          <w:tcPr>
            <w:tcW w:w="3426" w:type="dxa"/>
          </w:tcPr>
          <w:p w14:paraId="3358FE3E" w14:textId="05F21145" w:rsidR="005A6352" w:rsidRPr="006E36AE" w:rsidRDefault="005A6352" w:rsidP="005A6352">
            <w:pPr>
              <w:pStyle w:val="Tabletext"/>
              <w:rPr>
                <w:rFonts w:cs="Arial"/>
                <w:bCs/>
                <w:szCs w:val="22"/>
              </w:rPr>
            </w:pPr>
            <w:r w:rsidRPr="006E36AE">
              <w:rPr>
                <w:rFonts w:cs="Arial"/>
                <w:bCs/>
                <w:szCs w:val="22"/>
                <w:lang w:eastAsia="en-GB"/>
              </w:rPr>
              <w:t xml:space="preserve">IPS has been shown to be very effective in supporting people with mental health problems into work. IPS programmes support </w:t>
            </w:r>
            <w:r w:rsidRPr="006E36AE">
              <w:rPr>
                <w:rFonts w:cs="Arial"/>
                <w:bCs/>
                <w:szCs w:val="22"/>
                <w:lang w:eastAsia="en-GB"/>
              </w:rPr>
              <w:lastRenderedPageBreak/>
              <w:t xml:space="preserve">people who feel ready to work to find the type of work that they want to do. IPS then provides individualised support for the person and their employer, for an unlimited </w:t>
            </w:r>
            <w:proofErr w:type="gramStart"/>
            <w:r w:rsidRPr="006E36AE">
              <w:rPr>
                <w:rFonts w:cs="Arial"/>
                <w:bCs/>
                <w:szCs w:val="22"/>
                <w:lang w:eastAsia="en-GB"/>
              </w:rPr>
              <w:t>period of time</w:t>
            </w:r>
            <w:proofErr w:type="gramEnd"/>
            <w:r w:rsidRPr="006E36AE">
              <w:rPr>
                <w:rFonts w:cs="Arial"/>
                <w:bCs/>
                <w:szCs w:val="22"/>
                <w:lang w:eastAsia="en-GB"/>
              </w:rPr>
              <w:t xml:space="preserve">. </w:t>
            </w:r>
          </w:p>
        </w:tc>
        <w:tc>
          <w:tcPr>
            <w:tcW w:w="3426" w:type="dxa"/>
          </w:tcPr>
          <w:p w14:paraId="781E681D" w14:textId="328D2F14" w:rsidR="005A6352" w:rsidRPr="006E36AE" w:rsidRDefault="005A6352" w:rsidP="005A6352">
            <w:pPr>
              <w:spacing w:after="60"/>
              <w:rPr>
                <w:rFonts w:ascii="Arial" w:hAnsi="Arial" w:cs="Arial"/>
                <w:bCs/>
                <w:sz w:val="22"/>
                <w:szCs w:val="22"/>
              </w:rPr>
            </w:pPr>
            <w:r w:rsidRPr="006E36AE">
              <w:rPr>
                <w:rFonts w:ascii="Arial" w:hAnsi="Arial" w:cs="Arial"/>
                <w:bCs/>
                <w:sz w:val="22"/>
                <w:szCs w:val="22"/>
              </w:rPr>
              <w:lastRenderedPageBreak/>
              <w:t xml:space="preserve">The NHS Long Term Plan committed to expanding the provision of IPS, but it is crucial that more employment support </w:t>
            </w:r>
            <w:r w:rsidRPr="006E36AE">
              <w:rPr>
                <w:rFonts w:ascii="Arial" w:hAnsi="Arial" w:cs="Arial"/>
                <w:bCs/>
                <w:sz w:val="22"/>
                <w:szCs w:val="22"/>
              </w:rPr>
              <w:lastRenderedPageBreak/>
              <w:t xml:space="preserve">and back-to-work programmes take on more of the principles of IPS, so that more people with a range of mental health problems have access to employment support which really works. </w:t>
            </w:r>
          </w:p>
        </w:tc>
        <w:tc>
          <w:tcPr>
            <w:tcW w:w="3426" w:type="dxa"/>
          </w:tcPr>
          <w:p w14:paraId="6D53CFC8"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lastRenderedPageBreak/>
              <w:t xml:space="preserve">NHS Long Term Plan, health and employment: </w:t>
            </w:r>
            <w:hyperlink r:id="rId61" w:history="1">
              <w:r w:rsidRPr="006E36AE">
                <w:rPr>
                  <w:rStyle w:val="Hyperlink"/>
                  <w:rFonts w:cs="Arial"/>
                  <w:bCs/>
                  <w:sz w:val="22"/>
                  <w:szCs w:val="22"/>
                </w:rPr>
                <w:t>https://www.longtermplan.nhs.uk</w:t>
              </w:r>
              <w:r w:rsidRPr="006E36AE">
                <w:rPr>
                  <w:rStyle w:val="Hyperlink"/>
                  <w:rFonts w:cs="Arial"/>
                  <w:bCs/>
                  <w:sz w:val="22"/>
                  <w:szCs w:val="22"/>
                </w:rPr>
                <w:lastRenderedPageBreak/>
                <w:t>/online-version/appendix/health-and-employment/</w:t>
              </w:r>
            </w:hyperlink>
          </w:p>
          <w:p w14:paraId="418D0756" w14:textId="43570A5E"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 xml:space="preserve">Centre for Mental Health resource on what IPS is and the evidence behind it: </w:t>
            </w:r>
            <w:hyperlink r:id="rId62" w:history="1">
              <w:r w:rsidRPr="006E36AE">
                <w:rPr>
                  <w:rStyle w:val="Hyperlink"/>
                  <w:rFonts w:ascii="Arial" w:hAnsi="Arial" w:cs="Arial"/>
                  <w:bCs/>
                  <w:sz w:val="22"/>
                  <w:szCs w:val="22"/>
                </w:rPr>
                <w:t>https://www.centreformentalhealth.org.uk/what-ips</w:t>
              </w:r>
            </w:hyperlink>
          </w:p>
        </w:tc>
      </w:tr>
      <w:tr w:rsidR="005A6352" w:rsidRPr="006E36AE" w14:paraId="0DBE10A8" w14:textId="77777777" w:rsidTr="006E36AE">
        <w:trPr>
          <w:trHeight w:val="282"/>
        </w:trPr>
        <w:tc>
          <w:tcPr>
            <w:tcW w:w="704" w:type="dxa"/>
          </w:tcPr>
          <w:p w14:paraId="2F82A6BE" w14:textId="710C0F73" w:rsidR="005A6352" w:rsidRPr="006E36AE" w:rsidRDefault="005A6352" w:rsidP="005A6352">
            <w:pPr>
              <w:pStyle w:val="Tabletext"/>
              <w:rPr>
                <w:rFonts w:cs="Arial"/>
                <w:bCs/>
                <w:szCs w:val="22"/>
              </w:rPr>
            </w:pPr>
            <w:r w:rsidRPr="006E36AE">
              <w:rPr>
                <w:rFonts w:cs="Arial"/>
                <w:bCs/>
                <w:szCs w:val="22"/>
              </w:rPr>
              <w:lastRenderedPageBreak/>
              <w:t>2</w:t>
            </w:r>
            <w:r w:rsidR="00BE1EE9">
              <w:rPr>
                <w:rFonts w:cs="Arial"/>
                <w:bCs/>
                <w:szCs w:val="22"/>
              </w:rPr>
              <w:t>7</w:t>
            </w:r>
          </w:p>
        </w:tc>
        <w:tc>
          <w:tcPr>
            <w:tcW w:w="1701" w:type="dxa"/>
          </w:tcPr>
          <w:p w14:paraId="42439CD1" w14:textId="3F2259D6" w:rsidR="005A6352" w:rsidRPr="006E36AE" w:rsidRDefault="005A6352" w:rsidP="005A6352">
            <w:pPr>
              <w:pStyle w:val="Tabletext"/>
              <w:rPr>
                <w:rFonts w:cs="Arial"/>
                <w:bCs/>
                <w:szCs w:val="22"/>
              </w:rPr>
            </w:pPr>
            <w:r w:rsidRPr="006E36AE">
              <w:rPr>
                <w:rFonts w:cs="Arial"/>
                <w:bCs/>
                <w:szCs w:val="22"/>
              </w:rPr>
              <w:t>Multiple Sclerosis Society</w:t>
            </w:r>
          </w:p>
        </w:tc>
        <w:tc>
          <w:tcPr>
            <w:tcW w:w="1985" w:type="dxa"/>
          </w:tcPr>
          <w:p w14:paraId="431B5484"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Key area for quality improvement 3</w:t>
            </w:r>
          </w:p>
          <w:p w14:paraId="36E3D6F1" w14:textId="0A861E74" w:rsidR="005A6352" w:rsidRPr="006E36AE" w:rsidRDefault="005A6352" w:rsidP="005A6352">
            <w:pPr>
              <w:pStyle w:val="Tabletext"/>
              <w:rPr>
                <w:rFonts w:cs="Arial"/>
                <w:bCs/>
                <w:szCs w:val="22"/>
              </w:rPr>
            </w:pPr>
            <w:r w:rsidRPr="006E36AE">
              <w:rPr>
                <w:rFonts w:cs="Arial"/>
                <w:bCs/>
                <w:szCs w:val="22"/>
              </w:rPr>
              <w:t>Reasonable adjustments</w:t>
            </w:r>
          </w:p>
        </w:tc>
        <w:tc>
          <w:tcPr>
            <w:tcW w:w="3426" w:type="dxa"/>
          </w:tcPr>
          <w:p w14:paraId="564AFB17"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Reasonable adjustments are required from employers by </w:t>
            </w:r>
            <w:proofErr w:type="gramStart"/>
            <w:r w:rsidRPr="006E36AE">
              <w:rPr>
                <w:rFonts w:cs="Arial"/>
                <w:bCs/>
                <w:sz w:val="22"/>
                <w:szCs w:val="22"/>
              </w:rPr>
              <w:t>law, and</w:t>
            </w:r>
            <w:proofErr w:type="gramEnd"/>
            <w:r w:rsidRPr="006E36AE">
              <w:rPr>
                <w:rFonts w:cs="Arial"/>
                <w:bCs/>
                <w:sz w:val="22"/>
                <w:szCs w:val="22"/>
              </w:rPr>
              <w:t xml:space="preserve"> are shown to improve employment outcomes for disabled people. However, lack of knowledge by employers of what is required of them and the available support through schemes such as Access to Work, mean that too many employers do not provide reasonable adjustments to people with MS. </w:t>
            </w:r>
          </w:p>
          <w:p w14:paraId="5DB9AD4C" w14:textId="158F8EFA" w:rsidR="005A6352" w:rsidRPr="006E36AE" w:rsidRDefault="005A6352" w:rsidP="005A6352">
            <w:pPr>
              <w:pStyle w:val="Tabletext"/>
              <w:rPr>
                <w:rFonts w:cs="Arial"/>
                <w:bCs/>
                <w:szCs w:val="22"/>
              </w:rPr>
            </w:pPr>
            <w:r w:rsidRPr="006E36AE">
              <w:rPr>
                <w:rFonts w:cs="Arial"/>
                <w:bCs/>
                <w:szCs w:val="22"/>
              </w:rPr>
              <w:t xml:space="preserve">Covid-19 has shown that working from home – one reasonable adjustments that can support a person with MS to stay in employment – as well as other adjustments such as changing work stations and providing specialist equipment, can be provided by employers in order to keep their employees safe. This change can be harnessed </w:t>
            </w:r>
            <w:r w:rsidRPr="006E36AE">
              <w:rPr>
                <w:rFonts w:cs="Arial"/>
                <w:bCs/>
                <w:szCs w:val="22"/>
              </w:rPr>
              <w:lastRenderedPageBreak/>
              <w:t xml:space="preserve">to provide better guidelines for employers on providing reasonable adjustments as a norm rather than in special cases. </w:t>
            </w:r>
          </w:p>
        </w:tc>
        <w:tc>
          <w:tcPr>
            <w:tcW w:w="3426" w:type="dxa"/>
          </w:tcPr>
          <w:p w14:paraId="373A1CF8" w14:textId="3F6CDCB2" w:rsidR="005A6352" w:rsidRPr="006E36AE" w:rsidRDefault="005A6352" w:rsidP="005A6352">
            <w:pPr>
              <w:spacing w:after="60"/>
              <w:rPr>
                <w:rFonts w:ascii="Arial" w:hAnsi="Arial" w:cs="Arial"/>
                <w:bCs/>
                <w:sz w:val="22"/>
                <w:szCs w:val="22"/>
              </w:rPr>
            </w:pPr>
            <w:r w:rsidRPr="006E36AE">
              <w:rPr>
                <w:rFonts w:ascii="Arial" w:hAnsi="Arial" w:cs="Arial"/>
                <w:bCs/>
                <w:sz w:val="22"/>
                <w:szCs w:val="22"/>
              </w:rPr>
              <w:lastRenderedPageBreak/>
              <w:t xml:space="preserve">Data from the APPG for MS reports that people with MS who ask for reasonable adjustments are more likely to have them put in place: overall 54% of respondents’ employers had made reasonable adjustments to their role, but where respondents had asked for adjustments, this figure rises to 78%. Those working for smaller organisations are less likely to have reasonable adjustments made for them than those working for medium or larger sized organisations. This may be because smaller employers have fewer HR resources to support them in providing adjustments. Access to Work is also not widely known enough with </w:t>
            </w:r>
            <w:proofErr w:type="gramStart"/>
            <w:r w:rsidRPr="006E36AE">
              <w:rPr>
                <w:rFonts w:ascii="Arial" w:hAnsi="Arial" w:cs="Arial"/>
                <w:bCs/>
                <w:sz w:val="22"/>
                <w:szCs w:val="22"/>
              </w:rPr>
              <w:t>employers, and</w:t>
            </w:r>
            <w:proofErr w:type="gramEnd"/>
            <w:r w:rsidRPr="006E36AE">
              <w:rPr>
                <w:rFonts w:ascii="Arial" w:hAnsi="Arial" w:cs="Arial"/>
                <w:bCs/>
                <w:sz w:val="22"/>
                <w:szCs w:val="22"/>
              </w:rPr>
              <w:t xml:space="preserve"> has been described previously as the ‘Government’s best kept secret’. </w:t>
            </w:r>
            <w:r w:rsidRPr="006E36AE">
              <w:rPr>
                <w:rFonts w:ascii="Arial" w:hAnsi="Arial" w:cs="Arial"/>
                <w:bCs/>
                <w:sz w:val="22"/>
                <w:szCs w:val="22"/>
              </w:rPr>
              <w:lastRenderedPageBreak/>
              <w:t xml:space="preserve">This clearly needs to change if more disabled people get the reasonable adjustments they need. </w:t>
            </w:r>
          </w:p>
        </w:tc>
        <w:tc>
          <w:tcPr>
            <w:tcW w:w="3426" w:type="dxa"/>
          </w:tcPr>
          <w:p w14:paraId="4B762033" w14:textId="4E5B6444" w:rsidR="005A6352" w:rsidRPr="006E36AE" w:rsidRDefault="005A6352" w:rsidP="005A6352">
            <w:pPr>
              <w:spacing w:after="60"/>
              <w:rPr>
                <w:rFonts w:ascii="Arial" w:hAnsi="Arial" w:cs="Arial"/>
                <w:bCs/>
                <w:sz w:val="22"/>
                <w:szCs w:val="22"/>
              </w:rPr>
            </w:pPr>
            <w:r w:rsidRPr="006E36AE">
              <w:rPr>
                <w:rFonts w:ascii="Arial" w:hAnsi="Arial" w:cs="Arial"/>
                <w:bCs/>
                <w:sz w:val="22"/>
                <w:szCs w:val="22"/>
              </w:rPr>
              <w:lastRenderedPageBreak/>
              <w:t xml:space="preserve">For more information on reasonable adjustments for people with MS see: </w:t>
            </w:r>
            <w:hyperlink r:id="rId63" w:history="1">
              <w:r w:rsidRPr="006E36AE">
                <w:rPr>
                  <w:rStyle w:val="Hyperlink"/>
                  <w:rFonts w:ascii="Arial" w:hAnsi="Arial" w:cs="Arial"/>
                  <w:bCs/>
                  <w:sz w:val="22"/>
                  <w:szCs w:val="22"/>
                </w:rPr>
                <w:t>All Party Parliamentary Group for MS (2016) Employment that works: Supporting people with MS in the workplace</w:t>
              </w:r>
            </w:hyperlink>
            <w:r w:rsidRPr="006E36AE">
              <w:rPr>
                <w:rFonts w:ascii="Arial" w:hAnsi="Arial" w:cs="Arial"/>
                <w:bCs/>
                <w:sz w:val="22"/>
                <w:szCs w:val="22"/>
              </w:rPr>
              <w:t>. p.26</w:t>
            </w:r>
          </w:p>
        </w:tc>
      </w:tr>
      <w:tr w:rsidR="005A6352" w:rsidRPr="006E36AE" w14:paraId="763494A5" w14:textId="77777777" w:rsidTr="006E36AE">
        <w:trPr>
          <w:trHeight w:val="282"/>
        </w:trPr>
        <w:tc>
          <w:tcPr>
            <w:tcW w:w="704" w:type="dxa"/>
          </w:tcPr>
          <w:p w14:paraId="5F3105FA" w14:textId="497E0755" w:rsidR="005A6352" w:rsidRPr="006E36AE" w:rsidRDefault="005A6352" w:rsidP="005A6352">
            <w:pPr>
              <w:pStyle w:val="Tabletext"/>
              <w:rPr>
                <w:rFonts w:cs="Arial"/>
                <w:bCs/>
                <w:szCs w:val="22"/>
              </w:rPr>
            </w:pPr>
            <w:r w:rsidRPr="006E36AE">
              <w:rPr>
                <w:rFonts w:cs="Arial"/>
                <w:bCs/>
                <w:szCs w:val="22"/>
              </w:rPr>
              <w:t>2</w:t>
            </w:r>
            <w:r w:rsidR="00BE1EE9">
              <w:rPr>
                <w:rFonts w:cs="Arial"/>
                <w:bCs/>
                <w:szCs w:val="22"/>
              </w:rPr>
              <w:t>8</w:t>
            </w:r>
          </w:p>
        </w:tc>
        <w:tc>
          <w:tcPr>
            <w:tcW w:w="1701" w:type="dxa"/>
          </w:tcPr>
          <w:p w14:paraId="76BF2D0C" w14:textId="7979CBBA" w:rsidR="005A6352" w:rsidRPr="006E36AE" w:rsidRDefault="005A6352" w:rsidP="005A6352">
            <w:pPr>
              <w:pStyle w:val="Tabletext"/>
              <w:rPr>
                <w:rFonts w:cs="Arial"/>
                <w:bCs/>
                <w:szCs w:val="22"/>
              </w:rPr>
            </w:pPr>
            <w:r w:rsidRPr="006E36AE">
              <w:rPr>
                <w:rFonts w:cs="Arial"/>
                <w:bCs/>
                <w:szCs w:val="22"/>
              </w:rPr>
              <w:t>National Rheumatoid Arthritis Society</w:t>
            </w:r>
          </w:p>
        </w:tc>
        <w:tc>
          <w:tcPr>
            <w:tcW w:w="1985" w:type="dxa"/>
          </w:tcPr>
          <w:p w14:paraId="1F300E69" w14:textId="5089994D" w:rsidR="005A6352" w:rsidRPr="006E36AE" w:rsidRDefault="005A6352" w:rsidP="005A6352">
            <w:pPr>
              <w:pStyle w:val="Tabletext"/>
              <w:rPr>
                <w:rFonts w:cs="Arial"/>
                <w:bCs/>
                <w:szCs w:val="22"/>
              </w:rPr>
            </w:pPr>
            <w:r w:rsidRPr="006E36AE">
              <w:rPr>
                <w:rFonts w:cs="Arial"/>
                <w:bCs/>
                <w:szCs w:val="22"/>
              </w:rPr>
              <w:t>Provision of stress and/or mental wellbeing support.</w:t>
            </w:r>
          </w:p>
        </w:tc>
        <w:tc>
          <w:tcPr>
            <w:tcW w:w="3426" w:type="dxa"/>
          </w:tcPr>
          <w:p w14:paraId="11A59F19" w14:textId="49CB0D31"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The 2017 NRAS Work Survey identified ‘work becoming emotionally more demanding’ as one of the factors most likely to make people with RA/inflammatory arthritis unable to continue working in the next 12 months.</w:t>
            </w:r>
          </w:p>
        </w:tc>
        <w:tc>
          <w:tcPr>
            <w:tcW w:w="3426" w:type="dxa"/>
          </w:tcPr>
          <w:p w14:paraId="19D54A77" w14:textId="0DC5F210"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In the provisional findings of an employment survey NRAS is running, help with stress or mental wellbeing were the 3</w:t>
            </w:r>
            <w:r w:rsidRPr="006E36AE">
              <w:rPr>
                <w:rFonts w:cs="Arial"/>
                <w:bCs/>
                <w:sz w:val="22"/>
                <w:szCs w:val="22"/>
                <w:vertAlign w:val="superscript"/>
              </w:rPr>
              <w:t>rd</w:t>
            </w:r>
            <w:r w:rsidRPr="006E36AE">
              <w:rPr>
                <w:rFonts w:cs="Arial"/>
                <w:bCs/>
                <w:sz w:val="22"/>
                <w:szCs w:val="22"/>
              </w:rPr>
              <w:t xml:space="preserve"> and 4</w:t>
            </w:r>
            <w:r w:rsidRPr="006E36AE">
              <w:rPr>
                <w:rFonts w:cs="Arial"/>
                <w:bCs/>
                <w:sz w:val="22"/>
                <w:szCs w:val="22"/>
                <w:vertAlign w:val="superscript"/>
              </w:rPr>
              <w:t>th</w:t>
            </w:r>
            <w:r w:rsidRPr="006E36AE">
              <w:rPr>
                <w:rFonts w:cs="Arial"/>
                <w:bCs/>
                <w:sz w:val="22"/>
                <w:szCs w:val="22"/>
              </w:rPr>
              <w:t xml:space="preserve"> most asked-for forms of support (24% and 30% respectively). Combined, more people cited these forms of support than any other form of support.</w:t>
            </w:r>
          </w:p>
        </w:tc>
        <w:tc>
          <w:tcPr>
            <w:tcW w:w="3426" w:type="dxa"/>
          </w:tcPr>
          <w:p w14:paraId="7DE3FA71"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Data on this subject is available in the NRAS 2017 Work Survey, accessible at https://www.nras.org.uk/work-survey-2017.</w:t>
            </w:r>
          </w:p>
          <w:p w14:paraId="2E0BCED1"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NRAS is currently running a work survey and may be able to provide further supporting data once that survey has closed.</w:t>
            </w:r>
          </w:p>
          <w:p w14:paraId="26967C8B" w14:textId="77777777" w:rsidR="005A6352" w:rsidRPr="006E36AE" w:rsidRDefault="005A6352" w:rsidP="005A6352">
            <w:pPr>
              <w:pStyle w:val="Paragraphnonumbers"/>
              <w:spacing w:after="60" w:line="240" w:lineRule="auto"/>
              <w:rPr>
                <w:rFonts w:cs="Arial"/>
                <w:bCs/>
                <w:sz w:val="22"/>
                <w:szCs w:val="22"/>
              </w:rPr>
            </w:pPr>
          </w:p>
        </w:tc>
      </w:tr>
      <w:tr w:rsidR="005A6352" w:rsidRPr="006E36AE" w14:paraId="139BDC07" w14:textId="77777777" w:rsidTr="006E36AE">
        <w:trPr>
          <w:trHeight w:val="282"/>
        </w:trPr>
        <w:tc>
          <w:tcPr>
            <w:tcW w:w="704" w:type="dxa"/>
          </w:tcPr>
          <w:p w14:paraId="39A8020F" w14:textId="3660B254" w:rsidR="005A6352" w:rsidRPr="006E36AE" w:rsidRDefault="005A6352" w:rsidP="005A6352">
            <w:pPr>
              <w:pStyle w:val="Tabletext"/>
              <w:rPr>
                <w:rFonts w:cs="Arial"/>
                <w:bCs/>
                <w:szCs w:val="22"/>
              </w:rPr>
            </w:pPr>
            <w:r w:rsidRPr="006E36AE">
              <w:rPr>
                <w:rFonts w:cs="Arial"/>
                <w:bCs/>
                <w:szCs w:val="22"/>
              </w:rPr>
              <w:t>2</w:t>
            </w:r>
            <w:r w:rsidR="00BE1EE9">
              <w:rPr>
                <w:rFonts w:cs="Arial"/>
                <w:bCs/>
                <w:szCs w:val="22"/>
              </w:rPr>
              <w:t>9</w:t>
            </w:r>
          </w:p>
        </w:tc>
        <w:tc>
          <w:tcPr>
            <w:tcW w:w="1701" w:type="dxa"/>
          </w:tcPr>
          <w:p w14:paraId="7D63C57F" w14:textId="39DF9C33" w:rsidR="005A6352" w:rsidRPr="006E36AE" w:rsidRDefault="005A6352" w:rsidP="005A6352">
            <w:pPr>
              <w:pStyle w:val="Tabletext"/>
              <w:rPr>
                <w:rFonts w:cs="Arial"/>
                <w:bCs/>
                <w:szCs w:val="22"/>
              </w:rPr>
            </w:pPr>
            <w:r w:rsidRPr="006E36AE">
              <w:rPr>
                <w:rFonts w:cs="Arial"/>
                <w:bCs/>
                <w:szCs w:val="22"/>
              </w:rPr>
              <w:t>National Rheumatoid Arthritis Society</w:t>
            </w:r>
          </w:p>
        </w:tc>
        <w:tc>
          <w:tcPr>
            <w:tcW w:w="1985" w:type="dxa"/>
          </w:tcPr>
          <w:p w14:paraId="779CA759" w14:textId="5278110A" w:rsidR="005A6352" w:rsidRPr="006E36AE" w:rsidRDefault="005A6352" w:rsidP="005A6352">
            <w:pPr>
              <w:pStyle w:val="Tabletext"/>
              <w:rPr>
                <w:rFonts w:cs="Arial"/>
                <w:bCs/>
                <w:szCs w:val="22"/>
              </w:rPr>
            </w:pPr>
            <w:r w:rsidRPr="006E36AE">
              <w:rPr>
                <w:rFonts w:cs="Arial"/>
                <w:bCs/>
                <w:szCs w:val="22"/>
              </w:rPr>
              <w:t xml:space="preserve">Working hours flexibility including option of working from home </w:t>
            </w:r>
          </w:p>
        </w:tc>
        <w:tc>
          <w:tcPr>
            <w:tcW w:w="3426" w:type="dxa"/>
          </w:tcPr>
          <w:p w14:paraId="63329588"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Flexibility in working hours can help people with RA/inflammatory arthritis in returning to work, or to stay in work. </w:t>
            </w:r>
          </w:p>
          <w:p w14:paraId="269F67A3"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NRAS’ 2017 </w:t>
            </w:r>
            <w:r w:rsidRPr="006E36AE">
              <w:rPr>
                <w:rFonts w:cs="Arial"/>
                <w:bCs/>
                <w:i/>
                <w:iCs/>
                <w:sz w:val="22"/>
                <w:szCs w:val="22"/>
              </w:rPr>
              <w:t>Work Matters</w:t>
            </w:r>
            <w:r w:rsidRPr="006E36AE">
              <w:rPr>
                <w:rFonts w:cs="Arial"/>
                <w:bCs/>
                <w:sz w:val="22"/>
                <w:szCs w:val="22"/>
              </w:rPr>
              <w:t xml:space="preserve"> report found that ‘fatigue affecting ability to work’ was the </w:t>
            </w:r>
            <w:proofErr w:type="gramStart"/>
            <w:r w:rsidRPr="006E36AE">
              <w:rPr>
                <w:rFonts w:cs="Arial"/>
                <w:bCs/>
                <w:sz w:val="22"/>
                <w:szCs w:val="22"/>
              </w:rPr>
              <w:t>most commonly cited</w:t>
            </w:r>
            <w:proofErr w:type="gramEnd"/>
            <w:r w:rsidRPr="006E36AE">
              <w:rPr>
                <w:rFonts w:cs="Arial"/>
                <w:bCs/>
                <w:sz w:val="22"/>
                <w:szCs w:val="22"/>
              </w:rPr>
              <w:t xml:space="preserve"> reason for leaving work. </w:t>
            </w:r>
          </w:p>
          <w:p w14:paraId="4C579AE7"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‘Lack of... time off when having a flair or for medical appointments’ were found to be major barriers to remaining in work cited by respondents.</w:t>
            </w:r>
          </w:p>
          <w:p w14:paraId="4FCCF83E" w14:textId="77777777" w:rsidR="005A6352" w:rsidRPr="006E36AE" w:rsidRDefault="005A6352" w:rsidP="005A6352">
            <w:pPr>
              <w:pStyle w:val="Tabletext"/>
              <w:rPr>
                <w:rFonts w:cs="Arial"/>
                <w:bCs/>
                <w:szCs w:val="22"/>
              </w:rPr>
            </w:pPr>
          </w:p>
        </w:tc>
        <w:tc>
          <w:tcPr>
            <w:tcW w:w="3426" w:type="dxa"/>
          </w:tcPr>
          <w:p w14:paraId="57DE5CB8"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lastRenderedPageBreak/>
              <w:t>In provisional findings of an employment survey NRAS is running, respondents told us:</w:t>
            </w:r>
          </w:p>
          <w:p w14:paraId="0897DFA8"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 before the pandemic 31% felt they could work from home, while 55% did not. Since lockdown, 56% now feel they can work from home, and only 26% do not. </w:t>
            </w:r>
          </w:p>
          <w:p w14:paraId="456BD738"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only 44% of respondents felt this improvement will last post-pandemic.</w:t>
            </w:r>
          </w:p>
          <w:p w14:paraId="055C468E" w14:textId="552C591B"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 xml:space="preserve">- progress in this area should be not be lost as lockdown ends. </w:t>
            </w:r>
          </w:p>
        </w:tc>
        <w:tc>
          <w:tcPr>
            <w:tcW w:w="3426" w:type="dxa"/>
          </w:tcPr>
          <w:p w14:paraId="216351E1"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Data on this subject is available in the NRAS 2017 Work Survey, accessible at https://www.nras.org.uk/work-survey-2017.</w:t>
            </w:r>
          </w:p>
          <w:p w14:paraId="7A48DBE2"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NRAS is currently running a work survey and may be able to provide further supporting data once that survey has closed. </w:t>
            </w:r>
          </w:p>
          <w:p w14:paraId="400B7BDE" w14:textId="0308C37E"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 xml:space="preserve">Of 185 respondents, 72 agreed or strongly agreed with the statement </w:t>
            </w:r>
            <w:r w:rsidRPr="006E36AE">
              <w:rPr>
                <w:rFonts w:ascii="Arial" w:hAnsi="Arial" w:cs="Arial"/>
                <w:bCs/>
                <w:i/>
                <w:iCs/>
                <w:sz w:val="22"/>
                <w:szCs w:val="22"/>
              </w:rPr>
              <w:t xml:space="preserve">‘I feel like I can work from home if I need to due to my inflammatory arthritis’ </w:t>
            </w:r>
            <w:r w:rsidRPr="006E36AE">
              <w:rPr>
                <w:rFonts w:ascii="Arial" w:hAnsi="Arial" w:cs="Arial"/>
                <w:bCs/>
                <w:sz w:val="22"/>
                <w:szCs w:val="22"/>
              </w:rPr>
              <w:t>compared with 53 before 23</w:t>
            </w:r>
            <w:r w:rsidRPr="006E36AE">
              <w:rPr>
                <w:rFonts w:ascii="Arial" w:hAnsi="Arial" w:cs="Arial"/>
                <w:bCs/>
                <w:sz w:val="22"/>
                <w:szCs w:val="22"/>
                <w:vertAlign w:val="superscript"/>
              </w:rPr>
              <w:t>rd</w:t>
            </w:r>
            <w:r w:rsidRPr="006E36AE">
              <w:rPr>
                <w:rFonts w:ascii="Arial" w:hAnsi="Arial" w:cs="Arial"/>
                <w:bCs/>
                <w:sz w:val="22"/>
                <w:szCs w:val="22"/>
              </w:rPr>
              <w:t xml:space="preserve"> March, while </w:t>
            </w:r>
            <w:r w:rsidRPr="006E36AE">
              <w:rPr>
                <w:rFonts w:ascii="Arial" w:hAnsi="Arial" w:cs="Arial"/>
                <w:bCs/>
                <w:sz w:val="22"/>
                <w:szCs w:val="22"/>
              </w:rPr>
              <w:lastRenderedPageBreak/>
              <w:t>34 disagreed or strongly disagreed, compared with 93 before 23</w:t>
            </w:r>
            <w:r w:rsidRPr="006E36AE">
              <w:rPr>
                <w:rFonts w:ascii="Arial" w:hAnsi="Arial" w:cs="Arial"/>
                <w:bCs/>
                <w:sz w:val="22"/>
                <w:szCs w:val="22"/>
                <w:vertAlign w:val="superscript"/>
              </w:rPr>
              <w:t>rd</w:t>
            </w:r>
            <w:r w:rsidRPr="006E36AE">
              <w:rPr>
                <w:rFonts w:ascii="Arial" w:hAnsi="Arial" w:cs="Arial"/>
                <w:bCs/>
                <w:sz w:val="22"/>
                <w:szCs w:val="22"/>
              </w:rPr>
              <w:t xml:space="preserve"> March.</w:t>
            </w:r>
          </w:p>
        </w:tc>
      </w:tr>
      <w:tr w:rsidR="005A6352" w:rsidRPr="006E36AE" w14:paraId="13947C78" w14:textId="77777777" w:rsidTr="006E36AE">
        <w:trPr>
          <w:trHeight w:val="282"/>
        </w:trPr>
        <w:tc>
          <w:tcPr>
            <w:tcW w:w="704" w:type="dxa"/>
          </w:tcPr>
          <w:p w14:paraId="2F1DD69B" w14:textId="184D4EF3" w:rsidR="005A6352" w:rsidRPr="006E36AE" w:rsidRDefault="00BE1EE9" w:rsidP="005A6352">
            <w:pPr>
              <w:pStyle w:val="Tabletext"/>
              <w:rPr>
                <w:rFonts w:cs="Arial"/>
                <w:bCs/>
                <w:szCs w:val="22"/>
              </w:rPr>
            </w:pPr>
            <w:r>
              <w:rPr>
                <w:rFonts w:cs="Arial"/>
                <w:bCs/>
                <w:szCs w:val="22"/>
              </w:rPr>
              <w:lastRenderedPageBreak/>
              <w:t>30</w:t>
            </w:r>
          </w:p>
        </w:tc>
        <w:tc>
          <w:tcPr>
            <w:tcW w:w="1701" w:type="dxa"/>
          </w:tcPr>
          <w:p w14:paraId="26BED7C5" w14:textId="7DD96EB4" w:rsidR="005A6352" w:rsidRPr="006E36AE" w:rsidRDefault="005A6352" w:rsidP="005A6352">
            <w:pPr>
              <w:pStyle w:val="Tabletext"/>
              <w:rPr>
                <w:rFonts w:cs="Arial"/>
                <w:bCs/>
                <w:szCs w:val="22"/>
              </w:rPr>
            </w:pPr>
            <w:r w:rsidRPr="006E36AE">
              <w:rPr>
                <w:rFonts w:cs="Arial"/>
                <w:bCs/>
                <w:szCs w:val="22"/>
              </w:rPr>
              <w:t>National Rheumatoid Arthritis Society</w:t>
            </w:r>
          </w:p>
        </w:tc>
        <w:tc>
          <w:tcPr>
            <w:tcW w:w="1985" w:type="dxa"/>
          </w:tcPr>
          <w:p w14:paraId="026863C8" w14:textId="1978F331" w:rsidR="005A6352" w:rsidRPr="006E36AE" w:rsidRDefault="005A6352" w:rsidP="005A6352">
            <w:pPr>
              <w:pStyle w:val="Tabletext"/>
              <w:rPr>
                <w:rFonts w:cs="Arial"/>
                <w:bCs/>
                <w:szCs w:val="22"/>
              </w:rPr>
            </w:pPr>
            <w:r w:rsidRPr="006E36AE">
              <w:rPr>
                <w:rFonts w:cs="Arial"/>
                <w:bCs/>
                <w:szCs w:val="22"/>
              </w:rPr>
              <w:t>Adjustments to equipment &amp; provision of specialist equipment, and/or assistance with getting to work.</w:t>
            </w:r>
          </w:p>
        </w:tc>
        <w:tc>
          <w:tcPr>
            <w:tcW w:w="3426" w:type="dxa"/>
          </w:tcPr>
          <w:p w14:paraId="501665C2"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These </w:t>
            </w:r>
            <w:proofErr w:type="gramStart"/>
            <w:r w:rsidRPr="006E36AE">
              <w:rPr>
                <w:rFonts w:cs="Arial"/>
                <w:bCs/>
                <w:sz w:val="22"/>
                <w:szCs w:val="22"/>
              </w:rPr>
              <w:t>often inexpensive</w:t>
            </w:r>
            <w:proofErr w:type="gramEnd"/>
            <w:r w:rsidRPr="006E36AE">
              <w:rPr>
                <w:rFonts w:cs="Arial"/>
                <w:bCs/>
                <w:sz w:val="22"/>
                <w:szCs w:val="22"/>
              </w:rPr>
              <w:t xml:space="preserve"> adjustments (DSE assessment for example) can help people with RA/inflammatory arthritis to stay in work or return to work. Pain &amp; fatigue are the most common symptoms causing barriers to employment, both of which can in many cases be improved with appropriate equipment.</w:t>
            </w:r>
          </w:p>
          <w:p w14:paraId="79C8A082" w14:textId="064A9DD8" w:rsidR="005A6352" w:rsidRPr="006E36AE" w:rsidRDefault="005A6352" w:rsidP="005A6352">
            <w:pPr>
              <w:pStyle w:val="Tabletext"/>
              <w:rPr>
                <w:rFonts w:cs="Arial"/>
                <w:bCs/>
                <w:szCs w:val="22"/>
              </w:rPr>
            </w:pPr>
            <w:r w:rsidRPr="006E36AE">
              <w:rPr>
                <w:rFonts w:cs="Arial"/>
                <w:bCs/>
                <w:szCs w:val="22"/>
              </w:rPr>
              <w:t xml:space="preserve">Many employers and employees do not know what support is available to them, e.g. </w:t>
            </w:r>
            <w:r w:rsidRPr="006E36AE">
              <w:rPr>
                <w:rFonts w:cs="Arial"/>
                <w:bCs/>
                <w:i/>
                <w:iCs/>
                <w:szCs w:val="22"/>
              </w:rPr>
              <w:t>Access to Work.</w:t>
            </w:r>
          </w:p>
        </w:tc>
        <w:tc>
          <w:tcPr>
            <w:tcW w:w="3426" w:type="dxa"/>
          </w:tcPr>
          <w:p w14:paraId="20C2858E" w14:textId="77961D30"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Provisional findings of an employment survey NRAS is running indicate that this was the second most cited form of support required by respondents (working from home was the first). Despite this, most respondents either did not ask for this support, or did ask but were refused.</w:t>
            </w:r>
          </w:p>
        </w:tc>
        <w:tc>
          <w:tcPr>
            <w:tcW w:w="3426" w:type="dxa"/>
          </w:tcPr>
          <w:p w14:paraId="54EAC3B5"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Data on this subject is available in the NRAS 2017 Work Survey, accessible at https://www.nras.org.uk/work-survey-2017.</w:t>
            </w:r>
          </w:p>
          <w:p w14:paraId="4D62C79A"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NRAS is currently running a work survey and may be able to provide further supporting data once that survey has closed.</w:t>
            </w:r>
          </w:p>
          <w:p w14:paraId="618A5966" w14:textId="61903868"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 xml:space="preserve">Information on the DSE assessment can be found at </w:t>
            </w:r>
            <w:hyperlink r:id="rId64">
              <w:r w:rsidRPr="006E36AE">
                <w:rPr>
                  <w:rStyle w:val="Hyperlink"/>
                  <w:rFonts w:ascii="Arial" w:hAnsi="Arial" w:cs="Arial"/>
                  <w:bCs/>
                  <w:sz w:val="22"/>
                  <w:szCs w:val="22"/>
                </w:rPr>
                <w:t>https://www.hse.gov.uk/msd/dse/assessment.htm</w:t>
              </w:r>
            </w:hyperlink>
            <w:r w:rsidRPr="006E36AE">
              <w:rPr>
                <w:rFonts w:ascii="Arial" w:hAnsi="Arial" w:cs="Arial"/>
                <w:bCs/>
                <w:sz w:val="22"/>
                <w:szCs w:val="22"/>
              </w:rPr>
              <w:t xml:space="preserve">. </w:t>
            </w:r>
          </w:p>
        </w:tc>
      </w:tr>
      <w:tr w:rsidR="005A6352" w:rsidRPr="006E36AE" w14:paraId="47BE6DC7" w14:textId="77777777" w:rsidTr="006E36AE">
        <w:trPr>
          <w:trHeight w:val="282"/>
        </w:trPr>
        <w:tc>
          <w:tcPr>
            <w:tcW w:w="704" w:type="dxa"/>
          </w:tcPr>
          <w:p w14:paraId="2AF504A6" w14:textId="1EA60FA7" w:rsidR="005A6352" w:rsidRPr="006E36AE" w:rsidRDefault="00BE1EE9" w:rsidP="005A6352">
            <w:pPr>
              <w:pStyle w:val="Tabletext"/>
              <w:rPr>
                <w:rFonts w:cs="Arial"/>
                <w:bCs/>
                <w:szCs w:val="22"/>
              </w:rPr>
            </w:pPr>
            <w:r>
              <w:rPr>
                <w:rFonts w:cs="Arial"/>
                <w:bCs/>
                <w:szCs w:val="22"/>
              </w:rPr>
              <w:t>31</w:t>
            </w:r>
          </w:p>
        </w:tc>
        <w:tc>
          <w:tcPr>
            <w:tcW w:w="1701" w:type="dxa"/>
          </w:tcPr>
          <w:p w14:paraId="14C029BA" w14:textId="0E20C046" w:rsidR="005A6352" w:rsidRPr="006E36AE" w:rsidRDefault="005A6352" w:rsidP="005A6352">
            <w:pPr>
              <w:pStyle w:val="Tabletext"/>
              <w:rPr>
                <w:rFonts w:cs="Arial"/>
                <w:bCs/>
                <w:szCs w:val="22"/>
              </w:rPr>
            </w:pPr>
            <w:r w:rsidRPr="006E36AE">
              <w:rPr>
                <w:rFonts w:cs="Arial"/>
                <w:bCs/>
                <w:szCs w:val="22"/>
              </w:rPr>
              <w:t>Royal College of Nursing</w:t>
            </w:r>
          </w:p>
        </w:tc>
        <w:tc>
          <w:tcPr>
            <w:tcW w:w="1985" w:type="dxa"/>
          </w:tcPr>
          <w:p w14:paraId="197CF6FA"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Key area for quality improvement 1</w:t>
            </w:r>
          </w:p>
          <w:p w14:paraId="2B0D7ABF" w14:textId="6A1B9B7A"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Mental health support in the workplace</w:t>
            </w:r>
          </w:p>
        </w:tc>
        <w:tc>
          <w:tcPr>
            <w:tcW w:w="3426" w:type="dxa"/>
          </w:tcPr>
          <w:p w14:paraId="3F2AB160" w14:textId="40287C2D"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There is a large annual cost to employers of between £33 billion and £42 billion (with over half of the cost coming from presenteeism – when individuals are less productive due to poor mental health in work) with additional costs from sickness absence and staff turnover.</w:t>
            </w:r>
          </w:p>
        </w:tc>
        <w:tc>
          <w:tcPr>
            <w:tcW w:w="3426" w:type="dxa"/>
          </w:tcPr>
          <w:p w14:paraId="63E38E5C" w14:textId="6C30908E"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 xml:space="preserve">There are relatively recent innovations such as mental health first aid and psychological first aid which more and more employers are adopting. </w:t>
            </w:r>
            <w:proofErr w:type="gramStart"/>
            <w:r w:rsidRPr="006E36AE">
              <w:rPr>
                <w:rFonts w:ascii="Arial" w:hAnsi="Arial" w:cs="Arial"/>
                <w:bCs/>
                <w:sz w:val="22"/>
                <w:szCs w:val="22"/>
              </w:rPr>
              <w:t>However</w:t>
            </w:r>
            <w:proofErr w:type="gramEnd"/>
            <w:r w:rsidRPr="006E36AE">
              <w:rPr>
                <w:rFonts w:ascii="Arial" w:hAnsi="Arial" w:cs="Arial"/>
                <w:bCs/>
                <w:sz w:val="22"/>
                <w:szCs w:val="22"/>
              </w:rPr>
              <w:t xml:space="preserve"> there is disparity in availability and uptake and efficacy is unclear about how they support people to stay in work.</w:t>
            </w:r>
          </w:p>
        </w:tc>
        <w:tc>
          <w:tcPr>
            <w:tcW w:w="3426" w:type="dxa"/>
          </w:tcPr>
          <w:p w14:paraId="2BD93B23" w14:textId="1E2678FF" w:rsidR="005A6352" w:rsidRPr="006E36AE" w:rsidRDefault="00DF1D4E" w:rsidP="005A6352">
            <w:pPr>
              <w:spacing w:after="60"/>
              <w:rPr>
                <w:rFonts w:ascii="Arial" w:hAnsi="Arial" w:cs="Arial"/>
                <w:bCs/>
                <w:sz w:val="22"/>
                <w:szCs w:val="22"/>
              </w:rPr>
            </w:pPr>
            <w:hyperlink r:id="rId65" w:history="1">
              <w:r w:rsidR="005A6352" w:rsidRPr="006E36AE">
                <w:rPr>
                  <w:rStyle w:val="Hyperlink"/>
                  <w:rFonts w:ascii="Arial" w:hAnsi="Arial" w:cs="Arial"/>
                  <w:bCs/>
                  <w:sz w:val="22"/>
                  <w:szCs w:val="22"/>
                </w:rPr>
                <w:t>https://assets.publishing.service.gov.uk/government/uploads/system/uploads/attachment_data/file/658145/thriving-at-work-stevenson-farmer-review.pdf</w:t>
              </w:r>
            </w:hyperlink>
            <w:r w:rsidR="005A6352" w:rsidRPr="006E36AE">
              <w:rPr>
                <w:rFonts w:ascii="Arial" w:hAnsi="Arial" w:cs="Arial"/>
                <w:bCs/>
                <w:sz w:val="22"/>
                <w:szCs w:val="22"/>
              </w:rPr>
              <w:t xml:space="preserve"> </w:t>
            </w:r>
          </w:p>
        </w:tc>
      </w:tr>
      <w:tr w:rsidR="005A6352" w:rsidRPr="006E36AE" w14:paraId="24BC8954" w14:textId="77777777" w:rsidTr="006E36AE">
        <w:trPr>
          <w:trHeight w:val="282"/>
        </w:trPr>
        <w:tc>
          <w:tcPr>
            <w:tcW w:w="704" w:type="dxa"/>
          </w:tcPr>
          <w:p w14:paraId="7A8E1F19" w14:textId="493AE69D" w:rsidR="005A6352" w:rsidRPr="006E36AE" w:rsidRDefault="005A6352" w:rsidP="005A6352">
            <w:pPr>
              <w:pStyle w:val="Tabletext"/>
              <w:rPr>
                <w:rFonts w:cs="Arial"/>
                <w:bCs/>
                <w:szCs w:val="22"/>
              </w:rPr>
            </w:pPr>
            <w:r w:rsidRPr="006E36AE">
              <w:rPr>
                <w:rFonts w:cs="Arial"/>
                <w:bCs/>
                <w:szCs w:val="22"/>
              </w:rPr>
              <w:t>3</w:t>
            </w:r>
            <w:r w:rsidR="00BE1EE9">
              <w:rPr>
                <w:rFonts w:cs="Arial"/>
                <w:bCs/>
                <w:szCs w:val="22"/>
              </w:rPr>
              <w:t>2</w:t>
            </w:r>
          </w:p>
        </w:tc>
        <w:tc>
          <w:tcPr>
            <w:tcW w:w="1701" w:type="dxa"/>
          </w:tcPr>
          <w:p w14:paraId="394BF27A" w14:textId="31F030FC" w:rsidR="005A6352" w:rsidRPr="006E36AE" w:rsidRDefault="005A6352" w:rsidP="005A6352">
            <w:pPr>
              <w:pStyle w:val="Tabletext"/>
              <w:rPr>
                <w:rFonts w:cs="Arial"/>
                <w:bCs/>
                <w:szCs w:val="22"/>
              </w:rPr>
            </w:pPr>
            <w:r w:rsidRPr="006E36AE">
              <w:rPr>
                <w:rFonts w:cs="Arial"/>
                <w:bCs/>
                <w:szCs w:val="22"/>
              </w:rPr>
              <w:t>SCM1</w:t>
            </w:r>
          </w:p>
        </w:tc>
        <w:tc>
          <w:tcPr>
            <w:tcW w:w="1985" w:type="dxa"/>
          </w:tcPr>
          <w:p w14:paraId="669408BD" w14:textId="77777777" w:rsidR="005A6352" w:rsidRPr="006E36AE" w:rsidRDefault="005A6352" w:rsidP="005A6352">
            <w:pPr>
              <w:pStyle w:val="TableText1"/>
              <w:spacing w:after="60"/>
              <w:rPr>
                <w:rFonts w:cs="Arial"/>
                <w:bCs/>
                <w:szCs w:val="22"/>
              </w:rPr>
            </w:pPr>
            <w:r w:rsidRPr="006E36AE">
              <w:rPr>
                <w:rFonts w:cs="Arial"/>
                <w:bCs/>
                <w:szCs w:val="22"/>
              </w:rPr>
              <w:t>Key area for quality improvement 5</w:t>
            </w:r>
          </w:p>
          <w:p w14:paraId="582028A7" w14:textId="77777777" w:rsidR="005A6352" w:rsidRPr="006E36AE" w:rsidRDefault="005A6352" w:rsidP="005A6352">
            <w:pPr>
              <w:pStyle w:val="TableText1"/>
              <w:spacing w:after="60"/>
              <w:rPr>
                <w:rFonts w:cs="Arial"/>
                <w:bCs/>
                <w:szCs w:val="22"/>
              </w:rPr>
            </w:pPr>
          </w:p>
          <w:p w14:paraId="31A1F77B" w14:textId="7C3D2CD5" w:rsidR="005A6352" w:rsidRPr="006E36AE" w:rsidRDefault="005A6352" w:rsidP="005A6352">
            <w:pPr>
              <w:pStyle w:val="TableText1"/>
              <w:spacing w:after="60"/>
              <w:rPr>
                <w:rFonts w:cs="Arial"/>
                <w:bCs/>
                <w:szCs w:val="22"/>
              </w:rPr>
            </w:pPr>
            <w:r w:rsidRPr="006E36AE">
              <w:rPr>
                <w:rFonts w:cs="Arial"/>
                <w:bCs/>
                <w:szCs w:val="22"/>
              </w:rPr>
              <w:t xml:space="preserve">Early intervention, </w:t>
            </w:r>
            <w:proofErr w:type="gramStart"/>
            <w:r w:rsidRPr="006E36AE">
              <w:rPr>
                <w:rFonts w:cs="Arial"/>
                <w:bCs/>
                <w:szCs w:val="22"/>
              </w:rPr>
              <w:t>engagement</w:t>
            </w:r>
            <w:proofErr w:type="gramEnd"/>
            <w:r w:rsidRPr="006E36AE">
              <w:rPr>
                <w:rFonts w:cs="Arial"/>
                <w:bCs/>
                <w:szCs w:val="22"/>
              </w:rPr>
              <w:t xml:space="preserve"> and support.</w:t>
            </w:r>
          </w:p>
        </w:tc>
        <w:tc>
          <w:tcPr>
            <w:tcW w:w="3426" w:type="dxa"/>
          </w:tcPr>
          <w:p w14:paraId="2D9FF643" w14:textId="1A5E1039"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lastRenderedPageBreak/>
              <w:t xml:space="preserve">The offer of early support, direction to services and advice </w:t>
            </w:r>
            <w:r w:rsidRPr="006E36AE">
              <w:rPr>
                <w:rFonts w:cs="Arial"/>
                <w:bCs/>
                <w:sz w:val="22"/>
                <w:szCs w:val="22"/>
              </w:rPr>
              <w:lastRenderedPageBreak/>
              <w:t xml:space="preserve">will hopefully reduce a number of </w:t>
            </w:r>
            <w:proofErr w:type="gramStart"/>
            <w:r w:rsidRPr="006E36AE">
              <w:rPr>
                <w:rFonts w:cs="Arial"/>
                <w:bCs/>
                <w:sz w:val="22"/>
                <w:szCs w:val="22"/>
              </w:rPr>
              <w:t>long term</w:t>
            </w:r>
            <w:proofErr w:type="gramEnd"/>
            <w:r w:rsidRPr="006E36AE">
              <w:rPr>
                <w:rFonts w:cs="Arial"/>
                <w:bCs/>
                <w:sz w:val="22"/>
                <w:szCs w:val="22"/>
              </w:rPr>
              <w:t xml:space="preserve"> sickness issues.</w:t>
            </w:r>
          </w:p>
        </w:tc>
        <w:tc>
          <w:tcPr>
            <w:tcW w:w="3426" w:type="dxa"/>
          </w:tcPr>
          <w:p w14:paraId="6CB7343D" w14:textId="722CFC31" w:rsidR="005A6352" w:rsidRPr="006E36AE" w:rsidRDefault="005A6352" w:rsidP="005A6352">
            <w:pPr>
              <w:spacing w:after="60"/>
              <w:rPr>
                <w:rFonts w:ascii="Arial" w:hAnsi="Arial" w:cs="Arial"/>
                <w:bCs/>
                <w:sz w:val="22"/>
                <w:szCs w:val="22"/>
              </w:rPr>
            </w:pPr>
            <w:r w:rsidRPr="006E36AE">
              <w:rPr>
                <w:rFonts w:ascii="Arial" w:hAnsi="Arial" w:cs="Arial"/>
                <w:bCs/>
                <w:sz w:val="22"/>
                <w:szCs w:val="22"/>
              </w:rPr>
              <w:lastRenderedPageBreak/>
              <w:t xml:space="preserve">May well reduce sickness in the first instance, may help retention </w:t>
            </w:r>
            <w:r w:rsidRPr="006E36AE">
              <w:rPr>
                <w:rFonts w:ascii="Arial" w:hAnsi="Arial" w:cs="Arial"/>
                <w:bCs/>
                <w:sz w:val="22"/>
                <w:szCs w:val="22"/>
              </w:rPr>
              <w:lastRenderedPageBreak/>
              <w:t>of staff. May reduce long term sickness.</w:t>
            </w:r>
          </w:p>
        </w:tc>
        <w:tc>
          <w:tcPr>
            <w:tcW w:w="3426" w:type="dxa"/>
          </w:tcPr>
          <w:p w14:paraId="4B5C0870" w14:textId="77777777" w:rsidR="005A6352" w:rsidRPr="006E36AE" w:rsidRDefault="005A6352" w:rsidP="005A6352">
            <w:pPr>
              <w:spacing w:after="60"/>
              <w:rPr>
                <w:rFonts w:ascii="Arial" w:hAnsi="Arial" w:cs="Arial"/>
                <w:bCs/>
                <w:sz w:val="22"/>
                <w:szCs w:val="22"/>
              </w:rPr>
            </w:pPr>
          </w:p>
        </w:tc>
      </w:tr>
      <w:tr w:rsidR="005A6352" w:rsidRPr="006E36AE" w14:paraId="7CC4694C" w14:textId="77777777" w:rsidTr="006E36AE">
        <w:trPr>
          <w:trHeight w:val="282"/>
        </w:trPr>
        <w:tc>
          <w:tcPr>
            <w:tcW w:w="704" w:type="dxa"/>
          </w:tcPr>
          <w:p w14:paraId="371397CA" w14:textId="7435E796" w:rsidR="005A6352" w:rsidRPr="006E36AE" w:rsidRDefault="005A6352" w:rsidP="005A6352">
            <w:pPr>
              <w:pStyle w:val="Tabletext"/>
              <w:rPr>
                <w:rFonts w:cs="Arial"/>
                <w:bCs/>
                <w:szCs w:val="22"/>
              </w:rPr>
            </w:pPr>
            <w:r w:rsidRPr="006E36AE">
              <w:rPr>
                <w:rFonts w:cs="Arial"/>
                <w:bCs/>
                <w:szCs w:val="22"/>
              </w:rPr>
              <w:t>3</w:t>
            </w:r>
            <w:r w:rsidR="00BE1EE9">
              <w:rPr>
                <w:rFonts w:cs="Arial"/>
                <w:bCs/>
                <w:szCs w:val="22"/>
              </w:rPr>
              <w:t>3</w:t>
            </w:r>
          </w:p>
        </w:tc>
        <w:tc>
          <w:tcPr>
            <w:tcW w:w="1701" w:type="dxa"/>
          </w:tcPr>
          <w:p w14:paraId="05B2F834" w14:textId="79E264D0" w:rsidR="005A6352" w:rsidRPr="006E36AE" w:rsidRDefault="005A6352" w:rsidP="005A6352">
            <w:pPr>
              <w:pStyle w:val="Tabletext"/>
              <w:rPr>
                <w:rFonts w:cs="Arial"/>
                <w:bCs/>
                <w:szCs w:val="22"/>
              </w:rPr>
            </w:pPr>
            <w:r w:rsidRPr="006E36AE">
              <w:rPr>
                <w:rFonts w:cs="Arial"/>
                <w:bCs/>
                <w:szCs w:val="22"/>
              </w:rPr>
              <w:t>Sheffield Health and Social Care NHS Foundation Trust</w:t>
            </w:r>
          </w:p>
        </w:tc>
        <w:tc>
          <w:tcPr>
            <w:tcW w:w="1985" w:type="dxa"/>
          </w:tcPr>
          <w:p w14:paraId="7D4285FB"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Key area for quality improvement 1</w:t>
            </w:r>
          </w:p>
          <w:p w14:paraId="3DE891DF" w14:textId="2DBD7D9B"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Early intervention support </w:t>
            </w:r>
          </w:p>
        </w:tc>
        <w:tc>
          <w:tcPr>
            <w:tcW w:w="3426" w:type="dxa"/>
          </w:tcPr>
          <w:p w14:paraId="1E30ED95" w14:textId="51EDE02A"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Small amount of evidence from research studies suggest that free access to employee assistance programmes and health checks is good practice and assists with staff returning from long term absence.</w:t>
            </w:r>
          </w:p>
        </w:tc>
        <w:tc>
          <w:tcPr>
            <w:tcW w:w="3426" w:type="dxa"/>
          </w:tcPr>
          <w:p w14:paraId="5617313D" w14:textId="7A8E3781"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There may be inconsistency of access to support programmes due to size and type of organisation</w:t>
            </w:r>
          </w:p>
        </w:tc>
        <w:tc>
          <w:tcPr>
            <w:tcW w:w="3426" w:type="dxa"/>
          </w:tcPr>
          <w:p w14:paraId="52C8CF45" w14:textId="77777777" w:rsidR="005A6352" w:rsidRPr="006E36AE" w:rsidRDefault="005A6352" w:rsidP="005A6352">
            <w:pPr>
              <w:spacing w:after="60"/>
              <w:rPr>
                <w:rFonts w:ascii="Arial" w:hAnsi="Arial" w:cs="Arial"/>
                <w:bCs/>
                <w:sz w:val="22"/>
                <w:szCs w:val="22"/>
              </w:rPr>
            </w:pPr>
          </w:p>
        </w:tc>
      </w:tr>
      <w:tr w:rsidR="005A6352" w:rsidRPr="006E36AE" w14:paraId="180122DF" w14:textId="77777777" w:rsidTr="006E36AE">
        <w:trPr>
          <w:trHeight w:val="282"/>
        </w:trPr>
        <w:tc>
          <w:tcPr>
            <w:tcW w:w="704" w:type="dxa"/>
          </w:tcPr>
          <w:p w14:paraId="4859E280" w14:textId="1B13114C" w:rsidR="005A6352" w:rsidRPr="006E36AE" w:rsidRDefault="005A6352" w:rsidP="005A6352">
            <w:pPr>
              <w:pStyle w:val="Tabletext"/>
              <w:rPr>
                <w:rFonts w:cs="Arial"/>
                <w:bCs/>
                <w:szCs w:val="22"/>
              </w:rPr>
            </w:pPr>
            <w:r w:rsidRPr="006E36AE">
              <w:rPr>
                <w:rFonts w:cs="Arial"/>
                <w:bCs/>
                <w:szCs w:val="22"/>
              </w:rPr>
              <w:t>3</w:t>
            </w:r>
            <w:r w:rsidR="00BE1EE9">
              <w:rPr>
                <w:rFonts w:cs="Arial"/>
                <w:bCs/>
                <w:szCs w:val="22"/>
              </w:rPr>
              <w:t>4</w:t>
            </w:r>
          </w:p>
        </w:tc>
        <w:tc>
          <w:tcPr>
            <w:tcW w:w="1701" w:type="dxa"/>
          </w:tcPr>
          <w:p w14:paraId="3B53251D" w14:textId="1ADA8140" w:rsidR="005A6352" w:rsidRPr="006E36AE" w:rsidRDefault="005A6352" w:rsidP="005A6352">
            <w:pPr>
              <w:pStyle w:val="Tabletext"/>
              <w:rPr>
                <w:rFonts w:cs="Arial"/>
                <w:bCs/>
                <w:szCs w:val="22"/>
              </w:rPr>
            </w:pPr>
            <w:r w:rsidRPr="006E36AE">
              <w:rPr>
                <w:rFonts w:cs="Arial"/>
                <w:bCs/>
                <w:szCs w:val="22"/>
              </w:rPr>
              <w:t>Sheffield Health and Social Care NHS Foundation Trust</w:t>
            </w:r>
          </w:p>
        </w:tc>
        <w:tc>
          <w:tcPr>
            <w:tcW w:w="1985" w:type="dxa"/>
          </w:tcPr>
          <w:p w14:paraId="4B9D2B66"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Key area for quality improvement 2</w:t>
            </w:r>
          </w:p>
          <w:p w14:paraId="7FC3907D" w14:textId="065D3475" w:rsidR="005A6352" w:rsidRPr="006E36AE" w:rsidRDefault="005A6352" w:rsidP="005A6352">
            <w:pPr>
              <w:pStyle w:val="Paragraphnonumbers"/>
              <w:spacing w:after="60" w:line="240" w:lineRule="auto"/>
            </w:pPr>
            <w:r w:rsidRPr="006E36AE">
              <w:rPr>
                <w:rFonts w:cs="Arial"/>
                <w:bCs/>
                <w:sz w:val="22"/>
                <w:szCs w:val="22"/>
              </w:rPr>
              <w:t>Return to work plans and access to therapies (</w:t>
            </w:r>
            <w:proofErr w:type="spellStart"/>
            <w:r w:rsidRPr="006E36AE">
              <w:rPr>
                <w:rFonts w:cs="Arial"/>
                <w:bCs/>
                <w:sz w:val="22"/>
                <w:szCs w:val="22"/>
              </w:rPr>
              <w:t>eg</w:t>
            </w:r>
            <w:proofErr w:type="spellEnd"/>
            <w:r w:rsidRPr="006E36AE">
              <w:rPr>
                <w:rFonts w:cs="Arial"/>
                <w:bCs/>
                <w:sz w:val="22"/>
                <w:szCs w:val="22"/>
              </w:rPr>
              <w:t xml:space="preserve"> back </w:t>
            </w:r>
            <w:proofErr w:type="gramStart"/>
            <w:r w:rsidRPr="006E36AE">
              <w:rPr>
                <w:rFonts w:cs="Arial"/>
                <w:bCs/>
                <w:sz w:val="22"/>
                <w:szCs w:val="22"/>
              </w:rPr>
              <w:t>care  /</w:t>
            </w:r>
            <w:proofErr w:type="gramEnd"/>
            <w:r w:rsidRPr="006E36AE">
              <w:rPr>
                <w:rFonts w:cs="Arial"/>
                <w:bCs/>
                <w:sz w:val="22"/>
                <w:szCs w:val="22"/>
              </w:rPr>
              <w:t xml:space="preserve"> mental health support)</w:t>
            </w:r>
          </w:p>
        </w:tc>
        <w:tc>
          <w:tcPr>
            <w:tcW w:w="3426" w:type="dxa"/>
          </w:tcPr>
          <w:p w14:paraId="1BCD548F"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Supports a more holistic return to work plan </w:t>
            </w:r>
            <w:proofErr w:type="spellStart"/>
            <w:r w:rsidRPr="006E36AE">
              <w:rPr>
                <w:rFonts w:cs="Arial"/>
                <w:bCs/>
                <w:sz w:val="22"/>
                <w:szCs w:val="22"/>
              </w:rPr>
              <w:t>ie</w:t>
            </w:r>
            <w:proofErr w:type="spellEnd"/>
            <w:r w:rsidRPr="006E36AE">
              <w:rPr>
                <w:rFonts w:cs="Arial"/>
                <w:bCs/>
                <w:sz w:val="22"/>
                <w:szCs w:val="22"/>
              </w:rPr>
              <w:t xml:space="preserve"> being considered as part of a team, taking account of reasonable adjustments, access to therapies.  </w:t>
            </w:r>
          </w:p>
          <w:p w14:paraId="0C8B0C24" w14:textId="77777777" w:rsidR="005A6352" w:rsidRPr="006E36AE" w:rsidRDefault="005A6352" w:rsidP="005A6352">
            <w:pPr>
              <w:pStyle w:val="Tabletext"/>
              <w:rPr>
                <w:rFonts w:cs="Arial"/>
                <w:bCs/>
                <w:szCs w:val="22"/>
              </w:rPr>
            </w:pPr>
          </w:p>
        </w:tc>
        <w:tc>
          <w:tcPr>
            <w:tcW w:w="3426" w:type="dxa"/>
          </w:tcPr>
          <w:p w14:paraId="4D5D76F3" w14:textId="2F31AC2B"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This will enable greater understanding and support to the individual</w:t>
            </w:r>
          </w:p>
        </w:tc>
        <w:tc>
          <w:tcPr>
            <w:tcW w:w="3426" w:type="dxa"/>
          </w:tcPr>
          <w:p w14:paraId="15A9391F" w14:textId="77777777" w:rsidR="005A6352" w:rsidRPr="006E36AE" w:rsidRDefault="005A6352" w:rsidP="005A6352">
            <w:pPr>
              <w:spacing w:after="60"/>
              <w:rPr>
                <w:rFonts w:ascii="Arial" w:hAnsi="Arial" w:cs="Arial"/>
                <w:bCs/>
                <w:sz w:val="22"/>
                <w:szCs w:val="22"/>
              </w:rPr>
            </w:pPr>
          </w:p>
        </w:tc>
      </w:tr>
      <w:tr w:rsidR="005A6352" w:rsidRPr="006E36AE" w14:paraId="43C55FC7" w14:textId="77777777" w:rsidTr="006E36AE">
        <w:trPr>
          <w:trHeight w:val="282"/>
        </w:trPr>
        <w:tc>
          <w:tcPr>
            <w:tcW w:w="704" w:type="dxa"/>
          </w:tcPr>
          <w:p w14:paraId="6833400C" w14:textId="0C8E9CD9" w:rsidR="005A6352" w:rsidRPr="006E36AE" w:rsidRDefault="005A6352" w:rsidP="005A6352">
            <w:pPr>
              <w:pStyle w:val="Tabletext"/>
              <w:rPr>
                <w:rFonts w:cs="Arial"/>
                <w:bCs/>
                <w:szCs w:val="22"/>
              </w:rPr>
            </w:pPr>
            <w:r w:rsidRPr="006E36AE">
              <w:rPr>
                <w:rFonts w:cs="Arial"/>
                <w:bCs/>
                <w:szCs w:val="22"/>
              </w:rPr>
              <w:t>3</w:t>
            </w:r>
            <w:r w:rsidR="00BE1EE9">
              <w:rPr>
                <w:rFonts w:cs="Arial"/>
                <w:bCs/>
                <w:szCs w:val="22"/>
              </w:rPr>
              <w:t>5</w:t>
            </w:r>
          </w:p>
        </w:tc>
        <w:tc>
          <w:tcPr>
            <w:tcW w:w="1701" w:type="dxa"/>
          </w:tcPr>
          <w:p w14:paraId="112CF02B" w14:textId="1258C3E4" w:rsidR="005A6352" w:rsidRPr="006E36AE" w:rsidRDefault="005A6352" w:rsidP="005A6352">
            <w:pPr>
              <w:pStyle w:val="Tabletext"/>
              <w:rPr>
                <w:rFonts w:cs="Arial"/>
                <w:bCs/>
                <w:szCs w:val="22"/>
              </w:rPr>
            </w:pPr>
            <w:r w:rsidRPr="006E36AE">
              <w:rPr>
                <w:rFonts w:cs="Arial"/>
                <w:bCs/>
                <w:szCs w:val="22"/>
              </w:rPr>
              <w:t>Skills for Care</w:t>
            </w:r>
          </w:p>
        </w:tc>
        <w:tc>
          <w:tcPr>
            <w:tcW w:w="1985" w:type="dxa"/>
          </w:tcPr>
          <w:p w14:paraId="04065301" w14:textId="725FAC89" w:rsidR="005A6352" w:rsidRPr="006E36AE" w:rsidRDefault="005A6352" w:rsidP="005A6352">
            <w:pPr>
              <w:pStyle w:val="Tabletext"/>
              <w:rPr>
                <w:rFonts w:cs="Arial"/>
                <w:bCs/>
                <w:szCs w:val="22"/>
              </w:rPr>
            </w:pPr>
            <w:r w:rsidRPr="006E36AE">
              <w:rPr>
                <w:rFonts w:cs="Arial"/>
                <w:bCs/>
                <w:szCs w:val="22"/>
              </w:rPr>
              <w:t>Mental health and early intervention</w:t>
            </w:r>
          </w:p>
        </w:tc>
        <w:tc>
          <w:tcPr>
            <w:tcW w:w="3426" w:type="dxa"/>
          </w:tcPr>
          <w:p w14:paraId="01AAF561" w14:textId="5B6AF223" w:rsidR="005A6352" w:rsidRPr="006E36AE" w:rsidRDefault="005A6352" w:rsidP="005A6352">
            <w:pPr>
              <w:pStyle w:val="Tabletext"/>
              <w:rPr>
                <w:rFonts w:cs="Arial"/>
                <w:bCs/>
                <w:szCs w:val="22"/>
              </w:rPr>
            </w:pPr>
            <w:r w:rsidRPr="006E36AE">
              <w:rPr>
                <w:rFonts w:cs="Arial"/>
                <w:bCs/>
                <w:szCs w:val="22"/>
              </w:rPr>
              <w:t>There is a predicted higher incidence of anxiety and depression and PTSD amongst the social care workforce due to COVID-19, both in the short and longer term.</w:t>
            </w:r>
          </w:p>
        </w:tc>
        <w:tc>
          <w:tcPr>
            <w:tcW w:w="3426" w:type="dxa"/>
          </w:tcPr>
          <w:p w14:paraId="16943D91" w14:textId="30D817FC"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Raising provider awareness of the benefits of intervening early as issues arise and promoting a positive culture of mental health and wellbeing, having effective supervision mechanisms in place and policies to manage absence due to mental health conditions, as well as knowing how and where to signpost employees for support if no in-</w:t>
            </w:r>
            <w:r w:rsidRPr="006E36AE">
              <w:rPr>
                <w:rFonts w:ascii="Arial" w:hAnsi="Arial" w:cs="Arial"/>
                <w:bCs/>
                <w:sz w:val="22"/>
                <w:szCs w:val="22"/>
              </w:rPr>
              <w:lastRenderedPageBreak/>
              <w:t xml:space="preserve">house HR/OH arrangements.  </w:t>
            </w:r>
            <w:proofErr w:type="gramStart"/>
            <w:r w:rsidRPr="006E36AE">
              <w:rPr>
                <w:rFonts w:ascii="Arial" w:hAnsi="Arial" w:cs="Arial"/>
                <w:bCs/>
                <w:sz w:val="22"/>
                <w:szCs w:val="22"/>
              </w:rPr>
              <w:t>Also</w:t>
            </w:r>
            <w:proofErr w:type="gramEnd"/>
            <w:r w:rsidRPr="006E36AE">
              <w:rPr>
                <w:rFonts w:ascii="Arial" w:hAnsi="Arial" w:cs="Arial"/>
                <w:bCs/>
                <w:sz w:val="22"/>
                <w:szCs w:val="22"/>
              </w:rPr>
              <w:t xml:space="preserve"> an area for improvement due to concerns over emotional and mental health impact of the pandemic. </w:t>
            </w:r>
          </w:p>
        </w:tc>
        <w:tc>
          <w:tcPr>
            <w:tcW w:w="3426" w:type="dxa"/>
          </w:tcPr>
          <w:p w14:paraId="500AA76A" w14:textId="77777777" w:rsidR="005A6352" w:rsidRPr="006E36AE" w:rsidRDefault="005A6352" w:rsidP="005A6352">
            <w:pPr>
              <w:spacing w:after="60"/>
              <w:rPr>
                <w:rFonts w:ascii="Arial" w:hAnsi="Arial" w:cs="Arial"/>
                <w:bCs/>
                <w:sz w:val="22"/>
                <w:szCs w:val="22"/>
              </w:rPr>
            </w:pPr>
          </w:p>
        </w:tc>
      </w:tr>
      <w:tr w:rsidR="005A6352" w:rsidRPr="006E36AE" w14:paraId="2771D915" w14:textId="77777777" w:rsidTr="006E36AE">
        <w:trPr>
          <w:trHeight w:val="282"/>
        </w:trPr>
        <w:tc>
          <w:tcPr>
            <w:tcW w:w="704" w:type="dxa"/>
          </w:tcPr>
          <w:p w14:paraId="372064FC" w14:textId="383730AD" w:rsidR="005A6352" w:rsidRPr="006E36AE" w:rsidRDefault="005A6352" w:rsidP="005A6352">
            <w:pPr>
              <w:pStyle w:val="Tabletext"/>
              <w:rPr>
                <w:rFonts w:cs="Arial"/>
                <w:bCs/>
                <w:szCs w:val="22"/>
              </w:rPr>
            </w:pPr>
            <w:r w:rsidRPr="006E36AE">
              <w:rPr>
                <w:rFonts w:cs="Arial"/>
                <w:bCs/>
                <w:szCs w:val="22"/>
              </w:rPr>
              <w:t>3</w:t>
            </w:r>
            <w:r w:rsidR="00BE1EE9">
              <w:rPr>
                <w:rFonts w:cs="Arial"/>
                <w:bCs/>
                <w:szCs w:val="22"/>
              </w:rPr>
              <w:t>6</w:t>
            </w:r>
          </w:p>
        </w:tc>
        <w:tc>
          <w:tcPr>
            <w:tcW w:w="1701" w:type="dxa"/>
          </w:tcPr>
          <w:p w14:paraId="70CEF894" w14:textId="1DDBF712" w:rsidR="005A6352" w:rsidRPr="006E36AE" w:rsidRDefault="005A6352" w:rsidP="005A6352">
            <w:pPr>
              <w:pStyle w:val="Tabletext"/>
              <w:rPr>
                <w:rFonts w:cs="Arial"/>
                <w:bCs/>
                <w:szCs w:val="22"/>
              </w:rPr>
            </w:pPr>
            <w:r w:rsidRPr="006E36AE">
              <w:rPr>
                <w:rFonts w:cs="Arial"/>
                <w:bCs/>
                <w:szCs w:val="22"/>
              </w:rPr>
              <w:t xml:space="preserve">The Royal College of Radiologists </w:t>
            </w:r>
          </w:p>
        </w:tc>
        <w:tc>
          <w:tcPr>
            <w:tcW w:w="1985" w:type="dxa"/>
          </w:tcPr>
          <w:p w14:paraId="4F232839" w14:textId="77777777" w:rsidR="005A6352" w:rsidRPr="006E36AE" w:rsidRDefault="005A6352" w:rsidP="005A6352">
            <w:pPr>
              <w:pStyle w:val="Tabletext"/>
              <w:rPr>
                <w:rFonts w:cs="Arial"/>
                <w:bCs/>
                <w:szCs w:val="22"/>
              </w:rPr>
            </w:pPr>
          </w:p>
        </w:tc>
        <w:tc>
          <w:tcPr>
            <w:tcW w:w="3426" w:type="dxa"/>
          </w:tcPr>
          <w:p w14:paraId="12CAE043" w14:textId="77777777" w:rsidR="005A6352" w:rsidRPr="006E36AE" w:rsidRDefault="005A6352" w:rsidP="005A6352">
            <w:pPr>
              <w:pStyle w:val="Tabletext"/>
              <w:rPr>
                <w:rFonts w:cs="Arial"/>
                <w:bCs/>
                <w:szCs w:val="22"/>
              </w:rPr>
            </w:pPr>
          </w:p>
        </w:tc>
        <w:tc>
          <w:tcPr>
            <w:tcW w:w="3426" w:type="dxa"/>
          </w:tcPr>
          <w:p w14:paraId="1AA22F41" w14:textId="77777777" w:rsidR="005A6352" w:rsidRPr="006E36AE" w:rsidRDefault="005A6352" w:rsidP="005A6352">
            <w:pPr>
              <w:pStyle w:val="TableText1"/>
              <w:spacing w:after="60"/>
              <w:rPr>
                <w:rFonts w:cs="Arial"/>
                <w:bCs/>
                <w:szCs w:val="22"/>
              </w:rPr>
            </w:pPr>
            <w:r w:rsidRPr="006E36AE">
              <w:rPr>
                <w:rFonts w:cs="Arial"/>
                <w:bCs/>
                <w:szCs w:val="22"/>
              </w:rPr>
              <w:t xml:space="preserve">This is often about supporting the care giver as well as lengthening the time that they can continue to function in their </w:t>
            </w:r>
            <w:proofErr w:type="gramStart"/>
            <w:r w:rsidRPr="006E36AE">
              <w:rPr>
                <w:rFonts w:cs="Arial"/>
                <w:bCs/>
                <w:szCs w:val="22"/>
              </w:rPr>
              <w:t>role, if</w:t>
            </w:r>
            <w:proofErr w:type="gramEnd"/>
            <w:r w:rsidRPr="006E36AE">
              <w:rPr>
                <w:rFonts w:cs="Arial"/>
                <w:bCs/>
                <w:szCs w:val="22"/>
              </w:rPr>
              <w:t xml:space="preserve"> they wish too. In </w:t>
            </w:r>
            <w:proofErr w:type="gramStart"/>
            <w:r w:rsidRPr="006E36AE">
              <w:rPr>
                <w:rFonts w:cs="Arial"/>
                <w:bCs/>
                <w:szCs w:val="22"/>
              </w:rPr>
              <w:t>addition</w:t>
            </w:r>
            <w:proofErr w:type="gramEnd"/>
            <w:r w:rsidRPr="006E36AE">
              <w:rPr>
                <w:rFonts w:cs="Arial"/>
                <w:bCs/>
                <w:szCs w:val="22"/>
              </w:rPr>
              <w:t xml:space="preserve"> this is relevant to care givers in institutions and in community. In supporting the career sickness absence will be improve and capability to work can be improved.</w:t>
            </w:r>
          </w:p>
          <w:p w14:paraId="5AFB8F8D" w14:textId="77777777" w:rsidR="005A6352" w:rsidRPr="006E36AE" w:rsidRDefault="005A6352" w:rsidP="005A6352">
            <w:pPr>
              <w:pStyle w:val="TableText1"/>
              <w:spacing w:after="60"/>
              <w:rPr>
                <w:rFonts w:cs="Arial"/>
                <w:bCs/>
                <w:szCs w:val="22"/>
              </w:rPr>
            </w:pPr>
          </w:p>
          <w:p w14:paraId="7FBF043D" w14:textId="77777777" w:rsidR="005A6352" w:rsidRPr="006E36AE" w:rsidRDefault="005A6352" w:rsidP="005A6352">
            <w:pPr>
              <w:pStyle w:val="TableText1"/>
              <w:spacing w:after="60"/>
              <w:rPr>
                <w:rFonts w:cs="Arial"/>
                <w:bCs/>
                <w:szCs w:val="22"/>
              </w:rPr>
            </w:pPr>
            <w:r w:rsidRPr="006E36AE">
              <w:rPr>
                <w:rFonts w:cs="Arial"/>
                <w:bCs/>
                <w:szCs w:val="22"/>
              </w:rPr>
              <w:t xml:space="preserve">Mental health specifically </w:t>
            </w:r>
            <w:proofErr w:type="gramStart"/>
            <w:r w:rsidRPr="006E36AE">
              <w:rPr>
                <w:rFonts w:cs="Arial"/>
                <w:bCs/>
                <w:szCs w:val="22"/>
              </w:rPr>
              <w:t>stress</w:t>
            </w:r>
            <w:proofErr w:type="gramEnd"/>
            <w:r w:rsidRPr="006E36AE">
              <w:rPr>
                <w:rFonts w:cs="Arial"/>
                <w:bCs/>
                <w:szCs w:val="22"/>
              </w:rPr>
              <w:t xml:space="preserve"> related to work: a non-stigmatising approach to reduce the stressors and a requirement that changes be made. This might include looking at flexible working, interactions with colleagues, use of equipment/ software, part time hours and working from less conventional sites i.e. home working. Provision of support and timely psychological intervention.</w:t>
            </w:r>
          </w:p>
          <w:p w14:paraId="5E128734" w14:textId="77777777" w:rsidR="005A6352" w:rsidRPr="006E36AE" w:rsidRDefault="005A6352" w:rsidP="005A6352">
            <w:pPr>
              <w:pStyle w:val="TableText1"/>
              <w:spacing w:after="60"/>
              <w:rPr>
                <w:rFonts w:cs="Arial"/>
                <w:bCs/>
                <w:szCs w:val="22"/>
              </w:rPr>
            </w:pPr>
          </w:p>
          <w:p w14:paraId="07D9B73A" w14:textId="77777777" w:rsidR="005A6352" w:rsidRPr="006E36AE" w:rsidRDefault="005A6352" w:rsidP="005A6352">
            <w:pPr>
              <w:pStyle w:val="TableText1"/>
              <w:spacing w:after="60"/>
              <w:rPr>
                <w:rFonts w:cs="Arial"/>
                <w:bCs/>
                <w:szCs w:val="22"/>
              </w:rPr>
            </w:pPr>
            <w:r w:rsidRPr="006E36AE">
              <w:rPr>
                <w:rFonts w:cs="Arial"/>
                <w:bCs/>
                <w:szCs w:val="22"/>
              </w:rPr>
              <w:lastRenderedPageBreak/>
              <w:t xml:space="preserve">The provision of a safe space for staff to reflect and address issues that have adversely affected them for all staff groups. Supervisions and Schwartz rounds, psychological support and complimentary therapies are often considered add </w:t>
            </w:r>
            <w:proofErr w:type="spellStart"/>
            <w:r w:rsidRPr="006E36AE">
              <w:rPr>
                <w:rFonts w:cs="Arial"/>
                <w:bCs/>
                <w:szCs w:val="22"/>
              </w:rPr>
              <w:t>ons</w:t>
            </w:r>
            <w:proofErr w:type="spellEnd"/>
            <w:r w:rsidRPr="006E36AE">
              <w:rPr>
                <w:rFonts w:cs="Arial"/>
                <w:bCs/>
                <w:szCs w:val="22"/>
              </w:rPr>
              <w:t xml:space="preserve"> and funding is usually not provided or easily obtained.</w:t>
            </w:r>
          </w:p>
          <w:p w14:paraId="4656DDAC" w14:textId="77777777" w:rsidR="005A6352" w:rsidRPr="006E36AE" w:rsidRDefault="005A6352" w:rsidP="005A6352">
            <w:pPr>
              <w:pStyle w:val="TableText1"/>
              <w:spacing w:after="60"/>
              <w:rPr>
                <w:rFonts w:cs="Arial"/>
                <w:bCs/>
                <w:szCs w:val="22"/>
              </w:rPr>
            </w:pPr>
          </w:p>
          <w:p w14:paraId="0D82F2C5" w14:textId="77777777" w:rsidR="005A6352" w:rsidRPr="006E36AE" w:rsidRDefault="005A6352" w:rsidP="005A6352">
            <w:pPr>
              <w:pStyle w:val="TableText1"/>
              <w:spacing w:after="60"/>
              <w:rPr>
                <w:rFonts w:cs="Arial"/>
                <w:bCs/>
                <w:szCs w:val="22"/>
              </w:rPr>
            </w:pPr>
            <w:r w:rsidRPr="006E36AE">
              <w:rPr>
                <w:rFonts w:cs="Arial"/>
                <w:bCs/>
                <w:szCs w:val="22"/>
              </w:rPr>
              <w:t xml:space="preserve">An approach to staffing to optimise their ability to work and to pass on experience which reflects changes during a </w:t>
            </w:r>
            <w:proofErr w:type="spellStart"/>
            <w:r w:rsidRPr="006E36AE">
              <w:rPr>
                <w:rFonts w:cs="Arial"/>
                <w:bCs/>
                <w:szCs w:val="22"/>
              </w:rPr>
              <w:t>persons</w:t>
            </w:r>
            <w:proofErr w:type="spellEnd"/>
            <w:r w:rsidRPr="006E36AE">
              <w:rPr>
                <w:rFonts w:cs="Arial"/>
                <w:bCs/>
                <w:szCs w:val="22"/>
              </w:rPr>
              <w:t xml:space="preserve"> working life, considering illness, and other non- work life events: making the ability to move flexibly to different hours and forms of working.</w:t>
            </w:r>
          </w:p>
          <w:p w14:paraId="73A81687" w14:textId="77777777" w:rsidR="005A6352" w:rsidRPr="006E36AE" w:rsidRDefault="005A6352" w:rsidP="005A6352">
            <w:pPr>
              <w:pStyle w:val="TableText1"/>
              <w:spacing w:after="60"/>
              <w:rPr>
                <w:rFonts w:cs="Arial"/>
                <w:bCs/>
                <w:szCs w:val="22"/>
              </w:rPr>
            </w:pPr>
          </w:p>
          <w:p w14:paraId="12752445" w14:textId="77777777" w:rsidR="005A6352" w:rsidRPr="006E36AE" w:rsidRDefault="005A6352" w:rsidP="005A6352">
            <w:pPr>
              <w:pStyle w:val="TableText1"/>
              <w:spacing w:after="60"/>
              <w:rPr>
                <w:rFonts w:cs="Arial"/>
                <w:bCs/>
                <w:szCs w:val="22"/>
              </w:rPr>
            </w:pPr>
            <w:r w:rsidRPr="006E36AE">
              <w:rPr>
                <w:rFonts w:cs="Arial"/>
                <w:bCs/>
                <w:szCs w:val="22"/>
              </w:rPr>
              <w:t>Education to permit us to recognise deterioration in mental and physical health as sort of annual updates (mandatory training) with a frame to ensure that mangers are aware of solutions and relevant referral patterns</w:t>
            </w:r>
          </w:p>
          <w:p w14:paraId="32FD1BD9" w14:textId="77777777" w:rsidR="005A6352" w:rsidRPr="006E36AE" w:rsidRDefault="005A6352" w:rsidP="005A6352">
            <w:pPr>
              <w:pStyle w:val="TableText1"/>
              <w:spacing w:after="60"/>
              <w:rPr>
                <w:rFonts w:cs="Arial"/>
                <w:bCs/>
                <w:szCs w:val="22"/>
              </w:rPr>
            </w:pPr>
          </w:p>
          <w:p w14:paraId="332210D3" w14:textId="77777777" w:rsidR="005A6352" w:rsidRPr="006E36AE" w:rsidRDefault="005A6352" w:rsidP="005A6352">
            <w:pPr>
              <w:pStyle w:val="TableText1"/>
              <w:spacing w:after="60"/>
              <w:rPr>
                <w:rFonts w:cs="Arial"/>
                <w:bCs/>
                <w:szCs w:val="22"/>
              </w:rPr>
            </w:pPr>
            <w:r w:rsidRPr="006E36AE">
              <w:rPr>
                <w:rFonts w:cs="Arial"/>
                <w:bCs/>
                <w:szCs w:val="22"/>
              </w:rPr>
              <w:lastRenderedPageBreak/>
              <w:t xml:space="preserve">Education on the link between physical and mental health as part of annual updates with an understanding that employers will be able to support colleagues </w:t>
            </w:r>
          </w:p>
          <w:p w14:paraId="3CEC42F2" w14:textId="77777777" w:rsidR="005A6352" w:rsidRPr="006E36AE" w:rsidRDefault="005A6352" w:rsidP="005A6352">
            <w:pPr>
              <w:pStyle w:val="TableText1"/>
              <w:spacing w:after="60"/>
              <w:rPr>
                <w:rFonts w:cs="Arial"/>
                <w:bCs/>
                <w:szCs w:val="22"/>
              </w:rPr>
            </w:pPr>
          </w:p>
          <w:p w14:paraId="4ED12504" w14:textId="77777777" w:rsidR="005A6352" w:rsidRPr="006E36AE" w:rsidRDefault="005A6352" w:rsidP="005A6352">
            <w:pPr>
              <w:pStyle w:val="TableText1"/>
              <w:spacing w:after="60"/>
              <w:rPr>
                <w:rFonts w:cs="Arial"/>
                <w:bCs/>
                <w:szCs w:val="22"/>
              </w:rPr>
            </w:pPr>
            <w:r w:rsidRPr="006E36AE">
              <w:rPr>
                <w:rFonts w:cs="Arial"/>
                <w:bCs/>
                <w:szCs w:val="22"/>
              </w:rPr>
              <w:t>·</w:t>
            </w:r>
            <w:r w:rsidRPr="006E36AE">
              <w:rPr>
                <w:rFonts w:cs="Arial"/>
                <w:bCs/>
                <w:szCs w:val="22"/>
              </w:rPr>
              <w:tab/>
              <w:t>Why is this a key area for quality improvement?</w:t>
            </w:r>
          </w:p>
          <w:p w14:paraId="4885E1E5" w14:textId="77777777" w:rsidR="005A6352" w:rsidRPr="006E36AE" w:rsidRDefault="005A6352" w:rsidP="005A6352">
            <w:pPr>
              <w:pStyle w:val="TableText1"/>
              <w:spacing w:after="60"/>
              <w:rPr>
                <w:rFonts w:cs="Arial"/>
                <w:bCs/>
                <w:szCs w:val="22"/>
              </w:rPr>
            </w:pPr>
            <w:r w:rsidRPr="006E36AE">
              <w:rPr>
                <w:rFonts w:cs="Arial"/>
                <w:bCs/>
                <w:szCs w:val="22"/>
              </w:rPr>
              <w:t>2.</w:t>
            </w:r>
            <w:r w:rsidRPr="006E36AE">
              <w:rPr>
                <w:rFonts w:cs="Arial"/>
                <w:bCs/>
                <w:szCs w:val="22"/>
              </w:rPr>
              <w:tab/>
              <w:t xml:space="preserve">Do you have an example from practice of implementing the key development source that underpins this quality standard? If so, please provide details </w:t>
            </w:r>
          </w:p>
          <w:p w14:paraId="5337E70E" w14:textId="77777777" w:rsidR="005A6352" w:rsidRPr="006E36AE" w:rsidRDefault="005A6352" w:rsidP="005A6352">
            <w:pPr>
              <w:pStyle w:val="TableText1"/>
              <w:spacing w:after="60"/>
              <w:rPr>
                <w:rFonts w:cs="Arial"/>
                <w:bCs/>
                <w:szCs w:val="22"/>
              </w:rPr>
            </w:pPr>
          </w:p>
          <w:p w14:paraId="22A7EE43" w14:textId="77777777" w:rsidR="005A6352" w:rsidRPr="006E36AE" w:rsidRDefault="005A6352" w:rsidP="005A6352">
            <w:pPr>
              <w:pStyle w:val="TableText1"/>
              <w:spacing w:after="60"/>
              <w:rPr>
                <w:rFonts w:cs="Arial"/>
                <w:bCs/>
                <w:szCs w:val="22"/>
              </w:rPr>
            </w:pPr>
            <w:r w:rsidRPr="006E36AE">
              <w:rPr>
                <w:rFonts w:cs="Arial"/>
                <w:bCs/>
                <w:szCs w:val="22"/>
              </w:rPr>
              <w:t>Evidence of information that care in the suggested key areas for quality improvement is poor or variable and requires improvement?</w:t>
            </w:r>
          </w:p>
          <w:p w14:paraId="1F6C4294" w14:textId="77777777" w:rsidR="005A6352" w:rsidRPr="006E36AE" w:rsidRDefault="005A6352" w:rsidP="005A6352">
            <w:pPr>
              <w:pStyle w:val="TableText1"/>
              <w:spacing w:after="60"/>
              <w:rPr>
                <w:rFonts w:cs="Arial"/>
                <w:bCs/>
                <w:szCs w:val="22"/>
              </w:rPr>
            </w:pPr>
            <w:r w:rsidRPr="006E36AE">
              <w:rPr>
                <w:rFonts w:cs="Arial"/>
                <w:bCs/>
                <w:szCs w:val="22"/>
              </w:rPr>
              <w:t xml:space="preserve">I am aware personally of a senior colleague who asked for flexibility in hours to look after his wife but a compromise could </w:t>
            </w:r>
            <w:proofErr w:type="spellStart"/>
            <w:r w:rsidRPr="006E36AE">
              <w:rPr>
                <w:rFonts w:cs="Arial"/>
                <w:bCs/>
                <w:szCs w:val="22"/>
              </w:rPr>
              <w:t>non</w:t>
            </w:r>
            <w:proofErr w:type="spellEnd"/>
            <w:r w:rsidRPr="006E36AE">
              <w:rPr>
                <w:rFonts w:cs="Arial"/>
                <w:bCs/>
                <w:szCs w:val="22"/>
              </w:rPr>
              <w:t xml:space="preserve"> be made so in his early 50’s retired from his role  as a consultant in the NHS.</w:t>
            </w:r>
          </w:p>
          <w:p w14:paraId="1742F120" w14:textId="77777777" w:rsidR="005A6352" w:rsidRPr="006E36AE" w:rsidRDefault="005A6352" w:rsidP="005A6352">
            <w:pPr>
              <w:pStyle w:val="TableText1"/>
              <w:spacing w:after="60"/>
              <w:rPr>
                <w:rFonts w:cs="Arial"/>
                <w:bCs/>
                <w:szCs w:val="22"/>
              </w:rPr>
            </w:pPr>
          </w:p>
          <w:p w14:paraId="0C0A1DBF" w14:textId="7E29056E"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-Martin Hogg, RCR Support and Wellbeing Lead</w:t>
            </w:r>
          </w:p>
        </w:tc>
        <w:tc>
          <w:tcPr>
            <w:tcW w:w="3426" w:type="dxa"/>
          </w:tcPr>
          <w:p w14:paraId="7B23CCB9" w14:textId="77777777" w:rsidR="005A6352" w:rsidRPr="006E36AE" w:rsidRDefault="005A6352" w:rsidP="005A6352">
            <w:pPr>
              <w:spacing w:after="60"/>
              <w:rPr>
                <w:rFonts w:ascii="Arial" w:hAnsi="Arial" w:cs="Arial"/>
                <w:bCs/>
                <w:sz w:val="22"/>
                <w:szCs w:val="22"/>
              </w:rPr>
            </w:pPr>
          </w:p>
        </w:tc>
      </w:tr>
      <w:tr w:rsidR="005A6352" w:rsidRPr="006E36AE" w14:paraId="4648B616" w14:textId="77777777" w:rsidTr="006E36AE">
        <w:trPr>
          <w:trHeight w:val="282"/>
        </w:trPr>
        <w:tc>
          <w:tcPr>
            <w:tcW w:w="704" w:type="dxa"/>
          </w:tcPr>
          <w:p w14:paraId="5B35C860" w14:textId="6A8E394E" w:rsidR="005A6352" w:rsidRPr="006E36AE" w:rsidRDefault="005A6352" w:rsidP="005A6352">
            <w:pPr>
              <w:pStyle w:val="Tabletext"/>
              <w:rPr>
                <w:rFonts w:cs="Arial"/>
                <w:bCs/>
                <w:szCs w:val="22"/>
              </w:rPr>
            </w:pPr>
            <w:r w:rsidRPr="006E36AE">
              <w:rPr>
                <w:rFonts w:cs="Arial"/>
                <w:bCs/>
                <w:szCs w:val="22"/>
              </w:rPr>
              <w:lastRenderedPageBreak/>
              <w:t>3</w:t>
            </w:r>
            <w:r w:rsidR="00BE1EE9">
              <w:rPr>
                <w:rFonts w:cs="Arial"/>
                <w:bCs/>
                <w:szCs w:val="22"/>
              </w:rPr>
              <w:t>7</w:t>
            </w:r>
          </w:p>
        </w:tc>
        <w:tc>
          <w:tcPr>
            <w:tcW w:w="1701" w:type="dxa"/>
          </w:tcPr>
          <w:p w14:paraId="3954E697" w14:textId="0DEF6884" w:rsidR="005A6352" w:rsidRPr="006E36AE" w:rsidRDefault="005A6352" w:rsidP="005A6352">
            <w:pPr>
              <w:pStyle w:val="Tabletext"/>
              <w:rPr>
                <w:rFonts w:cs="Arial"/>
                <w:bCs/>
                <w:szCs w:val="22"/>
              </w:rPr>
            </w:pPr>
            <w:r w:rsidRPr="006E36AE">
              <w:rPr>
                <w:rFonts w:cs="Arial"/>
                <w:bCs/>
                <w:szCs w:val="22"/>
              </w:rPr>
              <w:t>The Pituitary Foundation</w:t>
            </w:r>
          </w:p>
        </w:tc>
        <w:tc>
          <w:tcPr>
            <w:tcW w:w="1985" w:type="dxa"/>
          </w:tcPr>
          <w:p w14:paraId="091EEEEC" w14:textId="348946BA" w:rsidR="005A6352" w:rsidRPr="006E36AE" w:rsidRDefault="005A6352" w:rsidP="005A6352">
            <w:pPr>
              <w:pStyle w:val="Tabletext"/>
              <w:rPr>
                <w:rFonts w:cs="Arial"/>
                <w:bCs/>
                <w:szCs w:val="22"/>
              </w:rPr>
            </w:pPr>
            <w:r w:rsidRPr="006E36AE">
              <w:rPr>
                <w:rFonts w:cs="Arial"/>
                <w:bCs/>
                <w:szCs w:val="22"/>
              </w:rPr>
              <w:t>Employers should be supported to enable patients diagnosed with complex pituitary conditions to return to employment following treatment.</w:t>
            </w:r>
          </w:p>
        </w:tc>
        <w:tc>
          <w:tcPr>
            <w:tcW w:w="3426" w:type="dxa"/>
          </w:tcPr>
          <w:p w14:paraId="02C092D4" w14:textId="116B1EF2" w:rsidR="005A6352" w:rsidRPr="006E36AE" w:rsidRDefault="005A6352" w:rsidP="005A6352">
            <w:pPr>
              <w:pStyle w:val="Tabletext"/>
              <w:rPr>
                <w:rFonts w:cs="Arial"/>
                <w:bCs/>
                <w:szCs w:val="22"/>
              </w:rPr>
            </w:pPr>
            <w:r w:rsidRPr="006E36AE">
              <w:rPr>
                <w:rFonts w:cs="Arial"/>
                <w:bCs/>
                <w:szCs w:val="22"/>
              </w:rPr>
              <w:t>Patients are often expected to return to work in their usual capacity following diagnosis and treatment, but for many this is not achievable.</w:t>
            </w:r>
          </w:p>
        </w:tc>
        <w:tc>
          <w:tcPr>
            <w:tcW w:w="3426" w:type="dxa"/>
          </w:tcPr>
          <w:p w14:paraId="30CD803F" w14:textId="558EE76E"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 xml:space="preserve">Some patients are forced to leave their employment due to lack of understanding of their needs post diagnosis and treatment. </w:t>
            </w:r>
          </w:p>
        </w:tc>
        <w:tc>
          <w:tcPr>
            <w:tcW w:w="3426" w:type="dxa"/>
          </w:tcPr>
          <w:p w14:paraId="56BDB154" w14:textId="665145AB"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More emphasis should be placed on adjusting employment conditions e.g. working different times of the day than previously (to optimise energy and concentration levels) ; facilitating short, frequent breaks to manage fatigue levels; and considering different working practices – e.g. working from home.</w:t>
            </w:r>
          </w:p>
        </w:tc>
      </w:tr>
      <w:tr w:rsidR="005A6352" w:rsidRPr="006E36AE" w14:paraId="7FF5C0F2" w14:textId="77777777" w:rsidTr="004E4BF8">
        <w:trPr>
          <w:trHeight w:val="282"/>
        </w:trPr>
        <w:tc>
          <w:tcPr>
            <w:tcW w:w="14668" w:type="dxa"/>
            <w:gridSpan w:val="6"/>
          </w:tcPr>
          <w:p w14:paraId="1EDF84C8" w14:textId="4B1B5466" w:rsidR="005A6352" w:rsidRPr="006E36AE" w:rsidRDefault="005A6352" w:rsidP="005A6352">
            <w:pPr>
              <w:pStyle w:val="Tabletitle"/>
              <w:rPr>
                <w:rFonts w:cs="Arial"/>
                <w:szCs w:val="22"/>
              </w:rPr>
            </w:pPr>
            <w:r w:rsidRPr="006E36AE">
              <w:rPr>
                <w:rFonts w:cs="Arial"/>
                <w:szCs w:val="22"/>
              </w:rPr>
              <w:t>Culture and policy</w:t>
            </w:r>
          </w:p>
        </w:tc>
      </w:tr>
      <w:tr w:rsidR="005A6352" w:rsidRPr="006E36AE" w14:paraId="42A59F48" w14:textId="77777777" w:rsidTr="006E36AE">
        <w:trPr>
          <w:trHeight w:val="282"/>
        </w:trPr>
        <w:tc>
          <w:tcPr>
            <w:tcW w:w="704" w:type="dxa"/>
          </w:tcPr>
          <w:p w14:paraId="2B48E78C" w14:textId="4E3B4DD4" w:rsidR="005A6352" w:rsidRPr="006E36AE" w:rsidRDefault="00BE1EE9" w:rsidP="005A6352">
            <w:pPr>
              <w:pStyle w:val="Tabletext"/>
              <w:rPr>
                <w:rFonts w:cs="Arial"/>
                <w:bCs/>
                <w:szCs w:val="22"/>
              </w:rPr>
            </w:pPr>
            <w:r>
              <w:rPr>
                <w:rFonts w:cs="Arial"/>
                <w:bCs/>
                <w:szCs w:val="22"/>
              </w:rPr>
              <w:t>38</w:t>
            </w:r>
          </w:p>
        </w:tc>
        <w:tc>
          <w:tcPr>
            <w:tcW w:w="1701" w:type="dxa"/>
          </w:tcPr>
          <w:p w14:paraId="26E7B270" w14:textId="43E9FAC5" w:rsidR="005A6352" w:rsidRPr="006E36AE" w:rsidRDefault="005A6352" w:rsidP="005A6352">
            <w:pPr>
              <w:pStyle w:val="Tabletext"/>
              <w:rPr>
                <w:rFonts w:cs="Arial"/>
                <w:bCs/>
                <w:szCs w:val="22"/>
              </w:rPr>
            </w:pPr>
            <w:r>
              <w:rPr>
                <w:rFonts w:cs="Arial"/>
                <w:bCs/>
                <w:szCs w:val="22"/>
              </w:rPr>
              <w:t>Lincolnshire County Council</w:t>
            </w:r>
            <w:r w:rsidRPr="007434D8">
              <w:rPr>
                <w:rFonts w:cs="Arial"/>
                <w:bCs/>
                <w:szCs w:val="22"/>
              </w:rPr>
              <w:t xml:space="preserve"> </w:t>
            </w:r>
          </w:p>
        </w:tc>
        <w:tc>
          <w:tcPr>
            <w:tcW w:w="1985" w:type="dxa"/>
          </w:tcPr>
          <w:p w14:paraId="44EFCB96" w14:textId="77777777" w:rsidR="005A6352" w:rsidRPr="007434D8" w:rsidRDefault="005A6352" w:rsidP="005A6352">
            <w:pPr>
              <w:pStyle w:val="TableText1"/>
              <w:spacing w:after="60"/>
              <w:rPr>
                <w:rFonts w:cs="Arial"/>
                <w:bCs/>
                <w:szCs w:val="22"/>
              </w:rPr>
            </w:pPr>
            <w:r w:rsidRPr="007434D8">
              <w:rPr>
                <w:rFonts w:cs="Arial"/>
                <w:bCs/>
                <w:szCs w:val="22"/>
              </w:rPr>
              <w:t>Key area for quality improvement 1</w:t>
            </w:r>
          </w:p>
          <w:p w14:paraId="21B53E98" w14:textId="3E620AA4" w:rsidR="005A6352" w:rsidRPr="006E36AE" w:rsidRDefault="005A6352" w:rsidP="005A6352">
            <w:pPr>
              <w:pStyle w:val="Paragraphnonumbers"/>
              <w:spacing w:after="60" w:line="240" w:lineRule="auto"/>
              <w:rPr>
                <w:rFonts w:cs="Arial"/>
                <w:bCs/>
                <w:sz w:val="22"/>
                <w:szCs w:val="22"/>
              </w:rPr>
            </w:pPr>
            <w:r w:rsidRPr="007434D8">
              <w:rPr>
                <w:rFonts w:cs="Arial"/>
                <w:bCs/>
                <w:szCs w:val="22"/>
              </w:rPr>
              <w:t>Workplace culture</w:t>
            </w:r>
          </w:p>
        </w:tc>
        <w:tc>
          <w:tcPr>
            <w:tcW w:w="3426" w:type="dxa"/>
          </w:tcPr>
          <w:p w14:paraId="523F048D" w14:textId="77777777" w:rsidR="005A6352" w:rsidRPr="007434D8" w:rsidRDefault="005A6352" w:rsidP="005A6352">
            <w:pPr>
              <w:pStyle w:val="TableText1"/>
              <w:spacing w:after="60"/>
              <w:rPr>
                <w:rFonts w:cs="Arial"/>
                <w:bCs/>
                <w:szCs w:val="22"/>
              </w:rPr>
            </w:pPr>
            <w:r w:rsidRPr="007434D8">
              <w:rPr>
                <w:rFonts w:cs="Arial"/>
                <w:bCs/>
                <w:szCs w:val="22"/>
              </w:rPr>
              <w:t xml:space="preserve">Acknowledged in QS147 that leadership and culture is important to support healthy workplaces and this has a direct correlation with absence and attendance. </w:t>
            </w:r>
          </w:p>
          <w:p w14:paraId="412F00C5" w14:textId="569E804B" w:rsidR="005A6352" w:rsidRPr="006E36AE" w:rsidRDefault="005A6352" w:rsidP="005A6352">
            <w:pPr>
              <w:pStyle w:val="Tabletext"/>
              <w:rPr>
                <w:rFonts w:cs="Arial"/>
                <w:bCs/>
                <w:szCs w:val="22"/>
              </w:rPr>
            </w:pPr>
            <w:r w:rsidRPr="007434D8">
              <w:rPr>
                <w:rFonts w:cs="Arial"/>
                <w:bCs/>
                <w:szCs w:val="22"/>
              </w:rPr>
              <w:t>Also links directly to NG146 recommendation 1.1 so a quality statement associated with this would be helpful</w:t>
            </w:r>
          </w:p>
        </w:tc>
        <w:tc>
          <w:tcPr>
            <w:tcW w:w="3426" w:type="dxa"/>
          </w:tcPr>
          <w:p w14:paraId="433D5E35" w14:textId="19ACACBE" w:rsidR="005A6352" w:rsidRPr="006E36AE" w:rsidRDefault="005A6352" w:rsidP="005A6352">
            <w:pPr>
              <w:pStyle w:val="Paragraphnonumbers"/>
              <w:spacing w:after="60" w:line="240" w:lineRule="auto"/>
              <w:rPr>
                <w:rFonts w:cs="Arial"/>
                <w:bCs/>
                <w:sz w:val="22"/>
                <w:szCs w:val="22"/>
              </w:rPr>
            </w:pPr>
            <w:r w:rsidRPr="007434D8">
              <w:rPr>
                <w:rFonts w:cs="Arial"/>
                <w:bCs/>
                <w:szCs w:val="22"/>
              </w:rPr>
              <w:t xml:space="preserve">Research by DWP and DHSC has reported that only 2% of employers provided activities to encourage a supportive organisational culture such as staff meetings, team bonding and social events. </w:t>
            </w:r>
            <w:proofErr w:type="gramStart"/>
            <w:r w:rsidRPr="007434D8">
              <w:rPr>
                <w:rFonts w:cs="Arial"/>
                <w:bCs/>
                <w:szCs w:val="22"/>
              </w:rPr>
              <w:t>However</w:t>
            </w:r>
            <w:proofErr w:type="gramEnd"/>
            <w:r w:rsidRPr="007434D8">
              <w:rPr>
                <w:rFonts w:cs="Arial"/>
                <w:bCs/>
                <w:szCs w:val="22"/>
              </w:rPr>
              <w:t xml:space="preserve"> the 11% reported a lack of senior leaders support as being a barrier to supporting employees on long-term sickness absences’ return to work.</w:t>
            </w:r>
          </w:p>
        </w:tc>
        <w:tc>
          <w:tcPr>
            <w:tcW w:w="3426" w:type="dxa"/>
          </w:tcPr>
          <w:p w14:paraId="2453EC86" w14:textId="106BB34B" w:rsidR="005A6352" w:rsidRPr="006E36AE" w:rsidRDefault="005A6352" w:rsidP="005A6352">
            <w:pPr>
              <w:pStyle w:val="Paragraphnonumbers"/>
              <w:spacing w:after="60" w:line="240" w:lineRule="auto"/>
              <w:rPr>
                <w:rFonts w:cs="Arial"/>
                <w:bCs/>
                <w:sz w:val="22"/>
                <w:szCs w:val="22"/>
              </w:rPr>
            </w:pPr>
            <w:r w:rsidRPr="007434D8">
              <w:rPr>
                <w:rFonts w:cs="Arial"/>
                <w:bCs/>
                <w:szCs w:val="22"/>
              </w:rPr>
              <w:t xml:space="preserve">Department for Work and Pensions and Department of Health and Social Care (2019). </w:t>
            </w:r>
            <w:r w:rsidRPr="007434D8">
              <w:rPr>
                <w:rFonts w:cs="Arial"/>
                <w:bCs/>
                <w:i/>
                <w:szCs w:val="22"/>
              </w:rPr>
              <w:t xml:space="preserve">Sickness absence and health: employer behaviour and practice. </w:t>
            </w:r>
            <w:r w:rsidRPr="007434D8">
              <w:rPr>
                <w:rFonts w:cs="Arial"/>
                <w:bCs/>
                <w:szCs w:val="22"/>
              </w:rPr>
              <w:t xml:space="preserve">Retrieved from: </w:t>
            </w:r>
            <w:hyperlink r:id="rId66" w:history="1">
              <w:r w:rsidRPr="007434D8">
                <w:rPr>
                  <w:rStyle w:val="Hyperlink"/>
                  <w:rFonts w:cs="Arial"/>
                  <w:bCs/>
                  <w:szCs w:val="22"/>
                </w:rPr>
                <w:t>https://www.gov.uk/government/publications/sickness-absence-and-health-employer-behaviour-and-practice</w:t>
              </w:r>
            </w:hyperlink>
          </w:p>
        </w:tc>
      </w:tr>
      <w:tr w:rsidR="005A6352" w:rsidRPr="006E36AE" w14:paraId="2F769EC6" w14:textId="77777777" w:rsidTr="006E36AE">
        <w:trPr>
          <w:trHeight w:val="282"/>
        </w:trPr>
        <w:tc>
          <w:tcPr>
            <w:tcW w:w="704" w:type="dxa"/>
          </w:tcPr>
          <w:p w14:paraId="4F259643" w14:textId="443C1BD4" w:rsidR="005A6352" w:rsidRPr="006E36AE" w:rsidRDefault="00BE1EE9" w:rsidP="005A6352">
            <w:pPr>
              <w:pStyle w:val="Tabletext"/>
              <w:rPr>
                <w:rFonts w:cs="Arial"/>
                <w:bCs/>
                <w:szCs w:val="22"/>
              </w:rPr>
            </w:pPr>
            <w:r>
              <w:rPr>
                <w:rFonts w:cs="Arial"/>
                <w:bCs/>
                <w:szCs w:val="22"/>
              </w:rPr>
              <w:t>39</w:t>
            </w:r>
          </w:p>
        </w:tc>
        <w:tc>
          <w:tcPr>
            <w:tcW w:w="1701" w:type="dxa"/>
          </w:tcPr>
          <w:p w14:paraId="70026B2B" w14:textId="425C436E" w:rsidR="005A6352" w:rsidRDefault="005A6352" w:rsidP="005A6352">
            <w:pPr>
              <w:pStyle w:val="Tabletext"/>
              <w:rPr>
                <w:rFonts w:cs="Arial"/>
                <w:bCs/>
                <w:szCs w:val="22"/>
              </w:rPr>
            </w:pPr>
            <w:r>
              <w:rPr>
                <w:rFonts w:cs="Arial"/>
                <w:bCs/>
                <w:szCs w:val="22"/>
              </w:rPr>
              <w:t>Lincolnshire County Council</w:t>
            </w:r>
          </w:p>
        </w:tc>
        <w:tc>
          <w:tcPr>
            <w:tcW w:w="1985" w:type="dxa"/>
          </w:tcPr>
          <w:p w14:paraId="18AEF2EB" w14:textId="77777777" w:rsidR="005A6352" w:rsidRPr="007434D8" w:rsidRDefault="005A6352" w:rsidP="005A6352">
            <w:pPr>
              <w:pStyle w:val="TableText1"/>
              <w:spacing w:after="60"/>
              <w:rPr>
                <w:rFonts w:cs="Arial"/>
                <w:bCs/>
                <w:szCs w:val="22"/>
              </w:rPr>
            </w:pPr>
            <w:r w:rsidRPr="007434D8">
              <w:rPr>
                <w:rFonts w:cs="Arial"/>
                <w:bCs/>
                <w:szCs w:val="22"/>
              </w:rPr>
              <w:t>Key area for quality improvement 2</w:t>
            </w:r>
          </w:p>
          <w:p w14:paraId="27D640DE" w14:textId="0AA9E350" w:rsidR="005A6352" w:rsidRPr="007434D8" w:rsidRDefault="005A6352" w:rsidP="005A6352">
            <w:pPr>
              <w:pStyle w:val="TableText1"/>
              <w:spacing w:after="60"/>
              <w:rPr>
                <w:rFonts w:cs="Arial"/>
                <w:bCs/>
                <w:szCs w:val="22"/>
              </w:rPr>
            </w:pPr>
            <w:r w:rsidRPr="007434D8">
              <w:rPr>
                <w:rFonts w:cs="Arial"/>
                <w:bCs/>
                <w:szCs w:val="22"/>
              </w:rPr>
              <w:lastRenderedPageBreak/>
              <w:t>Supportive policy environment</w:t>
            </w:r>
          </w:p>
        </w:tc>
        <w:tc>
          <w:tcPr>
            <w:tcW w:w="3426" w:type="dxa"/>
          </w:tcPr>
          <w:p w14:paraId="61833C05" w14:textId="3282218C" w:rsidR="005A6352" w:rsidRPr="007434D8" w:rsidRDefault="005A6352" w:rsidP="005A6352">
            <w:pPr>
              <w:pStyle w:val="TableText1"/>
              <w:spacing w:after="60"/>
              <w:rPr>
                <w:rFonts w:cs="Arial"/>
                <w:bCs/>
                <w:szCs w:val="22"/>
              </w:rPr>
            </w:pPr>
            <w:r w:rsidRPr="007434D8">
              <w:rPr>
                <w:rFonts w:cs="Arial"/>
                <w:bCs/>
                <w:szCs w:val="22"/>
              </w:rPr>
              <w:lastRenderedPageBreak/>
              <w:t xml:space="preserve">Whilst recommendation 1.1 in NG146 covers both culture and policy the impact of recommendations from a policy perspective are numerous. In a </w:t>
            </w:r>
            <w:r w:rsidRPr="007434D8">
              <w:rPr>
                <w:rFonts w:cs="Arial"/>
                <w:bCs/>
                <w:szCs w:val="22"/>
              </w:rPr>
              <w:lastRenderedPageBreak/>
              <w:t>recent piece of work undertaken as part of my NICE Scholarship in this area 23 statements from NG146 became recommendations I made in respect of reviewing our Absence Management Policy within my own organisation.</w:t>
            </w:r>
          </w:p>
        </w:tc>
        <w:tc>
          <w:tcPr>
            <w:tcW w:w="3426" w:type="dxa"/>
          </w:tcPr>
          <w:p w14:paraId="02A26E93" w14:textId="454DB527" w:rsidR="005A6352" w:rsidRPr="007434D8" w:rsidRDefault="005A6352" w:rsidP="005A6352">
            <w:pPr>
              <w:pStyle w:val="Paragraphnonumbers"/>
              <w:spacing w:after="60" w:line="240" w:lineRule="auto"/>
              <w:rPr>
                <w:rFonts w:cs="Arial"/>
                <w:bCs/>
                <w:szCs w:val="22"/>
              </w:rPr>
            </w:pPr>
            <w:r w:rsidRPr="007434D8">
              <w:rPr>
                <w:rFonts w:cs="Arial"/>
                <w:bCs/>
                <w:szCs w:val="22"/>
              </w:rPr>
              <w:lastRenderedPageBreak/>
              <w:t xml:space="preserve">As per the research quote above, employers most commonly manage absences through a dedicated sickness </w:t>
            </w:r>
            <w:r w:rsidRPr="007434D8">
              <w:rPr>
                <w:rFonts w:cs="Arial"/>
                <w:bCs/>
                <w:szCs w:val="22"/>
              </w:rPr>
              <w:lastRenderedPageBreak/>
              <w:t xml:space="preserve">absence management policy (72%). </w:t>
            </w:r>
            <w:proofErr w:type="gramStart"/>
            <w:r w:rsidRPr="007434D8">
              <w:rPr>
                <w:rFonts w:cs="Arial"/>
                <w:bCs/>
                <w:szCs w:val="22"/>
              </w:rPr>
              <w:t>However</w:t>
            </w:r>
            <w:proofErr w:type="gramEnd"/>
            <w:r w:rsidRPr="007434D8">
              <w:rPr>
                <w:rFonts w:cs="Arial"/>
                <w:bCs/>
                <w:szCs w:val="22"/>
              </w:rPr>
              <w:t xml:space="preserve"> three in five employers (61%) adapted the application of their policies depending on the employee. This may suggest that quality statements regarding this might be helpful for employers in making judgments regarding flexibility of policies to ensure they are supportive and reflective of individual circumstances.</w:t>
            </w:r>
          </w:p>
        </w:tc>
        <w:tc>
          <w:tcPr>
            <w:tcW w:w="3426" w:type="dxa"/>
          </w:tcPr>
          <w:p w14:paraId="2C78C051" w14:textId="512B62F9" w:rsidR="005A6352" w:rsidRPr="007434D8" w:rsidRDefault="005A6352" w:rsidP="005A6352">
            <w:pPr>
              <w:pStyle w:val="Paragraphnonumbers"/>
              <w:spacing w:after="60" w:line="240" w:lineRule="auto"/>
              <w:rPr>
                <w:rFonts w:cs="Arial"/>
                <w:bCs/>
                <w:szCs w:val="22"/>
              </w:rPr>
            </w:pPr>
            <w:r w:rsidRPr="007434D8">
              <w:rPr>
                <w:rFonts w:cs="Arial"/>
                <w:bCs/>
                <w:szCs w:val="22"/>
              </w:rPr>
              <w:lastRenderedPageBreak/>
              <w:t xml:space="preserve">Department for Work and Pensions and Department of Health and Social Care (2019). </w:t>
            </w:r>
            <w:r w:rsidRPr="007434D8">
              <w:rPr>
                <w:rFonts w:cs="Arial"/>
                <w:bCs/>
                <w:i/>
                <w:szCs w:val="22"/>
              </w:rPr>
              <w:t xml:space="preserve">Sickness absence </w:t>
            </w:r>
            <w:r w:rsidRPr="007434D8">
              <w:rPr>
                <w:rFonts w:cs="Arial"/>
                <w:bCs/>
                <w:i/>
                <w:szCs w:val="22"/>
              </w:rPr>
              <w:lastRenderedPageBreak/>
              <w:t xml:space="preserve">and health: employer behaviour and practice. </w:t>
            </w:r>
            <w:r w:rsidRPr="007434D8">
              <w:rPr>
                <w:rFonts w:cs="Arial"/>
                <w:bCs/>
                <w:szCs w:val="22"/>
              </w:rPr>
              <w:t xml:space="preserve">Retrieved from: </w:t>
            </w:r>
            <w:hyperlink r:id="rId67" w:history="1">
              <w:r w:rsidRPr="007434D8">
                <w:rPr>
                  <w:rStyle w:val="Hyperlink"/>
                  <w:rFonts w:cs="Arial"/>
                  <w:bCs/>
                  <w:szCs w:val="22"/>
                </w:rPr>
                <w:t>https://www.gov.uk/government/publications/sickness-absence-and-health-employer-behaviour-and-practice</w:t>
              </w:r>
            </w:hyperlink>
          </w:p>
        </w:tc>
      </w:tr>
      <w:tr w:rsidR="005A6352" w:rsidRPr="006E36AE" w14:paraId="26839724" w14:textId="77777777" w:rsidTr="006E36AE">
        <w:trPr>
          <w:trHeight w:val="282"/>
        </w:trPr>
        <w:tc>
          <w:tcPr>
            <w:tcW w:w="704" w:type="dxa"/>
          </w:tcPr>
          <w:p w14:paraId="0422667E" w14:textId="6BC9E3DD" w:rsidR="005A6352" w:rsidRPr="006E36AE" w:rsidRDefault="00BE1EE9" w:rsidP="005A6352">
            <w:pPr>
              <w:pStyle w:val="Tabletext"/>
              <w:rPr>
                <w:rFonts w:cs="Arial"/>
                <w:bCs/>
                <w:szCs w:val="22"/>
              </w:rPr>
            </w:pPr>
            <w:r>
              <w:rPr>
                <w:rFonts w:cs="Arial"/>
                <w:bCs/>
                <w:szCs w:val="22"/>
              </w:rPr>
              <w:lastRenderedPageBreak/>
              <w:t>40</w:t>
            </w:r>
          </w:p>
        </w:tc>
        <w:tc>
          <w:tcPr>
            <w:tcW w:w="1701" w:type="dxa"/>
          </w:tcPr>
          <w:p w14:paraId="36C2A68C" w14:textId="2AC081F6" w:rsidR="005A6352" w:rsidRDefault="005A6352" w:rsidP="005A6352">
            <w:pPr>
              <w:pStyle w:val="Tabletext"/>
              <w:rPr>
                <w:rFonts w:cs="Arial"/>
                <w:bCs/>
                <w:szCs w:val="22"/>
              </w:rPr>
            </w:pPr>
            <w:r>
              <w:rPr>
                <w:rFonts w:cs="Arial"/>
                <w:bCs/>
                <w:szCs w:val="22"/>
              </w:rPr>
              <w:t>Lincolnshire County Council</w:t>
            </w:r>
          </w:p>
        </w:tc>
        <w:tc>
          <w:tcPr>
            <w:tcW w:w="1985" w:type="dxa"/>
          </w:tcPr>
          <w:p w14:paraId="7FD6F25F" w14:textId="77777777" w:rsidR="005A6352" w:rsidRPr="007434D8" w:rsidRDefault="005A6352" w:rsidP="005A6352">
            <w:pPr>
              <w:pStyle w:val="TableText1"/>
              <w:spacing w:after="60"/>
              <w:rPr>
                <w:rFonts w:cs="Arial"/>
                <w:bCs/>
                <w:szCs w:val="22"/>
              </w:rPr>
            </w:pPr>
            <w:r w:rsidRPr="007434D8">
              <w:rPr>
                <w:rFonts w:cs="Arial"/>
                <w:bCs/>
                <w:szCs w:val="22"/>
              </w:rPr>
              <w:t>Key area for quality improvement 3</w:t>
            </w:r>
          </w:p>
          <w:p w14:paraId="647C1A3B" w14:textId="741D1A93" w:rsidR="005A6352" w:rsidRPr="007434D8" w:rsidRDefault="005A6352" w:rsidP="005A6352">
            <w:pPr>
              <w:pStyle w:val="TableText1"/>
              <w:spacing w:after="60"/>
              <w:rPr>
                <w:rFonts w:cs="Arial"/>
                <w:bCs/>
                <w:szCs w:val="22"/>
              </w:rPr>
            </w:pPr>
            <w:r w:rsidRPr="007434D8">
              <w:rPr>
                <w:rFonts w:cs="Arial"/>
                <w:bCs/>
                <w:szCs w:val="22"/>
              </w:rPr>
              <w:t>Early preventative intervention</w:t>
            </w:r>
          </w:p>
        </w:tc>
        <w:tc>
          <w:tcPr>
            <w:tcW w:w="3426" w:type="dxa"/>
          </w:tcPr>
          <w:p w14:paraId="08072D51" w14:textId="1B91612E" w:rsidR="005A6352" w:rsidRPr="007434D8" w:rsidRDefault="005A6352" w:rsidP="005A6352">
            <w:pPr>
              <w:pStyle w:val="TableText1"/>
              <w:spacing w:after="60"/>
              <w:rPr>
                <w:rFonts w:cs="Arial"/>
                <w:bCs/>
                <w:szCs w:val="22"/>
              </w:rPr>
            </w:pPr>
            <w:r w:rsidRPr="007434D8">
              <w:rPr>
                <w:rFonts w:cs="Arial"/>
                <w:bCs/>
                <w:szCs w:val="22"/>
              </w:rPr>
              <w:t>QS147 includes a statement that "Employees are managed by people who support their health and wellbeing". However, that is more about support to managers whereas NG146 recommendation on early intervention is more targeted at practical interventions that prevent people from being absent from work due to sickness in the first place. From a public health as well as economic perspective this seems to be an important area of focus, therefore, for any quality standard.</w:t>
            </w:r>
          </w:p>
        </w:tc>
        <w:tc>
          <w:tcPr>
            <w:tcW w:w="3426" w:type="dxa"/>
          </w:tcPr>
          <w:p w14:paraId="3349EB37" w14:textId="77777777" w:rsidR="005A6352" w:rsidRPr="007434D8" w:rsidRDefault="005A6352" w:rsidP="005A6352">
            <w:pPr>
              <w:pStyle w:val="TableText1"/>
              <w:spacing w:after="60"/>
              <w:rPr>
                <w:rFonts w:cs="Arial"/>
                <w:bCs/>
                <w:szCs w:val="22"/>
              </w:rPr>
            </w:pPr>
            <w:r w:rsidRPr="007434D8">
              <w:rPr>
                <w:rFonts w:cs="Arial"/>
                <w:bCs/>
                <w:szCs w:val="22"/>
              </w:rPr>
              <w:t>Health promoting workplaces (HPW), as recommended by the World Health Organisation, can have multiple organisational as well as individual benefits including (but not limited to) improved staff morale, reduced stress, reduced staff turnover, improved morale, reduced absenteeism and increased job satisfaction.</w:t>
            </w:r>
          </w:p>
          <w:p w14:paraId="166234C6" w14:textId="35D17E17" w:rsidR="005A6352" w:rsidRPr="007434D8" w:rsidRDefault="005A6352" w:rsidP="005A6352">
            <w:pPr>
              <w:pStyle w:val="Paragraphnonumbers"/>
              <w:spacing w:after="60" w:line="240" w:lineRule="auto"/>
              <w:rPr>
                <w:rFonts w:cs="Arial"/>
                <w:bCs/>
                <w:szCs w:val="22"/>
              </w:rPr>
            </w:pPr>
            <w:r w:rsidRPr="007434D8">
              <w:rPr>
                <w:rFonts w:cs="Arial"/>
                <w:bCs/>
                <w:szCs w:val="22"/>
              </w:rPr>
              <w:t xml:space="preserve">This can be achieved through the combined efforts of employers, </w:t>
            </w:r>
            <w:proofErr w:type="gramStart"/>
            <w:r w:rsidRPr="007434D8">
              <w:rPr>
                <w:rFonts w:cs="Arial"/>
                <w:bCs/>
                <w:szCs w:val="22"/>
              </w:rPr>
              <w:t>employees</w:t>
            </w:r>
            <w:proofErr w:type="gramEnd"/>
            <w:r w:rsidRPr="007434D8">
              <w:rPr>
                <w:rFonts w:cs="Arial"/>
                <w:bCs/>
                <w:szCs w:val="22"/>
              </w:rPr>
              <w:t xml:space="preserve"> and society to improve the health </w:t>
            </w:r>
            <w:r w:rsidRPr="007434D8">
              <w:rPr>
                <w:rFonts w:cs="Arial"/>
                <w:bCs/>
                <w:szCs w:val="22"/>
              </w:rPr>
              <w:lastRenderedPageBreak/>
              <w:t xml:space="preserve">and wellbeing of people at work. </w:t>
            </w:r>
          </w:p>
        </w:tc>
        <w:tc>
          <w:tcPr>
            <w:tcW w:w="3426" w:type="dxa"/>
          </w:tcPr>
          <w:p w14:paraId="40DEFB6B" w14:textId="77777777" w:rsidR="005A6352" w:rsidRPr="007434D8" w:rsidRDefault="005A6352" w:rsidP="005A6352">
            <w:pPr>
              <w:pStyle w:val="TableText1"/>
              <w:spacing w:after="60"/>
              <w:rPr>
                <w:rFonts w:cs="Arial"/>
                <w:bCs/>
                <w:i/>
                <w:szCs w:val="22"/>
              </w:rPr>
            </w:pPr>
            <w:r w:rsidRPr="007434D8">
              <w:rPr>
                <w:rFonts w:cs="Arial"/>
                <w:bCs/>
                <w:szCs w:val="22"/>
              </w:rPr>
              <w:lastRenderedPageBreak/>
              <w:t xml:space="preserve">World Health Organisation (2010). </w:t>
            </w:r>
            <w:r w:rsidRPr="007434D8">
              <w:rPr>
                <w:rFonts w:cs="Arial"/>
                <w:bCs/>
                <w:i/>
                <w:szCs w:val="22"/>
              </w:rPr>
              <w:t>Workplace health promotion</w:t>
            </w:r>
          </w:p>
          <w:p w14:paraId="45600127" w14:textId="77777777" w:rsidR="005A6352" w:rsidRPr="007434D8" w:rsidRDefault="005A6352" w:rsidP="005A6352">
            <w:pPr>
              <w:pStyle w:val="TableText1"/>
              <w:spacing w:after="60"/>
              <w:rPr>
                <w:rFonts w:cs="Arial"/>
                <w:bCs/>
                <w:i/>
                <w:szCs w:val="22"/>
              </w:rPr>
            </w:pPr>
            <w:r w:rsidRPr="007434D8">
              <w:rPr>
                <w:rFonts w:cs="Arial"/>
                <w:bCs/>
                <w:i/>
                <w:szCs w:val="22"/>
              </w:rPr>
              <w:t xml:space="preserve">The workplace: A priority setting for health promotion. </w:t>
            </w:r>
            <w:r w:rsidRPr="007434D8">
              <w:rPr>
                <w:rFonts w:cs="Arial"/>
                <w:bCs/>
                <w:szCs w:val="22"/>
              </w:rPr>
              <w:t>Retrieved from:</w:t>
            </w:r>
          </w:p>
          <w:p w14:paraId="508F5A2F" w14:textId="0F190160" w:rsidR="005A6352" w:rsidRPr="007434D8" w:rsidRDefault="00DF1D4E" w:rsidP="005A6352">
            <w:pPr>
              <w:pStyle w:val="Paragraphnonumbers"/>
              <w:spacing w:after="60" w:line="240" w:lineRule="auto"/>
              <w:rPr>
                <w:rFonts w:cs="Arial"/>
                <w:bCs/>
                <w:szCs w:val="22"/>
              </w:rPr>
            </w:pPr>
            <w:hyperlink r:id="rId68" w:history="1">
              <w:r w:rsidR="005A6352" w:rsidRPr="007434D8">
                <w:rPr>
                  <w:rStyle w:val="Hyperlink"/>
                  <w:rFonts w:cs="Arial"/>
                  <w:bCs/>
                  <w:szCs w:val="22"/>
                </w:rPr>
                <w:t>https://www.who.int/occupational_health/topics/workplace/en/</w:t>
              </w:r>
            </w:hyperlink>
          </w:p>
        </w:tc>
      </w:tr>
      <w:tr w:rsidR="005A6352" w:rsidRPr="006E36AE" w14:paraId="64A91690" w14:textId="77777777" w:rsidTr="006E36AE">
        <w:trPr>
          <w:trHeight w:val="282"/>
        </w:trPr>
        <w:tc>
          <w:tcPr>
            <w:tcW w:w="704" w:type="dxa"/>
          </w:tcPr>
          <w:p w14:paraId="2FF25446" w14:textId="59ABE4FD" w:rsidR="005A6352" w:rsidRPr="006E36AE" w:rsidRDefault="00BE1EE9" w:rsidP="005A6352">
            <w:pPr>
              <w:pStyle w:val="Tabletext"/>
              <w:rPr>
                <w:rFonts w:cs="Arial"/>
                <w:bCs/>
                <w:szCs w:val="22"/>
              </w:rPr>
            </w:pPr>
            <w:r>
              <w:rPr>
                <w:rFonts w:cs="Arial"/>
                <w:bCs/>
                <w:szCs w:val="22"/>
              </w:rPr>
              <w:t>41</w:t>
            </w:r>
          </w:p>
        </w:tc>
        <w:tc>
          <w:tcPr>
            <w:tcW w:w="1701" w:type="dxa"/>
          </w:tcPr>
          <w:p w14:paraId="7E97CA8E" w14:textId="23DD2C81" w:rsidR="005A6352" w:rsidRPr="006E36AE" w:rsidRDefault="005A6352" w:rsidP="005A6352">
            <w:pPr>
              <w:pStyle w:val="Tabletext"/>
              <w:rPr>
                <w:rFonts w:cs="Arial"/>
                <w:bCs/>
                <w:szCs w:val="22"/>
              </w:rPr>
            </w:pPr>
            <w:r w:rsidRPr="006E36AE">
              <w:rPr>
                <w:rFonts w:cs="Arial"/>
                <w:bCs/>
                <w:szCs w:val="22"/>
              </w:rPr>
              <w:t>Multiple Sclerosis Society</w:t>
            </w:r>
          </w:p>
        </w:tc>
        <w:tc>
          <w:tcPr>
            <w:tcW w:w="1985" w:type="dxa"/>
          </w:tcPr>
          <w:p w14:paraId="2042B495"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Key area for quality improvement 1</w:t>
            </w:r>
          </w:p>
          <w:p w14:paraId="3A166982" w14:textId="77777777" w:rsidR="005A6352" w:rsidRPr="006E36AE" w:rsidRDefault="005A6352" w:rsidP="005A6352">
            <w:pPr>
              <w:pStyle w:val="Tabletext"/>
              <w:rPr>
                <w:rFonts w:cs="Arial"/>
                <w:bCs/>
                <w:szCs w:val="22"/>
              </w:rPr>
            </w:pPr>
            <w:r w:rsidRPr="006E36AE">
              <w:rPr>
                <w:rFonts w:cs="Arial"/>
                <w:bCs/>
                <w:szCs w:val="22"/>
              </w:rPr>
              <w:t>Workplace culture and disclosure of multiple sclerosis (MS) to managers</w:t>
            </w:r>
          </w:p>
        </w:tc>
        <w:tc>
          <w:tcPr>
            <w:tcW w:w="3426" w:type="dxa"/>
          </w:tcPr>
          <w:p w14:paraId="08DA6E9B" w14:textId="77777777" w:rsidR="005A6352" w:rsidRPr="006E36AE" w:rsidRDefault="005A6352" w:rsidP="005A6352">
            <w:pPr>
              <w:pStyle w:val="Tabletext"/>
              <w:rPr>
                <w:rFonts w:cs="Arial"/>
                <w:bCs/>
                <w:szCs w:val="22"/>
              </w:rPr>
            </w:pPr>
            <w:r w:rsidRPr="006E36AE">
              <w:rPr>
                <w:rFonts w:cs="Arial"/>
                <w:bCs/>
                <w:szCs w:val="22"/>
              </w:rPr>
              <w:t xml:space="preserve">A review by the APPG for MS in 2016 found that disability and chronic health conditions are sometimes not visible and not systematically recognised as being part of normal working life. This lack of normalisation can mean that disabled people </w:t>
            </w:r>
            <w:proofErr w:type="gramStart"/>
            <w:r w:rsidRPr="006E36AE">
              <w:rPr>
                <w:rFonts w:cs="Arial"/>
                <w:bCs/>
                <w:szCs w:val="22"/>
              </w:rPr>
              <w:t>are seen as</w:t>
            </w:r>
            <w:proofErr w:type="gramEnd"/>
            <w:r w:rsidRPr="006E36AE">
              <w:rPr>
                <w:rFonts w:cs="Arial"/>
                <w:bCs/>
                <w:szCs w:val="22"/>
              </w:rPr>
              <w:t xml:space="preserve"> undesirable and employers approach the issue from a risk-limitation perspective. These attitudes also negatively impact on people with MS who are looking for work. The APPG review found that </w:t>
            </w:r>
            <w:proofErr w:type="gramStart"/>
            <w:r w:rsidRPr="006E36AE">
              <w:rPr>
                <w:rFonts w:cs="Arial"/>
                <w:bCs/>
                <w:szCs w:val="22"/>
              </w:rPr>
              <w:t>a majority of</w:t>
            </w:r>
            <w:proofErr w:type="gramEnd"/>
            <w:r w:rsidRPr="006E36AE">
              <w:rPr>
                <w:rFonts w:cs="Arial"/>
                <w:bCs/>
                <w:szCs w:val="22"/>
              </w:rPr>
              <w:t xml:space="preserve"> respondents who were looking for work feel that employers’ attitudes to MS make it harder for them to find a job. </w:t>
            </w:r>
          </w:p>
        </w:tc>
        <w:tc>
          <w:tcPr>
            <w:tcW w:w="3426" w:type="dxa"/>
          </w:tcPr>
          <w:p w14:paraId="3ED1E3A3"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22% of respondents to an MS Society survey in 2019 who retired early or left work entirely </w:t>
            </w:r>
            <w:proofErr w:type="gramStart"/>
            <w:r w:rsidRPr="006E36AE">
              <w:rPr>
                <w:rFonts w:cs="Arial"/>
                <w:bCs/>
                <w:sz w:val="22"/>
                <w:szCs w:val="22"/>
              </w:rPr>
              <w:t>as a result of</w:t>
            </w:r>
            <w:proofErr w:type="gramEnd"/>
            <w:r w:rsidRPr="006E36AE">
              <w:rPr>
                <w:rFonts w:cs="Arial"/>
                <w:bCs/>
                <w:sz w:val="22"/>
                <w:szCs w:val="22"/>
              </w:rPr>
              <w:t xml:space="preserve"> their MS said they wanted to stay in work, but their employer didn’t support them.</w:t>
            </w:r>
          </w:p>
          <w:p w14:paraId="1516A7F4"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The Covid-19 pandemic has shown that certain work cultures, such as the 9-5 presentism can change to allow employees to continue to do their jobs. This culture change can be harnessed to provide more inclusive working cultures in future. </w:t>
            </w:r>
          </w:p>
          <w:p w14:paraId="2135F6E9" w14:textId="77777777" w:rsidR="005A6352" w:rsidRPr="006E36AE" w:rsidRDefault="005A6352" w:rsidP="005A6352">
            <w:pPr>
              <w:pStyle w:val="Paragraphnonumbers"/>
              <w:spacing w:after="60" w:line="240" w:lineRule="auto"/>
              <w:rPr>
                <w:rFonts w:cs="Arial"/>
                <w:bCs/>
                <w:sz w:val="22"/>
                <w:szCs w:val="22"/>
              </w:rPr>
            </w:pPr>
          </w:p>
          <w:p w14:paraId="2E4E161F" w14:textId="77777777" w:rsidR="005A6352" w:rsidRPr="006E36AE" w:rsidRDefault="005A6352" w:rsidP="005A6352">
            <w:pPr>
              <w:pStyle w:val="Tabletext"/>
              <w:rPr>
                <w:rFonts w:cs="Arial"/>
                <w:bCs/>
                <w:szCs w:val="22"/>
              </w:rPr>
            </w:pPr>
          </w:p>
        </w:tc>
        <w:tc>
          <w:tcPr>
            <w:tcW w:w="3426" w:type="dxa"/>
          </w:tcPr>
          <w:p w14:paraId="04B37610"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For more information on the experiences of people with MS on workplace cultures please see: </w:t>
            </w:r>
            <w:hyperlink r:id="rId69" w:history="1">
              <w:r w:rsidRPr="006E36AE">
                <w:rPr>
                  <w:rStyle w:val="Hyperlink"/>
                  <w:rFonts w:cs="Arial"/>
                  <w:bCs/>
                  <w:sz w:val="22"/>
                  <w:szCs w:val="22"/>
                </w:rPr>
                <w:t>APPG for MS – Employment that works: supporting people with MS in the workplace</w:t>
              </w:r>
            </w:hyperlink>
            <w:r w:rsidRPr="006E36AE">
              <w:rPr>
                <w:rFonts w:cs="Arial"/>
                <w:bCs/>
                <w:sz w:val="22"/>
                <w:szCs w:val="22"/>
              </w:rPr>
              <w:t>, p. 20</w:t>
            </w:r>
          </w:p>
          <w:p w14:paraId="73C4EC45" w14:textId="77777777" w:rsidR="005A6352" w:rsidRPr="006E36AE" w:rsidRDefault="005A6352" w:rsidP="005A6352">
            <w:pPr>
              <w:pStyle w:val="Tabletext"/>
              <w:rPr>
                <w:rFonts w:cs="Arial"/>
                <w:bCs/>
                <w:szCs w:val="22"/>
              </w:rPr>
            </w:pPr>
            <w:r w:rsidRPr="006E36AE">
              <w:rPr>
                <w:rFonts w:cs="Arial"/>
                <w:bCs/>
                <w:szCs w:val="22"/>
              </w:rPr>
              <w:t xml:space="preserve">For key findings on employment support from a large-scale MS Society survey see: </w:t>
            </w:r>
            <w:hyperlink r:id="rId70" w:history="1">
              <w:r w:rsidRPr="006E36AE">
                <w:rPr>
                  <w:rStyle w:val="Hyperlink"/>
                  <w:rFonts w:cs="Arial"/>
                  <w:bCs/>
                  <w:szCs w:val="22"/>
                </w:rPr>
                <w:t>MS Society – My MS My Needs 2019 UK report</w:t>
              </w:r>
            </w:hyperlink>
            <w:r w:rsidRPr="006E36AE">
              <w:rPr>
                <w:rFonts w:cs="Arial"/>
                <w:bCs/>
                <w:szCs w:val="22"/>
              </w:rPr>
              <w:t xml:space="preserve">. </w:t>
            </w:r>
          </w:p>
        </w:tc>
      </w:tr>
      <w:tr w:rsidR="005A6352" w:rsidRPr="006E36AE" w14:paraId="02816851" w14:textId="77777777" w:rsidTr="006E36AE">
        <w:trPr>
          <w:trHeight w:val="282"/>
        </w:trPr>
        <w:tc>
          <w:tcPr>
            <w:tcW w:w="704" w:type="dxa"/>
          </w:tcPr>
          <w:p w14:paraId="45D38A1F" w14:textId="74F562F5" w:rsidR="005A6352" w:rsidRPr="006E36AE" w:rsidRDefault="00BE1EE9" w:rsidP="005A6352">
            <w:pPr>
              <w:pStyle w:val="Tabletext"/>
              <w:rPr>
                <w:rFonts w:cs="Arial"/>
                <w:bCs/>
                <w:szCs w:val="22"/>
              </w:rPr>
            </w:pPr>
            <w:r>
              <w:rPr>
                <w:rFonts w:cs="Arial"/>
                <w:bCs/>
                <w:szCs w:val="22"/>
              </w:rPr>
              <w:t>42</w:t>
            </w:r>
          </w:p>
        </w:tc>
        <w:tc>
          <w:tcPr>
            <w:tcW w:w="1701" w:type="dxa"/>
          </w:tcPr>
          <w:p w14:paraId="5F66B21C" w14:textId="77010875" w:rsidR="005A6352" w:rsidRPr="006E36AE" w:rsidRDefault="005A6352" w:rsidP="005A6352">
            <w:pPr>
              <w:pStyle w:val="Tabletext"/>
              <w:rPr>
                <w:rFonts w:cs="Arial"/>
                <w:bCs/>
                <w:szCs w:val="22"/>
              </w:rPr>
            </w:pPr>
            <w:r w:rsidRPr="006E36AE">
              <w:rPr>
                <w:rFonts w:cs="Arial"/>
                <w:bCs/>
                <w:szCs w:val="22"/>
              </w:rPr>
              <w:t>Multiple Sclerosis Society</w:t>
            </w:r>
          </w:p>
        </w:tc>
        <w:tc>
          <w:tcPr>
            <w:tcW w:w="1985" w:type="dxa"/>
          </w:tcPr>
          <w:p w14:paraId="01CBB6C4"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Key area for quality improvement 2</w:t>
            </w:r>
          </w:p>
          <w:p w14:paraId="7F2F2177" w14:textId="77777777" w:rsidR="005A6352" w:rsidRPr="006E36AE" w:rsidRDefault="005A6352" w:rsidP="005A6352">
            <w:pPr>
              <w:pStyle w:val="Tabletext"/>
              <w:rPr>
                <w:rFonts w:cs="Arial"/>
                <w:bCs/>
                <w:szCs w:val="22"/>
              </w:rPr>
            </w:pPr>
            <w:r w:rsidRPr="006E36AE">
              <w:rPr>
                <w:rFonts w:cs="Arial"/>
                <w:bCs/>
                <w:szCs w:val="22"/>
              </w:rPr>
              <w:t>Absence leave policies, HR policies and support to leave work</w:t>
            </w:r>
          </w:p>
        </w:tc>
        <w:tc>
          <w:tcPr>
            <w:tcW w:w="3426" w:type="dxa"/>
          </w:tcPr>
          <w:p w14:paraId="4E23CF23"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Many people with MS feel penalised by absence management mechanisms which </w:t>
            </w:r>
            <w:proofErr w:type="gramStart"/>
            <w:r w:rsidRPr="006E36AE">
              <w:rPr>
                <w:rFonts w:cs="Arial"/>
                <w:bCs/>
                <w:sz w:val="22"/>
                <w:szCs w:val="22"/>
              </w:rPr>
              <w:t>aren’t</w:t>
            </w:r>
            <w:proofErr w:type="gramEnd"/>
            <w:r w:rsidRPr="006E36AE">
              <w:rPr>
                <w:rFonts w:cs="Arial"/>
                <w:bCs/>
                <w:sz w:val="22"/>
                <w:szCs w:val="22"/>
              </w:rPr>
              <w:t xml:space="preserve"> adjusted to take into account their disability and increased likelihood of taking sick days off work. Hitting absence trigger points can lead to stress and anxiety for people </w:t>
            </w:r>
            <w:r w:rsidRPr="006E36AE">
              <w:rPr>
                <w:rFonts w:cs="Arial"/>
                <w:bCs/>
                <w:sz w:val="22"/>
                <w:szCs w:val="22"/>
              </w:rPr>
              <w:lastRenderedPageBreak/>
              <w:t>with MS, or even lead to them being dismissed or choosing to leave a job. Higher sickness absence rates can also deter disabled people seeking – or prevent them from gaining – new employment, especially where this has triggered absence management mechanisms.</w:t>
            </w:r>
          </w:p>
          <w:p w14:paraId="4ECE5AB0"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Disability leave policies which record disability absence separately from sickness absence can be one form of reasonable adjustment, giving a disabled person the right to have their disability leave recorded separately, thereby reducing the possibility of hitting trigger points and allowing them to feel more secure in their jobs. </w:t>
            </w:r>
          </w:p>
          <w:p w14:paraId="5D79FE22" w14:textId="77777777" w:rsidR="005A6352" w:rsidRPr="006E36AE" w:rsidRDefault="005A6352" w:rsidP="005A6352">
            <w:pPr>
              <w:pStyle w:val="Tabletext"/>
              <w:rPr>
                <w:rFonts w:cs="Arial"/>
                <w:bCs/>
                <w:szCs w:val="22"/>
              </w:rPr>
            </w:pPr>
            <w:r w:rsidRPr="006E36AE">
              <w:rPr>
                <w:rFonts w:cs="Arial"/>
                <w:bCs/>
                <w:szCs w:val="22"/>
              </w:rPr>
              <w:t xml:space="preserve">When people with MS do need to leave work due to the severity of their condition, there is very little support from employers, or other avenues, to reduce any negative impacts of leaving work, such as coping with financial, emotional and social impacts. </w:t>
            </w:r>
          </w:p>
        </w:tc>
        <w:tc>
          <w:tcPr>
            <w:tcW w:w="3426" w:type="dxa"/>
          </w:tcPr>
          <w:p w14:paraId="2C174348"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lastRenderedPageBreak/>
              <w:t xml:space="preserve">People with MS report absence management and HR policies that are inadequate for dealing with a fluctuating condition such as MS that requires taking time off to manage the condition in order to be able to return to work, resulting in disciplinary processes. This puts people with </w:t>
            </w:r>
            <w:r w:rsidRPr="006E36AE">
              <w:rPr>
                <w:rFonts w:cs="Arial"/>
                <w:bCs/>
                <w:sz w:val="22"/>
                <w:szCs w:val="22"/>
              </w:rPr>
              <w:lastRenderedPageBreak/>
              <w:t xml:space="preserve">MS at a significant disadvantage compared with their non-disabled colleagues. </w:t>
            </w:r>
          </w:p>
          <w:p w14:paraId="137CEE56" w14:textId="77777777" w:rsidR="005A6352" w:rsidRPr="006E36AE" w:rsidRDefault="005A6352" w:rsidP="005A6352">
            <w:pPr>
              <w:pStyle w:val="Tabletext"/>
              <w:rPr>
                <w:rFonts w:cs="Arial"/>
                <w:bCs/>
                <w:szCs w:val="22"/>
              </w:rPr>
            </w:pPr>
            <w:r w:rsidRPr="006E36AE">
              <w:rPr>
                <w:rFonts w:cs="Arial"/>
                <w:bCs/>
                <w:szCs w:val="22"/>
              </w:rPr>
              <w:t xml:space="preserve">MS has a significant impact on employment outcomes for people living with the condition. Leaving work can be beneficial for health but has many negative impacts, such as loss of earnings, </w:t>
            </w:r>
            <w:proofErr w:type="gramStart"/>
            <w:r w:rsidRPr="006E36AE">
              <w:rPr>
                <w:rFonts w:cs="Arial"/>
                <w:bCs/>
                <w:szCs w:val="22"/>
              </w:rPr>
              <w:t>structure</w:t>
            </w:r>
            <w:proofErr w:type="gramEnd"/>
            <w:r w:rsidRPr="006E36AE">
              <w:rPr>
                <w:rFonts w:cs="Arial"/>
                <w:bCs/>
                <w:szCs w:val="22"/>
              </w:rPr>
              <w:t xml:space="preserve"> and social contact. People with MS need support to cope with these impacts, </w:t>
            </w:r>
            <w:proofErr w:type="gramStart"/>
            <w:r w:rsidRPr="006E36AE">
              <w:rPr>
                <w:rFonts w:cs="Arial"/>
                <w:bCs/>
                <w:szCs w:val="22"/>
              </w:rPr>
              <w:t>in order to</w:t>
            </w:r>
            <w:proofErr w:type="gramEnd"/>
            <w:r w:rsidRPr="006E36AE">
              <w:rPr>
                <w:rFonts w:cs="Arial"/>
                <w:bCs/>
                <w:szCs w:val="22"/>
              </w:rPr>
              <w:t xml:space="preserve"> continue to live well once they leave work. </w:t>
            </w:r>
          </w:p>
        </w:tc>
        <w:tc>
          <w:tcPr>
            <w:tcW w:w="3426" w:type="dxa"/>
          </w:tcPr>
          <w:p w14:paraId="3AD0102A"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lastRenderedPageBreak/>
              <w:t xml:space="preserve">For further information on HR and absence policies please see </w:t>
            </w:r>
            <w:hyperlink r:id="rId71" w:history="1">
              <w:r w:rsidRPr="006E36AE">
                <w:rPr>
                  <w:rStyle w:val="Hyperlink"/>
                  <w:rFonts w:cs="Arial"/>
                  <w:bCs/>
                  <w:sz w:val="22"/>
                  <w:szCs w:val="22"/>
                </w:rPr>
                <w:t>APPG for MS – Employment that works: supporting people with MS in the workplace</w:t>
              </w:r>
            </w:hyperlink>
            <w:r w:rsidRPr="006E36AE">
              <w:rPr>
                <w:rFonts w:cs="Arial"/>
                <w:bCs/>
                <w:sz w:val="22"/>
                <w:szCs w:val="22"/>
              </w:rPr>
              <w:t>, p. 23</w:t>
            </w:r>
          </w:p>
          <w:p w14:paraId="5B08FA91" w14:textId="77777777" w:rsidR="005A6352" w:rsidRPr="006E36AE" w:rsidRDefault="005A6352" w:rsidP="005A6352">
            <w:pPr>
              <w:pStyle w:val="Tabletext"/>
              <w:rPr>
                <w:rFonts w:cs="Arial"/>
                <w:bCs/>
                <w:szCs w:val="22"/>
              </w:rPr>
            </w:pPr>
            <w:r w:rsidRPr="006E36AE">
              <w:rPr>
                <w:rFonts w:cs="Arial"/>
                <w:bCs/>
                <w:szCs w:val="22"/>
              </w:rPr>
              <w:t xml:space="preserve">More information on MS Society research on the impacts of transitioning out work can be found here: </w:t>
            </w:r>
            <w:hyperlink r:id="rId72" w:history="1">
              <w:r w:rsidRPr="006E36AE">
                <w:rPr>
                  <w:rStyle w:val="Hyperlink"/>
                  <w:rFonts w:cs="Arial"/>
                  <w:bCs/>
                  <w:szCs w:val="22"/>
                </w:rPr>
                <w:t>https://www.mssociety.org.uk/get-involved/campaign-with-us/campaigns-blog/people-with-ms-leaving-work-challenged-by-lack-of-support</w:t>
              </w:r>
            </w:hyperlink>
            <w:r w:rsidRPr="006E36AE">
              <w:rPr>
                <w:rFonts w:cs="Arial"/>
                <w:bCs/>
                <w:szCs w:val="22"/>
              </w:rPr>
              <w:t xml:space="preserve">. The full report can be provided on request. </w:t>
            </w:r>
          </w:p>
        </w:tc>
      </w:tr>
      <w:tr w:rsidR="005A6352" w:rsidRPr="006E36AE" w14:paraId="36E8153F" w14:textId="77777777" w:rsidTr="006E36AE">
        <w:trPr>
          <w:trHeight w:val="282"/>
        </w:trPr>
        <w:tc>
          <w:tcPr>
            <w:tcW w:w="704" w:type="dxa"/>
          </w:tcPr>
          <w:p w14:paraId="4FE8CC7A" w14:textId="76D12CC3" w:rsidR="005A6352" w:rsidRPr="006E36AE" w:rsidRDefault="00BE1EE9" w:rsidP="005A6352">
            <w:pPr>
              <w:pStyle w:val="Tabletext"/>
              <w:rPr>
                <w:rFonts w:cs="Arial"/>
                <w:bCs/>
                <w:szCs w:val="22"/>
              </w:rPr>
            </w:pPr>
            <w:r>
              <w:rPr>
                <w:rFonts w:cs="Arial"/>
                <w:bCs/>
                <w:szCs w:val="22"/>
              </w:rPr>
              <w:lastRenderedPageBreak/>
              <w:t>43</w:t>
            </w:r>
          </w:p>
        </w:tc>
        <w:tc>
          <w:tcPr>
            <w:tcW w:w="1701" w:type="dxa"/>
          </w:tcPr>
          <w:p w14:paraId="30F9316C" w14:textId="77777777" w:rsidR="005A6352" w:rsidRPr="006E36AE" w:rsidRDefault="005A6352" w:rsidP="005A6352">
            <w:pPr>
              <w:pStyle w:val="Tabletext"/>
              <w:rPr>
                <w:rFonts w:cs="Arial"/>
                <w:bCs/>
                <w:szCs w:val="22"/>
              </w:rPr>
            </w:pPr>
            <w:r w:rsidRPr="006E36AE">
              <w:rPr>
                <w:rFonts w:cs="Arial"/>
                <w:bCs/>
                <w:szCs w:val="22"/>
              </w:rPr>
              <w:t>Royal College of Nursing</w:t>
            </w:r>
          </w:p>
        </w:tc>
        <w:tc>
          <w:tcPr>
            <w:tcW w:w="1985" w:type="dxa"/>
          </w:tcPr>
          <w:p w14:paraId="62E9D28D"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Key area for quality improvement 2</w:t>
            </w:r>
          </w:p>
          <w:p w14:paraId="3F3F4EA7"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Support for healthy workplace </w:t>
            </w:r>
          </w:p>
          <w:p w14:paraId="7AB937ED" w14:textId="77777777" w:rsidR="005A6352" w:rsidRPr="006E36AE" w:rsidRDefault="005A6352" w:rsidP="005A6352">
            <w:pPr>
              <w:pStyle w:val="Tabletext"/>
              <w:rPr>
                <w:rFonts w:cs="Arial"/>
                <w:bCs/>
                <w:szCs w:val="22"/>
              </w:rPr>
            </w:pPr>
          </w:p>
        </w:tc>
        <w:tc>
          <w:tcPr>
            <w:tcW w:w="3426" w:type="dxa"/>
          </w:tcPr>
          <w:p w14:paraId="2EA38871" w14:textId="77777777" w:rsidR="005A6352" w:rsidRPr="006E36AE" w:rsidRDefault="005A6352" w:rsidP="005A6352">
            <w:pPr>
              <w:pStyle w:val="Tabletext"/>
              <w:rPr>
                <w:rFonts w:cs="Arial"/>
                <w:bCs/>
                <w:szCs w:val="22"/>
              </w:rPr>
            </w:pPr>
            <w:r w:rsidRPr="006E36AE">
              <w:rPr>
                <w:rFonts w:cs="Arial"/>
                <w:bCs/>
                <w:szCs w:val="22"/>
              </w:rPr>
              <w:t xml:space="preserve">The RCN guidance Healthy Workplace, Healthy you support employers to work in partnership with workplace representatives to improve working environments for staff. It also supports nursing professionals to lead healthy lifestyles so they can maintain both physical and mental wellbeing thereby helping to limit sickness absence.  </w:t>
            </w:r>
          </w:p>
        </w:tc>
        <w:tc>
          <w:tcPr>
            <w:tcW w:w="3426" w:type="dxa"/>
          </w:tcPr>
          <w:p w14:paraId="52B62EF1" w14:textId="77777777" w:rsidR="005A6352" w:rsidRPr="006E36AE" w:rsidRDefault="005A6352" w:rsidP="005A6352">
            <w:pPr>
              <w:pStyle w:val="Tabletext"/>
              <w:rPr>
                <w:rFonts w:cs="Arial"/>
                <w:bCs/>
                <w:szCs w:val="22"/>
              </w:rPr>
            </w:pPr>
            <w:r w:rsidRPr="006E36AE">
              <w:rPr>
                <w:rFonts w:cs="Arial"/>
                <w:bCs/>
                <w:szCs w:val="22"/>
              </w:rPr>
              <w:t xml:space="preserve">It is welcomed that the developers will consider current national documents and policies outlined in section 2.2 of the topic engagement document to develop the quality standards.  We support the areas listed in these documents mentioned as they will inform the development of this quality standard. </w:t>
            </w:r>
          </w:p>
        </w:tc>
        <w:tc>
          <w:tcPr>
            <w:tcW w:w="3426" w:type="dxa"/>
          </w:tcPr>
          <w:p w14:paraId="3233AFDD"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RCN guidance: Healthy workplace, health you -</w:t>
            </w:r>
          </w:p>
          <w:p w14:paraId="03EE82BC" w14:textId="77777777" w:rsidR="005A6352" w:rsidRPr="006E36AE" w:rsidRDefault="00DF1D4E" w:rsidP="005A6352">
            <w:pPr>
              <w:pStyle w:val="Paragraphnonumbers"/>
              <w:spacing w:after="60" w:line="240" w:lineRule="auto"/>
              <w:rPr>
                <w:rFonts w:cs="Arial"/>
                <w:bCs/>
                <w:sz w:val="22"/>
                <w:szCs w:val="22"/>
              </w:rPr>
            </w:pPr>
            <w:hyperlink r:id="rId73" w:history="1">
              <w:r w:rsidR="005A6352" w:rsidRPr="006E36AE">
                <w:rPr>
                  <w:rStyle w:val="Hyperlink"/>
                  <w:rFonts w:cs="Arial"/>
                  <w:bCs/>
                  <w:sz w:val="22"/>
                  <w:szCs w:val="22"/>
                </w:rPr>
                <w:t>https://www.rcn.org.uk/healthy-workplace</w:t>
              </w:r>
            </w:hyperlink>
          </w:p>
          <w:p w14:paraId="701A2AC7" w14:textId="77777777" w:rsidR="005A6352" w:rsidRPr="006E36AE" w:rsidRDefault="005A6352" w:rsidP="005A6352">
            <w:pPr>
              <w:pStyle w:val="Tabletext"/>
              <w:rPr>
                <w:rFonts w:cs="Arial"/>
                <w:bCs/>
                <w:szCs w:val="22"/>
              </w:rPr>
            </w:pPr>
          </w:p>
        </w:tc>
      </w:tr>
      <w:tr w:rsidR="005A6352" w:rsidRPr="006E36AE" w14:paraId="093A9DA8" w14:textId="77777777" w:rsidTr="006E36AE">
        <w:trPr>
          <w:trHeight w:val="282"/>
        </w:trPr>
        <w:tc>
          <w:tcPr>
            <w:tcW w:w="704" w:type="dxa"/>
          </w:tcPr>
          <w:p w14:paraId="0083DC98" w14:textId="09029AB8" w:rsidR="005A6352" w:rsidRPr="006E36AE" w:rsidRDefault="00BE1EE9" w:rsidP="005A6352">
            <w:pPr>
              <w:pStyle w:val="Tabletext"/>
              <w:rPr>
                <w:rFonts w:cs="Arial"/>
                <w:bCs/>
                <w:szCs w:val="22"/>
              </w:rPr>
            </w:pPr>
            <w:r>
              <w:rPr>
                <w:rFonts w:cs="Arial"/>
                <w:bCs/>
                <w:szCs w:val="22"/>
              </w:rPr>
              <w:t>44</w:t>
            </w:r>
          </w:p>
        </w:tc>
        <w:tc>
          <w:tcPr>
            <w:tcW w:w="1701" w:type="dxa"/>
          </w:tcPr>
          <w:p w14:paraId="5DB26A5D" w14:textId="77777777" w:rsidR="005A6352" w:rsidRPr="006E36AE" w:rsidRDefault="005A6352" w:rsidP="005A6352">
            <w:pPr>
              <w:pStyle w:val="Tabletext"/>
              <w:rPr>
                <w:rFonts w:cs="Arial"/>
                <w:bCs/>
                <w:szCs w:val="22"/>
              </w:rPr>
            </w:pPr>
            <w:r w:rsidRPr="006E36AE">
              <w:rPr>
                <w:rFonts w:cs="Arial"/>
                <w:bCs/>
                <w:szCs w:val="22"/>
              </w:rPr>
              <w:t>SCM1</w:t>
            </w:r>
          </w:p>
        </w:tc>
        <w:tc>
          <w:tcPr>
            <w:tcW w:w="1985" w:type="dxa"/>
          </w:tcPr>
          <w:p w14:paraId="20A76601" w14:textId="77777777" w:rsidR="005A6352" w:rsidRPr="006E36AE" w:rsidRDefault="005A6352" w:rsidP="005A6352">
            <w:pPr>
              <w:pStyle w:val="TableText1"/>
              <w:spacing w:after="60"/>
              <w:rPr>
                <w:rFonts w:cs="Arial"/>
                <w:bCs/>
                <w:szCs w:val="22"/>
              </w:rPr>
            </w:pPr>
            <w:r w:rsidRPr="006E36AE">
              <w:rPr>
                <w:rFonts w:cs="Arial"/>
                <w:bCs/>
                <w:szCs w:val="22"/>
              </w:rPr>
              <w:t>Key area for quality improvement 2</w:t>
            </w:r>
          </w:p>
          <w:p w14:paraId="5100E8BD" w14:textId="77777777" w:rsidR="005A6352" w:rsidRPr="006E36AE" w:rsidRDefault="005A6352" w:rsidP="005A6352">
            <w:pPr>
              <w:pStyle w:val="TableText1"/>
              <w:spacing w:after="60"/>
              <w:rPr>
                <w:rFonts w:cs="Arial"/>
                <w:bCs/>
                <w:szCs w:val="22"/>
              </w:rPr>
            </w:pPr>
          </w:p>
          <w:p w14:paraId="1413EFE2" w14:textId="0C2E0A56" w:rsidR="005A6352" w:rsidRPr="006E36AE" w:rsidRDefault="005A6352" w:rsidP="005A6352">
            <w:pPr>
              <w:pStyle w:val="TableText1"/>
              <w:spacing w:after="60"/>
            </w:pPr>
            <w:r w:rsidRPr="006E36AE">
              <w:rPr>
                <w:rFonts w:cs="Arial"/>
                <w:bCs/>
                <w:szCs w:val="22"/>
              </w:rPr>
              <w:t>Positive workplace wellbeing initiatives based on public health messages such as wellbeing days, mental health awareness training, behaviour change awareness, awareness raising od local support network days.</w:t>
            </w:r>
          </w:p>
        </w:tc>
        <w:tc>
          <w:tcPr>
            <w:tcW w:w="3426" w:type="dxa"/>
          </w:tcPr>
          <w:p w14:paraId="702ABD5E"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Gives employees ideas and support available to enable them to think about their own health and wellbeing. </w:t>
            </w:r>
          </w:p>
        </w:tc>
        <w:tc>
          <w:tcPr>
            <w:tcW w:w="3426" w:type="dxa"/>
          </w:tcPr>
          <w:p w14:paraId="17F94CA2" w14:textId="77777777" w:rsidR="005A6352" w:rsidRPr="006E36AE" w:rsidRDefault="005A6352" w:rsidP="005A6352">
            <w:pPr>
              <w:pStyle w:val="Tabletext"/>
              <w:rPr>
                <w:rFonts w:cs="Arial"/>
                <w:bCs/>
                <w:szCs w:val="22"/>
              </w:rPr>
            </w:pPr>
            <w:r w:rsidRPr="006E36AE">
              <w:rPr>
                <w:rFonts w:cs="Arial"/>
                <w:bCs/>
                <w:szCs w:val="22"/>
              </w:rPr>
              <w:t>Helps reduce further ill health and possibly reduces sickness and ill health.</w:t>
            </w:r>
          </w:p>
        </w:tc>
        <w:tc>
          <w:tcPr>
            <w:tcW w:w="3426" w:type="dxa"/>
          </w:tcPr>
          <w:p w14:paraId="51FD9B46" w14:textId="77777777" w:rsidR="005A6352" w:rsidRPr="006E36AE" w:rsidRDefault="005A6352" w:rsidP="005A6352">
            <w:pPr>
              <w:pStyle w:val="Tabletext"/>
              <w:rPr>
                <w:rFonts w:cs="Arial"/>
                <w:bCs/>
                <w:szCs w:val="22"/>
              </w:rPr>
            </w:pPr>
          </w:p>
        </w:tc>
      </w:tr>
      <w:tr w:rsidR="005A6352" w:rsidRPr="006E36AE" w14:paraId="0E32C4B6" w14:textId="77777777" w:rsidTr="006E36AE">
        <w:trPr>
          <w:trHeight w:val="282"/>
        </w:trPr>
        <w:tc>
          <w:tcPr>
            <w:tcW w:w="704" w:type="dxa"/>
          </w:tcPr>
          <w:p w14:paraId="28BEE59D" w14:textId="59AA3EA3" w:rsidR="005A6352" w:rsidRPr="006E36AE" w:rsidRDefault="005A6352" w:rsidP="005A6352">
            <w:pPr>
              <w:pStyle w:val="Tabletext"/>
              <w:rPr>
                <w:rFonts w:cs="Arial"/>
                <w:bCs/>
                <w:szCs w:val="22"/>
              </w:rPr>
            </w:pPr>
            <w:r w:rsidRPr="006E36AE">
              <w:rPr>
                <w:rFonts w:cs="Arial"/>
                <w:bCs/>
                <w:szCs w:val="22"/>
              </w:rPr>
              <w:lastRenderedPageBreak/>
              <w:t>4</w:t>
            </w:r>
            <w:r w:rsidR="00BE1EE9">
              <w:rPr>
                <w:rFonts w:cs="Arial"/>
                <w:bCs/>
                <w:szCs w:val="22"/>
              </w:rPr>
              <w:t>5</w:t>
            </w:r>
          </w:p>
        </w:tc>
        <w:tc>
          <w:tcPr>
            <w:tcW w:w="1701" w:type="dxa"/>
          </w:tcPr>
          <w:p w14:paraId="3E7B78A0" w14:textId="77777777" w:rsidR="005A6352" w:rsidRPr="006E36AE" w:rsidRDefault="005A6352" w:rsidP="005A6352">
            <w:pPr>
              <w:pStyle w:val="Tabletext"/>
              <w:rPr>
                <w:rFonts w:cs="Arial"/>
                <w:bCs/>
                <w:szCs w:val="22"/>
              </w:rPr>
            </w:pPr>
            <w:r w:rsidRPr="006E36AE">
              <w:rPr>
                <w:rFonts w:cs="Arial"/>
                <w:bCs/>
                <w:szCs w:val="22"/>
              </w:rPr>
              <w:t>SCM1</w:t>
            </w:r>
          </w:p>
        </w:tc>
        <w:tc>
          <w:tcPr>
            <w:tcW w:w="1985" w:type="dxa"/>
          </w:tcPr>
          <w:p w14:paraId="21CF5BA2" w14:textId="77777777" w:rsidR="005A6352" w:rsidRPr="006E36AE" w:rsidRDefault="005A6352" w:rsidP="005A6352">
            <w:pPr>
              <w:pStyle w:val="TableText1"/>
              <w:spacing w:after="60"/>
              <w:rPr>
                <w:rFonts w:cs="Arial"/>
                <w:bCs/>
                <w:szCs w:val="22"/>
              </w:rPr>
            </w:pPr>
            <w:r w:rsidRPr="006E36AE">
              <w:rPr>
                <w:rFonts w:cs="Arial"/>
                <w:bCs/>
                <w:szCs w:val="22"/>
              </w:rPr>
              <w:t>Key area for quality improvement 3</w:t>
            </w:r>
          </w:p>
          <w:p w14:paraId="2AFB1099" w14:textId="77777777" w:rsidR="005A6352" w:rsidRPr="006E36AE" w:rsidRDefault="005A6352" w:rsidP="005A6352">
            <w:pPr>
              <w:pStyle w:val="TableText1"/>
              <w:spacing w:after="60"/>
              <w:rPr>
                <w:rFonts w:cs="Arial"/>
                <w:bCs/>
                <w:szCs w:val="22"/>
              </w:rPr>
            </w:pPr>
          </w:p>
          <w:p w14:paraId="4FDC7735" w14:textId="7B643838" w:rsidR="005A6352" w:rsidRPr="006E36AE" w:rsidRDefault="005A6352" w:rsidP="005A6352">
            <w:pPr>
              <w:pStyle w:val="TableText1"/>
              <w:spacing w:after="60"/>
            </w:pPr>
            <w:r w:rsidRPr="006E36AE">
              <w:rPr>
                <w:rFonts w:cs="Arial"/>
                <w:bCs/>
                <w:szCs w:val="22"/>
              </w:rPr>
              <w:t>Leadership direction and buy in relating to workplace health and wellbein</w:t>
            </w:r>
            <w:r>
              <w:rPr>
                <w:rFonts w:cs="Arial"/>
                <w:bCs/>
                <w:szCs w:val="22"/>
              </w:rPr>
              <w:t>g</w:t>
            </w:r>
          </w:p>
        </w:tc>
        <w:tc>
          <w:tcPr>
            <w:tcW w:w="3426" w:type="dxa"/>
          </w:tcPr>
          <w:p w14:paraId="0569B33C"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Gives a focus from the top and enables managers and employees to understand the positive healthy culture the organisation is trying to convey</w:t>
            </w:r>
          </w:p>
        </w:tc>
        <w:tc>
          <w:tcPr>
            <w:tcW w:w="3426" w:type="dxa"/>
          </w:tcPr>
          <w:p w14:paraId="18CB20DB" w14:textId="4ECDB74D" w:rsidR="005A6352" w:rsidRPr="006E36AE" w:rsidRDefault="005A6352" w:rsidP="005A6352">
            <w:pPr>
              <w:pStyle w:val="TableText1"/>
              <w:spacing w:after="60"/>
            </w:pPr>
            <w:r w:rsidRPr="006E36AE">
              <w:rPr>
                <w:rFonts w:cs="Arial"/>
                <w:bCs/>
                <w:szCs w:val="22"/>
              </w:rPr>
              <w:t xml:space="preserve">Promotes a better workplace environment. Creates a </w:t>
            </w:r>
            <w:proofErr w:type="gramStart"/>
            <w:r w:rsidRPr="006E36AE">
              <w:rPr>
                <w:rFonts w:cs="Arial"/>
                <w:bCs/>
                <w:szCs w:val="22"/>
              </w:rPr>
              <w:t>more healthy</w:t>
            </w:r>
            <w:proofErr w:type="gramEnd"/>
            <w:r w:rsidRPr="006E36AE">
              <w:rPr>
                <w:rFonts w:cs="Arial"/>
                <w:bCs/>
                <w:szCs w:val="22"/>
              </w:rPr>
              <w:t xml:space="preserve"> friendly culture. Enables employees to feel more able to </w:t>
            </w:r>
            <w:proofErr w:type="spellStart"/>
            <w:r w:rsidRPr="006E36AE">
              <w:rPr>
                <w:rFonts w:cs="Arial"/>
                <w:bCs/>
                <w:szCs w:val="22"/>
              </w:rPr>
              <w:t>oen</w:t>
            </w:r>
            <w:proofErr w:type="spellEnd"/>
            <w:r w:rsidRPr="006E36AE">
              <w:rPr>
                <w:rFonts w:cs="Arial"/>
                <w:bCs/>
                <w:szCs w:val="22"/>
              </w:rPr>
              <w:t xml:space="preserve"> up about any workplace health issues and get support to address these. May help reduce sickness absence.</w:t>
            </w:r>
          </w:p>
        </w:tc>
        <w:tc>
          <w:tcPr>
            <w:tcW w:w="3426" w:type="dxa"/>
          </w:tcPr>
          <w:p w14:paraId="43B83E17" w14:textId="77777777" w:rsidR="005A6352" w:rsidRPr="006E36AE" w:rsidRDefault="005A6352" w:rsidP="005A6352">
            <w:pPr>
              <w:pStyle w:val="Tabletext"/>
              <w:rPr>
                <w:rFonts w:cs="Arial"/>
                <w:bCs/>
                <w:szCs w:val="22"/>
              </w:rPr>
            </w:pPr>
          </w:p>
        </w:tc>
      </w:tr>
      <w:tr w:rsidR="005A6352" w:rsidRPr="006E36AE" w14:paraId="345B0916" w14:textId="77777777" w:rsidTr="006E36AE">
        <w:trPr>
          <w:trHeight w:val="282"/>
        </w:trPr>
        <w:tc>
          <w:tcPr>
            <w:tcW w:w="704" w:type="dxa"/>
          </w:tcPr>
          <w:p w14:paraId="3D6E7222" w14:textId="5C90D5D8" w:rsidR="005A6352" w:rsidRPr="006E36AE" w:rsidRDefault="005A6352" w:rsidP="005A6352">
            <w:pPr>
              <w:pStyle w:val="Tabletext"/>
              <w:rPr>
                <w:rFonts w:cs="Arial"/>
                <w:bCs/>
                <w:szCs w:val="22"/>
              </w:rPr>
            </w:pPr>
            <w:r w:rsidRPr="006E36AE">
              <w:rPr>
                <w:rFonts w:cs="Arial"/>
                <w:bCs/>
                <w:szCs w:val="22"/>
              </w:rPr>
              <w:t>4</w:t>
            </w:r>
            <w:r w:rsidR="00BE1EE9">
              <w:rPr>
                <w:rFonts w:cs="Arial"/>
                <w:bCs/>
                <w:szCs w:val="22"/>
              </w:rPr>
              <w:t>6</w:t>
            </w:r>
          </w:p>
        </w:tc>
        <w:tc>
          <w:tcPr>
            <w:tcW w:w="1701" w:type="dxa"/>
          </w:tcPr>
          <w:p w14:paraId="511D4B68" w14:textId="77777777" w:rsidR="005A6352" w:rsidRPr="006E36AE" w:rsidRDefault="005A6352" w:rsidP="005A6352">
            <w:pPr>
              <w:pStyle w:val="Tabletext"/>
              <w:rPr>
                <w:rFonts w:cs="Arial"/>
                <w:bCs/>
                <w:szCs w:val="22"/>
              </w:rPr>
            </w:pPr>
            <w:r w:rsidRPr="006E36AE">
              <w:rPr>
                <w:rFonts w:cs="Arial"/>
                <w:bCs/>
                <w:szCs w:val="22"/>
              </w:rPr>
              <w:t>SCM3</w:t>
            </w:r>
          </w:p>
        </w:tc>
        <w:tc>
          <w:tcPr>
            <w:tcW w:w="1985" w:type="dxa"/>
          </w:tcPr>
          <w:p w14:paraId="6BE2B270" w14:textId="77777777" w:rsidR="005A6352" w:rsidRPr="006E36AE" w:rsidRDefault="005A6352" w:rsidP="005A6352">
            <w:pPr>
              <w:pStyle w:val="TableText1"/>
              <w:spacing w:after="60"/>
              <w:rPr>
                <w:rFonts w:cs="Arial"/>
                <w:bCs/>
                <w:szCs w:val="22"/>
              </w:rPr>
            </w:pPr>
            <w:r w:rsidRPr="006E36AE">
              <w:rPr>
                <w:rFonts w:cs="Arial"/>
                <w:bCs/>
                <w:szCs w:val="22"/>
              </w:rPr>
              <w:t xml:space="preserve">Line manager competencies in behaviours that support employees during sickness absence and promote return-to-work </w:t>
            </w:r>
          </w:p>
        </w:tc>
        <w:tc>
          <w:tcPr>
            <w:tcW w:w="3426" w:type="dxa"/>
          </w:tcPr>
          <w:p w14:paraId="72E474D6" w14:textId="77777777" w:rsidR="005A6352" w:rsidRPr="006E36AE" w:rsidRDefault="005A6352" w:rsidP="005A6352">
            <w:pPr>
              <w:pStyle w:val="TableText1"/>
              <w:spacing w:after="60"/>
              <w:rPr>
                <w:rFonts w:cs="Arial"/>
                <w:bCs/>
                <w:szCs w:val="22"/>
              </w:rPr>
            </w:pPr>
            <w:r w:rsidRPr="006E36AE">
              <w:rPr>
                <w:rFonts w:cs="Arial"/>
                <w:bCs/>
                <w:szCs w:val="22"/>
              </w:rPr>
              <w:t xml:space="preserve">Line managers have a critical role in keeping in touch with employees who are on long-term sickness absence, putting in place a return-to-work plan, and identifying and </w:t>
            </w:r>
            <w:proofErr w:type="gramStart"/>
            <w:r w:rsidRPr="006E36AE">
              <w:rPr>
                <w:rFonts w:cs="Arial"/>
                <w:bCs/>
                <w:szCs w:val="22"/>
              </w:rPr>
              <w:t>making adjustments to</w:t>
            </w:r>
            <w:proofErr w:type="gramEnd"/>
            <w:r w:rsidRPr="006E36AE">
              <w:rPr>
                <w:rFonts w:cs="Arial"/>
                <w:bCs/>
                <w:szCs w:val="22"/>
              </w:rPr>
              <w:t xml:space="preserve"> facilitate a return-to-work</w:t>
            </w:r>
          </w:p>
        </w:tc>
        <w:tc>
          <w:tcPr>
            <w:tcW w:w="3426" w:type="dxa"/>
          </w:tcPr>
          <w:p w14:paraId="41632336" w14:textId="77777777" w:rsidR="005A6352" w:rsidRPr="006E36AE" w:rsidRDefault="005A6352" w:rsidP="005A6352">
            <w:pPr>
              <w:pStyle w:val="TableText1"/>
              <w:spacing w:after="60"/>
              <w:rPr>
                <w:rFonts w:cs="Arial"/>
                <w:bCs/>
                <w:szCs w:val="22"/>
              </w:rPr>
            </w:pPr>
            <w:r w:rsidRPr="006E36AE">
              <w:rPr>
                <w:rFonts w:cs="Arial"/>
                <w:bCs/>
                <w:szCs w:val="22"/>
              </w:rPr>
              <w:t xml:space="preserve">A health intervention may be effective in returning an employee to 100% work capability. But without effective engagement with the line manager in putting together a co-produced and agreed RTW plan, that individual may not effectively RTW. Line managers still find it difficult to initiate conversations about health and return-to-work planning. </w:t>
            </w:r>
          </w:p>
        </w:tc>
        <w:tc>
          <w:tcPr>
            <w:tcW w:w="3426" w:type="dxa"/>
          </w:tcPr>
          <w:p w14:paraId="134AB6FF" w14:textId="77777777" w:rsidR="005A6352" w:rsidRPr="006E36AE" w:rsidRDefault="005A6352" w:rsidP="005A6352">
            <w:pPr>
              <w:pStyle w:val="Tabletext"/>
              <w:rPr>
                <w:rFonts w:cs="Arial"/>
                <w:bCs/>
                <w:szCs w:val="22"/>
              </w:rPr>
            </w:pPr>
            <w:r w:rsidRPr="006E36AE">
              <w:rPr>
                <w:rFonts w:cs="Arial"/>
                <w:bCs/>
                <w:szCs w:val="22"/>
              </w:rPr>
              <w:t>Cohen et al (20212) Journal of Rehabilitation Medicine, describes how line managers tend to focus on procedural aspects of RTW discussions, rather than communication which promotes shared decision-making and guidance. They conclude that the content and flow of the return to work discussion is of high importance and influences employee behaviour and return to work outcomes, but line managers need training in the communication styles that facilitate this</w:t>
            </w:r>
          </w:p>
        </w:tc>
      </w:tr>
      <w:tr w:rsidR="005A6352" w:rsidRPr="006E36AE" w14:paraId="403492C9" w14:textId="77777777" w:rsidTr="006E36AE">
        <w:trPr>
          <w:trHeight w:val="282"/>
        </w:trPr>
        <w:tc>
          <w:tcPr>
            <w:tcW w:w="704" w:type="dxa"/>
          </w:tcPr>
          <w:p w14:paraId="23787087" w14:textId="3BB944BA" w:rsidR="005A6352" w:rsidRPr="006E36AE" w:rsidRDefault="005A6352" w:rsidP="005A6352">
            <w:pPr>
              <w:pStyle w:val="Tabletext"/>
              <w:rPr>
                <w:rFonts w:cs="Arial"/>
                <w:bCs/>
                <w:szCs w:val="22"/>
              </w:rPr>
            </w:pPr>
            <w:r w:rsidRPr="006E36AE">
              <w:rPr>
                <w:rFonts w:cs="Arial"/>
                <w:bCs/>
                <w:szCs w:val="22"/>
              </w:rPr>
              <w:t>4</w:t>
            </w:r>
            <w:r w:rsidR="00BE1EE9">
              <w:rPr>
                <w:rFonts w:cs="Arial"/>
                <w:bCs/>
                <w:szCs w:val="22"/>
              </w:rPr>
              <w:t>7</w:t>
            </w:r>
          </w:p>
        </w:tc>
        <w:tc>
          <w:tcPr>
            <w:tcW w:w="1701" w:type="dxa"/>
          </w:tcPr>
          <w:p w14:paraId="5E81B538" w14:textId="77777777" w:rsidR="005A6352" w:rsidRPr="006E36AE" w:rsidRDefault="005A6352" w:rsidP="005A6352">
            <w:pPr>
              <w:pStyle w:val="Tabletext"/>
              <w:rPr>
                <w:rFonts w:cs="Arial"/>
                <w:bCs/>
                <w:szCs w:val="22"/>
              </w:rPr>
            </w:pPr>
            <w:r w:rsidRPr="006E36AE">
              <w:rPr>
                <w:rFonts w:cs="Arial"/>
                <w:bCs/>
                <w:szCs w:val="22"/>
              </w:rPr>
              <w:t>SCM3</w:t>
            </w:r>
          </w:p>
        </w:tc>
        <w:tc>
          <w:tcPr>
            <w:tcW w:w="1985" w:type="dxa"/>
          </w:tcPr>
          <w:p w14:paraId="31121ECE" w14:textId="77777777" w:rsidR="005A6352" w:rsidRPr="006E36AE" w:rsidRDefault="005A6352" w:rsidP="005A6352">
            <w:pPr>
              <w:pStyle w:val="TableText1"/>
              <w:spacing w:after="60"/>
              <w:rPr>
                <w:rFonts w:cs="Arial"/>
                <w:bCs/>
                <w:szCs w:val="22"/>
              </w:rPr>
            </w:pPr>
            <w:r w:rsidRPr="006E36AE">
              <w:rPr>
                <w:rFonts w:cs="Arial"/>
                <w:bCs/>
                <w:szCs w:val="22"/>
              </w:rPr>
              <w:t>Organisational policies for early intervention</w:t>
            </w:r>
          </w:p>
        </w:tc>
        <w:tc>
          <w:tcPr>
            <w:tcW w:w="3426" w:type="dxa"/>
          </w:tcPr>
          <w:p w14:paraId="1F34892C" w14:textId="77777777" w:rsidR="005A6352" w:rsidRPr="006E36AE" w:rsidRDefault="005A6352" w:rsidP="005A6352">
            <w:pPr>
              <w:pStyle w:val="TableText1"/>
              <w:spacing w:after="60"/>
              <w:rPr>
                <w:rFonts w:cs="Arial"/>
                <w:bCs/>
                <w:szCs w:val="22"/>
              </w:rPr>
            </w:pPr>
            <w:r w:rsidRPr="006E36AE">
              <w:rPr>
                <w:rFonts w:cs="Arial"/>
                <w:bCs/>
                <w:szCs w:val="22"/>
              </w:rPr>
              <w:t>Early intervention is important to prevent longer-term absence. The longer an absence, the less likely the employee is to return</w:t>
            </w:r>
          </w:p>
        </w:tc>
        <w:tc>
          <w:tcPr>
            <w:tcW w:w="3426" w:type="dxa"/>
          </w:tcPr>
          <w:p w14:paraId="3D7F29A3" w14:textId="77777777" w:rsidR="005A6352" w:rsidRPr="006E36AE" w:rsidRDefault="005A6352" w:rsidP="005A6352">
            <w:pPr>
              <w:pStyle w:val="TableText1"/>
              <w:spacing w:after="60"/>
              <w:rPr>
                <w:rFonts w:cs="Arial"/>
                <w:bCs/>
                <w:szCs w:val="22"/>
              </w:rPr>
            </w:pPr>
            <w:r w:rsidRPr="006E36AE">
              <w:rPr>
                <w:rFonts w:cs="Arial"/>
                <w:bCs/>
                <w:szCs w:val="22"/>
              </w:rPr>
              <w:t>Organisations should have clear procedures to help managers to intervene early when an employee goes on long-term sickness absence, and to sign-</w:t>
            </w:r>
            <w:r w:rsidRPr="006E36AE">
              <w:rPr>
                <w:rFonts w:cs="Arial"/>
                <w:bCs/>
                <w:szCs w:val="22"/>
              </w:rPr>
              <w:lastRenderedPageBreak/>
              <w:t xml:space="preserve">post employees to appropriate sources of support. Whilst these policies and procedures are likely to be in place in large organisations, SMEs are less likely to have them. </w:t>
            </w:r>
          </w:p>
        </w:tc>
        <w:tc>
          <w:tcPr>
            <w:tcW w:w="3426" w:type="dxa"/>
          </w:tcPr>
          <w:p w14:paraId="526D2516" w14:textId="77777777" w:rsidR="005A6352" w:rsidRPr="006E36AE" w:rsidRDefault="005A6352" w:rsidP="005A6352">
            <w:pPr>
              <w:pStyle w:val="Tabletext"/>
              <w:rPr>
                <w:rFonts w:cs="Arial"/>
                <w:bCs/>
                <w:szCs w:val="22"/>
              </w:rPr>
            </w:pPr>
            <w:r w:rsidRPr="006E36AE">
              <w:rPr>
                <w:rFonts w:cs="Arial"/>
                <w:bCs/>
                <w:szCs w:val="22"/>
              </w:rPr>
              <w:lastRenderedPageBreak/>
              <w:t xml:space="preserve">A review of best practice guidelines for RTW following absence due to Mental Ill health identifies the need for well-described organizational policies </w:t>
            </w:r>
            <w:r w:rsidRPr="006E36AE">
              <w:rPr>
                <w:rFonts w:cs="Arial"/>
                <w:bCs/>
                <w:szCs w:val="22"/>
              </w:rPr>
              <w:lastRenderedPageBreak/>
              <w:t>and procedures for the roles and responsibilities of all stakeholders as one of the core elements of best practice (Dewa et al, 2016. Canadian Journal of Psychiatry)</w:t>
            </w:r>
          </w:p>
        </w:tc>
      </w:tr>
      <w:tr w:rsidR="005A6352" w:rsidRPr="006E36AE" w14:paraId="16E4DA1C" w14:textId="77777777" w:rsidTr="006E36AE">
        <w:trPr>
          <w:trHeight w:val="282"/>
        </w:trPr>
        <w:tc>
          <w:tcPr>
            <w:tcW w:w="704" w:type="dxa"/>
          </w:tcPr>
          <w:p w14:paraId="3E71CE53" w14:textId="6BAC2AF4" w:rsidR="005A6352" w:rsidRPr="006E36AE" w:rsidRDefault="005A6352" w:rsidP="005A6352">
            <w:pPr>
              <w:pStyle w:val="Tabletext"/>
              <w:rPr>
                <w:rFonts w:cs="Arial"/>
                <w:bCs/>
                <w:szCs w:val="22"/>
              </w:rPr>
            </w:pPr>
            <w:r w:rsidRPr="006E36AE">
              <w:rPr>
                <w:rFonts w:cs="Arial"/>
                <w:bCs/>
                <w:szCs w:val="22"/>
              </w:rPr>
              <w:lastRenderedPageBreak/>
              <w:t>4</w:t>
            </w:r>
            <w:r w:rsidR="00BE1EE9">
              <w:rPr>
                <w:rFonts w:cs="Arial"/>
                <w:bCs/>
                <w:szCs w:val="22"/>
              </w:rPr>
              <w:t>8</w:t>
            </w:r>
          </w:p>
        </w:tc>
        <w:tc>
          <w:tcPr>
            <w:tcW w:w="1701" w:type="dxa"/>
          </w:tcPr>
          <w:p w14:paraId="2F05089D" w14:textId="77777777" w:rsidR="005A6352" w:rsidRPr="006E36AE" w:rsidRDefault="005A6352" w:rsidP="005A6352">
            <w:pPr>
              <w:pStyle w:val="Tabletext"/>
              <w:rPr>
                <w:rFonts w:cs="Arial"/>
                <w:bCs/>
                <w:szCs w:val="22"/>
              </w:rPr>
            </w:pPr>
            <w:r w:rsidRPr="006E36AE">
              <w:rPr>
                <w:rFonts w:cs="Arial"/>
                <w:bCs/>
                <w:szCs w:val="22"/>
              </w:rPr>
              <w:t>Skills for Care</w:t>
            </w:r>
          </w:p>
        </w:tc>
        <w:tc>
          <w:tcPr>
            <w:tcW w:w="1985" w:type="dxa"/>
          </w:tcPr>
          <w:p w14:paraId="6F284D4B" w14:textId="77777777" w:rsidR="005A6352" w:rsidRPr="006E36AE" w:rsidRDefault="005A6352" w:rsidP="005A6352">
            <w:pPr>
              <w:pStyle w:val="Tabletext"/>
              <w:rPr>
                <w:rFonts w:cs="Arial"/>
                <w:bCs/>
                <w:szCs w:val="22"/>
              </w:rPr>
            </w:pPr>
            <w:r w:rsidRPr="006E36AE">
              <w:rPr>
                <w:rFonts w:cs="Arial"/>
                <w:bCs/>
                <w:szCs w:val="22"/>
              </w:rPr>
              <w:t xml:space="preserve">Making health and wellbeing a top priority for leaders and managers – promoting and fostering a positive, caring culture of wellbeing  </w:t>
            </w:r>
          </w:p>
        </w:tc>
        <w:tc>
          <w:tcPr>
            <w:tcW w:w="3426" w:type="dxa"/>
          </w:tcPr>
          <w:p w14:paraId="782A236A" w14:textId="77777777" w:rsidR="005A6352" w:rsidRPr="006E36AE" w:rsidRDefault="005A6352" w:rsidP="005A6352">
            <w:pPr>
              <w:pStyle w:val="Tabletext"/>
              <w:rPr>
                <w:rFonts w:cs="Arial"/>
                <w:bCs/>
                <w:szCs w:val="22"/>
              </w:rPr>
            </w:pPr>
            <w:r w:rsidRPr="006E36AE">
              <w:rPr>
                <w:rFonts w:cs="Arial"/>
                <w:bCs/>
                <w:szCs w:val="22"/>
              </w:rPr>
              <w:t xml:space="preserve">The social care sector has been significantly impacted with the COVID-19 pandemic and it is key that leaders, </w:t>
            </w:r>
            <w:proofErr w:type="gramStart"/>
            <w:r w:rsidRPr="006E36AE">
              <w:rPr>
                <w:rFonts w:cs="Arial"/>
                <w:bCs/>
                <w:szCs w:val="22"/>
              </w:rPr>
              <w:t>managers</w:t>
            </w:r>
            <w:proofErr w:type="gramEnd"/>
            <w:r w:rsidRPr="006E36AE">
              <w:rPr>
                <w:rFonts w:cs="Arial"/>
                <w:bCs/>
                <w:szCs w:val="22"/>
              </w:rPr>
              <w:t xml:space="preserve"> and owners proactively prioritise the wellbeing of their workforce and create supportive work environments </w:t>
            </w:r>
          </w:p>
        </w:tc>
        <w:tc>
          <w:tcPr>
            <w:tcW w:w="3426" w:type="dxa"/>
          </w:tcPr>
          <w:p w14:paraId="039D8C60" w14:textId="77777777" w:rsidR="005A6352" w:rsidRPr="006E36AE" w:rsidRDefault="005A6352" w:rsidP="005A6352">
            <w:pPr>
              <w:pStyle w:val="Tabletext"/>
              <w:rPr>
                <w:rFonts w:cs="Arial"/>
                <w:bCs/>
                <w:szCs w:val="22"/>
              </w:rPr>
            </w:pPr>
            <w:r w:rsidRPr="006E36AE">
              <w:rPr>
                <w:rFonts w:cs="Arial"/>
                <w:bCs/>
                <w:szCs w:val="22"/>
              </w:rPr>
              <w:t xml:space="preserve">The quality of care provision, productivity and outcomes can be negatively impacted due to a poor culture and lack of employee engagement, </w:t>
            </w:r>
            <w:proofErr w:type="gramStart"/>
            <w:r w:rsidRPr="006E36AE">
              <w:rPr>
                <w:rFonts w:cs="Arial"/>
                <w:bCs/>
                <w:szCs w:val="22"/>
              </w:rPr>
              <w:t>recognition</w:t>
            </w:r>
            <w:proofErr w:type="gramEnd"/>
            <w:r w:rsidRPr="006E36AE">
              <w:rPr>
                <w:rFonts w:cs="Arial"/>
                <w:bCs/>
                <w:szCs w:val="22"/>
              </w:rPr>
              <w:t xml:space="preserve"> and value, particularly considering the challenges the workforce has faced during the crisis.  Poor wellbeing cultures can impact on retention, </w:t>
            </w:r>
            <w:proofErr w:type="gramStart"/>
            <w:r w:rsidRPr="006E36AE">
              <w:rPr>
                <w:rFonts w:cs="Arial"/>
                <w:bCs/>
                <w:szCs w:val="22"/>
              </w:rPr>
              <w:t>sustainability</w:t>
            </w:r>
            <w:proofErr w:type="gramEnd"/>
            <w:r w:rsidRPr="006E36AE">
              <w:rPr>
                <w:rFonts w:cs="Arial"/>
                <w:bCs/>
                <w:szCs w:val="22"/>
              </w:rPr>
              <w:t xml:space="preserve"> and workforce stability </w:t>
            </w:r>
          </w:p>
        </w:tc>
        <w:tc>
          <w:tcPr>
            <w:tcW w:w="3426" w:type="dxa"/>
          </w:tcPr>
          <w:p w14:paraId="4E1F03E2" w14:textId="77777777" w:rsidR="005A6352" w:rsidRPr="006E36AE" w:rsidRDefault="005A6352" w:rsidP="005A6352">
            <w:pPr>
              <w:pStyle w:val="Tabletext"/>
              <w:rPr>
                <w:rFonts w:cs="Arial"/>
                <w:bCs/>
                <w:szCs w:val="22"/>
              </w:rPr>
            </w:pPr>
          </w:p>
        </w:tc>
      </w:tr>
      <w:tr w:rsidR="005A6352" w:rsidRPr="006E36AE" w14:paraId="18312BB8" w14:textId="77777777" w:rsidTr="006E36AE">
        <w:trPr>
          <w:trHeight w:val="282"/>
        </w:trPr>
        <w:tc>
          <w:tcPr>
            <w:tcW w:w="704" w:type="dxa"/>
          </w:tcPr>
          <w:p w14:paraId="649011F3" w14:textId="4F70603D" w:rsidR="005A6352" w:rsidRPr="006E36AE" w:rsidRDefault="005A6352" w:rsidP="005A6352">
            <w:pPr>
              <w:pStyle w:val="Tabletext"/>
              <w:rPr>
                <w:rFonts w:cs="Arial"/>
                <w:bCs/>
                <w:szCs w:val="22"/>
              </w:rPr>
            </w:pPr>
            <w:r w:rsidRPr="006E36AE">
              <w:rPr>
                <w:rFonts w:cs="Arial"/>
                <w:bCs/>
                <w:szCs w:val="22"/>
              </w:rPr>
              <w:t>4</w:t>
            </w:r>
            <w:r w:rsidR="00BE1EE9">
              <w:rPr>
                <w:rFonts w:cs="Arial"/>
                <w:bCs/>
                <w:szCs w:val="22"/>
              </w:rPr>
              <w:t>9</w:t>
            </w:r>
          </w:p>
        </w:tc>
        <w:tc>
          <w:tcPr>
            <w:tcW w:w="1701" w:type="dxa"/>
          </w:tcPr>
          <w:p w14:paraId="060D96CF" w14:textId="77777777" w:rsidR="005A6352" w:rsidRPr="006E36AE" w:rsidRDefault="005A6352" w:rsidP="005A6352">
            <w:pPr>
              <w:pStyle w:val="Tabletext"/>
              <w:rPr>
                <w:rFonts w:cs="Arial"/>
                <w:bCs/>
                <w:szCs w:val="22"/>
              </w:rPr>
            </w:pPr>
            <w:r w:rsidRPr="006E36AE">
              <w:rPr>
                <w:rFonts w:cs="Arial"/>
                <w:bCs/>
                <w:szCs w:val="22"/>
              </w:rPr>
              <w:t>Skills for Care</w:t>
            </w:r>
          </w:p>
        </w:tc>
        <w:tc>
          <w:tcPr>
            <w:tcW w:w="1985" w:type="dxa"/>
          </w:tcPr>
          <w:p w14:paraId="525F3C85" w14:textId="77777777" w:rsidR="005A6352" w:rsidRPr="006E36AE" w:rsidRDefault="005A6352" w:rsidP="005A6352">
            <w:pPr>
              <w:pStyle w:val="Tabletext"/>
              <w:rPr>
                <w:rFonts w:cs="Arial"/>
                <w:bCs/>
                <w:szCs w:val="22"/>
              </w:rPr>
            </w:pPr>
            <w:r w:rsidRPr="006E36AE">
              <w:rPr>
                <w:rFonts w:cs="Arial"/>
                <w:bCs/>
                <w:szCs w:val="22"/>
              </w:rPr>
              <w:t>Improvement in clear policies and procedures</w:t>
            </w:r>
          </w:p>
        </w:tc>
        <w:tc>
          <w:tcPr>
            <w:tcW w:w="3426" w:type="dxa"/>
          </w:tcPr>
          <w:p w14:paraId="2AA1926F" w14:textId="77777777" w:rsidR="005A6352" w:rsidRPr="006E36AE" w:rsidRDefault="005A6352" w:rsidP="005A6352">
            <w:pPr>
              <w:pStyle w:val="Tabletext"/>
              <w:rPr>
                <w:rFonts w:cs="Arial"/>
                <w:bCs/>
                <w:szCs w:val="22"/>
              </w:rPr>
            </w:pPr>
            <w:r w:rsidRPr="006E36AE">
              <w:rPr>
                <w:rFonts w:cs="Arial"/>
                <w:bCs/>
                <w:szCs w:val="22"/>
              </w:rPr>
              <w:t xml:space="preserve">A significant portion of the social care sector consists of SME providers rather than large organisations who do not have the back-up of HR and OH support.  </w:t>
            </w:r>
          </w:p>
        </w:tc>
        <w:tc>
          <w:tcPr>
            <w:tcW w:w="3426" w:type="dxa"/>
          </w:tcPr>
          <w:p w14:paraId="137B772E" w14:textId="77777777" w:rsidR="005A6352" w:rsidRPr="006E36AE" w:rsidRDefault="005A6352" w:rsidP="005A6352">
            <w:pPr>
              <w:pStyle w:val="Tabletext"/>
              <w:rPr>
                <w:rFonts w:cs="Arial"/>
                <w:bCs/>
                <w:szCs w:val="22"/>
              </w:rPr>
            </w:pPr>
            <w:r w:rsidRPr="006E36AE">
              <w:rPr>
                <w:rFonts w:cs="Arial"/>
                <w:bCs/>
                <w:szCs w:val="22"/>
              </w:rPr>
              <w:t xml:space="preserve">Smaller social care providers need to know how to improve and implement clear policies and procedures, where to go for external support, advice to promote and support wellbeing, effective management of workplace absence, making reasonable adjustment. </w:t>
            </w:r>
          </w:p>
        </w:tc>
        <w:tc>
          <w:tcPr>
            <w:tcW w:w="3426" w:type="dxa"/>
          </w:tcPr>
          <w:p w14:paraId="0297E4CD" w14:textId="77777777" w:rsidR="005A6352" w:rsidRPr="006E36AE" w:rsidRDefault="00DF1D4E" w:rsidP="005A6352">
            <w:pPr>
              <w:pStyle w:val="Tabletext"/>
              <w:rPr>
                <w:rFonts w:cs="Arial"/>
                <w:bCs/>
                <w:szCs w:val="22"/>
              </w:rPr>
            </w:pPr>
            <w:hyperlink r:id="rId74" w:history="1">
              <w:r w:rsidR="005A6352" w:rsidRPr="006E36AE">
                <w:rPr>
                  <w:rFonts w:cs="Arial"/>
                  <w:bCs/>
                  <w:color w:val="0000FF"/>
                  <w:szCs w:val="22"/>
                  <w:u w:val="single"/>
                </w:rPr>
                <w:t>https://www.skillsforcare.org.uk/adult-social-care-workforce-data/Workforce-intelligence/publications/national-information/The-size-and-structure-of-the-adult-social-care-sector-and-workforce-in-England.aspx</w:t>
              </w:r>
            </w:hyperlink>
          </w:p>
        </w:tc>
      </w:tr>
      <w:tr w:rsidR="005A6352" w:rsidRPr="006E36AE" w14:paraId="3CE6847B" w14:textId="77777777" w:rsidTr="007434D8">
        <w:trPr>
          <w:trHeight w:val="282"/>
        </w:trPr>
        <w:tc>
          <w:tcPr>
            <w:tcW w:w="14668" w:type="dxa"/>
            <w:gridSpan w:val="6"/>
          </w:tcPr>
          <w:p w14:paraId="2EB3A5A5" w14:textId="25EADB31" w:rsidR="005A6352" w:rsidRPr="006E36AE" w:rsidRDefault="005A6352" w:rsidP="005A6352">
            <w:pPr>
              <w:pStyle w:val="Tabletitle"/>
              <w:rPr>
                <w:rFonts w:cs="Arial"/>
                <w:szCs w:val="22"/>
              </w:rPr>
            </w:pPr>
            <w:r w:rsidRPr="006E36AE">
              <w:rPr>
                <w:rFonts w:cs="Arial"/>
                <w:szCs w:val="22"/>
              </w:rPr>
              <w:lastRenderedPageBreak/>
              <w:t>Additional area: Short-term sickness absence</w:t>
            </w:r>
          </w:p>
        </w:tc>
      </w:tr>
      <w:tr w:rsidR="005A6352" w:rsidRPr="006E36AE" w14:paraId="4234ED7D" w14:textId="77777777" w:rsidTr="006E36AE">
        <w:trPr>
          <w:trHeight w:val="282"/>
        </w:trPr>
        <w:tc>
          <w:tcPr>
            <w:tcW w:w="704" w:type="dxa"/>
          </w:tcPr>
          <w:p w14:paraId="72753ED8" w14:textId="56D84A4C" w:rsidR="005A6352" w:rsidRPr="006E36AE" w:rsidRDefault="0037407D" w:rsidP="005A6352">
            <w:pPr>
              <w:pStyle w:val="Tabletext"/>
              <w:rPr>
                <w:rFonts w:cs="Arial"/>
                <w:bCs/>
                <w:szCs w:val="22"/>
                <w:lang w:eastAsia="en-GB"/>
              </w:rPr>
            </w:pPr>
            <w:r>
              <w:rPr>
                <w:rFonts w:cs="Arial"/>
                <w:bCs/>
                <w:szCs w:val="22"/>
              </w:rPr>
              <w:t>50</w:t>
            </w:r>
          </w:p>
        </w:tc>
        <w:tc>
          <w:tcPr>
            <w:tcW w:w="1701" w:type="dxa"/>
          </w:tcPr>
          <w:p w14:paraId="16F8CE58" w14:textId="27C426B2" w:rsidR="005A6352" w:rsidRPr="006E36AE" w:rsidRDefault="005A6352" w:rsidP="005A6352">
            <w:pPr>
              <w:pStyle w:val="Tabletext"/>
              <w:rPr>
                <w:rFonts w:cs="Arial"/>
                <w:bCs/>
                <w:szCs w:val="22"/>
              </w:rPr>
            </w:pPr>
            <w:r w:rsidRPr="006E36AE">
              <w:rPr>
                <w:rFonts w:cs="Arial"/>
                <w:bCs/>
                <w:szCs w:val="22"/>
              </w:rPr>
              <w:t xml:space="preserve">British Society for Rheumatology </w:t>
            </w:r>
          </w:p>
        </w:tc>
        <w:tc>
          <w:tcPr>
            <w:tcW w:w="1985" w:type="dxa"/>
          </w:tcPr>
          <w:p w14:paraId="6210D2C5" w14:textId="396FAA89" w:rsidR="005A6352" w:rsidRPr="006E36AE" w:rsidRDefault="005A6352" w:rsidP="005A6352">
            <w:pPr>
              <w:pStyle w:val="Tabletext"/>
              <w:rPr>
                <w:rFonts w:cs="Arial"/>
                <w:bCs/>
                <w:szCs w:val="22"/>
              </w:rPr>
            </w:pPr>
            <w:r w:rsidRPr="006E36AE">
              <w:rPr>
                <w:rFonts w:cs="Arial"/>
                <w:bCs/>
                <w:szCs w:val="22"/>
              </w:rPr>
              <w:t>1)</w:t>
            </w:r>
            <w:r w:rsidRPr="006E36AE">
              <w:rPr>
                <w:rFonts w:cs="Arial"/>
                <w:bCs/>
                <w:szCs w:val="22"/>
              </w:rPr>
              <w:tab/>
              <w:t>Optimise support for employers to retain workers with long term conditions who are needing short term sickness absence</w:t>
            </w:r>
          </w:p>
        </w:tc>
        <w:tc>
          <w:tcPr>
            <w:tcW w:w="3426" w:type="dxa"/>
          </w:tcPr>
          <w:p w14:paraId="3A72B060" w14:textId="0BEE232A" w:rsidR="005A6352" w:rsidRPr="006E36AE" w:rsidRDefault="005A6352" w:rsidP="005A6352">
            <w:pPr>
              <w:pStyle w:val="Tabletext"/>
              <w:rPr>
                <w:rFonts w:cs="Arial"/>
                <w:bCs/>
                <w:szCs w:val="22"/>
              </w:rPr>
            </w:pPr>
          </w:p>
        </w:tc>
        <w:tc>
          <w:tcPr>
            <w:tcW w:w="3426" w:type="dxa"/>
          </w:tcPr>
          <w:p w14:paraId="5CE5206D" w14:textId="49C7AA1F" w:rsidR="005A6352" w:rsidRPr="006E36AE" w:rsidRDefault="005A6352" w:rsidP="005A6352">
            <w:pPr>
              <w:spacing w:after="60"/>
              <w:rPr>
                <w:rFonts w:ascii="Arial" w:hAnsi="Arial" w:cs="Arial"/>
                <w:bCs/>
                <w:sz w:val="22"/>
                <w:szCs w:val="22"/>
              </w:rPr>
            </w:pPr>
          </w:p>
        </w:tc>
        <w:tc>
          <w:tcPr>
            <w:tcW w:w="3426" w:type="dxa"/>
          </w:tcPr>
          <w:p w14:paraId="5D19CF5C" w14:textId="0BD63305" w:rsidR="005A6352" w:rsidRPr="006E36AE" w:rsidRDefault="005A6352" w:rsidP="005A6352">
            <w:pPr>
              <w:spacing w:after="60"/>
              <w:rPr>
                <w:rFonts w:ascii="Arial" w:hAnsi="Arial" w:cs="Arial"/>
                <w:bCs/>
                <w:sz w:val="22"/>
                <w:szCs w:val="22"/>
              </w:rPr>
            </w:pPr>
          </w:p>
        </w:tc>
      </w:tr>
      <w:tr w:rsidR="005A6352" w:rsidRPr="006E36AE" w14:paraId="502529C3" w14:textId="77777777" w:rsidTr="006E36AE">
        <w:trPr>
          <w:trHeight w:val="282"/>
        </w:trPr>
        <w:tc>
          <w:tcPr>
            <w:tcW w:w="704" w:type="dxa"/>
          </w:tcPr>
          <w:p w14:paraId="3D1C85D3" w14:textId="2311D20F" w:rsidR="005A6352" w:rsidRPr="006E36AE" w:rsidRDefault="00BE1EE9" w:rsidP="005A6352">
            <w:pPr>
              <w:pStyle w:val="Tabletext"/>
              <w:rPr>
                <w:rFonts w:cs="Arial"/>
                <w:bCs/>
                <w:szCs w:val="22"/>
              </w:rPr>
            </w:pPr>
            <w:r>
              <w:rPr>
                <w:rFonts w:cs="Arial"/>
                <w:bCs/>
                <w:szCs w:val="22"/>
              </w:rPr>
              <w:t>5</w:t>
            </w:r>
            <w:r w:rsidR="0037407D">
              <w:rPr>
                <w:rFonts w:cs="Arial"/>
                <w:bCs/>
                <w:szCs w:val="22"/>
              </w:rPr>
              <w:t>1</w:t>
            </w:r>
          </w:p>
        </w:tc>
        <w:tc>
          <w:tcPr>
            <w:tcW w:w="1701" w:type="dxa"/>
          </w:tcPr>
          <w:p w14:paraId="0A46C3CD" w14:textId="0CA0DD80" w:rsidR="005A6352" w:rsidRPr="006E36AE" w:rsidRDefault="005A6352" w:rsidP="005A6352">
            <w:pPr>
              <w:pStyle w:val="Tabletext"/>
              <w:rPr>
                <w:rFonts w:cs="Arial"/>
                <w:bCs/>
                <w:szCs w:val="22"/>
              </w:rPr>
            </w:pPr>
            <w:r w:rsidRPr="006E36AE">
              <w:rPr>
                <w:rFonts w:cs="Arial"/>
                <w:bCs/>
                <w:szCs w:val="22"/>
              </w:rPr>
              <w:t xml:space="preserve">British Society for Rheumatology </w:t>
            </w:r>
          </w:p>
        </w:tc>
        <w:tc>
          <w:tcPr>
            <w:tcW w:w="1985" w:type="dxa"/>
          </w:tcPr>
          <w:p w14:paraId="57D24246" w14:textId="125E28CE" w:rsidR="005A6352" w:rsidRPr="006E36AE" w:rsidRDefault="005A6352" w:rsidP="005A6352">
            <w:pPr>
              <w:pStyle w:val="Tabletext"/>
              <w:rPr>
                <w:rFonts w:cs="Arial"/>
                <w:bCs/>
                <w:szCs w:val="22"/>
              </w:rPr>
            </w:pPr>
            <w:r w:rsidRPr="006E36AE">
              <w:rPr>
                <w:rFonts w:cs="Arial"/>
                <w:bCs/>
                <w:szCs w:val="22"/>
              </w:rPr>
              <w:t>2)</w:t>
            </w:r>
            <w:r w:rsidRPr="006E36AE">
              <w:rPr>
                <w:rFonts w:cs="Arial"/>
                <w:bCs/>
                <w:szCs w:val="22"/>
              </w:rPr>
              <w:tab/>
              <w:t>Provide OH support in primary care to carefully manage short term sickness certification and intervene when it is becoming long-term sickness absence</w:t>
            </w:r>
          </w:p>
        </w:tc>
        <w:tc>
          <w:tcPr>
            <w:tcW w:w="3426" w:type="dxa"/>
          </w:tcPr>
          <w:p w14:paraId="3845571D" w14:textId="77777777" w:rsidR="005A6352" w:rsidRPr="006E36AE" w:rsidRDefault="005A6352" w:rsidP="005A6352">
            <w:pPr>
              <w:pStyle w:val="Tabletext"/>
              <w:rPr>
                <w:rFonts w:cs="Arial"/>
                <w:bCs/>
                <w:szCs w:val="22"/>
              </w:rPr>
            </w:pPr>
          </w:p>
        </w:tc>
        <w:tc>
          <w:tcPr>
            <w:tcW w:w="3426" w:type="dxa"/>
          </w:tcPr>
          <w:p w14:paraId="572BCBA6" w14:textId="77777777" w:rsidR="005A6352" w:rsidRPr="006E36AE" w:rsidRDefault="005A6352" w:rsidP="005A6352">
            <w:pPr>
              <w:spacing w:after="60"/>
              <w:rPr>
                <w:rFonts w:ascii="Arial" w:hAnsi="Arial" w:cs="Arial"/>
                <w:bCs/>
                <w:sz w:val="22"/>
                <w:szCs w:val="22"/>
              </w:rPr>
            </w:pPr>
          </w:p>
        </w:tc>
        <w:tc>
          <w:tcPr>
            <w:tcW w:w="3426" w:type="dxa"/>
          </w:tcPr>
          <w:p w14:paraId="46309085" w14:textId="77777777" w:rsidR="005A6352" w:rsidRPr="006E36AE" w:rsidRDefault="005A6352" w:rsidP="005A6352">
            <w:pPr>
              <w:spacing w:after="60"/>
              <w:rPr>
                <w:rFonts w:ascii="Arial" w:hAnsi="Arial" w:cs="Arial"/>
                <w:bCs/>
                <w:sz w:val="22"/>
                <w:szCs w:val="22"/>
              </w:rPr>
            </w:pPr>
          </w:p>
        </w:tc>
      </w:tr>
      <w:tr w:rsidR="005A6352" w:rsidRPr="006E36AE" w14:paraId="1F6D56C5" w14:textId="77777777" w:rsidTr="007434D8">
        <w:trPr>
          <w:trHeight w:val="282"/>
        </w:trPr>
        <w:tc>
          <w:tcPr>
            <w:tcW w:w="14668" w:type="dxa"/>
            <w:gridSpan w:val="6"/>
          </w:tcPr>
          <w:p w14:paraId="40D751E3" w14:textId="43DA0D88" w:rsidR="005A6352" w:rsidRPr="006E36AE" w:rsidRDefault="005A6352" w:rsidP="005A6352">
            <w:pPr>
              <w:pStyle w:val="Tabletitle"/>
              <w:rPr>
                <w:rFonts w:cs="Arial"/>
                <w:szCs w:val="22"/>
              </w:rPr>
            </w:pPr>
            <w:r w:rsidRPr="006E36AE">
              <w:rPr>
                <w:rFonts w:cs="Arial"/>
                <w:szCs w:val="22"/>
              </w:rPr>
              <w:t>Additional area: Secondary care</w:t>
            </w:r>
          </w:p>
        </w:tc>
      </w:tr>
      <w:tr w:rsidR="005A6352" w:rsidRPr="006E36AE" w14:paraId="2982C631" w14:textId="77777777" w:rsidTr="006E36AE">
        <w:trPr>
          <w:trHeight w:val="282"/>
        </w:trPr>
        <w:tc>
          <w:tcPr>
            <w:tcW w:w="704" w:type="dxa"/>
          </w:tcPr>
          <w:p w14:paraId="40A68D39" w14:textId="0AD95080" w:rsidR="005A6352" w:rsidRPr="006E36AE" w:rsidRDefault="00BE1EE9" w:rsidP="005A6352">
            <w:pPr>
              <w:pStyle w:val="Tabletext"/>
              <w:rPr>
                <w:rFonts w:cs="Arial"/>
                <w:bCs/>
                <w:szCs w:val="22"/>
                <w:lang w:eastAsia="en-GB"/>
              </w:rPr>
            </w:pPr>
            <w:r>
              <w:rPr>
                <w:rFonts w:cs="Arial"/>
                <w:bCs/>
                <w:szCs w:val="22"/>
              </w:rPr>
              <w:t>5</w:t>
            </w:r>
            <w:r w:rsidR="0037407D">
              <w:rPr>
                <w:rFonts w:cs="Arial"/>
                <w:bCs/>
                <w:szCs w:val="22"/>
              </w:rPr>
              <w:t>2</w:t>
            </w:r>
          </w:p>
        </w:tc>
        <w:tc>
          <w:tcPr>
            <w:tcW w:w="1701" w:type="dxa"/>
          </w:tcPr>
          <w:p w14:paraId="50848C63" w14:textId="055B0981" w:rsidR="005A6352" w:rsidRPr="006E36AE" w:rsidRDefault="005A6352" w:rsidP="005A6352">
            <w:pPr>
              <w:pStyle w:val="Tabletext"/>
              <w:rPr>
                <w:rFonts w:cs="Arial"/>
                <w:bCs/>
                <w:szCs w:val="22"/>
              </w:rPr>
            </w:pPr>
            <w:r w:rsidRPr="006E36AE">
              <w:rPr>
                <w:rFonts w:cs="Arial"/>
                <w:bCs/>
                <w:szCs w:val="22"/>
              </w:rPr>
              <w:t xml:space="preserve">British Society for Rheumatology </w:t>
            </w:r>
          </w:p>
        </w:tc>
        <w:tc>
          <w:tcPr>
            <w:tcW w:w="1985" w:type="dxa"/>
          </w:tcPr>
          <w:p w14:paraId="080A9327" w14:textId="5A369B51" w:rsidR="005A6352" w:rsidRPr="006E36AE" w:rsidRDefault="005A6352" w:rsidP="005A6352">
            <w:pPr>
              <w:pStyle w:val="Tabletext"/>
              <w:rPr>
                <w:rFonts w:cs="Arial"/>
                <w:bCs/>
                <w:szCs w:val="22"/>
              </w:rPr>
            </w:pPr>
            <w:r w:rsidRPr="006E36AE">
              <w:rPr>
                <w:rFonts w:cs="Arial"/>
                <w:bCs/>
                <w:szCs w:val="22"/>
              </w:rPr>
              <w:t>4)</w:t>
            </w:r>
            <w:r w:rsidRPr="006E36AE">
              <w:rPr>
                <w:rFonts w:cs="Arial"/>
                <w:bCs/>
                <w:szCs w:val="22"/>
              </w:rPr>
              <w:tab/>
              <w:t xml:space="preserve">Develop referral pathways for people struggling at work under specialist (secondary care) follow-up and quality assure them by audit to </w:t>
            </w:r>
            <w:r w:rsidRPr="006E36AE">
              <w:rPr>
                <w:rFonts w:cs="Arial"/>
                <w:bCs/>
                <w:szCs w:val="22"/>
              </w:rPr>
              <w:lastRenderedPageBreak/>
              <w:t>ensure that people struggling at work are routinely identified as part of secondary care consultations</w:t>
            </w:r>
          </w:p>
        </w:tc>
        <w:tc>
          <w:tcPr>
            <w:tcW w:w="3426" w:type="dxa"/>
          </w:tcPr>
          <w:p w14:paraId="18BBE2D6" w14:textId="7BF15614" w:rsidR="005A6352" w:rsidRPr="006E36AE" w:rsidRDefault="005A6352" w:rsidP="005A6352">
            <w:pPr>
              <w:pStyle w:val="Tabletext"/>
              <w:rPr>
                <w:rFonts w:cs="Arial"/>
                <w:bCs/>
                <w:szCs w:val="22"/>
              </w:rPr>
            </w:pPr>
          </w:p>
        </w:tc>
        <w:tc>
          <w:tcPr>
            <w:tcW w:w="3426" w:type="dxa"/>
          </w:tcPr>
          <w:p w14:paraId="7AF9F0E6" w14:textId="74802D6E" w:rsidR="005A6352" w:rsidRPr="006E36AE" w:rsidRDefault="005A6352" w:rsidP="005A6352">
            <w:pPr>
              <w:spacing w:after="60"/>
              <w:rPr>
                <w:rFonts w:ascii="Arial" w:hAnsi="Arial" w:cs="Arial"/>
                <w:bCs/>
                <w:sz w:val="22"/>
                <w:szCs w:val="22"/>
              </w:rPr>
            </w:pPr>
          </w:p>
        </w:tc>
        <w:tc>
          <w:tcPr>
            <w:tcW w:w="3426" w:type="dxa"/>
          </w:tcPr>
          <w:p w14:paraId="619B9A7E" w14:textId="745BD203" w:rsidR="005A6352" w:rsidRPr="006E36AE" w:rsidRDefault="005A6352" w:rsidP="005A6352">
            <w:pPr>
              <w:spacing w:after="60"/>
              <w:rPr>
                <w:rFonts w:ascii="Arial" w:hAnsi="Arial" w:cs="Arial"/>
                <w:bCs/>
                <w:sz w:val="22"/>
                <w:szCs w:val="22"/>
              </w:rPr>
            </w:pPr>
          </w:p>
        </w:tc>
      </w:tr>
      <w:tr w:rsidR="005A6352" w:rsidRPr="006E36AE" w14:paraId="0A725840" w14:textId="77777777" w:rsidTr="006E36AE">
        <w:trPr>
          <w:trHeight w:val="282"/>
        </w:trPr>
        <w:tc>
          <w:tcPr>
            <w:tcW w:w="704" w:type="dxa"/>
          </w:tcPr>
          <w:p w14:paraId="47AC38D8" w14:textId="5638D15A" w:rsidR="005A6352" w:rsidRPr="006E36AE" w:rsidRDefault="00BE1EE9" w:rsidP="005A6352">
            <w:pPr>
              <w:pStyle w:val="Tabletext"/>
              <w:rPr>
                <w:rFonts w:cs="Arial"/>
                <w:bCs/>
                <w:szCs w:val="22"/>
              </w:rPr>
            </w:pPr>
            <w:r>
              <w:rPr>
                <w:rFonts w:cs="Arial"/>
                <w:bCs/>
                <w:szCs w:val="22"/>
              </w:rPr>
              <w:t>5</w:t>
            </w:r>
            <w:r w:rsidR="0037407D">
              <w:rPr>
                <w:rFonts w:cs="Arial"/>
                <w:bCs/>
                <w:szCs w:val="22"/>
              </w:rPr>
              <w:t>3</w:t>
            </w:r>
          </w:p>
        </w:tc>
        <w:tc>
          <w:tcPr>
            <w:tcW w:w="1701" w:type="dxa"/>
          </w:tcPr>
          <w:p w14:paraId="350D8837" w14:textId="7CD32185" w:rsidR="005A6352" w:rsidRPr="006E36AE" w:rsidRDefault="005A6352" w:rsidP="005A6352">
            <w:pPr>
              <w:pStyle w:val="Tabletext"/>
              <w:rPr>
                <w:rFonts w:cs="Arial"/>
                <w:bCs/>
                <w:szCs w:val="22"/>
              </w:rPr>
            </w:pPr>
            <w:r w:rsidRPr="006E36AE">
              <w:rPr>
                <w:rFonts w:cs="Arial"/>
                <w:bCs/>
                <w:szCs w:val="22"/>
              </w:rPr>
              <w:t>Sheffield Health and Social Care NHS Foundation Trust</w:t>
            </w:r>
          </w:p>
        </w:tc>
        <w:tc>
          <w:tcPr>
            <w:tcW w:w="1985" w:type="dxa"/>
          </w:tcPr>
          <w:p w14:paraId="4AB9F8B5"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Key area for quality improvement 3</w:t>
            </w:r>
          </w:p>
          <w:p w14:paraId="632F8656" w14:textId="44FDE1A9" w:rsidR="005A6352" w:rsidRPr="006E36AE" w:rsidRDefault="005A6352" w:rsidP="005A6352">
            <w:pPr>
              <w:pStyle w:val="Paragraphnonumbers"/>
              <w:spacing w:after="60" w:line="240" w:lineRule="auto"/>
            </w:pPr>
            <w:r w:rsidRPr="006E36AE">
              <w:rPr>
                <w:rFonts w:cs="Arial"/>
                <w:bCs/>
                <w:sz w:val="22"/>
                <w:szCs w:val="22"/>
              </w:rPr>
              <w:t>Co-ordination / min standard for provision of specialist advice</w:t>
            </w:r>
          </w:p>
        </w:tc>
        <w:tc>
          <w:tcPr>
            <w:tcW w:w="3426" w:type="dxa"/>
          </w:tcPr>
          <w:p w14:paraId="314181B6" w14:textId="665655ED" w:rsidR="005A6352" w:rsidRPr="006E36AE" w:rsidRDefault="005A6352" w:rsidP="005A6352">
            <w:pPr>
              <w:pStyle w:val="Tabletext"/>
              <w:rPr>
                <w:rFonts w:cs="Arial"/>
                <w:bCs/>
                <w:szCs w:val="22"/>
              </w:rPr>
            </w:pPr>
            <w:r w:rsidRPr="006E36AE">
              <w:rPr>
                <w:rFonts w:cs="Arial"/>
                <w:bCs/>
                <w:szCs w:val="22"/>
              </w:rPr>
              <w:t>To enable easy and timely access to specialist input, other than via Occupational Health.</w:t>
            </w:r>
          </w:p>
        </w:tc>
        <w:tc>
          <w:tcPr>
            <w:tcW w:w="3426" w:type="dxa"/>
          </w:tcPr>
          <w:p w14:paraId="3919EF3F" w14:textId="192B4AC7"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To reduce timescales in accessing specialist input, enable more direct specific guidance and ultimately therefore reduce the amount of time people are absent from work.</w:t>
            </w:r>
          </w:p>
        </w:tc>
        <w:tc>
          <w:tcPr>
            <w:tcW w:w="3426" w:type="dxa"/>
          </w:tcPr>
          <w:p w14:paraId="32FC0C58" w14:textId="77777777" w:rsidR="005A6352" w:rsidRPr="006E36AE" w:rsidRDefault="005A6352" w:rsidP="005A6352">
            <w:pPr>
              <w:spacing w:after="60"/>
              <w:rPr>
                <w:rFonts w:ascii="Arial" w:hAnsi="Arial" w:cs="Arial"/>
                <w:bCs/>
                <w:sz w:val="22"/>
                <w:szCs w:val="22"/>
              </w:rPr>
            </w:pPr>
          </w:p>
        </w:tc>
      </w:tr>
      <w:tr w:rsidR="005A6352" w:rsidRPr="006E36AE" w14:paraId="22C025A4" w14:textId="77777777" w:rsidTr="007434D8">
        <w:trPr>
          <w:trHeight w:val="282"/>
        </w:trPr>
        <w:tc>
          <w:tcPr>
            <w:tcW w:w="14668" w:type="dxa"/>
            <w:gridSpan w:val="6"/>
          </w:tcPr>
          <w:p w14:paraId="649E2A0D" w14:textId="7E4896D4" w:rsidR="005A6352" w:rsidRPr="006E36AE" w:rsidRDefault="005A6352" w:rsidP="005A6352">
            <w:pPr>
              <w:pStyle w:val="Tabletitle"/>
              <w:rPr>
                <w:rFonts w:cs="Arial"/>
                <w:szCs w:val="22"/>
              </w:rPr>
            </w:pPr>
            <w:r w:rsidRPr="006E36AE">
              <w:rPr>
                <w:rFonts w:cs="Arial"/>
                <w:szCs w:val="22"/>
              </w:rPr>
              <w:t>Additional area: Specific conditions</w:t>
            </w:r>
          </w:p>
        </w:tc>
      </w:tr>
      <w:tr w:rsidR="005A6352" w:rsidRPr="006E36AE" w14:paraId="1F0BDB89" w14:textId="77777777" w:rsidTr="006E36AE">
        <w:trPr>
          <w:trHeight w:val="282"/>
        </w:trPr>
        <w:tc>
          <w:tcPr>
            <w:tcW w:w="704" w:type="dxa"/>
          </w:tcPr>
          <w:p w14:paraId="4070D427" w14:textId="738A4BF8" w:rsidR="005A6352" w:rsidRPr="006E36AE" w:rsidRDefault="00BE1EE9" w:rsidP="005A6352">
            <w:pPr>
              <w:pStyle w:val="Tabletext"/>
              <w:rPr>
                <w:rFonts w:cs="Arial"/>
                <w:bCs/>
                <w:szCs w:val="22"/>
                <w:lang w:eastAsia="en-GB"/>
              </w:rPr>
            </w:pPr>
            <w:r>
              <w:rPr>
                <w:rFonts w:cs="Arial"/>
                <w:bCs/>
                <w:szCs w:val="22"/>
              </w:rPr>
              <w:t>5</w:t>
            </w:r>
            <w:r w:rsidR="0037407D">
              <w:rPr>
                <w:rFonts w:cs="Arial"/>
                <w:bCs/>
                <w:szCs w:val="22"/>
              </w:rPr>
              <w:t>4</w:t>
            </w:r>
          </w:p>
        </w:tc>
        <w:tc>
          <w:tcPr>
            <w:tcW w:w="1701" w:type="dxa"/>
          </w:tcPr>
          <w:p w14:paraId="4387B243" w14:textId="13DB58E6" w:rsidR="005A6352" w:rsidRPr="006E36AE" w:rsidRDefault="005A6352" w:rsidP="005A6352">
            <w:pPr>
              <w:pStyle w:val="Tabletext"/>
              <w:rPr>
                <w:rFonts w:cs="Arial"/>
                <w:bCs/>
                <w:szCs w:val="22"/>
              </w:rPr>
            </w:pPr>
            <w:r w:rsidRPr="006E36AE">
              <w:rPr>
                <w:rFonts w:cs="Arial"/>
                <w:bCs/>
                <w:szCs w:val="22"/>
              </w:rPr>
              <w:t>Fair Treatment for the Women of Wales (FTWW)</w:t>
            </w:r>
          </w:p>
        </w:tc>
        <w:tc>
          <w:tcPr>
            <w:tcW w:w="1985" w:type="dxa"/>
          </w:tcPr>
          <w:p w14:paraId="2B63B456"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Key area for quality improvement 1</w:t>
            </w:r>
          </w:p>
          <w:p w14:paraId="2B0A2009" w14:textId="77777777" w:rsidR="005A6352" w:rsidRPr="006E36AE" w:rsidRDefault="005A6352" w:rsidP="005A6352">
            <w:pPr>
              <w:pStyle w:val="Paragraphnonumbers"/>
              <w:spacing w:after="60" w:line="240" w:lineRule="auto"/>
              <w:rPr>
                <w:rFonts w:cs="Arial"/>
                <w:bCs/>
                <w:sz w:val="22"/>
                <w:szCs w:val="22"/>
              </w:rPr>
            </w:pPr>
          </w:p>
          <w:p w14:paraId="47CE82DD" w14:textId="3E7BB61D" w:rsidR="005A6352" w:rsidRPr="006E36AE" w:rsidRDefault="005A6352" w:rsidP="005A6352">
            <w:pPr>
              <w:pStyle w:val="Tabletext"/>
              <w:rPr>
                <w:rFonts w:cs="Arial"/>
                <w:bCs/>
                <w:szCs w:val="22"/>
              </w:rPr>
            </w:pPr>
            <w:r w:rsidRPr="006E36AE">
              <w:rPr>
                <w:rFonts w:cs="Arial"/>
                <w:bCs/>
                <w:szCs w:val="22"/>
              </w:rPr>
              <w:t>Policy and practice which focuses on women’s health, including menstrual issues and menopause.</w:t>
            </w:r>
          </w:p>
        </w:tc>
        <w:tc>
          <w:tcPr>
            <w:tcW w:w="3426" w:type="dxa"/>
          </w:tcPr>
          <w:p w14:paraId="587F3FE9" w14:textId="295AE62C" w:rsidR="005A6352" w:rsidRPr="006E36AE" w:rsidRDefault="005A6352" w:rsidP="005A6352">
            <w:pPr>
              <w:pStyle w:val="Tabletext"/>
              <w:rPr>
                <w:rFonts w:cs="Arial"/>
                <w:bCs/>
                <w:szCs w:val="22"/>
              </w:rPr>
            </w:pPr>
            <w:r w:rsidRPr="006E36AE">
              <w:rPr>
                <w:rFonts w:cs="Arial"/>
                <w:bCs/>
                <w:szCs w:val="22"/>
                <w:lang w:eastAsia="en-GB"/>
              </w:rPr>
              <w:t xml:space="preserve">Women make up almost half of the UK workforce. However, up until recently, their very specific health needs (aside from pregnancy / maternity) in the workplace have been neglected, partly </w:t>
            </w:r>
            <w:proofErr w:type="gramStart"/>
            <w:r w:rsidRPr="006E36AE">
              <w:rPr>
                <w:rFonts w:cs="Arial"/>
                <w:bCs/>
                <w:szCs w:val="22"/>
                <w:lang w:eastAsia="en-GB"/>
              </w:rPr>
              <w:t>as a consequence of</w:t>
            </w:r>
            <w:proofErr w:type="gramEnd"/>
            <w:r w:rsidRPr="006E36AE">
              <w:rPr>
                <w:rFonts w:cs="Arial"/>
                <w:bCs/>
                <w:szCs w:val="22"/>
                <w:lang w:eastAsia="en-GB"/>
              </w:rPr>
              <w:t xml:space="preserve"> societal taboos around menstruation and menopause, for example. Much research has been conducted into how attendance, productivity, and well-being of women in the workplace can be improved by co-producing specific policies and practices to accommodate </w:t>
            </w:r>
            <w:r w:rsidRPr="006E36AE">
              <w:rPr>
                <w:rFonts w:cs="Arial"/>
                <w:bCs/>
                <w:szCs w:val="22"/>
                <w:lang w:eastAsia="en-GB"/>
              </w:rPr>
              <w:lastRenderedPageBreak/>
              <w:t>women’s specific health needs at work, to include menstrual well-being and menopause.</w:t>
            </w:r>
          </w:p>
        </w:tc>
        <w:tc>
          <w:tcPr>
            <w:tcW w:w="3426" w:type="dxa"/>
          </w:tcPr>
          <w:p w14:paraId="24C3AF81" w14:textId="01B658C3" w:rsidR="005A6352" w:rsidRPr="006E36AE" w:rsidRDefault="005A6352" w:rsidP="005A6352">
            <w:pPr>
              <w:spacing w:after="60"/>
              <w:rPr>
                <w:rFonts w:ascii="Arial" w:hAnsi="Arial" w:cs="Arial"/>
                <w:bCs/>
                <w:sz w:val="22"/>
                <w:szCs w:val="22"/>
              </w:rPr>
            </w:pPr>
            <w:r w:rsidRPr="006E36AE">
              <w:rPr>
                <w:rFonts w:ascii="Arial" w:hAnsi="Arial" w:cs="Arial"/>
                <w:bCs/>
                <w:sz w:val="22"/>
                <w:szCs w:val="22"/>
              </w:rPr>
              <w:lastRenderedPageBreak/>
              <w:t xml:space="preserve">FTWW’s community encompasses many women who have struggled to continue in the workplace as a result of menstrual health conditions like heavy menstrual bleeding, endometriosis, or menopause, the latter of which will affect over 50% of the population at some point – often women who are at the peak of their career / earnings potential. </w:t>
            </w:r>
            <w:r w:rsidRPr="006E36AE">
              <w:rPr>
                <w:rFonts w:ascii="Arial" w:hAnsi="Arial" w:cs="Arial"/>
                <w:bCs/>
                <w:sz w:val="22"/>
                <w:szCs w:val="22"/>
              </w:rPr>
              <w:br/>
            </w:r>
            <w:r w:rsidRPr="006E36AE">
              <w:rPr>
                <w:rFonts w:ascii="Arial" w:hAnsi="Arial" w:cs="Arial"/>
                <w:bCs/>
                <w:sz w:val="22"/>
                <w:szCs w:val="22"/>
              </w:rPr>
              <w:br/>
              <w:t xml:space="preserve">During those years in which they are menstruating, women regularly report not having pelvic </w:t>
            </w:r>
            <w:r w:rsidRPr="006E36AE">
              <w:rPr>
                <w:rFonts w:ascii="Arial" w:hAnsi="Arial" w:cs="Arial"/>
                <w:bCs/>
                <w:sz w:val="22"/>
                <w:szCs w:val="22"/>
              </w:rPr>
              <w:lastRenderedPageBreak/>
              <w:t xml:space="preserve">pain taken seriously, not being able to access the necessary products or facilities at work in a timely manner, or having symptoms of menopause diminished, even mocked. This has huge implications for both personal well-being and safety at work, compounded by a culture which makes it difficult to openly explain these </w:t>
            </w:r>
            <w:proofErr w:type="gramStart"/>
            <w:r w:rsidRPr="006E36AE">
              <w:rPr>
                <w:rFonts w:ascii="Arial" w:hAnsi="Arial" w:cs="Arial"/>
                <w:bCs/>
                <w:sz w:val="22"/>
                <w:szCs w:val="22"/>
              </w:rPr>
              <w:t>particular health</w:t>
            </w:r>
            <w:proofErr w:type="gramEnd"/>
            <w:r w:rsidRPr="006E36AE">
              <w:rPr>
                <w:rFonts w:ascii="Arial" w:hAnsi="Arial" w:cs="Arial"/>
                <w:bCs/>
                <w:sz w:val="22"/>
                <w:szCs w:val="22"/>
              </w:rPr>
              <w:t xml:space="preserve"> needs. </w:t>
            </w:r>
            <w:r w:rsidRPr="006E36AE">
              <w:rPr>
                <w:rFonts w:ascii="Arial" w:hAnsi="Arial" w:cs="Arial"/>
                <w:bCs/>
                <w:sz w:val="22"/>
                <w:szCs w:val="22"/>
              </w:rPr>
              <w:br/>
            </w:r>
            <w:r w:rsidRPr="006E36AE">
              <w:rPr>
                <w:rFonts w:ascii="Arial" w:hAnsi="Arial" w:cs="Arial"/>
                <w:bCs/>
                <w:sz w:val="22"/>
                <w:szCs w:val="22"/>
              </w:rPr>
              <w:br/>
              <w:t>Working with women to develop appropriate policies and practices and making them a core requirement of the workplace reduces stigma and takes away that level of embarrassment that can sometimes lead to women being forced to take periods of absence.</w:t>
            </w:r>
          </w:p>
        </w:tc>
        <w:tc>
          <w:tcPr>
            <w:tcW w:w="3426" w:type="dxa"/>
          </w:tcPr>
          <w:p w14:paraId="4E9EEA35"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lastRenderedPageBreak/>
              <w:t>Please see The Work Foundation’s report, ‘More than ‘Women’s Issues’ – women’s reproductive and gynaecological health and work’ (Dudley, Kerns, Steadman) as cited in https://www.personneltoday.com/hr/report-calls-for-action-on-womens-health-issues-at-work/</w:t>
            </w:r>
          </w:p>
          <w:p w14:paraId="418BD077" w14:textId="77777777" w:rsidR="005A6352" w:rsidRPr="006E36AE" w:rsidRDefault="00DF1D4E" w:rsidP="005A6352">
            <w:pPr>
              <w:pStyle w:val="Paragraphnonumbers"/>
              <w:spacing w:after="60" w:line="240" w:lineRule="auto"/>
              <w:rPr>
                <w:rFonts w:cs="Arial"/>
                <w:bCs/>
                <w:sz w:val="22"/>
                <w:szCs w:val="22"/>
              </w:rPr>
            </w:pPr>
            <w:hyperlink r:id="rId75" w:history="1">
              <w:r w:rsidR="005A6352" w:rsidRPr="006E36AE">
                <w:rPr>
                  <w:rStyle w:val="Hyperlink"/>
                  <w:rFonts w:cs="Arial"/>
                  <w:bCs/>
                  <w:sz w:val="22"/>
                  <w:szCs w:val="22"/>
                </w:rPr>
                <w:t>https://www.unison.org.uk/content/uploads/2017/01/24203.womenshealth.pdf</w:t>
              </w:r>
            </w:hyperlink>
          </w:p>
          <w:p w14:paraId="2BC93D93" w14:textId="77777777" w:rsidR="005A6352" w:rsidRPr="006E36AE" w:rsidRDefault="00DF1D4E" w:rsidP="005A6352">
            <w:pPr>
              <w:pStyle w:val="Paragraphnonumbers"/>
              <w:spacing w:after="60" w:line="240" w:lineRule="auto"/>
              <w:rPr>
                <w:rFonts w:cs="Arial"/>
                <w:bCs/>
                <w:sz w:val="22"/>
                <w:szCs w:val="22"/>
              </w:rPr>
            </w:pPr>
            <w:hyperlink r:id="rId76" w:history="1">
              <w:r w:rsidR="005A6352" w:rsidRPr="006E36AE">
                <w:rPr>
                  <w:rStyle w:val="Hyperlink"/>
                  <w:rFonts w:cs="Arial"/>
                  <w:bCs/>
                  <w:sz w:val="22"/>
                  <w:szCs w:val="22"/>
                </w:rPr>
                <w:t>https://www.tuc.org.uk/sites/default/files/TUC_menopause_0_0.pdf</w:t>
              </w:r>
            </w:hyperlink>
          </w:p>
          <w:p w14:paraId="0230A3E3" w14:textId="4B77D122" w:rsidR="005A6352" w:rsidRPr="006E36AE" w:rsidRDefault="005A6352" w:rsidP="005A6352">
            <w:pPr>
              <w:spacing w:after="60"/>
              <w:rPr>
                <w:rFonts w:ascii="Arial" w:hAnsi="Arial" w:cs="Arial"/>
                <w:bCs/>
                <w:sz w:val="22"/>
                <w:szCs w:val="22"/>
              </w:rPr>
            </w:pPr>
          </w:p>
        </w:tc>
      </w:tr>
      <w:tr w:rsidR="005A6352" w:rsidRPr="006E36AE" w14:paraId="59D0EAE6" w14:textId="77777777" w:rsidTr="006E36AE">
        <w:trPr>
          <w:trHeight w:val="282"/>
        </w:trPr>
        <w:tc>
          <w:tcPr>
            <w:tcW w:w="704" w:type="dxa"/>
          </w:tcPr>
          <w:p w14:paraId="2376CE64" w14:textId="32C0EE88" w:rsidR="005A6352" w:rsidRPr="006E36AE" w:rsidRDefault="005A6352" w:rsidP="005A6352">
            <w:pPr>
              <w:pStyle w:val="Tabletext"/>
              <w:rPr>
                <w:rFonts w:cs="Arial"/>
                <w:bCs/>
                <w:szCs w:val="22"/>
              </w:rPr>
            </w:pPr>
            <w:r w:rsidRPr="006E36AE">
              <w:rPr>
                <w:rFonts w:cs="Arial"/>
                <w:bCs/>
                <w:szCs w:val="22"/>
              </w:rPr>
              <w:lastRenderedPageBreak/>
              <w:t>5</w:t>
            </w:r>
            <w:r w:rsidR="0037407D">
              <w:rPr>
                <w:rFonts w:cs="Arial"/>
                <w:bCs/>
                <w:szCs w:val="22"/>
              </w:rPr>
              <w:t>5</w:t>
            </w:r>
          </w:p>
        </w:tc>
        <w:tc>
          <w:tcPr>
            <w:tcW w:w="1701" w:type="dxa"/>
          </w:tcPr>
          <w:p w14:paraId="1FD89012" w14:textId="7FBB94A3" w:rsidR="005A6352" w:rsidRPr="006E36AE" w:rsidRDefault="005A6352" w:rsidP="005A6352">
            <w:pPr>
              <w:pStyle w:val="Tabletext"/>
              <w:rPr>
                <w:rFonts w:cs="Arial"/>
                <w:bCs/>
                <w:szCs w:val="22"/>
              </w:rPr>
            </w:pPr>
            <w:r w:rsidRPr="006E36AE">
              <w:rPr>
                <w:rFonts w:cs="Arial"/>
                <w:bCs/>
                <w:szCs w:val="22"/>
              </w:rPr>
              <w:t>Fair Treatment for the Women of Wales (FTWW)</w:t>
            </w:r>
          </w:p>
        </w:tc>
        <w:tc>
          <w:tcPr>
            <w:tcW w:w="1985" w:type="dxa"/>
          </w:tcPr>
          <w:p w14:paraId="5A423C95"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Key area for quality improvement 2</w:t>
            </w:r>
          </w:p>
          <w:p w14:paraId="521BCFCA" w14:textId="3A1AF446" w:rsidR="005A6352" w:rsidRPr="006E36AE" w:rsidRDefault="005A6352" w:rsidP="005A6352">
            <w:pPr>
              <w:pStyle w:val="Tabletext"/>
              <w:rPr>
                <w:rFonts w:cs="Arial"/>
                <w:bCs/>
                <w:szCs w:val="22"/>
              </w:rPr>
            </w:pPr>
            <w:r w:rsidRPr="006E36AE">
              <w:rPr>
                <w:rFonts w:cs="Arial"/>
                <w:bCs/>
                <w:szCs w:val="22"/>
              </w:rPr>
              <w:t xml:space="preserve">Guidance for employers which refers to short and long-term health </w:t>
            </w:r>
            <w:r w:rsidRPr="006E36AE">
              <w:rPr>
                <w:rFonts w:cs="Arial"/>
                <w:bCs/>
                <w:szCs w:val="22"/>
              </w:rPr>
              <w:lastRenderedPageBreak/>
              <w:t>implications of fertility treatment and miscarriage</w:t>
            </w:r>
          </w:p>
        </w:tc>
        <w:tc>
          <w:tcPr>
            <w:tcW w:w="3426" w:type="dxa"/>
          </w:tcPr>
          <w:p w14:paraId="0FFF5CA4" w14:textId="3719FA98" w:rsidR="005A6352" w:rsidRPr="006E36AE" w:rsidRDefault="005A6352" w:rsidP="005A6352">
            <w:pPr>
              <w:pStyle w:val="Tabletext"/>
              <w:rPr>
                <w:rFonts w:cs="Arial"/>
                <w:bCs/>
                <w:szCs w:val="22"/>
              </w:rPr>
            </w:pPr>
            <w:r w:rsidRPr="006E36AE">
              <w:rPr>
                <w:rFonts w:cs="Arial"/>
                <w:bCs/>
                <w:szCs w:val="22"/>
                <w:lang w:eastAsia="en-GB"/>
              </w:rPr>
              <w:lastRenderedPageBreak/>
              <w:t xml:space="preserve">Recognition that maternity-related issues extend beyond the legislative accommodations for pregnancy and post-childbirth and may include issues such as fertility treatment and miscarriage. </w:t>
            </w:r>
          </w:p>
        </w:tc>
        <w:tc>
          <w:tcPr>
            <w:tcW w:w="3426" w:type="dxa"/>
          </w:tcPr>
          <w:p w14:paraId="5291B467" w14:textId="7AAF78E6"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 xml:space="preserve">Many women will need time off from their employment for medical appointments associated with fertility treatment (some of which can come with profound side-effects). Others may experience sporadic or recurrent miscarriage (it is estimated that one in four will </w:t>
            </w:r>
            <w:r w:rsidRPr="006E36AE">
              <w:rPr>
                <w:rFonts w:ascii="Arial" w:hAnsi="Arial" w:cs="Arial"/>
                <w:bCs/>
                <w:sz w:val="22"/>
                <w:szCs w:val="22"/>
              </w:rPr>
              <w:lastRenderedPageBreak/>
              <w:t>experience a miscarriage at some point in their lives) which can have significant mental health implications. Currently, neither fertility treatment nor miscarriage are specifically covered by maternity-related legislation, leaving women having to take the necessary time off work as part of holiday entitlement, for example. The very personal nature of these experiences makes it difficult for many women to discuss them openly with employers; furthermore, women don’t necessarily consider either fertility treatment or miscarriage as ‘illness’, thereby making reasonable adjustments problematic.</w:t>
            </w:r>
          </w:p>
        </w:tc>
        <w:tc>
          <w:tcPr>
            <w:tcW w:w="3426" w:type="dxa"/>
          </w:tcPr>
          <w:p w14:paraId="38BE0E09"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lastRenderedPageBreak/>
              <w:t>The HFEA explores side-effects of fertility treatments, some of which may have implications for the workplace for some women:</w:t>
            </w:r>
          </w:p>
          <w:p w14:paraId="6E2D3A1F" w14:textId="77777777" w:rsidR="005A6352" w:rsidRPr="006E36AE" w:rsidRDefault="00DF1D4E" w:rsidP="005A6352">
            <w:pPr>
              <w:pStyle w:val="Paragraphnonumbers"/>
              <w:spacing w:after="60" w:line="240" w:lineRule="auto"/>
              <w:rPr>
                <w:rFonts w:cs="Arial"/>
                <w:bCs/>
                <w:sz w:val="22"/>
                <w:szCs w:val="22"/>
              </w:rPr>
            </w:pPr>
            <w:hyperlink r:id="rId77" w:history="1">
              <w:r w:rsidR="005A6352" w:rsidRPr="006E36AE">
                <w:rPr>
                  <w:rStyle w:val="Hyperlink"/>
                  <w:rFonts w:cs="Arial"/>
                  <w:bCs/>
                  <w:sz w:val="22"/>
                  <w:szCs w:val="22"/>
                </w:rPr>
                <w:t>https://www.hfea.gov.uk/treatments/explore-all-treatments/risks-of-fertility-treatment/</w:t>
              </w:r>
            </w:hyperlink>
          </w:p>
          <w:p w14:paraId="581BA2B5"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lastRenderedPageBreak/>
              <w:t xml:space="preserve">For some women undergoing fertility treatment, there may be emotional and psychological consequences: </w:t>
            </w:r>
          </w:p>
          <w:p w14:paraId="373DE5E0" w14:textId="77777777" w:rsidR="005A6352" w:rsidRPr="006E36AE" w:rsidRDefault="00DF1D4E" w:rsidP="005A6352">
            <w:pPr>
              <w:pStyle w:val="Paragraphnonumbers"/>
              <w:spacing w:after="60" w:line="240" w:lineRule="auto"/>
              <w:rPr>
                <w:rFonts w:cs="Arial"/>
                <w:bCs/>
                <w:sz w:val="22"/>
                <w:szCs w:val="22"/>
              </w:rPr>
            </w:pPr>
            <w:hyperlink r:id="rId78" w:anchor=":~:text=While%20the%20infertity%20is%20not,life%20(7%2D12)" w:history="1">
              <w:r w:rsidR="005A6352" w:rsidRPr="006E36AE">
                <w:rPr>
                  <w:rStyle w:val="Hyperlink"/>
                  <w:rFonts w:cs="Arial"/>
                  <w:bCs/>
                  <w:sz w:val="22"/>
                  <w:szCs w:val="22"/>
                </w:rPr>
                <w:t>https://www.ncbi.nlm.nih.gov/pmc/articles/PMC4009564/#:~:text=While%20the%20infertity%20is%20not,life%20(7%2D12)</w:t>
              </w:r>
            </w:hyperlink>
          </w:p>
          <w:p w14:paraId="5CA8A055" w14:textId="77777777" w:rsidR="005A6352" w:rsidRPr="006E36AE" w:rsidRDefault="005A6352" w:rsidP="005A6352">
            <w:pPr>
              <w:pStyle w:val="Paragraphnonumbers"/>
              <w:spacing w:after="60" w:line="240" w:lineRule="auto"/>
              <w:rPr>
                <w:rFonts w:cs="Arial"/>
                <w:bCs/>
                <w:sz w:val="22"/>
                <w:szCs w:val="22"/>
              </w:rPr>
            </w:pPr>
          </w:p>
          <w:p w14:paraId="3AC2AF6E" w14:textId="67F8FD5E" w:rsidR="005A6352" w:rsidRPr="006E36AE" w:rsidRDefault="005A6352" w:rsidP="005A6352">
            <w:pPr>
              <w:pStyle w:val="Paragraphnonumbers"/>
              <w:spacing w:after="60" w:line="240" w:lineRule="auto"/>
            </w:pPr>
            <w:r w:rsidRPr="006E36AE">
              <w:rPr>
                <w:rFonts w:cs="Arial"/>
                <w:bCs/>
                <w:sz w:val="22"/>
                <w:szCs w:val="22"/>
              </w:rPr>
              <w:t>Tommy’s is conducting a comprehensive analysis of the mental health implications of miscarriage:</w:t>
            </w:r>
            <w:r w:rsidRPr="006E36AE">
              <w:rPr>
                <w:rFonts w:cs="Arial"/>
                <w:bCs/>
                <w:sz w:val="22"/>
                <w:szCs w:val="22"/>
              </w:rPr>
              <w:br/>
            </w:r>
            <w:r w:rsidRPr="006E36AE">
              <w:rPr>
                <w:rFonts w:cs="Arial"/>
                <w:bCs/>
                <w:sz w:val="22"/>
                <w:szCs w:val="22"/>
              </w:rPr>
              <w:br/>
            </w:r>
            <w:hyperlink r:id="rId79" w:anchor=":~:text=Miscarriages%20are%20traumatic%3B%20there%20is,Traumatic%20Stress%20Disorder%20(PTSD)" w:history="1">
              <w:r w:rsidRPr="006E36AE">
                <w:rPr>
                  <w:rStyle w:val="Hyperlink"/>
                  <w:rFonts w:cs="Arial"/>
                  <w:bCs/>
                  <w:sz w:val="22"/>
                  <w:szCs w:val="22"/>
                </w:rPr>
                <w:t>https://www.tommys.org/our-organisation/research-by-cause/miscarriage/piepestudy#:~:text=Miscarriages%20are%20traumatic%3B%20there%20is,Traumatic%20Stress%20Disorder%20(PTSD)</w:t>
              </w:r>
            </w:hyperlink>
            <w:r w:rsidRPr="006E36AE">
              <w:rPr>
                <w:rFonts w:cs="Arial"/>
                <w:bCs/>
                <w:sz w:val="22"/>
                <w:szCs w:val="22"/>
              </w:rPr>
              <w:t>.</w:t>
            </w:r>
            <w:r w:rsidRPr="006E36AE">
              <w:rPr>
                <w:rFonts w:cs="Arial"/>
                <w:bCs/>
                <w:sz w:val="22"/>
                <w:szCs w:val="22"/>
              </w:rPr>
              <w:br/>
            </w:r>
            <w:r w:rsidRPr="006E36AE">
              <w:rPr>
                <w:rFonts w:cs="Arial"/>
                <w:bCs/>
                <w:sz w:val="22"/>
                <w:szCs w:val="22"/>
              </w:rPr>
              <w:br/>
              <w:t xml:space="preserve">The Miscarriage Association has published a guide for employers: </w:t>
            </w:r>
            <w:hyperlink r:id="rId80" w:history="1">
              <w:r w:rsidRPr="006E36AE">
                <w:rPr>
                  <w:rStyle w:val="Hyperlink"/>
                  <w:rFonts w:cs="Arial"/>
                  <w:bCs/>
                  <w:sz w:val="22"/>
                  <w:szCs w:val="22"/>
                </w:rPr>
                <w:t>https://www.miscarriageassociation.org.uk/wp-content/uploads/2016/10/Miscarriage-and-the-Workplace.pdf</w:t>
              </w:r>
            </w:hyperlink>
          </w:p>
        </w:tc>
      </w:tr>
      <w:tr w:rsidR="005A6352" w:rsidRPr="006E36AE" w14:paraId="18B3DC36" w14:textId="77777777" w:rsidTr="006E36AE">
        <w:trPr>
          <w:trHeight w:val="282"/>
        </w:trPr>
        <w:tc>
          <w:tcPr>
            <w:tcW w:w="704" w:type="dxa"/>
          </w:tcPr>
          <w:p w14:paraId="212732D0" w14:textId="3FB13458" w:rsidR="005A6352" w:rsidRPr="006E36AE" w:rsidRDefault="005A6352" w:rsidP="005A6352">
            <w:pPr>
              <w:pStyle w:val="Tabletext"/>
              <w:rPr>
                <w:rFonts w:cs="Arial"/>
                <w:bCs/>
                <w:szCs w:val="22"/>
              </w:rPr>
            </w:pPr>
            <w:r w:rsidRPr="006E36AE">
              <w:rPr>
                <w:rFonts w:cs="Arial"/>
                <w:bCs/>
                <w:szCs w:val="22"/>
              </w:rPr>
              <w:lastRenderedPageBreak/>
              <w:t>5</w:t>
            </w:r>
            <w:r w:rsidR="0037407D">
              <w:rPr>
                <w:rFonts w:cs="Arial"/>
                <w:bCs/>
                <w:szCs w:val="22"/>
              </w:rPr>
              <w:t>6</w:t>
            </w:r>
          </w:p>
        </w:tc>
        <w:tc>
          <w:tcPr>
            <w:tcW w:w="1701" w:type="dxa"/>
          </w:tcPr>
          <w:p w14:paraId="77D51B9E" w14:textId="065B1B1F" w:rsidR="005A6352" w:rsidRPr="006E36AE" w:rsidRDefault="005A6352" w:rsidP="005A6352">
            <w:pPr>
              <w:pStyle w:val="Tabletext"/>
              <w:rPr>
                <w:rFonts w:cs="Arial"/>
                <w:bCs/>
                <w:szCs w:val="22"/>
              </w:rPr>
            </w:pPr>
            <w:r w:rsidRPr="006E36AE">
              <w:rPr>
                <w:rFonts w:cs="Arial"/>
                <w:bCs/>
                <w:szCs w:val="22"/>
              </w:rPr>
              <w:t xml:space="preserve">Fair Treatment for the Women </w:t>
            </w:r>
            <w:r w:rsidRPr="006E36AE">
              <w:rPr>
                <w:rFonts w:cs="Arial"/>
                <w:bCs/>
                <w:szCs w:val="22"/>
              </w:rPr>
              <w:lastRenderedPageBreak/>
              <w:t>of Wales (FTWW)</w:t>
            </w:r>
          </w:p>
        </w:tc>
        <w:tc>
          <w:tcPr>
            <w:tcW w:w="1985" w:type="dxa"/>
          </w:tcPr>
          <w:p w14:paraId="702C1C1F"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lastRenderedPageBreak/>
              <w:t>Key area for quality improvement 3</w:t>
            </w:r>
          </w:p>
          <w:p w14:paraId="4591763B" w14:textId="673FC360" w:rsidR="005A6352" w:rsidRPr="006E36AE" w:rsidRDefault="005A6352" w:rsidP="005A6352">
            <w:pPr>
              <w:pStyle w:val="Tabletext"/>
              <w:rPr>
                <w:rFonts w:cs="Arial"/>
                <w:bCs/>
                <w:szCs w:val="22"/>
              </w:rPr>
            </w:pPr>
            <w:r w:rsidRPr="006E36AE">
              <w:rPr>
                <w:rFonts w:cs="Arial"/>
                <w:bCs/>
                <w:szCs w:val="22"/>
              </w:rPr>
              <w:lastRenderedPageBreak/>
              <w:t>Guidance for employers on the Equality Act 2010 and how to ensure a person-centred approach to reasonable adjustments, tailored to the individual</w:t>
            </w:r>
          </w:p>
        </w:tc>
        <w:tc>
          <w:tcPr>
            <w:tcW w:w="3426" w:type="dxa"/>
          </w:tcPr>
          <w:p w14:paraId="78719CC2" w14:textId="14372C4B" w:rsidR="005A6352" w:rsidRPr="006E36AE" w:rsidRDefault="005A6352" w:rsidP="005A6352">
            <w:pPr>
              <w:pStyle w:val="Tabletext"/>
              <w:rPr>
                <w:rFonts w:cs="Arial"/>
                <w:bCs/>
                <w:szCs w:val="22"/>
              </w:rPr>
            </w:pPr>
            <w:r w:rsidRPr="006E36AE">
              <w:rPr>
                <w:rFonts w:cs="Arial"/>
                <w:bCs/>
                <w:szCs w:val="22"/>
                <w:lang w:eastAsia="en-GB"/>
              </w:rPr>
              <w:lastRenderedPageBreak/>
              <w:t xml:space="preserve">An increased awareness of the Equality Act 2010, particularly as it pertains to what constitutes a </w:t>
            </w:r>
            <w:r w:rsidRPr="006E36AE">
              <w:rPr>
                <w:rFonts w:cs="Arial"/>
                <w:bCs/>
                <w:szCs w:val="22"/>
                <w:lang w:eastAsia="en-GB"/>
              </w:rPr>
              <w:lastRenderedPageBreak/>
              <w:t xml:space="preserve">‘disability’ and the need to make reasonable adjustments. </w:t>
            </w:r>
          </w:p>
        </w:tc>
        <w:tc>
          <w:tcPr>
            <w:tcW w:w="3426" w:type="dxa"/>
          </w:tcPr>
          <w:p w14:paraId="3997AAD3" w14:textId="23AAFABC" w:rsidR="005A6352" w:rsidRPr="006E36AE" w:rsidRDefault="005A6352" w:rsidP="005A6352">
            <w:pPr>
              <w:spacing w:after="60"/>
              <w:rPr>
                <w:rFonts w:ascii="Arial" w:hAnsi="Arial" w:cs="Arial"/>
                <w:bCs/>
                <w:sz w:val="22"/>
                <w:szCs w:val="22"/>
              </w:rPr>
            </w:pPr>
            <w:r w:rsidRPr="006E36AE">
              <w:rPr>
                <w:rFonts w:ascii="Arial" w:hAnsi="Arial" w:cs="Arial"/>
                <w:bCs/>
                <w:sz w:val="22"/>
                <w:szCs w:val="22"/>
              </w:rPr>
              <w:lastRenderedPageBreak/>
              <w:t xml:space="preserve">Currently, many of those with chronic / recurrent health conditions, particularly if they are </w:t>
            </w:r>
            <w:r w:rsidRPr="006E36AE">
              <w:rPr>
                <w:rFonts w:ascii="Arial" w:hAnsi="Arial" w:cs="Arial"/>
                <w:bCs/>
                <w:sz w:val="22"/>
                <w:szCs w:val="22"/>
              </w:rPr>
              <w:lastRenderedPageBreak/>
              <w:t xml:space="preserve">‘invisible’ or of a particularly personal nature (such as gynaecological health conditions, or mental health) don’t feel as though they have the ‘right’ to describe themselves as ‘disabled’ and entitled to reasonable adjustments, partly because they are reluctant to describe the often complex nature of their health condition(s) to an employer. This is particularly problematic when a formal, medical diagnosis is delayed – as can be the case with benign gynaecological health conditions, or more multi-faceted, less common disorders / conditions, such as auto-immune disease. </w:t>
            </w:r>
            <w:r w:rsidRPr="006E36AE">
              <w:rPr>
                <w:rFonts w:ascii="Arial" w:hAnsi="Arial" w:cs="Arial"/>
                <w:bCs/>
                <w:sz w:val="22"/>
                <w:szCs w:val="22"/>
              </w:rPr>
              <w:br/>
            </w:r>
            <w:r w:rsidRPr="006E36AE">
              <w:rPr>
                <w:rFonts w:ascii="Arial" w:hAnsi="Arial" w:cs="Arial"/>
                <w:bCs/>
                <w:sz w:val="22"/>
                <w:szCs w:val="22"/>
              </w:rPr>
              <w:br/>
              <w:t xml:space="preserve">FTWW would ask that there also be a reconsideration of what constitutes a ‘reasonable adjustment’. For those employees who may need operations / medical procedures periodically, </w:t>
            </w:r>
            <w:proofErr w:type="gramStart"/>
            <w:r w:rsidRPr="006E36AE">
              <w:rPr>
                <w:rFonts w:ascii="Arial" w:hAnsi="Arial" w:cs="Arial"/>
                <w:bCs/>
                <w:sz w:val="22"/>
                <w:szCs w:val="22"/>
              </w:rPr>
              <w:t>in order to</w:t>
            </w:r>
            <w:proofErr w:type="gramEnd"/>
            <w:r w:rsidRPr="006E36AE">
              <w:rPr>
                <w:rFonts w:ascii="Arial" w:hAnsi="Arial" w:cs="Arial"/>
                <w:bCs/>
                <w:sz w:val="22"/>
                <w:szCs w:val="22"/>
              </w:rPr>
              <w:t xml:space="preserve"> manage their condition, the use of certain formal measures / tools to collate absences and then subject disabled people to </w:t>
            </w:r>
            <w:r w:rsidRPr="006E36AE">
              <w:rPr>
                <w:rFonts w:ascii="Arial" w:hAnsi="Arial" w:cs="Arial"/>
                <w:bCs/>
                <w:sz w:val="22"/>
                <w:szCs w:val="22"/>
              </w:rPr>
              <w:lastRenderedPageBreak/>
              <w:t>disciplinary action needs to be re-examined. There is a widespread lack of appreciation that some absences are connected to a person’s long-term health condition and that, as such, it is not necessarily appropriate to utilise such a blunt instrument to determine an employee’s productivity. Historically, there has been a culture of presenteeism which is pervasive and damaging to a range of people, not least the disabled / chronically ill, failing as it does to take into account the very real opportunities flexibility and home-working present, as has been ably demonstrated during the Covd-19 pandemic.</w:t>
            </w:r>
          </w:p>
        </w:tc>
        <w:tc>
          <w:tcPr>
            <w:tcW w:w="3426" w:type="dxa"/>
          </w:tcPr>
          <w:p w14:paraId="7161CEB1"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lastRenderedPageBreak/>
              <w:t xml:space="preserve">The following is a useful summary of how tools such as the Bradford Factor interact with </w:t>
            </w:r>
            <w:r w:rsidRPr="006E36AE">
              <w:rPr>
                <w:rFonts w:cs="Arial"/>
                <w:bCs/>
                <w:sz w:val="22"/>
                <w:szCs w:val="22"/>
              </w:rPr>
              <w:lastRenderedPageBreak/>
              <w:t xml:space="preserve">disability, and the implications for Equality law:  </w:t>
            </w:r>
            <w:hyperlink r:id="rId81" w:history="1">
              <w:r w:rsidRPr="006E36AE">
                <w:rPr>
                  <w:rStyle w:val="Hyperlink"/>
                  <w:rFonts w:cs="Arial"/>
                  <w:bCs/>
                  <w:sz w:val="22"/>
                  <w:szCs w:val="22"/>
                </w:rPr>
                <w:t>https://www.myhrtoolkit.com/blog/bradford-factor-and-disability</w:t>
              </w:r>
            </w:hyperlink>
          </w:p>
          <w:p w14:paraId="504358AE"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The following, taken from the same website, presents solutions in administering the Bradford Factor and similar tools when dealing with disability and mental health in the workplace: </w:t>
            </w:r>
            <w:hyperlink r:id="rId82" w:history="1">
              <w:r w:rsidRPr="006E36AE">
                <w:rPr>
                  <w:rStyle w:val="Hyperlink"/>
                  <w:rFonts w:cs="Arial"/>
                  <w:bCs/>
                  <w:sz w:val="22"/>
                  <w:szCs w:val="22"/>
                </w:rPr>
                <w:t>https://www.myhrtoolkit.com/blog/bradford-factor-disadvantages</w:t>
              </w:r>
            </w:hyperlink>
          </w:p>
          <w:p w14:paraId="0A812D4F" w14:textId="77777777" w:rsidR="005A6352" w:rsidRPr="006E36AE" w:rsidRDefault="005A6352" w:rsidP="005A6352">
            <w:pPr>
              <w:spacing w:after="60"/>
              <w:rPr>
                <w:rFonts w:ascii="Arial" w:hAnsi="Arial" w:cs="Arial"/>
                <w:bCs/>
                <w:sz w:val="22"/>
                <w:szCs w:val="22"/>
              </w:rPr>
            </w:pPr>
          </w:p>
        </w:tc>
      </w:tr>
      <w:tr w:rsidR="005A6352" w:rsidRPr="006E36AE" w14:paraId="1FE18400" w14:textId="77777777" w:rsidTr="006E36AE">
        <w:trPr>
          <w:trHeight w:val="282"/>
        </w:trPr>
        <w:tc>
          <w:tcPr>
            <w:tcW w:w="704" w:type="dxa"/>
          </w:tcPr>
          <w:p w14:paraId="6E0D598B" w14:textId="72465253" w:rsidR="005A6352" w:rsidRPr="006E36AE" w:rsidRDefault="005A6352" w:rsidP="005A6352">
            <w:pPr>
              <w:pStyle w:val="Tabletext"/>
              <w:rPr>
                <w:rFonts w:cs="Arial"/>
                <w:bCs/>
                <w:szCs w:val="22"/>
              </w:rPr>
            </w:pPr>
            <w:r w:rsidRPr="006E36AE">
              <w:rPr>
                <w:rFonts w:cs="Arial"/>
                <w:bCs/>
                <w:szCs w:val="22"/>
              </w:rPr>
              <w:lastRenderedPageBreak/>
              <w:t>5</w:t>
            </w:r>
            <w:r w:rsidR="0037407D">
              <w:rPr>
                <w:rFonts w:cs="Arial"/>
                <w:bCs/>
                <w:szCs w:val="22"/>
              </w:rPr>
              <w:t>7</w:t>
            </w:r>
          </w:p>
        </w:tc>
        <w:tc>
          <w:tcPr>
            <w:tcW w:w="1701" w:type="dxa"/>
          </w:tcPr>
          <w:p w14:paraId="11311CF7" w14:textId="7DAE6829" w:rsidR="005A6352" w:rsidRPr="006E36AE" w:rsidRDefault="005A6352" w:rsidP="005A6352">
            <w:pPr>
              <w:pStyle w:val="Tabletext"/>
              <w:rPr>
                <w:rFonts w:cs="Arial"/>
                <w:bCs/>
                <w:szCs w:val="22"/>
              </w:rPr>
            </w:pPr>
            <w:r w:rsidRPr="006E36AE">
              <w:rPr>
                <w:rFonts w:cs="Arial"/>
                <w:bCs/>
                <w:szCs w:val="22"/>
              </w:rPr>
              <w:t>Multiple Sclerosis Society</w:t>
            </w:r>
          </w:p>
        </w:tc>
        <w:tc>
          <w:tcPr>
            <w:tcW w:w="1985" w:type="dxa"/>
          </w:tcPr>
          <w:p w14:paraId="5FFFE3F6"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Key area for quality improvement 5</w:t>
            </w:r>
          </w:p>
          <w:p w14:paraId="2430DFC3" w14:textId="76D92C8E" w:rsidR="005A6352" w:rsidRPr="006E36AE" w:rsidRDefault="005A6352" w:rsidP="005A6352">
            <w:pPr>
              <w:pStyle w:val="Tabletext"/>
              <w:rPr>
                <w:rFonts w:cs="Arial"/>
                <w:bCs/>
                <w:szCs w:val="22"/>
              </w:rPr>
            </w:pPr>
            <w:proofErr w:type="gramStart"/>
            <w:r w:rsidRPr="006E36AE">
              <w:rPr>
                <w:rFonts w:cs="Arial"/>
                <w:bCs/>
                <w:szCs w:val="22"/>
              </w:rPr>
              <w:t>Neuro-rehabilitation</w:t>
            </w:r>
            <w:proofErr w:type="gramEnd"/>
            <w:r w:rsidRPr="006E36AE">
              <w:rPr>
                <w:rFonts w:cs="Arial"/>
                <w:bCs/>
                <w:szCs w:val="22"/>
              </w:rPr>
              <w:t xml:space="preserve"> and physiotherapy for people with MS</w:t>
            </w:r>
          </w:p>
        </w:tc>
        <w:tc>
          <w:tcPr>
            <w:tcW w:w="3426" w:type="dxa"/>
          </w:tcPr>
          <w:p w14:paraId="048F3BC6"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Difficulties with mobility is one of the major challenges people with MS face in terms of living independently and continuing to work. NICE guidelines on management of MS in adults recommends that ‘people with MS who have mobility problems have access to an assessment to establish individual goals and discuss ways in which to </w:t>
            </w:r>
            <w:r w:rsidRPr="006E36AE">
              <w:rPr>
                <w:rFonts w:cs="Arial"/>
                <w:bCs/>
                <w:sz w:val="22"/>
                <w:szCs w:val="22"/>
              </w:rPr>
              <w:lastRenderedPageBreak/>
              <w:t xml:space="preserve">achieve them. This would usually involve rehabilitation specialists and physiotherapists with expertise in MS’. For many people with MS, a goal would be to remain in work and continue to live independently. </w:t>
            </w:r>
          </w:p>
          <w:p w14:paraId="0204FFE1" w14:textId="05F4DBE5" w:rsidR="005A6352" w:rsidRPr="006E36AE" w:rsidRDefault="005A6352" w:rsidP="005A6352">
            <w:pPr>
              <w:pStyle w:val="Tabletext"/>
              <w:rPr>
                <w:rFonts w:cs="Arial"/>
                <w:bCs/>
                <w:szCs w:val="22"/>
              </w:rPr>
            </w:pPr>
            <w:r w:rsidRPr="006E36AE">
              <w:rPr>
                <w:rFonts w:cs="Arial"/>
                <w:bCs/>
                <w:szCs w:val="22"/>
              </w:rPr>
              <w:t xml:space="preserve">MS-specific services have been stopped or severely restricted during the Covid-19 pandemic, but the need for the services has not. The expected job losses at the end of the furlough scheme will highly affect disabled people. Without accessible neuro and physio rehab services, as well as access to occupational health and rehabilitation services, it is less likely that people with MS who lose their jobs will be able to return to work, exacerbating the negative impact of the economic aspect of the pandemic on people with MS. </w:t>
            </w:r>
          </w:p>
        </w:tc>
        <w:tc>
          <w:tcPr>
            <w:tcW w:w="3426" w:type="dxa"/>
          </w:tcPr>
          <w:p w14:paraId="1DA4A62D"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lastRenderedPageBreak/>
              <w:t xml:space="preserve">Local services audit by the MS Society shows that access to neuro-rehab and specialist physiotherapy services varies greatly across areas in England. While some Sustainability and Transformation Partnership (STP) areas provide neuro-rehab services across the area, many only provide these in some or few parts of the STP </w:t>
            </w:r>
            <w:r w:rsidRPr="006E36AE">
              <w:rPr>
                <w:rFonts w:cs="Arial"/>
                <w:bCs/>
                <w:sz w:val="22"/>
                <w:szCs w:val="22"/>
              </w:rPr>
              <w:lastRenderedPageBreak/>
              <w:t xml:space="preserve">area. In many areas, only between 60% and 70% of people with MS who needed to see a physiotherapist in the last 12 months saw one. </w:t>
            </w:r>
          </w:p>
          <w:p w14:paraId="5087D8D9"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An MS Society report on the quality of MS services in England reveals that physiotherapy and neuro-physio rehab are a common unmet need for people with MS, who report long waiting lists, limited intervention (6 weeks) and limited availability close to home. </w:t>
            </w:r>
          </w:p>
          <w:p w14:paraId="14D90B85" w14:textId="561CDE88" w:rsidR="005A6352" w:rsidRPr="006E36AE" w:rsidRDefault="005A6352" w:rsidP="005A6352">
            <w:pPr>
              <w:pStyle w:val="Paragraphnonumbers"/>
              <w:spacing w:after="60" w:line="240" w:lineRule="auto"/>
            </w:pPr>
            <w:r w:rsidRPr="006E36AE">
              <w:rPr>
                <w:rFonts w:cs="Arial"/>
                <w:bCs/>
                <w:sz w:val="22"/>
                <w:szCs w:val="22"/>
              </w:rPr>
              <w:t xml:space="preserve">Variable access to quality occupational health, neuro rehab and physio services will have been made worse by the Covid-19 pandemic, so it is important that these services return to normal and expanded to provide adequate services as soon as possible to support people to stay in and return to work as the job market changes. </w:t>
            </w:r>
          </w:p>
        </w:tc>
        <w:tc>
          <w:tcPr>
            <w:tcW w:w="3426" w:type="dxa"/>
          </w:tcPr>
          <w:p w14:paraId="66541805"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lastRenderedPageBreak/>
              <w:t xml:space="preserve">For information on unmet need for physiotherapy in the UK see the MS Society’s report ‘My MS My Needs survey 2019: UK findings’ here: </w:t>
            </w:r>
            <w:hyperlink r:id="rId83" w:history="1">
              <w:r w:rsidRPr="006E36AE">
                <w:rPr>
                  <w:rStyle w:val="Hyperlink"/>
                  <w:rFonts w:cs="Arial"/>
                  <w:bCs/>
                  <w:sz w:val="22"/>
                  <w:szCs w:val="22"/>
                </w:rPr>
                <w:t>https://www.mssociety.org.uk/what-we-do/our-work/our-evidence/ms-in-the-uk</w:t>
              </w:r>
            </w:hyperlink>
            <w:r w:rsidRPr="006E36AE">
              <w:rPr>
                <w:rFonts w:cs="Arial"/>
                <w:bCs/>
                <w:sz w:val="22"/>
                <w:szCs w:val="22"/>
              </w:rPr>
              <w:t xml:space="preserve">. Breakdown of information by nations is also available in the ‘My MS My Needs 2019 nations </w:t>
            </w:r>
            <w:r w:rsidRPr="006E36AE">
              <w:rPr>
                <w:rFonts w:cs="Arial"/>
                <w:bCs/>
                <w:sz w:val="22"/>
                <w:szCs w:val="22"/>
              </w:rPr>
              <w:lastRenderedPageBreak/>
              <w:t xml:space="preserve">data tables’ report on the same web page. </w:t>
            </w:r>
          </w:p>
          <w:p w14:paraId="432A7672" w14:textId="77777777" w:rsidR="005A6352" w:rsidRPr="006E36AE" w:rsidRDefault="005A6352" w:rsidP="005A6352">
            <w:pPr>
              <w:pStyle w:val="Paragraphnonumbers"/>
              <w:spacing w:after="60" w:line="240" w:lineRule="auto"/>
              <w:rPr>
                <w:rFonts w:cs="Arial"/>
                <w:bCs/>
                <w:sz w:val="22"/>
                <w:szCs w:val="22"/>
              </w:rPr>
            </w:pPr>
          </w:p>
          <w:p w14:paraId="4F0ECC34"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For information on the quality of MS services in England see the MS Society’s report ‘What good looks like: patient engagement on quality MS services in England 2019/20’ here: </w:t>
            </w:r>
            <w:hyperlink r:id="rId84" w:history="1">
              <w:r w:rsidRPr="006E36AE">
                <w:rPr>
                  <w:rStyle w:val="Hyperlink"/>
                  <w:rFonts w:cs="Arial"/>
                  <w:bCs/>
                  <w:sz w:val="22"/>
                  <w:szCs w:val="22"/>
                </w:rPr>
                <w:t>https://www.mssociety.org.uk/what-we-do/our-work/our-evidence/ms-in-the-uk</w:t>
              </w:r>
            </w:hyperlink>
          </w:p>
          <w:p w14:paraId="659BAA4F" w14:textId="05BCCA19"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 xml:space="preserve">For more on the experience of care for people with MS see: MS Trust (2016) </w:t>
            </w:r>
            <w:hyperlink r:id="rId85" w:history="1">
              <w:r w:rsidRPr="006E36AE">
                <w:rPr>
                  <w:rStyle w:val="Hyperlink"/>
                  <w:rFonts w:ascii="Arial" w:hAnsi="Arial" w:cs="Arial"/>
                  <w:bCs/>
                  <w:sz w:val="22"/>
                  <w:szCs w:val="22"/>
                </w:rPr>
                <w:t>Is MS Care Fair: Key findings from the MS Trust’s survey into the experiences of people living with MS.</w:t>
              </w:r>
            </w:hyperlink>
            <w:r w:rsidRPr="006E36AE">
              <w:rPr>
                <w:rFonts w:ascii="Arial" w:hAnsi="Arial" w:cs="Arial"/>
                <w:bCs/>
                <w:sz w:val="22"/>
                <w:szCs w:val="22"/>
              </w:rPr>
              <w:t xml:space="preserve"> p.2. </w:t>
            </w:r>
          </w:p>
        </w:tc>
      </w:tr>
      <w:tr w:rsidR="005A6352" w:rsidRPr="006E36AE" w14:paraId="66D8BA6B" w14:textId="77777777" w:rsidTr="006E36AE">
        <w:trPr>
          <w:trHeight w:val="282"/>
        </w:trPr>
        <w:tc>
          <w:tcPr>
            <w:tcW w:w="704" w:type="dxa"/>
          </w:tcPr>
          <w:p w14:paraId="3A0E6BAE" w14:textId="0BE3A4F2" w:rsidR="005A6352" w:rsidRPr="006E36AE" w:rsidRDefault="005A6352" w:rsidP="005A6352">
            <w:pPr>
              <w:pStyle w:val="Tabletext"/>
              <w:rPr>
                <w:rFonts w:cs="Arial"/>
                <w:bCs/>
                <w:szCs w:val="22"/>
              </w:rPr>
            </w:pPr>
            <w:r w:rsidRPr="006E36AE">
              <w:rPr>
                <w:rFonts w:cs="Arial"/>
                <w:bCs/>
                <w:szCs w:val="22"/>
              </w:rPr>
              <w:lastRenderedPageBreak/>
              <w:t>5</w:t>
            </w:r>
            <w:r w:rsidR="0037407D">
              <w:rPr>
                <w:rFonts w:cs="Arial"/>
                <w:bCs/>
                <w:szCs w:val="22"/>
              </w:rPr>
              <w:t>8</w:t>
            </w:r>
          </w:p>
        </w:tc>
        <w:tc>
          <w:tcPr>
            <w:tcW w:w="1701" w:type="dxa"/>
          </w:tcPr>
          <w:p w14:paraId="5645CE26" w14:textId="55C53E6F" w:rsidR="005A6352" w:rsidRPr="006E36AE" w:rsidRDefault="005A6352" w:rsidP="005A6352">
            <w:pPr>
              <w:pStyle w:val="Tabletext"/>
              <w:rPr>
                <w:rFonts w:cs="Arial"/>
                <w:bCs/>
                <w:szCs w:val="22"/>
              </w:rPr>
            </w:pPr>
            <w:r w:rsidRPr="006E36AE">
              <w:rPr>
                <w:rFonts w:cs="Arial"/>
                <w:bCs/>
                <w:szCs w:val="22"/>
              </w:rPr>
              <w:t>The Pituitary Foundation</w:t>
            </w:r>
          </w:p>
        </w:tc>
        <w:tc>
          <w:tcPr>
            <w:tcW w:w="1985" w:type="dxa"/>
          </w:tcPr>
          <w:p w14:paraId="4F025CC6" w14:textId="0AF90397" w:rsidR="005A6352" w:rsidRPr="006E36AE" w:rsidRDefault="005A6352" w:rsidP="005A6352">
            <w:pPr>
              <w:pStyle w:val="Tabletext"/>
              <w:rPr>
                <w:rFonts w:cs="Arial"/>
                <w:bCs/>
                <w:szCs w:val="22"/>
              </w:rPr>
            </w:pPr>
            <w:r w:rsidRPr="006E36AE">
              <w:rPr>
                <w:rFonts w:cs="Arial"/>
                <w:bCs/>
                <w:szCs w:val="22"/>
              </w:rPr>
              <w:t xml:space="preserve">Occupational Health and other Professionals need to have a good understanding of </w:t>
            </w:r>
            <w:r w:rsidRPr="006E36AE">
              <w:rPr>
                <w:rFonts w:cs="Arial"/>
                <w:bCs/>
                <w:szCs w:val="22"/>
              </w:rPr>
              <w:lastRenderedPageBreak/>
              <w:t>rare Pituitary disorders before recommending work plans.</w:t>
            </w:r>
          </w:p>
        </w:tc>
        <w:tc>
          <w:tcPr>
            <w:tcW w:w="3426" w:type="dxa"/>
          </w:tcPr>
          <w:p w14:paraId="28ADF105" w14:textId="0E0B747A" w:rsidR="005A6352" w:rsidRPr="006E36AE" w:rsidRDefault="005A6352" w:rsidP="005A6352">
            <w:pPr>
              <w:pStyle w:val="Tabletext"/>
              <w:rPr>
                <w:rFonts w:cs="Arial"/>
                <w:bCs/>
                <w:szCs w:val="22"/>
              </w:rPr>
            </w:pPr>
            <w:r w:rsidRPr="006E36AE">
              <w:rPr>
                <w:rFonts w:cs="Arial"/>
                <w:bCs/>
                <w:szCs w:val="22"/>
              </w:rPr>
              <w:lastRenderedPageBreak/>
              <w:t>There is little understanding of the complex issues faced by pituitary disorders, and the significant impact they can have on patients’ ability to work.</w:t>
            </w:r>
          </w:p>
        </w:tc>
        <w:tc>
          <w:tcPr>
            <w:tcW w:w="3426" w:type="dxa"/>
          </w:tcPr>
          <w:p w14:paraId="34042588" w14:textId="68801DC5"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Increasing knowledge/education of the challenges of pain, fatigue and mental health difficulties which can accompany pituitary disorders.</w:t>
            </w:r>
          </w:p>
        </w:tc>
        <w:tc>
          <w:tcPr>
            <w:tcW w:w="3426" w:type="dxa"/>
          </w:tcPr>
          <w:p w14:paraId="1E20AEA5" w14:textId="16030A47"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 xml:space="preserve">Other healthcare professionals (like Occupational Therapists) who have expertise in adaptations in the </w:t>
            </w:r>
            <w:proofErr w:type="gramStart"/>
            <w:r w:rsidRPr="006E36AE">
              <w:rPr>
                <w:rFonts w:ascii="Arial" w:hAnsi="Arial" w:cs="Arial"/>
                <w:bCs/>
                <w:sz w:val="22"/>
                <w:szCs w:val="22"/>
              </w:rPr>
              <w:t>work place</w:t>
            </w:r>
            <w:proofErr w:type="gramEnd"/>
            <w:r w:rsidRPr="006E36AE">
              <w:rPr>
                <w:rFonts w:ascii="Arial" w:hAnsi="Arial" w:cs="Arial"/>
                <w:bCs/>
                <w:sz w:val="22"/>
                <w:szCs w:val="22"/>
              </w:rPr>
              <w:t xml:space="preserve"> should be included in the work capacity assessments to </w:t>
            </w:r>
            <w:r w:rsidRPr="006E36AE">
              <w:rPr>
                <w:rFonts w:ascii="Arial" w:hAnsi="Arial" w:cs="Arial"/>
                <w:bCs/>
                <w:sz w:val="22"/>
                <w:szCs w:val="22"/>
              </w:rPr>
              <w:lastRenderedPageBreak/>
              <w:t>facilitate employability and support for the individual. All professionals undertaking assessments in this area should have a sound knowledge of the challenges of living with a pituitary condition, including the effect of hormone replacing medication, and previous pituitary surgery.</w:t>
            </w:r>
          </w:p>
        </w:tc>
      </w:tr>
      <w:tr w:rsidR="005A6352" w:rsidRPr="006E36AE" w14:paraId="4B58AF9B" w14:textId="77777777" w:rsidTr="007434D8">
        <w:trPr>
          <w:trHeight w:val="282"/>
        </w:trPr>
        <w:tc>
          <w:tcPr>
            <w:tcW w:w="14668" w:type="dxa"/>
            <w:gridSpan w:val="6"/>
          </w:tcPr>
          <w:p w14:paraId="3AD653C6" w14:textId="3DBBF04E" w:rsidR="005A6352" w:rsidRPr="006E36AE" w:rsidRDefault="005A6352" w:rsidP="005A6352">
            <w:pPr>
              <w:pStyle w:val="Tabletitle"/>
              <w:rPr>
                <w:rFonts w:cs="Arial"/>
                <w:szCs w:val="22"/>
              </w:rPr>
            </w:pPr>
            <w:r w:rsidRPr="006E36AE">
              <w:rPr>
                <w:rFonts w:cs="Arial"/>
                <w:szCs w:val="22"/>
              </w:rPr>
              <w:lastRenderedPageBreak/>
              <w:t>Additional area: Presenteeism and absenteeism</w:t>
            </w:r>
          </w:p>
        </w:tc>
      </w:tr>
      <w:tr w:rsidR="005A6352" w:rsidRPr="006E36AE" w14:paraId="11D111F9" w14:textId="77777777" w:rsidTr="006E36AE">
        <w:trPr>
          <w:trHeight w:val="282"/>
        </w:trPr>
        <w:tc>
          <w:tcPr>
            <w:tcW w:w="704" w:type="dxa"/>
          </w:tcPr>
          <w:p w14:paraId="2455B250" w14:textId="00E0FE34" w:rsidR="005A6352" w:rsidRPr="006E36AE" w:rsidRDefault="005A6352" w:rsidP="005A6352">
            <w:pPr>
              <w:pStyle w:val="Tabletext"/>
              <w:rPr>
                <w:rFonts w:cs="Arial"/>
                <w:bCs/>
                <w:szCs w:val="22"/>
                <w:lang w:eastAsia="en-GB"/>
              </w:rPr>
            </w:pPr>
            <w:r w:rsidRPr="006E36AE">
              <w:rPr>
                <w:rFonts w:cs="Arial"/>
                <w:bCs/>
                <w:szCs w:val="22"/>
              </w:rPr>
              <w:t>5</w:t>
            </w:r>
            <w:r w:rsidR="0037407D">
              <w:rPr>
                <w:rFonts w:cs="Arial"/>
                <w:bCs/>
                <w:szCs w:val="22"/>
              </w:rPr>
              <w:t>9</w:t>
            </w:r>
          </w:p>
        </w:tc>
        <w:tc>
          <w:tcPr>
            <w:tcW w:w="1701" w:type="dxa"/>
          </w:tcPr>
          <w:p w14:paraId="06A67B36" w14:textId="79B74388" w:rsidR="005A6352" w:rsidRPr="006E36AE" w:rsidRDefault="005A6352" w:rsidP="005A6352">
            <w:pPr>
              <w:pStyle w:val="Tabletext"/>
              <w:rPr>
                <w:rFonts w:cs="Arial"/>
                <w:bCs/>
                <w:szCs w:val="22"/>
              </w:rPr>
            </w:pPr>
            <w:r w:rsidRPr="006E36AE">
              <w:rPr>
                <w:rFonts w:cs="Arial"/>
                <w:bCs/>
                <w:szCs w:val="22"/>
              </w:rPr>
              <w:t>SCM2</w:t>
            </w:r>
          </w:p>
        </w:tc>
        <w:tc>
          <w:tcPr>
            <w:tcW w:w="1985" w:type="dxa"/>
          </w:tcPr>
          <w:p w14:paraId="0FAEC4E8" w14:textId="77777777" w:rsidR="005A6352" w:rsidRPr="006E36AE" w:rsidRDefault="005A6352" w:rsidP="005A6352">
            <w:pPr>
              <w:pStyle w:val="TableText1"/>
              <w:spacing w:after="60"/>
              <w:rPr>
                <w:rFonts w:cs="Arial"/>
                <w:bCs/>
                <w:szCs w:val="22"/>
              </w:rPr>
            </w:pPr>
            <w:r w:rsidRPr="006E36AE">
              <w:rPr>
                <w:rFonts w:cs="Arial"/>
                <w:bCs/>
                <w:szCs w:val="22"/>
              </w:rPr>
              <w:t>Key area for quality improvement 1</w:t>
            </w:r>
          </w:p>
          <w:p w14:paraId="3BD1796B" w14:textId="3EC4BABE" w:rsidR="005A6352" w:rsidRPr="006E36AE" w:rsidRDefault="005A6352" w:rsidP="005A6352">
            <w:pPr>
              <w:pStyle w:val="Tabletext"/>
              <w:rPr>
                <w:rFonts w:cs="Arial"/>
                <w:bCs/>
                <w:szCs w:val="22"/>
              </w:rPr>
            </w:pPr>
            <w:r w:rsidRPr="006E36AE">
              <w:rPr>
                <w:rFonts w:cs="Arial"/>
                <w:bCs/>
                <w:szCs w:val="22"/>
              </w:rPr>
              <w:t>Research data collection</w:t>
            </w:r>
          </w:p>
        </w:tc>
        <w:tc>
          <w:tcPr>
            <w:tcW w:w="3426" w:type="dxa"/>
          </w:tcPr>
          <w:p w14:paraId="6E2BDD8D" w14:textId="67CE5C53" w:rsidR="005A6352" w:rsidRPr="006E36AE" w:rsidRDefault="005A6352" w:rsidP="005A6352">
            <w:pPr>
              <w:pStyle w:val="Tabletext"/>
              <w:rPr>
                <w:rFonts w:cs="Arial"/>
                <w:bCs/>
                <w:szCs w:val="22"/>
              </w:rPr>
            </w:pPr>
            <w:r w:rsidRPr="006E36AE">
              <w:rPr>
                <w:rFonts w:cs="Arial"/>
                <w:bCs/>
                <w:szCs w:val="22"/>
                <w:lang w:eastAsia="en-GB"/>
              </w:rPr>
              <w:t xml:space="preserve">Health and Social Care research should routinely include absenteeism and presenteeism measures as key outcomes for children </w:t>
            </w:r>
            <w:proofErr w:type="spellStart"/>
            <w:r w:rsidRPr="006E36AE">
              <w:rPr>
                <w:rFonts w:cs="Arial"/>
                <w:bCs/>
                <w:szCs w:val="22"/>
                <w:lang w:eastAsia="en-GB"/>
              </w:rPr>
              <w:t>wrt</w:t>
            </w:r>
            <w:proofErr w:type="spellEnd"/>
            <w:r w:rsidRPr="006E36AE">
              <w:rPr>
                <w:rFonts w:cs="Arial"/>
                <w:bCs/>
                <w:szCs w:val="22"/>
                <w:lang w:eastAsia="en-GB"/>
              </w:rPr>
              <w:t xml:space="preserve"> School attendance, and those of working age </w:t>
            </w:r>
            <w:proofErr w:type="spellStart"/>
            <w:r w:rsidRPr="006E36AE">
              <w:rPr>
                <w:rFonts w:cs="Arial"/>
                <w:bCs/>
                <w:szCs w:val="22"/>
                <w:lang w:eastAsia="en-GB"/>
              </w:rPr>
              <w:t>wrt</w:t>
            </w:r>
            <w:proofErr w:type="spellEnd"/>
            <w:r w:rsidRPr="006E36AE">
              <w:rPr>
                <w:rFonts w:cs="Arial"/>
                <w:bCs/>
                <w:szCs w:val="22"/>
                <w:lang w:eastAsia="en-GB"/>
              </w:rPr>
              <w:t xml:space="preserve"> work</w:t>
            </w:r>
          </w:p>
        </w:tc>
        <w:tc>
          <w:tcPr>
            <w:tcW w:w="3426" w:type="dxa"/>
          </w:tcPr>
          <w:p w14:paraId="23DF68B4" w14:textId="36E7D7E1"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 xml:space="preserve">This is a key outcome for individuals’ health, </w:t>
            </w:r>
            <w:proofErr w:type="gramStart"/>
            <w:r w:rsidRPr="006E36AE">
              <w:rPr>
                <w:rFonts w:ascii="Arial" w:hAnsi="Arial" w:cs="Arial"/>
                <w:bCs/>
                <w:sz w:val="22"/>
                <w:szCs w:val="22"/>
              </w:rPr>
              <w:t>wellbeing</w:t>
            </w:r>
            <w:proofErr w:type="gramEnd"/>
            <w:r w:rsidRPr="006E36AE">
              <w:rPr>
                <w:rFonts w:ascii="Arial" w:hAnsi="Arial" w:cs="Arial"/>
                <w:bCs/>
                <w:sz w:val="22"/>
                <w:szCs w:val="22"/>
              </w:rPr>
              <w:t xml:space="preserve"> and recovery and for national societal cost effectiveness</w:t>
            </w:r>
          </w:p>
        </w:tc>
        <w:tc>
          <w:tcPr>
            <w:tcW w:w="3426" w:type="dxa"/>
          </w:tcPr>
          <w:p w14:paraId="4CC08C3E" w14:textId="14986CF5" w:rsidR="005A6352" w:rsidRPr="006E36AE" w:rsidRDefault="005A6352" w:rsidP="005A6352">
            <w:pPr>
              <w:spacing w:after="60"/>
              <w:rPr>
                <w:rFonts w:ascii="Arial" w:hAnsi="Arial" w:cs="Arial"/>
                <w:bCs/>
                <w:sz w:val="22"/>
                <w:szCs w:val="22"/>
              </w:rPr>
            </w:pPr>
            <w:r w:rsidRPr="006E36AE">
              <w:rPr>
                <w:rFonts w:ascii="Arial" w:hAnsi="Arial" w:cs="Arial"/>
                <w:bCs/>
                <w:sz w:val="22"/>
                <w:szCs w:val="22"/>
                <w:lang w:eastAsia="en-GB"/>
              </w:rPr>
              <w:t>Data on costs of health-</w:t>
            </w:r>
            <w:proofErr w:type="gramStart"/>
            <w:r w:rsidRPr="006E36AE">
              <w:rPr>
                <w:rFonts w:ascii="Arial" w:hAnsi="Arial" w:cs="Arial"/>
                <w:bCs/>
                <w:sz w:val="22"/>
                <w:szCs w:val="22"/>
                <w:lang w:eastAsia="en-GB"/>
              </w:rPr>
              <w:t>related  absenteeism</w:t>
            </w:r>
            <w:proofErr w:type="gramEnd"/>
            <w:r w:rsidRPr="006E36AE">
              <w:rPr>
                <w:rFonts w:ascii="Arial" w:hAnsi="Arial" w:cs="Arial"/>
                <w:bCs/>
                <w:sz w:val="22"/>
                <w:szCs w:val="22"/>
                <w:lang w:eastAsia="en-GB"/>
              </w:rPr>
              <w:t xml:space="preserve"> and presenteeism on national productivity losses and data on benefit of good work for health and recovery/rehabilitation after illness</w:t>
            </w:r>
          </w:p>
        </w:tc>
      </w:tr>
      <w:tr w:rsidR="005A6352" w:rsidRPr="006E36AE" w14:paraId="30A1A628" w14:textId="77777777" w:rsidTr="007434D8">
        <w:trPr>
          <w:trHeight w:val="282"/>
        </w:trPr>
        <w:tc>
          <w:tcPr>
            <w:tcW w:w="14668" w:type="dxa"/>
            <w:gridSpan w:val="6"/>
          </w:tcPr>
          <w:p w14:paraId="0B32A2F1" w14:textId="76593800" w:rsidR="005A6352" w:rsidRPr="006E36AE" w:rsidRDefault="005A6352" w:rsidP="005A6352">
            <w:pPr>
              <w:pStyle w:val="Tabletitle"/>
              <w:rPr>
                <w:rFonts w:cs="Arial"/>
                <w:szCs w:val="22"/>
              </w:rPr>
            </w:pPr>
            <w:r w:rsidRPr="006E36AE">
              <w:rPr>
                <w:rFonts w:cs="Arial"/>
                <w:szCs w:val="22"/>
              </w:rPr>
              <w:t>Additional area: Training</w:t>
            </w:r>
          </w:p>
        </w:tc>
      </w:tr>
      <w:tr w:rsidR="005A6352" w:rsidRPr="006E36AE" w14:paraId="4E7F75FA" w14:textId="77777777" w:rsidTr="006E36AE">
        <w:trPr>
          <w:trHeight w:val="282"/>
        </w:trPr>
        <w:tc>
          <w:tcPr>
            <w:tcW w:w="704" w:type="dxa"/>
          </w:tcPr>
          <w:p w14:paraId="4470259F" w14:textId="40687A3D" w:rsidR="005A6352" w:rsidRPr="006E36AE" w:rsidRDefault="0037407D" w:rsidP="005A6352">
            <w:pPr>
              <w:pStyle w:val="Tabletext"/>
              <w:rPr>
                <w:rFonts w:cs="Arial"/>
                <w:bCs/>
                <w:szCs w:val="22"/>
                <w:lang w:eastAsia="en-GB"/>
              </w:rPr>
            </w:pPr>
            <w:r>
              <w:rPr>
                <w:rFonts w:cs="Arial"/>
                <w:bCs/>
                <w:szCs w:val="22"/>
              </w:rPr>
              <w:t>60</w:t>
            </w:r>
          </w:p>
        </w:tc>
        <w:tc>
          <w:tcPr>
            <w:tcW w:w="1701" w:type="dxa"/>
          </w:tcPr>
          <w:p w14:paraId="1D601D7B" w14:textId="2C3D736F" w:rsidR="005A6352" w:rsidRPr="006E36AE" w:rsidRDefault="005A6352" w:rsidP="005A6352">
            <w:pPr>
              <w:pStyle w:val="Tabletext"/>
              <w:rPr>
                <w:rFonts w:cs="Arial"/>
                <w:bCs/>
                <w:szCs w:val="22"/>
              </w:rPr>
            </w:pPr>
            <w:r w:rsidRPr="006E36AE">
              <w:rPr>
                <w:rFonts w:cs="Arial"/>
                <w:bCs/>
                <w:szCs w:val="22"/>
              </w:rPr>
              <w:t xml:space="preserve">British Society for Rheumatology </w:t>
            </w:r>
          </w:p>
        </w:tc>
        <w:tc>
          <w:tcPr>
            <w:tcW w:w="1985" w:type="dxa"/>
          </w:tcPr>
          <w:p w14:paraId="0B57AD90" w14:textId="3BD8F99F" w:rsidR="005A6352" w:rsidRPr="006E36AE" w:rsidRDefault="005A6352" w:rsidP="005A6352">
            <w:pPr>
              <w:pStyle w:val="Tabletext"/>
              <w:rPr>
                <w:rFonts w:cs="Arial"/>
                <w:bCs/>
                <w:szCs w:val="22"/>
              </w:rPr>
            </w:pPr>
            <w:r w:rsidRPr="006E36AE">
              <w:rPr>
                <w:rFonts w:cs="Arial"/>
                <w:bCs/>
                <w:szCs w:val="22"/>
              </w:rPr>
              <w:t>5)</w:t>
            </w:r>
            <w:r w:rsidRPr="006E36AE">
              <w:rPr>
                <w:rFonts w:cs="Arial"/>
                <w:bCs/>
                <w:szCs w:val="22"/>
              </w:rPr>
              <w:tab/>
              <w:t>Rapidly develop increased training of healthcare professionals in all disciplines to recognise work as a health outcome that they NEED to take notice of.</w:t>
            </w:r>
          </w:p>
        </w:tc>
        <w:tc>
          <w:tcPr>
            <w:tcW w:w="3426" w:type="dxa"/>
          </w:tcPr>
          <w:p w14:paraId="3DAA116E" w14:textId="0DED17AA" w:rsidR="005A6352" w:rsidRPr="006E36AE" w:rsidRDefault="005A6352" w:rsidP="005A6352">
            <w:pPr>
              <w:pStyle w:val="Tabletext"/>
              <w:rPr>
                <w:rFonts w:cs="Arial"/>
                <w:bCs/>
                <w:szCs w:val="22"/>
              </w:rPr>
            </w:pPr>
          </w:p>
        </w:tc>
        <w:tc>
          <w:tcPr>
            <w:tcW w:w="3426" w:type="dxa"/>
          </w:tcPr>
          <w:p w14:paraId="406B7191" w14:textId="5BB1927F" w:rsidR="005A6352" w:rsidRPr="006E36AE" w:rsidRDefault="005A6352" w:rsidP="005A6352">
            <w:pPr>
              <w:spacing w:after="60"/>
              <w:rPr>
                <w:rFonts w:ascii="Arial" w:hAnsi="Arial" w:cs="Arial"/>
                <w:bCs/>
                <w:sz w:val="22"/>
                <w:szCs w:val="22"/>
              </w:rPr>
            </w:pPr>
          </w:p>
        </w:tc>
        <w:tc>
          <w:tcPr>
            <w:tcW w:w="3426" w:type="dxa"/>
          </w:tcPr>
          <w:p w14:paraId="74F0A1E3" w14:textId="464E05C0" w:rsidR="005A6352" w:rsidRPr="006E36AE" w:rsidRDefault="005A6352" w:rsidP="005A6352">
            <w:pPr>
              <w:spacing w:after="60"/>
              <w:rPr>
                <w:rFonts w:ascii="Arial" w:hAnsi="Arial" w:cs="Arial"/>
                <w:bCs/>
                <w:sz w:val="22"/>
                <w:szCs w:val="22"/>
              </w:rPr>
            </w:pPr>
          </w:p>
        </w:tc>
      </w:tr>
      <w:tr w:rsidR="005A6352" w:rsidRPr="006E36AE" w14:paraId="1CBD45CA" w14:textId="77777777" w:rsidTr="006E36AE">
        <w:trPr>
          <w:trHeight w:val="282"/>
        </w:trPr>
        <w:tc>
          <w:tcPr>
            <w:tcW w:w="704" w:type="dxa"/>
          </w:tcPr>
          <w:p w14:paraId="0ADDE30C" w14:textId="714D90DB" w:rsidR="005A6352" w:rsidRPr="006E36AE" w:rsidRDefault="00BE1EE9" w:rsidP="005A6352">
            <w:pPr>
              <w:pStyle w:val="Tabletext"/>
              <w:rPr>
                <w:rFonts w:cs="Arial"/>
                <w:bCs/>
                <w:szCs w:val="22"/>
              </w:rPr>
            </w:pPr>
            <w:r>
              <w:rPr>
                <w:rFonts w:cs="Arial"/>
                <w:bCs/>
                <w:szCs w:val="22"/>
              </w:rPr>
              <w:lastRenderedPageBreak/>
              <w:t>6</w:t>
            </w:r>
            <w:r w:rsidR="0037407D">
              <w:rPr>
                <w:rFonts w:cs="Arial"/>
                <w:bCs/>
                <w:szCs w:val="22"/>
              </w:rPr>
              <w:t>1</w:t>
            </w:r>
          </w:p>
        </w:tc>
        <w:tc>
          <w:tcPr>
            <w:tcW w:w="1701" w:type="dxa"/>
          </w:tcPr>
          <w:p w14:paraId="7D5BF40F" w14:textId="2411F926" w:rsidR="005A6352" w:rsidRPr="006E36AE" w:rsidRDefault="005A6352" w:rsidP="005A6352">
            <w:pPr>
              <w:pStyle w:val="Tabletext"/>
              <w:rPr>
                <w:rFonts w:cs="Arial"/>
                <w:bCs/>
                <w:szCs w:val="22"/>
              </w:rPr>
            </w:pPr>
            <w:r w:rsidRPr="006E36AE">
              <w:rPr>
                <w:rFonts w:cs="Arial"/>
                <w:bCs/>
                <w:szCs w:val="22"/>
              </w:rPr>
              <w:t>National Rheumatoid Arthritis Society</w:t>
            </w:r>
          </w:p>
        </w:tc>
        <w:tc>
          <w:tcPr>
            <w:tcW w:w="1985" w:type="dxa"/>
          </w:tcPr>
          <w:p w14:paraId="4BAEE633" w14:textId="608FF481" w:rsidR="005A6352" w:rsidRPr="006E36AE" w:rsidRDefault="005A6352" w:rsidP="005A6352">
            <w:pPr>
              <w:pStyle w:val="Tabletext"/>
              <w:rPr>
                <w:rFonts w:cs="Arial"/>
                <w:bCs/>
                <w:szCs w:val="22"/>
              </w:rPr>
            </w:pPr>
            <w:r w:rsidRPr="006E36AE">
              <w:rPr>
                <w:rFonts w:cs="Arial"/>
                <w:bCs/>
                <w:szCs w:val="22"/>
              </w:rPr>
              <w:t>Training for workforce, especially managers, in how to support employees with long-term conditions/disabilities.</w:t>
            </w:r>
          </w:p>
        </w:tc>
        <w:tc>
          <w:tcPr>
            <w:tcW w:w="3426" w:type="dxa"/>
          </w:tcPr>
          <w:p w14:paraId="0DA3E091"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 xml:space="preserve">Early support can prevent employees with RA/inflammatory arthritis getting to a crisis point necessitating job loss or reduction of hours. </w:t>
            </w:r>
          </w:p>
          <w:p w14:paraId="0FC20B05" w14:textId="62EADD23" w:rsidR="005A6352" w:rsidRPr="006E36AE" w:rsidRDefault="005A6352" w:rsidP="005A6352">
            <w:pPr>
              <w:pStyle w:val="Tabletext"/>
              <w:rPr>
                <w:rFonts w:cs="Arial"/>
                <w:bCs/>
                <w:szCs w:val="22"/>
              </w:rPr>
            </w:pPr>
            <w:r w:rsidRPr="006E36AE">
              <w:rPr>
                <w:rFonts w:cs="Arial"/>
                <w:bCs/>
                <w:szCs w:val="22"/>
              </w:rPr>
              <w:t xml:space="preserve">Appropriate training for line managers in how to identify &amp; support staff suffering from stress or mental health issues should be a priority for most employers. </w:t>
            </w:r>
          </w:p>
        </w:tc>
        <w:tc>
          <w:tcPr>
            <w:tcW w:w="3426" w:type="dxa"/>
          </w:tcPr>
          <w:p w14:paraId="222D8626" w14:textId="673265F9"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In the provisional findings of an employment survey NRAS is running, respondents reported a slight perceived reduction in understanding from their colleagues/employers, from 58% before the lockdown to 54% now.</w:t>
            </w:r>
          </w:p>
        </w:tc>
        <w:tc>
          <w:tcPr>
            <w:tcW w:w="3426" w:type="dxa"/>
          </w:tcPr>
          <w:p w14:paraId="137EEEA1"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Data on this subject is available in the NRAS 2017 Work Survey, accessible at https://www.nras.org.uk/work-survey-2017.</w:t>
            </w:r>
          </w:p>
          <w:p w14:paraId="079562EB" w14:textId="77777777" w:rsidR="005A6352" w:rsidRPr="006E36AE" w:rsidRDefault="005A6352" w:rsidP="005A6352">
            <w:pPr>
              <w:pStyle w:val="Paragraphnonumbers"/>
              <w:spacing w:after="60" w:line="240" w:lineRule="auto"/>
              <w:rPr>
                <w:rFonts w:cs="Arial"/>
                <w:bCs/>
                <w:sz w:val="22"/>
                <w:szCs w:val="22"/>
              </w:rPr>
            </w:pPr>
            <w:r w:rsidRPr="006E36AE">
              <w:rPr>
                <w:rFonts w:cs="Arial"/>
                <w:bCs/>
                <w:sz w:val="22"/>
                <w:szCs w:val="22"/>
              </w:rPr>
              <w:t>NRAS is currently running a work survey and may be able to provide further supporting data once that survey has closed.</w:t>
            </w:r>
          </w:p>
          <w:p w14:paraId="478036A5" w14:textId="77777777" w:rsidR="005A6352" w:rsidRPr="006E36AE" w:rsidRDefault="005A6352" w:rsidP="005A6352">
            <w:pPr>
              <w:spacing w:after="60"/>
              <w:rPr>
                <w:rFonts w:ascii="Arial" w:hAnsi="Arial" w:cs="Arial"/>
                <w:bCs/>
                <w:sz w:val="22"/>
                <w:szCs w:val="22"/>
              </w:rPr>
            </w:pPr>
          </w:p>
        </w:tc>
      </w:tr>
      <w:tr w:rsidR="005A6352" w:rsidRPr="006E36AE" w14:paraId="30AE2B75" w14:textId="77777777" w:rsidTr="007434D8">
        <w:trPr>
          <w:trHeight w:val="282"/>
        </w:trPr>
        <w:tc>
          <w:tcPr>
            <w:tcW w:w="14668" w:type="dxa"/>
            <w:gridSpan w:val="6"/>
          </w:tcPr>
          <w:p w14:paraId="12ADCD6B" w14:textId="2D5686BE" w:rsidR="005A6352" w:rsidRPr="006E36AE" w:rsidRDefault="005A6352" w:rsidP="005A6352">
            <w:pPr>
              <w:pStyle w:val="Tabletitle"/>
              <w:rPr>
                <w:rFonts w:cs="Arial"/>
                <w:szCs w:val="22"/>
              </w:rPr>
            </w:pPr>
            <w:r w:rsidRPr="006E36AE">
              <w:rPr>
                <w:rFonts w:cs="Arial"/>
                <w:szCs w:val="22"/>
              </w:rPr>
              <w:t>Additional area: Covid-19</w:t>
            </w:r>
          </w:p>
        </w:tc>
      </w:tr>
      <w:tr w:rsidR="005A6352" w:rsidRPr="006E36AE" w14:paraId="541BDADB" w14:textId="77777777" w:rsidTr="006E36AE">
        <w:trPr>
          <w:trHeight w:val="282"/>
        </w:trPr>
        <w:tc>
          <w:tcPr>
            <w:tcW w:w="704" w:type="dxa"/>
          </w:tcPr>
          <w:p w14:paraId="24C5FA14" w14:textId="712D9CF6" w:rsidR="005A6352" w:rsidRPr="006E36AE" w:rsidRDefault="00BE1EE9" w:rsidP="005A6352">
            <w:pPr>
              <w:pStyle w:val="Tabletext"/>
              <w:rPr>
                <w:rFonts w:cs="Arial"/>
                <w:bCs/>
                <w:szCs w:val="22"/>
                <w:lang w:eastAsia="en-GB"/>
              </w:rPr>
            </w:pPr>
            <w:r>
              <w:rPr>
                <w:rFonts w:cs="Arial"/>
                <w:bCs/>
                <w:szCs w:val="22"/>
              </w:rPr>
              <w:t>6</w:t>
            </w:r>
            <w:r w:rsidR="0037407D">
              <w:rPr>
                <w:rFonts w:cs="Arial"/>
                <w:bCs/>
                <w:szCs w:val="22"/>
              </w:rPr>
              <w:t>2</w:t>
            </w:r>
          </w:p>
        </w:tc>
        <w:tc>
          <w:tcPr>
            <w:tcW w:w="1701" w:type="dxa"/>
          </w:tcPr>
          <w:p w14:paraId="5A178B2F" w14:textId="2C2D5B28" w:rsidR="005A6352" w:rsidRPr="006E36AE" w:rsidRDefault="005A6352" w:rsidP="005A6352">
            <w:pPr>
              <w:pStyle w:val="Tabletext"/>
              <w:rPr>
                <w:rFonts w:cs="Arial"/>
                <w:bCs/>
                <w:szCs w:val="22"/>
              </w:rPr>
            </w:pPr>
            <w:r w:rsidRPr="006E36AE">
              <w:rPr>
                <w:rFonts w:cs="Arial"/>
                <w:bCs/>
                <w:szCs w:val="22"/>
              </w:rPr>
              <w:t xml:space="preserve">British Society for Rheumatology </w:t>
            </w:r>
          </w:p>
        </w:tc>
        <w:tc>
          <w:tcPr>
            <w:tcW w:w="1985" w:type="dxa"/>
          </w:tcPr>
          <w:p w14:paraId="54437393" w14:textId="4B5C5560" w:rsidR="005A6352" w:rsidRPr="006E36AE" w:rsidRDefault="005A6352" w:rsidP="005A6352">
            <w:pPr>
              <w:pStyle w:val="Tabletext"/>
              <w:rPr>
                <w:rFonts w:cs="Arial"/>
                <w:bCs/>
                <w:szCs w:val="22"/>
              </w:rPr>
            </w:pPr>
            <w:r w:rsidRPr="006E36AE">
              <w:rPr>
                <w:rFonts w:cs="Arial"/>
                <w:bCs/>
                <w:szCs w:val="22"/>
              </w:rPr>
              <w:t xml:space="preserve">We would also like to note the importance of COVID-19 risk assessments at work, as we proceed in the recovery phase with many returning to the </w:t>
            </w:r>
            <w:proofErr w:type="gramStart"/>
            <w:r w:rsidRPr="006E36AE">
              <w:rPr>
                <w:rFonts w:cs="Arial"/>
                <w:bCs/>
                <w:szCs w:val="22"/>
              </w:rPr>
              <w:t>work place</w:t>
            </w:r>
            <w:proofErr w:type="gramEnd"/>
            <w:r w:rsidRPr="006E36AE">
              <w:rPr>
                <w:rFonts w:cs="Arial"/>
                <w:bCs/>
                <w:szCs w:val="22"/>
              </w:rPr>
              <w:t>.</w:t>
            </w:r>
          </w:p>
        </w:tc>
        <w:tc>
          <w:tcPr>
            <w:tcW w:w="3426" w:type="dxa"/>
          </w:tcPr>
          <w:p w14:paraId="3AB59EA7" w14:textId="30442D4D" w:rsidR="005A6352" w:rsidRPr="006E36AE" w:rsidRDefault="005A6352" w:rsidP="005A6352">
            <w:pPr>
              <w:pStyle w:val="Tabletext"/>
              <w:rPr>
                <w:rFonts w:cs="Arial"/>
                <w:bCs/>
                <w:szCs w:val="22"/>
              </w:rPr>
            </w:pPr>
          </w:p>
        </w:tc>
        <w:tc>
          <w:tcPr>
            <w:tcW w:w="3426" w:type="dxa"/>
          </w:tcPr>
          <w:p w14:paraId="649434BF" w14:textId="428AAC41" w:rsidR="005A6352" w:rsidRPr="006E36AE" w:rsidRDefault="005A6352" w:rsidP="005A6352">
            <w:pPr>
              <w:pStyle w:val="Tabletext"/>
              <w:rPr>
                <w:rFonts w:cs="Arial"/>
                <w:bCs/>
                <w:szCs w:val="22"/>
              </w:rPr>
            </w:pPr>
          </w:p>
        </w:tc>
        <w:tc>
          <w:tcPr>
            <w:tcW w:w="3426" w:type="dxa"/>
          </w:tcPr>
          <w:p w14:paraId="24B8798D" w14:textId="5CFF05D0" w:rsidR="005A6352" w:rsidRPr="006E36AE" w:rsidRDefault="005A6352" w:rsidP="005A6352">
            <w:pPr>
              <w:pStyle w:val="Tabletext"/>
              <w:rPr>
                <w:rFonts w:cs="Arial"/>
                <w:bCs/>
                <w:szCs w:val="22"/>
              </w:rPr>
            </w:pPr>
          </w:p>
        </w:tc>
      </w:tr>
      <w:tr w:rsidR="005A6352" w:rsidRPr="006E36AE" w14:paraId="7CFBA5A0" w14:textId="77777777" w:rsidTr="006E36AE">
        <w:trPr>
          <w:trHeight w:val="282"/>
        </w:trPr>
        <w:tc>
          <w:tcPr>
            <w:tcW w:w="704" w:type="dxa"/>
          </w:tcPr>
          <w:p w14:paraId="4BA7EC15" w14:textId="4CF2FB46" w:rsidR="005A6352" w:rsidRPr="006E36AE" w:rsidRDefault="00BE1EE9" w:rsidP="005A6352">
            <w:pPr>
              <w:pStyle w:val="Tabletext"/>
              <w:rPr>
                <w:rFonts w:cs="Arial"/>
                <w:bCs/>
                <w:szCs w:val="22"/>
              </w:rPr>
            </w:pPr>
            <w:r>
              <w:rPr>
                <w:rFonts w:cs="Arial"/>
                <w:bCs/>
                <w:szCs w:val="22"/>
              </w:rPr>
              <w:t>6</w:t>
            </w:r>
            <w:r w:rsidR="0037407D">
              <w:rPr>
                <w:rFonts w:cs="Arial"/>
                <w:bCs/>
                <w:szCs w:val="22"/>
              </w:rPr>
              <w:t>3</w:t>
            </w:r>
          </w:p>
        </w:tc>
        <w:tc>
          <w:tcPr>
            <w:tcW w:w="1701" w:type="dxa"/>
          </w:tcPr>
          <w:p w14:paraId="0418CA62" w14:textId="45AA2FA0"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Fair Treatment for the Women of Wales (FTWW)</w:t>
            </w:r>
          </w:p>
        </w:tc>
        <w:tc>
          <w:tcPr>
            <w:tcW w:w="1985" w:type="dxa"/>
          </w:tcPr>
          <w:p w14:paraId="2CF1F2F4" w14:textId="77777777"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Key area for quality improvement 4</w:t>
            </w:r>
          </w:p>
          <w:p w14:paraId="4618C288" w14:textId="59024EB5"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Guidance and support for those employees affected by post-</w:t>
            </w:r>
            <w:proofErr w:type="spellStart"/>
            <w:r w:rsidRPr="006E36AE">
              <w:rPr>
                <w:rFonts w:ascii="Arial" w:hAnsi="Arial" w:cs="Arial"/>
                <w:bCs/>
                <w:sz w:val="22"/>
                <w:szCs w:val="22"/>
              </w:rPr>
              <w:t>Covid</w:t>
            </w:r>
            <w:proofErr w:type="spellEnd"/>
            <w:r w:rsidRPr="006E36AE">
              <w:rPr>
                <w:rFonts w:ascii="Arial" w:hAnsi="Arial" w:cs="Arial"/>
                <w:bCs/>
                <w:sz w:val="22"/>
                <w:szCs w:val="22"/>
              </w:rPr>
              <w:t xml:space="preserve"> syndrome, </w:t>
            </w:r>
            <w:r w:rsidRPr="006E36AE">
              <w:rPr>
                <w:rFonts w:ascii="Arial" w:hAnsi="Arial" w:cs="Arial"/>
                <w:bCs/>
                <w:sz w:val="22"/>
                <w:szCs w:val="22"/>
              </w:rPr>
              <w:lastRenderedPageBreak/>
              <w:t>and others with a similar post-viral diagnosis</w:t>
            </w:r>
          </w:p>
        </w:tc>
        <w:tc>
          <w:tcPr>
            <w:tcW w:w="3426" w:type="dxa"/>
          </w:tcPr>
          <w:p w14:paraId="3EEBA656" w14:textId="48926E50" w:rsidR="005A6352" w:rsidRPr="006E36AE" w:rsidRDefault="005A6352" w:rsidP="005A6352">
            <w:pPr>
              <w:spacing w:after="60"/>
              <w:rPr>
                <w:rFonts w:ascii="Arial" w:hAnsi="Arial" w:cs="Arial"/>
                <w:bCs/>
                <w:sz w:val="22"/>
                <w:szCs w:val="22"/>
              </w:rPr>
            </w:pPr>
            <w:r w:rsidRPr="006E36AE">
              <w:rPr>
                <w:rFonts w:ascii="Arial" w:hAnsi="Arial" w:cs="Arial"/>
                <w:bCs/>
                <w:sz w:val="22"/>
                <w:szCs w:val="22"/>
              </w:rPr>
              <w:lastRenderedPageBreak/>
              <w:t>An appreciation of the implications of Post-</w:t>
            </w:r>
            <w:proofErr w:type="spellStart"/>
            <w:r w:rsidRPr="006E36AE">
              <w:rPr>
                <w:rFonts w:ascii="Arial" w:hAnsi="Arial" w:cs="Arial"/>
                <w:bCs/>
                <w:sz w:val="22"/>
                <w:szCs w:val="22"/>
              </w:rPr>
              <w:t>Covid</w:t>
            </w:r>
            <w:proofErr w:type="spellEnd"/>
            <w:r w:rsidRPr="006E36AE">
              <w:rPr>
                <w:rFonts w:ascii="Arial" w:hAnsi="Arial" w:cs="Arial"/>
                <w:bCs/>
                <w:sz w:val="22"/>
                <w:szCs w:val="22"/>
              </w:rPr>
              <w:t xml:space="preserve"> fatigue and other symptoms or issues which may present in the medium to longer term after </w:t>
            </w:r>
            <w:proofErr w:type="spellStart"/>
            <w:r w:rsidRPr="006E36AE">
              <w:rPr>
                <w:rFonts w:ascii="Arial" w:hAnsi="Arial" w:cs="Arial"/>
                <w:bCs/>
                <w:sz w:val="22"/>
                <w:szCs w:val="22"/>
              </w:rPr>
              <w:t>Covid</w:t>
            </w:r>
            <w:proofErr w:type="spellEnd"/>
            <w:r w:rsidRPr="006E36AE">
              <w:rPr>
                <w:rFonts w:ascii="Arial" w:hAnsi="Arial" w:cs="Arial"/>
                <w:bCs/>
                <w:sz w:val="22"/>
                <w:szCs w:val="22"/>
              </w:rPr>
              <w:t xml:space="preserve"> infection. This should encompass those people previously diagnosed as having </w:t>
            </w:r>
            <w:r w:rsidRPr="006E36AE">
              <w:rPr>
                <w:rFonts w:ascii="Arial" w:hAnsi="Arial" w:cs="Arial"/>
                <w:bCs/>
                <w:sz w:val="22"/>
                <w:szCs w:val="22"/>
              </w:rPr>
              <w:lastRenderedPageBreak/>
              <w:t xml:space="preserve">Chronic Fatigue Syndrome / </w:t>
            </w:r>
            <w:proofErr w:type="spellStart"/>
            <w:r w:rsidRPr="006E36AE">
              <w:rPr>
                <w:rFonts w:ascii="Arial" w:hAnsi="Arial" w:cs="Arial"/>
                <w:bCs/>
                <w:sz w:val="22"/>
                <w:szCs w:val="22"/>
              </w:rPr>
              <w:t>Myalgic</w:t>
            </w:r>
            <w:proofErr w:type="spellEnd"/>
            <w:r w:rsidRPr="006E36AE">
              <w:rPr>
                <w:rFonts w:ascii="Arial" w:hAnsi="Arial" w:cs="Arial"/>
                <w:bCs/>
                <w:sz w:val="22"/>
                <w:szCs w:val="22"/>
              </w:rPr>
              <w:t xml:space="preserve"> E </w:t>
            </w:r>
            <w:proofErr w:type="spellStart"/>
            <w:r w:rsidRPr="006E36AE">
              <w:rPr>
                <w:rFonts w:ascii="Arial" w:hAnsi="Arial" w:cs="Arial"/>
                <w:bCs/>
                <w:sz w:val="22"/>
                <w:szCs w:val="22"/>
              </w:rPr>
              <w:t>ncephalomyelitis</w:t>
            </w:r>
            <w:proofErr w:type="spellEnd"/>
            <w:r w:rsidRPr="006E36AE">
              <w:rPr>
                <w:rFonts w:ascii="Arial" w:hAnsi="Arial" w:cs="Arial"/>
                <w:bCs/>
                <w:sz w:val="22"/>
                <w:szCs w:val="22"/>
              </w:rPr>
              <w:t xml:space="preserve"> (ME) / fibromyalgia (often after trauma or infection). </w:t>
            </w:r>
          </w:p>
        </w:tc>
        <w:tc>
          <w:tcPr>
            <w:tcW w:w="3426" w:type="dxa"/>
          </w:tcPr>
          <w:p w14:paraId="7158FD4B" w14:textId="349ED6DE" w:rsidR="005A6352" w:rsidRPr="006E36AE" w:rsidRDefault="005A6352" w:rsidP="005A6352">
            <w:pPr>
              <w:spacing w:after="60"/>
              <w:rPr>
                <w:rFonts w:ascii="Arial" w:hAnsi="Arial" w:cs="Arial"/>
                <w:bCs/>
                <w:sz w:val="22"/>
                <w:szCs w:val="22"/>
              </w:rPr>
            </w:pPr>
            <w:r w:rsidRPr="006E36AE">
              <w:rPr>
                <w:rFonts w:ascii="Arial" w:hAnsi="Arial" w:cs="Arial"/>
                <w:bCs/>
                <w:sz w:val="22"/>
                <w:szCs w:val="22"/>
              </w:rPr>
              <w:lastRenderedPageBreak/>
              <w:t xml:space="preserve">For the ‘chronic illness’ community, Covid-19 has been a challenging time, with many having to shield themselves for extended periods; a significant number of these will have been previously diagnosed – or ‘labelled’ – as having medically </w:t>
            </w:r>
            <w:r w:rsidRPr="006E36AE">
              <w:rPr>
                <w:rFonts w:ascii="Arial" w:hAnsi="Arial" w:cs="Arial"/>
                <w:bCs/>
                <w:sz w:val="22"/>
                <w:szCs w:val="22"/>
              </w:rPr>
              <w:lastRenderedPageBreak/>
              <w:t xml:space="preserve">unexplained / functional disorders </w:t>
            </w:r>
            <w:proofErr w:type="spellStart"/>
            <w:r w:rsidRPr="006E36AE">
              <w:rPr>
                <w:rFonts w:ascii="Arial" w:hAnsi="Arial" w:cs="Arial"/>
                <w:bCs/>
                <w:sz w:val="22"/>
                <w:szCs w:val="22"/>
              </w:rPr>
              <w:t>centering</w:t>
            </w:r>
            <w:proofErr w:type="spellEnd"/>
            <w:r w:rsidRPr="006E36AE">
              <w:rPr>
                <w:rFonts w:ascii="Arial" w:hAnsi="Arial" w:cs="Arial"/>
                <w:bCs/>
                <w:sz w:val="22"/>
                <w:szCs w:val="22"/>
              </w:rPr>
              <w:t xml:space="preserve"> around chronic fatigue, widespread pain, and cognitive issues often colloquially described as ‘brain fog’. Up until now, many of those people have reported feeling disbelieved by society at large, unable to maintain employment / forced to take long periods of sickness absence, and unsupported by a healthcare system which has struggled to find solutions. Some of them will have been offered psychological or graded exercise therapies which </w:t>
            </w:r>
            <w:proofErr w:type="gramStart"/>
            <w:r w:rsidRPr="006E36AE">
              <w:rPr>
                <w:rFonts w:ascii="Arial" w:hAnsi="Arial" w:cs="Arial"/>
                <w:bCs/>
                <w:sz w:val="22"/>
                <w:szCs w:val="22"/>
              </w:rPr>
              <w:t>haven’t</w:t>
            </w:r>
            <w:proofErr w:type="gramEnd"/>
            <w:r w:rsidRPr="006E36AE">
              <w:rPr>
                <w:rFonts w:ascii="Arial" w:hAnsi="Arial" w:cs="Arial"/>
                <w:bCs/>
                <w:sz w:val="22"/>
                <w:szCs w:val="22"/>
              </w:rPr>
              <w:t xml:space="preserve"> always provided relief and, in some instances, exacerbated symptoms. </w:t>
            </w:r>
            <w:r w:rsidRPr="006E36AE">
              <w:rPr>
                <w:rFonts w:ascii="Arial" w:hAnsi="Arial" w:cs="Arial"/>
                <w:bCs/>
                <w:sz w:val="22"/>
                <w:szCs w:val="22"/>
              </w:rPr>
              <w:br/>
            </w:r>
            <w:r w:rsidRPr="006E36AE">
              <w:rPr>
                <w:rFonts w:ascii="Arial" w:hAnsi="Arial" w:cs="Arial"/>
                <w:bCs/>
                <w:sz w:val="22"/>
                <w:szCs w:val="22"/>
              </w:rPr>
              <w:br/>
              <w:t>An interesting development, post-</w:t>
            </w:r>
            <w:proofErr w:type="spellStart"/>
            <w:r w:rsidRPr="006E36AE">
              <w:rPr>
                <w:rFonts w:ascii="Arial" w:hAnsi="Arial" w:cs="Arial"/>
                <w:bCs/>
                <w:sz w:val="22"/>
                <w:szCs w:val="22"/>
              </w:rPr>
              <w:t>Covid</w:t>
            </w:r>
            <w:proofErr w:type="spellEnd"/>
            <w:r w:rsidRPr="006E36AE">
              <w:rPr>
                <w:rFonts w:ascii="Arial" w:hAnsi="Arial" w:cs="Arial"/>
                <w:bCs/>
                <w:sz w:val="22"/>
                <w:szCs w:val="22"/>
              </w:rPr>
              <w:t>, has been the number of people who, having contracted the infection, are now finding recovery problematic – many reporting virtually identical symptoms to CFS / ME / fibromyalgia patients. Given the high profile now rightly being awarded to post-</w:t>
            </w:r>
            <w:proofErr w:type="spellStart"/>
            <w:r w:rsidRPr="006E36AE">
              <w:rPr>
                <w:rFonts w:ascii="Arial" w:hAnsi="Arial" w:cs="Arial"/>
                <w:bCs/>
                <w:sz w:val="22"/>
                <w:szCs w:val="22"/>
              </w:rPr>
              <w:t>Covid</w:t>
            </w:r>
            <w:proofErr w:type="spellEnd"/>
            <w:r w:rsidRPr="006E36AE">
              <w:rPr>
                <w:rFonts w:ascii="Arial" w:hAnsi="Arial" w:cs="Arial"/>
                <w:bCs/>
                <w:sz w:val="22"/>
                <w:szCs w:val="22"/>
              </w:rPr>
              <w:t xml:space="preserve"> syndrome, and the commitment to research into the </w:t>
            </w:r>
            <w:r w:rsidRPr="006E36AE">
              <w:rPr>
                <w:rFonts w:ascii="Arial" w:hAnsi="Arial" w:cs="Arial"/>
                <w:bCs/>
                <w:sz w:val="22"/>
                <w:szCs w:val="22"/>
              </w:rPr>
              <w:lastRenderedPageBreak/>
              <w:t>phenomenon, attention needs to be paid to the development of appropriate treatments and, also, how these people can be accommodated in the workplace or supported to return to it in a person-centred, manageable way.</w:t>
            </w:r>
          </w:p>
        </w:tc>
        <w:tc>
          <w:tcPr>
            <w:tcW w:w="3426" w:type="dxa"/>
          </w:tcPr>
          <w:p w14:paraId="4CA5DA64" w14:textId="77777777" w:rsidR="005A6352" w:rsidRPr="006E36AE" w:rsidRDefault="005A6352" w:rsidP="005A6352">
            <w:pPr>
              <w:spacing w:after="60"/>
              <w:rPr>
                <w:rFonts w:ascii="Arial" w:hAnsi="Arial" w:cs="Arial"/>
                <w:bCs/>
                <w:sz w:val="22"/>
                <w:szCs w:val="22"/>
              </w:rPr>
            </w:pPr>
            <w:r w:rsidRPr="006E36AE">
              <w:rPr>
                <w:rFonts w:ascii="Arial" w:hAnsi="Arial" w:cs="Arial"/>
                <w:bCs/>
                <w:sz w:val="22"/>
                <w:szCs w:val="22"/>
              </w:rPr>
              <w:lastRenderedPageBreak/>
              <w:t>NICE’s data on the costs associated with ME / CFS:</w:t>
            </w:r>
          </w:p>
          <w:p w14:paraId="11B7FCB5" w14:textId="77777777"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https://www.evidence.nhs.uk/document?id=2118210&amp;returnUrl=search%3Fps%3D40%26q%3Ddaycase%2Bsurgery&amp;q=daycase+surgery</w:t>
            </w:r>
          </w:p>
          <w:p w14:paraId="5A665F14" w14:textId="77777777" w:rsidR="005A6352" w:rsidRPr="006E36AE" w:rsidRDefault="005A6352" w:rsidP="005A6352">
            <w:pPr>
              <w:spacing w:after="60"/>
              <w:rPr>
                <w:rFonts w:ascii="Arial" w:hAnsi="Arial" w:cs="Arial"/>
                <w:bCs/>
                <w:sz w:val="22"/>
                <w:szCs w:val="22"/>
              </w:rPr>
            </w:pPr>
            <w:r w:rsidRPr="006E36AE">
              <w:rPr>
                <w:rFonts w:ascii="Arial" w:hAnsi="Arial" w:cs="Arial"/>
                <w:bCs/>
                <w:sz w:val="22"/>
                <w:szCs w:val="22"/>
              </w:rPr>
              <w:lastRenderedPageBreak/>
              <w:t>Patient reaction to The PACE Trial, which recommended Cognitive Behavioural Therapy CBT and / or Graded Exercise Therapy (GET) for ME / CFS: https://www.thelancet.com/journals/lanpsy/article/PIIS2215-0366%2815%2900546-5/fulltext</w:t>
            </w:r>
          </w:p>
          <w:p w14:paraId="245A6C5E" w14:textId="77777777"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The ‘Decode Me’ Study aims to carry out the world’s biggest study of the causes of ME/CFS:</w:t>
            </w:r>
          </w:p>
          <w:p w14:paraId="3BFC0D6B" w14:textId="77777777" w:rsidR="005A6352" w:rsidRPr="006E36AE" w:rsidRDefault="00DF1D4E" w:rsidP="005A6352">
            <w:pPr>
              <w:spacing w:after="60"/>
              <w:rPr>
                <w:rFonts w:ascii="Arial" w:hAnsi="Arial" w:cs="Arial"/>
                <w:bCs/>
                <w:sz w:val="22"/>
                <w:szCs w:val="22"/>
              </w:rPr>
            </w:pPr>
            <w:hyperlink r:id="rId86" w:history="1">
              <w:r w:rsidR="005A6352" w:rsidRPr="006E36AE">
                <w:rPr>
                  <w:rFonts w:ascii="Arial" w:hAnsi="Arial" w:cs="Arial"/>
                  <w:bCs/>
                  <w:sz w:val="22"/>
                  <w:szCs w:val="22"/>
                </w:rPr>
                <w:t>https://www.decodeme.org.uk/</w:t>
              </w:r>
            </w:hyperlink>
          </w:p>
          <w:p w14:paraId="4F9B8F59" w14:textId="77777777"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The BMJ explores implications of post-</w:t>
            </w:r>
            <w:proofErr w:type="spellStart"/>
            <w:r w:rsidRPr="006E36AE">
              <w:rPr>
                <w:rFonts w:ascii="Arial" w:hAnsi="Arial" w:cs="Arial"/>
                <w:bCs/>
                <w:sz w:val="22"/>
                <w:szCs w:val="22"/>
              </w:rPr>
              <w:t>Covid</w:t>
            </w:r>
            <w:proofErr w:type="spellEnd"/>
            <w:r w:rsidRPr="006E36AE">
              <w:rPr>
                <w:rFonts w:ascii="Arial" w:hAnsi="Arial" w:cs="Arial"/>
                <w:bCs/>
                <w:sz w:val="22"/>
                <w:szCs w:val="22"/>
              </w:rPr>
              <w:t xml:space="preserve"> recovery on the workforce: </w:t>
            </w:r>
            <w:hyperlink r:id="rId87" w:history="1">
              <w:r w:rsidRPr="006E36AE">
                <w:rPr>
                  <w:rFonts w:ascii="Arial" w:hAnsi="Arial" w:cs="Arial"/>
                  <w:bCs/>
                  <w:sz w:val="22"/>
                  <w:szCs w:val="22"/>
                </w:rPr>
                <w:t>https://blogs.bmj.com/bmj/2020/06/23/covid-19-prolonged-and-relapsing-course-of-illness-has-implications-for-returning-workers/</w:t>
              </w:r>
            </w:hyperlink>
          </w:p>
          <w:p w14:paraId="1DD71C21" w14:textId="77777777" w:rsidR="005A6352" w:rsidRPr="006E36AE" w:rsidRDefault="005A6352" w:rsidP="005A6352">
            <w:pPr>
              <w:spacing w:after="60"/>
              <w:rPr>
                <w:rFonts w:ascii="Arial" w:hAnsi="Arial" w:cs="Arial"/>
                <w:bCs/>
                <w:sz w:val="22"/>
                <w:szCs w:val="22"/>
              </w:rPr>
            </w:pPr>
          </w:p>
          <w:p w14:paraId="7DFA0E18" w14:textId="77777777" w:rsidR="005A6352" w:rsidRPr="006E36AE" w:rsidRDefault="005A6352" w:rsidP="005A6352">
            <w:pPr>
              <w:spacing w:after="60"/>
              <w:rPr>
                <w:rFonts w:ascii="Arial" w:hAnsi="Arial" w:cs="Arial"/>
                <w:bCs/>
                <w:sz w:val="22"/>
                <w:szCs w:val="22"/>
              </w:rPr>
            </w:pPr>
          </w:p>
        </w:tc>
      </w:tr>
      <w:tr w:rsidR="005A6352" w:rsidRPr="006E36AE" w14:paraId="6452A5A8" w14:textId="77777777" w:rsidTr="006E36AE">
        <w:trPr>
          <w:trHeight w:val="282"/>
        </w:trPr>
        <w:tc>
          <w:tcPr>
            <w:tcW w:w="704" w:type="dxa"/>
          </w:tcPr>
          <w:p w14:paraId="5D0DF584" w14:textId="7F9FB38F" w:rsidR="005A6352" w:rsidRPr="006E36AE" w:rsidRDefault="00BE1EE9" w:rsidP="005A6352">
            <w:pPr>
              <w:pStyle w:val="Tabletext"/>
              <w:rPr>
                <w:rFonts w:cs="Arial"/>
                <w:bCs/>
                <w:szCs w:val="22"/>
              </w:rPr>
            </w:pPr>
            <w:r>
              <w:rPr>
                <w:rFonts w:cs="Arial"/>
                <w:bCs/>
                <w:szCs w:val="22"/>
              </w:rPr>
              <w:lastRenderedPageBreak/>
              <w:t>6</w:t>
            </w:r>
            <w:r w:rsidR="0037407D">
              <w:rPr>
                <w:rFonts w:cs="Arial"/>
                <w:bCs/>
                <w:szCs w:val="22"/>
              </w:rPr>
              <w:t>4</w:t>
            </w:r>
          </w:p>
        </w:tc>
        <w:tc>
          <w:tcPr>
            <w:tcW w:w="1701" w:type="dxa"/>
          </w:tcPr>
          <w:p w14:paraId="7B90B5AC" w14:textId="48877A19"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Royal College of Occupational Therapists</w:t>
            </w:r>
          </w:p>
        </w:tc>
        <w:tc>
          <w:tcPr>
            <w:tcW w:w="1985" w:type="dxa"/>
          </w:tcPr>
          <w:p w14:paraId="1063F7BD" w14:textId="77777777"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Key area for quality improvement 4</w:t>
            </w:r>
          </w:p>
          <w:p w14:paraId="799676D3" w14:textId="6623BB4A"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Prioritisation of implementation of key quality standards regarding increasing levels of unemployment</w:t>
            </w:r>
          </w:p>
        </w:tc>
        <w:tc>
          <w:tcPr>
            <w:tcW w:w="3426" w:type="dxa"/>
          </w:tcPr>
          <w:p w14:paraId="1C5979DC" w14:textId="03D4F77A" w:rsidR="005A6352" w:rsidRPr="006E36AE" w:rsidRDefault="005A6352" w:rsidP="005A6352">
            <w:pPr>
              <w:spacing w:after="60"/>
              <w:rPr>
                <w:rFonts w:ascii="Arial" w:hAnsi="Arial" w:cs="Arial"/>
                <w:bCs/>
                <w:sz w:val="22"/>
                <w:szCs w:val="22"/>
              </w:rPr>
            </w:pPr>
            <w:proofErr w:type="gramStart"/>
            <w:r w:rsidRPr="006E36AE">
              <w:rPr>
                <w:rFonts w:ascii="Arial" w:hAnsi="Arial" w:cs="Arial"/>
                <w:bCs/>
                <w:sz w:val="22"/>
                <w:szCs w:val="22"/>
              </w:rPr>
              <w:t>In light of</w:t>
            </w:r>
            <w:proofErr w:type="gramEnd"/>
            <w:r w:rsidRPr="006E36AE">
              <w:rPr>
                <w:rFonts w:ascii="Arial" w:hAnsi="Arial" w:cs="Arial"/>
                <w:bCs/>
                <w:sz w:val="22"/>
                <w:szCs w:val="22"/>
              </w:rPr>
              <w:t xml:space="preserve"> the Covid-19 pandemic, we have seen an unprecedented doubling in our unemployment rate in four months from approx. 1.5 million to approx. 3 million. </w:t>
            </w:r>
          </w:p>
        </w:tc>
        <w:tc>
          <w:tcPr>
            <w:tcW w:w="3426" w:type="dxa"/>
          </w:tcPr>
          <w:p w14:paraId="2FA4B47B" w14:textId="1C26C4E3"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 xml:space="preserve">As people with a health condition or disability (1.8 –not currently employed) already experience higher rates of unemployment than the general population, we may assume they are also represented at a higher number in those newly unemployed. This would make the information in section 1.8 more pressing and urgent at this </w:t>
            </w:r>
            <w:proofErr w:type="gramStart"/>
            <w:r w:rsidRPr="006E36AE">
              <w:rPr>
                <w:rFonts w:ascii="Arial" w:hAnsi="Arial" w:cs="Arial"/>
                <w:bCs/>
                <w:sz w:val="22"/>
                <w:szCs w:val="22"/>
              </w:rPr>
              <w:t>particular time</w:t>
            </w:r>
            <w:proofErr w:type="gramEnd"/>
            <w:r w:rsidRPr="006E36AE">
              <w:rPr>
                <w:rFonts w:ascii="Arial" w:hAnsi="Arial" w:cs="Arial"/>
                <w:bCs/>
                <w:sz w:val="22"/>
                <w:szCs w:val="22"/>
              </w:rPr>
              <w:t>.</w:t>
            </w:r>
          </w:p>
        </w:tc>
        <w:tc>
          <w:tcPr>
            <w:tcW w:w="3426" w:type="dxa"/>
          </w:tcPr>
          <w:p w14:paraId="5CAC9811" w14:textId="165BE979" w:rsidR="005A6352" w:rsidRPr="006E36AE" w:rsidRDefault="005A6352" w:rsidP="005A6352">
            <w:pPr>
              <w:spacing w:after="60"/>
              <w:rPr>
                <w:rFonts w:ascii="Arial" w:hAnsi="Arial" w:cs="Arial"/>
                <w:bCs/>
                <w:sz w:val="22"/>
                <w:szCs w:val="22"/>
              </w:rPr>
            </w:pPr>
            <w:r w:rsidRPr="006E36AE">
              <w:rPr>
                <w:rFonts w:ascii="Arial" w:hAnsi="Arial" w:cs="Arial"/>
                <w:bCs/>
                <w:sz w:val="22"/>
                <w:szCs w:val="22"/>
              </w:rPr>
              <w:t>The DWP are currently carrying out large randomised controlled trials of the Individual Placement Support model and indeed have many occupational therapists involved in delivering these interventions as part of the trial.</w:t>
            </w:r>
          </w:p>
        </w:tc>
      </w:tr>
    </w:tbl>
    <w:p w14:paraId="021EDFAD" w14:textId="60C6C99D" w:rsidR="00626943" w:rsidRDefault="00626943" w:rsidP="00626943">
      <w:pPr>
        <w:pStyle w:val="Paragraph"/>
      </w:pPr>
    </w:p>
    <w:sectPr w:rsidR="00626943"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32FA5" w14:textId="77777777" w:rsidR="00BE1EE9" w:rsidRDefault="00BE1EE9" w:rsidP="00446BEE">
      <w:r>
        <w:separator/>
      </w:r>
    </w:p>
    <w:p w14:paraId="10C7A4E9" w14:textId="77777777" w:rsidR="00BE1EE9" w:rsidRDefault="00BE1EE9"/>
  </w:endnote>
  <w:endnote w:type="continuationSeparator" w:id="0">
    <w:p w14:paraId="7B0FD0A3" w14:textId="77777777" w:rsidR="00BE1EE9" w:rsidRDefault="00BE1EE9" w:rsidP="00446BEE">
      <w:r>
        <w:continuationSeparator/>
      </w:r>
    </w:p>
    <w:p w14:paraId="28C3E870" w14:textId="77777777" w:rsidR="00BE1EE9" w:rsidRDefault="00BE1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29360" w14:textId="77777777" w:rsidR="00BE1EE9" w:rsidRDefault="00BE1EE9"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2C0AD" w14:textId="77777777" w:rsidR="00BE1EE9" w:rsidRDefault="00BE1EE9">
    <w:pPr>
      <w:pStyle w:val="Footer"/>
      <w:jc w:val="right"/>
    </w:pPr>
    <w:r>
      <w:fldChar w:fldCharType="begin"/>
    </w:r>
    <w:r>
      <w:instrText xml:space="preserve"> PAGE   \* MERGEFORMAT </w:instrText>
    </w:r>
    <w:r>
      <w:fldChar w:fldCharType="separate"/>
    </w:r>
    <w:r>
      <w:rPr>
        <w:noProof/>
      </w:rPr>
      <w:t>1</w:t>
    </w:r>
    <w:r>
      <w:rPr>
        <w:noProof/>
      </w:rPr>
      <w:fldChar w:fldCharType="end"/>
    </w:r>
  </w:p>
  <w:p w14:paraId="25F6A290" w14:textId="77777777" w:rsidR="00BE1EE9" w:rsidRDefault="00BE1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83E0F" w14:textId="77777777" w:rsidR="00BE1EE9" w:rsidRDefault="00BE1EE9" w:rsidP="00446BEE">
      <w:r>
        <w:separator/>
      </w:r>
    </w:p>
    <w:p w14:paraId="2751B2FF" w14:textId="77777777" w:rsidR="00BE1EE9" w:rsidRDefault="00BE1EE9"/>
  </w:footnote>
  <w:footnote w:type="continuationSeparator" w:id="0">
    <w:p w14:paraId="0C16C8F7" w14:textId="77777777" w:rsidR="00BE1EE9" w:rsidRDefault="00BE1EE9" w:rsidP="00446BEE">
      <w:r>
        <w:continuationSeparator/>
      </w:r>
    </w:p>
    <w:p w14:paraId="61286127" w14:textId="77777777" w:rsidR="00BE1EE9" w:rsidRDefault="00BE1EE9"/>
  </w:footnote>
  <w:footnote w:id="1">
    <w:p w14:paraId="678853C9" w14:textId="54B7EFDE" w:rsidR="00BE1EE9" w:rsidRPr="002959E5" w:rsidRDefault="00BE1EE9" w:rsidP="002959E5">
      <w:pPr>
        <w:pStyle w:val="FootnoteText"/>
      </w:pPr>
      <w:r>
        <w:rPr>
          <w:rStyle w:val="FootnoteReference"/>
        </w:rPr>
        <w:footnoteRef/>
      </w:r>
      <w:r>
        <w:t xml:space="preserve"> DWP and DHSC (2019)</w:t>
      </w:r>
      <w:hyperlink r:id="rId1" w:history="1">
        <w:r w:rsidRPr="002959E5">
          <w:rPr>
            <w:rStyle w:val="Hyperlink"/>
          </w:rPr>
          <w:t xml:space="preserve"> Health in the workplace – patterns of sickness absence, employer support and employment retention</w:t>
        </w:r>
      </w:hyperlink>
      <w:r>
        <w:t xml:space="preserve"> </w:t>
      </w:r>
    </w:p>
  </w:footnote>
  <w:footnote w:id="2">
    <w:p w14:paraId="37FA97E6" w14:textId="77777777" w:rsidR="00BE1EE9" w:rsidRPr="006E36AE" w:rsidRDefault="00BE1EE9" w:rsidP="00E96CC3">
      <w:pPr>
        <w:pStyle w:val="FootnoteText"/>
        <w:rPr>
          <w:lang w:val="en-US"/>
        </w:rPr>
      </w:pPr>
      <w:r>
        <w:rPr>
          <w:rStyle w:val="FootnoteReference"/>
        </w:rPr>
        <w:footnoteRef/>
      </w:r>
      <w:r>
        <w:t xml:space="preserve"> </w:t>
      </w:r>
      <w:r>
        <w:rPr>
          <w:lang w:val="en-US"/>
        </w:rPr>
        <w:t xml:space="preserve">Health and Safety Executive, October 2019 </w:t>
      </w:r>
      <w:hyperlink r:id="rId2" w:history="1">
        <w:r w:rsidRPr="00A30F4F">
          <w:rPr>
            <w:rStyle w:val="Hyperlink"/>
            <w:lang w:val="en-US"/>
          </w:rPr>
          <w:t>https://www.hse.gov.uk/statistics/causdis/stress.pdf</w:t>
        </w:r>
      </w:hyperlink>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5AB6"/>
    <w:multiLevelType w:val="hybridMultilevel"/>
    <w:tmpl w:val="61240262"/>
    <w:lvl w:ilvl="0" w:tplc="E5662EC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D5953"/>
    <w:multiLevelType w:val="hybridMultilevel"/>
    <w:tmpl w:val="12106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6434F"/>
    <w:multiLevelType w:val="hybridMultilevel"/>
    <w:tmpl w:val="C6D20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D17990"/>
    <w:multiLevelType w:val="multilevel"/>
    <w:tmpl w:val="D88E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63D26"/>
    <w:multiLevelType w:val="hybridMultilevel"/>
    <w:tmpl w:val="1A00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B3EDB"/>
    <w:multiLevelType w:val="hybridMultilevel"/>
    <w:tmpl w:val="2170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9228E"/>
    <w:multiLevelType w:val="hybridMultilevel"/>
    <w:tmpl w:val="CAF2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7763F"/>
    <w:multiLevelType w:val="hybridMultilevel"/>
    <w:tmpl w:val="45765576"/>
    <w:lvl w:ilvl="0" w:tplc="5E7AF1A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82993"/>
    <w:multiLevelType w:val="hybridMultilevel"/>
    <w:tmpl w:val="31C81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A1926"/>
    <w:multiLevelType w:val="hybridMultilevel"/>
    <w:tmpl w:val="D7A45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A21D7"/>
    <w:multiLevelType w:val="hybridMultilevel"/>
    <w:tmpl w:val="CB2A9798"/>
    <w:lvl w:ilvl="0" w:tplc="0D582EE6">
      <w:start w:val="1"/>
      <w:numFmt w:val="bullet"/>
      <w:lvlText w:val="•"/>
      <w:lvlJc w:val="left"/>
      <w:pPr>
        <w:tabs>
          <w:tab w:val="num" w:pos="720"/>
        </w:tabs>
        <w:ind w:left="720" w:hanging="360"/>
      </w:pPr>
      <w:rPr>
        <w:rFonts w:ascii="Arial" w:hAnsi="Arial" w:hint="default"/>
      </w:rPr>
    </w:lvl>
    <w:lvl w:ilvl="1" w:tplc="A12480C0" w:tentative="1">
      <w:start w:val="1"/>
      <w:numFmt w:val="bullet"/>
      <w:lvlText w:val="•"/>
      <w:lvlJc w:val="left"/>
      <w:pPr>
        <w:tabs>
          <w:tab w:val="num" w:pos="1440"/>
        </w:tabs>
        <w:ind w:left="1440" w:hanging="360"/>
      </w:pPr>
      <w:rPr>
        <w:rFonts w:ascii="Arial" w:hAnsi="Arial" w:hint="default"/>
      </w:rPr>
    </w:lvl>
    <w:lvl w:ilvl="2" w:tplc="DFC07ED4" w:tentative="1">
      <w:start w:val="1"/>
      <w:numFmt w:val="bullet"/>
      <w:lvlText w:val="•"/>
      <w:lvlJc w:val="left"/>
      <w:pPr>
        <w:tabs>
          <w:tab w:val="num" w:pos="2160"/>
        </w:tabs>
        <w:ind w:left="2160" w:hanging="360"/>
      </w:pPr>
      <w:rPr>
        <w:rFonts w:ascii="Arial" w:hAnsi="Arial" w:hint="default"/>
      </w:rPr>
    </w:lvl>
    <w:lvl w:ilvl="3" w:tplc="FF02813C" w:tentative="1">
      <w:start w:val="1"/>
      <w:numFmt w:val="bullet"/>
      <w:lvlText w:val="•"/>
      <w:lvlJc w:val="left"/>
      <w:pPr>
        <w:tabs>
          <w:tab w:val="num" w:pos="2880"/>
        </w:tabs>
        <w:ind w:left="2880" w:hanging="360"/>
      </w:pPr>
      <w:rPr>
        <w:rFonts w:ascii="Arial" w:hAnsi="Arial" w:hint="default"/>
      </w:rPr>
    </w:lvl>
    <w:lvl w:ilvl="4" w:tplc="6E9E2510" w:tentative="1">
      <w:start w:val="1"/>
      <w:numFmt w:val="bullet"/>
      <w:lvlText w:val="•"/>
      <w:lvlJc w:val="left"/>
      <w:pPr>
        <w:tabs>
          <w:tab w:val="num" w:pos="3600"/>
        </w:tabs>
        <w:ind w:left="3600" w:hanging="360"/>
      </w:pPr>
      <w:rPr>
        <w:rFonts w:ascii="Arial" w:hAnsi="Arial" w:hint="default"/>
      </w:rPr>
    </w:lvl>
    <w:lvl w:ilvl="5" w:tplc="298C2A72" w:tentative="1">
      <w:start w:val="1"/>
      <w:numFmt w:val="bullet"/>
      <w:lvlText w:val="•"/>
      <w:lvlJc w:val="left"/>
      <w:pPr>
        <w:tabs>
          <w:tab w:val="num" w:pos="4320"/>
        </w:tabs>
        <w:ind w:left="4320" w:hanging="360"/>
      </w:pPr>
      <w:rPr>
        <w:rFonts w:ascii="Arial" w:hAnsi="Arial" w:hint="default"/>
      </w:rPr>
    </w:lvl>
    <w:lvl w:ilvl="6" w:tplc="BDC81860" w:tentative="1">
      <w:start w:val="1"/>
      <w:numFmt w:val="bullet"/>
      <w:lvlText w:val="•"/>
      <w:lvlJc w:val="left"/>
      <w:pPr>
        <w:tabs>
          <w:tab w:val="num" w:pos="5040"/>
        </w:tabs>
        <w:ind w:left="5040" w:hanging="360"/>
      </w:pPr>
      <w:rPr>
        <w:rFonts w:ascii="Arial" w:hAnsi="Arial" w:hint="default"/>
      </w:rPr>
    </w:lvl>
    <w:lvl w:ilvl="7" w:tplc="9AA2B1F8" w:tentative="1">
      <w:start w:val="1"/>
      <w:numFmt w:val="bullet"/>
      <w:lvlText w:val="•"/>
      <w:lvlJc w:val="left"/>
      <w:pPr>
        <w:tabs>
          <w:tab w:val="num" w:pos="5760"/>
        </w:tabs>
        <w:ind w:left="5760" w:hanging="360"/>
      </w:pPr>
      <w:rPr>
        <w:rFonts w:ascii="Arial" w:hAnsi="Arial" w:hint="default"/>
      </w:rPr>
    </w:lvl>
    <w:lvl w:ilvl="8" w:tplc="071043F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206D6A"/>
    <w:multiLevelType w:val="hybridMultilevel"/>
    <w:tmpl w:val="99A8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860851"/>
    <w:multiLevelType w:val="hybridMultilevel"/>
    <w:tmpl w:val="94643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BFC4A1A"/>
    <w:multiLevelType w:val="hybridMultilevel"/>
    <w:tmpl w:val="1066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0C7B60"/>
    <w:multiLevelType w:val="hybridMultilevel"/>
    <w:tmpl w:val="C16C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190EC7"/>
    <w:multiLevelType w:val="hybridMultilevel"/>
    <w:tmpl w:val="52505C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1DFE43E0"/>
    <w:multiLevelType w:val="hybridMultilevel"/>
    <w:tmpl w:val="7B74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9F55FF"/>
    <w:multiLevelType w:val="hybridMultilevel"/>
    <w:tmpl w:val="D974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9B7DC8"/>
    <w:multiLevelType w:val="multilevel"/>
    <w:tmpl w:val="8BCE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5F5B81"/>
    <w:multiLevelType w:val="hybridMultilevel"/>
    <w:tmpl w:val="5C7E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C066F6"/>
    <w:multiLevelType w:val="hybridMultilevel"/>
    <w:tmpl w:val="7AF6B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9CC3584"/>
    <w:multiLevelType w:val="multilevel"/>
    <w:tmpl w:val="7AFA6020"/>
    <w:lvl w:ilvl="0">
      <w:start w:val="1"/>
      <w:numFmt w:val="decimal"/>
      <w:pStyle w:val="Numberedheading1"/>
      <w:lvlText w:val="%1"/>
      <w:lvlJc w:val="left"/>
      <w:pPr>
        <w:tabs>
          <w:tab w:val="num" w:pos="1418"/>
        </w:tabs>
        <w:ind w:left="1418"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15:restartNumberingAfterBreak="0">
    <w:nsid w:val="32A40053"/>
    <w:multiLevelType w:val="hybridMultilevel"/>
    <w:tmpl w:val="2082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E74F10"/>
    <w:multiLevelType w:val="hybridMultilevel"/>
    <w:tmpl w:val="D03A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7D4416"/>
    <w:multiLevelType w:val="hybridMultilevel"/>
    <w:tmpl w:val="7B362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B27DA1"/>
    <w:multiLevelType w:val="hybridMultilevel"/>
    <w:tmpl w:val="DFC8B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6F46333"/>
    <w:multiLevelType w:val="hybridMultilevel"/>
    <w:tmpl w:val="C2E6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FD4305"/>
    <w:multiLevelType w:val="hybridMultilevel"/>
    <w:tmpl w:val="98326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EA39BE"/>
    <w:multiLevelType w:val="hybridMultilevel"/>
    <w:tmpl w:val="F070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F00D3F"/>
    <w:multiLevelType w:val="hybridMultilevel"/>
    <w:tmpl w:val="3E581B06"/>
    <w:lvl w:ilvl="0" w:tplc="BBB0CF08">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0" w15:restartNumberingAfterBreak="0">
    <w:nsid w:val="38FE18E2"/>
    <w:multiLevelType w:val="hybridMultilevel"/>
    <w:tmpl w:val="9C44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5C1FED"/>
    <w:multiLevelType w:val="hybridMultilevel"/>
    <w:tmpl w:val="1AC6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E4B1000"/>
    <w:multiLevelType w:val="multilevel"/>
    <w:tmpl w:val="F7226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0D2250"/>
    <w:multiLevelType w:val="hybridMultilevel"/>
    <w:tmpl w:val="54EC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4A648A"/>
    <w:multiLevelType w:val="hybridMultilevel"/>
    <w:tmpl w:val="7C72B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7673C0"/>
    <w:multiLevelType w:val="multilevel"/>
    <w:tmpl w:val="C476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9609F7"/>
    <w:multiLevelType w:val="hybridMultilevel"/>
    <w:tmpl w:val="F616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790D6B"/>
    <w:multiLevelType w:val="hybridMultilevel"/>
    <w:tmpl w:val="D70A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943C34"/>
    <w:multiLevelType w:val="hybridMultilevel"/>
    <w:tmpl w:val="A72E0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5E76C2"/>
    <w:multiLevelType w:val="hybridMultilevel"/>
    <w:tmpl w:val="808E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9F05E9"/>
    <w:multiLevelType w:val="hybridMultilevel"/>
    <w:tmpl w:val="B364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634265"/>
    <w:multiLevelType w:val="hybridMultilevel"/>
    <w:tmpl w:val="A94E9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1825C2"/>
    <w:multiLevelType w:val="hybridMultilevel"/>
    <w:tmpl w:val="9834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403CD7"/>
    <w:multiLevelType w:val="hybridMultilevel"/>
    <w:tmpl w:val="52E6CEF2"/>
    <w:lvl w:ilvl="0" w:tplc="97448C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235EC3"/>
    <w:multiLevelType w:val="hybridMultilevel"/>
    <w:tmpl w:val="78666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29121E"/>
    <w:multiLevelType w:val="hybridMultilevel"/>
    <w:tmpl w:val="854E7454"/>
    <w:lvl w:ilvl="0" w:tplc="5D8AF0BE">
      <w:start w:val="1"/>
      <w:numFmt w:val="bullet"/>
      <w:lvlText w:val="•"/>
      <w:lvlJc w:val="left"/>
      <w:pPr>
        <w:tabs>
          <w:tab w:val="num" w:pos="720"/>
        </w:tabs>
        <w:ind w:left="720" w:hanging="360"/>
      </w:pPr>
      <w:rPr>
        <w:rFonts w:ascii="Arial" w:hAnsi="Arial" w:hint="default"/>
      </w:rPr>
    </w:lvl>
    <w:lvl w:ilvl="1" w:tplc="538A34EE" w:tentative="1">
      <w:start w:val="1"/>
      <w:numFmt w:val="bullet"/>
      <w:lvlText w:val="•"/>
      <w:lvlJc w:val="left"/>
      <w:pPr>
        <w:tabs>
          <w:tab w:val="num" w:pos="1440"/>
        </w:tabs>
        <w:ind w:left="1440" w:hanging="360"/>
      </w:pPr>
      <w:rPr>
        <w:rFonts w:ascii="Arial" w:hAnsi="Arial" w:hint="default"/>
      </w:rPr>
    </w:lvl>
    <w:lvl w:ilvl="2" w:tplc="F40AC5BA" w:tentative="1">
      <w:start w:val="1"/>
      <w:numFmt w:val="bullet"/>
      <w:lvlText w:val="•"/>
      <w:lvlJc w:val="left"/>
      <w:pPr>
        <w:tabs>
          <w:tab w:val="num" w:pos="2160"/>
        </w:tabs>
        <w:ind w:left="2160" w:hanging="360"/>
      </w:pPr>
      <w:rPr>
        <w:rFonts w:ascii="Arial" w:hAnsi="Arial" w:hint="default"/>
      </w:rPr>
    </w:lvl>
    <w:lvl w:ilvl="3" w:tplc="14C08900" w:tentative="1">
      <w:start w:val="1"/>
      <w:numFmt w:val="bullet"/>
      <w:lvlText w:val="•"/>
      <w:lvlJc w:val="left"/>
      <w:pPr>
        <w:tabs>
          <w:tab w:val="num" w:pos="2880"/>
        </w:tabs>
        <w:ind w:left="2880" w:hanging="360"/>
      </w:pPr>
      <w:rPr>
        <w:rFonts w:ascii="Arial" w:hAnsi="Arial" w:hint="default"/>
      </w:rPr>
    </w:lvl>
    <w:lvl w:ilvl="4" w:tplc="69D22056" w:tentative="1">
      <w:start w:val="1"/>
      <w:numFmt w:val="bullet"/>
      <w:lvlText w:val="•"/>
      <w:lvlJc w:val="left"/>
      <w:pPr>
        <w:tabs>
          <w:tab w:val="num" w:pos="3600"/>
        </w:tabs>
        <w:ind w:left="3600" w:hanging="360"/>
      </w:pPr>
      <w:rPr>
        <w:rFonts w:ascii="Arial" w:hAnsi="Arial" w:hint="default"/>
      </w:rPr>
    </w:lvl>
    <w:lvl w:ilvl="5" w:tplc="E58CCE8C" w:tentative="1">
      <w:start w:val="1"/>
      <w:numFmt w:val="bullet"/>
      <w:lvlText w:val="•"/>
      <w:lvlJc w:val="left"/>
      <w:pPr>
        <w:tabs>
          <w:tab w:val="num" w:pos="4320"/>
        </w:tabs>
        <w:ind w:left="4320" w:hanging="360"/>
      </w:pPr>
      <w:rPr>
        <w:rFonts w:ascii="Arial" w:hAnsi="Arial" w:hint="default"/>
      </w:rPr>
    </w:lvl>
    <w:lvl w:ilvl="6" w:tplc="8C5638BE" w:tentative="1">
      <w:start w:val="1"/>
      <w:numFmt w:val="bullet"/>
      <w:lvlText w:val="•"/>
      <w:lvlJc w:val="left"/>
      <w:pPr>
        <w:tabs>
          <w:tab w:val="num" w:pos="5040"/>
        </w:tabs>
        <w:ind w:left="5040" w:hanging="360"/>
      </w:pPr>
      <w:rPr>
        <w:rFonts w:ascii="Arial" w:hAnsi="Arial" w:hint="default"/>
      </w:rPr>
    </w:lvl>
    <w:lvl w:ilvl="7" w:tplc="4C860E4C" w:tentative="1">
      <w:start w:val="1"/>
      <w:numFmt w:val="bullet"/>
      <w:lvlText w:val="•"/>
      <w:lvlJc w:val="left"/>
      <w:pPr>
        <w:tabs>
          <w:tab w:val="num" w:pos="5760"/>
        </w:tabs>
        <w:ind w:left="5760" w:hanging="360"/>
      </w:pPr>
      <w:rPr>
        <w:rFonts w:ascii="Arial" w:hAnsi="Arial" w:hint="default"/>
      </w:rPr>
    </w:lvl>
    <w:lvl w:ilvl="8" w:tplc="D2CEB466"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4487AE6"/>
    <w:multiLevelType w:val="hybridMultilevel"/>
    <w:tmpl w:val="85323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497528F"/>
    <w:multiLevelType w:val="hybridMultilevel"/>
    <w:tmpl w:val="6F0C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2C1E2C"/>
    <w:multiLevelType w:val="hybridMultilevel"/>
    <w:tmpl w:val="8D98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52" w15:restartNumberingAfterBreak="0">
    <w:nsid w:val="69B80E91"/>
    <w:multiLevelType w:val="hybridMultilevel"/>
    <w:tmpl w:val="390C0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9C570AE"/>
    <w:multiLevelType w:val="hybridMultilevel"/>
    <w:tmpl w:val="424255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4" w15:restartNumberingAfterBreak="0">
    <w:nsid w:val="6A0C2F8B"/>
    <w:multiLevelType w:val="hybridMultilevel"/>
    <w:tmpl w:val="27F89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DB80629"/>
    <w:multiLevelType w:val="hybridMultilevel"/>
    <w:tmpl w:val="0F988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AB4F41"/>
    <w:multiLevelType w:val="hybridMultilevel"/>
    <w:tmpl w:val="90F8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3BC4C4E"/>
    <w:multiLevelType w:val="hybridMultilevel"/>
    <w:tmpl w:val="1F7E8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ED7C50"/>
    <w:multiLevelType w:val="hybridMultilevel"/>
    <w:tmpl w:val="CB8C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F942C11"/>
    <w:multiLevelType w:val="hybridMultilevel"/>
    <w:tmpl w:val="6DE2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1"/>
  </w:num>
  <w:num w:numId="3">
    <w:abstractNumId w:val="29"/>
  </w:num>
  <w:num w:numId="4">
    <w:abstractNumId w:val="32"/>
  </w:num>
  <w:num w:numId="5">
    <w:abstractNumId w:val="49"/>
  </w:num>
  <w:num w:numId="6">
    <w:abstractNumId w:val="4"/>
  </w:num>
  <w:num w:numId="7">
    <w:abstractNumId w:val="53"/>
  </w:num>
  <w:num w:numId="8">
    <w:abstractNumId w:val="40"/>
  </w:num>
  <w:num w:numId="9">
    <w:abstractNumId w:val="15"/>
  </w:num>
  <w:num w:numId="10">
    <w:abstractNumId w:val="33"/>
  </w:num>
  <w:num w:numId="11">
    <w:abstractNumId w:val="3"/>
  </w:num>
  <w:num w:numId="12">
    <w:abstractNumId w:val="16"/>
  </w:num>
  <w:num w:numId="13">
    <w:abstractNumId w:val="50"/>
  </w:num>
  <w:num w:numId="14">
    <w:abstractNumId w:val="30"/>
  </w:num>
  <w:num w:numId="15">
    <w:abstractNumId w:val="11"/>
  </w:num>
  <w:num w:numId="16">
    <w:abstractNumId w:val="0"/>
  </w:num>
  <w:num w:numId="17">
    <w:abstractNumId w:val="34"/>
  </w:num>
  <w:num w:numId="18">
    <w:abstractNumId w:val="42"/>
  </w:num>
  <w:num w:numId="19">
    <w:abstractNumId w:val="37"/>
  </w:num>
  <w:num w:numId="20">
    <w:abstractNumId w:val="24"/>
  </w:num>
  <w:num w:numId="21">
    <w:abstractNumId w:val="57"/>
  </w:num>
  <w:num w:numId="22">
    <w:abstractNumId w:val="59"/>
  </w:num>
  <w:num w:numId="23">
    <w:abstractNumId w:val="5"/>
  </w:num>
  <w:num w:numId="24">
    <w:abstractNumId w:val="19"/>
  </w:num>
  <w:num w:numId="25">
    <w:abstractNumId w:val="17"/>
  </w:num>
  <w:num w:numId="26">
    <w:abstractNumId w:val="23"/>
  </w:num>
  <w:num w:numId="27">
    <w:abstractNumId w:val="39"/>
  </w:num>
  <w:num w:numId="28">
    <w:abstractNumId w:val="8"/>
  </w:num>
  <w:num w:numId="29">
    <w:abstractNumId w:val="56"/>
  </w:num>
  <w:num w:numId="30">
    <w:abstractNumId w:val="38"/>
  </w:num>
  <w:num w:numId="31">
    <w:abstractNumId w:val="35"/>
  </w:num>
  <w:num w:numId="32">
    <w:abstractNumId w:val="41"/>
  </w:num>
  <w:num w:numId="33">
    <w:abstractNumId w:val="26"/>
  </w:num>
  <w:num w:numId="34">
    <w:abstractNumId w:val="31"/>
  </w:num>
  <w:num w:numId="35">
    <w:abstractNumId w:val="28"/>
  </w:num>
  <w:num w:numId="36">
    <w:abstractNumId w:val="44"/>
  </w:num>
  <w:num w:numId="37">
    <w:abstractNumId w:val="46"/>
  </w:num>
  <w:num w:numId="38">
    <w:abstractNumId w:val="22"/>
  </w:num>
  <w:num w:numId="39">
    <w:abstractNumId w:val="54"/>
  </w:num>
  <w:num w:numId="40">
    <w:abstractNumId w:val="6"/>
  </w:num>
  <w:num w:numId="41">
    <w:abstractNumId w:val="1"/>
  </w:num>
  <w:num w:numId="42">
    <w:abstractNumId w:val="45"/>
  </w:num>
  <w:num w:numId="43">
    <w:abstractNumId w:val="2"/>
  </w:num>
  <w:num w:numId="44">
    <w:abstractNumId w:val="7"/>
  </w:num>
  <w:num w:numId="45">
    <w:abstractNumId w:val="9"/>
  </w:num>
  <w:num w:numId="46">
    <w:abstractNumId w:val="20"/>
  </w:num>
  <w:num w:numId="47">
    <w:abstractNumId w:val="52"/>
  </w:num>
  <w:num w:numId="48">
    <w:abstractNumId w:val="36"/>
  </w:num>
  <w:num w:numId="49">
    <w:abstractNumId w:val="13"/>
  </w:num>
  <w:num w:numId="50">
    <w:abstractNumId w:val="14"/>
  </w:num>
  <w:num w:numId="51">
    <w:abstractNumId w:val="43"/>
  </w:num>
  <w:num w:numId="52">
    <w:abstractNumId w:val="25"/>
  </w:num>
  <w:num w:numId="53">
    <w:abstractNumId w:val="12"/>
  </w:num>
  <w:num w:numId="54">
    <w:abstractNumId w:val="47"/>
  </w:num>
  <w:num w:numId="55">
    <w:abstractNumId w:val="10"/>
  </w:num>
  <w:num w:numId="56">
    <w:abstractNumId w:val="58"/>
  </w:num>
  <w:num w:numId="57">
    <w:abstractNumId w:val="18"/>
  </w:num>
  <w:num w:numId="58">
    <w:abstractNumId w:val="48"/>
  </w:num>
  <w:num w:numId="59">
    <w:abstractNumId w:val="55"/>
  </w:num>
  <w:num w:numId="60">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DA6927"/>
    <w:rsid w:val="0000482A"/>
    <w:rsid w:val="00006509"/>
    <w:rsid w:val="000077EE"/>
    <w:rsid w:val="0001067F"/>
    <w:rsid w:val="000109F1"/>
    <w:rsid w:val="00011EBF"/>
    <w:rsid w:val="00012446"/>
    <w:rsid w:val="0001284E"/>
    <w:rsid w:val="00012958"/>
    <w:rsid w:val="00013315"/>
    <w:rsid w:val="0001392D"/>
    <w:rsid w:val="00014ECB"/>
    <w:rsid w:val="000158CB"/>
    <w:rsid w:val="00021BF3"/>
    <w:rsid w:val="000227E2"/>
    <w:rsid w:val="000241C3"/>
    <w:rsid w:val="0002445C"/>
    <w:rsid w:val="00024D0A"/>
    <w:rsid w:val="00026B56"/>
    <w:rsid w:val="000304D4"/>
    <w:rsid w:val="00031277"/>
    <w:rsid w:val="0003252C"/>
    <w:rsid w:val="0004009D"/>
    <w:rsid w:val="00040A87"/>
    <w:rsid w:val="00040B71"/>
    <w:rsid w:val="00040E52"/>
    <w:rsid w:val="00043D1B"/>
    <w:rsid w:val="00043F74"/>
    <w:rsid w:val="000447EC"/>
    <w:rsid w:val="00046804"/>
    <w:rsid w:val="000478F6"/>
    <w:rsid w:val="0005195E"/>
    <w:rsid w:val="00052C6A"/>
    <w:rsid w:val="00053CB8"/>
    <w:rsid w:val="000549EA"/>
    <w:rsid w:val="00055399"/>
    <w:rsid w:val="00056D68"/>
    <w:rsid w:val="00056D75"/>
    <w:rsid w:val="000604CD"/>
    <w:rsid w:val="00060C31"/>
    <w:rsid w:val="0006134B"/>
    <w:rsid w:val="00061961"/>
    <w:rsid w:val="000638D2"/>
    <w:rsid w:val="00063E38"/>
    <w:rsid w:val="00064819"/>
    <w:rsid w:val="00065914"/>
    <w:rsid w:val="00070065"/>
    <w:rsid w:val="000703C8"/>
    <w:rsid w:val="00070F91"/>
    <w:rsid w:val="000750FD"/>
    <w:rsid w:val="00075A7E"/>
    <w:rsid w:val="0007740A"/>
    <w:rsid w:val="000806D1"/>
    <w:rsid w:val="00080ED4"/>
    <w:rsid w:val="00081716"/>
    <w:rsid w:val="00081B14"/>
    <w:rsid w:val="00086C0D"/>
    <w:rsid w:val="00090881"/>
    <w:rsid w:val="0009179A"/>
    <w:rsid w:val="00091BE3"/>
    <w:rsid w:val="00094505"/>
    <w:rsid w:val="00095B40"/>
    <w:rsid w:val="0009709D"/>
    <w:rsid w:val="000A007F"/>
    <w:rsid w:val="000A03CC"/>
    <w:rsid w:val="000A085C"/>
    <w:rsid w:val="000A1D82"/>
    <w:rsid w:val="000A1F76"/>
    <w:rsid w:val="000A2825"/>
    <w:rsid w:val="000A2859"/>
    <w:rsid w:val="000A2F07"/>
    <w:rsid w:val="000A6C16"/>
    <w:rsid w:val="000A77DD"/>
    <w:rsid w:val="000B0C4D"/>
    <w:rsid w:val="000B3693"/>
    <w:rsid w:val="000B588C"/>
    <w:rsid w:val="000B5939"/>
    <w:rsid w:val="000B76F8"/>
    <w:rsid w:val="000C01C6"/>
    <w:rsid w:val="000C135B"/>
    <w:rsid w:val="000C389A"/>
    <w:rsid w:val="000C3BD7"/>
    <w:rsid w:val="000C5484"/>
    <w:rsid w:val="000C6195"/>
    <w:rsid w:val="000D09A9"/>
    <w:rsid w:val="000D0E0E"/>
    <w:rsid w:val="000D3561"/>
    <w:rsid w:val="000D48CF"/>
    <w:rsid w:val="000D6F9B"/>
    <w:rsid w:val="000D7213"/>
    <w:rsid w:val="000D78A9"/>
    <w:rsid w:val="000D7F66"/>
    <w:rsid w:val="000E0B99"/>
    <w:rsid w:val="000E11B2"/>
    <w:rsid w:val="000E1203"/>
    <w:rsid w:val="000E326B"/>
    <w:rsid w:val="000E34F7"/>
    <w:rsid w:val="000E401D"/>
    <w:rsid w:val="000E44DF"/>
    <w:rsid w:val="000E52DC"/>
    <w:rsid w:val="000E6AF0"/>
    <w:rsid w:val="000E7129"/>
    <w:rsid w:val="000F03DD"/>
    <w:rsid w:val="000F2919"/>
    <w:rsid w:val="000F2E75"/>
    <w:rsid w:val="000F32F7"/>
    <w:rsid w:val="000F45D3"/>
    <w:rsid w:val="000F77C9"/>
    <w:rsid w:val="000F7811"/>
    <w:rsid w:val="0010168A"/>
    <w:rsid w:val="0010218E"/>
    <w:rsid w:val="001044F8"/>
    <w:rsid w:val="001078C7"/>
    <w:rsid w:val="00111379"/>
    <w:rsid w:val="001134E7"/>
    <w:rsid w:val="00113D4E"/>
    <w:rsid w:val="00114F2A"/>
    <w:rsid w:val="00120936"/>
    <w:rsid w:val="0012302C"/>
    <w:rsid w:val="00123A4A"/>
    <w:rsid w:val="0012414A"/>
    <w:rsid w:val="00124A83"/>
    <w:rsid w:val="00124B94"/>
    <w:rsid w:val="0012636D"/>
    <w:rsid w:val="001264B0"/>
    <w:rsid w:val="00127583"/>
    <w:rsid w:val="00127B6D"/>
    <w:rsid w:val="001304F2"/>
    <w:rsid w:val="00130DF7"/>
    <w:rsid w:val="0013205D"/>
    <w:rsid w:val="00132C51"/>
    <w:rsid w:val="0013437C"/>
    <w:rsid w:val="00134FDA"/>
    <w:rsid w:val="0013560A"/>
    <w:rsid w:val="0013658C"/>
    <w:rsid w:val="00137991"/>
    <w:rsid w:val="00137DE8"/>
    <w:rsid w:val="00137F31"/>
    <w:rsid w:val="001406AD"/>
    <w:rsid w:val="00140C3A"/>
    <w:rsid w:val="00141CA0"/>
    <w:rsid w:val="00141D9C"/>
    <w:rsid w:val="001431DF"/>
    <w:rsid w:val="00145BDB"/>
    <w:rsid w:val="001524B1"/>
    <w:rsid w:val="00153DAC"/>
    <w:rsid w:val="00154BEC"/>
    <w:rsid w:val="00155CA1"/>
    <w:rsid w:val="0016506B"/>
    <w:rsid w:val="00165C83"/>
    <w:rsid w:val="00170680"/>
    <w:rsid w:val="00171399"/>
    <w:rsid w:val="0017169E"/>
    <w:rsid w:val="00171A41"/>
    <w:rsid w:val="00173C82"/>
    <w:rsid w:val="001753FE"/>
    <w:rsid w:val="00180E49"/>
    <w:rsid w:val="001826C9"/>
    <w:rsid w:val="00182EE1"/>
    <w:rsid w:val="00184409"/>
    <w:rsid w:val="00185C85"/>
    <w:rsid w:val="001901BB"/>
    <w:rsid w:val="001902D3"/>
    <w:rsid w:val="00190C0B"/>
    <w:rsid w:val="00193002"/>
    <w:rsid w:val="001937B1"/>
    <w:rsid w:val="00194435"/>
    <w:rsid w:val="00195D02"/>
    <w:rsid w:val="0019718E"/>
    <w:rsid w:val="001A0354"/>
    <w:rsid w:val="001A2072"/>
    <w:rsid w:val="001A230A"/>
    <w:rsid w:val="001A23E4"/>
    <w:rsid w:val="001A481C"/>
    <w:rsid w:val="001A528A"/>
    <w:rsid w:val="001A542E"/>
    <w:rsid w:val="001A5435"/>
    <w:rsid w:val="001A5F04"/>
    <w:rsid w:val="001A6F0E"/>
    <w:rsid w:val="001A7E1A"/>
    <w:rsid w:val="001B0B96"/>
    <w:rsid w:val="001B10FA"/>
    <w:rsid w:val="001B3D51"/>
    <w:rsid w:val="001B4362"/>
    <w:rsid w:val="001B65B3"/>
    <w:rsid w:val="001B6602"/>
    <w:rsid w:val="001B69FF"/>
    <w:rsid w:val="001B6D37"/>
    <w:rsid w:val="001B7CC4"/>
    <w:rsid w:val="001C217D"/>
    <w:rsid w:val="001C4B9B"/>
    <w:rsid w:val="001C61A2"/>
    <w:rsid w:val="001C7AC5"/>
    <w:rsid w:val="001D0D6B"/>
    <w:rsid w:val="001D2208"/>
    <w:rsid w:val="001D256F"/>
    <w:rsid w:val="001D3BAE"/>
    <w:rsid w:val="001D510F"/>
    <w:rsid w:val="001D789C"/>
    <w:rsid w:val="001D7EC8"/>
    <w:rsid w:val="001E3565"/>
    <w:rsid w:val="001E3574"/>
    <w:rsid w:val="001E44BA"/>
    <w:rsid w:val="001E5740"/>
    <w:rsid w:val="001E7267"/>
    <w:rsid w:val="001F060B"/>
    <w:rsid w:val="001F2FA2"/>
    <w:rsid w:val="001F3DAC"/>
    <w:rsid w:val="001F4FA4"/>
    <w:rsid w:val="001F50A4"/>
    <w:rsid w:val="001F5655"/>
    <w:rsid w:val="001F677F"/>
    <w:rsid w:val="001F786A"/>
    <w:rsid w:val="00202B9D"/>
    <w:rsid w:val="00203B2D"/>
    <w:rsid w:val="00203D17"/>
    <w:rsid w:val="0020691A"/>
    <w:rsid w:val="00211174"/>
    <w:rsid w:val="0021273B"/>
    <w:rsid w:val="002146D9"/>
    <w:rsid w:val="00215A7F"/>
    <w:rsid w:val="00216965"/>
    <w:rsid w:val="00222D0F"/>
    <w:rsid w:val="002235F1"/>
    <w:rsid w:val="00223E15"/>
    <w:rsid w:val="002241EC"/>
    <w:rsid w:val="00225730"/>
    <w:rsid w:val="00230249"/>
    <w:rsid w:val="002321B3"/>
    <w:rsid w:val="0023376A"/>
    <w:rsid w:val="00237E01"/>
    <w:rsid w:val="002408EA"/>
    <w:rsid w:val="002437B2"/>
    <w:rsid w:val="00250115"/>
    <w:rsid w:val="0025206D"/>
    <w:rsid w:val="00253773"/>
    <w:rsid w:val="00254113"/>
    <w:rsid w:val="00254C0B"/>
    <w:rsid w:val="00255F77"/>
    <w:rsid w:val="002578E4"/>
    <w:rsid w:val="0026302E"/>
    <w:rsid w:val="00263614"/>
    <w:rsid w:val="00263A98"/>
    <w:rsid w:val="002641FE"/>
    <w:rsid w:val="00265A34"/>
    <w:rsid w:val="00266AD4"/>
    <w:rsid w:val="00267D60"/>
    <w:rsid w:val="00270605"/>
    <w:rsid w:val="00270E94"/>
    <w:rsid w:val="0027103E"/>
    <w:rsid w:val="00271885"/>
    <w:rsid w:val="00274119"/>
    <w:rsid w:val="00276267"/>
    <w:rsid w:val="00276A95"/>
    <w:rsid w:val="00277952"/>
    <w:rsid w:val="00277A2D"/>
    <w:rsid w:val="00282250"/>
    <w:rsid w:val="00282C5B"/>
    <w:rsid w:val="00285183"/>
    <w:rsid w:val="00290B5B"/>
    <w:rsid w:val="0029335E"/>
    <w:rsid w:val="00293B5A"/>
    <w:rsid w:val="002959E5"/>
    <w:rsid w:val="00296096"/>
    <w:rsid w:val="00296372"/>
    <w:rsid w:val="002A0E3E"/>
    <w:rsid w:val="002A2D00"/>
    <w:rsid w:val="002A511E"/>
    <w:rsid w:val="002A52EE"/>
    <w:rsid w:val="002A5BF4"/>
    <w:rsid w:val="002A665B"/>
    <w:rsid w:val="002A6CFB"/>
    <w:rsid w:val="002A77D6"/>
    <w:rsid w:val="002B019F"/>
    <w:rsid w:val="002B0CA5"/>
    <w:rsid w:val="002B28FB"/>
    <w:rsid w:val="002B5A6E"/>
    <w:rsid w:val="002B6109"/>
    <w:rsid w:val="002B61C4"/>
    <w:rsid w:val="002B6862"/>
    <w:rsid w:val="002B6A12"/>
    <w:rsid w:val="002C0CCC"/>
    <w:rsid w:val="002C13B0"/>
    <w:rsid w:val="002C1A7E"/>
    <w:rsid w:val="002C2447"/>
    <w:rsid w:val="002C296A"/>
    <w:rsid w:val="002C3AFC"/>
    <w:rsid w:val="002C783B"/>
    <w:rsid w:val="002C7BF6"/>
    <w:rsid w:val="002D0382"/>
    <w:rsid w:val="002D06B9"/>
    <w:rsid w:val="002D0A3B"/>
    <w:rsid w:val="002D1A12"/>
    <w:rsid w:val="002D22B1"/>
    <w:rsid w:val="002E0F65"/>
    <w:rsid w:val="002E1493"/>
    <w:rsid w:val="002E4721"/>
    <w:rsid w:val="002E7460"/>
    <w:rsid w:val="002E74A3"/>
    <w:rsid w:val="002E7696"/>
    <w:rsid w:val="002F0519"/>
    <w:rsid w:val="002F2EEF"/>
    <w:rsid w:val="002F3295"/>
    <w:rsid w:val="002F4E93"/>
    <w:rsid w:val="002F64BD"/>
    <w:rsid w:val="002F68C2"/>
    <w:rsid w:val="002F6C0D"/>
    <w:rsid w:val="002F6DF6"/>
    <w:rsid w:val="002F7E53"/>
    <w:rsid w:val="00302664"/>
    <w:rsid w:val="00302BE7"/>
    <w:rsid w:val="00303D99"/>
    <w:rsid w:val="00304C30"/>
    <w:rsid w:val="0030560A"/>
    <w:rsid w:val="00305C6E"/>
    <w:rsid w:val="00306E17"/>
    <w:rsid w:val="00307736"/>
    <w:rsid w:val="00307AD6"/>
    <w:rsid w:val="00311ED0"/>
    <w:rsid w:val="0031416A"/>
    <w:rsid w:val="003153EB"/>
    <w:rsid w:val="00315638"/>
    <w:rsid w:val="003167EB"/>
    <w:rsid w:val="00320158"/>
    <w:rsid w:val="00322631"/>
    <w:rsid w:val="0032263A"/>
    <w:rsid w:val="00322954"/>
    <w:rsid w:val="003240F0"/>
    <w:rsid w:val="00324607"/>
    <w:rsid w:val="00324CC5"/>
    <w:rsid w:val="00330692"/>
    <w:rsid w:val="00330A91"/>
    <w:rsid w:val="00333357"/>
    <w:rsid w:val="00334132"/>
    <w:rsid w:val="003341C8"/>
    <w:rsid w:val="003347DA"/>
    <w:rsid w:val="00334FF0"/>
    <w:rsid w:val="0034067D"/>
    <w:rsid w:val="003408D2"/>
    <w:rsid w:val="00340A0C"/>
    <w:rsid w:val="003441F7"/>
    <w:rsid w:val="0034530F"/>
    <w:rsid w:val="00346DBA"/>
    <w:rsid w:val="0035147A"/>
    <w:rsid w:val="00354C5D"/>
    <w:rsid w:val="0036152E"/>
    <w:rsid w:val="00362D0C"/>
    <w:rsid w:val="00363872"/>
    <w:rsid w:val="00363F9C"/>
    <w:rsid w:val="003648BE"/>
    <w:rsid w:val="00364E15"/>
    <w:rsid w:val="003708C8"/>
    <w:rsid w:val="00370B6D"/>
    <w:rsid w:val="003713FB"/>
    <w:rsid w:val="0037224D"/>
    <w:rsid w:val="003722FA"/>
    <w:rsid w:val="0037255B"/>
    <w:rsid w:val="0037339D"/>
    <w:rsid w:val="0037407D"/>
    <w:rsid w:val="0037436C"/>
    <w:rsid w:val="00375903"/>
    <w:rsid w:val="00377277"/>
    <w:rsid w:val="00381592"/>
    <w:rsid w:val="003816D1"/>
    <w:rsid w:val="00382AFE"/>
    <w:rsid w:val="00383E0A"/>
    <w:rsid w:val="00384CFD"/>
    <w:rsid w:val="0038506C"/>
    <w:rsid w:val="003869B0"/>
    <w:rsid w:val="003906D7"/>
    <w:rsid w:val="0039079F"/>
    <w:rsid w:val="00391E95"/>
    <w:rsid w:val="00391E9F"/>
    <w:rsid w:val="003926B7"/>
    <w:rsid w:val="00395ACE"/>
    <w:rsid w:val="003A093D"/>
    <w:rsid w:val="003A09D5"/>
    <w:rsid w:val="003A1825"/>
    <w:rsid w:val="003A27D7"/>
    <w:rsid w:val="003A6AA8"/>
    <w:rsid w:val="003A6FF6"/>
    <w:rsid w:val="003A746A"/>
    <w:rsid w:val="003B109E"/>
    <w:rsid w:val="003B1747"/>
    <w:rsid w:val="003B1C33"/>
    <w:rsid w:val="003B1FD0"/>
    <w:rsid w:val="003B2738"/>
    <w:rsid w:val="003B49F8"/>
    <w:rsid w:val="003B4DD7"/>
    <w:rsid w:val="003B5177"/>
    <w:rsid w:val="003B6DDC"/>
    <w:rsid w:val="003B7567"/>
    <w:rsid w:val="003C50D4"/>
    <w:rsid w:val="003C527B"/>
    <w:rsid w:val="003C6E82"/>
    <w:rsid w:val="003C6FAD"/>
    <w:rsid w:val="003C7AAF"/>
    <w:rsid w:val="003D3532"/>
    <w:rsid w:val="003D6F5F"/>
    <w:rsid w:val="003E073D"/>
    <w:rsid w:val="003E12B1"/>
    <w:rsid w:val="003E1C13"/>
    <w:rsid w:val="003E1FE5"/>
    <w:rsid w:val="003E4281"/>
    <w:rsid w:val="003E436E"/>
    <w:rsid w:val="003E4BA1"/>
    <w:rsid w:val="003E4C4B"/>
    <w:rsid w:val="003E575D"/>
    <w:rsid w:val="003E58F8"/>
    <w:rsid w:val="003E77D6"/>
    <w:rsid w:val="003F0523"/>
    <w:rsid w:val="003F0552"/>
    <w:rsid w:val="003F130E"/>
    <w:rsid w:val="003F14F7"/>
    <w:rsid w:val="003F18BC"/>
    <w:rsid w:val="003F2EC0"/>
    <w:rsid w:val="003F41A3"/>
    <w:rsid w:val="003F4508"/>
    <w:rsid w:val="003F542C"/>
    <w:rsid w:val="003F625B"/>
    <w:rsid w:val="003F70B8"/>
    <w:rsid w:val="003F7F4C"/>
    <w:rsid w:val="00400EA8"/>
    <w:rsid w:val="00402A3A"/>
    <w:rsid w:val="00404F49"/>
    <w:rsid w:val="004075B6"/>
    <w:rsid w:val="00411201"/>
    <w:rsid w:val="00415C89"/>
    <w:rsid w:val="0041660E"/>
    <w:rsid w:val="0041736E"/>
    <w:rsid w:val="00417844"/>
    <w:rsid w:val="00420333"/>
    <w:rsid w:val="0042053D"/>
    <w:rsid w:val="00420952"/>
    <w:rsid w:val="0042183E"/>
    <w:rsid w:val="004240BC"/>
    <w:rsid w:val="0042628F"/>
    <w:rsid w:val="00427135"/>
    <w:rsid w:val="00431DE3"/>
    <w:rsid w:val="004322C3"/>
    <w:rsid w:val="0043294A"/>
    <w:rsid w:val="00432BBB"/>
    <w:rsid w:val="004330FF"/>
    <w:rsid w:val="004338C5"/>
    <w:rsid w:val="00435DD2"/>
    <w:rsid w:val="00435EA3"/>
    <w:rsid w:val="00437855"/>
    <w:rsid w:val="0044048C"/>
    <w:rsid w:val="004405D7"/>
    <w:rsid w:val="004408D8"/>
    <w:rsid w:val="00441B6C"/>
    <w:rsid w:val="00441DB0"/>
    <w:rsid w:val="00444032"/>
    <w:rsid w:val="00444EA6"/>
    <w:rsid w:val="0044519F"/>
    <w:rsid w:val="004455CA"/>
    <w:rsid w:val="00445784"/>
    <w:rsid w:val="004462F7"/>
    <w:rsid w:val="00446498"/>
    <w:rsid w:val="00446BEE"/>
    <w:rsid w:val="00450090"/>
    <w:rsid w:val="004510E0"/>
    <w:rsid w:val="0045126F"/>
    <w:rsid w:val="00451A8F"/>
    <w:rsid w:val="00454048"/>
    <w:rsid w:val="00456881"/>
    <w:rsid w:val="00460410"/>
    <w:rsid w:val="00462D05"/>
    <w:rsid w:val="00462FAD"/>
    <w:rsid w:val="00463BD8"/>
    <w:rsid w:val="00464586"/>
    <w:rsid w:val="00465C36"/>
    <w:rsid w:val="00466B16"/>
    <w:rsid w:val="00466E79"/>
    <w:rsid w:val="00471920"/>
    <w:rsid w:val="004730BA"/>
    <w:rsid w:val="00473BB1"/>
    <w:rsid w:val="00474F01"/>
    <w:rsid w:val="00476394"/>
    <w:rsid w:val="004773EE"/>
    <w:rsid w:val="00481E56"/>
    <w:rsid w:val="00483981"/>
    <w:rsid w:val="00485987"/>
    <w:rsid w:val="00485FEE"/>
    <w:rsid w:val="00491211"/>
    <w:rsid w:val="00491302"/>
    <w:rsid w:val="00491FE4"/>
    <w:rsid w:val="0049289D"/>
    <w:rsid w:val="00494C8B"/>
    <w:rsid w:val="00496BE3"/>
    <w:rsid w:val="00497308"/>
    <w:rsid w:val="00497DA0"/>
    <w:rsid w:val="004A2A32"/>
    <w:rsid w:val="004A325A"/>
    <w:rsid w:val="004A44A3"/>
    <w:rsid w:val="004A5392"/>
    <w:rsid w:val="004A5893"/>
    <w:rsid w:val="004A5F0D"/>
    <w:rsid w:val="004A6456"/>
    <w:rsid w:val="004A6C8B"/>
    <w:rsid w:val="004A6FCF"/>
    <w:rsid w:val="004A75DC"/>
    <w:rsid w:val="004A7BD3"/>
    <w:rsid w:val="004B00AC"/>
    <w:rsid w:val="004B4112"/>
    <w:rsid w:val="004B5922"/>
    <w:rsid w:val="004B62C1"/>
    <w:rsid w:val="004C14F4"/>
    <w:rsid w:val="004C1561"/>
    <w:rsid w:val="004C1AB9"/>
    <w:rsid w:val="004C3051"/>
    <w:rsid w:val="004C38A3"/>
    <w:rsid w:val="004C3F55"/>
    <w:rsid w:val="004C4168"/>
    <w:rsid w:val="004C7591"/>
    <w:rsid w:val="004D2038"/>
    <w:rsid w:val="004D410E"/>
    <w:rsid w:val="004D472D"/>
    <w:rsid w:val="004D4FC4"/>
    <w:rsid w:val="004D7EF1"/>
    <w:rsid w:val="004E072F"/>
    <w:rsid w:val="004E1FD4"/>
    <w:rsid w:val="004E3A88"/>
    <w:rsid w:val="004E4BF8"/>
    <w:rsid w:val="004E6D91"/>
    <w:rsid w:val="004E731F"/>
    <w:rsid w:val="004F457A"/>
    <w:rsid w:val="00500434"/>
    <w:rsid w:val="005025A1"/>
    <w:rsid w:val="00502C4B"/>
    <w:rsid w:val="0050339D"/>
    <w:rsid w:val="005048FB"/>
    <w:rsid w:val="00504F90"/>
    <w:rsid w:val="005061F9"/>
    <w:rsid w:val="0051111E"/>
    <w:rsid w:val="0051622C"/>
    <w:rsid w:val="00516718"/>
    <w:rsid w:val="005179DD"/>
    <w:rsid w:val="00517CA6"/>
    <w:rsid w:val="0052055D"/>
    <w:rsid w:val="0052161D"/>
    <w:rsid w:val="00526CC1"/>
    <w:rsid w:val="00527EE4"/>
    <w:rsid w:val="00534339"/>
    <w:rsid w:val="00534AD1"/>
    <w:rsid w:val="0054323C"/>
    <w:rsid w:val="00543FBB"/>
    <w:rsid w:val="005456D5"/>
    <w:rsid w:val="00545FF6"/>
    <w:rsid w:val="00546183"/>
    <w:rsid w:val="00547BC2"/>
    <w:rsid w:val="00547D49"/>
    <w:rsid w:val="005507C8"/>
    <w:rsid w:val="00553560"/>
    <w:rsid w:val="00554721"/>
    <w:rsid w:val="00556203"/>
    <w:rsid w:val="0055683E"/>
    <w:rsid w:val="00557616"/>
    <w:rsid w:val="00557EBB"/>
    <w:rsid w:val="00562246"/>
    <w:rsid w:val="00562D25"/>
    <w:rsid w:val="00565C8C"/>
    <w:rsid w:val="00566CA5"/>
    <w:rsid w:val="005702EE"/>
    <w:rsid w:val="00574385"/>
    <w:rsid w:val="00580D6D"/>
    <w:rsid w:val="00581471"/>
    <w:rsid w:val="00581557"/>
    <w:rsid w:val="00582D94"/>
    <w:rsid w:val="00583D78"/>
    <w:rsid w:val="00586982"/>
    <w:rsid w:val="00587E96"/>
    <w:rsid w:val="005921BE"/>
    <w:rsid w:val="005929B1"/>
    <w:rsid w:val="00594085"/>
    <w:rsid w:val="005952B0"/>
    <w:rsid w:val="005956F8"/>
    <w:rsid w:val="00596195"/>
    <w:rsid w:val="005966BC"/>
    <w:rsid w:val="005A139E"/>
    <w:rsid w:val="005A1592"/>
    <w:rsid w:val="005A19AE"/>
    <w:rsid w:val="005A46AA"/>
    <w:rsid w:val="005A49EA"/>
    <w:rsid w:val="005A4F22"/>
    <w:rsid w:val="005A5841"/>
    <w:rsid w:val="005A61AD"/>
    <w:rsid w:val="005A6352"/>
    <w:rsid w:val="005B4E96"/>
    <w:rsid w:val="005C029B"/>
    <w:rsid w:val="005C0A82"/>
    <w:rsid w:val="005C0E53"/>
    <w:rsid w:val="005C179D"/>
    <w:rsid w:val="005C6004"/>
    <w:rsid w:val="005C6281"/>
    <w:rsid w:val="005C6F10"/>
    <w:rsid w:val="005D09B7"/>
    <w:rsid w:val="005D35D7"/>
    <w:rsid w:val="005D3CF1"/>
    <w:rsid w:val="005D3F1C"/>
    <w:rsid w:val="005D4356"/>
    <w:rsid w:val="005D5F66"/>
    <w:rsid w:val="005D769A"/>
    <w:rsid w:val="005D78A9"/>
    <w:rsid w:val="005E2ACF"/>
    <w:rsid w:val="005E2BA0"/>
    <w:rsid w:val="005E4983"/>
    <w:rsid w:val="005E52AF"/>
    <w:rsid w:val="005E5E3B"/>
    <w:rsid w:val="005E662A"/>
    <w:rsid w:val="005E6F8F"/>
    <w:rsid w:val="005F3784"/>
    <w:rsid w:val="005F76B7"/>
    <w:rsid w:val="00600D6F"/>
    <w:rsid w:val="00602319"/>
    <w:rsid w:val="0060307C"/>
    <w:rsid w:val="00603263"/>
    <w:rsid w:val="00604500"/>
    <w:rsid w:val="00604751"/>
    <w:rsid w:val="00607B3D"/>
    <w:rsid w:val="006110B7"/>
    <w:rsid w:val="006144F6"/>
    <w:rsid w:val="00617162"/>
    <w:rsid w:val="00620648"/>
    <w:rsid w:val="0062116C"/>
    <w:rsid w:val="00621435"/>
    <w:rsid w:val="0062214D"/>
    <w:rsid w:val="00623619"/>
    <w:rsid w:val="00626943"/>
    <w:rsid w:val="00627895"/>
    <w:rsid w:val="00627E87"/>
    <w:rsid w:val="00627EAB"/>
    <w:rsid w:val="006316DB"/>
    <w:rsid w:val="00632011"/>
    <w:rsid w:val="00632C95"/>
    <w:rsid w:val="006340F4"/>
    <w:rsid w:val="00634347"/>
    <w:rsid w:val="00636595"/>
    <w:rsid w:val="0064039D"/>
    <w:rsid w:val="00641033"/>
    <w:rsid w:val="0064504B"/>
    <w:rsid w:val="006504BC"/>
    <w:rsid w:val="006506C8"/>
    <w:rsid w:val="00650AE7"/>
    <w:rsid w:val="00652CCB"/>
    <w:rsid w:val="006541B3"/>
    <w:rsid w:val="006544D3"/>
    <w:rsid w:val="006557CF"/>
    <w:rsid w:val="00660953"/>
    <w:rsid w:val="00661C18"/>
    <w:rsid w:val="00665120"/>
    <w:rsid w:val="0066796C"/>
    <w:rsid w:val="00667EE6"/>
    <w:rsid w:val="006700FC"/>
    <w:rsid w:val="006711C4"/>
    <w:rsid w:val="00671470"/>
    <w:rsid w:val="00671949"/>
    <w:rsid w:val="00671A65"/>
    <w:rsid w:val="00672367"/>
    <w:rsid w:val="00673ED1"/>
    <w:rsid w:val="00674291"/>
    <w:rsid w:val="006744FF"/>
    <w:rsid w:val="0067455E"/>
    <w:rsid w:val="0067493D"/>
    <w:rsid w:val="00677032"/>
    <w:rsid w:val="0068026C"/>
    <w:rsid w:val="006809E4"/>
    <w:rsid w:val="0068121A"/>
    <w:rsid w:val="00683301"/>
    <w:rsid w:val="006844BA"/>
    <w:rsid w:val="006844CB"/>
    <w:rsid w:val="006854A8"/>
    <w:rsid w:val="00685A26"/>
    <w:rsid w:val="0068606B"/>
    <w:rsid w:val="00691454"/>
    <w:rsid w:val="006921E1"/>
    <w:rsid w:val="006929A2"/>
    <w:rsid w:val="00695209"/>
    <w:rsid w:val="006971B5"/>
    <w:rsid w:val="006A055D"/>
    <w:rsid w:val="006A548B"/>
    <w:rsid w:val="006A72B6"/>
    <w:rsid w:val="006B2BBF"/>
    <w:rsid w:val="006B56CF"/>
    <w:rsid w:val="006B5E3E"/>
    <w:rsid w:val="006C0F6B"/>
    <w:rsid w:val="006C3BE4"/>
    <w:rsid w:val="006C45F8"/>
    <w:rsid w:val="006C6335"/>
    <w:rsid w:val="006C6A29"/>
    <w:rsid w:val="006D2029"/>
    <w:rsid w:val="006D3B0D"/>
    <w:rsid w:val="006D3F19"/>
    <w:rsid w:val="006D4113"/>
    <w:rsid w:val="006D50F4"/>
    <w:rsid w:val="006D55A6"/>
    <w:rsid w:val="006D5A25"/>
    <w:rsid w:val="006E1B96"/>
    <w:rsid w:val="006E36AE"/>
    <w:rsid w:val="006E3831"/>
    <w:rsid w:val="006E608E"/>
    <w:rsid w:val="006E74CA"/>
    <w:rsid w:val="006E7A31"/>
    <w:rsid w:val="006F0D9A"/>
    <w:rsid w:val="006F1C1B"/>
    <w:rsid w:val="006F21DF"/>
    <w:rsid w:val="006F298C"/>
    <w:rsid w:val="006F398A"/>
    <w:rsid w:val="006F7937"/>
    <w:rsid w:val="006F7D33"/>
    <w:rsid w:val="0070307D"/>
    <w:rsid w:val="00707F29"/>
    <w:rsid w:val="00710A3E"/>
    <w:rsid w:val="00711385"/>
    <w:rsid w:val="007134DF"/>
    <w:rsid w:val="007179D5"/>
    <w:rsid w:val="00717A3E"/>
    <w:rsid w:val="007203AD"/>
    <w:rsid w:val="00720DF9"/>
    <w:rsid w:val="007228AE"/>
    <w:rsid w:val="007232CC"/>
    <w:rsid w:val="0072418F"/>
    <w:rsid w:val="007250E7"/>
    <w:rsid w:val="00726D27"/>
    <w:rsid w:val="00727A9D"/>
    <w:rsid w:val="00730CE3"/>
    <w:rsid w:val="007318B0"/>
    <w:rsid w:val="00734970"/>
    <w:rsid w:val="00734C86"/>
    <w:rsid w:val="00734EB2"/>
    <w:rsid w:val="00736348"/>
    <w:rsid w:val="0073638F"/>
    <w:rsid w:val="00741501"/>
    <w:rsid w:val="007419FC"/>
    <w:rsid w:val="007434A8"/>
    <w:rsid w:val="007434D8"/>
    <w:rsid w:val="007438DF"/>
    <w:rsid w:val="00744CBD"/>
    <w:rsid w:val="00744E23"/>
    <w:rsid w:val="007453FD"/>
    <w:rsid w:val="00746901"/>
    <w:rsid w:val="007470A3"/>
    <w:rsid w:val="00750BD6"/>
    <w:rsid w:val="0075162E"/>
    <w:rsid w:val="00752671"/>
    <w:rsid w:val="00756656"/>
    <w:rsid w:val="00757102"/>
    <w:rsid w:val="00761031"/>
    <w:rsid w:val="00761545"/>
    <w:rsid w:val="00764BB0"/>
    <w:rsid w:val="00766AE9"/>
    <w:rsid w:val="00767ABA"/>
    <w:rsid w:val="00770B9A"/>
    <w:rsid w:val="00776773"/>
    <w:rsid w:val="00780D5F"/>
    <w:rsid w:val="00780D9B"/>
    <w:rsid w:val="007813F8"/>
    <w:rsid w:val="00781987"/>
    <w:rsid w:val="00781F53"/>
    <w:rsid w:val="00782AD8"/>
    <w:rsid w:val="00784333"/>
    <w:rsid w:val="00786120"/>
    <w:rsid w:val="0079042A"/>
    <w:rsid w:val="0079179D"/>
    <w:rsid w:val="00791E62"/>
    <w:rsid w:val="0079479A"/>
    <w:rsid w:val="007972D5"/>
    <w:rsid w:val="007A00FC"/>
    <w:rsid w:val="007A1B0A"/>
    <w:rsid w:val="007A34BC"/>
    <w:rsid w:val="007A34D5"/>
    <w:rsid w:val="007A4E4B"/>
    <w:rsid w:val="007A7CD6"/>
    <w:rsid w:val="007B0D6A"/>
    <w:rsid w:val="007B1BCD"/>
    <w:rsid w:val="007B1C0E"/>
    <w:rsid w:val="007B272A"/>
    <w:rsid w:val="007B4872"/>
    <w:rsid w:val="007B54CD"/>
    <w:rsid w:val="007B5F92"/>
    <w:rsid w:val="007B624F"/>
    <w:rsid w:val="007B6A17"/>
    <w:rsid w:val="007C2022"/>
    <w:rsid w:val="007C3BFB"/>
    <w:rsid w:val="007C5200"/>
    <w:rsid w:val="007C5211"/>
    <w:rsid w:val="007C5853"/>
    <w:rsid w:val="007C6EB9"/>
    <w:rsid w:val="007D08FA"/>
    <w:rsid w:val="007D0A6D"/>
    <w:rsid w:val="007D3112"/>
    <w:rsid w:val="007D333F"/>
    <w:rsid w:val="007D3BBE"/>
    <w:rsid w:val="007D4B1A"/>
    <w:rsid w:val="007D69AA"/>
    <w:rsid w:val="007D69CE"/>
    <w:rsid w:val="007D7479"/>
    <w:rsid w:val="007D7952"/>
    <w:rsid w:val="007E4546"/>
    <w:rsid w:val="007E62A0"/>
    <w:rsid w:val="007F0768"/>
    <w:rsid w:val="007F158B"/>
    <w:rsid w:val="007F182C"/>
    <w:rsid w:val="007F1B53"/>
    <w:rsid w:val="007F2999"/>
    <w:rsid w:val="007F759F"/>
    <w:rsid w:val="00800CD8"/>
    <w:rsid w:val="00801EA9"/>
    <w:rsid w:val="00802592"/>
    <w:rsid w:val="00804D70"/>
    <w:rsid w:val="00805042"/>
    <w:rsid w:val="00805EF0"/>
    <w:rsid w:val="008068ED"/>
    <w:rsid w:val="00810720"/>
    <w:rsid w:val="00810EAB"/>
    <w:rsid w:val="008117A0"/>
    <w:rsid w:val="00811F99"/>
    <w:rsid w:val="00813E13"/>
    <w:rsid w:val="00820719"/>
    <w:rsid w:val="0082220F"/>
    <w:rsid w:val="00824B73"/>
    <w:rsid w:val="00825151"/>
    <w:rsid w:val="00825BBE"/>
    <w:rsid w:val="00825D3C"/>
    <w:rsid w:val="00825D5B"/>
    <w:rsid w:val="00826EB6"/>
    <w:rsid w:val="00833514"/>
    <w:rsid w:val="00834011"/>
    <w:rsid w:val="00835D8B"/>
    <w:rsid w:val="00837B47"/>
    <w:rsid w:val="008419F4"/>
    <w:rsid w:val="008434B1"/>
    <w:rsid w:val="0084433F"/>
    <w:rsid w:val="00845751"/>
    <w:rsid w:val="008461D4"/>
    <w:rsid w:val="00850647"/>
    <w:rsid w:val="00853304"/>
    <w:rsid w:val="008542E3"/>
    <w:rsid w:val="00854ADE"/>
    <w:rsid w:val="0085513A"/>
    <w:rsid w:val="00857851"/>
    <w:rsid w:val="00862555"/>
    <w:rsid w:val="008637D6"/>
    <w:rsid w:val="008637EA"/>
    <w:rsid w:val="00863E38"/>
    <w:rsid w:val="008666CB"/>
    <w:rsid w:val="00866C8E"/>
    <w:rsid w:val="008671B4"/>
    <w:rsid w:val="008706FF"/>
    <w:rsid w:val="00872097"/>
    <w:rsid w:val="00872A02"/>
    <w:rsid w:val="00873000"/>
    <w:rsid w:val="00873312"/>
    <w:rsid w:val="00875376"/>
    <w:rsid w:val="00875B8D"/>
    <w:rsid w:val="008804D8"/>
    <w:rsid w:val="00882D32"/>
    <w:rsid w:val="00882F63"/>
    <w:rsid w:val="0088423C"/>
    <w:rsid w:val="00884CF8"/>
    <w:rsid w:val="008854A7"/>
    <w:rsid w:val="00885F4A"/>
    <w:rsid w:val="0088696C"/>
    <w:rsid w:val="00886A88"/>
    <w:rsid w:val="00887284"/>
    <w:rsid w:val="00891C5E"/>
    <w:rsid w:val="00891F34"/>
    <w:rsid w:val="008922EB"/>
    <w:rsid w:val="008936B4"/>
    <w:rsid w:val="00893AF1"/>
    <w:rsid w:val="00894225"/>
    <w:rsid w:val="00894789"/>
    <w:rsid w:val="00896DA7"/>
    <w:rsid w:val="0089737A"/>
    <w:rsid w:val="00897382"/>
    <w:rsid w:val="008A009C"/>
    <w:rsid w:val="008A4B1B"/>
    <w:rsid w:val="008A4E56"/>
    <w:rsid w:val="008A5E6E"/>
    <w:rsid w:val="008A60D2"/>
    <w:rsid w:val="008B0768"/>
    <w:rsid w:val="008B1A94"/>
    <w:rsid w:val="008B1C4C"/>
    <w:rsid w:val="008B2D89"/>
    <w:rsid w:val="008B74C1"/>
    <w:rsid w:val="008C0762"/>
    <w:rsid w:val="008C17FA"/>
    <w:rsid w:val="008C19AE"/>
    <w:rsid w:val="008C4704"/>
    <w:rsid w:val="008C4998"/>
    <w:rsid w:val="008C5493"/>
    <w:rsid w:val="008C5661"/>
    <w:rsid w:val="008C6A7E"/>
    <w:rsid w:val="008C743A"/>
    <w:rsid w:val="008C7C37"/>
    <w:rsid w:val="008D0068"/>
    <w:rsid w:val="008D318F"/>
    <w:rsid w:val="008D52FD"/>
    <w:rsid w:val="008D5584"/>
    <w:rsid w:val="008D578A"/>
    <w:rsid w:val="008D5869"/>
    <w:rsid w:val="008D5B3C"/>
    <w:rsid w:val="008E2D91"/>
    <w:rsid w:val="008E37F5"/>
    <w:rsid w:val="008E3962"/>
    <w:rsid w:val="008E4B01"/>
    <w:rsid w:val="008E658D"/>
    <w:rsid w:val="008F088F"/>
    <w:rsid w:val="008F3881"/>
    <w:rsid w:val="008F3AF0"/>
    <w:rsid w:val="008F7740"/>
    <w:rsid w:val="009008F5"/>
    <w:rsid w:val="0090118F"/>
    <w:rsid w:val="00902E8A"/>
    <w:rsid w:val="0090418A"/>
    <w:rsid w:val="00905E96"/>
    <w:rsid w:val="00906005"/>
    <w:rsid w:val="00910086"/>
    <w:rsid w:val="00910C02"/>
    <w:rsid w:val="0091193E"/>
    <w:rsid w:val="00911DF5"/>
    <w:rsid w:val="009136C2"/>
    <w:rsid w:val="0091423E"/>
    <w:rsid w:val="009142F4"/>
    <w:rsid w:val="0091566D"/>
    <w:rsid w:val="00915A55"/>
    <w:rsid w:val="00920194"/>
    <w:rsid w:val="00920DAB"/>
    <w:rsid w:val="009220E2"/>
    <w:rsid w:val="00925F15"/>
    <w:rsid w:val="00930054"/>
    <w:rsid w:val="00933944"/>
    <w:rsid w:val="00936328"/>
    <w:rsid w:val="0094289B"/>
    <w:rsid w:val="00947FEE"/>
    <w:rsid w:val="00950176"/>
    <w:rsid w:val="009512E7"/>
    <w:rsid w:val="00951AE1"/>
    <w:rsid w:val="0095467B"/>
    <w:rsid w:val="00955DA2"/>
    <w:rsid w:val="00956E8F"/>
    <w:rsid w:val="009656CF"/>
    <w:rsid w:val="00965823"/>
    <w:rsid w:val="0096595B"/>
    <w:rsid w:val="00965FE7"/>
    <w:rsid w:val="00966BA7"/>
    <w:rsid w:val="009716C3"/>
    <w:rsid w:val="0097347B"/>
    <w:rsid w:val="00973BFA"/>
    <w:rsid w:val="00974CAD"/>
    <w:rsid w:val="0097542C"/>
    <w:rsid w:val="00976FC3"/>
    <w:rsid w:val="0098213B"/>
    <w:rsid w:val="0098521B"/>
    <w:rsid w:val="0098542D"/>
    <w:rsid w:val="009855DA"/>
    <w:rsid w:val="00986845"/>
    <w:rsid w:val="0098686E"/>
    <w:rsid w:val="00986940"/>
    <w:rsid w:val="00987796"/>
    <w:rsid w:val="009916B0"/>
    <w:rsid w:val="009920D7"/>
    <w:rsid w:val="0099376B"/>
    <w:rsid w:val="00993F21"/>
    <w:rsid w:val="00995E81"/>
    <w:rsid w:val="00996A73"/>
    <w:rsid w:val="00997BA0"/>
    <w:rsid w:val="009B0F27"/>
    <w:rsid w:val="009B1436"/>
    <w:rsid w:val="009B3412"/>
    <w:rsid w:val="009B362C"/>
    <w:rsid w:val="009B7C78"/>
    <w:rsid w:val="009C1687"/>
    <w:rsid w:val="009C2E4C"/>
    <w:rsid w:val="009C32E3"/>
    <w:rsid w:val="009C64CF"/>
    <w:rsid w:val="009C66DD"/>
    <w:rsid w:val="009C7E6B"/>
    <w:rsid w:val="009D090E"/>
    <w:rsid w:val="009D2009"/>
    <w:rsid w:val="009D22AB"/>
    <w:rsid w:val="009D48E3"/>
    <w:rsid w:val="009D4BF0"/>
    <w:rsid w:val="009D599B"/>
    <w:rsid w:val="009D78ED"/>
    <w:rsid w:val="009E1291"/>
    <w:rsid w:val="009E156C"/>
    <w:rsid w:val="009E23E2"/>
    <w:rsid w:val="009E470D"/>
    <w:rsid w:val="009E485C"/>
    <w:rsid w:val="009E663E"/>
    <w:rsid w:val="009E680B"/>
    <w:rsid w:val="009E6DF0"/>
    <w:rsid w:val="009E7A4A"/>
    <w:rsid w:val="009F089D"/>
    <w:rsid w:val="009F0BB7"/>
    <w:rsid w:val="009F1802"/>
    <w:rsid w:val="009F3D9C"/>
    <w:rsid w:val="009F4837"/>
    <w:rsid w:val="009F5C68"/>
    <w:rsid w:val="009F672A"/>
    <w:rsid w:val="009F7239"/>
    <w:rsid w:val="00A02CE9"/>
    <w:rsid w:val="00A04FA0"/>
    <w:rsid w:val="00A05216"/>
    <w:rsid w:val="00A077E2"/>
    <w:rsid w:val="00A07A23"/>
    <w:rsid w:val="00A07F46"/>
    <w:rsid w:val="00A1559F"/>
    <w:rsid w:val="00A15A1F"/>
    <w:rsid w:val="00A160CE"/>
    <w:rsid w:val="00A16278"/>
    <w:rsid w:val="00A16DB5"/>
    <w:rsid w:val="00A16E20"/>
    <w:rsid w:val="00A203A3"/>
    <w:rsid w:val="00A22122"/>
    <w:rsid w:val="00A23F95"/>
    <w:rsid w:val="00A3325A"/>
    <w:rsid w:val="00A33FAA"/>
    <w:rsid w:val="00A37E21"/>
    <w:rsid w:val="00A452C1"/>
    <w:rsid w:val="00A45F29"/>
    <w:rsid w:val="00A51C09"/>
    <w:rsid w:val="00A52F43"/>
    <w:rsid w:val="00A53184"/>
    <w:rsid w:val="00A53A6F"/>
    <w:rsid w:val="00A54AAE"/>
    <w:rsid w:val="00A54C47"/>
    <w:rsid w:val="00A56E08"/>
    <w:rsid w:val="00A57108"/>
    <w:rsid w:val="00A61103"/>
    <w:rsid w:val="00A63DE2"/>
    <w:rsid w:val="00A64E85"/>
    <w:rsid w:val="00A66C8F"/>
    <w:rsid w:val="00A67219"/>
    <w:rsid w:val="00A67395"/>
    <w:rsid w:val="00A707F7"/>
    <w:rsid w:val="00A715F8"/>
    <w:rsid w:val="00A7163E"/>
    <w:rsid w:val="00A7294F"/>
    <w:rsid w:val="00A739AE"/>
    <w:rsid w:val="00A73D39"/>
    <w:rsid w:val="00A744FE"/>
    <w:rsid w:val="00A74C02"/>
    <w:rsid w:val="00A756BB"/>
    <w:rsid w:val="00A76F0E"/>
    <w:rsid w:val="00A80CFB"/>
    <w:rsid w:val="00A813F7"/>
    <w:rsid w:val="00A82B58"/>
    <w:rsid w:val="00A84F04"/>
    <w:rsid w:val="00A85357"/>
    <w:rsid w:val="00A85E44"/>
    <w:rsid w:val="00A91096"/>
    <w:rsid w:val="00A917F1"/>
    <w:rsid w:val="00A91A1E"/>
    <w:rsid w:val="00A93478"/>
    <w:rsid w:val="00A973CD"/>
    <w:rsid w:val="00AA283E"/>
    <w:rsid w:val="00AA2FFD"/>
    <w:rsid w:val="00AA367B"/>
    <w:rsid w:val="00AA3A48"/>
    <w:rsid w:val="00AA4379"/>
    <w:rsid w:val="00AA60BA"/>
    <w:rsid w:val="00AA77B8"/>
    <w:rsid w:val="00AA7AF0"/>
    <w:rsid w:val="00AB14D0"/>
    <w:rsid w:val="00AB16C8"/>
    <w:rsid w:val="00AB2B75"/>
    <w:rsid w:val="00AB39FB"/>
    <w:rsid w:val="00AB415F"/>
    <w:rsid w:val="00AC1F93"/>
    <w:rsid w:val="00AC24CF"/>
    <w:rsid w:val="00AC3F23"/>
    <w:rsid w:val="00AC3FAC"/>
    <w:rsid w:val="00AC4E68"/>
    <w:rsid w:val="00AC7689"/>
    <w:rsid w:val="00AC7BDE"/>
    <w:rsid w:val="00AD0F7C"/>
    <w:rsid w:val="00AD1E86"/>
    <w:rsid w:val="00AD28C9"/>
    <w:rsid w:val="00AD39C7"/>
    <w:rsid w:val="00AD3F91"/>
    <w:rsid w:val="00AD4815"/>
    <w:rsid w:val="00AD5959"/>
    <w:rsid w:val="00AD7675"/>
    <w:rsid w:val="00AD7CFC"/>
    <w:rsid w:val="00AE0BDD"/>
    <w:rsid w:val="00AE15B1"/>
    <w:rsid w:val="00AE19AA"/>
    <w:rsid w:val="00AE2CFF"/>
    <w:rsid w:val="00AE42E7"/>
    <w:rsid w:val="00AF05D2"/>
    <w:rsid w:val="00AF108A"/>
    <w:rsid w:val="00AF13BF"/>
    <w:rsid w:val="00AF1BE4"/>
    <w:rsid w:val="00AF3886"/>
    <w:rsid w:val="00AF6728"/>
    <w:rsid w:val="00AF76D1"/>
    <w:rsid w:val="00B02705"/>
    <w:rsid w:val="00B02E55"/>
    <w:rsid w:val="00B03B57"/>
    <w:rsid w:val="00B048D2"/>
    <w:rsid w:val="00B04F34"/>
    <w:rsid w:val="00B05B51"/>
    <w:rsid w:val="00B07C52"/>
    <w:rsid w:val="00B11FB2"/>
    <w:rsid w:val="00B12A48"/>
    <w:rsid w:val="00B176A7"/>
    <w:rsid w:val="00B2002C"/>
    <w:rsid w:val="00B20FA1"/>
    <w:rsid w:val="00B22AE2"/>
    <w:rsid w:val="00B25C9D"/>
    <w:rsid w:val="00B264A5"/>
    <w:rsid w:val="00B27357"/>
    <w:rsid w:val="00B274E0"/>
    <w:rsid w:val="00B3092D"/>
    <w:rsid w:val="00B30BFA"/>
    <w:rsid w:val="00B342A0"/>
    <w:rsid w:val="00B345AC"/>
    <w:rsid w:val="00B34674"/>
    <w:rsid w:val="00B34FA7"/>
    <w:rsid w:val="00B35D34"/>
    <w:rsid w:val="00B41247"/>
    <w:rsid w:val="00B419E2"/>
    <w:rsid w:val="00B42A05"/>
    <w:rsid w:val="00B42E8E"/>
    <w:rsid w:val="00B45588"/>
    <w:rsid w:val="00B45AAC"/>
    <w:rsid w:val="00B45FE5"/>
    <w:rsid w:val="00B46013"/>
    <w:rsid w:val="00B47627"/>
    <w:rsid w:val="00B47D3C"/>
    <w:rsid w:val="00B54904"/>
    <w:rsid w:val="00B621C7"/>
    <w:rsid w:val="00B62782"/>
    <w:rsid w:val="00B64536"/>
    <w:rsid w:val="00B64B86"/>
    <w:rsid w:val="00B672F4"/>
    <w:rsid w:val="00B676A4"/>
    <w:rsid w:val="00B703D8"/>
    <w:rsid w:val="00B73352"/>
    <w:rsid w:val="00B74961"/>
    <w:rsid w:val="00B74A5B"/>
    <w:rsid w:val="00B7780A"/>
    <w:rsid w:val="00B81DD9"/>
    <w:rsid w:val="00B8205D"/>
    <w:rsid w:val="00B835F0"/>
    <w:rsid w:val="00B86518"/>
    <w:rsid w:val="00B87A6F"/>
    <w:rsid w:val="00B9081B"/>
    <w:rsid w:val="00B917FF"/>
    <w:rsid w:val="00B91B64"/>
    <w:rsid w:val="00B92D4F"/>
    <w:rsid w:val="00B9324E"/>
    <w:rsid w:val="00B96992"/>
    <w:rsid w:val="00B96A55"/>
    <w:rsid w:val="00B96A88"/>
    <w:rsid w:val="00BA005C"/>
    <w:rsid w:val="00BA01BE"/>
    <w:rsid w:val="00BA420C"/>
    <w:rsid w:val="00BB0BC1"/>
    <w:rsid w:val="00BB1469"/>
    <w:rsid w:val="00BB204D"/>
    <w:rsid w:val="00BB217E"/>
    <w:rsid w:val="00BB3CE1"/>
    <w:rsid w:val="00BB518B"/>
    <w:rsid w:val="00BB6D7B"/>
    <w:rsid w:val="00BB728C"/>
    <w:rsid w:val="00BB791B"/>
    <w:rsid w:val="00BC197D"/>
    <w:rsid w:val="00BC4A49"/>
    <w:rsid w:val="00BC6C14"/>
    <w:rsid w:val="00BD1171"/>
    <w:rsid w:val="00BD1581"/>
    <w:rsid w:val="00BD2437"/>
    <w:rsid w:val="00BD66D9"/>
    <w:rsid w:val="00BD6C65"/>
    <w:rsid w:val="00BD74A7"/>
    <w:rsid w:val="00BE1EE9"/>
    <w:rsid w:val="00BE50DF"/>
    <w:rsid w:val="00BE564B"/>
    <w:rsid w:val="00BE5835"/>
    <w:rsid w:val="00BE68AE"/>
    <w:rsid w:val="00BE6E04"/>
    <w:rsid w:val="00BE75F0"/>
    <w:rsid w:val="00BE7ABA"/>
    <w:rsid w:val="00BF09F3"/>
    <w:rsid w:val="00BF0DA7"/>
    <w:rsid w:val="00BF3925"/>
    <w:rsid w:val="00BF5E39"/>
    <w:rsid w:val="00BF70EA"/>
    <w:rsid w:val="00BF7FE0"/>
    <w:rsid w:val="00C00132"/>
    <w:rsid w:val="00C00D7D"/>
    <w:rsid w:val="00C0331D"/>
    <w:rsid w:val="00C040A1"/>
    <w:rsid w:val="00C0457B"/>
    <w:rsid w:val="00C05404"/>
    <w:rsid w:val="00C054E9"/>
    <w:rsid w:val="00C06A7A"/>
    <w:rsid w:val="00C06E45"/>
    <w:rsid w:val="00C0714C"/>
    <w:rsid w:val="00C071D4"/>
    <w:rsid w:val="00C12669"/>
    <w:rsid w:val="00C126A8"/>
    <w:rsid w:val="00C12EF3"/>
    <w:rsid w:val="00C17EA4"/>
    <w:rsid w:val="00C20597"/>
    <w:rsid w:val="00C20A28"/>
    <w:rsid w:val="00C22DED"/>
    <w:rsid w:val="00C22E9B"/>
    <w:rsid w:val="00C2388E"/>
    <w:rsid w:val="00C26D24"/>
    <w:rsid w:val="00C30037"/>
    <w:rsid w:val="00C32B9D"/>
    <w:rsid w:val="00C33860"/>
    <w:rsid w:val="00C353C1"/>
    <w:rsid w:val="00C37F55"/>
    <w:rsid w:val="00C43685"/>
    <w:rsid w:val="00C448E8"/>
    <w:rsid w:val="00C4562D"/>
    <w:rsid w:val="00C478DE"/>
    <w:rsid w:val="00C47DDE"/>
    <w:rsid w:val="00C50031"/>
    <w:rsid w:val="00C53BC4"/>
    <w:rsid w:val="00C553BA"/>
    <w:rsid w:val="00C568D0"/>
    <w:rsid w:val="00C578C8"/>
    <w:rsid w:val="00C57A0B"/>
    <w:rsid w:val="00C57E99"/>
    <w:rsid w:val="00C57EA4"/>
    <w:rsid w:val="00C6011A"/>
    <w:rsid w:val="00C61380"/>
    <w:rsid w:val="00C6185C"/>
    <w:rsid w:val="00C63D16"/>
    <w:rsid w:val="00C64CB1"/>
    <w:rsid w:val="00C651C2"/>
    <w:rsid w:val="00C655DF"/>
    <w:rsid w:val="00C7005B"/>
    <w:rsid w:val="00C70657"/>
    <w:rsid w:val="00C7237C"/>
    <w:rsid w:val="00C74477"/>
    <w:rsid w:val="00C744BE"/>
    <w:rsid w:val="00C74BF8"/>
    <w:rsid w:val="00C80386"/>
    <w:rsid w:val="00C80FF0"/>
    <w:rsid w:val="00C84457"/>
    <w:rsid w:val="00C849D8"/>
    <w:rsid w:val="00C859C6"/>
    <w:rsid w:val="00C920C9"/>
    <w:rsid w:val="00C92D69"/>
    <w:rsid w:val="00C931DC"/>
    <w:rsid w:val="00C94C89"/>
    <w:rsid w:val="00C94F0D"/>
    <w:rsid w:val="00C952B4"/>
    <w:rsid w:val="00CA0360"/>
    <w:rsid w:val="00CA0E08"/>
    <w:rsid w:val="00CA284C"/>
    <w:rsid w:val="00CA36CC"/>
    <w:rsid w:val="00CA4DC2"/>
    <w:rsid w:val="00CA5CF7"/>
    <w:rsid w:val="00CA6009"/>
    <w:rsid w:val="00CB1A41"/>
    <w:rsid w:val="00CB1B05"/>
    <w:rsid w:val="00CB4083"/>
    <w:rsid w:val="00CC1517"/>
    <w:rsid w:val="00CC4B4E"/>
    <w:rsid w:val="00CC7F77"/>
    <w:rsid w:val="00CD050F"/>
    <w:rsid w:val="00CD1691"/>
    <w:rsid w:val="00CD16AC"/>
    <w:rsid w:val="00CD3D03"/>
    <w:rsid w:val="00CD52D6"/>
    <w:rsid w:val="00CD60CE"/>
    <w:rsid w:val="00CD6AFA"/>
    <w:rsid w:val="00CD746C"/>
    <w:rsid w:val="00CE2F48"/>
    <w:rsid w:val="00CE3CF7"/>
    <w:rsid w:val="00CE3E45"/>
    <w:rsid w:val="00CE4759"/>
    <w:rsid w:val="00CF1546"/>
    <w:rsid w:val="00CF3B07"/>
    <w:rsid w:val="00CF499F"/>
    <w:rsid w:val="00CF4DE0"/>
    <w:rsid w:val="00CF5207"/>
    <w:rsid w:val="00CF58B7"/>
    <w:rsid w:val="00CF6816"/>
    <w:rsid w:val="00CF7797"/>
    <w:rsid w:val="00D0095E"/>
    <w:rsid w:val="00D01D55"/>
    <w:rsid w:val="00D022A5"/>
    <w:rsid w:val="00D027C1"/>
    <w:rsid w:val="00D04185"/>
    <w:rsid w:val="00D04B91"/>
    <w:rsid w:val="00D0735F"/>
    <w:rsid w:val="00D078F5"/>
    <w:rsid w:val="00D11582"/>
    <w:rsid w:val="00D12A75"/>
    <w:rsid w:val="00D13854"/>
    <w:rsid w:val="00D13ABD"/>
    <w:rsid w:val="00D141F5"/>
    <w:rsid w:val="00D14392"/>
    <w:rsid w:val="00D14E10"/>
    <w:rsid w:val="00D14FE3"/>
    <w:rsid w:val="00D15E18"/>
    <w:rsid w:val="00D15F1E"/>
    <w:rsid w:val="00D160E0"/>
    <w:rsid w:val="00D16399"/>
    <w:rsid w:val="00D163C0"/>
    <w:rsid w:val="00D16D6B"/>
    <w:rsid w:val="00D2065C"/>
    <w:rsid w:val="00D2187A"/>
    <w:rsid w:val="00D21887"/>
    <w:rsid w:val="00D221DA"/>
    <w:rsid w:val="00D228EF"/>
    <w:rsid w:val="00D2295E"/>
    <w:rsid w:val="00D2407B"/>
    <w:rsid w:val="00D24E89"/>
    <w:rsid w:val="00D26751"/>
    <w:rsid w:val="00D3146E"/>
    <w:rsid w:val="00D33B5E"/>
    <w:rsid w:val="00D3467D"/>
    <w:rsid w:val="00D351C1"/>
    <w:rsid w:val="00D35F14"/>
    <w:rsid w:val="00D376BD"/>
    <w:rsid w:val="00D41D49"/>
    <w:rsid w:val="00D42A09"/>
    <w:rsid w:val="00D4396E"/>
    <w:rsid w:val="00D439AA"/>
    <w:rsid w:val="00D43D36"/>
    <w:rsid w:val="00D44D8A"/>
    <w:rsid w:val="00D47575"/>
    <w:rsid w:val="00D50532"/>
    <w:rsid w:val="00D50FCD"/>
    <w:rsid w:val="00D56404"/>
    <w:rsid w:val="00D568DD"/>
    <w:rsid w:val="00D57CEB"/>
    <w:rsid w:val="00D612F3"/>
    <w:rsid w:val="00D6638A"/>
    <w:rsid w:val="00D66CC8"/>
    <w:rsid w:val="00D670D3"/>
    <w:rsid w:val="00D672F1"/>
    <w:rsid w:val="00D70C46"/>
    <w:rsid w:val="00D71678"/>
    <w:rsid w:val="00D71B5E"/>
    <w:rsid w:val="00D731A9"/>
    <w:rsid w:val="00D73371"/>
    <w:rsid w:val="00D74CA1"/>
    <w:rsid w:val="00D75EEC"/>
    <w:rsid w:val="00D80157"/>
    <w:rsid w:val="00D814B3"/>
    <w:rsid w:val="00D83CAF"/>
    <w:rsid w:val="00D84014"/>
    <w:rsid w:val="00D858B6"/>
    <w:rsid w:val="00D862D3"/>
    <w:rsid w:val="00D86BF0"/>
    <w:rsid w:val="00D87F72"/>
    <w:rsid w:val="00D923BF"/>
    <w:rsid w:val="00D94311"/>
    <w:rsid w:val="00D94834"/>
    <w:rsid w:val="00D94C14"/>
    <w:rsid w:val="00D95CC2"/>
    <w:rsid w:val="00D95FA4"/>
    <w:rsid w:val="00D97876"/>
    <w:rsid w:val="00DA0B54"/>
    <w:rsid w:val="00DA3BE2"/>
    <w:rsid w:val="00DA5A53"/>
    <w:rsid w:val="00DA672D"/>
    <w:rsid w:val="00DA6927"/>
    <w:rsid w:val="00DB2754"/>
    <w:rsid w:val="00DB2828"/>
    <w:rsid w:val="00DB42C9"/>
    <w:rsid w:val="00DB4D4C"/>
    <w:rsid w:val="00DB523C"/>
    <w:rsid w:val="00DB5DB4"/>
    <w:rsid w:val="00DB792F"/>
    <w:rsid w:val="00DB7FA2"/>
    <w:rsid w:val="00DC23A9"/>
    <w:rsid w:val="00DC2522"/>
    <w:rsid w:val="00DC715A"/>
    <w:rsid w:val="00DD0BD8"/>
    <w:rsid w:val="00DD1198"/>
    <w:rsid w:val="00DD4DDA"/>
    <w:rsid w:val="00DD56F6"/>
    <w:rsid w:val="00DD610B"/>
    <w:rsid w:val="00DD6603"/>
    <w:rsid w:val="00DE05AF"/>
    <w:rsid w:val="00DE26B5"/>
    <w:rsid w:val="00DF11E0"/>
    <w:rsid w:val="00DF1BE4"/>
    <w:rsid w:val="00DF1D4E"/>
    <w:rsid w:val="00DF1FF7"/>
    <w:rsid w:val="00DF2D9D"/>
    <w:rsid w:val="00DF479B"/>
    <w:rsid w:val="00DF54C4"/>
    <w:rsid w:val="00E01FA7"/>
    <w:rsid w:val="00E02F6D"/>
    <w:rsid w:val="00E03454"/>
    <w:rsid w:val="00E0579A"/>
    <w:rsid w:val="00E06458"/>
    <w:rsid w:val="00E10156"/>
    <w:rsid w:val="00E10769"/>
    <w:rsid w:val="00E10BDD"/>
    <w:rsid w:val="00E112A3"/>
    <w:rsid w:val="00E12A17"/>
    <w:rsid w:val="00E12D66"/>
    <w:rsid w:val="00E14EFB"/>
    <w:rsid w:val="00E1550C"/>
    <w:rsid w:val="00E15716"/>
    <w:rsid w:val="00E15955"/>
    <w:rsid w:val="00E160E0"/>
    <w:rsid w:val="00E167D2"/>
    <w:rsid w:val="00E21C70"/>
    <w:rsid w:val="00E22891"/>
    <w:rsid w:val="00E23626"/>
    <w:rsid w:val="00E23B7B"/>
    <w:rsid w:val="00E257A6"/>
    <w:rsid w:val="00E257B1"/>
    <w:rsid w:val="00E30665"/>
    <w:rsid w:val="00E327C3"/>
    <w:rsid w:val="00E32B16"/>
    <w:rsid w:val="00E346B5"/>
    <w:rsid w:val="00E354A2"/>
    <w:rsid w:val="00E36527"/>
    <w:rsid w:val="00E4022E"/>
    <w:rsid w:val="00E40480"/>
    <w:rsid w:val="00E418DC"/>
    <w:rsid w:val="00E42A7A"/>
    <w:rsid w:val="00E43595"/>
    <w:rsid w:val="00E50B54"/>
    <w:rsid w:val="00E51920"/>
    <w:rsid w:val="00E53214"/>
    <w:rsid w:val="00E546C0"/>
    <w:rsid w:val="00E56515"/>
    <w:rsid w:val="00E578AE"/>
    <w:rsid w:val="00E61EF3"/>
    <w:rsid w:val="00E62F68"/>
    <w:rsid w:val="00E63C49"/>
    <w:rsid w:val="00E64120"/>
    <w:rsid w:val="00E657DB"/>
    <w:rsid w:val="00E663A4"/>
    <w:rsid w:val="00E678D5"/>
    <w:rsid w:val="00E738D9"/>
    <w:rsid w:val="00E81054"/>
    <w:rsid w:val="00E82A51"/>
    <w:rsid w:val="00E842B3"/>
    <w:rsid w:val="00E9062C"/>
    <w:rsid w:val="00E934D9"/>
    <w:rsid w:val="00E94EED"/>
    <w:rsid w:val="00E95619"/>
    <w:rsid w:val="00E96A3D"/>
    <w:rsid w:val="00E96CC3"/>
    <w:rsid w:val="00E9717F"/>
    <w:rsid w:val="00E9784F"/>
    <w:rsid w:val="00EA1211"/>
    <w:rsid w:val="00EA25E2"/>
    <w:rsid w:val="00EA29C8"/>
    <w:rsid w:val="00EA529C"/>
    <w:rsid w:val="00EA55DC"/>
    <w:rsid w:val="00EA5D1E"/>
    <w:rsid w:val="00EB22DD"/>
    <w:rsid w:val="00EB4D61"/>
    <w:rsid w:val="00EB5C1B"/>
    <w:rsid w:val="00EB7EC0"/>
    <w:rsid w:val="00EC079E"/>
    <w:rsid w:val="00EC3567"/>
    <w:rsid w:val="00EC383E"/>
    <w:rsid w:val="00EC5082"/>
    <w:rsid w:val="00EC667E"/>
    <w:rsid w:val="00EC6922"/>
    <w:rsid w:val="00EC6E13"/>
    <w:rsid w:val="00EC6F03"/>
    <w:rsid w:val="00EC7558"/>
    <w:rsid w:val="00EC7C1F"/>
    <w:rsid w:val="00ED41D4"/>
    <w:rsid w:val="00ED42B7"/>
    <w:rsid w:val="00EE4C3D"/>
    <w:rsid w:val="00EF078D"/>
    <w:rsid w:val="00EF2532"/>
    <w:rsid w:val="00F028CB"/>
    <w:rsid w:val="00F02C53"/>
    <w:rsid w:val="00F04826"/>
    <w:rsid w:val="00F055F1"/>
    <w:rsid w:val="00F05CD5"/>
    <w:rsid w:val="00F076C4"/>
    <w:rsid w:val="00F1031F"/>
    <w:rsid w:val="00F11229"/>
    <w:rsid w:val="00F11B51"/>
    <w:rsid w:val="00F11EE1"/>
    <w:rsid w:val="00F17DB3"/>
    <w:rsid w:val="00F20713"/>
    <w:rsid w:val="00F208DB"/>
    <w:rsid w:val="00F211AC"/>
    <w:rsid w:val="00F22B57"/>
    <w:rsid w:val="00F2333B"/>
    <w:rsid w:val="00F24CAE"/>
    <w:rsid w:val="00F27622"/>
    <w:rsid w:val="00F31FAB"/>
    <w:rsid w:val="00F32D0F"/>
    <w:rsid w:val="00F333EC"/>
    <w:rsid w:val="00F35EE9"/>
    <w:rsid w:val="00F37AEA"/>
    <w:rsid w:val="00F40216"/>
    <w:rsid w:val="00F415C7"/>
    <w:rsid w:val="00F41978"/>
    <w:rsid w:val="00F42F2E"/>
    <w:rsid w:val="00F45BD5"/>
    <w:rsid w:val="00F45FBA"/>
    <w:rsid w:val="00F5150D"/>
    <w:rsid w:val="00F52150"/>
    <w:rsid w:val="00F5305E"/>
    <w:rsid w:val="00F53FF6"/>
    <w:rsid w:val="00F543BA"/>
    <w:rsid w:val="00F566ED"/>
    <w:rsid w:val="00F56DE9"/>
    <w:rsid w:val="00F570B9"/>
    <w:rsid w:val="00F5760D"/>
    <w:rsid w:val="00F603D8"/>
    <w:rsid w:val="00F606A4"/>
    <w:rsid w:val="00F62045"/>
    <w:rsid w:val="00F74E7C"/>
    <w:rsid w:val="00F76EDE"/>
    <w:rsid w:val="00F77391"/>
    <w:rsid w:val="00F77659"/>
    <w:rsid w:val="00F8088B"/>
    <w:rsid w:val="00F83776"/>
    <w:rsid w:val="00F83BC9"/>
    <w:rsid w:val="00F85BF7"/>
    <w:rsid w:val="00F86B2B"/>
    <w:rsid w:val="00F87339"/>
    <w:rsid w:val="00F90A03"/>
    <w:rsid w:val="00F9115E"/>
    <w:rsid w:val="00F9187A"/>
    <w:rsid w:val="00F91DF8"/>
    <w:rsid w:val="00F93FDF"/>
    <w:rsid w:val="00F94538"/>
    <w:rsid w:val="00F95A57"/>
    <w:rsid w:val="00F973E3"/>
    <w:rsid w:val="00FA0345"/>
    <w:rsid w:val="00FA0657"/>
    <w:rsid w:val="00FA102A"/>
    <w:rsid w:val="00FA1131"/>
    <w:rsid w:val="00FA127D"/>
    <w:rsid w:val="00FA1373"/>
    <w:rsid w:val="00FA414C"/>
    <w:rsid w:val="00FA61CA"/>
    <w:rsid w:val="00FA6360"/>
    <w:rsid w:val="00FA68D0"/>
    <w:rsid w:val="00FA6FCE"/>
    <w:rsid w:val="00FB0056"/>
    <w:rsid w:val="00FB03B6"/>
    <w:rsid w:val="00FB2D7B"/>
    <w:rsid w:val="00FB3784"/>
    <w:rsid w:val="00FB3BAF"/>
    <w:rsid w:val="00FB5CCC"/>
    <w:rsid w:val="00FB6682"/>
    <w:rsid w:val="00FC10ED"/>
    <w:rsid w:val="00FC11EC"/>
    <w:rsid w:val="00FC2D11"/>
    <w:rsid w:val="00FC4593"/>
    <w:rsid w:val="00FC4F3A"/>
    <w:rsid w:val="00FC5901"/>
    <w:rsid w:val="00FC6099"/>
    <w:rsid w:val="00FC6230"/>
    <w:rsid w:val="00FD1A1D"/>
    <w:rsid w:val="00FD2318"/>
    <w:rsid w:val="00FD3EDC"/>
    <w:rsid w:val="00FD3EF0"/>
    <w:rsid w:val="00FD3FF6"/>
    <w:rsid w:val="00FD4E96"/>
    <w:rsid w:val="00FD55A4"/>
    <w:rsid w:val="00FD795B"/>
    <w:rsid w:val="00FE033C"/>
    <w:rsid w:val="00FE3CA5"/>
    <w:rsid w:val="00FE4584"/>
    <w:rsid w:val="00FE6933"/>
    <w:rsid w:val="00FE6981"/>
    <w:rsid w:val="00FF0361"/>
    <w:rsid w:val="00FF1694"/>
    <w:rsid w:val="00FF256B"/>
    <w:rsid w:val="00FF265C"/>
    <w:rsid w:val="00FF30C4"/>
    <w:rsid w:val="00FF35AF"/>
    <w:rsid w:val="00FF3B61"/>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B57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rsid w:val="001B7CC4"/>
    <w:rPr>
      <w:sz w:val="24"/>
      <w:szCs w:val="24"/>
      <w:lang w:eastAsia="en-US"/>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semiHidden/>
    <w:qFormat/>
    <w:rsid w:val="00F2762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FC10ED"/>
    <w:rPr>
      <w:rFonts w:ascii="Arial" w:hAnsi="Arial"/>
      <w:b/>
      <w:bCs/>
      <w:kern w:val="32"/>
      <w:sz w:val="28"/>
      <w:szCs w:val="32"/>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rsid w:val="006921E1"/>
    <w:rPr>
      <w:rFonts w:ascii="Arial" w:hAnsi="Arial"/>
      <w:b/>
      <w:bCs/>
      <w:sz w:val="24"/>
      <w:szCs w:val="26"/>
    </w:rPr>
  </w:style>
  <w:style w:type="paragraph" w:styleId="Title">
    <w:name w:val="Title"/>
    <w:basedOn w:val="Normal"/>
    <w:next w:val="Heading1"/>
    <w:link w:val="TitleChar"/>
    <w:qFormat/>
    <w:locked/>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uiPriority w:val="99"/>
    <w:qFormat/>
    <w:rsid w:val="002A2D00"/>
    <w:rPr>
      <w:color w:val="0000FF"/>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ormal"/>
    <w:qFormat/>
    <w:rsid w:val="00140C3A"/>
    <w:pPr>
      <w:numPr>
        <w:numId w:val="2"/>
      </w:numPr>
      <w:spacing w:line="360" w:lineRule="auto"/>
    </w:pPr>
    <w:rPr>
      <w:rFonts w:cs="Arial"/>
      <w:sz w:val="32"/>
      <w:szCs w:val="24"/>
    </w:rPr>
  </w:style>
  <w:style w:type="paragraph" w:customStyle="1" w:styleId="Numberedheading2">
    <w:name w:val="Numbered heading 2"/>
    <w:basedOn w:val="Heading2"/>
    <w:next w:val="Normal"/>
    <w:qFormat/>
    <w:rsid w:val="00884CF8"/>
    <w:pPr>
      <w:numPr>
        <w:ilvl w:val="1"/>
        <w:numId w:val="2"/>
      </w:numPr>
      <w:spacing w:after="240"/>
    </w:pPr>
    <w:rPr>
      <w:rFonts w:cs="Arial"/>
    </w:rPr>
  </w:style>
  <w:style w:type="paragraph" w:customStyle="1" w:styleId="Numberedheading3">
    <w:name w:val="Numbered heading 3"/>
    <w:basedOn w:val="Heading3"/>
    <w:next w:val="Paragraph"/>
    <w:qFormat/>
    <w:rsid w:val="00884CF8"/>
    <w:pPr>
      <w:numPr>
        <w:ilvl w:val="2"/>
        <w:numId w:val="2"/>
      </w:numPr>
      <w:spacing w:after="240" w:line="360" w:lineRule="auto"/>
    </w:pPr>
    <w:rPr>
      <w:rFonts w:cs="Arial"/>
      <w:sz w:val="26"/>
      <w:szCs w:val="24"/>
    </w:r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0D7213"/>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4"/>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semiHidden/>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semiHidden/>
    <w:rsid w:val="00F27622"/>
    <w:rPr>
      <w:rFonts w:asciiTheme="majorHAnsi" w:eastAsiaTheme="majorEastAsia" w:hAnsiTheme="majorHAnsi" w:cstheme="majorBidi"/>
      <w:i/>
      <w:iCs/>
      <w:color w:val="365F91" w:themeColor="accent1" w:themeShade="BF"/>
      <w:sz w:val="24"/>
      <w:szCs w:val="24"/>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customStyle="1" w:styleId="Paragraphnonumbers">
    <w:name w:val="Paragraph no numbers"/>
    <w:basedOn w:val="Normal"/>
    <w:uiPriority w:val="99"/>
    <w:qFormat/>
    <w:rsid w:val="006C6A29"/>
    <w:pPr>
      <w:spacing w:after="240" w:line="276" w:lineRule="auto"/>
    </w:pPr>
    <w:rPr>
      <w:rFonts w:ascii="Arial" w:hAnsi="Arial"/>
      <w:lang w:eastAsia="en-GB"/>
    </w:rPr>
  </w:style>
  <w:style w:type="paragraph" w:customStyle="1" w:styleId="numbered-paragraph">
    <w:name w:val="numbered-paragraph"/>
    <w:basedOn w:val="Normal"/>
    <w:rsid w:val="007434A8"/>
    <w:pPr>
      <w:spacing w:before="100" w:beforeAutospacing="1" w:after="100" w:afterAutospacing="1"/>
    </w:pPr>
    <w:rPr>
      <w:lang w:eastAsia="en-GB"/>
    </w:rPr>
  </w:style>
  <w:style w:type="paragraph" w:styleId="NormalWeb">
    <w:name w:val="Normal (Web)"/>
    <w:basedOn w:val="Normal"/>
    <w:uiPriority w:val="99"/>
    <w:semiHidden/>
    <w:unhideWhenUsed/>
    <w:locked/>
    <w:rsid w:val="007434A8"/>
    <w:pPr>
      <w:spacing w:before="100" w:beforeAutospacing="1" w:after="100" w:afterAutospacing="1"/>
    </w:pPr>
    <w:rPr>
      <w:lang w:eastAsia="en-GB"/>
    </w:rPr>
  </w:style>
  <w:style w:type="character" w:styleId="Strong">
    <w:name w:val="Strong"/>
    <w:basedOn w:val="DefaultParagraphFont"/>
    <w:uiPriority w:val="22"/>
    <w:qFormat/>
    <w:locked/>
    <w:rsid w:val="007434A8"/>
    <w:rPr>
      <w:b/>
      <w:bCs/>
    </w:rPr>
  </w:style>
  <w:style w:type="paragraph" w:customStyle="1" w:styleId="TableText1">
    <w:name w:val="Table Text 1"/>
    <w:basedOn w:val="Normal"/>
    <w:qFormat/>
    <w:rsid w:val="00E0579A"/>
    <w:rPr>
      <w:rFonts w:ascii="Arial" w:hAnsi="Arial"/>
      <w:sz w:val="22"/>
      <w:lang w:eastAsia="en-GB"/>
    </w:rPr>
  </w:style>
  <w:style w:type="paragraph" w:customStyle="1" w:styleId="xxmsonormal">
    <w:name w:val="x_xmsonormal"/>
    <w:basedOn w:val="Normal"/>
    <w:rsid w:val="00E0579A"/>
    <w:rPr>
      <w:rFonts w:eastAsia="Calibri"/>
      <w:lang w:eastAsia="en-GB"/>
    </w:rPr>
  </w:style>
  <w:style w:type="paragraph" w:styleId="ListParagraph">
    <w:name w:val="List Paragraph"/>
    <w:basedOn w:val="Normal"/>
    <w:uiPriority w:val="34"/>
    <w:qFormat/>
    <w:locked/>
    <w:rsid w:val="00EC6F03"/>
    <w:pPr>
      <w:ind w:left="720"/>
    </w:pPr>
    <w:rPr>
      <w:rFonts w:eastAsia="Calibri"/>
      <w:lang w:eastAsia="en-GB"/>
    </w:rPr>
  </w:style>
  <w:style w:type="table" w:styleId="TableGridLight">
    <w:name w:val="Grid Table Light"/>
    <w:basedOn w:val="TableNormal"/>
    <w:uiPriority w:val="40"/>
    <w:locked/>
    <w:rsid w:val="00F873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s">
    <w:name w:val="Bullets"/>
    <w:basedOn w:val="Normal"/>
    <w:uiPriority w:val="5"/>
    <w:qFormat/>
    <w:rsid w:val="004E4BF8"/>
    <w:pPr>
      <w:spacing w:after="120" w:line="276" w:lineRule="auto"/>
      <w:ind w:left="1134" w:hanging="454"/>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684956">
      <w:bodyDiv w:val="1"/>
      <w:marLeft w:val="0"/>
      <w:marRight w:val="0"/>
      <w:marTop w:val="0"/>
      <w:marBottom w:val="0"/>
      <w:divBdr>
        <w:top w:val="none" w:sz="0" w:space="0" w:color="auto"/>
        <w:left w:val="none" w:sz="0" w:space="0" w:color="auto"/>
        <w:bottom w:val="none" w:sz="0" w:space="0" w:color="auto"/>
        <w:right w:val="none" w:sz="0" w:space="0" w:color="auto"/>
      </w:divBdr>
      <w:divsChild>
        <w:div w:id="1848902710">
          <w:marLeft w:val="960"/>
          <w:marRight w:val="0"/>
          <w:marTop w:val="0"/>
          <w:marBottom w:val="0"/>
          <w:divBdr>
            <w:top w:val="none" w:sz="0" w:space="0" w:color="auto"/>
            <w:left w:val="none" w:sz="0" w:space="0" w:color="auto"/>
            <w:bottom w:val="none" w:sz="0" w:space="0" w:color="auto"/>
            <w:right w:val="none" w:sz="0" w:space="0" w:color="auto"/>
          </w:divBdr>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654557">
      <w:bodyDiv w:val="1"/>
      <w:marLeft w:val="0"/>
      <w:marRight w:val="0"/>
      <w:marTop w:val="0"/>
      <w:marBottom w:val="0"/>
      <w:divBdr>
        <w:top w:val="none" w:sz="0" w:space="0" w:color="auto"/>
        <w:left w:val="none" w:sz="0" w:space="0" w:color="auto"/>
        <w:bottom w:val="none" w:sz="0" w:space="0" w:color="auto"/>
        <w:right w:val="none" w:sz="0" w:space="0" w:color="auto"/>
      </w:divBdr>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improving-lives-the-future-of-work-health-and-disability" TargetMode="External"/><Relationship Id="rId18" Type="http://schemas.openxmlformats.org/officeDocument/2006/relationships/hyperlink" Target="https://www.nice.org.uk/guidance/ng146/chapter/recommendations" TargetMode="External"/><Relationship Id="rId26" Type="http://schemas.openxmlformats.org/officeDocument/2006/relationships/hyperlink" Target="https://www.nice.org.uk/guidance/qs37" TargetMode="External"/><Relationship Id="rId39" Type="http://schemas.openxmlformats.org/officeDocument/2006/relationships/hyperlink" Target="https://www.ons.gov.uk/employmentandlabourmarket/peopleinwork/employmentandemployeetypes/bulletins/uklabourmarket/july2020" TargetMode="External"/><Relationship Id="rId21" Type="http://schemas.openxmlformats.org/officeDocument/2006/relationships/hyperlink" Target="https://www.nice.org.uk/guidance/qs147" TargetMode="External"/><Relationship Id="rId34" Type="http://schemas.openxmlformats.org/officeDocument/2006/relationships/hyperlink" Target="https://www.bma.org.uk/advice-and-support/covid-19/bma-asks/trust-gps-to-lead-learning-from-the-response-to-covid-19-within-general-practice-in-england" TargetMode="External"/><Relationship Id="rId42" Type="http://schemas.openxmlformats.org/officeDocument/2006/relationships/hyperlink" Target="https://www.gov.uk/government/publications/occupational-health-services-and-employers" TargetMode="External"/><Relationship Id="rId47" Type="http://schemas.openxmlformats.org/officeDocument/2006/relationships/hyperlink" Target="https://www.who.int/occupational_health/healthy_workplace_framework.pdf" TargetMode="External"/><Relationship Id="rId50" Type="http://schemas.openxmlformats.org/officeDocument/2006/relationships/hyperlink" Target="https://www.moneyandmentalhealth.org/wp-content/uploads/2017/10/Whose-Job-is-it-Anyway-Report-spreads.pdf" TargetMode="External"/><Relationship Id="rId55" Type="http://schemas.openxmlformats.org/officeDocument/2006/relationships/hyperlink" Target="https://www.mind.org.uk/information-support/legal-rights/discrimination-in-everyday-life/reasonable-adjustments/" TargetMode="External"/><Relationship Id="rId63" Type="http://schemas.openxmlformats.org/officeDocument/2006/relationships/hyperlink" Target="https://mss-cdn.azureedge.net/-/media/3d2bcce2deab4330a11b4f7e98298c54.pdf?sc_revision=ffb2b067eda04d5b91b4c487e4b13866" TargetMode="External"/><Relationship Id="rId68" Type="http://schemas.openxmlformats.org/officeDocument/2006/relationships/hyperlink" Target="https://www.who.int/occupational_health/topics/workplace/en/" TargetMode="External"/><Relationship Id="rId76" Type="http://schemas.openxmlformats.org/officeDocument/2006/relationships/hyperlink" Target="https://www.tuc.org.uk/sites/default/files/TUC_menopause_0_0.pdf" TargetMode="External"/><Relationship Id="rId84" Type="http://schemas.openxmlformats.org/officeDocument/2006/relationships/hyperlink" Target="https://www.mssociety.org.uk/what-we-do/our-work/our-evidence/ms-in-the-uk"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mss-cdn.azureedge.net/-/media/3d2bcce2deab4330a11b4f7e98298c54.pdf?sc_revision=ffb2b067eda04d5b91b4c487e4b13866" TargetMode="Externa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677547/Infographic6.png" TargetMode="External"/><Relationship Id="rId29" Type="http://schemas.openxmlformats.org/officeDocument/2006/relationships/hyperlink" Target="https://www.nice.org.uk/guidance/qs73" TargetMode="External"/><Relationship Id="rId11" Type="http://schemas.openxmlformats.org/officeDocument/2006/relationships/hyperlink" Target="https://www.nice.org.uk/guidance/ng146/chapter/recommendations" TargetMode="External"/><Relationship Id="rId24" Type="http://schemas.openxmlformats.org/officeDocument/2006/relationships/hyperlink" Target="https://www.nice.org.uk/guidance/qs143" TargetMode="External"/><Relationship Id="rId32" Type="http://schemas.openxmlformats.org/officeDocument/2006/relationships/footer" Target="footer1.xml"/><Relationship Id="rId37" Type="http://schemas.openxmlformats.org/officeDocument/2006/relationships/hyperlink" Target="https://assets.publishing.service.gov.uk/government/uploads/system/uploads/attachment_data/file/303335/the_future_of_work_key_findings_edit.pdf" TargetMode="External"/><Relationship Id="rId40" Type="http://schemas.openxmlformats.org/officeDocument/2006/relationships/hyperlink" Target="https://www.gov.uk/government/publications/workplace-health-applying-all-our-health/workplace-health-applying-all-our-health" TargetMode="External"/><Relationship Id="rId45" Type="http://schemas.openxmlformats.org/officeDocument/2006/relationships/hyperlink" Target="https://www.remploy.co.uk/employers/mental-health-and-wellbeing/workplace-mental-health-support-service-employers" TargetMode="External"/><Relationship Id="rId53" Type="http://schemas.openxmlformats.org/officeDocument/2006/relationships/hyperlink" Target="https://www.centreformentalhealth.org.uk/publications/welfare-advice-people-who-use-mental-health-services" TargetMode="External"/><Relationship Id="rId58" Type="http://schemas.openxmlformats.org/officeDocument/2006/relationships/hyperlink" Target="https://www.cipd.co.uk/news-views/cipd-voice/issue-16/disability-employment-gap" TargetMode="External"/><Relationship Id="rId66" Type="http://schemas.openxmlformats.org/officeDocument/2006/relationships/hyperlink" Target="https://www.gov.uk/government/publications/sickness-absence-and-health-employer-behaviour-and-practice" TargetMode="External"/><Relationship Id="rId74" Type="http://schemas.openxmlformats.org/officeDocument/2006/relationships/hyperlink" Target="https://www.skillsforcare.org.uk/adult-social-care-workforce-data/Workforce-intelligence/publications/national-information/The-size-and-structure-of-the-adult-social-care-sector-and-workforce-in-England.aspx" TargetMode="External"/><Relationship Id="rId79" Type="http://schemas.openxmlformats.org/officeDocument/2006/relationships/hyperlink" Target="https://www.tommys.org/our-organisation/research-by-cause/miscarriage/piepestudy" TargetMode="External"/><Relationship Id="rId87" Type="http://schemas.openxmlformats.org/officeDocument/2006/relationships/hyperlink" Target="https://blogs.bmj.com/bmj/2020/06/23/covid-19-prolonged-and-relapsing-course-of-illness-has-implications-for-returning-workers/" TargetMode="External"/><Relationship Id="rId5" Type="http://schemas.openxmlformats.org/officeDocument/2006/relationships/webSettings" Target="webSettings.xml"/><Relationship Id="rId61" Type="http://schemas.openxmlformats.org/officeDocument/2006/relationships/hyperlink" Target="https://www.longtermplan.nhs.uk/online-version/appendix/health-and-employment/" TargetMode="External"/><Relationship Id="rId82" Type="http://schemas.openxmlformats.org/officeDocument/2006/relationships/hyperlink" Target="https://www.myhrtoolkit.com/blog/bradford-factor-disadvantages" TargetMode="External"/><Relationship Id="rId19" Type="http://schemas.openxmlformats.org/officeDocument/2006/relationships/hyperlink" Target="https://www.nice.org.uk/guidance/ng13/chapter/Recommendation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gov.uk/government/publications/thriving-at-work-a-review-of-mental-health-and-employers" TargetMode="External"/><Relationship Id="rId22" Type="http://schemas.openxmlformats.org/officeDocument/2006/relationships/hyperlink" Target="https://www.nice.org.uk/guidance/qs47" TargetMode="External"/><Relationship Id="rId27" Type="http://schemas.openxmlformats.org/officeDocument/2006/relationships/hyperlink" Target="https://www.nice.org.uk/guidance/qs69" TargetMode="External"/><Relationship Id="rId30" Type="http://schemas.openxmlformats.org/officeDocument/2006/relationships/hyperlink" Target="https://www.nice.org.uk/guidance/qs108" TargetMode="External"/><Relationship Id="rId35" Type="http://schemas.openxmlformats.org/officeDocument/2006/relationships/hyperlink" Target="https://www.rcot.co.uk/occupational-therapy-primary-care" TargetMode="External"/><Relationship Id="rId43" Type="http://schemas.openxmlformats.org/officeDocument/2006/relationships/hyperlink" Target="https://www.rcot.co.uk/practice-resources/standards-and-ethics/ahp-health-and-work-report" TargetMode="External"/><Relationship Id="rId48" Type="http://schemas.openxmlformats.org/officeDocument/2006/relationships/hyperlink" Target="https://www.samh.org.uk/about-mental-health/know-your-rights/employment" TargetMode="External"/><Relationship Id="rId56" Type="http://schemas.openxmlformats.org/officeDocument/2006/relationships/hyperlink" Target="https://www.ons.gov.uk/peoplepopulationandcommunity/healthandsocialcare/disability/bulletins/disabilityandemploymentuk/2019" TargetMode="External"/><Relationship Id="rId64" Type="http://schemas.openxmlformats.org/officeDocument/2006/relationships/hyperlink" Target="https://www.hse.gov.uk/msd/dse/assessment.htm" TargetMode="External"/><Relationship Id="rId69" Type="http://schemas.openxmlformats.org/officeDocument/2006/relationships/hyperlink" Target="https://mss-cdn.azureedge.net/-/media/3d2bcce2deab4330a11b4f7e98298c54.pdf?sc_revision=ffb2b067eda04d5b91b4c487e4b13866" TargetMode="External"/><Relationship Id="rId77" Type="http://schemas.openxmlformats.org/officeDocument/2006/relationships/hyperlink" Target="https://www.hfea.gov.uk/treatments/explore-all-treatments/risks-of-fertility-treatment/" TargetMode="External"/><Relationship Id="rId8" Type="http://schemas.openxmlformats.org/officeDocument/2006/relationships/hyperlink" Target="https://www.nice.org.uk/guidance/ng146" TargetMode="External"/><Relationship Id="rId51" Type="http://schemas.openxmlformats.org/officeDocument/2006/relationships/hyperlink" Target="https://www.moneyandmentalhealth.org/wp-content/uploads/2018/10/Too-ill-to-work-too-broke-not-to-1.pdf" TargetMode="External"/><Relationship Id="rId72" Type="http://schemas.openxmlformats.org/officeDocument/2006/relationships/hyperlink" Target="https://www.mssociety.org.uk/get-involved/campaign-with-us/campaigns-blog/people-with-ms-leaving-work-challenged-by-lack-of-support" TargetMode="External"/><Relationship Id="rId80" Type="http://schemas.openxmlformats.org/officeDocument/2006/relationships/hyperlink" Target="https://www.miscarriageassociation.org.uk/wp-content/uploads/2016/10/Miscarriage-and-the-Workplace.pdf" TargetMode="External"/><Relationship Id="rId85" Type="http://schemas.openxmlformats.org/officeDocument/2006/relationships/hyperlink" Target="https://www.mstrust.org.uk/sites/default/files/Make%20MS%20Care%20Fair.pdf" TargetMode="External"/><Relationship Id="rId3" Type="http://schemas.openxmlformats.org/officeDocument/2006/relationships/styles" Target="styles.xml"/><Relationship Id="rId12" Type="http://schemas.openxmlformats.org/officeDocument/2006/relationships/hyperlink" Target="https://www.gov.uk/government/publications/working-for-a-healthier-tomorrow-work-and-health-in-britain" TargetMode="External"/><Relationship Id="rId17" Type="http://schemas.openxmlformats.org/officeDocument/2006/relationships/hyperlink" Target="https://www.gov.uk/government/publications/sickness-absence-and-health-employer-behaviour-and-practice" TargetMode="External"/><Relationship Id="rId25" Type="http://schemas.openxmlformats.org/officeDocument/2006/relationships/hyperlink" Target="https://www.nice.org.uk/guidance/qs22" TargetMode="External"/><Relationship Id="rId33" Type="http://schemas.openxmlformats.org/officeDocument/2006/relationships/footer" Target="footer2.xml"/><Relationship Id="rId38" Type="http://schemas.openxmlformats.org/officeDocument/2006/relationships/hyperlink" Target="https://www.cipd.co.uk/Images/good-work-index-summary-report-2020-1_tcm18-79211.pdf" TargetMode="External"/><Relationship Id="rId46" Type="http://schemas.openxmlformats.org/officeDocument/2006/relationships/hyperlink" Target="https://www.employment-studies.co.uk/sites/default/files/resources/summarypdfs/IES%20Homeworker%20Wellbeing%20Survey%20-%20Interim%20Findings.pdf" TargetMode="External"/><Relationship Id="rId59" Type="http://schemas.openxmlformats.org/officeDocument/2006/relationships/hyperlink" Target="https://iclg.com/briefing/13810-united-kingdom-people-post-lockdown-issues-for-employers" TargetMode="External"/><Relationship Id="rId67" Type="http://schemas.openxmlformats.org/officeDocument/2006/relationships/hyperlink" Target="https://www.gov.uk/government/publications/sickness-absence-and-health-employer-behaviour-and-practice" TargetMode="External"/><Relationship Id="rId20" Type="http://schemas.openxmlformats.org/officeDocument/2006/relationships/hyperlink" Target="https://www.gov.uk/government/publications/sickness-absence-and-health-employer-behaviour-and-practice" TargetMode="External"/><Relationship Id="rId41" Type="http://schemas.openxmlformats.org/officeDocument/2006/relationships/hyperlink" Target="https://assets.publishing.service.gov.uk/government/uploads/system/uploads/attachment_data/file/831562/PHE_Strategy_2020-25.pdf" TargetMode="External"/><Relationship Id="rId54" Type="http://schemas.openxmlformats.org/officeDocument/2006/relationships/hyperlink" Target="https://www.legislation.gov.uk/ukpga/2010/15/section/20" TargetMode="External"/><Relationship Id="rId62" Type="http://schemas.openxmlformats.org/officeDocument/2006/relationships/hyperlink" Target="https://www.centreformentalhealth.org.uk/what-ips" TargetMode="External"/><Relationship Id="rId70" Type="http://schemas.openxmlformats.org/officeDocument/2006/relationships/hyperlink" Target="https://mss-cdn.azureedge.net/-/media/36d2ced1efe54d5ea6c6ce6c5404985f.pdf?sc_revision=5342be8a42e84b9a895115e75cf07776" TargetMode="External"/><Relationship Id="rId75" Type="http://schemas.openxmlformats.org/officeDocument/2006/relationships/hyperlink" Target="https://www.unison.org.uk/content/uploads/2017/01/24203.womenshealth.pdf" TargetMode="External"/><Relationship Id="rId83" Type="http://schemas.openxmlformats.org/officeDocument/2006/relationships/hyperlink" Target="https://www.mssociety.org.uk/what-we-do/our-work/our-evidence/ms-in-the-uk"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definition-of-disability-under-equality-act-2010" TargetMode="External"/><Relationship Id="rId23" Type="http://schemas.openxmlformats.org/officeDocument/2006/relationships/hyperlink" Target="https://www.nice.org.uk/guidance/qs172" TargetMode="External"/><Relationship Id="rId28" Type="http://schemas.openxmlformats.org/officeDocument/2006/relationships/hyperlink" Target="https://www.nice.org.uk/guidance/qs135" TargetMode="External"/><Relationship Id="rId36" Type="http://schemas.openxmlformats.org/officeDocument/2006/relationships/hyperlink" Target="mailto:workandhealthunit.challengefund@dwp.gov.uk" TargetMode="External"/><Relationship Id="rId49" Type="http://schemas.openxmlformats.org/officeDocument/2006/relationships/hyperlink" Target="https://www.mind.org.uk/information-support/tips-for-everyday-living/workplace-mental-health/work-and-mental-health/" TargetMode="External"/><Relationship Id="rId57" Type="http://schemas.openxmlformats.org/officeDocument/2006/relationships/hyperlink" Target="https://www.rethink.org/media/2818/whats-reasonable-at-work.pdf" TargetMode="External"/><Relationship Id="rId10" Type="http://schemas.openxmlformats.org/officeDocument/2006/relationships/hyperlink" Target="https://www.england.nhs.uk/mental-health/adults/iapt/" TargetMode="External"/><Relationship Id="rId31" Type="http://schemas.openxmlformats.org/officeDocument/2006/relationships/hyperlink" Target="https://www.nice.org.uk/terms-and-conditions" TargetMode="External"/><Relationship Id="rId44" Type="http://schemas.openxmlformats.org/officeDocument/2006/relationships/hyperlink" Target="https://www.ons.gov.uk/" TargetMode="External"/><Relationship Id="rId52" Type="http://schemas.openxmlformats.org/officeDocument/2006/relationships/hyperlink" Target="https://www.citizensadvice.org.uk/Global/CitizensAdvice/Public%20services%20publications/Joining%20the%20dots%20-%20Citizens%20Advice%20report%20(1).pdf" TargetMode="External"/><Relationship Id="rId60" Type="http://schemas.openxmlformats.org/officeDocument/2006/relationships/hyperlink" Target="https://assets.publishing.service.gov.uk/media/5efcc303d3bf7f768e27c64d/Mrs_S_Hill_v_Lloyds_Bank_Plc_UKEAT_0173_19_LA.pdf" TargetMode="External"/><Relationship Id="rId65" Type="http://schemas.openxmlformats.org/officeDocument/2006/relationships/hyperlink" Target="https://assets.publishing.service.gov.uk/government/uploads/system/uploads/attachment_data/file/658145/thriving-at-work-stevenson-farmer-review.pdf" TargetMode="External"/><Relationship Id="rId73" Type="http://schemas.openxmlformats.org/officeDocument/2006/relationships/hyperlink" Target="https://www.rcn.org.uk/healthy-workplace" TargetMode="External"/><Relationship Id="rId78" Type="http://schemas.openxmlformats.org/officeDocument/2006/relationships/hyperlink" Target="https://www.ncbi.nlm.nih.gov/pmc/articles/PMC4009564/" TargetMode="External"/><Relationship Id="rId81" Type="http://schemas.openxmlformats.org/officeDocument/2006/relationships/hyperlink" Target="https://www.myhrtoolkit.com/blog/bradford-factor-and-disability" TargetMode="External"/><Relationship Id="rId86" Type="http://schemas.openxmlformats.org/officeDocument/2006/relationships/hyperlink" Target="https://www.decodeme.org.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hse.gov.uk/statistics/causdis/stress.pdf" TargetMode="External"/><Relationship Id="rId1" Type="http://schemas.openxmlformats.org/officeDocument/2006/relationships/hyperlink" Target="https://www.gov.uk/government/statistics/health-in-the-workplace-patterns-of-sickness-absence-employer-support-and-employment-ret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15660</Words>
  <Characters>99347</Characters>
  <Application>Microsoft Office Word</Application>
  <DocSecurity>0</DocSecurity>
  <Lines>827</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114778</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2020-12-01T14:30:00Z</dcterms:created>
  <dcterms:modified xsi:type="dcterms:W3CDTF">2020-12-01T14:30:00Z</dcterms:modified>
</cp:coreProperties>
</file>