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51A2C" w14:textId="475A0B67" w:rsidR="002C296A" w:rsidRPr="00582451" w:rsidRDefault="002C296A" w:rsidP="0058245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bookmarkStart w:id="10" w:name="_Toc103788099"/>
      <w:bookmarkStart w:id="11" w:name="_Toc108708686"/>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bookmarkEnd w:id="10"/>
      <w:bookmarkEnd w:id="11"/>
    </w:p>
    <w:p w14:paraId="08F9E121" w14:textId="77777777" w:rsidR="002C296A" w:rsidRPr="0067455E" w:rsidRDefault="002C296A" w:rsidP="00CE4759">
      <w:pPr>
        <w:pStyle w:val="Title"/>
      </w:pPr>
      <w:bookmarkStart w:id="12" w:name="_Toc66781445"/>
      <w:bookmarkStart w:id="13" w:name="_Toc71289373"/>
      <w:bookmarkStart w:id="14" w:name="_Toc71289581"/>
      <w:bookmarkStart w:id="15" w:name="_Toc71289680"/>
      <w:bookmarkStart w:id="16" w:name="_Toc71290373"/>
      <w:bookmarkStart w:id="17" w:name="_Toc71542838"/>
      <w:bookmarkStart w:id="18" w:name="_Toc103788100"/>
      <w:bookmarkStart w:id="19" w:name="_Toc357694772"/>
      <w:bookmarkStart w:id="20" w:name="_Toc365024198"/>
      <w:bookmarkStart w:id="21" w:name="_Toc432164923"/>
      <w:bookmarkStart w:id="22" w:name="_Toc467141964"/>
      <w:bookmarkStart w:id="23" w:name="_Toc108708687"/>
      <w:r w:rsidRPr="0067455E">
        <w:t>Quality standards</w:t>
      </w:r>
      <w:bookmarkEnd w:id="12"/>
      <w:bookmarkEnd w:id="13"/>
      <w:bookmarkEnd w:id="14"/>
      <w:bookmarkEnd w:id="15"/>
      <w:bookmarkEnd w:id="16"/>
      <w:bookmarkEnd w:id="17"/>
      <w:bookmarkEnd w:id="18"/>
      <w:bookmarkEnd w:id="23"/>
      <w:r w:rsidRPr="0067455E">
        <w:t xml:space="preserve"> </w:t>
      </w:r>
      <w:bookmarkEnd w:id="19"/>
      <w:bookmarkEnd w:id="20"/>
      <w:bookmarkEnd w:id="21"/>
      <w:bookmarkEnd w:id="22"/>
    </w:p>
    <w:p w14:paraId="753E6BFA" w14:textId="28AD23FC" w:rsidR="002C296A" w:rsidRPr="0067455E" w:rsidRDefault="002C296A" w:rsidP="00CE4759">
      <w:pPr>
        <w:pStyle w:val="Title"/>
      </w:pPr>
      <w:bookmarkStart w:id="24" w:name="_Toc357694773"/>
      <w:bookmarkStart w:id="25" w:name="_Toc365024199"/>
      <w:bookmarkStart w:id="26" w:name="_Toc432164924"/>
      <w:bookmarkStart w:id="27" w:name="_Toc467141965"/>
      <w:bookmarkStart w:id="28" w:name="_Toc66781446"/>
      <w:bookmarkStart w:id="29" w:name="_Toc71289374"/>
      <w:bookmarkStart w:id="30" w:name="_Toc71289582"/>
      <w:bookmarkStart w:id="31" w:name="_Toc71289681"/>
      <w:bookmarkStart w:id="32" w:name="_Toc71290374"/>
      <w:bookmarkStart w:id="33" w:name="_Toc71542839"/>
      <w:bookmarkStart w:id="34" w:name="_Toc103788101"/>
      <w:bookmarkStart w:id="35" w:name="_Toc108708688"/>
      <w:r w:rsidRPr="0067455E">
        <w:t>Briefing paper</w:t>
      </w:r>
      <w:bookmarkEnd w:id="24"/>
      <w:bookmarkEnd w:id="25"/>
      <w:bookmarkEnd w:id="26"/>
      <w:bookmarkEnd w:id="27"/>
      <w:bookmarkEnd w:id="28"/>
      <w:r w:rsidR="008148A2">
        <w:t xml:space="preserve">: </w:t>
      </w:r>
      <w:bookmarkEnd w:id="29"/>
      <w:bookmarkEnd w:id="30"/>
      <w:bookmarkEnd w:id="31"/>
      <w:bookmarkEnd w:id="32"/>
      <w:bookmarkEnd w:id="33"/>
      <w:r w:rsidR="0056669A" w:rsidRPr="0056669A">
        <w:t>Chronic heart failure in adults (update)</w:t>
      </w:r>
      <w:bookmarkEnd w:id="34"/>
      <w:bookmarkEnd w:id="35"/>
    </w:p>
    <w:p w14:paraId="76C1507A" w14:textId="62CEAAC2" w:rsidR="008A6367" w:rsidRDefault="00DD1BFE" w:rsidP="00DD1BFE">
      <w:pPr>
        <w:pStyle w:val="Paragraph"/>
      </w:pPr>
      <w:r w:rsidRPr="00582451">
        <w:rPr>
          <w:b/>
          <w:bCs/>
        </w:rPr>
        <w:t>Quality Standards Advisory Committee meeting</w:t>
      </w:r>
      <w:r w:rsidRPr="000D48CF">
        <w:rPr>
          <w:rStyle w:val="Addbold"/>
        </w:rPr>
        <w:t>:</w:t>
      </w:r>
      <w:r w:rsidRPr="005A61AD">
        <w:t xml:space="preserve"> </w:t>
      </w:r>
      <w:r w:rsidR="00656917">
        <w:t>25 May 2022</w:t>
      </w:r>
      <w:r w:rsidR="00414915">
        <w:t xml:space="preserve"> </w:t>
      </w:r>
    </w:p>
    <w:p w14:paraId="7472FA73" w14:textId="77777777" w:rsidR="002D09CC" w:rsidRDefault="002C296A" w:rsidP="00702177">
      <w:pPr>
        <w:pStyle w:val="Heading1"/>
        <w:rPr>
          <w:noProof/>
        </w:rPr>
      </w:pPr>
      <w:bookmarkStart w:id="36" w:name="_Toc365024200"/>
      <w:bookmarkStart w:id="37" w:name="_Toc432164925"/>
      <w:bookmarkStart w:id="38" w:name="_Toc467141966"/>
      <w:bookmarkStart w:id="39" w:name="_Toc66781447"/>
      <w:bookmarkStart w:id="40" w:name="_Toc71289375"/>
      <w:bookmarkStart w:id="41" w:name="_Toc71289583"/>
      <w:bookmarkStart w:id="42" w:name="_Toc71289682"/>
      <w:bookmarkStart w:id="43" w:name="_Toc71290375"/>
      <w:bookmarkStart w:id="44" w:name="_Toc71542840"/>
      <w:bookmarkStart w:id="45" w:name="_Toc103788102"/>
      <w:bookmarkStart w:id="46" w:name="_Toc108708689"/>
      <w:r w:rsidRPr="0067455E">
        <w:t>Contents</w:t>
      </w:r>
      <w:bookmarkEnd w:id="36"/>
      <w:bookmarkEnd w:id="37"/>
      <w:bookmarkEnd w:id="38"/>
      <w:bookmarkEnd w:id="39"/>
      <w:bookmarkEnd w:id="40"/>
      <w:bookmarkEnd w:id="41"/>
      <w:bookmarkEnd w:id="42"/>
      <w:bookmarkEnd w:id="43"/>
      <w:bookmarkEnd w:id="44"/>
      <w:bookmarkEnd w:id="45"/>
      <w:bookmarkEnd w:id="46"/>
      <w:r w:rsidR="00702177">
        <w:fldChar w:fldCharType="begin"/>
      </w:r>
      <w:r w:rsidR="00702177">
        <w:instrText xml:space="preserve"> TOC \o "1-2" \h \z \u </w:instrText>
      </w:r>
      <w:r w:rsidR="00702177">
        <w:fldChar w:fldCharType="separate"/>
      </w:r>
    </w:p>
    <w:p w14:paraId="19AF2571" w14:textId="65867415" w:rsidR="002D09CC" w:rsidRDefault="002D09CC">
      <w:pPr>
        <w:pStyle w:val="TOC1"/>
        <w:rPr>
          <w:rFonts w:asciiTheme="minorHAnsi" w:eastAsiaTheme="minorEastAsia" w:hAnsiTheme="minorHAnsi" w:cstheme="minorBidi"/>
          <w:sz w:val="22"/>
          <w:szCs w:val="22"/>
          <w:lang w:eastAsia="en-GB"/>
        </w:rPr>
      </w:pPr>
      <w:hyperlink w:anchor="_Toc108708690" w:history="1">
        <w:r w:rsidRPr="00D20BDD">
          <w:rPr>
            <w:rStyle w:val="Hyperlink"/>
          </w:rPr>
          <w:t>1</w:t>
        </w:r>
        <w:r>
          <w:rPr>
            <w:rFonts w:asciiTheme="minorHAnsi" w:eastAsiaTheme="minorEastAsia" w:hAnsiTheme="minorHAnsi" w:cstheme="minorBidi"/>
            <w:sz w:val="22"/>
            <w:szCs w:val="22"/>
            <w:lang w:eastAsia="en-GB"/>
          </w:rPr>
          <w:tab/>
        </w:r>
        <w:r w:rsidRPr="00D20BDD">
          <w:rPr>
            <w:rStyle w:val="Hyperlink"/>
          </w:rPr>
          <w:t>Introduction</w:t>
        </w:r>
        <w:r>
          <w:rPr>
            <w:webHidden/>
          </w:rPr>
          <w:tab/>
        </w:r>
        <w:r>
          <w:rPr>
            <w:webHidden/>
          </w:rPr>
          <w:fldChar w:fldCharType="begin"/>
        </w:r>
        <w:r>
          <w:rPr>
            <w:webHidden/>
          </w:rPr>
          <w:instrText xml:space="preserve"> PAGEREF _Toc108708690 \h </w:instrText>
        </w:r>
        <w:r>
          <w:rPr>
            <w:webHidden/>
          </w:rPr>
        </w:r>
        <w:r>
          <w:rPr>
            <w:webHidden/>
          </w:rPr>
          <w:fldChar w:fldCharType="separate"/>
        </w:r>
        <w:r>
          <w:rPr>
            <w:webHidden/>
          </w:rPr>
          <w:t>2</w:t>
        </w:r>
        <w:r>
          <w:rPr>
            <w:webHidden/>
          </w:rPr>
          <w:fldChar w:fldCharType="end"/>
        </w:r>
      </w:hyperlink>
    </w:p>
    <w:p w14:paraId="7030236B" w14:textId="012955FD" w:rsidR="002D09CC" w:rsidRDefault="002D09CC">
      <w:pPr>
        <w:pStyle w:val="TOC1"/>
        <w:rPr>
          <w:rFonts w:asciiTheme="minorHAnsi" w:eastAsiaTheme="minorEastAsia" w:hAnsiTheme="minorHAnsi" w:cstheme="minorBidi"/>
          <w:sz w:val="22"/>
          <w:szCs w:val="22"/>
          <w:lang w:eastAsia="en-GB"/>
        </w:rPr>
      </w:pPr>
      <w:hyperlink w:anchor="_Toc108708692" w:history="1">
        <w:r w:rsidRPr="00D20BDD">
          <w:rPr>
            <w:rStyle w:val="Hyperlink"/>
          </w:rPr>
          <w:t>2</w:t>
        </w:r>
        <w:r>
          <w:rPr>
            <w:rFonts w:asciiTheme="minorHAnsi" w:eastAsiaTheme="minorEastAsia" w:hAnsiTheme="minorHAnsi" w:cstheme="minorBidi"/>
            <w:sz w:val="22"/>
            <w:szCs w:val="22"/>
            <w:lang w:eastAsia="en-GB"/>
          </w:rPr>
          <w:tab/>
        </w:r>
        <w:r w:rsidRPr="00D20BDD">
          <w:rPr>
            <w:rStyle w:val="Hyperlink"/>
          </w:rPr>
          <w:t>Overview</w:t>
        </w:r>
        <w:r>
          <w:rPr>
            <w:webHidden/>
          </w:rPr>
          <w:tab/>
        </w:r>
        <w:r>
          <w:rPr>
            <w:webHidden/>
          </w:rPr>
          <w:fldChar w:fldCharType="begin"/>
        </w:r>
        <w:r>
          <w:rPr>
            <w:webHidden/>
          </w:rPr>
          <w:instrText xml:space="preserve"> PAGEREF _Toc108708692 \h </w:instrText>
        </w:r>
        <w:r>
          <w:rPr>
            <w:webHidden/>
          </w:rPr>
        </w:r>
        <w:r>
          <w:rPr>
            <w:webHidden/>
          </w:rPr>
          <w:fldChar w:fldCharType="separate"/>
        </w:r>
        <w:r>
          <w:rPr>
            <w:webHidden/>
          </w:rPr>
          <w:t>2</w:t>
        </w:r>
        <w:r>
          <w:rPr>
            <w:webHidden/>
          </w:rPr>
          <w:fldChar w:fldCharType="end"/>
        </w:r>
      </w:hyperlink>
    </w:p>
    <w:p w14:paraId="2CA9DC43" w14:textId="780C4DFD" w:rsidR="002D09CC" w:rsidRDefault="002D09CC">
      <w:pPr>
        <w:pStyle w:val="TOC1"/>
        <w:rPr>
          <w:rFonts w:asciiTheme="minorHAnsi" w:eastAsiaTheme="minorEastAsia" w:hAnsiTheme="minorHAnsi" w:cstheme="minorBidi"/>
          <w:sz w:val="22"/>
          <w:szCs w:val="22"/>
          <w:lang w:eastAsia="en-GB"/>
        </w:rPr>
      </w:pPr>
      <w:hyperlink w:anchor="_Toc108708697" w:history="1">
        <w:r w:rsidRPr="00D20BDD">
          <w:rPr>
            <w:rStyle w:val="Hyperlink"/>
          </w:rPr>
          <w:t>3</w:t>
        </w:r>
        <w:r>
          <w:rPr>
            <w:rFonts w:asciiTheme="minorHAnsi" w:eastAsiaTheme="minorEastAsia" w:hAnsiTheme="minorHAnsi" w:cstheme="minorBidi"/>
            <w:sz w:val="22"/>
            <w:szCs w:val="22"/>
            <w:lang w:eastAsia="en-GB"/>
          </w:rPr>
          <w:tab/>
        </w:r>
        <w:r w:rsidRPr="00D20BDD">
          <w:rPr>
            <w:rStyle w:val="Hyperlink"/>
          </w:rPr>
          <w:t>Summary of suggestions</w:t>
        </w:r>
        <w:r>
          <w:rPr>
            <w:webHidden/>
          </w:rPr>
          <w:tab/>
        </w:r>
        <w:r>
          <w:rPr>
            <w:webHidden/>
          </w:rPr>
          <w:fldChar w:fldCharType="begin"/>
        </w:r>
        <w:r>
          <w:rPr>
            <w:webHidden/>
          </w:rPr>
          <w:instrText xml:space="preserve"> PAGEREF _Toc108708697 \h </w:instrText>
        </w:r>
        <w:r>
          <w:rPr>
            <w:webHidden/>
          </w:rPr>
        </w:r>
        <w:r>
          <w:rPr>
            <w:webHidden/>
          </w:rPr>
          <w:fldChar w:fldCharType="separate"/>
        </w:r>
        <w:r>
          <w:rPr>
            <w:webHidden/>
          </w:rPr>
          <w:t>4</w:t>
        </w:r>
        <w:r>
          <w:rPr>
            <w:webHidden/>
          </w:rPr>
          <w:fldChar w:fldCharType="end"/>
        </w:r>
      </w:hyperlink>
    </w:p>
    <w:p w14:paraId="4FDF874D" w14:textId="4757161F" w:rsidR="002D09CC" w:rsidRDefault="002D09CC">
      <w:pPr>
        <w:pStyle w:val="TOC1"/>
        <w:rPr>
          <w:rFonts w:asciiTheme="minorHAnsi" w:eastAsiaTheme="minorEastAsia" w:hAnsiTheme="minorHAnsi" w:cstheme="minorBidi"/>
          <w:sz w:val="22"/>
          <w:szCs w:val="22"/>
          <w:lang w:eastAsia="en-GB"/>
        </w:rPr>
      </w:pPr>
      <w:hyperlink w:anchor="_Toc108708700" w:history="1">
        <w:r w:rsidRPr="00D20BDD">
          <w:rPr>
            <w:rStyle w:val="Hyperlink"/>
          </w:rPr>
          <w:t>4</w:t>
        </w:r>
        <w:r>
          <w:rPr>
            <w:rFonts w:asciiTheme="minorHAnsi" w:eastAsiaTheme="minorEastAsia" w:hAnsiTheme="minorHAnsi" w:cstheme="minorBidi"/>
            <w:sz w:val="22"/>
            <w:szCs w:val="22"/>
            <w:lang w:eastAsia="en-GB"/>
          </w:rPr>
          <w:tab/>
        </w:r>
        <w:r w:rsidRPr="00D20BDD">
          <w:rPr>
            <w:rStyle w:val="Hyperlink"/>
          </w:rPr>
          <w:t>Suggested improvement areas</w:t>
        </w:r>
        <w:r>
          <w:rPr>
            <w:webHidden/>
          </w:rPr>
          <w:tab/>
        </w:r>
        <w:r>
          <w:rPr>
            <w:webHidden/>
          </w:rPr>
          <w:fldChar w:fldCharType="begin"/>
        </w:r>
        <w:r>
          <w:rPr>
            <w:webHidden/>
          </w:rPr>
          <w:instrText xml:space="preserve"> PAGEREF _Toc108708700 \h </w:instrText>
        </w:r>
        <w:r>
          <w:rPr>
            <w:webHidden/>
          </w:rPr>
        </w:r>
        <w:r>
          <w:rPr>
            <w:webHidden/>
          </w:rPr>
          <w:fldChar w:fldCharType="separate"/>
        </w:r>
        <w:r>
          <w:rPr>
            <w:webHidden/>
          </w:rPr>
          <w:t>6</w:t>
        </w:r>
        <w:r>
          <w:rPr>
            <w:webHidden/>
          </w:rPr>
          <w:fldChar w:fldCharType="end"/>
        </w:r>
      </w:hyperlink>
    </w:p>
    <w:p w14:paraId="4D566D2A" w14:textId="1D2F4819" w:rsidR="002D09CC" w:rsidRDefault="002D09CC">
      <w:pPr>
        <w:pStyle w:val="TOC2"/>
        <w:tabs>
          <w:tab w:val="left" w:pos="1276"/>
          <w:tab w:val="right" w:leader="dot" w:pos="9016"/>
        </w:tabs>
        <w:rPr>
          <w:rFonts w:asciiTheme="minorHAnsi" w:eastAsiaTheme="minorEastAsia" w:hAnsiTheme="minorHAnsi" w:cstheme="minorBidi"/>
          <w:noProof/>
          <w:sz w:val="22"/>
          <w:szCs w:val="22"/>
        </w:rPr>
      </w:pPr>
      <w:hyperlink w:anchor="_Toc108708701" w:history="1">
        <w:r w:rsidRPr="00D20BDD">
          <w:rPr>
            <w:rStyle w:val="Hyperlink"/>
            <w:noProof/>
          </w:rPr>
          <w:t>4.1</w:t>
        </w:r>
        <w:r>
          <w:rPr>
            <w:rFonts w:asciiTheme="minorHAnsi" w:eastAsiaTheme="minorEastAsia" w:hAnsiTheme="minorHAnsi" w:cstheme="minorBidi"/>
            <w:noProof/>
            <w:sz w:val="22"/>
            <w:szCs w:val="22"/>
          </w:rPr>
          <w:tab/>
        </w:r>
        <w:r w:rsidRPr="00D20BDD">
          <w:rPr>
            <w:rStyle w:val="Hyperlink"/>
            <w:noProof/>
          </w:rPr>
          <w:t>Diagnosis</w:t>
        </w:r>
        <w:r>
          <w:rPr>
            <w:noProof/>
            <w:webHidden/>
          </w:rPr>
          <w:tab/>
        </w:r>
        <w:r>
          <w:rPr>
            <w:noProof/>
            <w:webHidden/>
          </w:rPr>
          <w:fldChar w:fldCharType="begin"/>
        </w:r>
        <w:r>
          <w:rPr>
            <w:noProof/>
            <w:webHidden/>
          </w:rPr>
          <w:instrText xml:space="preserve"> PAGEREF _Toc108708701 \h </w:instrText>
        </w:r>
        <w:r>
          <w:rPr>
            <w:noProof/>
            <w:webHidden/>
          </w:rPr>
        </w:r>
        <w:r>
          <w:rPr>
            <w:noProof/>
            <w:webHidden/>
          </w:rPr>
          <w:fldChar w:fldCharType="separate"/>
        </w:r>
        <w:r>
          <w:rPr>
            <w:noProof/>
            <w:webHidden/>
          </w:rPr>
          <w:t>6</w:t>
        </w:r>
        <w:r>
          <w:rPr>
            <w:noProof/>
            <w:webHidden/>
          </w:rPr>
          <w:fldChar w:fldCharType="end"/>
        </w:r>
      </w:hyperlink>
    </w:p>
    <w:p w14:paraId="07A6B615" w14:textId="7DC8AB3F" w:rsidR="002D09CC" w:rsidRDefault="002D09CC">
      <w:pPr>
        <w:pStyle w:val="TOC2"/>
        <w:tabs>
          <w:tab w:val="left" w:pos="1276"/>
          <w:tab w:val="right" w:leader="dot" w:pos="9016"/>
        </w:tabs>
        <w:rPr>
          <w:rFonts w:asciiTheme="minorHAnsi" w:eastAsiaTheme="minorEastAsia" w:hAnsiTheme="minorHAnsi" w:cstheme="minorBidi"/>
          <w:noProof/>
          <w:sz w:val="22"/>
          <w:szCs w:val="22"/>
        </w:rPr>
      </w:pPr>
      <w:hyperlink w:anchor="_Toc108708702" w:history="1">
        <w:r w:rsidRPr="00D20BDD">
          <w:rPr>
            <w:rStyle w:val="Hyperlink"/>
            <w:noProof/>
          </w:rPr>
          <w:t>4.2</w:t>
        </w:r>
        <w:r>
          <w:rPr>
            <w:rFonts w:asciiTheme="minorHAnsi" w:eastAsiaTheme="minorEastAsia" w:hAnsiTheme="minorHAnsi" w:cstheme="minorBidi"/>
            <w:noProof/>
            <w:sz w:val="22"/>
            <w:szCs w:val="22"/>
          </w:rPr>
          <w:tab/>
        </w:r>
        <w:r w:rsidRPr="00D20BDD">
          <w:rPr>
            <w:rStyle w:val="Hyperlink"/>
            <w:noProof/>
          </w:rPr>
          <w:t>Cardiac Rehabilitation</w:t>
        </w:r>
        <w:r>
          <w:rPr>
            <w:noProof/>
            <w:webHidden/>
          </w:rPr>
          <w:tab/>
        </w:r>
        <w:r>
          <w:rPr>
            <w:noProof/>
            <w:webHidden/>
          </w:rPr>
          <w:fldChar w:fldCharType="begin"/>
        </w:r>
        <w:r>
          <w:rPr>
            <w:noProof/>
            <w:webHidden/>
          </w:rPr>
          <w:instrText xml:space="preserve"> PAGEREF _Toc108708702 \h </w:instrText>
        </w:r>
        <w:r>
          <w:rPr>
            <w:noProof/>
            <w:webHidden/>
          </w:rPr>
        </w:r>
        <w:r>
          <w:rPr>
            <w:noProof/>
            <w:webHidden/>
          </w:rPr>
          <w:fldChar w:fldCharType="separate"/>
        </w:r>
        <w:r>
          <w:rPr>
            <w:noProof/>
            <w:webHidden/>
          </w:rPr>
          <w:t>8</w:t>
        </w:r>
        <w:r>
          <w:rPr>
            <w:noProof/>
            <w:webHidden/>
          </w:rPr>
          <w:fldChar w:fldCharType="end"/>
        </w:r>
      </w:hyperlink>
    </w:p>
    <w:p w14:paraId="21A40498" w14:textId="5851080B" w:rsidR="002D09CC" w:rsidRDefault="002D09CC">
      <w:pPr>
        <w:pStyle w:val="TOC2"/>
        <w:tabs>
          <w:tab w:val="left" w:pos="1276"/>
          <w:tab w:val="right" w:leader="dot" w:pos="9016"/>
        </w:tabs>
        <w:rPr>
          <w:rFonts w:asciiTheme="minorHAnsi" w:eastAsiaTheme="minorEastAsia" w:hAnsiTheme="minorHAnsi" w:cstheme="minorBidi"/>
          <w:noProof/>
          <w:sz w:val="22"/>
          <w:szCs w:val="22"/>
        </w:rPr>
      </w:pPr>
      <w:hyperlink w:anchor="_Toc108708703" w:history="1">
        <w:r w:rsidRPr="00D20BDD">
          <w:rPr>
            <w:rStyle w:val="Hyperlink"/>
            <w:noProof/>
          </w:rPr>
          <w:t>4.3</w:t>
        </w:r>
        <w:r>
          <w:rPr>
            <w:rFonts w:asciiTheme="minorHAnsi" w:eastAsiaTheme="minorEastAsia" w:hAnsiTheme="minorHAnsi" w:cstheme="minorBidi"/>
            <w:noProof/>
            <w:sz w:val="22"/>
            <w:szCs w:val="22"/>
          </w:rPr>
          <w:tab/>
        </w:r>
        <w:r w:rsidRPr="00D20BDD">
          <w:rPr>
            <w:rStyle w:val="Hyperlink"/>
            <w:noProof/>
          </w:rPr>
          <w:t>Service Delivery</w:t>
        </w:r>
        <w:r>
          <w:rPr>
            <w:noProof/>
            <w:webHidden/>
          </w:rPr>
          <w:tab/>
        </w:r>
        <w:r>
          <w:rPr>
            <w:noProof/>
            <w:webHidden/>
          </w:rPr>
          <w:fldChar w:fldCharType="begin"/>
        </w:r>
        <w:r>
          <w:rPr>
            <w:noProof/>
            <w:webHidden/>
          </w:rPr>
          <w:instrText xml:space="preserve"> PAGEREF _Toc108708703 \h </w:instrText>
        </w:r>
        <w:r>
          <w:rPr>
            <w:noProof/>
            <w:webHidden/>
          </w:rPr>
        </w:r>
        <w:r>
          <w:rPr>
            <w:noProof/>
            <w:webHidden/>
          </w:rPr>
          <w:fldChar w:fldCharType="separate"/>
        </w:r>
        <w:r>
          <w:rPr>
            <w:noProof/>
            <w:webHidden/>
          </w:rPr>
          <w:t>10</w:t>
        </w:r>
        <w:r>
          <w:rPr>
            <w:noProof/>
            <w:webHidden/>
          </w:rPr>
          <w:fldChar w:fldCharType="end"/>
        </w:r>
      </w:hyperlink>
    </w:p>
    <w:p w14:paraId="2C510134" w14:textId="2BBFAD48" w:rsidR="002D09CC" w:rsidRDefault="002D09CC">
      <w:pPr>
        <w:pStyle w:val="TOC2"/>
        <w:tabs>
          <w:tab w:val="left" w:pos="1276"/>
          <w:tab w:val="right" w:leader="dot" w:pos="9016"/>
        </w:tabs>
        <w:rPr>
          <w:rFonts w:asciiTheme="minorHAnsi" w:eastAsiaTheme="minorEastAsia" w:hAnsiTheme="minorHAnsi" w:cstheme="minorBidi"/>
          <w:noProof/>
          <w:sz w:val="22"/>
          <w:szCs w:val="22"/>
        </w:rPr>
      </w:pPr>
      <w:hyperlink w:anchor="_Toc108708704" w:history="1">
        <w:r w:rsidRPr="00D20BDD">
          <w:rPr>
            <w:rStyle w:val="Hyperlink"/>
            <w:noProof/>
          </w:rPr>
          <w:t>4.4</w:t>
        </w:r>
        <w:r>
          <w:rPr>
            <w:rFonts w:asciiTheme="minorHAnsi" w:eastAsiaTheme="minorEastAsia" w:hAnsiTheme="minorHAnsi" w:cstheme="minorBidi"/>
            <w:noProof/>
            <w:sz w:val="22"/>
            <w:szCs w:val="22"/>
          </w:rPr>
          <w:tab/>
        </w:r>
        <w:r w:rsidRPr="00D20BDD">
          <w:rPr>
            <w:rStyle w:val="Hyperlink"/>
            <w:noProof/>
          </w:rPr>
          <w:t>Treating heart failure with reduced ejection fraction</w:t>
        </w:r>
        <w:r>
          <w:rPr>
            <w:noProof/>
            <w:webHidden/>
          </w:rPr>
          <w:tab/>
        </w:r>
        <w:r>
          <w:rPr>
            <w:noProof/>
            <w:webHidden/>
          </w:rPr>
          <w:fldChar w:fldCharType="begin"/>
        </w:r>
        <w:r>
          <w:rPr>
            <w:noProof/>
            <w:webHidden/>
          </w:rPr>
          <w:instrText xml:space="preserve"> PAGEREF _Toc108708704 \h </w:instrText>
        </w:r>
        <w:r>
          <w:rPr>
            <w:noProof/>
            <w:webHidden/>
          </w:rPr>
        </w:r>
        <w:r>
          <w:rPr>
            <w:noProof/>
            <w:webHidden/>
          </w:rPr>
          <w:fldChar w:fldCharType="separate"/>
        </w:r>
        <w:r>
          <w:rPr>
            <w:noProof/>
            <w:webHidden/>
          </w:rPr>
          <w:t>16</w:t>
        </w:r>
        <w:r>
          <w:rPr>
            <w:noProof/>
            <w:webHidden/>
          </w:rPr>
          <w:fldChar w:fldCharType="end"/>
        </w:r>
      </w:hyperlink>
    </w:p>
    <w:p w14:paraId="3AA7F465" w14:textId="0E603768" w:rsidR="002D09CC" w:rsidRDefault="002D09CC">
      <w:pPr>
        <w:pStyle w:val="TOC2"/>
        <w:tabs>
          <w:tab w:val="left" w:pos="1276"/>
          <w:tab w:val="right" w:leader="dot" w:pos="9016"/>
        </w:tabs>
        <w:rPr>
          <w:rFonts w:asciiTheme="minorHAnsi" w:eastAsiaTheme="minorEastAsia" w:hAnsiTheme="minorHAnsi" w:cstheme="minorBidi"/>
          <w:noProof/>
          <w:sz w:val="22"/>
          <w:szCs w:val="22"/>
        </w:rPr>
      </w:pPr>
      <w:hyperlink w:anchor="_Toc108708705" w:history="1">
        <w:r w:rsidRPr="00D20BDD">
          <w:rPr>
            <w:rStyle w:val="Hyperlink"/>
            <w:noProof/>
          </w:rPr>
          <w:t>4.5</w:t>
        </w:r>
        <w:r>
          <w:rPr>
            <w:rFonts w:asciiTheme="minorHAnsi" w:eastAsiaTheme="minorEastAsia" w:hAnsiTheme="minorHAnsi" w:cstheme="minorBidi"/>
            <w:noProof/>
            <w:sz w:val="22"/>
            <w:szCs w:val="22"/>
          </w:rPr>
          <w:tab/>
        </w:r>
        <w:r w:rsidRPr="00D20BDD">
          <w:rPr>
            <w:rStyle w:val="Hyperlink"/>
            <w:noProof/>
          </w:rPr>
          <w:t>Treating heart failure with preserved ejection fraction</w:t>
        </w:r>
        <w:r>
          <w:rPr>
            <w:noProof/>
            <w:webHidden/>
          </w:rPr>
          <w:tab/>
        </w:r>
        <w:r>
          <w:rPr>
            <w:noProof/>
            <w:webHidden/>
          </w:rPr>
          <w:fldChar w:fldCharType="begin"/>
        </w:r>
        <w:r>
          <w:rPr>
            <w:noProof/>
            <w:webHidden/>
          </w:rPr>
          <w:instrText xml:space="preserve"> PAGEREF _Toc108708705 \h </w:instrText>
        </w:r>
        <w:r>
          <w:rPr>
            <w:noProof/>
            <w:webHidden/>
          </w:rPr>
        </w:r>
        <w:r>
          <w:rPr>
            <w:noProof/>
            <w:webHidden/>
          </w:rPr>
          <w:fldChar w:fldCharType="separate"/>
        </w:r>
        <w:r>
          <w:rPr>
            <w:noProof/>
            <w:webHidden/>
          </w:rPr>
          <w:t>19</w:t>
        </w:r>
        <w:r>
          <w:rPr>
            <w:noProof/>
            <w:webHidden/>
          </w:rPr>
          <w:fldChar w:fldCharType="end"/>
        </w:r>
      </w:hyperlink>
    </w:p>
    <w:p w14:paraId="58578BA0" w14:textId="194CEB10" w:rsidR="002D09CC" w:rsidRDefault="002D09CC">
      <w:pPr>
        <w:pStyle w:val="TOC2"/>
        <w:tabs>
          <w:tab w:val="left" w:pos="1276"/>
          <w:tab w:val="right" w:leader="dot" w:pos="9016"/>
        </w:tabs>
        <w:rPr>
          <w:rFonts w:asciiTheme="minorHAnsi" w:eastAsiaTheme="minorEastAsia" w:hAnsiTheme="minorHAnsi" w:cstheme="minorBidi"/>
          <w:noProof/>
          <w:sz w:val="22"/>
          <w:szCs w:val="22"/>
        </w:rPr>
      </w:pPr>
      <w:hyperlink w:anchor="_Toc108708706" w:history="1">
        <w:r w:rsidRPr="00D20BDD">
          <w:rPr>
            <w:rStyle w:val="Hyperlink"/>
            <w:noProof/>
          </w:rPr>
          <w:t>4.6</w:t>
        </w:r>
        <w:r>
          <w:rPr>
            <w:rFonts w:asciiTheme="minorHAnsi" w:eastAsiaTheme="minorEastAsia" w:hAnsiTheme="minorHAnsi" w:cstheme="minorBidi"/>
            <w:noProof/>
            <w:sz w:val="22"/>
            <w:szCs w:val="22"/>
          </w:rPr>
          <w:tab/>
        </w:r>
        <w:r w:rsidRPr="00D20BDD">
          <w:rPr>
            <w:rStyle w:val="Hyperlink"/>
            <w:noProof/>
          </w:rPr>
          <w:t>Additional areas</w:t>
        </w:r>
        <w:r>
          <w:rPr>
            <w:noProof/>
            <w:webHidden/>
          </w:rPr>
          <w:tab/>
        </w:r>
        <w:r>
          <w:rPr>
            <w:noProof/>
            <w:webHidden/>
          </w:rPr>
          <w:fldChar w:fldCharType="begin"/>
        </w:r>
        <w:r>
          <w:rPr>
            <w:noProof/>
            <w:webHidden/>
          </w:rPr>
          <w:instrText xml:space="preserve"> PAGEREF _Toc108708706 \h </w:instrText>
        </w:r>
        <w:r>
          <w:rPr>
            <w:noProof/>
            <w:webHidden/>
          </w:rPr>
        </w:r>
        <w:r>
          <w:rPr>
            <w:noProof/>
            <w:webHidden/>
          </w:rPr>
          <w:fldChar w:fldCharType="separate"/>
        </w:r>
        <w:r>
          <w:rPr>
            <w:noProof/>
            <w:webHidden/>
          </w:rPr>
          <w:t>20</w:t>
        </w:r>
        <w:r>
          <w:rPr>
            <w:noProof/>
            <w:webHidden/>
          </w:rPr>
          <w:fldChar w:fldCharType="end"/>
        </w:r>
      </w:hyperlink>
    </w:p>
    <w:p w14:paraId="31945729" w14:textId="282F0C8A" w:rsidR="002D09CC" w:rsidRDefault="002D09CC">
      <w:pPr>
        <w:pStyle w:val="TOC1"/>
        <w:rPr>
          <w:rFonts w:asciiTheme="minorHAnsi" w:eastAsiaTheme="minorEastAsia" w:hAnsiTheme="minorHAnsi" w:cstheme="minorBidi"/>
          <w:sz w:val="22"/>
          <w:szCs w:val="22"/>
          <w:lang w:eastAsia="en-GB"/>
        </w:rPr>
      </w:pPr>
      <w:hyperlink w:anchor="_Toc108708707" w:history="1">
        <w:r w:rsidRPr="00D20BDD">
          <w:rPr>
            <w:rStyle w:val="Hyperlink"/>
          </w:rPr>
          <w:t>Appendix 1: Additional information</w:t>
        </w:r>
        <w:r>
          <w:rPr>
            <w:webHidden/>
          </w:rPr>
          <w:tab/>
        </w:r>
        <w:r>
          <w:rPr>
            <w:webHidden/>
          </w:rPr>
          <w:fldChar w:fldCharType="begin"/>
        </w:r>
        <w:r>
          <w:rPr>
            <w:webHidden/>
          </w:rPr>
          <w:instrText xml:space="preserve"> PAGEREF _Toc108708707 \h </w:instrText>
        </w:r>
        <w:r>
          <w:rPr>
            <w:webHidden/>
          </w:rPr>
        </w:r>
        <w:r>
          <w:rPr>
            <w:webHidden/>
          </w:rPr>
          <w:fldChar w:fldCharType="separate"/>
        </w:r>
        <w:r>
          <w:rPr>
            <w:webHidden/>
          </w:rPr>
          <w:t>22</w:t>
        </w:r>
        <w:r>
          <w:rPr>
            <w:webHidden/>
          </w:rPr>
          <w:fldChar w:fldCharType="end"/>
        </w:r>
      </w:hyperlink>
    </w:p>
    <w:p w14:paraId="22E0982A" w14:textId="4139AE73" w:rsidR="002D09CC" w:rsidRDefault="002D09CC">
      <w:pPr>
        <w:pStyle w:val="TOC1"/>
        <w:rPr>
          <w:rFonts w:asciiTheme="minorHAnsi" w:eastAsiaTheme="minorEastAsia" w:hAnsiTheme="minorHAnsi" w:cstheme="minorBidi"/>
          <w:sz w:val="22"/>
          <w:szCs w:val="22"/>
          <w:lang w:eastAsia="en-GB"/>
        </w:rPr>
      </w:pPr>
      <w:hyperlink w:anchor="_Toc108708708" w:history="1">
        <w:r w:rsidRPr="00D20BDD">
          <w:rPr>
            <w:rStyle w:val="Hyperlink"/>
          </w:rPr>
          <w:t>Appendix 2: Suggestions from registered stakeholders</w:t>
        </w:r>
        <w:r>
          <w:rPr>
            <w:webHidden/>
          </w:rPr>
          <w:tab/>
        </w:r>
        <w:r>
          <w:rPr>
            <w:webHidden/>
          </w:rPr>
          <w:fldChar w:fldCharType="begin"/>
        </w:r>
        <w:r>
          <w:rPr>
            <w:webHidden/>
          </w:rPr>
          <w:instrText xml:space="preserve"> PAGEREF _Toc108708708 \h </w:instrText>
        </w:r>
        <w:r>
          <w:rPr>
            <w:webHidden/>
          </w:rPr>
        </w:r>
        <w:r>
          <w:rPr>
            <w:webHidden/>
          </w:rPr>
          <w:fldChar w:fldCharType="separate"/>
        </w:r>
        <w:r>
          <w:rPr>
            <w:webHidden/>
          </w:rPr>
          <w:t>23</w:t>
        </w:r>
        <w:r>
          <w:rPr>
            <w:webHidden/>
          </w:rPr>
          <w:fldChar w:fldCharType="end"/>
        </w:r>
      </w:hyperlink>
    </w:p>
    <w:p w14:paraId="0DD6304B" w14:textId="77777777" w:rsidR="00A673EB" w:rsidRDefault="00702177" w:rsidP="00A673EB">
      <w:pPr>
        <w:pStyle w:val="NICEnormal"/>
      </w:pPr>
      <w:r>
        <w:fldChar w:fldCharType="end"/>
      </w:r>
    </w:p>
    <w:p w14:paraId="6D077447" w14:textId="77777777" w:rsidR="00A673EB" w:rsidRDefault="00A673EB">
      <w:pPr>
        <w:rPr>
          <w:rFonts w:ascii="Arial" w:hAnsi="Arial"/>
        </w:rPr>
      </w:pPr>
      <w:r>
        <w:br w:type="page"/>
      </w:r>
    </w:p>
    <w:p w14:paraId="5204A920" w14:textId="77777777" w:rsidR="002C296A" w:rsidRDefault="002C296A" w:rsidP="00A673EB">
      <w:pPr>
        <w:pStyle w:val="Numberedheading1"/>
      </w:pPr>
      <w:bookmarkStart w:id="47" w:name="_Toc108708690"/>
      <w:r w:rsidRPr="00A673EB">
        <w:t>Introduction</w:t>
      </w:r>
      <w:bookmarkEnd w:id="47"/>
    </w:p>
    <w:p w14:paraId="17D908AB" w14:textId="2611771F" w:rsidR="002C296A" w:rsidRPr="00E10156" w:rsidRDefault="002C296A" w:rsidP="00BB4634">
      <w:pPr>
        <w:pStyle w:val="Paragraph"/>
      </w:pPr>
      <w:r w:rsidRPr="00623619">
        <w:t xml:space="preserve">This briefing paper presents a structured </w:t>
      </w:r>
      <w:r>
        <w:t xml:space="preserve">overview of potential quality improvement areas for </w:t>
      </w:r>
      <w:r w:rsidR="00656917">
        <w:t xml:space="preserve">chronic heart failure </w:t>
      </w:r>
      <w:r w:rsidR="00D1606C">
        <w:t xml:space="preserve">(CHF) </w:t>
      </w:r>
      <w:r w:rsidR="00656917">
        <w:t>in adults</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7C2E4C01" w14:textId="77777777"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1726B1EF" w14:textId="77777777" w:rsidR="002C296A" w:rsidRDefault="006F5EAB" w:rsidP="00BB4634">
      <w:pPr>
        <w:pStyle w:val="Paragraph"/>
      </w:pPr>
      <w:r>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4284E322" w14:textId="77777777" w:rsidR="00C22DED" w:rsidRPr="00D862D3" w:rsidRDefault="000750FD" w:rsidP="00D862D3">
      <w:pPr>
        <w:pStyle w:val="Numberedheading2"/>
      </w:pPr>
      <w:bookmarkStart w:id="48" w:name="_Toc71289585"/>
      <w:bookmarkStart w:id="49" w:name="_Toc71289684"/>
      <w:bookmarkStart w:id="50" w:name="_Toc71290377"/>
      <w:bookmarkStart w:id="51" w:name="_Toc71542842"/>
      <w:bookmarkStart w:id="52" w:name="_Toc103788104"/>
      <w:bookmarkStart w:id="53" w:name="_Toc108708691"/>
      <w:r w:rsidRPr="00D862D3">
        <w:t>D</w:t>
      </w:r>
      <w:r w:rsidR="00C22DED" w:rsidRPr="00D862D3">
        <w:t>evelopment source</w:t>
      </w:r>
      <w:bookmarkEnd w:id="48"/>
      <w:bookmarkEnd w:id="49"/>
      <w:bookmarkEnd w:id="50"/>
      <w:bookmarkEnd w:id="51"/>
      <w:bookmarkEnd w:id="52"/>
      <w:bookmarkEnd w:id="53"/>
    </w:p>
    <w:p w14:paraId="7F0A69DD" w14:textId="4F6FA255" w:rsidR="00C22DED" w:rsidRDefault="003B6DDC" w:rsidP="00CF3F08">
      <w:pPr>
        <w:pStyle w:val="Paragraph"/>
      </w:pPr>
      <w:r>
        <w:t>T</w:t>
      </w:r>
      <w:r w:rsidR="00C22DED">
        <w:t>he key development source referenced in this briefing paper</w:t>
      </w:r>
      <w:r w:rsidR="00766AE9">
        <w:t xml:space="preserve"> is</w:t>
      </w:r>
      <w:r w:rsidR="00CF3F08">
        <w:t>:</w:t>
      </w:r>
    </w:p>
    <w:p w14:paraId="636E8916" w14:textId="0A37C7E4" w:rsidR="00CF3F08" w:rsidRPr="00127C4E" w:rsidRDefault="00AF2CC8" w:rsidP="00A848C5">
      <w:pPr>
        <w:tabs>
          <w:tab w:val="num" w:pos="284"/>
        </w:tabs>
        <w:spacing w:line="276" w:lineRule="auto"/>
        <w:rPr>
          <w:rFonts w:ascii="Arial" w:hAnsi="Arial"/>
        </w:rPr>
      </w:pPr>
      <w:hyperlink r:id="rId8" w:history="1">
        <w:r w:rsidR="00CF3F08" w:rsidRPr="00CF3F08">
          <w:rPr>
            <w:rFonts w:ascii="Arial" w:hAnsi="Arial"/>
            <w:color w:val="0000FF"/>
            <w:u w:val="single"/>
          </w:rPr>
          <w:t>Chronic heart failure in adults: diagnosis and management</w:t>
        </w:r>
      </w:hyperlink>
      <w:r w:rsidR="00CF3F08" w:rsidRPr="00CF3F08">
        <w:rPr>
          <w:rFonts w:ascii="Arial" w:hAnsi="Arial"/>
        </w:rPr>
        <w:t xml:space="preserve"> (2018) NICE guideline</w:t>
      </w:r>
      <w:r w:rsidR="00CF3F08">
        <w:rPr>
          <w:rFonts w:ascii="Arial" w:hAnsi="Arial"/>
        </w:rPr>
        <w:t xml:space="preserve"> </w:t>
      </w:r>
      <w:r w:rsidR="00CF3F08" w:rsidRPr="00CF3F08">
        <w:rPr>
          <w:rFonts w:ascii="Arial" w:hAnsi="Arial"/>
        </w:rPr>
        <w:t>NG106</w:t>
      </w:r>
      <w:r w:rsidR="00A848C5">
        <w:rPr>
          <w:rFonts w:ascii="Arial" w:hAnsi="Arial"/>
        </w:rPr>
        <w:t>.</w:t>
      </w:r>
    </w:p>
    <w:p w14:paraId="08B4E2EB" w14:textId="77777777" w:rsidR="002C296A" w:rsidRDefault="002C296A" w:rsidP="002C296A">
      <w:pPr>
        <w:pStyle w:val="Numberedheading1"/>
      </w:pPr>
      <w:bookmarkStart w:id="54" w:name="_Toc108708692"/>
      <w:r>
        <w:t>Overview</w:t>
      </w:r>
      <w:bookmarkEnd w:id="54"/>
    </w:p>
    <w:p w14:paraId="1E71FDBB" w14:textId="77777777" w:rsidR="002C296A" w:rsidRDefault="002C296A" w:rsidP="002C296A">
      <w:pPr>
        <w:pStyle w:val="Numberedheading2"/>
      </w:pPr>
      <w:bookmarkStart w:id="55" w:name="_Toc71289587"/>
      <w:bookmarkStart w:id="56" w:name="_Toc71289686"/>
      <w:bookmarkStart w:id="57" w:name="_Toc71290379"/>
      <w:bookmarkStart w:id="58" w:name="_Toc71542844"/>
      <w:bookmarkStart w:id="59" w:name="_Toc103788106"/>
      <w:bookmarkStart w:id="60" w:name="_Toc108708693"/>
      <w:r>
        <w:t>Focus of quality standard</w:t>
      </w:r>
      <w:bookmarkEnd w:id="55"/>
      <w:bookmarkEnd w:id="56"/>
      <w:bookmarkEnd w:id="57"/>
      <w:bookmarkEnd w:id="58"/>
      <w:bookmarkEnd w:id="59"/>
      <w:bookmarkEnd w:id="60"/>
    </w:p>
    <w:p w14:paraId="42569612" w14:textId="42909912" w:rsidR="00CF3F08" w:rsidRDefault="00CF3F08" w:rsidP="00DE5D03">
      <w:pPr>
        <w:pStyle w:val="Paragraph"/>
      </w:pPr>
      <w:r>
        <w:t xml:space="preserve">This quality standard will </w:t>
      </w:r>
      <w:r w:rsidRPr="00CF3F08">
        <w:t xml:space="preserve">cover assessing, </w:t>
      </w:r>
      <w:proofErr w:type="gramStart"/>
      <w:r w:rsidRPr="00CF3F08">
        <w:t>diagnosing</w:t>
      </w:r>
      <w:proofErr w:type="gramEnd"/>
      <w:r w:rsidRPr="00CF3F08">
        <w:t xml:space="preserve"> and managing chronic heart failure in adults (aged 18 and over).</w:t>
      </w:r>
      <w:r w:rsidR="00FD6009">
        <w:t xml:space="preserve"> It will update and replace </w:t>
      </w:r>
      <w:hyperlink r:id="rId9" w:history="1">
        <w:r w:rsidR="00FD6009" w:rsidRPr="00FD6009">
          <w:rPr>
            <w:rStyle w:val="Hyperlink"/>
          </w:rPr>
          <w:t>QS9 Chronic heart failure in adults</w:t>
        </w:r>
      </w:hyperlink>
      <w:r w:rsidR="00FD6009">
        <w:t>.</w:t>
      </w:r>
    </w:p>
    <w:p w14:paraId="7F60EDD2" w14:textId="77777777" w:rsidR="002C296A" w:rsidRDefault="002C296A" w:rsidP="00BF70EA">
      <w:pPr>
        <w:pStyle w:val="Numberedheading2"/>
      </w:pPr>
      <w:bookmarkStart w:id="61" w:name="_Toc71289588"/>
      <w:bookmarkStart w:id="62" w:name="_Toc71289687"/>
      <w:bookmarkStart w:id="63" w:name="_Toc71290380"/>
      <w:bookmarkStart w:id="64" w:name="_Toc71542845"/>
      <w:bookmarkStart w:id="65" w:name="_Toc103788107"/>
      <w:bookmarkStart w:id="66" w:name="_Toc108708694"/>
      <w:r>
        <w:t>Definition</w:t>
      </w:r>
      <w:bookmarkEnd w:id="61"/>
      <w:bookmarkEnd w:id="62"/>
      <w:bookmarkEnd w:id="63"/>
      <w:bookmarkEnd w:id="64"/>
      <w:bookmarkEnd w:id="65"/>
      <w:bookmarkEnd w:id="66"/>
    </w:p>
    <w:p w14:paraId="44908A00" w14:textId="67659CC3" w:rsidR="00BF70EA" w:rsidRDefault="00CF3F08" w:rsidP="00CF3F08">
      <w:pPr>
        <w:pStyle w:val="Paragraph"/>
      </w:pPr>
      <w:r>
        <w:t xml:space="preserve">Heart failure is a </w:t>
      </w:r>
      <w:r w:rsidR="005A596F">
        <w:t>range of</w:t>
      </w:r>
      <w:r>
        <w:t xml:space="preserve"> symptoms and signs that suggest </w:t>
      </w:r>
      <w:r w:rsidR="005A596F">
        <w:t>a defect in heart function</w:t>
      </w:r>
      <w:r w:rsidR="00177167">
        <w:t>, meaning it does not empty or fill as it should</w:t>
      </w:r>
      <w:r>
        <w:t>. It is caused by structural or functional abnormalities of the heart. Some patients have heart failure</w:t>
      </w:r>
      <w:r w:rsidR="005A596F">
        <w:t xml:space="preserve"> </w:t>
      </w:r>
      <w:r>
        <w:t>with a reduced ejection fraction</w:t>
      </w:r>
      <w:r w:rsidR="00177167">
        <w:t xml:space="preserve"> (</w:t>
      </w:r>
      <w:proofErr w:type="spellStart"/>
      <w:r w:rsidR="00177167">
        <w:t>HFrEF</w:t>
      </w:r>
      <w:proofErr w:type="spellEnd"/>
      <w:r w:rsidR="00177167">
        <w:t>) meaning the left ventricle of the heart does not contract as it should</w:t>
      </w:r>
      <w:r>
        <w:t>. Others have heart failure with a preserved ejection fraction (</w:t>
      </w:r>
      <w:proofErr w:type="spellStart"/>
      <w:r>
        <w:t>HF</w:t>
      </w:r>
      <w:r w:rsidR="00177167">
        <w:t>p</w:t>
      </w:r>
      <w:r>
        <w:t>EF</w:t>
      </w:r>
      <w:proofErr w:type="spellEnd"/>
      <w:r>
        <w:t>)</w:t>
      </w:r>
      <w:r w:rsidR="00177167">
        <w:t xml:space="preserve"> meaning that the left ventricle does not fill properly due to thickening of the heart muscle</w:t>
      </w:r>
      <w:r>
        <w:t>.</w:t>
      </w:r>
      <w:r w:rsidR="00271B16">
        <w:t xml:space="preserve"> </w:t>
      </w:r>
      <w:r w:rsidR="00A813F7">
        <w:t xml:space="preserve"> </w:t>
      </w:r>
    </w:p>
    <w:p w14:paraId="24885D86" w14:textId="77777777" w:rsidR="002C296A" w:rsidRPr="00FF20A8" w:rsidRDefault="002C296A" w:rsidP="002C296A">
      <w:pPr>
        <w:pStyle w:val="Numberedheading2"/>
      </w:pPr>
      <w:bookmarkStart w:id="67" w:name="_Toc71289589"/>
      <w:bookmarkStart w:id="68" w:name="_Toc71289688"/>
      <w:bookmarkStart w:id="69" w:name="_Toc71290381"/>
      <w:bookmarkStart w:id="70" w:name="_Toc71542846"/>
      <w:bookmarkStart w:id="71" w:name="_Toc103788108"/>
      <w:bookmarkStart w:id="72" w:name="_Toc108708695"/>
      <w:r>
        <w:t>Incidence and prevalence</w:t>
      </w:r>
      <w:bookmarkEnd w:id="67"/>
      <w:bookmarkEnd w:id="68"/>
      <w:bookmarkEnd w:id="69"/>
      <w:bookmarkEnd w:id="70"/>
      <w:bookmarkEnd w:id="71"/>
      <w:bookmarkEnd w:id="72"/>
    </w:p>
    <w:p w14:paraId="6F9C9B28" w14:textId="41C0284B" w:rsidR="00271B16" w:rsidRDefault="00EB657D" w:rsidP="00271B16">
      <w:pPr>
        <w:pStyle w:val="Paragraph"/>
      </w:pPr>
      <w:r>
        <w:t>A</w:t>
      </w:r>
      <w:r w:rsidR="00271B16">
        <w:t xml:space="preserve">round </w:t>
      </w:r>
      <w:r w:rsidR="00A66004">
        <w:t>9</w:t>
      </w:r>
      <w:r>
        <w:t>0</w:t>
      </w:r>
      <w:r w:rsidR="00A66004">
        <w:t>0</w:t>
      </w:r>
      <w:r w:rsidR="00271B16">
        <w:t xml:space="preserve">,000 people in the UK </w:t>
      </w:r>
      <w:r>
        <w:t xml:space="preserve">are </w:t>
      </w:r>
      <w:r w:rsidR="00271B16">
        <w:t>living with heart failure</w:t>
      </w:r>
      <w:r w:rsidR="004135B6">
        <w:t xml:space="preserve"> (</w:t>
      </w:r>
      <w:hyperlink r:id="rId10" w:history="1">
        <w:r w:rsidRPr="00EB657D">
          <w:rPr>
            <w:rStyle w:val="Hyperlink"/>
          </w:rPr>
          <w:t>NICOR 2021</w:t>
        </w:r>
      </w:hyperlink>
      <w:r>
        <w:t>)</w:t>
      </w:r>
      <w:r w:rsidR="004135B6" w:rsidRPr="00DE5D03">
        <w:t xml:space="preserve"> </w:t>
      </w:r>
      <w:r w:rsidR="00271B16">
        <w:t xml:space="preserve">. Both the incidence and prevalence of heart failure increase steeply with age, with the average age </w:t>
      </w:r>
      <w:r w:rsidR="000D4FB5">
        <w:t>of a heart failure patient being 75, though this drops to 69 in those from a black and minority ethnic background, and the low 60s for</w:t>
      </w:r>
      <w:r w:rsidR="00873605">
        <w:t xml:space="preserve"> those who are socio-economically deprived</w:t>
      </w:r>
      <w:r>
        <w:t xml:space="preserve"> (</w:t>
      </w:r>
      <w:hyperlink r:id="rId11" w:history="1">
        <w:r w:rsidRPr="00787A68">
          <w:rPr>
            <w:rStyle w:val="Hyperlink"/>
          </w:rPr>
          <w:t>BHF 2020</w:t>
        </w:r>
      </w:hyperlink>
      <w:r>
        <w:rPr>
          <w:rStyle w:val="Hyperlink"/>
        </w:rPr>
        <w:t>)</w:t>
      </w:r>
      <w:r>
        <w:t xml:space="preserve"> </w:t>
      </w:r>
      <w:r w:rsidR="000D4FB5">
        <w:t>.</w:t>
      </w:r>
    </w:p>
    <w:p w14:paraId="65F93408" w14:textId="7E138591" w:rsidR="00271B16" w:rsidRDefault="00271B16" w:rsidP="00271B16">
      <w:pPr>
        <w:pStyle w:val="Paragraph"/>
      </w:pPr>
      <w:r>
        <w:t xml:space="preserve">The prevalence of heart failure is </w:t>
      </w:r>
      <w:r w:rsidR="006F4413">
        <w:t>rising</w:t>
      </w:r>
      <w:r>
        <w:t xml:space="preserve"> </w:t>
      </w:r>
      <w:proofErr w:type="gramStart"/>
      <w:r>
        <w:t>as a result of</w:t>
      </w:r>
      <w:proofErr w:type="gramEnd"/>
      <w:r>
        <w:t xml:space="preserve"> an ageing population</w:t>
      </w:r>
      <w:r w:rsidR="006F4413">
        <w:t xml:space="preserve"> and survival from acute cardiac events improving</w:t>
      </w:r>
      <w:r>
        <w:t>.</w:t>
      </w:r>
    </w:p>
    <w:p w14:paraId="3291ECA3" w14:textId="6E045030" w:rsidR="00873605" w:rsidRDefault="005B3093" w:rsidP="00271B16">
      <w:pPr>
        <w:pStyle w:val="Paragraph"/>
      </w:pPr>
      <w:r>
        <w:t>In 2018</w:t>
      </w:r>
      <w:r w:rsidR="005202DE">
        <w:t>/</w:t>
      </w:r>
      <w:r>
        <w:t>19 m</w:t>
      </w:r>
      <w:r w:rsidR="00A66004">
        <w:t>ore th</w:t>
      </w:r>
      <w:r>
        <w:t>a</w:t>
      </w:r>
      <w:r w:rsidR="00A66004">
        <w:t xml:space="preserve">n 100,000 hospital admissions </w:t>
      </w:r>
      <w:r>
        <w:t>had</w:t>
      </w:r>
      <w:r w:rsidR="00A66004">
        <w:t xml:space="preserve"> heart failure as the primary diagnosis, with admissions rising by nearly a third between 20</w:t>
      </w:r>
      <w:r w:rsidR="001E5ED6">
        <w:t>13/14</w:t>
      </w:r>
      <w:r w:rsidR="00A66004">
        <w:t xml:space="preserve"> and 20</w:t>
      </w:r>
      <w:r w:rsidR="001E5ED6">
        <w:t>18/19</w:t>
      </w:r>
      <w:r w:rsidR="00787A68">
        <w:t xml:space="preserve"> (</w:t>
      </w:r>
      <w:hyperlink r:id="rId12" w:history="1">
        <w:r w:rsidR="00787A68" w:rsidRPr="00787A68">
          <w:rPr>
            <w:rStyle w:val="Hyperlink"/>
          </w:rPr>
          <w:t>BHF 2020</w:t>
        </w:r>
      </w:hyperlink>
      <w:r w:rsidR="00787A68">
        <w:t>)</w:t>
      </w:r>
      <w:r w:rsidR="00A66004">
        <w:t xml:space="preserve">. </w:t>
      </w:r>
      <w:r w:rsidR="006F4413">
        <w:t>These admissions have patients staying for double the average hospital stay</w:t>
      </w:r>
      <w:r w:rsidR="00787A68">
        <w:t xml:space="preserve"> </w:t>
      </w:r>
      <w:bookmarkStart w:id="73" w:name="_Hlk103091707"/>
      <w:r w:rsidR="00787A68">
        <w:t>(</w:t>
      </w:r>
      <w:hyperlink r:id="rId13" w:history="1">
        <w:r w:rsidR="00787A68" w:rsidRPr="00222636">
          <w:rPr>
            <w:rStyle w:val="Hyperlink"/>
          </w:rPr>
          <w:t>NICOR 2019</w:t>
        </w:r>
      </w:hyperlink>
      <w:r w:rsidR="00787A68">
        <w:t>)</w:t>
      </w:r>
      <w:r w:rsidR="006F4413">
        <w:t>.</w:t>
      </w:r>
      <w:r w:rsidR="00EC390E">
        <w:t xml:space="preserve"> </w:t>
      </w:r>
      <w:bookmarkEnd w:id="73"/>
      <w:r w:rsidR="00EC390E">
        <w:t xml:space="preserve">Heart failure accounts for a total of 1 million inpatient bed days – 2% of all NHS inpatient bed-days – and 5% of all </w:t>
      </w:r>
      <w:proofErr w:type="gramStart"/>
      <w:r w:rsidR="00EC390E">
        <w:t>emergency</w:t>
      </w:r>
      <w:proofErr w:type="gramEnd"/>
      <w:r w:rsidR="00EC390E">
        <w:t xml:space="preserve"> medical admissions to hospital </w:t>
      </w:r>
      <w:bookmarkStart w:id="74" w:name="_Hlk100846072"/>
      <w:r w:rsidR="00EC390E">
        <w:t>(</w:t>
      </w:r>
      <w:hyperlink r:id="rId14" w:history="1">
        <w:r w:rsidR="00EC390E" w:rsidRPr="00EC390E">
          <w:rPr>
            <w:rStyle w:val="Hyperlink"/>
          </w:rPr>
          <w:t>NICE NG106 Full Guideline 2018</w:t>
        </w:r>
      </w:hyperlink>
      <w:r w:rsidR="00EC390E">
        <w:t>)</w:t>
      </w:r>
      <w:bookmarkEnd w:id="74"/>
      <w:r w:rsidR="00EC390E">
        <w:t>.</w:t>
      </w:r>
    </w:p>
    <w:p w14:paraId="4BD806C7" w14:textId="77777777" w:rsidR="002C296A" w:rsidRDefault="00D44D8A" w:rsidP="002C296A">
      <w:pPr>
        <w:pStyle w:val="Numberedheading2"/>
      </w:pPr>
      <w:bookmarkStart w:id="75" w:name="_Toc71289590"/>
      <w:bookmarkStart w:id="76" w:name="_Toc71289689"/>
      <w:bookmarkStart w:id="77" w:name="_Toc71290382"/>
      <w:bookmarkStart w:id="78" w:name="_Toc71542847"/>
      <w:bookmarkStart w:id="79" w:name="_Toc103788109"/>
      <w:bookmarkStart w:id="80" w:name="_Toc108708696"/>
      <w:r>
        <w:t>Current service delivery and management</w:t>
      </w:r>
      <w:bookmarkEnd w:id="75"/>
      <w:bookmarkEnd w:id="76"/>
      <w:bookmarkEnd w:id="77"/>
      <w:bookmarkEnd w:id="78"/>
      <w:bookmarkEnd w:id="79"/>
      <w:bookmarkEnd w:id="80"/>
    </w:p>
    <w:p w14:paraId="51AFBAF0" w14:textId="0FB2F343" w:rsidR="004472D0" w:rsidRDefault="00CF5800" w:rsidP="004472D0">
      <w:pPr>
        <w:pStyle w:val="Paragraph"/>
      </w:pPr>
      <w:r>
        <w:t xml:space="preserve">Heart failure has a poor prognosis: </w:t>
      </w:r>
      <w:r w:rsidR="004472D0">
        <w:t>In the UK around half of people diagnosed with heart failure will die within 5 years of their diagnosis</w:t>
      </w:r>
      <w:r w:rsidR="009E421D">
        <w:t xml:space="preserve"> (</w:t>
      </w:r>
      <w:hyperlink r:id="rId15" w:history="1">
        <w:r w:rsidR="009E421D" w:rsidRPr="009E421D">
          <w:rPr>
            <w:rStyle w:val="Hyperlink"/>
          </w:rPr>
          <w:t>Taylor, C. J. et al, 2019</w:t>
        </w:r>
      </w:hyperlink>
      <w:r w:rsidR="009E421D" w:rsidRPr="009E421D">
        <w:t>)</w:t>
      </w:r>
      <w:r w:rsidR="004472D0">
        <w:t>.</w:t>
      </w:r>
    </w:p>
    <w:p w14:paraId="4273324B" w14:textId="0180D253" w:rsidR="004472D0" w:rsidRDefault="004472D0" w:rsidP="004472D0">
      <w:pPr>
        <w:pStyle w:val="Paragraph"/>
      </w:pPr>
      <w:r>
        <w:t xml:space="preserve">There is significant </w:t>
      </w:r>
      <w:r w:rsidR="00D1606C">
        <w:t xml:space="preserve">regional </w:t>
      </w:r>
      <w:r>
        <w:t>variation in treatment, with the percentage of patients seen by a specialist upon admission varying from 40 to 100 percent</w:t>
      </w:r>
      <w:r w:rsidR="009E421D">
        <w:t xml:space="preserve">. </w:t>
      </w:r>
      <w:r>
        <w:t>37% of patients were recorded as having related follow up from a member of the multidisciplinary team within 2 weeks of discharge from hospital, with 15% of patients being referred to cardiac rehabilitation services</w:t>
      </w:r>
      <w:r w:rsidR="00FD6009">
        <w:t>. Patients with CHF often experience a poor quality of life, with around 80% of those with heart failure in the UK are classed as having a significant or extremely life limiting form of the condition (</w:t>
      </w:r>
      <w:hyperlink r:id="rId16" w:history="1">
        <w:r w:rsidR="00FD6009" w:rsidRPr="00222636">
          <w:rPr>
            <w:rStyle w:val="Hyperlink"/>
          </w:rPr>
          <w:t>NICOR 2019</w:t>
        </w:r>
      </w:hyperlink>
      <w:r w:rsidR="00FD6009">
        <w:t>).</w:t>
      </w:r>
    </w:p>
    <w:p w14:paraId="2C3E6E4C" w14:textId="7B39948A" w:rsidR="00FD6009" w:rsidRPr="006F4413" w:rsidRDefault="00FD6009" w:rsidP="004472D0">
      <w:pPr>
        <w:pStyle w:val="Paragraph"/>
      </w:pPr>
      <w:r>
        <w:t>While 40% of heart failure patients show symptoms that should trigger an assessment in primary care, up to 80% are still diagnosed in hospital (</w:t>
      </w:r>
      <w:hyperlink r:id="rId17" w:history="1">
        <w:r w:rsidRPr="00E76E5F">
          <w:rPr>
            <w:rStyle w:val="Hyperlink"/>
          </w:rPr>
          <w:t>Bottle A, Kim D, Aylin P, et al, 2018</w:t>
        </w:r>
      </w:hyperlink>
      <w:r>
        <w:t>). On average, a GP will look after 30 patients with heart failure and suspect a new diagnosis of heart failure in, perhaps, 10 patients annually (</w:t>
      </w:r>
      <w:hyperlink r:id="rId18" w:history="1">
        <w:r w:rsidRPr="00EC390E">
          <w:rPr>
            <w:rStyle w:val="Hyperlink"/>
          </w:rPr>
          <w:t>NICE NG106 Full Guideline 2018</w:t>
        </w:r>
      </w:hyperlink>
      <w:r>
        <w:t>). Diagnosis in primary care rose by 33% between 2013/14 and 2018/19 (</w:t>
      </w:r>
      <w:hyperlink r:id="rId19" w:history="1">
        <w:r w:rsidRPr="00787A68">
          <w:rPr>
            <w:rStyle w:val="Hyperlink"/>
          </w:rPr>
          <w:t>BHF 2020</w:t>
        </w:r>
      </w:hyperlink>
      <w:r>
        <w:t>).</w:t>
      </w:r>
    </w:p>
    <w:p w14:paraId="641D76B7" w14:textId="12E7A754" w:rsidR="001C217D" w:rsidRDefault="001C217D" w:rsidP="00833514">
      <w:pPr>
        <w:pStyle w:val="Paragraph"/>
      </w:pPr>
      <w:r w:rsidRPr="007453FD">
        <w:t xml:space="preserve">See </w:t>
      </w:r>
      <w:hyperlink w:anchor="_Appendix_1:_Additional" w:history="1">
        <w:r w:rsidR="006B0A77" w:rsidRPr="006B0A77">
          <w:rPr>
            <w:rStyle w:val="Hyperlink"/>
          </w:rPr>
          <w:t>appendix 1</w:t>
        </w:r>
      </w:hyperlink>
      <w:r w:rsidR="006B0A77">
        <w:t xml:space="preserve"> </w:t>
      </w:r>
      <w:r w:rsidR="003B6DDC">
        <w:t xml:space="preserve">for </w:t>
      </w:r>
      <w:r w:rsidR="0031416A">
        <w:t xml:space="preserve">the </w:t>
      </w:r>
      <w:r w:rsidR="003B6DDC">
        <w:t xml:space="preserve">associated </w:t>
      </w:r>
      <w:r w:rsidR="00AE15B1">
        <w:t xml:space="preserve">care </w:t>
      </w:r>
      <w:r w:rsidR="003B6DDC">
        <w:t>pathway</w:t>
      </w:r>
      <w:r w:rsidR="0029335E">
        <w:t xml:space="preserve"> </w:t>
      </w:r>
      <w:r w:rsidR="007453FD" w:rsidRPr="007453FD">
        <w:t>from NICE</w:t>
      </w:r>
      <w:r w:rsidR="00933924">
        <w:t>’s</w:t>
      </w:r>
      <w:r w:rsidR="007453FD" w:rsidRPr="007453FD">
        <w:t xml:space="preserve"> guideline </w:t>
      </w:r>
      <w:r w:rsidR="00933924">
        <w:t xml:space="preserve">on </w:t>
      </w:r>
      <w:r w:rsidR="006B0A77">
        <w:t>chronic heart failure</w:t>
      </w:r>
      <w:r w:rsidRPr="007453FD">
        <w:t>.</w:t>
      </w:r>
      <w:r w:rsidR="006A5EF3">
        <w:t xml:space="preserve"> </w:t>
      </w:r>
    </w:p>
    <w:p w14:paraId="4F2712E2" w14:textId="77777777" w:rsidR="002C296A" w:rsidRDefault="00381592" w:rsidP="002C296A">
      <w:pPr>
        <w:pStyle w:val="Numberedheading1"/>
      </w:pPr>
      <w:bookmarkStart w:id="81" w:name="_Toc340835232"/>
      <w:bookmarkEnd w:id="81"/>
      <w:r>
        <w:br w:type="page"/>
      </w:r>
      <w:bookmarkStart w:id="82" w:name="_Toc108708697"/>
      <w:r w:rsidR="002C296A">
        <w:t>Summary of suggestions</w:t>
      </w:r>
      <w:bookmarkEnd w:id="82"/>
    </w:p>
    <w:p w14:paraId="290C428B" w14:textId="77777777" w:rsidR="002C296A" w:rsidRPr="007D4B1A" w:rsidRDefault="002C296A" w:rsidP="002C296A">
      <w:pPr>
        <w:pStyle w:val="Numberedheading2"/>
      </w:pPr>
      <w:bookmarkStart w:id="83" w:name="_Toc71289593"/>
      <w:bookmarkStart w:id="84" w:name="_Toc71289692"/>
      <w:bookmarkStart w:id="85" w:name="_Toc71290385"/>
      <w:bookmarkStart w:id="86" w:name="_Toc71542850"/>
      <w:bookmarkStart w:id="87" w:name="_Toc103788112"/>
      <w:bookmarkStart w:id="88" w:name="_Toc108708698"/>
      <w:r>
        <w:t>Responses</w:t>
      </w:r>
      <w:bookmarkEnd w:id="83"/>
      <w:bookmarkEnd w:id="84"/>
      <w:bookmarkEnd w:id="85"/>
      <w:bookmarkEnd w:id="86"/>
      <w:bookmarkEnd w:id="87"/>
      <w:bookmarkEnd w:id="88"/>
    </w:p>
    <w:p w14:paraId="56618B30" w14:textId="3C88EDEE" w:rsidR="00F6784F" w:rsidRPr="000F5F84" w:rsidRDefault="00F6784F" w:rsidP="00F6784F">
      <w:pPr>
        <w:pStyle w:val="Paragraph"/>
      </w:pPr>
      <w:r>
        <w:t xml:space="preserve">In </w:t>
      </w:r>
      <w:r w:rsidRPr="000F5F84">
        <w:t xml:space="preserve">total </w:t>
      </w:r>
      <w:r w:rsidR="005202DE">
        <w:t>12</w:t>
      </w:r>
      <w:r w:rsidR="005202DE" w:rsidRPr="000F5F84">
        <w:t xml:space="preserve"> </w:t>
      </w:r>
      <w:r w:rsidRPr="000F5F84">
        <w:t>registered stakeholders responded to the 2-week engagement exercise.</w:t>
      </w:r>
    </w:p>
    <w:p w14:paraId="77258F38" w14:textId="07894A95" w:rsidR="00F6784F" w:rsidRPr="000F5F84" w:rsidRDefault="00C34885" w:rsidP="00F6784F">
      <w:pPr>
        <w:pStyle w:val="Bulletparagraph"/>
      </w:pPr>
      <w:r>
        <w:t>10</w:t>
      </w:r>
      <w:r w:rsidR="00BA6B0E" w:rsidRPr="000F5F84">
        <w:t xml:space="preserve"> </w:t>
      </w:r>
      <w:r w:rsidR="00F6784F" w:rsidRPr="000F5F84">
        <w:t>stakeholders suggested areas</w:t>
      </w:r>
      <w:r w:rsidR="004F30B9">
        <w:t xml:space="preserve">, including </w:t>
      </w:r>
      <w:r>
        <w:t>two</w:t>
      </w:r>
      <w:r w:rsidR="004F30B9">
        <w:t xml:space="preserve"> endorsement</w:t>
      </w:r>
      <w:r>
        <w:t>s</w:t>
      </w:r>
      <w:r w:rsidR="004F30B9">
        <w:t xml:space="preserve"> of </w:t>
      </w:r>
      <w:r>
        <w:t>SCM</w:t>
      </w:r>
      <w:r w:rsidR="004F30B9">
        <w:t xml:space="preserve"> response</w:t>
      </w:r>
      <w:r>
        <w:t>s</w:t>
      </w:r>
    </w:p>
    <w:p w14:paraId="76F44EED" w14:textId="23ED8CA9" w:rsidR="00F6784F" w:rsidRPr="000F5F84" w:rsidRDefault="000F5F84" w:rsidP="00F6784F">
      <w:pPr>
        <w:pStyle w:val="Bulletparagraph"/>
      </w:pPr>
      <w:r>
        <w:t>2</w:t>
      </w:r>
      <w:r w:rsidR="00BA6B0E" w:rsidRPr="000F5F84">
        <w:t xml:space="preserve"> </w:t>
      </w:r>
      <w:r w:rsidR="00F6784F" w:rsidRPr="000F5F84">
        <w:t>stakeholder</w:t>
      </w:r>
      <w:r>
        <w:t>s</w:t>
      </w:r>
      <w:r w:rsidR="00F6784F" w:rsidRPr="000F5F84">
        <w:t xml:space="preserve"> had no comments</w:t>
      </w:r>
    </w:p>
    <w:p w14:paraId="1584D668" w14:textId="6B39E1F8" w:rsidR="00F6784F" w:rsidRPr="000F5F84" w:rsidRDefault="000F5F84" w:rsidP="00F6784F">
      <w:pPr>
        <w:pStyle w:val="Bulletparagraphlast"/>
      </w:pPr>
      <w:r>
        <w:t>7</w:t>
      </w:r>
      <w:r w:rsidR="00BA6B0E" w:rsidRPr="000F5F84">
        <w:t xml:space="preserve"> </w:t>
      </w:r>
      <w:r w:rsidR="00F6784F" w:rsidRPr="000F5F84">
        <w:t>specialist committee members suggested areas</w:t>
      </w:r>
    </w:p>
    <w:p w14:paraId="24221472" w14:textId="36DA5A6D" w:rsidR="00F6784F" w:rsidRDefault="00F6784F" w:rsidP="00F6784F">
      <w:pPr>
        <w:pStyle w:val="Paragraph"/>
      </w:pPr>
      <w:r w:rsidRPr="00F6784F">
        <w:t>The responses have been summarised in tabl</w:t>
      </w:r>
      <w:r w:rsidR="004F30B9">
        <w:t>e 1</w:t>
      </w:r>
      <w:r w:rsidRPr="00F6784F">
        <w:t xml:space="preserve"> for further consideration by the committee.</w:t>
      </w:r>
    </w:p>
    <w:p w14:paraId="4B4EB36E" w14:textId="051549CB" w:rsidR="00F6784F" w:rsidRDefault="00F6784F" w:rsidP="00F6784F">
      <w:pPr>
        <w:pStyle w:val="Paragraph"/>
      </w:pPr>
      <w:bookmarkStart w:id="89" w:name="_Toc340835234"/>
      <w:bookmarkEnd w:id="89"/>
      <w:r>
        <w:t>F</w:t>
      </w:r>
      <w:r w:rsidRPr="00E12A17">
        <w:t>ull detail</w:t>
      </w:r>
      <w:r>
        <w:t>s</w:t>
      </w:r>
      <w:r w:rsidRPr="00E12A17">
        <w:t xml:space="preserve"> o</w:t>
      </w:r>
      <w:r>
        <w:t>f all</w:t>
      </w:r>
      <w:r w:rsidRPr="00E12A17">
        <w:t xml:space="preserve"> the suggestions </w:t>
      </w:r>
      <w:r>
        <w:t>provided are given in appendix</w:t>
      </w:r>
      <w:r w:rsidR="004F30B9">
        <w:t xml:space="preserve"> </w:t>
      </w:r>
      <w:r w:rsidR="002D09CC">
        <w:t>2</w:t>
      </w:r>
      <w:r w:rsidR="004F30B9">
        <w:t xml:space="preserve"> </w:t>
      </w:r>
      <w:r w:rsidRPr="00E12A17">
        <w:t>for information.</w:t>
      </w:r>
    </w:p>
    <w:p w14:paraId="25465768" w14:textId="77777777" w:rsidR="006B080F" w:rsidRDefault="006B080F" w:rsidP="006B080F">
      <w:pPr>
        <w:pStyle w:val="Numberedheading2"/>
      </w:pPr>
      <w:bookmarkStart w:id="90" w:name="_Toc71289594"/>
      <w:bookmarkStart w:id="91" w:name="_Toc71289693"/>
      <w:bookmarkStart w:id="92" w:name="_Toc71290386"/>
      <w:bookmarkStart w:id="93" w:name="_Toc71542851"/>
      <w:bookmarkStart w:id="94" w:name="_Toc103788113"/>
      <w:bookmarkStart w:id="95" w:name="_Toc108708699"/>
      <w:r w:rsidRPr="006B080F">
        <w:t>Priorities for committee discussion</w:t>
      </w:r>
      <w:bookmarkEnd w:id="90"/>
      <w:bookmarkEnd w:id="91"/>
      <w:bookmarkEnd w:id="92"/>
      <w:bookmarkEnd w:id="93"/>
      <w:bookmarkEnd w:id="94"/>
      <w:bookmarkEnd w:id="95"/>
    </w:p>
    <w:p w14:paraId="1693FF75" w14:textId="7FCAB3C9" w:rsidR="006B080F" w:rsidRDefault="006B080F" w:rsidP="00DE5D03">
      <w:pPr>
        <w:pStyle w:val="Tabletitle"/>
      </w:pPr>
      <w:r>
        <w:t>Table</w:t>
      </w:r>
      <w:r w:rsidR="00603361">
        <w:t xml:space="preserve"> 1</w:t>
      </w:r>
      <w:r>
        <w:t xml:space="preserve"> </w:t>
      </w:r>
      <w:r w:rsidRPr="006B080F">
        <w:t>Summary of information available for suggested areas for improvement</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suggested areas for improvement"/>
        <w:tblDescription w:val="Information about quality improvement areas that were identified by stakeholders during the stakeholder engagement exercise, such as whether the areas are in scope, supported by guideline recommendations, current practice and covered by existing quality standard statements. A decision on the priority to discuss is also given."/>
      </w:tblPr>
      <w:tblGrid>
        <w:gridCol w:w="2121"/>
        <w:gridCol w:w="1558"/>
        <w:gridCol w:w="993"/>
        <w:gridCol w:w="1135"/>
        <w:gridCol w:w="1135"/>
        <w:gridCol w:w="1136"/>
        <w:gridCol w:w="1131"/>
      </w:tblGrid>
      <w:tr w:rsidR="003C3446" w:rsidRPr="00910B42" w14:paraId="4E50DA8B" w14:textId="77777777" w:rsidTr="005C6CEA">
        <w:trPr>
          <w:tblHeader/>
        </w:trPr>
        <w:tc>
          <w:tcPr>
            <w:tcW w:w="1152" w:type="pct"/>
            <w:shd w:val="clear" w:color="auto" w:fill="auto"/>
          </w:tcPr>
          <w:p w14:paraId="46BBFAB4" w14:textId="77777777" w:rsidR="006B080F" w:rsidRPr="000F2B40" w:rsidRDefault="006B080F" w:rsidP="00B65D9F">
            <w:pPr>
              <w:pStyle w:val="Tabletitle"/>
            </w:pPr>
            <w:bookmarkStart w:id="96" w:name="_Hlk58398339"/>
            <w:r w:rsidRPr="000F2B40">
              <w:t>Suggested area for improvement</w:t>
            </w:r>
          </w:p>
        </w:tc>
        <w:tc>
          <w:tcPr>
            <w:tcW w:w="846" w:type="pct"/>
          </w:tcPr>
          <w:p w14:paraId="348DA502" w14:textId="77777777" w:rsidR="006B080F" w:rsidRPr="00B65D9F" w:rsidRDefault="006B080F" w:rsidP="00B65D9F">
            <w:pPr>
              <w:pStyle w:val="Tabletitle"/>
              <w:rPr>
                <w:b w:val="0"/>
              </w:rPr>
            </w:pPr>
            <w:r w:rsidRPr="003A57C1">
              <w:t xml:space="preserve">Stakeholder </w:t>
            </w:r>
          </w:p>
        </w:tc>
        <w:tc>
          <w:tcPr>
            <w:tcW w:w="539" w:type="pct"/>
          </w:tcPr>
          <w:p w14:paraId="38FFFA7F" w14:textId="77777777" w:rsidR="006B080F" w:rsidRPr="00B65D9F" w:rsidRDefault="006B080F" w:rsidP="00B65D9F">
            <w:pPr>
              <w:pStyle w:val="Tabletitle"/>
              <w:rPr>
                <w:b w:val="0"/>
              </w:rPr>
            </w:pPr>
            <w:r w:rsidRPr="003A57C1">
              <w:t>In scope</w:t>
            </w:r>
          </w:p>
        </w:tc>
        <w:tc>
          <w:tcPr>
            <w:tcW w:w="616" w:type="pct"/>
          </w:tcPr>
          <w:p w14:paraId="4F399987" w14:textId="77777777" w:rsidR="006B080F" w:rsidRPr="00B65D9F" w:rsidRDefault="006B080F" w:rsidP="00B65D9F">
            <w:pPr>
              <w:pStyle w:val="Tabletitle"/>
              <w:rPr>
                <w:b w:val="0"/>
              </w:rPr>
            </w:pPr>
            <w:r w:rsidRPr="003A57C1">
              <w:t>Guideline recs</w:t>
            </w:r>
          </w:p>
        </w:tc>
        <w:tc>
          <w:tcPr>
            <w:tcW w:w="616" w:type="pct"/>
          </w:tcPr>
          <w:p w14:paraId="6FC39D24" w14:textId="77777777" w:rsidR="006B080F" w:rsidRPr="00B65D9F" w:rsidRDefault="006B080F" w:rsidP="00B65D9F">
            <w:pPr>
              <w:pStyle w:val="Tabletitle"/>
              <w:rPr>
                <w:b w:val="0"/>
              </w:rPr>
            </w:pPr>
            <w:r w:rsidRPr="003A57C1">
              <w:t xml:space="preserve">Current practice evidence  </w:t>
            </w:r>
          </w:p>
        </w:tc>
        <w:tc>
          <w:tcPr>
            <w:tcW w:w="617" w:type="pct"/>
          </w:tcPr>
          <w:p w14:paraId="3E706AC2" w14:textId="77777777" w:rsidR="006B080F" w:rsidRPr="00B65D9F" w:rsidRDefault="006B080F" w:rsidP="00B65D9F">
            <w:pPr>
              <w:pStyle w:val="Tabletitle"/>
              <w:rPr>
                <w:b w:val="0"/>
              </w:rPr>
            </w:pPr>
            <w:r w:rsidRPr="003A57C1">
              <w:t>Existing QS statement</w:t>
            </w:r>
          </w:p>
        </w:tc>
        <w:tc>
          <w:tcPr>
            <w:tcW w:w="615" w:type="pct"/>
          </w:tcPr>
          <w:p w14:paraId="79BC77E7" w14:textId="77777777" w:rsidR="006B080F" w:rsidRPr="00B65D9F" w:rsidRDefault="006B080F" w:rsidP="00B65D9F">
            <w:pPr>
              <w:pStyle w:val="Tabletitle"/>
              <w:rPr>
                <w:b w:val="0"/>
              </w:rPr>
            </w:pPr>
            <w:r w:rsidRPr="003A57C1">
              <w:t>Priority to discuss?</w:t>
            </w:r>
          </w:p>
        </w:tc>
      </w:tr>
      <w:tr w:rsidR="003C3446" w:rsidRPr="00910B42" w14:paraId="5921B971" w14:textId="77777777" w:rsidTr="005C6CEA">
        <w:trPr>
          <w:trHeight w:val="382"/>
        </w:trPr>
        <w:tc>
          <w:tcPr>
            <w:tcW w:w="1152" w:type="pct"/>
            <w:tcBorders>
              <w:top w:val="single" w:sz="4" w:space="0" w:color="auto"/>
              <w:left w:val="single" w:sz="4" w:space="0" w:color="auto"/>
              <w:right w:val="single" w:sz="4" w:space="0" w:color="auto"/>
            </w:tcBorders>
            <w:shd w:val="clear" w:color="auto" w:fill="auto"/>
          </w:tcPr>
          <w:p w14:paraId="0EDCE9A1" w14:textId="54390ED0" w:rsidR="006B080F" w:rsidRPr="00B65D9F" w:rsidRDefault="007F0645" w:rsidP="00B65D9F">
            <w:pPr>
              <w:pStyle w:val="Tabletext"/>
              <w:rPr>
                <w:b/>
                <w:bCs/>
              </w:rPr>
            </w:pPr>
            <w:r>
              <w:rPr>
                <w:b/>
                <w:bCs/>
              </w:rPr>
              <w:t>Diagnosis</w:t>
            </w:r>
          </w:p>
          <w:p w14:paraId="4BFB84E1" w14:textId="49EF64BF" w:rsidR="006B080F" w:rsidRPr="00910B42" w:rsidRDefault="006B080F" w:rsidP="0000352E">
            <w:pPr>
              <w:pStyle w:val="Tabletext"/>
            </w:pPr>
          </w:p>
        </w:tc>
        <w:tc>
          <w:tcPr>
            <w:tcW w:w="846" w:type="pct"/>
          </w:tcPr>
          <w:p w14:paraId="0B2578D8" w14:textId="2BFA1E66" w:rsidR="006B080F" w:rsidRPr="00910B42" w:rsidRDefault="00176CE5" w:rsidP="00B65D9F">
            <w:pPr>
              <w:pStyle w:val="Tabletext"/>
            </w:pPr>
            <w:r>
              <w:t xml:space="preserve">SCM1, </w:t>
            </w:r>
            <w:r w:rsidRPr="00176CE5">
              <w:t>BACPR</w:t>
            </w:r>
            <w:r>
              <w:t xml:space="preserve">, BI, BSH, SCM2, SCM3, </w:t>
            </w:r>
            <w:proofErr w:type="gramStart"/>
            <w:r>
              <w:t>VPUK,  NHSE</w:t>
            </w:r>
            <w:proofErr w:type="gramEnd"/>
            <w:r>
              <w:t>, NHSEI, SCM4, NPUK, SCM5, SCM6, SCM7</w:t>
            </w:r>
          </w:p>
        </w:tc>
        <w:tc>
          <w:tcPr>
            <w:tcW w:w="539" w:type="pct"/>
          </w:tcPr>
          <w:p w14:paraId="3799A66C" w14:textId="356D0AEB" w:rsidR="006B080F" w:rsidRPr="00DE5D03" w:rsidRDefault="003C3446" w:rsidP="00B65D9F">
            <w:pPr>
              <w:pStyle w:val="Tabletext"/>
            </w:pPr>
            <w:r>
              <w:t>Yes</w:t>
            </w:r>
          </w:p>
        </w:tc>
        <w:tc>
          <w:tcPr>
            <w:tcW w:w="616" w:type="pct"/>
          </w:tcPr>
          <w:p w14:paraId="1C9260AB" w14:textId="3348A75F" w:rsidR="006B080F" w:rsidRPr="00DE5D03" w:rsidRDefault="003C3446" w:rsidP="00B65D9F">
            <w:pPr>
              <w:pStyle w:val="Tabletext"/>
            </w:pPr>
            <w:r>
              <w:t>Yes</w:t>
            </w:r>
          </w:p>
        </w:tc>
        <w:tc>
          <w:tcPr>
            <w:tcW w:w="616" w:type="pct"/>
          </w:tcPr>
          <w:p w14:paraId="36933505" w14:textId="0549C4BA" w:rsidR="006B080F" w:rsidRPr="00DE5D03" w:rsidRDefault="003C3446" w:rsidP="00B65D9F">
            <w:pPr>
              <w:pStyle w:val="Tabletext"/>
            </w:pPr>
            <w:r>
              <w:t>No</w:t>
            </w:r>
          </w:p>
        </w:tc>
        <w:tc>
          <w:tcPr>
            <w:tcW w:w="617" w:type="pct"/>
          </w:tcPr>
          <w:p w14:paraId="4865E3CC" w14:textId="7A0CC58B" w:rsidR="006B080F" w:rsidRPr="00DE5D03" w:rsidRDefault="003C3446" w:rsidP="00B65D9F">
            <w:pPr>
              <w:pStyle w:val="Tabletext"/>
            </w:pPr>
            <w:r>
              <w:t>Yes</w:t>
            </w:r>
          </w:p>
        </w:tc>
        <w:tc>
          <w:tcPr>
            <w:tcW w:w="615" w:type="pct"/>
          </w:tcPr>
          <w:p w14:paraId="07E0E0EE" w14:textId="57036B9E" w:rsidR="006B080F" w:rsidRPr="00DE5D03" w:rsidRDefault="003C3446" w:rsidP="00B65D9F">
            <w:pPr>
              <w:pStyle w:val="Tabletext"/>
              <w:rPr>
                <w:b/>
                <w:bCs/>
              </w:rPr>
            </w:pPr>
            <w:r>
              <w:rPr>
                <w:b/>
                <w:bCs/>
              </w:rPr>
              <w:t>Yes</w:t>
            </w:r>
          </w:p>
        </w:tc>
      </w:tr>
      <w:tr w:rsidR="003C3446" w:rsidRPr="00910B42" w14:paraId="45A1B061" w14:textId="77777777" w:rsidTr="005C6CEA">
        <w:trPr>
          <w:trHeight w:val="382"/>
        </w:trPr>
        <w:tc>
          <w:tcPr>
            <w:tcW w:w="1152" w:type="pct"/>
            <w:tcBorders>
              <w:top w:val="single" w:sz="4" w:space="0" w:color="auto"/>
              <w:left w:val="single" w:sz="4" w:space="0" w:color="auto"/>
              <w:right w:val="single" w:sz="4" w:space="0" w:color="auto"/>
            </w:tcBorders>
            <w:shd w:val="clear" w:color="auto" w:fill="auto"/>
          </w:tcPr>
          <w:p w14:paraId="7422A1CE" w14:textId="4854A3E5" w:rsidR="0000352E" w:rsidRPr="00B65D9F" w:rsidRDefault="007F0645" w:rsidP="0000352E">
            <w:pPr>
              <w:pStyle w:val="Tabletext"/>
              <w:rPr>
                <w:b/>
                <w:bCs/>
                <w:highlight w:val="lightGray"/>
              </w:rPr>
            </w:pPr>
            <w:r>
              <w:rPr>
                <w:b/>
                <w:bCs/>
              </w:rPr>
              <w:t>Cardiac Rehabilitation</w:t>
            </w:r>
          </w:p>
        </w:tc>
        <w:tc>
          <w:tcPr>
            <w:tcW w:w="846" w:type="pct"/>
          </w:tcPr>
          <w:p w14:paraId="6FA65870" w14:textId="2F775D4C" w:rsidR="0000352E" w:rsidRPr="00BA6B0E" w:rsidRDefault="006F2E55" w:rsidP="00B65D9F">
            <w:pPr>
              <w:pStyle w:val="Tabletext"/>
              <w:rPr>
                <w:highlight w:val="cyan"/>
              </w:rPr>
            </w:pPr>
            <w:r w:rsidRPr="006F2E55">
              <w:t xml:space="preserve">SCM1, BACPR, </w:t>
            </w:r>
            <w:bookmarkStart w:id="97" w:name="_Hlk103787305"/>
            <w:r w:rsidRPr="006F2E55">
              <w:t>BI</w:t>
            </w:r>
            <w:bookmarkEnd w:id="97"/>
            <w:r w:rsidRPr="006F2E55">
              <w:t xml:space="preserve">, BSH, SCM2, SCM3, </w:t>
            </w:r>
            <w:proofErr w:type="gramStart"/>
            <w:r w:rsidRPr="006F2E55">
              <w:t>VPUK,  NHSE</w:t>
            </w:r>
            <w:proofErr w:type="gramEnd"/>
            <w:r w:rsidRPr="006F2E55">
              <w:t>, NHSEI, SCM4, NPUK, SCM5, SCM6, SCM7</w:t>
            </w:r>
          </w:p>
        </w:tc>
        <w:tc>
          <w:tcPr>
            <w:tcW w:w="539" w:type="pct"/>
          </w:tcPr>
          <w:p w14:paraId="5B9BC396" w14:textId="66999259" w:rsidR="0000352E" w:rsidRPr="00DE5D03" w:rsidRDefault="003C3446" w:rsidP="00B65D9F">
            <w:pPr>
              <w:pStyle w:val="Tabletext"/>
            </w:pPr>
            <w:r>
              <w:t>Yes</w:t>
            </w:r>
          </w:p>
        </w:tc>
        <w:tc>
          <w:tcPr>
            <w:tcW w:w="616" w:type="pct"/>
          </w:tcPr>
          <w:p w14:paraId="01AB37EC" w14:textId="5221D9B2" w:rsidR="0000352E" w:rsidRPr="00DE5D03" w:rsidRDefault="003C3446" w:rsidP="00B65D9F">
            <w:pPr>
              <w:pStyle w:val="Tabletext"/>
            </w:pPr>
            <w:r>
              <w:t>Yes</w:t>
            </w:r>
          </w:p>
        </w:tc>
        <w:tc>
          <w:tcPr>
            <w:tcW w:w="616" w:type="pct"/>
          </w:tcPr>
          <w:p w14:paraId="208D17D4" w14:textId="6010C484" w:rsidR="0000352E" w:rsidRPr="00DE5D03" w:rsidRDefault="003C3446" w:rsidP="00B65D9F">
            <w:pPr>
              <w:pStyle w:val="Tabletext"/>
            </w:pPr>
            <w:r>
              <w:t>Yes</w:t>
            </w:r>
          </w:p>
        </w:tc>
        <w:tc>
          <w:tcPr>
            <w:tcW w:w="617" w:type="pct"/>
          </w:tcPr>
          <w:p w14:paraId="5FD7D13F" w14:textId="2C9E7E1A" w:rsidR="0000352E" w:rsidRPr="00DE5D03" w:rsidRDefault="003C3446" w:rsidP="00B65D9F">
            <w:pPr>
              <w:pStyle w:val="Tabletext"/>
            </w:pPr>
            <w:r>
              <w:t>Yes</w:t>
            </w:r>
          </w:p>
        </w:tc>
        <w:tc>
          <w:tcPr>
            <w:tcW w:w="615" w:type="pct"/>
          </w:tcPr>
          <w:p w14:paraId="75833553" w14:textId="71F9FA0E" w:rsidR="0000352E" w:rsidRPr="00DE5D03" w:rsidRDefault="003C3446" w:rsidP="00B65D9F">
            <w:pPr>
              <w:pStyle w:val="Tabletext"/>
              <w:rPr>
                <w:b/>
                <w:bCs/>
              </w:rPr>
            </w:pPr>
            <w:r>
              <w:rPr>
                <w:b/>
                <w:bCs/>
              </w:rPr>
              <w:t>Yes</w:t>
            </w:r>
          </w:p>
        </w:tc>
      </w:tr>
      <w:tr w:rsidR="003C3446" w:rsidRPr="00910B42" w14:paraId="72228B9C" w14:textId="77777777" w:rsidTr="005C6CEA">
        <w:trPr>
          <w:trHeight w:val="382"/>
        </w:trPr>
        <w:tc>
          <w:tcPr>
            <w:tcW w:w="1152" w:type="pct"/>
            <w:tcBorders>
              <w:top w:val="single" w:sz="4" w:space="0" w:color="auto"/>
              <w:left w:val="single" w:sz="4" w:space="0" w:color="auto"/>
              <w:right w:val="single" w:sz="4" w:space="0" w:color="auto"/>
            </w:tcBorders>
            <w:shd w:val="clear" w:color="auto" w:fill="auto"/>
          </w:tcPr>
          <w:p w14:paraId="77A1311E" w14:textId="1122E368" w:rsidR="00C448DE" w:rsidRPr="00B65D9F" w:rsidRDefault="00452DCA" w:rsidP="00C448DE">
            <w:pPr>
              <w:pStyle w:val="Tabletext"/>
              <w:rPr>
                <w:b/>
                <w:bCs/>
              </w:rPr>
            </w:pPr>
            <w:bookmarkStart w:id="98" w:name="_Hlk103083661"/>
            <w:r>
              <w:rPr>
                <w:b/>
                <w:bCs/>
              </w:rPr>
              <w:t>Service Delivery</w:t>
            </w:r>
          </w:p>
          <w:p w14:paraId="36F1C603" w14:textId="05C09FF1" w:rsidR="0000352E" w:rsidRPr="00B65D9F" w:rsidRDefault="00685337" w:rsidP="00C448DE">
            <w:pPr>
              <w:pStyle w:val="Tabletext"/>
              <w:rPr>
                <w:b/>
                <w:bCs/>
                <w:highlight w:val="lightGray"/>
              </w:rPr>
            </w:pPr>
            <w:r>
              <w:t>Multi-disciplinary teams (</w:t>
            </w:r>
            <w:r w:rsidR="00454C7D">
              <w:t>MDTs</w:t>
            </w:r>
            <w:r>
              <w:t>)</w:t>
            </w:r>
          </w:p>
        </w:tc>
        <w:tc>
          <w:tcPr>
            <w:tcW w:w="846" w:type="pct"/>
          </w:tcPr>
          <w:p w14:paraId="74462559" w14:textId="5FCA8AB2" w:rsidR="0000352E" w:rsidRPr="00BA6B0E" w:rsidRDefault="006F2E55" w:rsidP="00B65D9F">
            <w:pPr>
              <w:pStyle w:val="Tabletext"/>
              <w:rPr>
                <w:highlight w:val="cyan"/>
              </w:rPr>
            </w:pPr>
            <w:r w:rsidRPr="006F2E55">
              <w:t>BI</w:t>
            </w:r>
            <w:r>
              <w:t>, SCM3, SCM6</w:t>
            </w:r>
          </w:p>
        </w:tc>
        <w:tc>
          <w:tcPr>
            <w:tcW w:w="539" w:type="pct"/>
          </w:tcPr>
          <w:p w14:paraId="4213B361" w14:textId="428A1DBB" w:rsidR="0000352E" w:rsidRPr="00DE5D03" w:rsidRDefault="003C3446" w:rsidP="00B65D9F">
            <w:pPr>
              <w:pStyle w:val="Tabletext"/>
            </w:pPr>
            <w:r>
              <w:t>Yes</w:t>
            </w:r>
          </w:p>
        </w:tc>
        <w:tc>
          <w:tcPr>
            <w:tcW w:w="616" w:type="pct"/>
          </w:tcPr>
          <w:p w14:paraId="08D56762" w14:textId="34ADDEFA" w:rsidR="0000352E" w:rsidRPr="00DE5D03" w:rsidRDefault="003C3446" w:rsidP="00B65D9F">
            <w:pPr>
              <w:pStyle w:val="Tabletext"/>
            </w:pPr>
            <w:r>
              <w:t>Yes</w:t>
            </w:r>
          </w:p>
        </w:tc>
        <w:tc>
          <w:tcPr>
            <w:tcW w:w="616" w:type="pct"/>
          </w:tcPr>
          <w:p w14:paraId="7DEBD797" w14:textId="437BC255" w:rsidR="0000352E" w:rsidRPr="00DE5D03" w:rsidRDefault="003C3446" w:rsidP="00B65D9F">
            <w:pPr>
              <w:pStyle w:val="Tabletext"/>
            </w:pPr>
            <w:r>
              <w:t>No</w:t>
            </w:r>
          </w:p>
        </w:tc>
        <w:tc>
          <w:tcPr>
            <w:tcW w:w="617" w:type="pct"/>
          </w:tcPr>
          <w:p w14:paraId="5BBAB683" w14:textId="763E2BA0" w:rsidR="0000352E" w:rsidRPr="00DE5D03" w:rsidRDefault="003C3446" w:rsidP="00B65D9F">
            <w:pPr>
              <w:pStyle w:val="Tabletext"/>
            </w:pPr>
            <w:r>
              <w:t>No</w:t>
            </w:r>
          </w:p>
        </w:tc>
        <w:tc>
          <w:tcPr>
            <w:tcW w:w="615" w:type="pct"/>
          </w:tcPr>
          <w:p w14:paraId="24F8A6C5" w14:textId="31D76F36" w:rsidR="0000352E" w:rsidRPr="00DE5D03" w:rsidRDefault="003C3446" w:rsidP="00B65D9F">
            <w:pPr>
              <w:pStyle w:val="Tabletext"/>
              <w:rPr>
                <w:b/>
                <w:bCs/>
              </w:rPr>
            </w:pPr>
            <w:r>
              <w:rPr>
                <w:b/>
                <w:bCs/>
              </w:rPr>
              <w:t>Yes</w:t>
            </w:r>
          </w:p>
        </w:tc>
      </w:tr>
      <w:tr w:rsidR="003C3446" w:rsidRPr="00910B42" w14:paraId="1EACD869" w14:textId="77777777" w:rsidTr="005C6CEA">
        <w:trPr>
          <w:trHeight w:val="382"/>
        </w:trPr>
        <w:tc>
          <w:tcPr>
            <w:tcW w:w="1152" w:type="pct"/>
            <w:tcBorders>
              <w:top w:val="single" w:sz="4" w:space="0" w:color="auto"/>
              <w:left w:val="single" w:sz="4" w:space="0" w:color="auto"/>
              <w:right w:val="single" w:sz="4" w:space="0" w:color="auto"/>
            </w:tcBorders>
            <w:shd w:val="clear" w:color="auto" w:fill="auto"/>
          </w:tcPr>
          <w:p w14:paraId="44615FEB" w14:textId="77777777" w:rsidR="00454C7D" w:rsidRPr="00B65D9F" w:rsidRDefault="00454C7D" w:rsidP="00454C7D">
            <w:pPr>
              <w:pStyle w:val="Tabletext"/>
              <w:rPr>
                <w:b/>
                <w:bCs/>
              </w:rPr>
            </w:pPr>
            <w:r>
              <w:rPr>
                <w:b/>
                <w:bCs/>
              </w:rPr>
              <w:t>Service Delivery</w:t>
            </w:r>
          </w:p>
          <w:p w14:paraId="58226AC9" w14:textId="19BE45AE" w:rsidR="00454C7D" w:rsidRDefault="00454C7D" w:rsidP="00454C7D">
            <w:pPr>
              <w:pStyle w:val="Tabletext"/>
              <w:rPr>
                <w:b/>
                <w:bCs/>
              </w:rPr>
            </w:pPr>
            <w:r w:rsidRPr="00454C7D">
              <w:t>Care reviews</w:t>
            </w:r>
            <w:r w:rsidR="006416C7">
              <w:t xml:space="preserve"> and care plans</w:t>
            </w:r>
          </w:p>
        </w:tc>
        <w:tc>
          <w:tcPr>
            <w:tcW w:w="846" w:type="pct"/>
          </w:tcPr>
          <w:p w14:paraId="3B679289" w14:textId="73B95FD5" w:rsidR="00454C7D" w:rsidRPr="00DE5D03" w:rsidRDefault="006F2E55" w:rsidP="00B65D9F">
            <w:pPr>
              <w:pStyle w:val="Tabletext"/>
            </w:pPr>
            <w:r w:rsidRPr="00DE5D03">
              <w:t xml:space="preserve">BSH, </w:t>
            </w:r>
            <w:r>
              <w:t xml:space="preserve">SCM2, </w:t>
            </w:r>
            <w:proofErr w:type="gramStart"/>
            <w:r>
              <w:t>NHSE,  SCM</w:t>
            </w:r>
            <w:proofErr w:type="gramEnd"/>
            <w:r>
              <w:t>4, SCM5</w:t>
            </w:r>
          </w:p>
        </w:tc>
        <w:tc>
          <w:tcPr>
            <w:tcW w:w="539" w:type="pct"/>
          </w:tcPr>
          <w:p w14:paraId="0F6D72BB" w14:textId="74F4D492" w:rsidR="00454C7D" w:rsidRPr="00DE5D03" w:rsidRDefault="003C3446" w:rsidP="00B65D9F">
            <w:pPr>
              <w:pStyle w:val="Tabletext"/>
            </w:pPr>
            <w:r w:rsidRPr="006F2E55">
              <w:t>Yes</w:t>
            </w:r>
          </w:p>
        </w:tc>
        <w:tc>
          <w:tcPr>
            <w:tcW w:w="616" w:type="pct"/>
          </w:tcPr>
          <w:p w14:paraId="74D7250E" w14:textId="5BE7E6A4" w:rsidR="00454C7D" w:rsidRPr="00DE5D03" w:rsidRDefault="003C3446" w:rsidP="00B65D9F">
            <w:pPr>
              <w:pStyle w:val="Tabletext"/>
            </w:pPr>
            <w:r>
              <w:t>Yes</w:t>
            </w:r>
          </w:p>
        </w:tc>
        <w:tc>
          <w:tcPr>
            <w:tcW w:w="616" w:type="pct"/>
          </w:tcPr>
          <w:p w14:paraId="7CB581F8" w14:textId="0298415D" w:rsidR="00454C7D" w:rsidRPr="00DE5D03" w:rsidRDefault="003C3446" w:rsidP="00B65D9F">
            <w:pPr>
              <w:pStyle w:val="Tabletext"/>
            </w:pPr>
            <w:r>
              <w:t>No</w:t>
            </w:r>
          </w:p>
        </w:tc>
        <w:tc>
          <w:tcPr>
            <w:tcW w:w="617" w:type="pct"/>
          </w:tcPr>
          <w:p w14:paraId="5A47F8E9" w14:textId="1BF8A4F1" w:rsidR="00454C7D" w:rsidRPr="00DE5D03" w:rsidRDefault="003C3446" w:rsidP="00B65D9F">
            <w:pPr>
              <w:pStyle w:val="Tabletext"/>
            </w:pPr>
            <w:r>
              <w:t>No</w:t>
            </w:r>
          </w:p>
        </w:tc>
        <w:tc>
          <w:tcPr>
            <w:tcW w:w="615" w:type="pct"/>
          </w:tcPr>
          <w:p w14:paraId="1624D931" w14:textId="6DF34BAA" w:rsidR="00454C7D" w:rsidRPr="00DE5D03" w:rsidRDefault="003C3446" w:rsidP="00B65D9F">
            <w:pPr>
              <w:pStyle w:val="Tabletext"/>
              <w:rPr>
                <w:b/>
                <w:bCs/>
              </w:rPr>
            </w:pPr>
            <w:r>
              <w:rPr>
                <w:b/>
                <w:bCs/>
              </w:rPr>
              <w:t>Yes</w:t>
            </w:r>
          </w:p>
        </w:tc>
      </w:tr>
      <w:tr w:rsidR="003C3446" w:rsidRPr="00910B42" w14:paraId="3FD290BE" w14:textId="77777777" w:rsidTr="005C6CEA">
        <w:trPr>
          <w:trHeight w:val="382"/>
        </w:trPr>
        <w:tc>
          <w:tcPr>
            <w:tcW w:w="1152" w:type="pct"/>
            <w:tcBorders>
              <w:top w:val="single" w:sz="4" w:space="0" w:color="auto"/>
              <w:left w:val="single" w:sz="4" w:space="0" w:color="auto"/>
              <w:right w:val="single" w:sz="4" w:space="0" w:color="auto"/>
            </w:tcBorders>
            <w:shd w:val="clear" w:color="auto" w:fill="auto"/>
          </w:tcPr>
          <w:p w14:paraId="799281EB" w14:textId="77777777" w:rsidR="007607C1" w:rsidRPr="00B65D9F" w:rsidRDefault="007607C1" w:rsidP="007607C1">
            <w:pPr>
              <w:pStyle w:val="Tabletext"/>
              <w:rPr>
                <w:b/>
                <w:bCs/>
              </w:rPr>
            </w:pPr>
            <w:r>
              <w:rPr>
                <w:b/>
                <w:bCs/>
              </w:rPr>
              <w:t>Service Delivery</w:t>
            </w:r>
          </w:p>
          <w:p w14:paraId="7559CD23" w14:textId="7C0A9BF0" w:rsidR="007607C1" w:rsidRPr="00DE5D03" w:rsidRDefault="007607C1" w:rsidP="007607C1">
            <w:pPr>
              <w:pStyle w:val="Tabletext"/>
            </w:pPr>
            <w:r w:rsidRPr="00DE5D03">
              <w:t>Medication review at 2 weeks</w:t>
            </w:r>
          </w:p>
        </w:tc>
        <w:tc>
          <w:tcPr>
            <w:tcW w:w="846" w:type="pct"/>
          </w:tcPr>
          <w:p w14:paraId="111FA82F" w14:textId="3DE58F0B" w:rsidR="007607C1" w:rsidRPr="00DE5D03" w:rsidRDefault="006F2E55" w:rsidP="00B65D9F">
            <w:pPr>
              <w:pStyle w:val="Tabletext"/>
            </w:pPr>
            <w:r>
              <w:t xml:space="preserve">SCM2, NPUK, </w:t>
            </w:r>
          </w:p>
        </w:tc>
        <w:tc>
          <w:tcPr>
            <w:tcW w:w="539" w:type="pct"/>
          </w:tcPr>
          <w:p w14:paraId="0683DF48" w14:textId="3243727B" w:rsidR="007607C1" w:rsidRPr="00DE5D03" w:rsidRDefault="003C3446" w:rsidP="00B65D9F">
            <w:pPr>
              <w:pStyle w:val="Tabletext"/>
            </w:pPr>
            <w:r w:rsidRPr="006F2E55">
              <w:t>Yes</w:t>
            </w:r>
          </w:p>
        </w:tc>
        <w:tc>
          <w:tcPr>
            <w:tcW w:w="616" w:type="pct"/>
          </w:tcPr>
          <w:p w14:paraId="0C197638" w14:textId="3F1CE06A" w:rsidR="007607C1" w:rsidRPr="00DE5D03" w:rsidRDefault="003C3446" w:rsidP="00B65D9F">
            <w:pPr>
              <w:pStyle w:val="Tabletext"/>
            </w:pPr>
            <w:r>
              <w:t>Yes</w:t>
            </w:r>
          </w:p>
        </w:tc>
        <w:tc>
          <w:tcPr>
            <w:tcW w:w="616" w:type="pct"/>
          </w:tcPr>
          <w:p w14:paraId="47D90A80" w14:textId="2B20081C" w:rsidR="007607C1" w:rsidRPr="00DE5D03" w:rsidRDefault="003C3446" w:rsidP="00B65D9F">
            <w:pPr>
              <w:pStyle w:val="Tabletext"/>
            </w:pPr>
            <w:r>
              <w:t>No</w:t>
            </w:r>
          </w:p>
        </w:tc>
        <w:tc>
          <w:tcPr>
            <w:tcW w:w="617" w:type="pct"/>
          </w:tcPr>
          <w:p w14:paraId="6C74A744" w14:textId="5EAD5936" w:rsidR="007607C1" w:rsidRPr="00DE5D03" w:rsidRDefault="003C3446" w:rsidP="00B65D9F">
            <w:pPr>
              <w:pStyle w:val="Tabletext"/>
            </w:pPr>
            <w:r>
              <w:t>Yes</w:t>
            </w:r>
          </w:p>
        </w:tc>
        <w:tc>
          <w:tcPr>
            <w:tcW w:w="615" w:type="pct"/>
          </w:tcPr>
          <w:p w14:paraId="5241C294" w14:textId="7148FAFE" w:rsidR="007607C1" w:rsidRPr="00DE5D03" w:rsidRDefault="003C3446" w:rsidP="00B65D9F">
            <w:pPr>
              <w:pStyle w:val="Tabletext"/>
              <w:rPr>
                <w:b/>
                <w:bCs/>
              </w:rPr>
            </w:pPr>
            <w:r>
              <w:rPr>
                <w:b/>
                <w:bCs/>
              </w:rPr>
              <w:t>Yes</w:t>
            </w:r>
          </w:p>
        </w:tc>
      </w:tr>
      <w:tr w:rsidR="003C3446" w:rsidRPr="00910B42" w14:paraId="1F961F67" w14:textId="77777777" w:rsidTr="005C6CEA">
        <w:trPr>
          <w:trHeight w:val="382"/>
        </w:trPr>
        <w:tc>
          <w:tcPr>
            <w:tcW w:w="1152" w:type="pct"/>
            <w:tcBorders>
              <w:top w:val="single" w:sz="4" w:space="0" w:color="auto"/>
              <w:left w:val="single" w:sz="4" w:space="0" w:color="auto"/>
              <w:right w:val="single" w:sz="4" w:space="0" w:color="auto"/>
            </w:tcBorders>
            <w:shd w:val="clear" w:color="auto" w:fill="auto"/>
          </w:tcPr>
          <w:p w14:paraId="7DD3F99E" w14:textId="61AAE411" w:rsidR="006B080F" w:rsidRPr="00910B42" w:rsidRDefault="003C3446" w:rsidP="00C448DE">
            <w:pPr>
              <w:pStyle w:val="Tabletext"/>
            </w:pPr>
            <w:r>
              <w:rPr>
                <w:b/>
                <w:bCs/>
              </w:rPr>
              <w:t xml:space="preserve">Treating </w:t>
            </w:r>
            <w:r w:rsidR="00452DCA">
              <w:rPr>
                <w:b/>
                <w:bCs/>
              </w:rPr>
              <w:t>Heart failure with reduced ejection fraction</w:t>
            </w:r>
          </w:p>
        </w:tc>
        <w:tc>
          <w:tcPr>
            <w:tcW w:w="846" w:type="pct"/>
          </w:tcPr>
          <w:p w14:paraId="481C0CDF" w14:textId="7831AAE4" w:rsidR="006B080F" w:rsidRPr="006F2E55" w:rsidRDefault="00E26018" w:rsidP="00B65D9F">
            <w:pPr>
              <w:pStyle w:val="Tabletext"/>
            </w:pPr>
            <w:r>
              <w:t xml:space="preserve">SCM1, BACPR, BPL, BI, BSH, SCM2, VPUK, NHSE, NPUK, SCM5, SCM6, </w:t>
            </w:r>
          </w:p>
        </w:tc>
        <w:tc>
          <w:tcPr>
            <w:tcW w:w="539" w:type="pct"/>
          </w:tcPr>
          <w:p w14:paraId="7726A532" w14:textId="508AFC90" w:rsidR="006B080F" w:rsidRPr="006F2E55" w:rsidRDefault="003C3446" w:rsidP="00B65D9F">
            <w:pPr>
              <w:pStyle w:val="Tabletext"/>
            </w:pPr>
            <w:r w:rsidRPr="006F2E55">
              <w:t>Yes</w:t>
            </w:r>
          </w:p>
        </w:tc>
        <w:tc>
          <w:tcPr>
            <w:tcW w:w="616" w:type="pct"/>
          </w:tcPr>
          <w:p w14:paraId="209C555E" w14:textId="444A0F0A" w:rsidR="006B080F" w:rsidRPr="00910B42" w:rsidRDefault="003C3446" w:rsidP="00B65D9F">
            <w:pPr>
              <w:pStyle w:val="Tabletext"/>
            </w:pPr>
            <w:r>
              <w:t>Yes</w:t>
            </w:r>
          </w:p>
        </w:tc>
        <w:tc>
          <w:tcPr>
            <w:tcW w:w="616" w:type="pct"/>
          </w:tcPr>
          <w:p w14:paraId="2883C7B3" w14:textId="4869155F" w:rsidR="006B080F" w:rsidRPr="00910B42" w:rsidRDefault="003C3446" w:rsidP="00B65D9F">
            <w:pPr>
              <w:pStyle w:val="Tabletext"/>
            </w:pPr>
            <w:r>
              <w:t>Yes</w:t>
            </w:r>
          </w:p>
        </w:tc>
        <w:tc>
          <w:tcPr>
            <w:tcW w:w="617" w:type="pct"/>
          </w:tcPr>
          <w:p w14:paraId="6290DB9E" w14:textId="75940A42" w:rsidR="006B080F" w:rsidRPr="00910B42" w:rsidRDefault="003C3446" w:rsidP="00B65D9F">
            <w:pPr>
              <w:pStyle w:val="Tabletext"/>
            </w:pPr>
            <w:r>
              <w:t>Yes</w:t>
            </w:r>
          </w:p>
        </w:tc>
        <w:tc>
          <w:tcPr>
            <w:tcW w:w="615" w:type="pct"/>
          </w:tcPr>
          <w:p w14:paraId="6A462213" w14:textId="6FC5054A" w:rsidR="006B080F" w:rsidRPr="00910B42" w:rsidRDefault="003C3446" w:rsidP="00B65D9F">
            <w:pPr>
              <w:pStyle w:val="Tabletext"/>
              <w:rPr>
                <w:b/>
                <w:bCs/>
              </w:rPr>
            </w:pPr>
            <w:r>
              <w:rPr>
                <w:b/>
                <w:bCs/>
              </w:rPr>
              <w:t>Yes</w:t>
            </w:r>
          </w:p>
        </w:tc>
      </w:tr>
      <w:tr w:rsidR="003C3446" w:rsidRPr="00910B42" w14:paraId="0C0513E0" w14:textId="77777777" w:rsidTr="005C6CEA">
        <w:trPr>
          <w:trHeight w:val="382"/>
        </w:trPr>
        <w:tc>
          <w:tcPr>
            <w:tcW w:w="1152" w:type="pct"/>
            <w:tcBorders>
              <w:top w:val="single" w:sz="4" w:space="0" w:color="auto"/>
              <w:left w:val="single" w:sz="4" w:space="0" w:color="auto"/>
              <w:right w:val="single" w:sz="4" w:space="0" w:color="auto"/>
            </w:tcBorders>
            <w:shd w:val="clear" w:color="auto" w:fill="auto"/>
          </w:tcPr>
          <w:p w14:paraId="5D3F667E" w14:textId="73FC38D0" w:rsidR="006B080F" w:rsidRPr="00910B42" w:rsidRDefault="003C3446" w:rsidP="00C448DE">
            <w:pPr>
              <w:pStyle w:val="Tabletext"/>
            </w:pPr>
            <w:r>
              <w:rPr>
                <w:b/>
                <w:bCs/>
              </w:rPr>
              <w:t xml:space="preserve">Treating </w:t>
            </w:r>
            <w:r w:rsidR="00452DCA" w:rsidRPr="00452DCA">
              <w:rPr>
                <w:b/>
                <w:bCs/>
              </w:rPr>
              <w:t>Heart failure with preserved ejection fraction</w:t>
            </w:r>
          </w:p>
        </w:tc>
        <w:tc>
          <w:tcPr>
            <w:tcW w:w="846" w:type="pct"/>
          </w:tcPr>
          <w:p w14:paraId="644BD2D4" w14:textId="0936BBD9" w:rsidR="006B080F" w:rsidRPr="006F2E55" w:rsidRDefault="00E26018" w:rsidP="00B65D9F">
            <w:pPr>
              <w:pStyle w:val="Tabletext"/>
            </w:pPr>
            <w:r>
              <w:t>BI, SCM3</w:t>
            </w:r>
          </w:p>
        </w:tc>
        <w:tc>
          <w:tcPr>
            <w:tcW w:w="539" w:type="pct"/>
          </w:tcPr>
          <w:p w14:paraId="4BE3EDCD" w14:textId="4CDAAF7D" w:rsidR="006B080F" w:rsidRPr="006F2E55" w:rsidRDefault="003C3446" w:rsidP="00B65D9F">
            <w:pPr>
              <w:pStyle w:val="Tabletext"/>
            </w:pPr>
            <w:r w:rsidRPr="006F2E55">
              <w:t>Yes</w:t>
            </w:r>
          </w:p>
        </w:tc>
        <w:tc>
          <w:tcPr>
            <w:tcW w:w="616" w:type="pct"/>
          </w:tcPr>
          <w:p w14:paraId="0226A2B3" w14:textId="30D8C890" w:rsidR="006B080F" w:rsidRPr="00910B42" w:rsidRDefault="003C3446" w:rsidP="00B65D9F">
            <w:pPr>
              <w:pStyle w:val="Tabletext"/>
            </w:pPr>
            <w:r>
              <w:t>Yes</w:t>
            </w:r>
          </w:p>
        </w:tc>
        <w:tc>
          <w:tcPr>
            <w:tcW w:w="616" w:type="pct"/>
          </w:tcPr>
          <w:p w14:paraId="1F3C5C9C" w14:textId="663C5B30" w:rsidR="006B080F" w:rsidRPr="00910B42" w:rsidRDefault="003C3446" w:rsidP="00B65D9F">
            <w:pPr>
              <w:pStyle w:val="Tabletext"/>
            </w:pPr>
            <w:r>
              <w:t>No</w:t>
            </w:r>
          </w:p>
        </w:tc>
        <w:tc>
          <w:tcPr>
            <w:tcW w:w="617" w:type="pct"/>
          </w:tcPr>
          <w:p w14:paraId="69B98D43" w14:textId="4B2A24DE" w:rsidR="006B080F" w:rsidRPr="00910B42" w:rsidRDefault="003C3446" w:rsidP="00B65D9F">
            <w:pPr>
              <w:pStyle w:val="Tabletext"/>
            </w:pPr>
            <w:r>
              <w:t>No</w:t>
            </w:r>
          </w:p>
        </w:tc>
        <w:tc>
          <w:tcPr>
            <w:tcW w:w="615" w:type="pct"/>
          </w:tcPr>
          <w:p w14:paraId="0E6D23DA" w14:textId="54AC9F3A" w:rsidR="006B080F" w:rsidRPr="00910B42" w:rsidRDefault="003C3446" w:rsidP="00B65D9F">
            <w:pPr>
              <w:pStyle w:val="Tabletext"/>
              <w:rPr>
                <w:b/>
                <w:bCs/>
              </w:rPr>
            </w:pPr>
            <w:r>
              <w:rPr>
                <w:b/>
                <w:bCs/>
              </w:rPr>
              <w:t>Yes</w:t>
            </w:r>
          </w:p>
        </w:tc>
      </w:tr>
    </w:tbl>
    <w:bookmarkEnd w:id="96"/>
    <w:bookmarkEnd w:id="98"/>
    <w:p w14:paraId="39D83C43" w14:textId="77777777" w:rsidR="00B65D9F" w:rsidRPr="00DE5D03" w:rsidRDefault="00B65D9F" w:rsidP="00B65D9F">
      <w:pPr>
        <w:pStyle w:val="Paragraph"/>
      </w:pPr>
      <w:r w:rsidRPr="00DE5D03">
        <w:t xml:space="preserve">Abbreviations: </w:t>
      </w:r>
    </w:p>
    <w:p w14:paraId="378C9F8C" w14:textId="0335CBD1" w:rsidR="00B65D9F" w:rsidRDefault="00176CE5" w:rsidP="00B65D9F">
      <w:pPr>
        <w:pStyle w:val="Bulletleft1"/>
      </w:pPr>
      <w:r>
        <w:t>BACPR</w:t>
      </w:r>
      <w:r w:rsidR="00DB5CAA">
        <w:t xml:space="preserve">, </w:t>
      </w:r>
      <w:r w:rsidR="00DB5CAA" w:rsidRPr="00DB5CAA">
        <w:t>British Association for Cardiovascular Prevention &amp; Rehabilitation</w:t>
      </w:r>
    </w:p>
    <w:p w14:paraId="1F409B58" w14:textId="4F84BA3B" w:rsidR="00176CE5" w:rsidRDefault="00176CE5" w:rsidP="00B65D9F">
      <w:pPr>
        <w:pStyle w:val="Bulletleft1"/>
      </w:pPr>
      <w:r>
        <w:t xml:space="preserve">BI, </w:t>
      </w:r>
      <w:r w:rsidRPr="00176CE5">
        <w:t>Boehringer Ingelheim</w:t>
      </w:r>
      <w:r>
        <w:t>,</w:t>
      </w:r>
    </w:p>
    <w:p w14:paraId="31E95050" w14:textId="4E5AC67A" w:rsidR="00E26018" w:rsidRDefault="00E26018" w:rsidP="00B65D9F">
      <w:pPr>
        <w:pStyle w:val="Bulletleft1"/>
      </w:pPr>
      <w:r>
        <w:t>BPL, Bayer Plc Ltd</w:t>
      </w:r>
    </w:p>
    <w:p w14:paraId="439227EF" w14:textId="1307D3A0" w:rsidR="00B76854" w:rsidRDefault="00176CE5" w:rsidP="00B76854">
      <w:pPr>
        <w:pStyle w:val="Bulletleft1"/>
      </w:pPr>
      <w:r>
        <w:t>BSH, British Society for Heart Failure</w:t>
      </w:r>
    </w:p>
    <w:p w14:paraId="05A00C13" w14:textId="369E48A4" w:rsidR="00176CE5" w:rsidRDefault="00176CE5" w:rsidP="00B65D9F">
      <w:pPr>
        <w:pStyle w:val="Bulletleft1"/>
      </w:pPr>
      <w:r>
        <w:t xml:space="preserve">VPUK, </w:t>
      </w:r>
      <w:proofErr w:type="spellStart"/>
      <w:r w:rsidRPr="00176CE5">
        <w:t>Vifor</w:t>
      </w:r>
      <w:proofErr w:type="spellEnd"/>
      <w:r w:rsidRPr="00176CE5">
        <w:t xml:space="preserve"> Pharma UK</w:t>
      </w:r>
    </w:p>
    <w:p w14:paraId="715595B7" w14:textId="31D100E3" w:rsidR="00176CE5" w:rsidRDefault="00176CE5" w:rsidP="00B65D9F">
      <w:pPr>
        <w:pStyle w:val="Bulletleft1"/>
      </w:pPr>
      <w:r>
        <w:t>NHSE, NHS England</w:t>
      </w:r>
    </w:p>
    <w:p w14:paraId="3A1BDD7B" w14:textId="1FC08F14" w:rsidR="00176CE5" w:rsidRDefault="00176CE5" w:rsidP="00B65D9F">
      <w:pPr>
        <w:pStyle w:val="Bulletleft1"/>
      </w:pPr>
      <w:r>
        <w:t xml:space="preserve">NHSE&amp;I, NHS </w:t>
      </w:r>
      <w:proofErr w:type="gramStart"/>
      <w:r>
        <w:t>England</w:t>
      </w:r>
      <w:proofErr w:type="gramEnd"/>
      <w:r>
        <w:t xml:space="preserve"> and NHS Improvement</w:t>
      </w:r>
    </w:p>
    <w:p w14:paraId="216C9702" w14:textId="30492782" w:rsidR="00B76854" w:rsidRDefault="00176CE5" w:rsidP="00B76854">
      <w:pPr>
        <w:pStyle w:val="Bulletleft1"/>
      </w:pPr>
      <w:r>
        <w:t xml:space="preserve">NPUK, </w:t>
      </w:r>
      <w:r w:rsidRPr="00176CE5">
        <w:t>Novartis Pharmaceuticals UK Ltd</w:t>
      </w:r>
    </w:p>
    <w:p w14:paraId="67416307" w14:textId="77777777" w:rsidR="00B76854" w:rsidRPr="00B76854" w:rsidRDefault="00B76854" w:rsidP="00B76854">
      <w:pPr>
        <w:pStyle w:val="Bulletleft1"/>
      </w:pPr>
      <w:r w:rsidRPr="00B76854">
        <w:t>SCM, Specialist Committee Member</w:t>
      </w:r>
    </w:p>
    <w:p w14:paraId="017D6A7E" w14:textId="27756917" w:rsidR="00B76854" w:rsidRDefault="00B76854" w:rsidP="00BC6070">
      <w:pPr>
        <w:pStyle w:val="Bulletleft1"/>
        <w:numPr>
          <w:ilvl w:val="0"/>
          <w:numId w:val="0"/>
        </w:numPr>
        <w:ind w:left="284"/>
      </w:pPr>
      <w:r>
        <w:t xml:space="preserve">BANCC, </w:t>
      </w:r>
      <w:r w:rsidRPr="00B76854">
        <w:t>British Association of Nursing in Cardiovascular Care</w:t>
      </w:r>
      <w:r w:rsidR="00153B78">
        <w:t>,</w:t>
      </w:r>
      <w:r>
        <w:t xml:space="preserve"> endorsed comments from SCM</w:t>
      </w:r>
      <w:r w:rsidR="00153B78">
        <w:t>2</w:t>
      </w:r>
    </w:p>
    <w:p w14:paraId="2F00964D" w14:textId="243A2EFE" w:rsidR="00B76854" w:rsidRDefault="00153B78" w:rsidP="00BC6070">
      <w:pPr>
        <w:pStyle w:val="Bulletleft1"/>
        <w:numPr>
          <w:ilvl w:val="0"/>
          <w:numId w:val="0"/>
        </w:numPr>
        <w:ind w:left="284"/>
      </w:pPr>
      <w:r>
        <w:t>PMF, Pumping Marvellous Foundation, endorsed comments from SCM4</w:t>
      </w:r>
    </w:p>
    <w:p w14:paraId="66C5CEE9" w14:textId="77777777" w:rsidR="00B76854" w:rsidRPr="00DE5D03" w:rsidRDefault="00B76854" w:rsidP="00BC6070">
      <w:pPr>
        <w:pStyle w:val="Bulletleft1"/>
        <w:numPr>
          <w:ilvl w:val="0"/>
          <w:numId w:val="0"/>
        </w:numPr>
        <w:ind w:left="284"/>
      </w:pPr>
    </w:p>
    <w:p w14:paraId="439B1A3C" w14:textId="77777777" w:rsidR="003B6DDC" w:rsidRDefault="003B6DDC" w:rsidP="003116A1">
      <w:pPr>
        <w:pStyle w:val="Numberedheading1"/>
      </w:pPr>
      <w:r>
        <w:br w:type="page"/>
      </w:r>
      <w:bookmarkStart w:id="99" w:name="_Toc108708700"/>
      <w:r w:rsidR="002C296A">
        <w:t>Suggested improvement area</w:t>
      </w:r>
      <w:r>
        <w:t>s</w:t>
      </w:r>
      <w:bookmarkEnd w:id="99"/>
    </w:p>
    <w:p w14:paraId="18E34216" w14:textId="7FB95388" w:rsidR="006A5EF3" w:rsidRDefault="003116A1" w:rsidP="00682E12">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r w:rsidR="00682E12">
        <w:t>.</w:t>
      </w:r>
    </w:p>
    <w:p w14:paraId="61F25B2E" w14:textId="05B44AA6" w:rsidR="004510E0" w:rsidRDefault="007F0645" w:rsidP="00910C02">
      <w:pPr>
        <w:pStyle w:val="Numberedheading2"/>
      </w:pPr>
      <w:bookmarkStart w:id="100" w:name="_Toc108708701"/>
      <w:r>
        <w:t>Diagnosi</w:t>
      </w:r>
      <w:r w:rsidR="00017116">
        <w:t>s</w:t>
      </w:r>
      <w:bookmarkEnd w:id="100"/>
      <w:r w:rsidR="00C448DE">
        <w:t xml:space="preserve"> </w:t>
      </w:r>
    </w:p>
    <w:p w14:paraId="21956DE1" w14:textId="77777777" w:rsidR="002E2A94" w:rsidRDefault="002E2A94" w:rsidP="002E2A94">
      <w:pPr>
        <w:pStyle w:val="Heading4"/>
      </w:pPr>
      <w:r>
        <w:t>Existing Quality Statements</w:t>
      </w:r>
    </w:p>
    <w:p w14:paraId="7CA51A51" w14:textId="77777777" w:rsidR="002E2A94" w:rsidRDefault="002E2A94" w:rsidP="004C60D9">
      <w:pPr>
        <w:spacing w:before="240" w:after="240" w:line="276" w:lineRule="auto"/>
        <w:rPr>
          <w:rFonts w:ascii="Arial" w:hAnsi="Arial"/>
        </w:rPr>
      </w:pPr>
      <w:r w:rsidRPr="00152283">
        <w:rPr>
          <w:rFonts w:ascii="Arial" w:hAnsi="Arial"/>
        </w:rPr>
        <w:t>Statement 1</w:t>
      </w:r>
      <w:r>
        <w:rPr>
          <w:rFonts w:ascii="Arial" w:hAnsi="Arial"/>
        </w:rPr>
        <w:t>:</w:t>
      </w:r>
      <w:r w:rsidRPr="00152283">
        <w:rPr>
          <w:rFonts w:ascii="Arial" w:hAnsi="Arial"/>
        </w:rPr>
        <w:t xml:space="preserve"> Adults with suspected chronic heart failure who have been referred for diagnosis have an echocardiogram and specialist assessment.</w:t>
      </w:r>
    </w:p>
    <w:p w14:paraId="50D7ABA2" w14:textId="64EF7D80" w:rsidR="002E2A94" w:rsidRPr="002E2A94" w:rsidRDefault="002E2A94" w:rsidP="004C60D9">
      <w:pPr>
        <w:spacing w:before="240" w:after="240" w:line="276" w:lineRule="auto"/>
      </w:pPr>
      <w:r w:rsidRPr="001D29E1">
        <w:rPr>
          <w:rFonts w:ascii="Arial" w:hAnsi="Arial"/>
        </w:rPr>
        <w:t>Statement 2</w:t>
      </w:r>
      <w:r>
        <w:rPr>
          <w:rFonts w:ascii="Arial" w:hAnsi="Arial"/>
        </w:rPr>
        <w:t>:</w:t>
      </w:r>
      <w:r w:rsidRPr="001D29E1">
        <w:rPr>
          <w:rFonts w:ascii="Arial" w:hAnsi="Arial"/>
        </w:rPr>
        <w:t xml:space="preserve"> Adults with suspected chronic heart failure and very high levels of serum natriuretic peptides, who have been referred for diagnosis, have an echocardiogram and specialist assessment within 2 weeks.</w:t>
      </w:r>
    </w:p>
    <w:p w14:paraId="29A0D99D" w14:textId="547E0E9B" w:rsidR="004510E0" w:rsidRDefault="00017116" w:rsidP="004C60D9">
      <w:pPr>
        <w:pStyle w:val="Heading4"/>
      </w:pPr>
      <w:r>
        <w:t>Mer</w:t>
      </w:r>
      <w:r w:rsidR="00A62B20">
        <w:t>ge</w:t>
      </w:r>
      <w:r>
        <w:t xml:space="preserve"> </w:t>
      </w:r>
      <w:r w:rsidR="004C60D9">
        <w:t xml:space="preserve">existing </w:t>
      </w:r>
      <w:r w:rsidR="00713A26">
        <w:t>statements 1 and 2</w:t>
      </w:r>
      <w:r w:rsidR="00C448DE">
        <w:t xml:space="preserve"> </w:t>
      </w:r>
    </w:p>
    <w:p w14:paraId="2DB269AA" w14:textId="30414B67" w:rsidR="00713A26" w:rsidRDefault="00E16843" w:rsidP="009920D7">
      <w:pPr>
        <w:pStyle w:val="Paragraph"/>
      </w:pPr>
      <w:r>
        <w:t>Stakeholders suggested that this is still a key area for quality improvement</w:t>
      </w:r>
      <w:r w:rsidR="00E041A7">
        <w:t>, with most of diagnosis occurring in hospital, yet a significant portion of patients having had symptoms prior to admission</w:t>
      </w:r>
      <w:r>
        <w:t xml:space="preserve">. </w:t>
      </w:r>
      <w:r w:rsidR="00E15DA7" w:rsidRPr="00E15DA7">
        <w:t xml:space="preserve">Stakeholders </w:t>
      </w:r>
      <w:r w:rsidR="00E15DA7">
        <w:t xml:space="preserve">agreed that it was sensible to merge the two statements. They fed back the importance of featuring NICE recommended timelines of </w:t>
      </w:r>
      <w:r w:rsidR="003C2655">
        <w:t xml:space="preserve">6 weeks and 2 weeks for patients with </w:t>
      </w:r>
      <w:r w:rsidR="003C2655" w:rsidRPr="003C2655">
        <w:t>an NT</w:t>
      </w:r>
      <w:r w:rsidR="00CB31C7" w:rsidRPr="00DE5D03">
        <w:rPr>
          <w:rFonts w:cs="Arial"/>
        </w:rPr>
        <w:t>-</w:t>
      </w:r>
      <w:proofErr w:type="spellStart"/>
      <w:r w:rsidR="003C2655" w:rsidRPr="003C2655">
        <w:t>proBNP</w:t>
      </w:r>
      <w:proofErr w:type="spellEnd"/>
      <w:r w:rsidR="003C2655" w:rsidRPr="003C2655">
        <w:t xml:space="preserve"> level </w:t>
      </w:r>
      <w:r w:rsidR="003C2655">
        <w:t xml:space="preserve">above/below </w:t>
      </w:r>
      <w:r w:rsidR="003C2655" w:rsidRPr="003C2655">
        <w:t xml:space="preserve">2,000 ng/litre (236 </w:t>
      </w:r>
      <w:proofErr w:type="spellStart"/>
      <w:r w:rsidR="003C2655" w:rsidRPr="003C2655">
        <w:t>pmol</w:t>
      </w:r>
      <w:proofErr w:type="spellEnd"/>
      <w:r w:rsidR="003C2655" w:rsidRPr="003C2655">
        <w:t>/litre)</w:t>
      </w:r>
      <w:r w:rsidR="003C2655">
        <w:t xml:space="preserve"> respectively.</w:t>
      </w:r>
      <w:r w:rsidR="00CB31C7">
        <w:t xml:space="preserve"> </w:t>
      </w:r>
    </w:p>
    <w:p w14:paraId="1AC93713" w14:textId="0E11D534" w:rsidR="00CE4759" w:rsidRPr="00E15DA7" w:rsidRDefault="00CB31C7" w:rsidP="009920D7">
      <w:pPr>
        <w:pStyle w:val="Paragraph"/>
      </w:pPr>
      <w:r>
        <w:t xml:space="preserve">They also noted the importance of routine testing of </w:t>
      </w:r>
      <w:r w:rsidRPr="00CB31C7">
        <w:t>NT</w:t>
      </w:r>
      <w:r>
        <w:t>-</w:t>
      </w:r>
      <w:proofErr w:type="spellStart"/>
      <w:r w:rsidRPr="00CB31C7">
        <w:t>proBNP</w:t>
      </w:r>
      <w:proofErr w:type="spellEnd"/>
      <w:r>
        <w:t xml:space="preserve"> and improving </w:t>
      </w:r>
      <w:r w:rsidR="00E041A7">
        <w:t>its accessibility.</w:t>
      </w:r>
      <w:r w:rsidR="009D01F1" w:rsidRPr="009D01F1">
        <w:t xml:space="preserve"> </w:t>
      </w:r>
      <w:r w:rsidR="009D01F1" w:rsidRPr="00B4266A">
        <w:t>Stakeholder</w:t>
      </w:r>
      <w:r w:rsidR="009D01F1">
        <w:t xml:space="preserve">s questioned if </w:t>
      </w:r>
      <w:proofErr w:type="spellStart"/>
      <w:r w:rsidR="009D01F1">
        <w:t>HFpEF</w:t>
      </w:r>
      <w:proofErr w:type="spellEnd"/>
      <w:r w:rsidR="009D01F1">
        <w:t xml:space="preserve"> was covered by echocardiograms in Statement </w:t>
      </w:r>
      <w:r w:rsidR="004C60D9">
        <w:t>1 and</w:t>
      </w:r>
      <w:r w:rsidR="009D01F1">
        <w:t xml:space="preserve"> fed back that a new statement in this area could help with issues of poor recording and management of the condition.</w:t>
      </w:r>
    </w:p>
    <w:p w14:paraId="3452A1FB" w14:textId="77777777" w:rsidR="004510E0" w:rsidRPr="00F45FBA" w:rsidRDefault="004510E0" w:rsidP="00A673EB">
      <w:pPr>
        <w:pStyle w:val="Heading4"/>
      </w:pPr>
      <w:r>
        <w:t>S</w:t>
      </w:r>
      <w:r w:rsidRPr="00CD3D03">
        <w:t xml:space="preserve">elected recommendations </w:t>
      </w:r>
    </w:p>
    <w:p w14:paraId="611CD7FF" w14:textId="7463389D" w:rsidR="00A673EB" w:rsidRDefault="00A673EB" w:rsidP="00A673EB">
      <w:pPr>
        <w:pStyle w:val="Paragraph"/>
      </w:pPr>
      <w:r w:rsidRPr="003C2655">
        <w:t>NICE’s guideline</w:t>
      </w:r>
      <w:r w:rsidR="003C2655" w:rsidRPr="003C2655">
        <w:t xml:space="preserve"> on</w:t>
      </w:r>
      <w:r w:rsidRPr="003C2655">
        <w:t xml:space="preserve"> </w:t>
      </w:r>
      <w:hyperlink r:id="rId20" w:history="1">
        <w:r w:rsidR="003C2655" w:rsidRPr="003C2655">
          <w:rPr>
            <w:rStyle w:val="Hyperlink"/>
          </w:rPr>
          <w:t>Chronic heart failure in adults: diagnosis and management (NG106)</w:t>
        </w:r>
      </w:hyperlink>
    </w:p>
    <w:p w14:paraId="1D7FD546" w14:textId="1B7B3633" w:rsidR="00C51FA3" w:rsidRDefault="00C51FA3" w:rsidP="00A673EB">
      <w:pPr>
        <w:pStyle w:val="Paragraph"/>
      </w:pPr>
      <w:r>
        <w:t xml:space="preserve">1.2.2 </w:t>
      </w:r>
      <w:r w:rsidRPr="00C51FA3">
        <w:t>Measure N-terminal pro-B-type natriuretic peptide (NT</w:t>
      </w:r>
      <w:r w:rsidRPr="00C51FA3">
        <w:rPr>
          <w:rFonts w:ascii="Cambria Math" w:hAnsi="Cambria Math" w:cs="Cambria Math"/>
        </w:rPr>
        <w:t>‑</w:t>
      </w:r>
      <w:proofErr w:type="spellStart"/>
      <w:r w:rsidRPr="00C51FA3">
        <w:t>proBNP</w:t>
      </w:r>
      <w:proofErr w:type="spellEnd"/>
      <w:r w:rsidRPr="00C51FA3">
        <w:t>) in people with suspected heart failure.</w:t>
      </w:r>
    </w:p>
    <w:p w14:paraId="60DB0DFA" w14:textId="33A2AD29" w:rsidR="00C51FA3" w:rsidRDefault="00411F8A" w:rsidP="00A673EB">
      <w:pPr>
        <w:pStyle w:val="Paragraph"/>
      </w:pPr>
      <w:r>
        <w:t xml:space="preserve">1.2.3 </w:t>
      </w:r>
      <w:r w:rsidRPr="00411F8A">
        <w:t>Because very high levels of NT</w:t>
      </w:r>
      <w:r w:rsidRPr="00411F8A">
        <w:rPr>
          <w:rFonts w:ascii="Cambria Math" w:hAnsi="Cambria Math" w:cs="Cambria Math"/>
        </w:rPr>
        <w:t>‑</w:t>
      </w:r>
      <w:proofErr w:type="spellStart"/>
      <w:r w:rsidRPr="00411F8A">
        <w:t>proBNP</w:t>
      </w:r>
      <w:proofErr w:type="spellEnd"/>
      <w:r w:rsidRPr="00411F8A">
        <w:t xml:space="preserve"> carry a poor prognosis, refer people with suspected heart failure and an NT</w:t>
      </w:r>
      <w:r w:rsidRPr="00411F8A">
        <w:rPr>
          <w:rFonts w:ascii="Cambria Math" w:hAnsi="Cambria Math" w:cs="Cambria Math"/>
        </w:rPr>
        <w:t>‑</w:t>
      </w:r>
      <w:proofErr w:type="spellStart"/>
      <w:r w:rsidRPr="00411F8A">
        <w:t>proBNP</w:t>
      </w:r>
      <w:proofErr w:type="spellEnd"/>
      <w:r w:rsidRPr="00411F8A">
        <w:t xml:space="preserve"> level above 2,000 ng/litre (236 </w:t>
      </w:r>
      <w:proofErr w:type="spellStart"/>
      <w:r w:rsidRPr="00411F8A">
        <w:t>pmol</w:t>
      </w:r>
      <w:proofErr w:type="spellEnd"/>
      <w:r w:rsidRPr="00411F8A">
        <w:t>/litre) urgently, to have specialist assessment and transthoracic echocardiography within 2 weeks.</w:t>
      </w:r>
    </w:p>
    <w:p w14:paraId="02D9D198" w14:textId="44A1C20A" w:rsidR="00411F8A" w:rsidRDefault="00411F8A" w:rsidP="00A673EB">
      <w:pPr>
        <w:pStyle w:val="Paragraph"/>
      </w:pPr>
      <w:r>
        <w:t xml:space="preserve">1.2.4 </w:t>
      </w:r>
      <w:r w:rsidRPr="00411F8A">
        <w:t>Refer people with suspected heart failure and an NT</w:t>
      </w:r>
      <w:r w:rsidRPr="00411F8A">
        <w:rPr>
          <w:rFonts w:ascii="Cambria Math" w:hAnsi="Cambria Math" w:cs="Cambria Math"/>
        </w:rPr>
        <w:t>‑</w:t>
      </w:r>
      <w:proofErr w:type="spellStart"/>
      <w:r w:rsidRPr="00411F8A">
        <w:t>proBNP</w:t>
      </w:r>
      <w:proofErr w:type="spellEnd"/>
      <w:r w:rsidRPr="00411F8A">
        <w:t xml:space="preserve"> level between 400 and 2,000 ng/litre (47 to 236 </w:t>
      </w:r>
      <w:proofErr w:type="spellStart"/>
      <w:r w:rsidRPr="00411F8A">
        <w:t>pmol</w:t>
      </w:r>
      <w:proofErr w:type="spellEnd"/>
      <w:r w:rsidRPr="00411F8A">
        <w:t>/litre) to have specialist assessment and transthoracic echocardiography within 6 weeks.</w:t>
      </w:r>
    </w:p>
    <w:p w14:paraId="0953E07B" w14:textId="37F50D68" w:rsidR="00AE13B7" w:rsidRDefault="00411F8A" w:rsidP="00AE13B7">
      <w:pPr>
        <w:pStyle w:val="Paragraph"/>
      </w:pPr>
      <w:r>
        <w:t xml:space="preserve">1.2.6 </w:t>
      </w:r>
      <w:r w:rsidRPr="00411F8A">
        <w:t>Review alternative causes for symptoms of heart failure in people with NT-</w:t>
      </w:r>
      <w:proofErr w:type="spellStart"/>
      <w:r w:rsidRPr="00411F8A">
        <w:t>proBNP</w:t>
      </w:r>
      <w:proofErr w:type="spellEnd"/>
      <w:r w:rsidRPr="00411F8A">
        <w:t xml:space="preserve"> levels below 400 ng/litre. If there is still concern that the symptoms might be related to heart failure, discuss with a physician with subspeciality training in heart failure</w:t>
      </w:r>
      <w:r>
        <w:t>.</w:t>
      </w:r>
    </w:p>
    <w:p w14:paraId="0AB33B6D" w14:textId="77777777" w:rsidR="00E041A7" w:rsidRDefault="00E041A7" w:rsidP="00E041A7">
      <w:pPr>
        <w:pStyle w:val="Heading4"/>
      </w:pPr>
      <w:bookmarkStart w:id="101" w:name="_Hlk103781182"/>
      <w:r>
        <w:t>Current UK practice</w:t>
      </w:r>
    </w:p>
    <w:p w14:paraId="4F102805" w14:textId="117194EB" w:rsidR="00E041A7" w:rsidRPr="00813821" w:rsidRDefault="00CA7328" w:rsidP="00E041A7">
      <w:pPr>
        <w:pStyle w:val="Paragraph"/>
      </w:pPr>
      <w:r w:rsidRPr="00CA7328">
        <w:t xml:space="preserve">No published </w:t>
      </w:r>
      <w:r>
        <w:t>data</w:t>
      </w:r>
      <w:r w:rsidRPr="00CA7328">
        <w:t xml:space="preserve"> on current practice were highlighted for this suggested area for quality improvement; this area is based on stakeholder’s knowledge and experience</w:t>
      </w:r>
      <w:bookmarkEnd w:id="101"/>
      <w:r>
        <w:t>.</w:t>
      </w:r>
    </w:p>
    <w:p w14:paraId="7F00B46A" w14:textId="77777777" w:rsidR="00491211" w:rsidRPr="004612EA" w:rsidRDefault="00491211" w:rsidP="004C60D9">
      <w:pPr>
        <w:pStyle w:val="Heading4"/>
      </w:pPr>
      <w:r w:rsidRPr="004612EA">
        <w:t>Resource impact</w:t>
      </w:r>
    </w:p>
    <w:p w14:paraId="59164DE7" w14:textId="417D3761" w:rsidR="00491211" w:rsidRDefault="005C3003" w:rsidP="00491211">
      <w:pPr>
        <w:pStyle w:val="Paragraph"/>
      </w:pPr>
      <w:r w:rsidRPr="005C3003">
        <w:t>During development of NG106, this was not expected to have a significant resource impact</w:t>
      </w:r>
      <w:r>
        <w:t>.</w:t>
      </w:r>
      <w:r w:rsidRPr="005C3003" w:rsidDel="005C3003">
        <w:t xml:space="preserve"> </w:t>
      </w:r>
    </w:p>
    <w:p w14:paraId="47B77973" w14:textId="77777777" w:rsidR="00624810" w:rsidRPr="0067426A" w:rsidRDefault="00624810" w:rsidP="004C60D9">
      <w:pPr>
        <w:pStyle w:val="Heading4"/>
      </w:pPr>
      <w:r w:rsidRPr="0067426A">
        <w:t>Issues for consideration</w:t>
      </w:r>
    </w:p>
    <w:p w14:paraId="64BB0525" w14:textId="77777777" w:rsidR="00A673EB" w:rsidRPr="00B413F2" w:rsidRDefault="00A673EB" w:rsidP="00A673EB">
      <w:pPr>
        <w:pStyle w:val="Paragraph"/>
        <w:rPr>
          <w:b/>
          <w:bCs/>
        </w:rPr>
      </w:pPr>
      <w:r w:rsidRPr="00A6218A">
        <w:rPr>
          <w:b/>
          <w:bCs/>
        </w:rPr>
        <w:t>For discussion:</w:t>
      </w:r>
    </w:p>
    <w:p w14:paraId="2D3021C1" w14:textId="3DD29B72" w:rsidR="00A673EB" w:rsidRPr="00411F8A" w:rsidRDefault="00CA7328" w:rsidP="00DE5D03">
      <w:pPr>
        <w:pStyle w:val="Panelbullet1"/>
        <w:spacing w:after="240"/>
      </w:pPr>
      <w:r>
        <w:t xml:space="preserve">What </w:t>
      </w:r>
      <w:r w:rsidR="00E62925">
        <w:t>is</w:t>
      </w:r>
      <w:r>
        <w:t xml:space="preserve"> the area for quality improvement</w:t>
      </w:r>
      <w:r w:rsidR="00A673EB" w:rsidRPr="00411F8A">
        <w:t>?</w:t>
      </w:r>
    </w:p>
    <w:p w14:paraId="2A8BBD1C" w14:textId="77777777" w:rsidR="00A673EB" w:rsidRPr="00A6218A" w:rsidRDefault="00A673EB" w:rsidP="00A673EB">
      <w:pPr>
        <w:pStyle w:val="Paragraph"/>
        <w:rPr>
          <w:b/>
          <w:bCs/>
        </w:rPr>
      </w:pPr>
      <w:r w:rsidRPr="00A6218A">
        <w:rPr>
          <w:b/>
          <w:bCs/>
        </w:rPr>
        <w:t>For decision:</w:t>
      </w:r>
    </w:p>
    <w:p w14:paraId="042E7F5B" w14:textId="016A959B" w:rsidR="00E16843" w:rsidRDefault="00E16843" w:rsidP="00A673EB">
      <w:pPr>
        <w:pStyle w:val="Bulletleft1"/>
      </w:pPr>
      <w:r w:rsidRPr="00624810">
        <w:t>Should this area be prioritised for inclusion in the quality standard</w:t>
      </w:r>
      <w:r>
        <w:t>?</w:t>
      </w:r>
    </w:p>
    <w:p w14:paraId="4DE2A666" w14:textId="2F1999D0" w:rsidR="00A673EB" w:rsidRDefault="00A673EB" w:rsidP="00A673EB">
      <w:pPr>
        <w:pStyle w:val="Bulletleft1"/>
      </w:pPr>
      <w:r w:rsidRPr="00624810">
        <w:t xml:space="preserve">Should </w:t>
      </w:r>
      <w:r w:rsidR="00411F8A">
        <w:t>existing statements 1 and 2 be merged</w:t>
      </w:r>
      <w:r w:rsidRPr="00624810">
        <w:t>?</w:t>
      </w:r>
    </w:p>
    <w:p w14:paraId="104AC698" w14:textId="0FFF0F06" w:rsidR="00E62925" w:rsidRPr="00E62925" w:rsidRDefault="00B86518" w:rsidP="009E0088">
      <w:pPr>
        <w:pStyle w:val="Numberedheading2"/>
      </w:pPr>
      <w:r w:rsidRPr="00427135">
        <w:br w:type="page"/>
      </w:r>
      <w:bookmarkStart w:id="102" w:name="_Toc108708702"/>
      <w:r w:rsidR="007F0645">
        <w:t>Cardiac Rehabilitation</w:t>
      </w:r>
      <w:bookmarkEnd w:id="102"/>
      <w:r w:rsidR="00C448DE">
        <w:t xml:space="preserve"> </w:t>
      </w:r>
    </w:p>
    <w:p w14:paraId="4A8B561F" w14:textId="77777777" w:rsidR="00E62925" w:rsidRDefault="00E62925" w:rsidP="00E62925">
      <w:pPr>
        <w:pStyle w:val="Heading4"/>
      </w:pPr>
      <w:bookmarkStart w:id="103" w:name="_Hlk103846730"/>
      <w:r>
        <w:t>Existing Quality Statements</w:t>
      </w:r>
    </w:p>
    <w:p w14:paraId="5E73CB30" w14:textId="77777777" w:rsidR="00E62925" w:rsidRDefault="00E62925" w:rsidP="004C60D9">
      <w:pPr>
        <w:spacing w:before="240" w:after="240" w:line="276" w:lineRule="auto"/>
        <w:rPr>
          <w:rFonts w:ascii="Arial" w:hAnsi="Arial"/>
        </w:rPr>
      </w:pPr>
      <w:r w:rsidRPr="00152283">
        <w:rPr>
          <w:rFonts w:ascii="Arial" w:hAnsi="Arial"/>
        </w:rPr>
        <w:t xml:space="preserve">Statement </w:t>
      </w:r>
      <w:r>
        <w:rPr>
          <w:rFonts w:ascii="Arial" w:hAnsi="Arial"/>
        </w:rPr>
        <w:t>6:</w:t>
      </w:r>
      <w:r w:rsidRPr="00152283">
        <w:rPr>
          <w:rFonts w:ascii="Arial" w:hAnsi="Arial"/>
        </w:rPr>
        <w:t xml:space="preserve"> </w:t>
      </w:r>
      <w:r w:rsidRPr="001F7AE2">
        <w:rPr>
          <w:rFonts w:ascii="Arial" w:hAnsi="Arial"/>
        </w:rPr>
        <w:t>Adults with stable chronic heart failure are offered an exercise</w:t>
      </w:r>
      <w:r w:rsidRPr="009E0088">
        <w:rPr>
          <w:rFonts w:ascii="Cambria Math" w:hAnsi="Cambria Math" w:cs="Cambria Math"/>
        </w:rPr>
        <w:t>‑</w:t>
      </w:r>
      <w:r w:rsidRPr="001F7AE2">
        <w:rPr>
          <w:rFonts w:ascii="Arial" w:hAnsi="Arial"/>
        </w:rPr>
        <w:t>based programme of cardiac rehabilitation</w:t>
      </w:r>
      <w:bookmarkEnd w:id="103"/>
      <w:r w:rsidRPr="00152283">
        <w:rPr>
          <w:rFonts w:ascii="Arial" w:hAnsi="Arial"/>
        </w:rPr>
        <w:t>.</w:t>
      </w:r>
    </w:p>
    <w:p w14:paraId="139FB0E3" w14:textId="1B46C7CE" w:rsidR="00E62925" w:rsidRPr="00DE5D03" w:rsidRDefault="00E62925" w:rsidP="004C60D9">
      <w:pPr>
        <w:pStyle w:val="NICEnormal"/>
        <w:spacing w:line="276" w:lineRule="auto"/>
        <w:rPr>
          <w:b/>
          <w:bCs/>
        </w:rPr>
      </w:pPr>
      <w:r w:rsidRPr="00DE5D03">
        <w:t>Statement 7: Adults with chronic heart failure referred to a programme of cardiac rehabilitation are offered sessions during and outside working hours, and the choice of undertaking the programme at home, in the community or in a hospital setting.</w:t>
      </w:r>
    </w:p>
    <w:p w14:paraId="4BF8CD6F" w14:textId="043BE286" w:rsidR="00C448DE" w:rsidRDefault="00017116" w:rsidP="004C60D9">
      <w:pPr>
        <w:pStyle w:val="Heading4"/>
      </w:pPr>
      <w:r>
        <w:t>Merg</w:t>
      </w:r>
      <w:r w:rsidR="00A62B20">
        <w:t>e</w:t>
      </w:r>
      <w:r w:rsidR="00EB6A0B">
        <w:t xml:space="preserve"> existing</w:t>
      </w:r>
      <w:r w:rsidR="00DD4810">
        <w:t xml:space="preserve"> </w:t>
      </w:r>
      <w:r>
        <w:t>statements 6 and 7</w:t>
      </w:r>
      <w:r w:rsidR="00C448DE">
        <w:t xml:space="preserve"> </w:t>
      </w:r>
    </w:p>
    <w:p w14:paraId="22EDF9D0" w14:textId="79F750CC" w:rsidR="00C448DE" w:rsidRDefault="00C91574" w:rsidP="00C448DE">
      <w:pPr>
        <w:pStyle w:val="Paragraph"/>
      </w:pPr>
      <w:r w:rsidRPr="00C91574">
        <w:t>Stakeholders suggested that this is still a key area for quality improvement.</w:t>
      </w:r>
      <w:r>
        <w:t xml:space="preserve"> They fed back that all patients with chronic heart failure should be offered cardiac rehabilitation, and that quality of care </w:t>
      </w:r>
      <w:r w:rsidR="00EB6A0B">
        <w:t xml:space="preserve">and associated outcomes </w:t>
      </w:r>
      <w:r>
        <w:t>would be improved by increasing its provision.</w:t>
      </w:r>
      <w:r w:rsidRPr="00C91574">
        <w:t xml:space="preserve"> </w:t>
      </w:r>
      <w:r w:rsidR="009278DD">
        <w:t>Stakeholders highlighted the need for different delivery methods and times to be offered</w:t>
      </w:r>
      <w:r w:rsidR="001F7AE2">
        <w:t>, as well as the importance of cardiac rehabilitation in all forms</w:t>
      </w:r>
      <w:r w:rsidR="009278DD">
        <w:t xml:space="preserve">. </w:t>
      </w:r>
      <w:r w:rsidR="006A3820" w:rsidRPr="006A3820">
        <w:t xml:space="preserve">Stakeholders agreed that it was sensible to merge the two </w:t>
      </w:r>
      <w:r w:rsidR="00EB6A0B">
        <w:t xml:space="preserve">existing </w:t>
      </w:r>
      <w:r w:rsidR="006A3820" w:rsidRPr="006A3820">
        <w:t>statements</w:t>
      </w:r>
      <w:r w:rsidR="006A3820">
        <w:t>.</w:t>
      </w:r>
    </w:p>
    <w:p w14:paraId="3D6846E9" w14:textId="29B34536" w:rsidR="00E62925" w:rsidRPr="006A3820" w:rsidRDefault="00E62925" w:rsidP="00C448DE">
      <w:pPr>
        <w:pStyle w:val="Paragraph"/>
      </w:pPr>
      <w:r w:rsidRPr="00E62925">
        <w:t xml:space="preserve">Stakeholders felt that while </w:t>
      </w:r>
      <w:r>
        <w:t>that flexibility of rehabilitation provision</w:t>
      </w:r>
      <w:r w:rsidRPr="00E62925">
        <w:t xml:space="preserve"> had improved and had become more widespread, there was still significant variation. They fed back </w:t>
      </w:r>
      <w:proofErr w:type="gramStart"/>
      <w:r w:rsidRPr="00E62925">
        <w:t>that advances</w:t>
      </w:r>
      <w:proofErr w:type="gramEnd"/>
      <w:r w:rsidRPr="00E62925">
        <w:t xml:space="preserve"> in, and greater usage of virtual technology during the COVID-19 pandemic had sped up progress, and that though there was still a way to go, this was something that should be aimed for</w:t>
      </w:r>
    </w:p>
    <w:p w14:paraId="1E9555EA" w14:textId="77777777" w:rsidR="00C448DE" w:rsidRPr="00F45FBA" w:rsidRDefault="00C448DE" w:rsidP="00C448DE">
      <w:pPr>
        <w:pStyle w:val="Heading4"/>
      </w:pPr>
      <w:r>
        <w:t>S</w:t>
      </w:r>
      <w:r w:rsidRPr="00CD3D03">
        <w:t xml:space="preserve">elected recommendations </w:t>
      </w:r>
    </w:p>
    <w:p w14:paraId="10C13D03" w14:textId="77777777" w:rsidR="006A3820" w:rsidRDefault="006A3820" w:rsidP="006A3820">
      <w:pPr>
        <w:pStyle w:val="Paragraph"/>
      </w:pPr>
      <w:bookmarkStart w:id="104" w:name="_Hlk103010986"/>
      <w:r w:rsidRPr="003C2655">
        <w:t xml:space="preserve">NICE’s guideline on </w:t>
      </w:r>
      <w:hyperlink r:id="rId21" w:history="1">
        <w:r w:rsidRPr="003C2655">
          <w:rPr>
            <w:rStyle w:val="Hyperlink"/>
          </w:rPr>
          <w:t>Chronic heart failure in adults: diagnosis and management (NG106)</w:t>
        </w:r>
      </w:hyperlink>
    </w:p>
    <w:p w14:paraId="5D14DC58" w14:textId="77777777" w:rsidR="006A3820" w:rsidRPr="006A3820" w:rsidRDefault="00C448DE" w:rsidP="006A3820">
      <w:pPr>
        <w:pStyle w:val="Paragraph"/>
      </w:pPr>
      <w:r w:rsidRPr="006A3820">
        <w:t>1.</w:t>
      </w:r>
      <w:r w:rsidR="006A3820">
        <w:t>9.1</w:t>
      </w:r>
      <w:r w:rsidRPr="006A3820">
        <w:t xml:space="preserve"> </w:t>
      </w:r>
      <w:r w:rsidR="006A3820" w:rsidRPr="006A3820">
        <w:t>Offer people with heart failure a personalised, exercise-based cardiac rehabilitation programme, unless their condition is unstable. The programme:</w:t>
      </w:r>
    </w:p>
    <w:p w14:paraId="04560E77" w14:textId="77777777" w:rsidR="006A3820" w:rsidRPr="006A3820" w:rsidRDefault="006A3820" w:rsidP="00654347">
      <w:pPr>
        <w:pStyle w:val="Paragraph"/>
        <w:numPr>
          <w:ilvl w:val="0"/>
          <w:numId w:val="7"/>
        </w:numPr>
      </w:pPr>
      <w:r w:rsidRPr="006A3820">
        <w:t>should be preceded by an assessment to ensure that it is suitable for the person</w:t>
      </w:r>
    </w:p>
    <w:p w14:paraId="74758D52" w14:textId="77777777" w:rsidR="006A3820" w:rsidRPr="006A3820" w:rsidRDefault="006A3820" w:rsidP="00654347">
      <w:pPr>
        <w:pStyle w:val="Paragraph"/>
        <w:numPr>
          <w:ilvl w:val="0"/>
          <w:numId w:val="7"/>
        </w:numPr>
      </w:pPr>
      <w:r w:rsidRPr="006A3820">
        <w:t>should be provided in a format and setting (at home, in the community or in the hospital) that is easily accessible for the person</w:t>
      </w:r>
    </w:p>
    <w:p w14:paraId="5CBB756E" w14:textId="77777777" w:rsidR="006A3820" w:rsidRPr="006A3820" w:rsidRDefault="006A3820" w:rsidP="00654347">
      <w:pPr>
        <w:pStyle w:val="Paragraph"/>
        <w:numPr>
          <w:ilvl w:val="0"/>
          <w:numId w:val="7"/>
        </w:numPr>
      </w:pPr>
      <w:r w:rsidRPr="006A3820">
        <w:t>should include a psychological and educational component</w:t>
      </w:r>
    </w:p>
    <w:p w14:paraId="1E94D381" w14:textId="77777777" w:rsidR="006A3820" w:rsidRPr="006A3820" w:rsidRDefault="006A3820" w:rsidP="00654347">
      <w:pPr>
        <w:pStyle w:val="Paragraph"/>
        <w:numPr>
          <w:ilvl w:val="0"/>
          <w:numId w:val="7"/>
        </w:numPr>
      </w:pPr>
      <w:r w:rsidRPr="006A3820">
        <w:t>may be incorporated within an existing cardiac rehabilitation programme</w:t>
      </w:r>
    </w:p>
    <w:p w14:paraId="1AA4D6ED" w14:textId="0A57DFB2" w:rsidR="001F7AE2" w:rsidRPr="00813821" w:rsidRDefault="006A3820" w:rsidP="009E0088">
      <w:pPr>
        <w:pStyle w:val="Paragraph"/>
        <w:numPr>
          <w:ilvl w:val="0"/>
          <w:numId w:val="7"/>
        </w:numPr>
      </w:pPr>
      <w:r w:rsidRPr="006A3820">
        <w:t>should be accompanied by information about support available from healthcare professionals when the person is doing the programme</w:t>
      </w:r>
      <w:r>
        <w:t>.</w:t>
      </w:r>
      <w:bookmarkEnd w:id="104"/>
    </w:p>
    <w:p w14:paraId="4902F916" w14:textId="77777777" w:rsidR="00C448DE" w:rsidRDefault="00C448DE" w:rsidP="00C448DE">
      <w:pPr>
        <w:pStyle w:val="Heading4"/>
      </w:pPr>
      <w:bookmarkStart w:id="105" w:name="_Hlk103780895"/>
      <w:r>
        <w:t>Current UK practice</w:t>
      </w:r>
    </w:p>
    <w:p w14:paraId="64A70B4D" w14:textId="23375296" w:rsidR="00C448DE" w:rsidRDefault="0034789B" w:rsidP="00F56305">
      <w:pPr>
        <w:pStyle w:val="Paragraph"/>
      </w:pPr>
      <w:r>
        <w:t xml:space="preserve">15.2% of patients were </w:t>
      </w:r>
      <w:bookmarkEnd w:id="105"/>
      <w:r>
        <w:t>referred to cardiac rehabilitation when in hospital, with rates increasing when in cardiology wards (22%)</w:t>
      </w:r>
      <w:r w:rsidR="00F56305">
        <w:t xml:space="preserve"> (</w:t>
      </w:r>
      <w:hyperlink r:id="rId22" w:history="1">
        <w:r w:rsidR="00643428">
          <w:rPr>
            <w:rStyle w:val="Hyperlink"/>
          </w:rPr>
          <w:t>NICOR 2021</w:t>
        </w:r>
      </w:hyperlink>
      <w:r w:rsidR="00F56305">
        <w:t>).</w:t>
      </w:r>
    </w:p>
    <w:p w14:paraId="77697FA8" w14:textId="77777777" w:rsidR="00C448DE" w:rsidRPr="004612EA" w:rsidRDefault="00C448DE" w:rsidP="004C60D9">
      <w:pPr>
        <w:pStyle w:val="Heading4"/>
      </w:pPr>
      <w:r w:rsidRPr="004612EA">
        <w:t>Resource impact</w:t>
      </w:r>
    </w:p>
    <w:p w14:paraId="25534572" w14:textId="6C2C32EA" w:rsidR="00C448DE" w:rsidRDefault="005C3003" w:rsidP="00C448DE">
      <w:pPr>
        <w:pStyle w:val="Paragraph"/>
      </w:pPr>
      <w:r w:rsidRPr="005C3003">
        <w:t>During the development of NG106, a local resource template was produced which included this recommendation. It was estimated that implementing this</w:t>
      </w:r>
      <w:r>
        <w:t xml:space="preserve"> </w:t>
      </w:r>
      <w:r w:rsidRPr="005C3003">
        <w:t>recommendation could result in net savings to the NHS of £7m per year in England due to a reduction in readmissions to hospital for adults with heart failure who were receiving cardiac rehabilitation</w:t>
      </w:r>
      <w:r>
        <w:t>.</w:t>
      </w:r>
    </w:p>
    <w:p w14:paraId="069BF22C" w14:textId="77777777" w:rsidR="00C448DE" w:rsidRPr="0067426A" w:rsidRDefault="00C448DE" w:rsidP="004C60D9">
      <w:pPr>
        <w:pStyle w:val="Heading4"/>
      </w:pPr>
      <w:r w:rsidRPr="0067426A">
        <w:t>Issues for consideration</w:t>
      </w:r>
    </w:p>
    <w:p w14:paraId="27A6279A" w14:textId="77777777" w:rsidR="00C448DE" w:rsidRPr="00B413F2" w:rsidRDefault="00C448DE" w:rsidP="00C448DE">
      <w:pPr>
        <w:pStyle w:val="Paragraph"/>
        <w:rPr>
          <w:b/>
          <w:bCs/>
        </w:rPr>
      </w:pPr>
      <w:r w:rsidRPr="00A6218A">
        <w:rPr>
          <w:b/>
          <w:bCs/>
        </w:rPr>
        <w:t>For discussion:</w:t>
      </w:r>
    </w:p>
    <w:p w14:paraId="2C49F977" w14:textId="61B584C9" w:rsidR="00C448DE" w:rsidRPr="006A3820" w:rsidRDefault="00407F41" w:rsidP="00C448DE">
      <w:pPr>
        <w:pStyle w:val="Panelbullet1"/>
        <w:spacing w:after="240"/>
      </w:pPr>
      <w:r>
        <w:t>Are there specific elements of recommendation 1.9.1 that could be included in the statement wording</w:t>
      </w:r>
      <w:r w:rsidR="00C448DE" w:rsidRPr="006A3820">
        <w:t>?</w:t>
      </w:r>
    </w:p>
    <w:p w14:paraId="2CF41EC0" w14:textId="6C892BBC" w:rsidR="00C448DE" w:rsidRPr="006A3820" w:rsidRDefault="00C448DE" w:rsidP="00C448DE">
      <w:pPr>
        <w:pStyle w:val="Panelbullet1"/>
        <w:spacing w:after="240"/>
      </w:pPr>
      <w:r w:rsidRPr="006A3820">
        <w:t>Wh</w:t>
      </w:r>
      <w:r w:rsidR="00407F41">
        <w:t>ich elements of statements 6 and 7 should remain</w:t>
      </w:r>
      <w:r w:rsidRPr="006A3820">
        <w:t>?</w:t>
      </w:r>
    </w:p>
    <w:p w14:paraId="1BCBC18F" w14:textId="77777777" w:rsidR="00C448DE" w:rsidRPr="00A6218A" w:rsidRDefault="00C448DE" w:rsidP="00C448DE">
      <w:pPr>
        <w:pStyle w:val="Paragraph"/>
        <w:rPr>
          <w:b/>
          <w:bCs/>
        </w:rPr>
      </w:pPr>
      <w:r w:rsidRPr="00A6218A">
        <w:rPr>
          <w:b/>
          <w:bCs/>
        </w:rPr>
        <w:t>For decision:</w:t>
      </w:r>
    </w:p>
    <w:p w14:paraId="72CD4431" w14:textId="68C3CFD2" w:rsidR="00C448DE" w:rsidRDefault="00C448DE" w:rsidP="00C448DE">
      <w:pPr>
        <w:pStyle w:val="Bulletleft1"/>
      </w:pPr>
      <w:r w:rsidRPr="00624810">
        <w:t xml:space="preserve">Should </w:t>
      </w:r>
      <w:r w:rsidR="006A3820">
        <w:t>statements 6 and 7 be merged</w:t>
      </w:r>
      <w:r w:rsidRPr="00624810">
        <w:t>?</w:t>
      </w:r>
    </w:p>
    <w:p w14:paraId="46B75B2D" w14:textId="20491C15" w:rsidR="00C448DE" w:rsidRPr="00433117" w:rsidRDefault="00C448DE" w:rsidP="00DE5D03">
      <w:pPr>
        <w:pStyle w:val="Paragraph"/>
      </w:pPr>
    </w:p>
    <w:p w14:paraId="0D0F77A4" w14:textId="77777777" w:rsidR="00C448DE" w:rsidRPr="00427135" w:rsidRDefault="00C448DE" w:rsidP="00C448DE">
      <w:pPr>
        <w:pStyle w:val="Paragraph"/>
      </w:pPr>
      <w:r w:rsidRPr="00427135">
        <w:br w:type="page"/>
      </w:r>
    </w:p>
    <w:p w14:paraId="5C7837BD" w14:textId="434392B7" w:rsidR="00C448DE" w:rsidRPr="00433117" w:rsidRDefault="00017116" w:rsidP="00C448DE">
      <w:pPr>
        <w:pStyle w:val="Numberedheading2"/>
      </w:pPr>
      <w:bookmarkStart w:id="106" w:name="_Toc108708703"/>
      <w:r>
        <w:t>Service Delivery</w:t>
      </w:r>
      <w:bookmarkEnd w:id="106"/>
      <w:r w:rsidR="00C448DE">
        <w:t xml:space="preserve"> </w:t>
      </w:r>
    </w:p>
    <w:p w14:paraId="0AFF275A" w14:textId="23CFCC3D" w:rsidR="00C448DE" w:rsidRDefault="00DF5593" w:rsidP="00C448DE">
      <w:pPr>
        <w:pStyle w:val="Numberedheading3"/>
      </w:pPr>
      <w:r>
        <w:t>Multi-</w:t>
      </w:r>
      <w:r w:rsidR="000A45E0">
        <w:t>d</w:t>
      </w:r>
      <w:r>
        <w:t xml:space="preserve">isciplinary </w:t>
      </w:r>
      <w:r w:rsidR="000A45E0">
        <w:t>t</w:t>
      </w:r>
      <w:r>
        <w:t>eams</w:t>
      </w:r>
      <w:r w:rsidR="000A45E0">
        <w:t xml:space="preserve"> (MDTs)</w:t>
      </w:r>
    </w:p>
    <w:p w14:paraId="79956B6D" w14:textId="7A28625A" w:rsidR="00C448DE" w:rsidRPr="000A45E0" w:rsidRDefault="000A45E0" w:rsidP="00C448DE">
      <w:pPr>
        <w:pStyle w:val="Paragraph"/>
      </w:pPr>
      <w:r w:rsidRPr="000A45E0">
        <w:t>S</w:t>
      </w:r>
      <w:r>
        <w:t>takeholders fed back that provision of local multi-disciplinary teams was an area for improvement. They felt that they would be instrumental in ongoing care such as implementing care plans, and in integrating heart failure care. They also felt the teams should contai</w:t>
      </w:r>
      <w:r w:rsidR="004054E0">
        <w:t>n consultant cardiologists, specialist heart failure nurses, a healthcare professional with knowledge of specialist prescribing.</w:t>
      </w:r>
    </w:p>
    <w:p w14:paraId="74473C97" w14:textId="77777777" w:rsidR="00C448DE" w:rsidRPr="00F45FBA" w:rsidRDefault="00C448DE" w:rsidP="00C448DE">
      <w:pPr>
        <w:pStyle w:val="Heading4"/>
      </w:pPr>
      <w:r>
        <w:t>S</w:t>
      </w:r>
      <w:r w:rsidRPr="00CD3D03">
        <w:t xml:space="preserve">elected recommendations </w:t>
      </w:r>
    </w:p>
    <w:p w14:paraId="519BFD63" w14:textId="77777777" w:rsidR="001D02E2" w:rsidRDefault="001D02E2" w:rsidP="001D02E2">
      <w:pPr>
        <w:pStyle w:val="Paragraph"/>
      </w:pPr>
      <w:bookmarkStart w:id="107" w:name="_Hlk103085007"/>
      <w:r w:rsidRPr="003C2655">
        <w:t xml:space="preserve">NICE’s guideline on </w:t>
      </w:r>
      <w:hyperlink r:id="rId23" w:history="1">
        <w:r w:rsidRPr="003C2655">
          <w:rPr>
            <w:rStyle w:val="Hyperlink"/>
          </w:rPr>
          <w:t>Chronic heart failure in adults: diagnosis and management (NG106)</w:t>
        </w:r>
      </w:hyperlink>
      <w:bookmarkEnd w:id="107"/>
    </w:p>
    <w:p w14:paraId="364AE7F5" w14:textId="75448916" w:rsidR="001D02E2" w:rsidRPr="001D02E2" w:rsidRDefault="001D02E2" w:rsidP="001D02E2">
      <w:pPr>
        <w:pStyle w:val="Paragraph"/>
      </w:pPr>
      <w:r w:rsidRPr="006A3820">
        <w:t>1.</w:t>
      </w:r>
      <w:r>
        <w:t>1.1</w:t>
      </w:r>
      <w:r w:rsidRPr="006A3820">
        <w:t xml:space="preserve"> </w:t>
      </w:r>
      <w:r w:rsidRPr="001D02E2">
        <w:t>The core specialist heart failure multidisciplinary team (MDT) should work in collaboration with the primary care team, and should include:</w:t>
      </w:r>
    </w:p>
    <w:p w14:paraId="72B17087" w14:textId="77777777" w:rsidR="001D02E2" w:rsidRPr="001D02E2" w:rsidRDefault="001D02E2" w:rsidP="00654347">
      <w:pPr>
        <w:pStyle w:val="Paragraph"/>
        <w:numPr>
          <w:ilvl w:val="0"/>
          <w:numId w:val="8"/>
        </w:numPr>
      </w:pPr>
      <w:r w:rsidRPr="001D02E2">
        <w:t>a lead physician with subspecialty training in heart failure (usually a consultant cardiologist) who is responsible for making the clinical diagnosis</w:t>
      </w:r>
    </w:p>
    <w:p w14:paraId="1C36E9AD" w14:textId="77777777" w:rsidR="001D02E2" w:rsidRPr="001D02E2" w:rsidRDefault="001D02E2" w:rsidP="00654347">
      <w:pPr>
        <w:pStyle w:val="Paragraph"/>
        <w:numPr>
          <w:ilvl w:val="0"/>
          <w:numId w:val="8"/>
        </w:numPr>
      </w:pPr>
      <w:r w:rsidRPr="001D02E2">
        <w:t>a specialist heart failure nurse</w:t>
      </w:r>
    </w:p>
    <w:p w14:paraId="01AF446E" w14:textId="630E94A4" w:rsidR="001D02E2" w:rsidRDefault="001D02E2" w:rsidP="00654347">
      <w:pPr>
        <w:pStyle w:val="Paragraph"/>
        <w:numPr>
          <w:ilvl w:val="0"/>
          <w:numId w:val="8"/>
        </w:numPr>
      </w:pPr>
      <w:r w:rsidRPr="001D02E2">
        <w:t>a healthcare professional with expertise in specialist prescribing for heart failure.</w:t>
      </w:r>
    </w:p>
    <w:p w14:paraId="34BF6548" w14:textId="77777777" w:rsidR="001D02E2" w:rsidRPr="001D02E2" w:rsidRDefault="001D02E2" w:rsidP="001D02E2">
      <w:pPr>
        <w:pStyle w:val="Paragraph"/>
      </w:pPr>
      <w:r>
        <w:t xml:space="preserve">1.1.2 </w:t>
      </w:r>
      <w:r w:rsidRPr="001D02E2">
        <w:t>The specialist heart failure MDT should:</w:t>
      </w:r>
    </w:p>
    <w:p w14:paraId="2D9D52D3" w14:textId="77777777" w:rsidR="001D02E2" w:rsidRPr="001D02E2" w:rsidRDefault="001D02E2" w:rsidP="00654347">
      <w:pPr>
        <w:pStyle w:val="Paragraph"/>
        <w:numPr>
          <w:ilvl w:val="0"/>
          <w:numId w:val="9"/>
        </w:numPr>
      </w:pPr>
      <w:r w:rsidRPr="001D02E2">
        <w:t>diagnose heart failure</w:t>
      </w:r>
    </w:p>
    <w:p w14:paraId="077F3010" w14:textId="77777777" w:rsidR="001D02E2" w:rsidRPr="001D02E2" w:rsidRDefault="001D02E2" w:rsidP="00654347">
      <w:pPr>
        <w:pStyle w:val="Paragraph"/>
        <w:numPr>
          <w:ilvl w:val="0"/>
          <w:numId w:val="9"/>
        </w:numPr>
      </w:pPr>
      <w:r w:rsidRPr="001D02E2">
        <w:t>give information to people newly diagnosed with heart failure (see the </w:t>
      </w:r>
      <w:hyperlink r:id="rId24" w:anchor="giving-information-to-people-with-heart-failure" w:tgtFrame="_top" w:history="1">
        <w:r w:rsidRPr="001D02E2">
          <w:rPr>
            <w:rStyle w:val="Hyperlink"/>
          </w:rPr>
          <w:t>section on giving information to people with heart failure</w:t>
        </w:r>
      </w:hyperlink>
      <w:r w:rsidRPr="001D02E2">
        <w:t>)</w:t>
      </w:r>
    </w:p>
    <w:p w14:paraId="35638D43" w14:textId="77777777" w:rsidR="001D02E2" w:rsidRPr="001D02E2" w:rsidRDefault="001D02E2" w:rsidP="00654347">
      <w:pPr>
        <w:pStyle w:val="Paragraph"/>
        <w:numPr>
          <w:ilvl w:val="0"/>
          <w:numId w:val="9"/>
        </w:numPr>
      </w:pPr>
      <w:r w:rsidRPr="001D02E2">
        <w:t>manage newly diagnosed, recently decompensated or advanced heart failure (NYHA [New York Heart Association] class III to IV)</w:t>
      </w:r>
    </w:p>
    <w:p w14:paraId="472F06B3" w14:textId="77777777" w:rsidR="001D02E2" w:rsidRPr="001D02E2" w:rsidRDefault="001D02E2" w:rsidP="00654347">
      <w:pPr>
        <w:pStyle w:val="Paragraph"/>
        <w:numPr>
          <w:ilvl w:val="0"/>
          <w:numId w:val="9"/>
        </w:numPr>
      </w:pPr>
      <w:r w:rsidRPr="001D02E2">
        <w:t>optimise treatment</w:t>
      </w:r>
    </w:p>
    <w:p w14:paraId="7220E62E" w14:textId="77777777" w:rsidR="001D02E2" w:rsidRPr="001D02E2" w:rsidRDefault="001D02E2" w:rsidP="00654347">
      <w:pPr>
        <w:pStyle w:val="Paragraph"/>
        <w:numPr>
          <w:ilvl w:val="0"/>
          <w:numId w:val="9"/>
        </w:numPr>
      </w:pPr>
      <w:r w:rsidRPr="001D02E2">
        <w:t>start new medicines that need specialist supervision</w:t>
      </w:r>
    </w:p>
    <w:p w14:paraId="732B54CA" w14:textId="77777777" w:rsidR="001D02E2" w:rsidRPr="001D02E2" w:rsidRDefault="001D02E2" w:rsidP="00654347">
      <w:pPr>
        <w:pStyle w:val="Paragraph"/>
        <w:numPr>
          <w:ilvl w:val="0"/>
          <w:numId w:val="9"/>
        </w:numPr>
      </w:pPr>
      <w:r w:rsidRPr="001D02E2">
        <w:t>continue to manage heart failure after an interventional procedure such as implantation of a cardioverter defibrillator or cardiac resynchronisation device</w:t>
      </w:r>
    </w:p>
    <w:p w14:paraId="6060C0BE" w14:textId="7EDA69B5" w:rsidR="001D02E2" w:rsidRDefault="001D02E2" w:rsidP="00654347">
      <w:pPr>
        <w:pStyle w:val="Paragraph"/>
        <w:numPr>
          <w:ilvl w:val="0"/>
          <w:numId w:val="9"/>
        </w:numPr>
      </w:pPr>
      <w:r w:rsidRPr="001D02E2">
        <w:t>manage heart failure that is not responding to treatment</w:t>
      </w:r>
      <w:r>
        <w:t>.</w:t>
      </w:r>
    </w:p>
    <w:p w14:paraId="1C163E84" w14:textId="1658442F" w:rsidR="001D02E2" w:rsidRDefault="001D02E2" w:rsidP="001D02E2">
      <w:pPr>
        <w:pStyle w:val="Paragraph"/>
      </w:pPr>
      <w:r>
        <w:t xml:space="preserve">1.1.3 </w:t>
      </w:r>
      <w:r w:rsidRPr="001D02E2">
        <w:t>The specialist heart failure MDT should directly involve, or refer people to, other services, including rehabilitation, services for older people and palliative care services, as needed.</w:t>
      </w:r>
    </w:p>
    <w:p w14:paraId="4FCA3DC0" w14:textId="77777777" w:rsidR="001D02E2" w:rsidRPr="001D02E2" w:rsidRDefault="001D02E2" w:rsidP="001D02E2">
      <w:pPr>
        <w:pStyle w:val="Paragraph"/>
      </w:pPr>
      <w:bookmarkStart w:id="108" w:name="_Hlk103084974"/>
      <w:r>
        <w:t xml:space="preserve">1.1.4 </w:t>
      </w:r>
      <w:r w:rsidRPr="001D02E2">
        <w:t xml:space="preserve">The primary care team should </w:t>
      </w:r>
      <w:proofErr w:type="gramStart"/>
      <w:r w:rsidRPr="001D02E2">
        <w:t>carry out the following for people with heart failure at all times</w:t>
      </w:r>
      <w:proofErr w:type="gramEnd"/>
      <w:r w:rsidRPr="001D02E2">
        <w:t>, including periods when the person is also receiving specialist heart failure care from the MDT:</w:t>
      </w:r>
    </w:p>
    <w:p w14:paraId="1CAFDFAB" w14:textId="77777777" w:rsidR="001D02E2" w:rsidRPr="001D02E2" w:rsidRDefault="001D02E2" w:rsidP="00654347">
      <w:pPr>
        <w:pStyle w:val="Paragraph"/>
        <w:numPr>
          <w:ilvl w:val="0"/>
          <w:numId w:val="10"/>
        </w:numPr>
      </w:pPr>
      <w:r w:rsidRPr="001D02E2">
        <w:t>ensure effective communication links between different care settings and clinical services involved in the person's care</w:t>
      </w:r>
    </w:p>
    <w:p w14:paraId="222472B2" w14:textId="77777777" w:rsidR="001D02E2" w:rsidRPr="001D02E2" w:rsidRDefault="001D02E2" w:rsidP="00654347">
      <w:pPr>
        <w:pStyle w:val="Paragraph"/>
        <w:numPr>
          <w:ilvl w:val="0"/>
          <w:numId w:val="10"/>
        </w:numPr>
      </w:pPr>
      <w:r w:rsidRPr="001D02E2">
        <w:t>lead a full review of the person's heart failure care, which may form part of a long-term conditions review</w:t>
      </w:r>
    </w:p>
    <w:p w14:paraId="6B50ECC1" w14:textId="77777777" w:rsidR="001D02E2" w:rsidRPr="001D02E2" w:rsidRDefault="001D02E2" w:rsidP="00654347">
      <w:pPr>
        <w:pStyle w:val="Paragraph"/>
        <w:numPr>
          <w:ilvl w:val="0"/>
          <w:numId w:val="10"/>
        </w:numPr>
      </w:pPr>
      <w:r w:rsidRPr="001D02E2">
        <w:t>recall the person at least every 6 months and update the clinical record</w:t>
      </w:r>
    </w:p>
    <w:p w14:paraId="1A979D01" w14:textId="77777777" w:rsidR="001D02E2" w:rsidRPr="001D02E2" w:rsidRDefault="001D02E2" w:rsidP="00654347">
      <w:pPr>
        <w:pStyle w:val="Paragraph"/>
        <w:numPr>
          <w:ilvl w:val="0"/>
          <w:numId w:val="10"/>
        </w:numPr>
      </w:pPr>
      <w:r w:rsidRPr="001D02E2">
        <w:t>ensure that changes to the clinical record are understood and agreed by the person with heart failure and shared with the specialist heart failure MDT</w:t>
      </w:r>
    </w:p>
    <w:p w14:paraId="456EF0A0" w14:textId="77777777" w:rsidR="001D02E2" w:rsidRPr="001D02E2" w:rsidRDefault="001D02E2" w:rsidP="00654347">
      <w:pPr>
        <w:pStyle w:val="Paragraph"/>
        <w:numPr>
          <w:ilvl w:val="0"/>
          <w:numId w:val="10"/>
        </w:numPr>
      </w:pPr>
      <w:r w:rsidRPr="001D02E2">
        <w:t>arrange access to specialist heart failure services if needed</w:t>
      </w:r>
      <w:bookmarkEnd w:id="108"/>
      <w:r w:rsidRPr="001D02E2">
        <w:t>. </w:t>
      </w:r>
    </w:p>
    <w:p w14:paraId="64EF24E4" w14:textId="77777777" w:rsidR="001D02E2" w:rsidRPr="001D02E2" w:rsidRDefault="001D02E2" w:rsidP="001D02E2">
      <w:pPr>
        <w:pStyle w:val="Paragraph"/>
      </w:pPr>
      <w:r>
        <w:t xml:space="preserve">1.3.5 </w:t>
      </w:r>
      <w:r w:rsidRPr="001D02E2">
        <w:t>The specialist heart failure MDT should offer people newly diagnosed with heart failure an extended first consultation, followed by a second consultation to take place within 2 weeks if possible. At each consultation:</w:t>
      </w:r>
    </w:p>
    <w:p w14:paraId="45673E95" w14:textId="77777777" w:rsidR="001D02E2" w:rsidRPr="001D02E2" w:rsidRDefault="001D02E2" w:rsidP="00654347">
      <w:pPr>
        <w:pStyle w:val="Paragraph"/>
        <w:numPr>
          <w:ilvl w:val="0"/>
          <w:numId w:val="11"/>
        </w:numPr>
      </w:pPr>
      <w:r w:rsidRPr="001D02E2">
        <w:t>discuss the person's diagnosis and prognosis</w:t>
      </w:r>
    </w:p>
    <w:p w14:paraId="24D8A85B" w14:textId="77777777" w:rsidR="001D02E2" w:rsidRPr="001D02E2" w:rsidRDefault="001D02E2" w:rsidP="00654347">
      <w:pPr>
        <w:pStyle w:val="Paragraph"/>
        <w:numPr>
          <w:ilvl w:val="0"/>
          <w:numId w:val="11"/>
        </w:numPr>
      </w:pPr>
      <w:r w:rsidRPr="001D02E2">
        <w:t>explain heart failure terminology</w:t>
      </w:r>
    </w:p>
    <w:p w14:paraId="26BF76D0" w14:textId="77777777" w:rsidR="001D02E2" w:rsidRPr="001D02E2" w:rsidRDefault="001D02E2" w:rsidP="00654347">
      <w:pPr>
        <w:pStyle w:val="Paragraph"/>
        <w:numPr>
          <w:ilvl w:val="0"/>
          <w:numId w:val="11"/>
        </w:numPr>
      </w:pPr>
      <w:r w:rsidRPr="001D02E2">
        <w:t>discuss treatments</w:t>
      </w:r>
    </w:p>
    <w:p w14:paraId="1A3DD58B" w14:textId="77777777" w:rsidR="001D02E2" w:rsidRPr="001D02E2" w:rsidRDefault="001D02E2" w:rsidP="00654347">
      <w:pPr>
        <w:pStyle w:val="Paragraph"/>
        <w:numPr>
          <w:ilvl w:val="0"/>
          <w:numId w:val="11"/>
        </w:numPr>
      </w:pPr>
      <w:r w:rsidRPr="001D02E2">
        <w:t>address the risk of sudden death, including any misconceptions about that risk</w:t>
      </w:r>
    </w:p>
    <w:p w14:paraId="6C2B3BA4" w14:textId="635C8437" w:rsidR="001D02E2" w:rsidRDefault="001D02E2" w:rsidP="00654347">
      <w:pPr>
        <w:pStyle w:val="Paragraph"/>
        <w:numPr>
          <w:ilvl w:val="0"/>
          <w:numId w:val="11"/>
        </w:numPr>
      </w:pPr>
      <w:r w:rsidRPr="001D02E2">
        <w:t>encourage the person and their family or carers to ask any questions they have.</w:t>
      </w:r>
    </w:p>
    <w:p w14:paraId="75633398" w14:textId="77777777" w:rsidR="00CA7328" w:rsidRPr="004C60D9" w:rsidRDefault="00CA7328" w:rsidP="004C60D9">
      <w:pPr>
        <w:pStyle w:val="Heading4"/>
      </w:pPr>
      <w:r w:rsidRPr="004C60D9">
        <w:t>Current UK practice</w:t>
      </w:r>
    </w:p>
    <w:p w14:paraId="6F491735" w14:textId="461F2B14" w:rsidR="00CA7328" w:rsidRPr="00DB1960" w:rsidRDefault="00CA7328" w:rsidP="00DE5D03">
      <w:pPr>
        <w:pStyle w:val="Paragraph"/>
      </w:pPr>
      <w:r w:rsidRPr="00CA7328">
        <w:t xml:space="preserve">No published </w:t>
      </w:r>
      <w:r>
        <w:t>data</w:t>
      </w:r>
      <w:r w:rsidRPr="00CA7328">
        <w:t xml:space="preserve"> on current practice were highlighted for this suggested area for quality improvement; this area is based on stakeholder’s knowledge and experience</w:t>
      </w:r>
      <w:r>
        <w:t>.</w:t>
      </w:r>
    </w:p>
    <w:p w14:paraId="45ECFC62" w14:textId="77777777" w:rsidR="00C448DE" w:rsidRPr="004612EA" w:rsidRDefault="00C448DE" w:rsidP="004C60D9">
      <w:pPr>
        <w:pStyle w:val="Heading4"/>
      </w:pPr>
      <w:r w:rsidRPr="004612EA">
        <w:t>Resource impact</w:t>
      </w:r>
    </w:p>
    <w:p w14:paraId="2F9B18F7" w14:textId="67D472F1" w:rsidR="00C448DE" w:rsidRDefault="005C3003" w:rsidP="00C448DE">
      <w:pPr>
        <w:pStyle w:val="Paragraph"/>
      </w:pPr>
      <w:r w:rsidRPr="005C3003">
        <w:t>During the development of NG106, this area was not expected to have a significant impact on the use of NHS resources</w:t>
      </w:r>
      <w:r>
        <w:t>.</w:t>
      </w:r>
      <w:r w:rsidRPr="005C3003" w:rsidDel="005C3003">
        <w:t xml:space="preserve"> </w:t>
      </w:r>
    </w:p>
    <w:p w14:paraId="6C197BA4" w14:textId="77777777" w:rsidR="00C448DE" w:rsidRPr="0067426A" w:rsidRDefault="00C448DE" w:rsidP="004C60D9">
      <w:pPr>
        <w:pStyle w:val="Heading4"/>
      </w:pPr>
      <w:r w:rsidRPr="0067426A">
        <w:t>Issues for consideration</w:t>
      </w:r>
    </w:p>
    <w:p w14:paraId="28A94076" w14:textId="77777777" w:rsidR="00C448DE" w:rsidRPr="00B413F2" w:rsidRDefault="00C448DE" w:rsidP="00C448DE">
      <w:pPr>
        <w:pStyle w:val="Paragraph"/>
        <w:rPr>
          <w:b/>
          <w:bCs/>
        </w:rPr>
      </w:pPr>
      <w:r w:rsidRPr="00A6218A">
        <w:rPr>
          <w:b/>
          <w:bCs/>
        </w:rPr>
        <w:t>For discussion:</w:t>
      </w:r>
    </w:p>
    <w:p w14:paraId="001AA857" w14:textId="77777777" w:rsidR="00C448DE" w:rsidRPr="00DB1960" w:rsidRDefault="00C448DE" w:rsidP="00C448DE">
      <w:pPr>
        <w:pStyle w:val="Panelbullet1"/>
        <w:spacing w:after="240"/>
      </w:pPr>
      <w:r w:rsidRPr="00DB1960">
        <w:t>What is the priority for improvement?</w:t>
      </w:r>
    </w:p>
    <w:p w14:paraId="19B8D14C" w14:textId="7AA89415" w:rsidR="00C448DE" w:rsidRDefault="00C448DE" w:rsidP="00C448DE">
      <w:pPr>
        <w:pStyle w:val="Panelbullet1"/>
        <w:spacing w:after="240"/>
      </w:pPr>
      <w:r w:rsidRPr="00DB1960">
        <w:t>What is the key action that will lead to improvement?</w:t>
      </w:r>
    </w:p>
    <w:p w14:paraId="3045EC15" w14:textId="0DBFD2F7" w:rsidR="009E0088" w:rsidRPr="00DB1960" w:rsidRDefault="009E0088" w:rsidP="009E0088">
      <w:pPr>
        <w:pStyle w:val="Panelbullet1"/>
        <w:spacing w:after="240"/>
      </w:pPr>
      <w:r>
        <w:t>Are multi-disciplinary teams widespread in current practice?</w:t>
      </w:r>
    </w:p>
    <w:p w14:paraId="1BE845E9" w14:textId="77777777" w:rsidR="00C448DE" w:rsidRPr="00DB1960" w:rsidRDefault="00C448DE" w:rsidP="00C448DE">
      <w:pPr>
        <w:pStyle w:val="Panelbullet1"/>
        <w:spacing w:after="240"/>
      </w:pPr>
      <w:r w:rsidRPr="00DB1960">
        <w:t>Can we develop a specific, measurable statement?</w:t>
      </w:r>
    </w:p>
    <w:p w14:paraId="38CEBD48" w14:textId="77777777" w:rsidR="00C448DE" w:rsidRPr="00A6218A" w:rsidRDefault="00C448DE" w:rsidP="00C448DE">
      <w:pPr>
        <w:pStyle w:val="Paragraph"/>
        <w:rPr>
          <w:b/>
          <w:bCs/>
        </w:rPr>
      </w:pPr>
      <w:r w:rsidRPr="00A6218A">
        <w:rPr>
          <w:b/>
          <w:bCs/>
        </w:rPr>
        <w:t>For decision:</w:t>
      </w:r>
    </w:p>
    <w:p w14:paraId="6E40517D" w14:textId="1D8895CE" w:rsidR="00C448DE" w:rsidRDefault="00C448DE" w:rsidP="00C448DE">
      <w:pPr>
        <w:pStyle w:val="Bulletleft1"/>
      </w:pPr>
      <w:r w:rsidRPr="00624810">
        <w:t>Should this area be prioritised for inclusion in the quality standard?</w:t>
      </w:r>
    </w:p>
    <w:p w14:paraId="2728A944" w14:textId="6DFC1C4E" w:rsidR="00DF5593" w:rsidRDefault="00DF5593" w:rsidP="00DF5593">
      <w:pPr>
        <w:pStyle w:val="Numberedheading3"/>
      </w:pPr>
      <w:r>
        <w:t xml:space="preserve">Care reviews and care plans </w:t>
      </w:r>
    </w:p>
    <w:p w14:paraId="6B7A8A34" w14:textId="77777777" w:rsidR="00153B78" w:rsidRDefault="00153B78" w:rsidP="00153B78">
      <w:pPr>
        <w:pStyle w:val="Heading4"/>
      </w:pPr>
      <w:r>
        <w:t>Existing Quality Statements</w:t>
      </w:r>
    </w:p>
    <w:p w14:paraId="47DF1826" w14:textId="63108FDB" w:rsidR="00153B78" w:rsidRDefault="00153B78" w:rsidP="00153B78">
      <w:pPr>
        <w:pStyle w:val="Paragraph"/>
      </w:pPr>
      <w:r w:rsidRPr="00152283">
        <w:t xml:space="preserve">Statement </w:t>
      </w:r>
      <w:r w:rsidR="00BC6070">
        <w:t>5</w:t>
      </w:r>
      <w:r>
        <w:t>:</w:t>
      </w:r>
      <w:r w:rsidRPr="00152283">
        <w:t xml:space="preserve"> </w:t>
      </w:r>
      <w:r w:rsidR="00BC6070" w:rsidRPr="00BC6070">
        <w:t>Adults with stable chronic heart failure have a review of their condition at least every 6 months</w:t>
      </w:r>
      <w:r>
        <w:t>.</w:t>
      </w:r>
    </w:p>
    <w:p w14:paraId="5DF255C4" w14:textId="62B7FFD9" w:rsidR="00DF5593" w:rsidRPr="00DB1960" w:rsidRDefault="00DF5593" w:rsidP="00DF5593">
      <w:pPr>
        <w:pStyle w:val="Paragraph"/>
      </w:pPr>
      <w:r w:rsidRPr="00DB1960">
        <w:t>Stakeholder</w:t>
      </w:r>
      <w:r w:rsidR="00F51445">
        <w:t>s</w:t>
      </w:r>
      <w:r w:rsidRPr="00DB1960">
        <w:t xml:space="preserve"> felt tha</w:t>
      </w:r>
      <w:r w:rsidR="00DB1960">
        <w:t>t all patients with</w:t>
      </w:r>
      <w:r w:rsidR="00F51445">
        <w:t xml:space="preserve"> </w:t>
      </w:r>
      <w:r w:rsidR="00DB1960">
        <w:t>heart failure should have a care plan and</w:t>
      </w:r>
      <w:r w:rsidR="00F51445">
        <w:t xml:space="preserve"> those with stable heart failure should</w:t>
      </w:r>
      <w:r w:rsidR="00DB1960">
        <w:t xml:space="preserve"> receive care reviews every 6 months. </w:t>
      </w:r>
      <w:r w:rsidR="00F51445">
        <w:t>They highlighted that the</w:t>
      </w:r>
      <w:r w:rsidR="00DB1960">
        <w:t xml:space="preserve"> care plans and reviews should enable access to advice from specialists, help to optimise treatment and recovery, deliver </w:t>
      </w:r>
      <w:proofErr w:type="gramStart"/>
      <w:r w:rsidR="00DB1960">
        <w:t>education</w:t>
      </w:r>
      <w:proofErr w:type="gramEnd"/>
      <w:r w:rsidR="00DB1960">
        <w:t xml:space="preserve"> and enable </w:t>
      </w:r>
      <w:proofErr w:type="spellStart"/>
      <w:r w:rsidR="00DB1960">
        <w:t>self care</w:t>
      </w:r>
      <w:proofErr w:type="spellEnd"/>
      <w:r w:rsidR="00DB1960">
        <w:t>.</w:t>
      </w:r>
    </w:p>
    <w:p w14:paraId="34D125A8" w14:textId="77777777" w:rsidR="00DF5593" w:rsidRPr="00F45FBA" w:rsidRDefault="00DF5593" w:rsidP="00DF5593">
      <w:pPr>
        <w:pStyle w:val="Heading4"/>
      </w:pPr>
      <w:r>
        <w:t>S</w:t>
      </w:r>
      <w:r w:rsidRPr="00CD3D03">
        <w:t xml:space="preserve">elected recommendations </w:t>
      </w:r>
    </w:p>
    <w:p w14:paraId="36EB2C20" w14:textId="4C5882FD" w:rsidR="000C1700" w:rsidRDefault="000C1700" w:rsidP="00DF5593">
      <w:pPr>
        <w:pStyle w:val="Paragraph"/>
      </w:pPr>
      <w:bookmarkStart w:id="109" w:name="_Hlk103086052"/>
      <w:r w:rsidRPr="003C2655">
        <w:t xml:space="preserve">NICE’s guideline on </w:t>
      </w:r>
      <w:hyperlink r:id="rId25" w:history="1">
        <w:r w:rsidRPr="003C2655">
          <w:rPr>
            <w:rStyle w:val="Hyperlink"/>
          </w:rPr>
          <w:t>Chronic heart failure in adults: diagnosis and management (NG106)</w:t>
        </w:r>
      </w:hyperlink>
    </w:p>
    <w:p w14:paraId="3C7FBA5D" w14:textId="77777777" w:rsidR="000C1700" w:rsidRPr="001D02E2" w:rsidRDefault="000C1700" w:rsidP="000C1700">
      <w:pPr>
        <w:pStyle w:val="Paragraph"/>
      </w:pPr>
      <w:r>
        <w:t xml:space="preserve">1.1.4 </w:t>
      </w:r>
      <w:r w:rsidRPr="001D02E2">
        <w:t xml:space="preserve">The primary care </w:t>
      </w:r>
      <w:bookmarkEnd w:id="109"/>
      <w:r w:rsidRPr="001D02E2">
        <w:t xml:space="preserve">team should </w:t>
      </w:r>
      <w:proofErr w:type="gramStart"/>
      <w:r w:rsidRPr="001D02E2">
        <w:t>carry out the following for people with heart failure at all times</w:t>
      </w:r>
      <w:proofErr w:type="gramEnd"/>
      <w:r w:rsidRPr="001D02E2">
        <w:t>, including periods when the person is also receiving specialist heart failure care from the MDT:</w:t>
      </w:r>
    </w:p>
    <w:p w14:paraId="0B1D5BED" w14:textId="77777777" w:rsidR="000C1700" w:rsidRPr="001D02E2" w:rsidRDefault="000C1700" w:rsidP="00654347">
      <w:pPr>
        <w:pStyle w:val="Paragraph"/>
        <w:numPr>
          <w:ilvl w:val="0"/>
          <w:numId w:val="10"/>
        </w:numPr>
      </w:pPr>
      <w:r w:rsidRPr="001D02E2">
        <w:t>ensure effective communication links between different care settings and clinical services involved in the person's care</w:t>
      </w:r>
    </w:p>
    <w:p w14:paraId="005C5A49" w14:textId="77777777" w:rsidR="000C1700" w:rsidRPr="001D02E2" w:rsidRDefault="000C1700" w:rsidP="00654347">
      <w:pPr>
        <w:pStyle w:val="Paragraph"/>
        <w:numPr>
          <w:ilvl w:val="0"/>
          <w:numId w:val="10"/>
        </w:numPr>
      </w:pPr>
      <w:r w:rsidRPr="001D02E2">
        <w:t>lead a full review of the person's heart failure care, which may form part of a long-term conditions review</w:t>
      </w:r>
    </w:p>
    <w:p w14:paraId="7200450F" w14:textId="77777777" w:rsidR="000C1700" w:rsidRPr="001D02E2" w:rsidRDefault="000C1700" w:rsidP="00654347">
      <w:pPr>
        <w:pStyle w:val="Paragraph"/>
        <w:numPr>
          <w:ilvl w:val="0"/>
          <w:numId w:val="10"/>
        </w:numPr>
      </w:pPr>
      <w:r w:rsidRPr="001D02E2">
        <w:t>recall the person at least every 6 months and update the clinical record</w:t>
      </w:r>
    </w:p>
    <w:p w14:paraId="73276338" w14:textId="77777777" w:rsidR="000C1700" w:rsidRDefault="000C1700" w:rsidP="00654347">
      <w:pPr>
        <w:pStyle w:val="Paragraph"/>
        <w:numPr>
          <w:ilvl w:val="0"/>
          <w:numId w:val="10"/>
        </w:numPr>
      </w:pPr>
      <w:r w:rsidRPr="001D02E2">
        <w:t>ensure that changes to the clinical record are understood and agreed by the person with heart failure and shared with the specialist heart failure MDT</w:t>
      </w:r>
    </w:p>
    <w:p w14:paraId="1CFCB3E2" w14:textId="49164FC8" w:rsidR="000C1700" w:rsidRDefault="000C1700" w:rsidP="00654347">
      <w:pPr>
        <w:pStyle w:val="Paragraph"/>
        <w:numPr>
          <w:ilvl w:val="0"/>
          <w:numId w:val="10"/>
        </w:numPr>
      </w:pPr>
      <w:r w:rsidRPr="001D02E2">
        <w:t>arrange access to specialist heart failure services if needed</w:t>
      </w:r>
    </w:p>
    <w:p w14:paraId="34654508" w14:textId="77777777" w:rsidR="000C1700" w:rsidRPr="000C1700" w:rsidRDefault="000C1700" w:rsidP="000C1700">
      <w:pPr>
        <w:pStyle w:val="Paragraph"/>
      </w:pPr>
      <w:r>
        <w:t xml:space="preserve">1.1.7 </w:t>
      </w:r>
      <w:r w:rsidRPr="000C1700">
        <w:t>The specialist heart failure MDT should write a summary for each person with heart failure that includes:</w:t>
      </w:r>
    </w:p>
    <w:p w14:paraId="2C160399" w14:textId="77777777" w:rsidR="000C1700" w:rsidRPr="000C1700" w:rsidRDefault="000C1700" w:rsidP="00654347">
      <w:pPr>
        <w:pStyle w:val="Paragraph"/>
        <w:numPr>
          <w:ilvl w:val="0"/>
          <w:numId w:val="12"/>
        </w:numPr>
      </w:pPr>
      <w:r w:rsidRPr="000C1700">
        <w:t>diagnosis and aetiology</w:t>
      </w:r>
    </w:p>
    <w:p w14:paraId="6394C731" w14:textId="77777777" w:rsidR="000C1700" w:rsidRPr="000C1700" w:rsidRDefault="000C1700" w:rsidP="00654347">
      <w:pPr>
        <w:pStyle w:val="Paragraph"/>
        <w:numPr>
          <w:ilvl w:val="0"/>
          <w:numId w:val="12"/>
        </w:numPr>
      </w:pPr>
      <w:r w:rsidRPr="000C1700">
        <w:t>medicines prescribed, monitoring of medicines, when medicines should be reviewed and any support the person needs to take the medicines</w:t>
      </w:r>
    </w:p>
    <w:p w14:paraId="5DAA8EFF" w14:textId="77777777" w:rsidR="000C1700" w:rsidRPr="000C1700" w:rsidRDefault="000C1700" w:rsidP="00654347">
      <w:pPr>
        <w:pStyle w:val="Paragraph"/>
        <w:numPr>
          <w:ilvl w:val="0"/>
          <w:numId w:val="12"/>
        </w:numPr>
      </w:pPr>
      <w:r w:rsidRPr="000C1700">
        <w:t>functional abilities and any social care needs</w:t>
      </w:r>
    </w:p>
    <w:p w14:paraId="733CB190" w14:textId="77777777" w:rsidR="000C1700" w:rsidRPr="000C1700" w:rsidRDefault="000C1700" w:rsidP="00654347">
      <w:pPr>
        <w:pStyle w:val="Paragraph"/>
        <w:numPr>
          <w:ilvl w:val="0"/>
          <w:numId w:val="12"/>
        </w:numPr>
      </w:pPr>
      <w:r w:rsidRPr="000C1700">
        <w:t>social circumstances, including carers' needs</w:t>
      </w:r>
    </w:p>
    <w:p w14:paraId="21B03CA7" w14:textId="77777777" w:rsidR="000C1700" w:rsidRPr="000C1700" w:rsidRDefault="000C1700" w:rsidP="000C1700">
      <w:pPr>
        <w:pStyle w:val="Paragraph"/>
      </w:pPr>
      <w:r>
        <w:t xml:space="preserve">1.1.8 </w:t>
      </w:r>
      <w:r w:rsidRPr="000C1700">
        <w:t>The summary should form the basis of a care plan for each person, which should include:</w:t>
      </w:r>
    </w:p>
    <w:p w14:paraId="01138A45" w14:textId="77777777" w:rsidR="000C1700" w:rsidRPr="000C1700" w:rsidRDefault="000C1700" w:rsidP="00654347">
      <w:pPr>
        <w:pStyle w:val="Paragraph"/>
        <w:numPr>
          <w:ilvl w:val="0"/>
          <w:numId w:val="13"/>
        </w:numPr>
      </w:pPr>
      <w:r w:rsidRPr="000C1700">
        <w:t xml:space="preserve">plans for managing the person's heart failure, including follow-up care, </w:t>
      </w:r>
      <w:proofErr w:type="gramStart"/>
      <w:r w:rsidRPr="000C1700">
        <w:t>rehabilitation</w:t>
      </w:r>
      <w:proofErr w:type="gramEnd"/>
      <w:r w:rsidRPr="000C1700">
        <w:t xml:space="preserve"> and access to social care</w:t>
      </w:r>
    </w:p>
    <w:p w14:paraId="65AC2400" w14:textId="77777777" w:rsidR="000C1700" w:rsidRPr="000C1700" w:rsidRDefault="000C1700" w:rsidP="00654347">
      <w:pPr>
        <w:pStyle w:val="Paragraph"/>
        <w:numPr>
          <w:ilvl w:val="0"/>
          <w:numId w:val="13"/>
        </w:numPr>
      </w:pPr>
      <w:r w:rsidRPr="000C1700">
        <w:t>symptoms to look out for in case of deterioration</w:t>
      </w:r>
    </w:p>
    <w:p w14:paraId="17EDF0EA" w14:textId="77777777" w:rsidR="000C1700" w:rsidRPr="000C1700" w:rsidRDefault="000C1700" w:rsidP="00654347">
      <w:pPr>
        <w:pStyle w:val="Paragraph"/>
        <w:numPr>
          <w:ilvl w:val="0"/>
          <w:numId w:val="13"/>
        </w:numPr>
      </w:pPr>
      <w:r w:rsidRPr="000C1700">
        <w:t>a process for any subsequent access to the specialist heart failure MDT if needed</w:t>
      </w:r>
    </w:p>
    <w:p w14:paraId="1E4008F1" w14:textId="77777777" w:rsidR="000C1700" w:rsidRPr="000C1700" w:rsidRDefault="000C1700" w:rsidP="00654347">
      <w:pPr>
        <w:pStyle w:val="Paragraph"/>
        <w:numPr>
          <w:ilvl w:val="0"/>
          <w:numId w:val="13"/>
        </w:numPr>
      </w:pPr>
      <w:r w:rsidRPr="000C1700">
        <w:t>contact details for</w:t>
      </w:r>
    </w:p>
    <w:p w14:paraId="19A3C76A" w14:textId="77777777" w:rsidR="000C1700" w:rsidRPr="000C1700" w:rsidRDefault="000C1700" w:rsidP="00654347">
      <w:pPr>
        <w:pStyle w:val="Paragraph"/>
        <w:numPr>
          <w:ilvl w:val="1"/>
          <w:numId w:val="13"/>
        </w:numPr>
      </w:pPr>
      <w:r w:rsidRPr="000C1700">
        <w:t>a named healthcare coordinator (usually a specialist heart failure nurse)</w:t>
      </w:r>
    </w:p>
    <w:p w14:paraId="3B25FA63" w14:textId="77777777" w:rsidR="000C1700" w:rsidRPr="000C1700" w:rsidRDefault="000C1700" w:rsidP="00654347">
      <w:pPr>
        <w:pStyle w:val="Paragraph"/>
        <w:numPr>
          <w:ilvl w:val="1"/>
          <w:numId w:val="13"/>
        </w:numPr>
      </w:pPr>
      <w:r w:rsidRPr="000C1700">
        <w:t>alternative local heart failure specialist care providers, for urgent care or review.</w:t>
      </w:r>
    </w:p>
    <w:p w14:paraId="3B036961" w14:textId="77777777" w:rsidR="000C1700" w:rsidRPr="000C1700" w:rsidRDefault="000C1700" w:rsidP="00654347">
      <w:pPr>
        <w:pStyle w:val="Paragraph"/>
        <w:numPr>
          <w:ilvl w:val="0"/>
          <w:numId w:val="13"/>
        </w:numPr>
      </w:pPr>
      <w:r w:rsidRPr="000C1700">
        <w:t>additional sources of information for people with heart failure.</w:t>
      </w:r>
    </w:p>
    <w:p w14:paraId="77FF8FFB" w14:textId="498C1061" w:rsidR="000C1700" w:rsidRDefault="000C1700" w:rsidP="000C1700">
      <w:pPr>
        <w:pStyle w:val="Paragraph"/>
      </w:pPr>
      <w:r>
        <w:t xml:space="preserve">1.1.9 </w:t>
      </w:r>
      <w:r w:rsidRPr="000C1700">
        <w:t>Give a copy of the care plan to the person with heart failure, their family or carer if appropriate, and all health and social care professionals involved in their care.</w:t>
      </w:r>
    </w:p>
    <w:p w14:paraId="5049E81C" w14:textId="77777777" w:rsidR="00F51445" w:rsidRPr="00F51445" w:rsidRDefault="00F51445" w:rsidP="00F51445">
      <w:pPr>
        <w:pStyle w:val="Paragraph"/>
      </w:pPr>
      <w:r>
        <w:t xml:space="preserve">1.7.1 </w:t>
      </w:r>
      <w:r w:rsidRPr="00F51445">
        <w:t>All people with chronic heart failure need monitoring. This monitoring should include:</w:t>
      </w:r>
    </w:p>
    <w:p w14:paraId="3E5A622D" w14:textId="77777777" w:rsidR="00F51445" w:rsidRPr="00F51445" w:rsidRDefault="00F51445" w:rsidP="00654347">
      <w:pPr>
        <w:pStyle w:val="Paragraph"/>
        <w:numPr>
          <w:ilvl w:val="0"/>
          <w:numId w:val="14"/>
        </w:numPr>
      </w:pPr>
      <w:r w:rsidRPr="00F51445">
        <w:t>a clinical assessment of functional capacity, fluid status, cardiac rhythm (minimum of examining the pulse), cognitive status and nutritional status</w:t>
      </w:r>
    </w:p>
    <w:p w14:paraId="2C751BC9" w14:textId="77777777" w:rsidR="00F51445" w:rsidRPr="00F51445" w:rsidRDefault="00F51445" w:rsidP="00654347">
      <w:pPr>
        <w:pStyle w:val="Paragraph"/>
        <w:numPr>
          <w:ilvl w:val="0"/>
          <w:numId w:val="14"/>
        </w:numPr>
      </w:pPr>
      <w:r w:rsidRPr="00F51445">
        <w:t>a review of medication, including need for changes and possible side effects</w:t>
      </w:r>
    </w:p>
    <w:p w14:paraId="23B7B3C8" w14:textId="77777777" w:rsidR="00F51445" w:rsidRPr="00F51445" w:rsidRDefault="00F51445" w:rsidP="00654347">
      <w:pPr>
        <w:pStyle w:val="Paragraph"/>
        <w:numPr>
          <w:ilvl w:val="0"/>
          <w:numId w:val="14"/>
        </w:numPr>
      </w:pPr>
      <w:r w:rsidRPr="00F51445">
        <w:t>an assessment of renal function.</w:t>
      </w:r>
    </w:p>
    <w:p w14:paraId="44E846EE" w14:textId="56F8BCE0" w:rsidR="000C1700" w:rsidRDefault="00F51445" w:rsidP="000C1700">
      <w:pPr>
        <w:pStyle w:val="Paragraph"/>
      </w:pPr>
      <w:r>
        <w:t xml:space="preserve">1.7.3 </w:t>
      </w:r>
      <w:r w:rsidRPr="00F51445">
        <w:t xml:space="preserve">The frequency of monitoring should depend on the clinical status and stability of the person. The monitoring interval should be short (days to 2 weeks) if the clinical condition or medication has </w:t>
      </w:r>
      <w:proofErr w:type="gramStart"/>
      <w:r w:rsidRPr="00F51445">
        <w:t>changed, but</w:t>
      </w:r>
      <w:proofErr w:type="gramEnd"/>
      <w:r w:rsidRPr="00F51445">
        <w:t xml:space="preserve"> is needed at least 6-monthly for stable people with proven heart failure.</w:t>
      </w:r>
    </w:p>
    <w:p w14:paraId="3E5E527D" w14:textId="77777777" w:rsidR="00CA7328" w:rsidRDefault="00CA7328" w:rsidP="00CA7328">
      <w:pPr>
        <w:pStyle w:val="Heading4"/>
      </w:pPr>
      <w:r>
        <w:t>Current UK practice</w:t>
      </w:r>
    </w:p>
    <w:p w14:paraId="1F72D1D1" w14:textId="6D1D7BA7" w:rsidR="00CA7328" w:rsidRDefault="00CA7328" w:rsidP="00CA7328">
      <w:pPr>
        <w:pStyle w:val="Paragraph"/>
      </w:pPr>
      <w:r w:rsidRPr="00CA7328">
        <w:t xml:space="preserve">No published </w:t>
      </w:r>
      <w:r>
        <w:t>data</w:t>
      </w:r>
      <w:r w:rsidRPr="00CA7328">
        <w:t xml:space="preserve"> on current practice were highlighted for this suggested area for quality improvement; this area is based on stakeholder’s knowledge and experience</w:t>
      </w:r>
      <w:r>
        <w:t>.</w:t>
      </w:r>
    </w:p>
    <w:p w14:paraId="36979002" w14:textId="77777777" w:rsidR="00DF5593" w:rsidRPr="004612EA" w:rsidRDefault="00DF5593" w:rsidP="004C60D9">
      <w:pPr>
        <w:pStyle w:val="Heading4"/>
      </w:pPr>
      <w:r w:rsidRPr="004612EA">
        <w:t>Resource impact</w:t>
      </w:r>
    </w:p>
    <w:p w14:paraId="6F7C61E2" w14:textId="69CCCD31" w:rsidR="00DF5593" w:rsidRDefault="005C3003" w:rsidP="00DF5593">
      <w:pPr>
        <w:pStyle w:val="Paragraph"/>
      </w:pPr>
      <w:r w:rsidRPr="005C3003">
        <w:t>During the development of NG106, this area was not expected to have a significant impact on the use of NHS resources</w:t>
      </w:r>
      <w:r>
        <w:t>.</w:t>
      </w:r>
      <w:r w:rsidRPr="005C3003" w:rsidDel="005C3003">
        <w:t xml:space="preserve"> </w:t>
      </w:r>
    </w:p>
    <w:p w14:paraId="11C40E0B" w14:textId="77777777" w:rsidR="00DF5593" w:rsidRPr="0067426A" w:rsidRDefault="00DF5593" w:rsidP="004C60D9">
      <w:pPr>
        <w:pStyle w:val="Heading4"/>
      </w:pPr>
      <w:r w:rsidRPr="0067426A">
        <w:t>Issues for consideration</w:t>
      </w:r>
    </w:p>
    <w:p w14:paraId="295B880D" w14:textId="77777777" w:rsidR="00DF5593" w:rsidRPr="00B413F2" w:rsidRDefault="00DF5593" w:rsidP="00DF5593">
      <w:pPr>
        <w:pStyle w:val="Paragraph"/>
        <w:rPr>
          <w:b/>
          <w:bCs/>
        </w:rPr>
      </w:pPr>
      <w:r w:rsidRPr="00A6218A">
        <w:rPr>
          <w:b/>
          <w:bCs/>
        </w:rPr>
        <w:t>For discussion:</w:t>
      </w:r>
    </w:p>
    <w:p w14:paraId="377F1C36" w14:textId="2AE7B453" w:rsidR="00DF5593" w:rsidRDefault="00DF5593" w:rsidP="00DF5593">
      <w:pPr>
        <w:pStyle w:val="Panelbullet1"/>
        <w:spacing w:after="240"/>
      </w:pPr>
      <w:r w:rsidRPr="00F51445">
        <w:t>What is the priority for improvement?</w:t>
      </w:r>
    </w:p>
    <w:p w14:paraId="15FDAF1E" w14:textId="16513DFA" w:rsidR="00B32504" w:rsidRPr="00F51445" w:rsidRDefault="00F274AD" w:rsidP="00DF5593">
      <w:pPr>
        <w:pStyle w:val="Panelbullet1"/>
        <w:spacing w:after="240"/>
      </w:pPr>
      <w:r>
        <w:t>Are care plans and care reviews widespread in current practice?</w:t>
      </w:r>
    </w:p>
    <w:p w14:paraId="226A1404" w14:textId="77777777" w:rsidR="00DF5593" w:rsidRPr="00F51445" w:rsidRDefault="00DF5593" w:rsidP="00DF5593">
      <w:pPr>
        <w:pStyle w:val="Panelbullet1"/>
        <w:spacing w:after="240"/>
      </w:pPr>
      <w:r w:rsidRPr="00F51445">
        <w:t>What is the key action that will lead to improvement?</w:t>
      </w:r>
    </w:p>
    <w:p w14:paraId="2F87F084" w14:textId="77777777" w:rsidR="00DF5593" w:rsidRPr="00F51445" w:rsidRDefault="00DF5593" w:rsidP="00DF5593">
      <w:pPr>
        <w:pStyle w:val="Panelbullet1"/>
        <w:spacing w:after="240"/>
      </w:pPr>
      <w:r w:rsidRPr="00F51445">
        <w:t>Can we develop a specific, measurable statement?</w:t>
      </w:r>
    </w:p>
    <w:p w14:paraId="0D22BD57" w14:textId="77777777" w:rsidR="00DF5593" w:rsidRPr="00A6218A" w:rsidRDefault="00DF5593" w:rsidP="00DF5593">
      <w:pPr>
        <w:pStyle w:val="Paragraph"/>
        <w:rPr>
          <w:b/>
          <w:bCs/>
        </w:rPr>
      </w:pPr>
      <w:r w:rsidRPr="00A6218A">
        <w:rPr>
          <w:b/>
          <w:bCs/>
        </w:rPr>
        <w:t>For decision:</w:t>
      </w:r>
    </w:p>
    <w:p w14:paraId="37C2EAFD" w14:textId="7DCB8DFC" w:rsidR="00DF5593" w:rsidRDefault="00DF5593" w:rsidP="004C60D9">
      <w:pPr>
        <w:pStyle w:val="Bulletleft1"/>
        <w:numPr>
          <w:ilvl w:val="0"/>
          <w:numId w:val="40"/>
        </w:numPr>
      </w:pPr>
      <w:r w:rsidRPr="00624810">
        <w:t>Should this area be prioritised for inclusion in the quality standard?</w:t>
      </w:r>
    </w:p>
    <w:p w14:paraId="2AB7BDD5" w14:textId="11B2355F" w:rsidR="00C94C64" w:rsidRDefault="00C94C64" w:rsidP="00C94C64">
      <w:pPr>
        <w:pStyle w:val="Numberedheading3"/>
      </w:pPr>
      <w:r>
        <w:t xml:space="preserve">Medication review at 2 weeks </w:t>
      </w:r>
    </w:p>
    <w:p w14:paraId="4A512AF0" w14:textId="5646C851" w:rsidR="00584584" w:rsidRPr="00DB1960" w:rsidRDefault="00584584" w:rsidP="00584584">
      <w:pPr>
        <w:pStyle w:val="Paragraph"/>
      </w:pPr>
      <w:r w:rsidRPr="00DB1960">
        <w:t>Stakeholder</w:t>
      </w:r>
      <w:r>
        <w:t>s</w:t>
      </w:r>
      <w:r w:rsidRPr="00DB1960">
        <w:t xml:space="preserve"> felt </w:t>
      </w:r>
      <w:r>
        <w:t xml:space="preserve">all </w:t>
      </w:r>
      <w:r w:rsidRPr="00DB1960">
        <w:t>tha</w:t>
      </w:r>
      <w:r>
        <w:t>t those patients with heart failure should have a review within 2 weeks of a medication change.</w:t>
      </w:r>
    </w:p>
    <w:p w14:paraId="5243FB3F" w14:textId="747FBAFE" w:rsidR="004C60D9" w:rsidRDefault="004C60D9" w:rsidP="004C60D9">
      <w:pPr>
        <w:pStyle w:val="Heading4"/>
      </w:pPr>
      <w:r>
        <w:t>Existing Quality Statement</w:t>
      </w:r>
    </w:p>
    <w:p w14:paraId="150A6FB0" w14:textId="77777777" w:rsidR="004C60D9" w:rsidRDefault="004C60D9" w:rsidP="004C60D9">
      <w:pPr>
        <w:pStyle w:val="Paragraph"/>
      </w:pPr>
      <w:r w:rsidRPr="00152283">
        <w:t xml:space="preserve">Statement </w:t>
      </w:r>
      <w:r>
        <w:t>4:</w:t>
      </w:r>
      <w:r w:rsidRPr="00152283">
        <w:t xml:space="preserve"> </w:t>
      </w:r>
      <w:r w:rsidRPr="00E040A3">
        <w:t>Adults with chronic heart failure have a review within 2 weeks of any change in the dose or type of their heart failure medication</w:t>
      </w:r>
      <w:r>
        <w:t>.</w:t>
      </w:r>
    </w:p>
    <w:p w14:paraId="52F607EF" w14:textId="7A155B76" w:rsidR="00C94C64" w:rsidRPr="00F45FBA" w:rsidRDefault="00C94C64" w:rsidP="00C94C64">
      <w:pPr>
        <w:pStyle w:val="Heading4"/>
      </w:pPr>
      <w:r>
        <w:t>S</w:t>
      </w:r>
      <w:r w:rsidRPr="00CD3D03">
        <w:t xml:space="preserve">elected recommendations </w:t>
      </w:r>
    </w:p>
    <w:p w14:paraId="439B2F4B" w14:textId="66D98AD4" w:rsidR="00C94C64" w:rsidRDefault="00C94C64" w:rsidP="00C94C64">
      <w:pPr>
        <w:pStyle w:val="Paragraph"/>
      </w:pPr>
      <w:r w:rsidRPr="003C2655">
        <w:t xml:space="preserve">NICE’s guideline on </w:t>
      </w:r>
      <w:hyperlink r:id="rId26" w:history="1">
        <w:r w:rsidR="00A941BE">
          <w:rPr>
            <w:rStyle w:val="Hyperlink"/>
          </w:rPr>
          <w:t>Chronic heart failure in adults: diagnosis and management (NG106)</w:t>
        </w:r>
      </w:hyperlink>
    </w:p>
    <w:p w14:paraId="537E0494" w14:textId="77777777" w:rsidR="00E040A3" w:rsidRPr="00E040A3" w:rsidRDefault="00FB095F" w:rsidP="00E040A3">
      <w:pPr>
        <w:pStyle w:val="Paragraph"/>
      </w:pPr>
      <w:r>
        <w:t>1.</w:t>
      </w:r>
      <w:r w:rsidR="00E040A3">
        <w:t>7</w:t>
      </w:r>
      <w:r>
        <w:t xml:space="preserve">.1 </w:t>
      </w:r>
      <w:r w:rsidR="00E040A3" w:rsidRPr="00E040A3">
        <w:t>All people with chronic heart failure need monitoring. This monitoring should include:</w:t>
      </w:r>
    </w:p>
    <w:p w14:paraId="248290E3" w14:textId="77777777" w:rsidR="00E040A3" w:rsidRPr="00E040A3" w:rsidRDefault="00E040A3" w:rsidP="00E040A3">
      <w:pPr>
        <w:pStyle w:val="Paragraph"/>
        <w:numPr>
          <w:ilvl w:val="0"/>
          <w:numId w:val="20"/>
        </w:numPr>
      </w:pPr>
      <w:r w:rsidRPr="00E040A3">
        <w:t>a clinical assessment of functional capacity, fluid status, cardiac rhythm (minimum of examining the pulse), cognitive status and nutritional status</w:t>
      </w:r>
    </w:p>
    <w:p w14:paraId="3FFD1641" w14:textId="77777777" w:rsidR="00E040A3" w:rsidRPr="00E040A3" w:rsidRDefault="00E040A3" w:rsidP="00E040A3">
      <w:pPr>
        <w:pStyle w:val="Paragraph"/>
        <w:numPr>
          <w:ilvl w:val="0"/>
          <w:numId w:val="20"/>
        </w:numPr>
      </w:pPr>
      <w:r w:rsidRPr="00E040A3">
        <w:t>a review of medication, including need for changes and possible side effects</w:t>
      </w:r>
    </w:p>
    <w:p w14:paraId="1637EFF1" w14:textId="6E7FB1D3" w:rsidR="00FB095F" w:rsidRDefault="00E040A3" w:rsidP="00DE5D03">
      <w:pPr>
        <w:pStyle w:val="Paragraph"/>
        <w:numPr>
          <w:ilvl w:val="0"/>
          <w:numId w:val="20"/>
        </w:numPr>
      </w:pPr>
      <w:r w:rsidRPr="00E040A3">
        <w:t>an assessment of renal function.</w:t>
      </w:r>
      <w:r w:rsidRPr="00E040A3">
        <w:br/>
      </w:r>
      <w:r w:rsidRPr="00E040A3">
        <w:br/>
        <w:t>Note: This is a minimum. People with comorbidities or co-prescribed medications will need further monitoring. Monitoring serum potassium is particularly important if a person is taking digoxin or an MRA</w:t>
      </w:r>
      <w:r w:rsidR="00FB095F" w:rsidRPr="00115402">
        <w:t>.</w:t>
      </w:r>
    </w:p>
    <w:p w14:paraId="263C42F4" w14:textId="76D4F6FE" w:rsidR="00E040A3" w:rsidRDefault="00FB095F" w:rsidP="00FB095F">
      <w:pPr>
        <w:pStyle w:val="Paragraph"/>
      </w:pPr>
      <w:r>
        <w:t>1.</w:t>
      </w:r>
      <w:r w:rsidR="00E040A3">
        <w:t>7</w:t>
      </w:r>
      <w:r>
        <w:t>.</w:t>
      </w:r>
      <w:r w:rsidR="00E040A3">
        <w:t>2</w:t>
      </w:r>
      <w:r>
        <w:t xml:space="preserve"> </w:t>
      </w:r>
      <w:r w:rsidR="00E040A3" w:rsidRPr="00E040A3">
        <w:t>More detailed monitoring will be needed if the person has significant comorbidity or if their condition has deteriorated since the previous review</w:t>
      </w:r>
      <w:r w:rsidR="00C94C64" w:rsidRPr="00F51445">
        <w:t>.</w:t>
      </w:r>
    </w:p>
    <w:p w14:paraId="7D424AD5" w14:textId="53FED3AE" w:rsidR="00E040A3" w:rsidRDefault="00E040A3" w:rsidP="00FB095F">
      <w:pPr>
        <w:pStyle w:val="Paragraph"/>
      </w:pPr>
      <w:r>
        <w:t xml:space="preserve">1.7.3 </w:t>
      </w:r>
      <w:r w:rsidRPr="00E040A3">
        <w:t xml:space="preserve">The frequency of monitoring should depend on the clinical status and stability of the person. The monitoring interval should be short (days to 2 weeks) if the clinical condition or medication has </w:t>
      </w:r>
      <w:proofErr w:type="gramStart"/>
      <w:r w:rsidRPr="00E040A3">
        <w:t>changed, but</w:t>
      </w:r>
      <w:proofErr w:type="gramEnd"/>
      <w:r w:rsidRPr="00E040A3">
        <w:t xml:space="preserve"> is needed at least 6-monthly for stable people with proven heart failure.</w:t>
      </w:r>
    </w:p>
    <w:p w14:paraId="720BADF9" w14:textId="0643170E" w:rsidR="00E040A3" w:rsidRDefault="00E040A3" w:rsidP="00FB095F">
      <w:pPr>
        <w:pStyle w:val="Paragraph"/>
      </w:pPr>
      <w:r>
        <w:t xml:space="preserve">1.7.4 </w:t>
      </w:r>
      <w:r w:rsidRPr="00E040A3">
        <w:t>People with heart failure who wish to be involved in monitoring of their condition should be provided with sufficient education and support from their healthcare professional to do this, with clear guidelines as to what to do in the event of deterioration</w:t>
      </w:r>
      <w:r>
        <w:t>.</w:t>
      </w:r>
    </w:p>
    <w:p w14:paraId="445086C0" w14:textId="77777777" w:rsidR="00CA7328" w:rsidRDefault="00CA7328" w:rsidP="00CA7328">
      <w:pPr>
        <w:pStyle w:val="Heading4"/>
      </w:pPr>
      <w:r>
        <w:t>Current UK practice</w:t>
      </w:r>
    </w:p>
    <w:p w14:paraId="38C8DBD2" w14:textId="604E45F2" w:rsidR="00CA7328" w:rsidRDefault="00CA7328" w:rsidP="00CA7328">
      <w:pPr>
        <w:pStyle w:val="Paragraph"/>
      </w:pPr>
      <w:r w:rsidRPr="00CA7328">
        <w:t xml:space="preserve">No published </w:t>
      </w:r>
      <w:r>
        <w:t>data</w:t>
      </w:r>
      <w:r w:rsidRPr="00CA7328">
        <w:t xml:space="preserve"> on current practice were highlighted for this suggested area for quality improvement; this area is based on stakeholder’s knowledge and experience</w:t>
      </w:r>
    </w:p>
    <w:p w14:paraId="180D7947" w14:textId="77777777" w:rsidR="00C94C64" w:rsidRPr="004612EA" w:rsidRDefault="00C94C64" w:rsidP="00584584">
      <w:pPr>
        <w:pStyle w:val="Heading4"/>
      </w:pPr>
      <w:r w:rsidRPr="004612EA">
        <w:t>Resource impact</w:t>
      </w:r>
    </w:p>
    <w:p w14:paraId="57F258B5" w14:textId="16B0DE44" w:rsidR="00C94C64" w:rsidRDefault="009E6490" w:rsidP="00C94C64">
      <w:pPr>
        <w:pStyle w:val="Paragraph"/>
      </w:pPr>
      <w:r w:rsidRPr="009E6490">
        <w:t>During the development of NG106, this area was not expected to have a significant impact on the use of NHS resources</w:t>
      </w:r>
      <w:r>
        <w:t>.</w:t>
      </w:r>
    </w:p>
    <w:p w14:paraId="0741EF46" w14:textId="77777777" w:rsidR="00C94C64" w:rsidRPr="0067426A" w:rsidRDefault="00C94C64" w:rsidP="00584584">
      <w:pPr>
        <w:pStyle w:val="Heading4"/>
      </w:pPr>
      <w:r w:rsidRPr="0067426A">
        <w:t>Issues for consideration</w:t>
      </w:r>
    </w:p>
    <w:p w14:paraId="078509E7" w14:textId="77777777" w:rsidR="00C94C64" w:rsidRPr="00B413F2" w:rsidRDefault="00C94C64" w:rsidP="00C94C64">
      <w:pPr>
        <w:pStyle w:val="Paragraph"/>
        <w:rPr>
          <w:b/>
          <w:bCs/>
        </w:rPr>
      </w:pPr>
      <w:r w:rsidRPr="00A6218A">
        <w:rPr>
          <w:b/>
          <w:bCs/>
        </w:rPr>
        <w:t>For discussion:</w:t>
      </w:r>
    </w:p>
    <w:p w14:paraId="15D9A29C" w14:textId="68D10DCB" w:rsidR="00C94C64" w:rsidRDefault="00B06307" w:rsidP="00C94C64">
      <w:pPr>
        <w:pStyle w:val="Panelbullet1"/>
        <w:spacing w:after="240"/>
      </w:pPr>
      <w:r>
        <w:t xml:space="preserve">Does the existing statement adequately cover </w:t>
      </w:r>
      <w:r w:rsidR="00C94C64" w:rsidRPr="00F51445">
        <w:t xml:space="preserve">the </w:t>
      </w:r>
      <w:r>
        <w:t>area</w:t>
      </w:r>
      <w:r w:rsidR="00C94C64" w:rsidRPr="00F51445">
        <w:t xml:space="preserve"> for improvement?</w:t>
      </w:r>
    </w:p>
    <w:p w14:paraId="07A44B1A" w14:textId="7C48998F" w:rsidR="007607C1" w:rsidRDefault="007607C1" w:rsidP="00C94C64">
      <w:pPr>
        <w:pStyle w:val="Panelbullet1"/>
        <w:spacing w:after="240"/>
      </w:pPr>
      <w:r>
        <w:t>What can be added that is not currently covered in statement 4?</w:t>
      </w:r>
    </w:p>
    <w:p w14:paraId="3203DB4D" w14:textId="77777777" w:rsidR="00C94C64" w:rsidRPr="00F51445" w:rsidRDefault="00C94C64" w:rsidP="00C94C64">
      <w:pPr>
        <w:pStyle w:val="Panelbullet1"/>
        <w:spacing w:after="240"/>
      </w:pPr>
      <w:r w:rsidRPr="00F51445">
        <w:t>Can we develop a specific, measurable statement?</w:t>
      </w:r>
    </w:p>
    <w:p w14:paraId="5900F642" w14:textId="77777777" w:rsidR="00C94C64" w:rsidRPr="00A6218A" w:rsidRDefault="00C94C64" w:rsidP="00C94C64">
      <w:pPr>
        <w:pStyle w:val="Paragraph"/>
        <w:rPr>
          <w:b/>
          <w:bCs/>
        </w:rPr>
      </w:pPr>
      <w:r w:rsidRPr="00A6218A">
        <w:rPr>
          <w:b/>
          <w:bCs/>
        </w:rPr>
        <w:t>For decision:</w:t>
      </w:r>
    </w:p>
    <w:p w14:paraId="2575E2C4" w14:textId="112FA18D" w:rsidR="00C94C64" w:rsidRDefault="00C94C64" w:rsidP="00584584">
      <w:pPr>
        <w:pStyle w:val="Bulletleft1"/>
        <w:numPr>
          <w:ilvl w:val="0"/>
          <w:numId w:val="40"/>
        </w:numPr>
      </w:pPr>
      <w:r w:rsidRPr="00624810">
        <w:t xml:space="preserve">Should this area </w:t>
      </w:r>
      <w:r w:rsidR="00B06307">
        <w:t xml:space="preserve">remain </w:t>
      </w:r>
      <w:r w:rsidRPr="00624810">
        <w:t>in the quality standard?</w:t>
      </w:r>
    </w:p>
    <w:p w14:paraId="34831C8D" w14:textId="77777777" w:rsidR="00C448DE" w:rsidRPr="00427135" w:rsidRDefault="00C448DE" w:rsidP="00C448DE">
      <w:pPr>
        <w:pStyle w:val="Paragraph"/>
      </w:pPr>
      <w:r w:rsidRPr="00427135">
        <w:br w:type="page"/>
      </w:r>
    </w:p>
    <w:p w14:paraId="6326930F" w14:textId="282C17A1" w:rsidR="008644F3" w:rsidRPr="008644F3" w:rsidRDefault="007671D6" w:rsidP="00DE5D03">
      <w:pPr>
        <w:pStyle w:val="Numberedheading2"/>
      </w:pPr>
      <w:bookmarkStart w:id="110" w:name="_Toc108708704"/>
      <w:r>
        <w:t>Treating h</w:t>
      </w:r>
      <w:r w:rsidR="00452DCA" w:rsidRPr="00452DCA">
        <w:t xml:space="preserve">eart </w:t>
      </w:r>
      <w:r w:rsidR="000A45E0">
        <w:t>f</w:t>
      </w:r>
      <w:r w:rsidR="00452DCA" w:rsidRPr="00452DCA">
        <w:t xml:space="preserve">ailure </w:t>
      </w:r>
      <w:r w:rsidR="000A45E0">
        <w:t>w</w:t>
      </w:r>
      <w:r w:rsidR="00452DCA" w:rsidRPr="00452DCA">
        <w:t xml:space="preserve">ith </w:t>
      </w:r>
      <w:r w:rsidR="000A45E0">
        <w:t>r</w:t>
      </w:r>
      <w:r w:rsidR="00452DCA" w:rsidRPr="00452DCA">
        <w:t xml:space="preserve">educed </w:t>
      </w:r>
      <w:r w:rsidR="000A45E0">
        <w:t>e</w:t>
      </w:r>
      <w:r w:rsidR="00452DCA" w:rsidRPr="00452DCA">
        <w:t xml:space="preserve">jection </w:t>
      </w:r>
      <w:r w:rsidR="000A45E0">
        <w:t>f</w:t>
      </w:r>
      <w:r w:rsidR="00452DCA" w:rsidRPr="00452DCA">
        <w:t>raction</w:t>
      </w:r>
      <w:bookmarkEnd w:id="110"/>
      <w:r w:rsidR="00C448DE">
        <w:t xml:space="preserve"> </w:t>
      </w:r>
    </w:p>
    <w:p w14:paraId="73998006" w14:textId="53103F75" w:rsidR="008644F3" w:rsidRDefault="008644F3" w:rsidP="008644F3">
      <w:pPr>
        <w:pStyle w:val="Heading4"/>
      </w:pPr>
      <w:r>
        <w:t>Existing Quality Statement</w:t>
      </w:r>
    </w:p>
    <w:p w14:paraId="09285FA9" w14:textId="211652C7" w:rsidR="008644F3" w:rsidRDefault="008644F3" w:rsidP="00584584">
      <w:pPr>
        <w:pStyle w:val="Numberedheading3"/>
        <w:spacing w:line="276" w:lineRule="auto"/>
        <w:rPr>
          <w:rFonts w:cs="Times New Roman"/>
          <w:b w:val="0"/>
          <w:bCs w:val="0"/>
          <w:sz w:val="24"/>
        </w:rPr>
      </w:pPr>
      <w:r w:rsidRPr="00DE5D03">
        <w:rPr>
          <w:rFonts w:cs="Times New Roman"/>
          <w:b w:val="0"/>
          <w:bCs w:val="0"/>
          <w:sz w:val="24"/>
        </w:rPr>
        <w:t xml:space="preserve">Statement </w:t>
      </w:r>
      <w:r w:rsidR="006E1627">
        <w:rPr>
          <w:rFonts w:cs="Times New Roman"/>
          <w:b w:val="0"/>
          <w:bCs w:val="0"/>
          <w:sz w:val="24"/>
        </w:rPr>
        <w:t>3</w:t>
      </w:r>
      <w:r w:rsidRPr="00DE5D03">
        <w:rPr>
          <w:rFonts w:cs="Times New Roman"/>
          <w:b w:val="0"/>
          <w:bCs w:val="0"/>
          <w:sz w:val="24"/>
        </w:rPr>
        <w:t>: Adults with chronic heart failure who have reduced ejection fraction are started on low</w:t>
      </w:r>
      <w:r w:rsidRPr="00DE5D03">
        <w:rPr>
          <w:rFonts w:cs="Times New Roman"/>
          <w:b w:val="0"/>
          <w:bCs w:val="0"/>
          <w:sz w:val="24"/>
        </w:rPr>
        <w:noBreakHyphen/>
        <w:t>dose angiotensin</w:t>
      </w:r>
      <w:r w:rsidRPr="00DE5D03">
        <w:rPr>
          <w:rFonts w:cs="Times New Roman"/>
          <w:b w:val="0"/>
          <w:bCs w:val="0"/>
          <w:sz w:val="24"/>
        </w:rPr>
        <w:noBreakHyphen/>
        <w:t>converting enzyme (ACE) inhibitor and beta</w:t>
      </w:r>
      <w:r w:rsidRPr="00DE5D03">
        <w:rPr>
          <w:rFonts w:cs="Times New Roman"/>
          <w:b w:val="0"/>
          <w:bCs w:val="0"/>
          <w:sz w:val="24"/>
        </w:rPr>
        <w:noBreakHyphen/>
        <w:t>blocker medications that are gradually increased until the target or optimal tolerated doses are reached</w:t>
      </w:r>
      <w:r>
        <w:rPr>
          <w:rFonts w:cs="Times New Roman"/>
          <w:b w:val="0"/>
          <w:bCs w:val="0"/>
          <w:sz w:val="24"/>
        </w:rPr>
        <w:t>.</w:t>
      </w:r>
    </w:p>
    <w:p w14:paraId="16A524B1" w14:textId="34BA73E2" w:rsidR="008644F3" w:rsidRPr="008644F3" w:rsidRDefault="008644F3" w:rsidP="00DE5D03">
      <w:pPr>
        <w:pStyle w:val="Heading4"/>
      </w:pPr>
      <w:r>
        <w:t>Treating heart failure with reduced ejection fraction</w:t>
      </w:r>
    </w:p>
    <w:p w14:paraId="337117D5" w14:textId="26FB31F6" w:rsidR="00D471F0" w:rsidRDefault="00350446" w:rsidP="00350446">
      <w:pPr>
        <w:pStyle w:val="Paragraph"/>
      </w:pPr>
      <w:r>
        <w:t>Stakeholders felt that these patients should receive optimised ACE, beta</w:t>
      </w:r>
      <w:r w:rsidR="00805FCF">
        <w:t>-</w:t>
      </w:r>
      <w:r>
        <w:t xml:space="preserve">blockers, and </w:t>
      </w:r>
      <w:r w:rsidR="00805FCF">
        <w:t>m</w:t>
      </w:r>
      <w:r w:rsidRPr="00350446">
        <w:t>ineralocorticoid receptor antagonists</w:t>
      </w:r>
      <w:r>
        <w:t xml:space="preserve"> (MRAs)</w:t>
      </w:r>
      <w:r w:rsidR="00805FCF">
        <w:t>,</w:t>
      </w:r>
      <w:r>
        <w:t xml:space="preserve"> with some also advocating for the inclusion of sodium-glucose co-transporter 2 inhibitors</w:t>
      </w:r>
      <w:r w:rsidRPr="00350446">
        <w:t xml:space="preserve"> </w:t>
      </w:r>
      <w:r>
        <w:t>(</w:t>
      </w:r>
      <w:r w:rsidRPr="00350446">
        <w:t>SGLT2i</w:t>
      </w:r>
      <w:r>
        <w:t>)</w:t>
      </w:r>
      <w:r w:rsidR="00805FCF">
        <w:t>.</w:t>
      </w:r>
      <w:r w:rsidR="00DD4CFF">
        <w:t xml:space="preserve"> </w:t>
      </w:r>
    </w:p>
    <w:p w14:paraId="6512D23A" w14:textId="7E1CD700" w:rsidR="00C448DE" w:rsidRPr="007E49A7" w:rsidRDefault="00DD4CFF" w:rsidP="00350446">
      <w:pPr>
        <w:pStyle w:val="Paragraph"/>
      </w:pPr>
      <w:r>
        <w:t xml:space="preserve">Stakeholders also suggested that </w:t>
      </w:r>
      <w:r w:rsidRPr="00DD4CFF">
        <w:t xml:space="preserve">Patients with </w:t>
      </w:r>
      <w:proofErr w:type="spellStart"/>
      <w:r w:rsidRPr="00DD4CFF">
        <w:t>HFrEF</w:t>
      </w:r>
      <w:proofErr w:type="spellEnd"/>
      <w:r w:rsidRPr="00DD4CFF">
        <w:t xml:space="preserve"> who meet the criteria</w:t>
      </w:r>
      <w:r>
        <w:t xml:space="preserve"> </w:t>
      </w:r>
      <w:r w:rsidRPr="00DD4CFF">
        <w:t>are considered for ivabradine</w:t>
      </w:r>
      <w:r w:rsidR="00D471F0">
        <w:t xml:space="preserve"> or</w:t>
      </w:r>
      <w:r>
        <w:t xml:space="preserve"> </w:t>
      </w:r>
      <w:r w:rsidRPr="00DD4CFF">
        <w:t>sacubitril valsartan</w:t>
      </w:r>
      <w:r w:rsidR="00D471F0">
        <w:t xml:space="preserve"> in place of ACE inhibitors, as well as those</w:t>
      </w:r>
      <w:r w:rsidR="00D471F0" w:rsidRPr="00D471F0">
        <w:t xml:space="preserve"> considered for implantable cardioverter-defibrillator (ICD) hav</w:t>
      </w:r>
      <w:r w:rsidR="00D471F0">
        <w:t>ing</w:t>
      </w:r>
      <w:r w:rsidR="00D471F0" w:rsidRPr="00D471F0">
        <w:t xml:space="preserve"> regular reviews</w:t>
      </w:r>
      <w:r w:rsidR="00D471F0">
        <w:t>.</w:t>
      </w:r>
    </w:p>
    <w:p w14:paraId="1E17E1E0" w14:textId="77777777" w:rsidR="00C448DE" w:rsidRPr="00F45FBA" w:rsidRDefault="00C448DE" w:rsidP="00C448DE">
      <w:pPr>
        <w:pStyle w:val="Heading4"/>
      </w:pPr>
      <w:r>
        <w:t>S</w:t>
      </w:r>
      <w:r w:rsidRPr="00CD3D03">
        <w:t xml:space="preserve">elected recommendations </w:t>
      </w:r>
    </w:p>
    <w:p w14:paraId="61AEB704" w14:textId="77777777" w:rsidR="00805FCF" w:rsidRDefault="00805FCF" w:rsidP="00805FCF">
      <w:pPr>
        <w:pStyle w:val="Paragraph"/>
      </w:pPr>
      <w:r w:rsidRPr="003C2655">
        <w:t xml:space="preserve">NICE’s guideline on </w:t>
      </w:r>
      <w:hyperlink r:id="rId27" w:history="1">
        <w:r w:rsidRPr="003C2655">
          <w:rPr>
            <w:rStyle w:val="Hyperlink"/>
          </w:rPr>
          <w:t>Chronic heart failure in adults: diagnosis and management (NG106)</w:t>
        </w:r>
      </w:hyperlink>
    </w:p>
    <w:p w14:paraId="674929D0" w14:textId="03D238BE" w:rsidR="00805FCF" w:rsidRDefault="00805FCF" w:rsidP="00805FCF">
      <w:pPr>
        <w:pStyle w:val="Paragraph"/>
      </w:pPr>
      <w:r>
        <w:t>1.</w:t>
      </w:r>
      <w:r w:rsidR="00115402">
        <w:t>4</w:t>
      </w:r>
      <w:r>
        <w:t>.</w:t>
      </w:r>
      <w:r w:rsidR="00115402">
        <w:t>1</w:t>
      </w:r>
      <w:r>
        <w:t xml:space="preserve"> </w:t>
      </w:r>
      <w:r w:rsidR="00115402" w:rsidRPr="00115402">
        <w:t>Offer an angiotensin-converting enzyme (ACE) inhibitor and a beta</w:t>
      </w:r>
      <w:r w:rsidR="00115402" w:rsidRPr="00115402">
        <w:noBreakHyphen/>
        <w:t>blocker licensed for heart failure to people who have </w:t>
      </w:r>
      <w:hyperlink r:id="rId28" w:anchor="heart-failure-with-reduced-ejection-fraction" w:tgtFrame="_top" w:history="1">
        <w:r w:rsidR="00115402" w:rsidRPr="00115402">
          <w:rPr>
            <w:rStyle w:val="Hyperlink"/>
          </w:rPr>
          <w:t>heart failure with reduced ejection fraction</w:t>
        </w:r>
      </w:hyperlink>
      <w:r w:rsidR="00115402" w:rsidRPr="00115402">
        <w:t>. Use clinical judgement when deciding which drug to start first.</w:t>
      </w:r>
    </w:p>
    <w:p w14:paraId="32D78DA4" w14:textId="226D12DE" w:rsidR="00115402" w:rsidRDefault="00115402" w:rsidP="00805FCF">
      <w:pPr>
        <w:pStyle w:val="Paragraph"/>
      </w:pPr>
      <w:r>
        <w:t xml:space="preserve">1.4.3 </w:t>
      </w:r>
      <w:r w:rsidRPr="00115402">
        <w:t>Start ACE inhibitor therapy at a low dose and titrate upwards at short intervals (for example, every 2 weeks) until the target or maximum tolerated dose is reached.</w:t>
      </w:r>
    </w:p>
    <w:p w14:paraId="4D7995AF" w14:textId="6EE5D24D" w:rsidR="00115402" w:rsidRDefault="00115402" w:rsidP="00805FCF">
      <w:pPr>
        <w:pStyle w:val="Paragraph"/>
      </w:pPr>
      <w:r>
        <w:t xml:space="preserve">1.4.7 </w:t>
      </w:r>
      <w:r w:rsidRPr="00115402">
        <w:t>Consider an ARB licensed for heart failure as an alternative to an ACE inhibitor for people who have heart failure with reduced ejection fraction and intolerable side effects with ACE inhibitors.</w:t>
      </w:r>
    </w:p>
    <w:p w14:paraId="01C1C5CB" w14:textId="510F0515" w:rsidR="00115402" w:rsidRDefault="00115402" w:rsidP="00805FCF">
      <w:pPr>
        <w:pStyle w:val="Paragraph"/>
      </w:pPr>
      <w:r>
        <w:t xml:space="preserve">1.4.13 </w:t>
      </w:r>
      <w:r w:rsidRPr="00115402">
        <w:t>Introduce beta-blockers in a 'start low, go slow' manner. Assess heart rate and clinical status after each titration. Measure blood pressure before and after each dose increment of a beta</w:t>
      </w:r>
      <w:r w:rsidRPr="00115402">
        <w:rPr>
          <w:rFonts w:ascii="Cambria Math" w:hAnsi="Cambria Math" w:cs="Cambria Math"/>
        </w:rPr>
        <w:t>‑</w:t>
      </w:r>
      <w:r w:rsidRPr="00115402">
        <w:t>blocker.</w:t>
      </w:r>
    </w:p>
    <w:p w14:paraId="0B72CA51" w14:textId="5A03E041" w:rsidR="005F5451" w:rsidRDefault="00115402" w:rsidP="00805FCF">
      <w:pPr>
        <w:pStyle w:val="Paragraph"/>
      </w:pPr>
      <w:r>
        <w:t xml:space="preserve">1.4.15 </w:t>
      </w:r>
      <w:r w:rsidRPr="00115402">
        <w:t>Offer an </w:t>
      </w:r>
      <w:hyperlink r:id="rId29" w:anchor="mineralocorticoid-receptor-antagonist" w:tgtFrame="_top" w:history="1">
        <w:r w:rsidRPr="00115402">
          <w:rPr>
            <w:rStyle w:val="Hyperlink"/>
          </w:rPr>
          <w:t>mineralocorticoid receptor antagonists (MRA)</w:t>
        </w:r>
      </w:hyperlink>
      <w:r w:rsidRPr="00115402">
        <w:t>, in addition to an ACE inhibitor (or ARB) and beta-blocker, to people who have heart failure with reduced ejection fraction if they continue to have symptoms of heart failure.</w:t>
      </w:r>
    </w:p>
    <w:p w14:paraId="54D2A03C" w14:textId="77777777" w:rsidR="00D471F0" w:rsidRPr="00CE34D0" w:rsidRDefault="00D471F0" w:rsidP="00D471F0">
      <w:pPr>
        <w:pStyle w:val="Paragraph"/>
      </w:pPr>
      <w:r>
        <w:t xml:space="preserve">1.4.22 </w:t>
      </w:r>
      <w:r w:rsidRPr="00CE34D0">
        <w:t>Sacubitril valsartan is recommended as an option for treating symptomatic chronic heart failure with reduced ejection fraction, only in people:</w:t>
      </w:r>
    </w:p>
    <w:p w14:paraId="2F5A0280" w14:textId="77777777" w:rsidR="00D471F0" w:rsidRPr="00CE34D0" w:rsidRDefault="00D471F0" w:rsidP="00D471F0">
      <w:pPr>
        <w:pStyle w:val="Paragraph"/>
        <w:numPr>
          <w:ilvl w:val="0"/>
          <w:numId w:val="19"/>
        </w:numPr>
      </w:pPr>
      <w:r w:rsidRPr="00CE34D0">
        <w:t>with New York Heart Association (NYHA) class II to IV symptoms </w:t>
      </w:r>
      <w:r w:rsidRPr="00CE34D0">
        <w:rPr>
          <w:b/>
          <w:bCs/>
        </w:rPr>
        <w:t>and</w:t>
      </w:r>
    </w:p>
    <w:p w14:paraId="2B1EC723" w14:textId="77777777" w:rsidR="00D471F0" w:rsidRPr="00CE34D0" w:rsidRDefault="00D471F0" w:rsidP="00D471F0">
      <w:pPr>
        <w:pStyle w:val="Paragraph"/>
        <w:numPr>
          <w:ilvl w:val="0"/>
          <w:numId w:val="19"/>
        </w:numPr>
      </w:pPr>
      <w:r w:rsidRPr="00CE34D0">
        <w:t>with a left ventricular ejection fraction of 35% or less </w:t>
      </w:r>
      <w:r w:rsidRPr="00CE34D0">
        <w:rPr>
          <w:b/>
          <w:bCs/>
        </w:rPr>
        <w:t>and</w:t>
      </w:r>
    </w:p>
    <w:p w14:paraId="29F8D730" w14:textId="0C79D67A" w:rsidR="00D471F0" w:rsidRDefault="00D471F0" w:rsidP="00DE5D03">
      <w:pPr>
        <w:pStyle w:val="Paragraph"/>
        <w:numPr>
          <w:ilvl w:val="0"/>
          <w:numId w:val="19"/>
        </w:numPr>
      </w:pPr>
      <w:r w:rsidRPr="00CE34D0">
        <w:t>who are already taking a stable dose of angiotensin</w:t>
      </w:r>
      <w:r w:rsidRPr="00CE34D0">
        <w:noBreakHyphen/>
        <w:t xml:space="preserve">converting enzyme (ACE) inhibitors or </w:t>
      </w:r>
      <w:proofErr w:type="gramStart"/>
      <w:r w:rsidRPr="00CE34D0">
        <w:t>ARBs.</w:t>
      </w:r>
      <w:proofErr w:type="gramEnd"/>
    </w:p>
    <w:p w14:paraId="4A640C47" w14:textId="77777777" w:rsidR="00D471F0" w:rsidRPr="00B25900" w:rsidRDefault="00D471F0" w:rsidP="00D471F0">
      <w:pPr>
        <w:pStyle w:val="Paragraph"/>
      </w:pPr>
      <w:r>
        <w:t xml:space="preserve">1.8.3 </w:t>
      </w:r>
      <w:r w:rsidRPr="00B25900">
        <w:t>When discussing implantation of a cardioverter defibrillator:</w:t>
      </w:r>
    </w:p>
    <w:p w14:paraId="7B37D056" w14:textId="77777777" w:rsidR="00D471F0" w:rsidRPr="00B25900" w:rsidRDefault="00D471F0" w:rsidP="00D471F0">
      <w:pPr>
        <w:pStyle w:val="Paragraph"/>
        <w:numPr>
          <w:ilvl w:val="0"/>
          <w:numId w:val="16"/>
        </w:numPr>
      </w:pPr>
      <w:r w:rsidRPr="00B25900">
        <w:t>explain the risks, benefits and consequences of cardioverter defibrillator implantation, following the principles on shared decision making in the </w:t>
      </w:r>
      <w:hyperlink r:id="rId30" w:anchor="enabling-patients-to-actively-participate-in-their-care" w:tgtFrame="_top" w:history="1">
        <w:r w:rsidRPr="00B25900">
          <w:rPr>
            <w:rStyle w:val="Hyperlink"/>
          </w:rPr>
          <w:t>NICE guideline on patient experience in adult NHS services</w:t>
        </w:r>
      </w:hyperlink>
    </w:p>
    <w:p w14:paraId="27407D90" w14:textId="77777777" w:rsidR="00D471F0" w:rsidRPr="00B25900" w:rsidRDefault="00D471F0" w:rsidP="00D471F0">
      <w:pPr>
        <w:pStyle w:val="Paragraph"/>
        <w:numPr>
          <w:ilvl w:val="0"/>
          <w:numId w:val="16"/>
        </w:numPr>
      </w:pPr>
      <w:r w:rsidRPr="00B25900">
        <w:t>ensure the person knows that the defibrillator function can be deactivated without affecting any cardiac resynchronisation or pacing, and reactivated later</w:t>
      </w:r>
    </w:p>
    <w:p w14:paraId="701DBCC6" w14:textId="77777777" w:rsidR="00D471F0" w:rsidRPr="00B25900" w:rsidRDefault="00D471F0" w:rsidP="00D471F0">
      <w:pPr>
        <w:pStyle w:val="Paragraph"/>
        <w:numPr>
          <w:ilvl w:val="0"/>
          <w:numId w:val="16"/>
        </w:numPr>
      </w:pPr>
      <w:r w:rsidRPr="00B25900">
        <w:t>explain the circumstances in which deactivation might be offered</w:t>
      </w:r>
    </w:p>
    <w:p w14:paraId="3FDFF25D" w14:textId="77777777" w:rsidR="00D471F0" w:rsidRPr="00B25900" w:rsidRDefault="00D471F0" w:rsidP="00D471F0">
      <w:pPr>
        <w:pStyle w:val="Paragraph"/>
        <w:numPr>
          <w:ilvl w:val="0"/>
          <w:numId w:val="16"/>
        </w:numPr>
      </w:pPr>
      <w:r w:rsidRPr="00B25900">
        <w:t>discuss and dispel common misconceptions about the function of the device and the consequences of deactivation</w:t>
      </w:r>
    </w:p>
    <w:p w14:paraId="0D61AC22" w14:textId="77777777" w:rsidR="00D471F0" w:rsidRPr="00B25900" w:rsidRDefault="00D471F0" w:rsidP="00D471F0">
      <w:pPr>
        <w:pStyle w:val="Paragraph"/>
        <w:numPr>
          <w:ilvl w:val="0"/>
          <w:numId w:val="16"/>
        </w:numPr>
      </w:pPr>
      <w:r w:rsidRPr="00B25900">
        <w:t>provide the person and, if they wish, their family or carers with written information covering the information discussed</w:t>
      </w:r>
    </w:p>
    <w:p w14:paraId="77155FBA" w14:textId="77777777" w:rsidR="00D471F0" w:rsidRPr="00B25900" w:rsidRDefault="00D471F0" w:rsidP="00D471F0">
      <w:pPr>
        <w:pStyle w:val="Paragraph"/>
      </w:pPr>
      <w:r>
        <w:t xml:space="preserve">1.8.4 </w:t>
      </w:r>
      <w:r w:rsidRPr="00B25900">
        <w:t>Review the benefits and potential harms of a cardioverter defibrillator remaining active in a person with heart failure:</w:t>
      </w:r>
    </w:p>
    <w:p w14:paraId="0A065870" w14:textId="77777777" w:rsidR="00D471F0" w:rsidRPr="00B25900" w:rsidRDefault="00D471F0" w:rsidP="00D471F0">
      <w:pPr>
        <w:pStyle w:val="Paragraph"/>
        <w:numPr>
          <w:ilvl w:val="0"/>
          <w:numId w:val="17"/>
        </w:numPr>
      </w:pPr>
      <w:r w:rsidRPr="00B25900">
        <w:t>at each 6</w:t>
      </w:r>
      <w:r w:rsidRPr="00B25900">
        <w:noBreakHyphen/>
        <w:t>monthly review of their heart failure care</w:t>
      </w:r>
    </w:p>
    <w:p w14:paraId="29CA79A5" w14:textId="77777777" w:rsidR="00D471F0" w:rsidRDefault="00D471F0" w:rsidP="00D471F0">
      <w:pPr>
        <w:pStyle w:val="Paragraph"/>
        <w:numPr>
          <w:ilvl w:val="0"/>
          <w:numId w:val="17"/>
        </w:numPr>
      </w:pPr>
      <w:r w:rsidRPr="00B25900">
        <w:t>whenever their care goals change</w:t>
      </w:r>
    </w:p>
    <w:p w14:paraId="61BF1619" w14:textId="59955988" w:rsidR="00D471F0" w:rsidRDefault="00D471F0" w:rsidP="00DE5D03">
      <w:pPr>
        <w:pStyle w:val="Paragraph"/>
        <w:numPr>
          <w:ilvl w:val="0"/>
          <w:numId w:val="17"/>
        </w:numPr>
      </w:pPr>
      <w:r w:rsidRPr="00B25900">
        <w:t>as part of advance care planning if it is thought they are nearing the end of life</w:t>
      </w:r>
      <w:r>
        <w:t>.</w:t>
      </w:r>
    </w:p>
    <w:p w14:paraId="0BA8BD48" w14:textId="6FA656D9" w:rsidR="005F5451" w:rsidRDefault="005F5451" w:rsidP="005F5451">
      <w:pPr>
        <w:pStyle w:val="Heading4"/>
      </w:pPr>
      <w:r>
        <w:t>NICE technology appraisals</w:t>
      </w:r>
    </w:p>
    <w:p w14:paraId="637217A5" w14:textId="1BEFF9EA" w:rsidR="005F5451" w:rsidRDefault="00AF2CC8" w:rsidP="005F5451">
      <w:pPr>
        <w:spacing w:before="240" w:after="240" w:line="360" w:lineRule="auto"/>
        <w:rPr>
          <w:rFonts w:ascii="Arial" w:hAnsi="Arial"/>
        </w:rPr>
      </w:pPr>
      <w:hyperlink r:id="rId31" w:history="1">
        <w:r w:rsidR="005F5451" w:rsidRPr="00DD4CFF">
          <w:rPr>
            <w:rStyle w:val="Hyperlink"/>
            <w:rFonts w:ascii="Arial" w:hAnsi="Arial"/>
          </w:rPr>
          <w:t>TA773</w:t>
        </w:r>
      </w:hyperlink>
      <w:r w:rsidR="005F5451">
        <w:rPr>
          <w:rFonts w:ascii="Arial" w:hAnsi="Arial"/>
        </w:rPr>
        <w:t>:</w:t>
      </w:r>
      <w:r w:rsidR="005F5451" w:rsidRPr="00152283">
        <w:rPr>
          <w:rFonts w:ascii="Arial" w:hAnsi="Arial"/>
        </w:rPr>
        <w:t xml:space="preserve"> </w:t>
      </w:r>
      <w:r w:rsidR="00DD4CFF" w:rsidRPr="00DD4CFF">
        <w:rPr>
          <w:rFonts w:ascii="Arial" w:hAnsi="Arial"/>
        </w:rPr>
        <w:t>Empagliflozin for treating chronic heart failure with reduced ejection fraction</w:t>
      </w:r>
    </w:p>
    <w:p w14:paraId="42A1CDFC" w14:textId="2814C173" w:rsidR="00DD4CFF" w:rsidRDefault="00AF2CC8" w:rsidP="005F5451">
      <w:pPr>
        <w:spacing w:before="240" w:after="240" w:line="360" w:lineRule="auto"/>
        <w:rPr>
          <w:rFonts w:ascii="Arial" w:hAnsi="Arial"/>
        </w:rPr>
      </w:pPr>
      <w:hyperlink r:id="rId32" w:history="1">
        <w:r w:rsidR="00DD4CFF" w:rsidRPr="00DD4CFF">
          <w:rPr>
            <w:rStyle w:val="Hyperlink"/>
            <w:rFonts w:ascii="Arial" w:hAnsi="Arial"/>
          </w:rPr>
          <w:t>TA679</w:t>
        </w:r>
      </w:hyperlink>
      <w:r w:rsidR="00DD4CFF">
        <w:rPr>
          <w:rFonts w:ascii="Arial" w:hAnsi="Arial"/>
        </w:rPr>
        <w:t>:</w:t>
      </w:r>
      <w:r w:rsidR="00DD4CFF" w:rsidRPr="00152283">
        <w:rPr>
          <w:rFonts w:ascii="Arial" w:hAnsi="Arial"/>
        </w:rPr>
        <w:t xml:space="preserve"> </w:t>
      </w:r>
      <w:r w:rsidR="00DD4CFF" w:rsidRPr="00DD4CFF">
        <w:rPr>
          <w:rFonts w:ascii="Arial" w:hAnsi="Arial"/>
        </w:rPr>
        <w:t>Dapagliflozin for treating chronic heart failure with reduced ejection fraction</w:t>
      </w:r>
    </w:p>
    <w:p w14:paraId="06434367" w14:textId="474369FF" w:rsidR="00D045FC" w:rsidRPr="00D045FC" w:rsidRDefault="00C448DE" w:rsidP="00D045FC">
      <w:pPr>
        <w:pStyle w:val="Heading4"/>
      </w:pPr>
      <w:r>
        <w:t>Current UK practice</w:t>
      </w:r>
    </w:p>
    <w:p w14:paraId="2EFCB76C" w14:textId="0267C9A1" w:rsidR="00C448DE" w:rsidRDefault="00D045FC" w:rsidP="00C448DE">
      <w:pPr>
        <w:pStyle w:val="Paragraph"/>
      </w:pPr>
      <w:r>
        <w:t xml:space="preserve">84% of patients are discharged </w:t>
      </w:r>
      <w:r w:rsidR="00422931">
        <w:t xml:space="preserve">from hospital </w:t>
      </w:r>
      <w:r>
        <w:t xml:space="preserve">on an ACE inhibitor or ARB, </w:t>
      </w:r>
      <w:r w:rsidR="00643428">
        <w:t>90</w:t>
      </w:r>
      <w:r>
        <w:t>% on beta-blockers, and 5</w:t>
      </w:r>
      <w:r w:rsidR="00643428">
        <w:t>6</w:t>
      </w:r>
      <w:r>
        <w:t>% on MRAs, with only 4</w:t>
      </w:r>
      <w:r w:rsidR="00643428">
        <w:t>9</w:t>
      </w:r>
      <w:r>
        <w:t>% receiving all 3</w:t>
      </w:r>
      <w:r w:rsidR="002F2C5A">
        <w:t xml:space="preserve"> (</w:t>
      </w:r>
      <w:hyperlink r:id="rId33" w:history="1">
        <w:r w:rsidR="00643428">
          <w:rPr>
            <w:rStyle w:val="Hyperlink"/>
          </w:rPr>
          <w:t>NICOR 2021</w:t>
        </w:r>
      </w:hyperlink>
      <w:r w:rsidR="002F2C5A" w:rsidRPr="002F2C5A">
        <w:rPr>
          <w:rStyle w:val="Hyperlink"/>
          <w:color w:val="auto"/>
          <w:u w:val="none"/>
        </w:rPr>
        <w:t>).</w:t>
      </w:r>
    </w:p>
    <w:p w14:paraId="3015655B" w14:textId="77777777" w:rsidR="00C448DE" w:rsidRPr="004612EA" w:rsidRDefault="00C448DE" w:rsidP="00584584">
      <w:pPr>
        <w:pStyle w:val="Heading4"/>
      </w:pPr>
      <w:r w:rsidRPr="004612EA">
        <w:t>Resource impact</w:t>
      </w:r>
    </w:p>
    <w:p w14:paraId="3FDE1399" w14:textId="4C50AA55" w:rsidR="00C448DE" w:rsidRDefault="009E6490" w:rsidP="00C448DE">
      <w:pPr>
        <w:pStyle w:val="Paragraph"/>
      </w:pPr>
      <w:r w:rsidRPr="009E6490">
        <w:t>During the development of NG106, this area was not expected to have a significant impact on the use of NHS resources</w:t>
      </w:r>
      <w:r>
        <w:t>.</w:t>
      </w:r>
      <w:r w:rsidRPr="009E6490" w:rsidDel="009E6490">
        <w:t xml:space="preserve"> </w:t>
      </w:r>
    </w:p>
    <w:p w14:paraId="45A2AF9F" w14:textId="77777777" w:rsidR="00C448DE" w:rsidRPr="0067426A" w:rsidRDefault="00C448DE" w:rsidP="00584584">
      <w:pPr>
        <w:pStyle w:val="Heading4"/>
      </w:pPr>
      <w:r w:rsidRPr="0067426A">
        <w:t>Issues for consideration</w:t>
      </w:r>
    </w:p>
    <w:p w14:paraId="0D3834D7" w14:textId="77777777" w:rsidR="00C448DE" w:rsidRPr="00B413F2" w:rsidRDefault="00C448DE" w:rsidP="00C448DE">
      <w:pPr>
        <w:pStyle w:val="Paragraph"/>
        <w:rPr>
          <w:b/>
          <w:bCs/>
        </w:rPr>
      </w:pPr>
      <w:r w:rsidRPr="00A6218A">
        <w:rPr>
          <w:b/>
          <w:bCs/>
        </w:rPr>
        <w:t>For discussion:</w:t>
      </w:r>
    </w:p>
    <w:p w14:paraId="404FD9EC" w14:textId="4DA351F9" w:rsidR="00C448DE" w:rsidRPr="006326D9" w:rsidRDefault="008644F3" w:rsidP="00C448DE">
      <w:pPr>
        <w:pStyle w:val="Panelbullet1"/>
        <w:spacing w:after="240"/>
      </w:pPr>
      <w:r w:rsidRPr="008644F3">
        <w:t>Does the existing statement adequately cover the area for improvement</w:t>
      </w:r>
      <w:r w:rsidR="00C448DE" w:rsidRPr="006326D9">
        <w:t>?</w:t>
      </w:r>
    </w:p>
    <w:p w14:paraId="526806F4" w14:textId="0D8CA829" w:rsidR="00C448DE" w:rsidRDefault="008644F3" w:rsidP="00C448DE">
      <w:pPr>
        <w:pStyle w:val="Panelbullet1"/>
        <w:spacing w:after="240"/>
      </w:pPr>
      <w:r>
        <w:t>If not, what</w:t>
      </w:r>
      <w:r w:rsidRPr="006326D9">
        <w:t xml:space="preserve"> </w:t>
      </w:r>
      <w:r w:rsidR="00C448DE" w:rsidRPr="006326D9">
        <w:t>is the key action that will lead to improvement?</w:t>
      </w:r>
    </w:p>
    <w:p w14:paraId="4CDAED7E" w14:textId="77777777" w:rsidR="00C448DE" w:rsidRPr="006326D9" w:rsidRDefault="00C448DE" w:rsidP="00C448DE">
      <w:pPr>
        <w:pStyle w:val="Panelbullet1"/>
        <w:spacing w:after="240"/>
      </w:pPr>
      <w:r w:rsidRPr="006326D9">
        <w:t>Can we develop a specific, measurable statement?</w:t>
      </w:r>
    </w:p>
    <w:p w14:paraId="05D5D36B" w14:textId="77777777" w:rsidR="00C448DE" w:rsidRPr="00A6218A" w:rsidRDefault="00C448DE" w:rsidP="00C448DE">
      <w:pPr>
        <w:pStyle w:val="Paragraph"/>
        <w:rPr>
          <w:b/>
          <w:bCs/>
        </w:rPr>
      </w:pPr>
      <w:r w:rsidRPr="00A6218A">
        <w:rPr>
          <w:b/>
          <w:bCs/>
        </w:rPr>
        <w:t>For decision:</w:t>
      </w:r>
    </w:p>
    <w:p w14:paraId="771C5EC6" w14:textId="35B16536" w:rsidR="00C448DE" w:rsidRDefault="00C448DE" w:rsidP="00C448DE">
      <w:pPr>
        <w:pStyle w:val="Bulletleft1"/>
      </w:pPr>
      <w:r w:rsidRPr="00624810">
        <w:t>Should this area be prioritised for inclusion in the quality standard?</w:t>
      </w:r>
    </w:p>
    <w:p w14:paraId="718496B1" w14:textId="0695E87C" w:rsidR="00DF5593" w:rsidRDefault="00DF5593" w:rsidP="00DF5593">
      <w:pPr>
        <w:pStyle w:val="Bulletleft1"/>
        <w:numPr>
          <w:ilvl w:val="0"/>
          <w:numId w:val="0"/>
        </w:numPr>
        <w:ind w:left="284" w:hanging="284"/>
      </w:pPr>
    </w:p>
    <w:p w14:paraId="166CC6E5" w14:textId="77777777" w:rsidR="00C448DE" w:rsidRPr="00427135" w:rsidRDefault="00C448DE" w:rsidP="00C448DE">
      <w:pPr>
        <w:pStyle w:val="Paragraph"/>
      </w:pPr>
      <w:r w:rsidRPr="00427135">
        <w:br w:type="page"/>
      </w:r>
    </w:p>
    <w:p w14:paraId="140D51BE" w14:textId="7CF7C517" w:rsidR="00C448DE" w:rsidRPr="00433117" w:rsidRDefault="00D33DFA" w:rsidP="00C448DE">
      <w:pPr>
        <w:pStyle w:val="Numberedheading2"/>
      </w:pPr>
      <w:bookmarkStart w:id="111" w:name="_Toc108708705"/>
      <w:r>
        <w:t>Treating h</w:t>
      </w:r>
      <w:r w:rsidR="00452DCA" w:rsidRPr="00452DCA">
        <w:t>eart failure with preserved ejection fraction</w:t>
      </w:r>
      <w:bookmarkEnd w:id="111"/>
      <w:r w:rsidR="00C448DE">
        <w:t xml:space="preserve"> </w:t>
      </w:r>
    </w:p>
    <w:p w14:paraId="1A3D19E3" w14:textId="585EA9B6" w:rsidR="00C448DE" w:rsidRPr="00B4266A" w:rsidRDefault="009D01F1" w:rsidP="00C448DE">
      <w:pPr>
        <w:pStyle w:val="Paragraph"/>
      </w:pPr>
      <w:r>
        <w:t>Stakeholders</w:t>
      </w:r>
      <w:r w:rsidR="00B4266A">
        <w:t xml:space="preserve"> felt that blood pressure and </w:t>
      </w:r>
      <w:r w:rsidR="00B4266A" w:rsidRPr="00B4266A">
        <w:t>albuminuri</w:t>
      </w:r>
      <w:r w:rsidR="00AB3347">
        <w:t>a in this patient group should be optimised</w:t>
      </w:r>
      <w:r w:rsidR="009F1457">
        <w:t>, and that they should be offered low to medium doses of diuretics.</w:t>
      </w:r>
    </w:p>
    <w:p w14:paraId="3516D94E" w14:textId="77777777" w:rsidR="00C448DE" w:rsidRPr="00F45FBA" w:rsidRDefault="00C448DE" w:rsidP="00C448DE">
      <w:pPr>
        <w:pStyle w:val="Heading4"/>
      </w:pPr>
      <w:r>
        <w:t>S</w:t>
      </w:r>
      <w:r w:rsidRPr="00CD3D03">
        <w:t xml:space="preserve">elected recommendations </w:t>
      </w:r>
    </w:p>
    <w:p w14:paraId="527D85AC" w14:textId="77777777" w:rsidR="00B4266A" w:rsidRDefault="00B4266A" w:rsidP="00B4266A">
      <w:pPr>
        <w:pStyle w:val="Paragraph"/>
      </w:pPr>
      <w:r w:rsidRPr="003C2655">
        <w:t xml:space="preserve">NICE’s guideline on </w:t>
      </w:r>
      <w:hyperlink r:id="rId34" w:history="1">
        <w:r w:rsidRPr="003C2655">
          <w:rPr>
            <w:rStyle w:val="Hyperlink"/>
          </w:rPr>
          <w:t>Chronic heart failure in adults: diagnosis and management (NG106)</w:t>
        </w:r>
      </w:hyperlink>
    </w:p>
    <w:p w14:paraId="51AF708C" w14:textId="7FC1BBD9" w:rsidR="00B4266A" w:rsidRDefault="00B4266A" w:rsidP="00C448DE">
      <w:pPr>
        <w:pStyle w:val="Paragraph"/>
      </w:pPr>
      <w:r>
        <w:t>1.</w:t>
      </w:r>
      <w:r w:rsidR="00F731E3">
        <w:t>6</w:t>
      </w:r>
      <w:r>
        <w:t>.</w:t>
      </w:r>
      <w:r w:rsidR="00F731E3">
        <w:t>2</w:t>
      </w:r>
      <w:r>
        <w:t xml:space="preserve"> </w:t>
      </w:r>
      <w:r w:rsidR="00F731E3" w:rsidRPr="00F731E3">
        <w:t>People who have </w:t>
      </w:r>
      <w:hyperlink r:id="rId35" w:anchor="heart-failure-with-preserved-ejection-fraction" w:tgtFrame="_top" w:history="1">
        <w:r w:rsidR="00F731E3" w:rsidRPr="00F731E3">
          <w:rPr>
            <w:rStyle w:val="Hyperlink"/>
          </w:rPr>
          <w:t>heart failure with preserved ejection fraction</w:t>
        </w:r>
      </w:hyperlink>
      <w:r w:rsidR="00F731E3" w:rsidRPr="00F731E3">
        <w:t> should usually be offered a low to medium dose of loop diuretics (for example, less than 80 mg furosemide per day). People whose heart failure does not respond to this treatment will need further specialist advice.</w:t>
      </w:r>
    </w:p>
    <w:p w14:paraId="69FE589D" w14:textId="77777777" w:rsidR="00CA7328" w:rsidRDefault="00CA7328" w:rsidP="00CA7328">
      <w:pPr>
        <w:pStyle w:val="Heading4"/>
      </w:pPr>
      <w:r>
        <w:t>Current UK practice</w:t>
      </w:r>
    </w:p>
    <w:p w14:paraId="4650710A" w14:textId="331BA0FE" w:rsidR="00CA7328" w:rsidRDefault="00CA7328" w:rsidP="00CA7328">
      <w:pPr>
        <w:pStyle w:val="Paragraph"/>
      </w:pPr>
      <w:r w:rsidRPr="00CA7328">
        <w:t xml:space="preserve">No published </w:t>
      </w:r>
      <w:r>
        <w:t>data</w:t>
      </w:r>
      <w:r w:rsidRPr="00CA7328">
        <w:t xml:space="preserve"> on current practice were highlighted for this suggested area for quality improvement; this area is based on stakeholder’s knowledge and experience</w:t>
      </w:r>
      <w:r>
        <w:t>.</w:t>
      </w:r>
    </w:p>
    <w:p w14:paraId="30F61CA2" w14:textId="77777777" w:rsidR="00C448DE" w:rsidRPr="004612EA" w:rsidRDefault="00C448DE" w:rsidP="00584584">
      <w:pPr>
        <w:pStyle w:val="Heading4"/>
      </w:pPr>
      <w:r w:rsidRPr="004612EA">
        <w:t>Resource impact</w:t>
      </w:r>
    </w:p>
    <w:p w14:paraId="6CB548CB" w14:textId="4D7BBC8B" w:rsidR="00C448DE" w:rsidRDefault="009E6490" w:rsidP="00C448DE">
      <w:pPr>
        <w:pStyle w:val="Paragraph"/>
      </w:pPr>
      <w:r w:rsidRPr="009E6490">
        <w:t>During the development of NG106, this area was not expected to have a significant impact on the use of NHS resources</w:t>
      </w:r>
      <w:r>
        <w:t>.</w:t>
      </w:r>
      <w:r w:rsidRPr="009E6490" w:rsidDel="009E6490">
        <w:t xml:space="preserve"> </w:t>
      </w:r>
    </w:p>
    <w:p w14:paraId="01B67AB4" w14:textId="77777777" w:rsidR="00C448DE" w:rsidRPr="0067426A" w:rsidRDefault="00C448DE" w:rsidP="00584584">
      <w:pPr>
        <w:pStyle w:val="Heading4"/>
      </w:pPr>
      <w:r w:rsidRPr="0067426A">
        <w:t>Issues for consideration</w:t>
      </w:r>
    </w:p>
    <w:p w14:paraId="508DEEAE" w14:textId="77777777" w:rsidR="00C448DE" w:rsidRPr="00B413F2" w:rsidRDefault="00C448DE" w:rsidP="00C448DE">
      <w:pPr>
        <w:pStyle w:val="Paragraph"/>
        <w:rPr>
          <w:b/>
          <w:bCs/>
        </w:rPr>
      </w:pPr>
      <w:r w:rsidRPr="00A6218A">
        <w:rPr>
          <w:b/>
          <w:bCs/>
        </w:rPr>
        <w:t>For discussion:</w:t>
      </w:r>
    </w:p>
    <w:p w14:paraId="700A7841" w14:textId="6BC26728" w:rsidR="00C448DE" w:rsidRDefault="00C448DE" w:rsidP="00C448DE">
      <w:pPr>
        <w:pStyle w:val="Panelbullet1"/>
        <w:spacing w:after="240"/>
      </w:pPr>
      <w:r w:rsidRPr="003902FC">
        <w:t>What is the priority for improvement?</w:t>
      </w:r>
    </w:p>
    <w:p w14:paraId="1BFC5162" w14:textId="58BDAA07" w:rsidR="00AB3347" w:rsidRPr="003902FC" w:rsidRDefault="00AB3347" w:rsidP="00C448DE">
      <w:pPr>
        <w:pStyle w:val="Panelbullet1"/>
        <w:spacing w:after="240"/>
      </w:pPr>
      <w:r>
        <w:t xml:space="preserve">There are no available recommendations in the source guidance covering blood pressure and </w:t>
      </w:r>
      <w:r w:rsidRPr="00AB3347">
        <w:t>albuminuri</w:t>
      </w:r>
      <w:r>
        <w:t xml:space="preserve">a in patients with </w:t>
      </w:r>
      <w:proofErr w:type="spellStart"/>
      <w:r>
        <w:t>HFpEF</w:t>
      </w:r>
      <w:proofErr w:type="spellEnd"/>
      <w:r>
        <w:t>.</w:t>
      </w:r>
    </w:p>
    <w:p w14:paraId="5CB44DCC" w14:textId="739D708C" w:rsidR="00C448DE" w:rsidRDefault="00C448DE" w:rsidP="00C448DE">
      <w:pPr>
        <w:pStyle w:val="Panelbullet1"/>
        <w:spacing w:after="240"/>
      </w:pPr>
      <w:r w:rsidRPr="003902FC">
        <w:t>What is the key action that will lead to improvement?</w:t>
      </w:r>
    </w:p>
    <w:p w14:paraId="4747F8AC" w14:textId="77777777" w:rsidR="00C448DE" w:rsidRPr="003902FC" w:rsidRDefault="00C448DE" w:rsidP="00C448DE">
      <w:pPr>
        <w:pStyle w:val="Panelbullet1"/>
        <w:spacing w:after="240"/>
      </w:pPr>
      <w:r w:rsidRPr="003902FC">
        <w:t>Can we develop a specific, measurable statement?</w:t>
      </w:r>
    </w:p>
    <w:p w14:paraId="2F1BAAFD" w14:textId="77777777" w:rsidR="00C448DE" w:rsidRPr="00A6218A" w:rsidRDefault="00C448DE" w:rsidP="00C448DE">
      <w:pPr>
        <w:pStyle w:val="Paragraph"/>
        <w:rPr>
          <w:b/>
          <w:bCs/>
        </w:rPr>
      </w:pPr>
      <w:r w:rsidRPr="00A6218A">
        <w:rPr>
          <w:b/>
          <w:bCs/>
        </w:rPr>
        <w:t>For decision:</w:t>
      </w:r>
    </w:p>
    <w:p w14:paraId="537B70D8" w14:textId="77777777" w:rsidR="00C448DE" w:rsidRDefault="00C448DE" w:rsidP="00C448DE">
      <w:pPr>
        <w:pStyle w:val="Bulletleft1"/>
      </w:pPr>
      <w:r w:rsidRPr="00624810">
        <w:t>Should this area be prioritised for inclusion in the quality standard?</w:t>
      </w:r>
    </w:p>
    <w:p w14:paraId="5D66AAE7" w14:textId="76F816CA" w:rsidR="00C448DE" w:rsidRPr="00427135" w:rsidRDefault="00C448DE" w:rsidP="00A813F7">
      <w:pPr>
        <w:pStyle w:val="Paragraph"/>
      </w:pPr>
      <w:r w:rsidRPr="00427135">
        <w:br w:type="page"/>
      </w:r>
    </w:p>
    <w:p w14:paraId="79123A8C" w14:textId="09682FE8" w:rsidR="00626943" w:rsidRPr="00427135" w:rsidRDefault="00626943" w:rsidP="00427135">
      <w:pPr>
        <w:pStyle w:val="Numberedheading2"/>
      </w:pPr>
      <w:bookmarkStart w:id="112" w:name="_Toc108708706"/>
      <w:r w:rsidRPr="00427135">
        <w:t>Additional areas</w:t>
      </w:r>
      <w:bookmarkEnd w:id="112"/>
    </w:p>
    <w:p w14:paraId="4B5D051E" w14:textId="77777777" w:rsidR="00626943" w:rsidRPr="00E80EE3" w:rsidRDefault="00626943" w:rsidP="00427135">
      <w:pPr>
        <w:pStyle w:val="Heading3"/>
      </w:pPr>
      <w:r w:rsidRPr="00E80EE3">
        <w:t>Summary of suggestions</w:t>
      </w:r>
    </w:p>
    <w:p w14:paraId="4A9A3E44"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proofErr w:type="gramStart"/>
      <w:r>
        <w:t xml:space="preserve">particular </w:t>
      </w:r>
      <w:r w:rsidRPr="00E80EE3">
        <w:t>quality</w:t>
      </w:r>
      <w:proofErr w:type="gramEnd"/>
      <w:r w:rsidRPr="00E80EE3">
        <w:t xml:space="preserve"> standard referral or </w:t>
      </w:r>
      <w:r w:rsidR="00DD0BD8">
        <w:t>need</w:t>
      </w:r>
      <w:r w:rsidRPr="00E80EE3">
        <w:t xml:space="preserve"> further discussion by the </w:t>
      </w:r>
      <w:r w:rsidR="00C92D69">
        <w:t>c</w:t>
      </w:r>
      <w:r w:rsidRPr="00E80EE3">
        <w:t xml:space="preserve">ommittee to establish potential for statement development. </w:t>
      </w:r>
    </w:p>
    <w:p w14:paraId="1A53A5E6" w14:textId="77777777" w:rsidR="00626943" w:rsidRDefault="00626943" w:rsidP="00427135">
      <w:pPr>
        <w:pStyle w:val="Paragraph"/>
      </w:pPr>
      <w:r w:rsidRPr="00E80EE3">
        <w:t xml:space="preserve">There will be an opportunity for the </w:t>
      </w:r>
      <w:r w:rsidR="00C92D69">
        <w:t>committee</w:t>
      </w:r>
      <w:r w:rsidRPr="00E80EE3">
        <w:t xml:space="preserve"> to discuss these areas at the end of the </w:t>
      </w:r>
      <w:r w:rsidR="00F04347" w:rsidRPr="00C54EE8">
        <w:t>Advisory Committee meeting</w:t>
      </w:r>
      <w:r w:rsidRPr="00E80EE3">
        <w:t>.</w:t>
      </w:r>
    </w:p>
    <w:p w14:paraId="16103150" w14:textId="6832464D" w:rsidR="00910D5A" w:rsidRDefault="00910D5A" w:rsidP="00F04347">
      <w:pPr>
        <w:pStyle w:val="Caption"/>
      </w:pPr>
      <w:r w:rsidRPr="00603361">
        <w:t xml:space="preserve">Table </w:t>
      </w:r>
      <w:r w:rsidR="00603361">
        <w:t>2</w:t>
      </w:r>
      <w:r w:rsidR="00F96905" w:rsidRPr="00603361">
        <w:t xml:space="preserve"> Summary of information available for additional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670"/>
        <w:gridCol w:w="1275"/>
        <w:gridCol w:w="1282"/>
        <w:gridCol w:w="1275"/>
        <w:gridCol w:w="1281"/>
      </w:tblGrid>
      <w:tr w:rsidR="00910D5A" w:rsidRPr="00910B42" w14:paraId="26F6643E" w14:textId="77777777" w:rsidTr="00603361">
        <w:trPr>
          <w:tblHeader/>
        </w:trPr>
        <w:tc>
          <w:tcPr>
            <w:tcW w:w="2089" w:type="pct"/>
            <w:shd w:val="clear" w:color="auto" w:fill="auto"/>
          </w:tcPr>
          <w:p w14:paraId="06408BDA" w14:textId="77777777" w:rsidR="00910D5A" w:rsidRPr="00910B42" w:rsidRDefault="00910D5A" w:rsidP="00F04347">
            <w:pPr>
              <w:pStyle w:val="Tabletitle"/>
            </w:pPr>
            <w:r w:rsidRPr="5A137D12">
              <w:t>Suggested area for improvement</w:t>
            </w:r>
          </w:p>
        </w:tc>
        <w:tc>
          <w:tcPr>
            <w:tcW w:w="726" w:type="pct"/>
          </w:tcPr>
          <w:p w14:paraId="7541F01A" w14:textId="77777777" w:rsidR="00910D5A" w:rsidRPr="00910B42" w:rsidRDefault="00910D5A" w:rsidP="00F04347">
            <w:pPr>
              <w:pStyle w:val="Tabletitle"/>
            </w:pPr>
            <w:r>
              <w:t>Within remit of NICE QS</w:t>
            </w:r>
          </w:p>
        </w:tc>
        <w:tc>
          <w:tcPr>
            <w:tcW w:w="730" w:type="pct"/>
          </w:tcPr>
          <w:p w14:paraId="7DA50157" w14:textId="77777777" w:rsidR="00910D5A" w:rsidRDefault="00910D5A" w:rsidP="00F04347">
            <w:pPr>
              <w:pStyle w:val="Tabletitle"/>
            </w:pPr>
            <w:r w:rsidRPr="00910B42">
              <w:t>In scope</w:t>
            </w:r>
          </w:p>
          <w:p w14:paraId="3E315606" w14:textId="77777777" w:rsidR="00910D5A" w:rsidRPr="00910B42" w:rsidRDefault="00910D5A" w:rsidP="00F04347">
            <w:pPr>
              <w:pStyle w:val="Tabletitle"/>
            </w:pPr>
          </w:p>
        </w:tc>
        <w:tc>
          <w:tcPr>
            <w:tcW w:w="726" w:type="pct"/>
          </w:tcPr>
          <w:p w14:paraId="05BE01EB" w14:textId="77777777" w:rsidR="00910D5A" w:rsidRPr="00910B42" w:rsidRDefault="00910D5A" w:rsidP="00F04347">
            <w:pPr>
              <w:pStyle w:val="Tabletitle"/>
            </w:pPr>
            <w:r w:rsidRPr="00910B42">
              <w:t>Guideline recs</w:t>
            </w:r>
          </w:p>
        </w:tc>
        <w:tc>
          <w:tcPr>
            <w:tcW w:w="729" w:type="pct"/>
          </w:tcPr>
          <w:p w14:paraId="655C50C3" w14:textId="77777777" w:rsidR="00910D5A" w:rsidRDefault="00910D5A" w:rsidP="00F04347">
            <w:pPr>
              <w:pStyle w:val="Tabletitle"/>
            </w:pPr>
            <w:r>
              <w:t xml:space="preserve">Relevant </w:t>
            </w:r>
          </w:p>
          <w:p w14:paraId="2193321E" w14:textId="77777777" w:rsidR="00910D5A" w:rsidRPr="00910B42" w:rsidRDefault="00910D5A" w:rsidP="00F04347">
            <w:pPr>
              <w:pStyle w:val="Tabletitle"/>
            </w:pPr>
            <w:r>
              <w:t>e</w:t>
            </w:r>
            <w:r w:rsidRPr="00910B42">
              <w:t xml:space="preserve">xisting QS </w:t>
            </w:r>
          </w:p>
        </w:tc>
      </w:tr>
      <w:tr w:rsidR="00910D5A" w:rsidRPr="00910B42" w14:paraId="1E52DDD8" w14:textId="77777777" w:rsidTr="00603361">
        <w:trPr>
          <w:trHeight w:val="382"/>
        </w:trPr>
        <w:tc>
          <w:tcPr>
            <w:tcW w:w="2089" w:type="pct"/>
            <w:tcBorders>
              <w:top w:val="single" w:sz="4" w:space="0" w:color="auto"/>
              <w:left w:val="single" w:sz="4" w:space="0" w:color="auto"/>
              <w:right w:val="single" w:sz="4" w:space="0" w:color="auto"/>
            </w:tcBorders>
            <w:shd w:val="clear" w:color="auto" w:fill="auto"/>
          </w:tcPr>
          <w:p w14:paraId="557072F7" w14:textId="75A6F698" w:rsidR="00910D5A" w:rsidRPr="00E34FDE" w:rsidRDefault="00682E12" w:rsidP="00F04347">
            <w:pPr>
              <w:pStyle w:val="Tabletext"/>
            </w:pPr>
            <w:r w:rsidRPr="00E34FDE">
              <w:t>Assessment and management of iron deficiency</w:t>
            </w:r>
          </w:p>
        </w:tc>
        <w:tc>
          <w:tcPr>
            <w:tcW w:w="726" w:type="pct"/>
          </w:tcPr>
          <w:p w14:paraId="55F762C4" w14:textId="284D8276" w:rsidR="00910D5A" w:rsidRPr="00E34FDE" w:rsidRDefault="00682E12" w:rsidP="00F04347">
            <w:pPr>
              <w:pStyle w:val="Tabletext"/>
            </w:pPr>
            <w:r w:rsidRPr="00E34FDE">
              <w:t>Yes</w:t>
            </w:r>
          </w:p>
        </w:tc>
        <w:tc>
          <w:tcPr>
            <w:tcW w:w="730" w:type="pct"/>
          </w:tcPr>
          <w:p w14:paraId="0E94EEC5" w14:textId="69865D98" w:rsidR="00910D5A" w:rsidRPr="00E34FDE" w:rsidRDefault="00682E12" w:rsidP="00F04347">
            <w:pPr>
              <w:pStyle w:val="Tabletext"/>
            </w:pPr>
            <w:r w:rsidRPr="00E34FDE">
              <w:t>Yes</w:t>
            </w:r>
          </w:p>
        </w:tc>
        <w:tc>
          <w:tcPr>
            <w:tcW w:w="726" w:type="pct"/>
          </w:tcPr>
          <w:p w14:paraId="0298AED2" w14:textId="06B1E79D" w:rsidR="00910D5A" w:rsidRPr="00E34FDE" w:rsidRDefault="00682E12" w:rsidP="00F04347">
            <w:pPr>
              <w:pStyle w:val="Tabletext"/>
            </w:pPr>
            <w:r w:rsidRPr="00E34FDE">
              <w:t>No</w:t>
            </w:r>
          </w:p>
        </w:tc>
        <w:tc>
          <w:tcPr>
            <w:tcW w:w="729" w:type="pct"/>
          </w:tcPr>
          <w:p w14:paraId="36776B0F" w14:textId="06FEDC4A" w:rsidR="00910D5A" w:rsidRPr="00E34FDE" w:rsidRDefault="00682E12" w:rsidP="00F04347">
            <w:pPr>
              <w:pStyle w:val="Tabletext"/>
            </w:pPr>
            <w:r w:rsidRPr="00E34FDE">
              <w:t>No</w:t>
            </w:r>
          </w:p>
        </w:tc>
      </w:tr>
      <w:tr w:rsidR="00910D5A" w:rsidRPr="00910B42" w14:paraId="206CFD6E" w14:textId="77777777" w:rsidTr="00603361">
        <w:trPr>
          <w:trHeight w:val="382"/>
        </w:trPr>
        <w:tc>
          <w:tcPr>
            <w:tcW w:w="2089" w:type="pct"/>
            <w:tcBorders>
              <w:top w:val="single" w:sz="4" w:space="0" w:color="auto"/>
              <w:left w:val="single" w:sz="4" w:space="0" w:color="auto"/>
              <w:right w:val="single" w:sz="4" w:space="0" w:color="auto"/>
            </w:tcBorders>
            <w:shd w:val="clear" w:color="auto" w:fill="auto"/>
          </w:tcPr>
          <w:p w14:paraId="6C156535" w14:textId="5B617A9F" w:rsidR="00910D5A" w:rsidRPr="00E34FDE" w:rsidRDefault="00E34FDE" w:rsidP="00F04347">
            <w:pPr>
              <w:pStyle w:val="Tabletext"/>
            </w:pPr>
            <w:r w:rsidRPr="00E34FDE">
              <w:t>Local evidence of high-resolution equipment operated by experienced operators</w:t>
            </w:r>
          </w:p>
        </w:tc>
        <w:tc>
          <w:tcPr>
            <w:tcW w:w="726" w:type="pct"/>
          </w:tcPr>
          <w:p w14:paraId="0BD895DF" w14:textId="1697598F" w:rsidR="00910D5A" w:rsidRPr="00E34FDE" w:rsidRDefault="00F274AD" w:rsidP="00F04347">
            <w:pPr>
              <w:pStyle w:val="Tabletext"/>
            </w:pPr>
            <w:r>
              <w:t>No</w:t>
            </w:r>
          </w:p>
        </w:tc>
        <w:tc>
          <w:tcPr>
            <w:tcW w:w="730" w:type="pct"/>
          </w:tcPr>
          <w:p w14:paraId="0EFA49FB" w14:textId="0C9752D5" w:rsidR="00910D5A" w:rsidRPr="00E34FDE" w:rsidRDefault="009F1457" w:rsidP="00F04347">
            <w:pPr>
              <w:pStyle w:val="Tabletext"/>
            </w:pPr>
            <w:r>
              <w:t>No</w:t>
            </w:r>
          </w:p>
        </w:tc>
        <w:tc>
          <w:tcPr>
            <w:tcW w:w="726" w:type="pct"/>
          </w:tcPr>
          <w:p w14:paraId="32F4DDFA" w14:textId="01EE0DA8" w:rsidR="00910D5A" w:rsidRPr="00E34FDE" w:rsidRDefault="009F1457" w:rsidP="00F04347">
            <w:pPr>
              <w:pStyle w:val="Tabletext"/>
            </w:pPr>
            <w:r>
              <w:t>Yes</w:t>
            </w:r>
          </w:p>
        </w:tc>
        <w:tc>
          <w:tcPr>
            <w:tcW w:w="729" w:type="pct"/>
          </w:tcPr>
          <w:p w14:paraId="76F497B5" w14:textId="0D9B424B" w:rsidR="00910D5A" w:rsidRPr="00E34FDE" w:rsidRDefault="009F1457" w:rsidP="00F04347">
            <w:pPr>
              <w:pStyle w:val="Tabletext"/>
            </w:pPr>
            <w:r>
              <w:t>No</w:t>
            </w:r>
          </w:p>
        </w:tc>
      </w:tr>
      <w:tr w:rsidR="00E34FDE" w:rsidRPr="00910B42" w14:paraId="19618C72" w14:textId="77777777" w:rsidTr="00DE5D03">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62D5E6E8" w14:textId="1F99AF72" w:rsidR="00E34FDE" w:rsidRPr="00E34FDE" w:rsidRDefault="009F1457" w:rsidP="00F04347">
            <w:pPr>
              <w:pStyle w:val="Tabletext"/>
            </w:pPr>
            <w:r w:rsidRPr="009F1457">
              <w:t>Code cleansing in primary care</w:t>
            </w:r>
          </w:p>
        </w:tc>
        <w:tc>
          <w:tcPr>
            <w:tcW w:w="726" w:type="pct"/>
          </w:tcPr>
          <w:p w14:paraId="430834BD" w14:textId="3B11C306" w:rsidR="00E34FDE" w:rsidRPr="00E34FDE" w:rsidRDefault="009F1457" w:rsidP="00F04347">
            <w:pPr>
              <w:pStyle w:val="Tabletext"/>
            </w:pPr>
            <w:r>
              <w:t>No</w:t>
            </w:r>
          </w:p>
        </w:tc>
        <w:tc>
          <w:tcPr>
            <w:tcW w:w="730" w:type="pct"/>
          </w:tcPr>
          <w:p w14:paraId="2CDC0410" w14:textId="70CF3684" w:rsidR="00E34FDE" w:rsidRPr="00E34FDE" w:rsidRDefault="009F1457" w:rsidP="00F04347">
            <w:pPr>
              <w:pStyle w:val="Tabletext"/>
            </w:pPr>
            <w:r>
              <w:t>No</w:t>
            </w:r>
          </w:p>
        </w:tc>
        <w:tc>
          <w:tcPr>
            <w:tcW w:w="726" w:type="pct"/>
          </w:tcPr>
          <w:p w14:paraId="0F94A5A5" w14:textId="2AA844CD" w:rsidR="00E34FDE" w:rsidRPr="00E34FDE" w:rsidRDefault="009F1457" w:rsidP="00F04347">
            <w:pPr>
              <w:pStyle w:val="Tabletext"/>
            </w:pPr>
            <w:r>
              <w:t>No</w:t>
            </w:r>
          </w:p>
        </w:tc>
        <w:tc>
          <w:tcPr>
            <w:tcW w:w="729" w:type="pct"/>
          </w:tcPr>
          <w:p w14:paraId="54A35786" w14:textId="62D9800A" w:rsidR="00E34FDE" w:rsidRPr="00E34FDE" w:rsidRDefault="009F1457" w:rsidP="00F04347">
            <w:pPr>
              <w:pStyle w:val="Tabletext"/>
            </w:pPr>
            <w:r>
              <w:t>No</w:t>
            </w:r>
          </w:p>
        </w:tc>
      </w:tr>
      <w:tr w:rsidR="008D3811" w:rsidRPr="00910B42" w14:paraId="0E5C5044" w14:textId="77777777" w:rsidTr="00603361">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556FDA64" w14:textId="1A28BF61" w:rsidR="008D3811" w:rsidRPr="009F1457" w:rsidRDefault="008D3811" w:rsidP="00F04347">
            <w:pPr>
              <w:pStyle w:val="Tabletext"/>
            </w:pPr>
            <w:r>
              <w:t>Palliative care</w:t>
            </w:r>
          </w:p>
        </w:tc>
        <w:tc>
          <w:tcPr>
            <w:tcW w:w="726" w:type="pct"/>
            <w:tcBorders>
              <w:bottom w:val="single" w:sz="4" w:space="0" w:color="auto"/>
            </w:tcBorders>
          </w:tcPr>
          <w:p w14:paraId="3F1A21A5" w14:textId="74B5873F" w:rsidR="008D3811" w:rsidRDefault="008D3811" w:rsidP="00F04347">
            <w:pPr>
              <w:pStyle w:val="Tabletext"/>
            </w:pPr>
            <w:r>
              <w:t>Yes</w:t>
            </w:r>
          </w:p>
        </w:tc>
        <w:tc>
          <w:tcPr>
            <w:tcW w:w="730" w:type="pct"/>
            <w:tcBorders>
              <w:bottom w:val="single" w:sz="4" w:space="0" w:color="auto"/>
            </w:tcBorders>
          </w:tcPr>
          <w:p w14:paraId="68897F52" w14:textId="07CC172F" w:rsidR="008D3811" w:rsidRDefault="008D3811" w:rsidP="00F04347">
            <w:pPr>
              <w:pStyle w:val="Tabletext"/>
            </w:pPr>
            <w:r>
              <w:t>Yes</w:t>
            </w:r>
          </w:p>
        </w:tc>
        <w:tc>
          <w:tcPr>
            <w:tcW w:w="726" w:type="pct"/>
            <w:tcBorders>
              <w:bottom w:val="single" w:sz="4" w:space="0" w:color="auto"/>
            </w:tcBorders>
          </w:tcPr>
          <w:p w14:paraId="7DE65875" w14:textId="42557758" w:rsidR="008D3811" w:rsidRDefault="008D3811" w:rsidP="00F04347">
            <w:pPr>
              <w:pStyle w:val="Tabletext"/>
            </w:pPr>
            <w:r>
              <w:t>Yes</w:t>
            </w:r>
          </w:p>
        </w:tc>
        <w:tc>
          <w:tcPr>
            <w:tcW w:w="729" w:type="pct"/>
            <w:tcBorders>
              <w:bottom w:val="single" w:sz="4" w:space="0" w:color="auto"/>
            </w:tcBorders>
          </w:tcPr>
          <w:p w14:paraId="08DC8162" w14:textId="5992C896" w:rsidR="008D3811" w:rsidRDefault="00197A02" w:rsidP="00F04347">
            <w:pPr>
              <w:pStyle w:val="Tabletext"/>
            </w:pPr>
            <w:r>
              <w:t>Yes</w:t>
            </w:r>
          </w:p>
        </w:tc>
      </w:tr>
    </w:tbl>
    <w:p w14:paraId="48B801AF" w14:textId="79490E22" w:rsidR="007C6EB9" w:rsidRPr="00E9784F" w:rsidRDefault="00603361" w:rsidP="007C6EB9">
      <w:pPr>
        <w:pStyle w:val="Paragraph"/>
        <w:rPr>
          <w:highlight w:val="cyan"/>
        </w:rPr>
      </w:pPr>
      <w:bookmarkStart w:id="113" w:name="_Toc404063922"/>
      <w:bookmarkStart w:id="114" w:name="_Toc404587493"/>
      <w:bookmarkStart w:id="115" w:name="_Toc432164930"/>
      <w:bookmarkStart w:id="116" w:name="_Toc467141920"/>
      <w:bookmarkStart w:id="117" w:name="_Toc467141971"/>
      <w:r w:rsidRPr="00603361">
        <w:rPr>
          <w:rFonts w:cs="Arial"/>
          <w:b/>
          <w:bCs/>
          <w:sz w:val="26"/>
        </w:rPr>
        <w:t>Assessment and management of iron deficiency</w:t>
      </w:r>
      <w:r w:rsidRPr="00603361">
        <w:rPr>
          <w:rFonts w:cs="Arial"/>
          <w:b/>
          <w:bCs/>
          <w:sz w:val="26"/>
          <w:highlight w:val="cyan"/>
        </w:rPr>
        <w:t xml:space="preserve"> </w:t>
      </w:r>
    </w:p>
    <w:p w14:paraId="39396EE4" w14:textId="4303901B" w:rsidR="00603361" w:rsidRDefault="00603361" w:rsidP="007C6EB9">
      <w:pPr>
        <w:pStyle w:val="Paragraph"/>
      </w:pPr>
      <w:r>
        <w:t>Assessment and management of patient’s iron deficiency to optimise treatment was suggested as an area for improvement.</w:t>
      </w:r>
    </w:p>
    <w:p w14:paraId="56256027" w14:textId="0688D077" w:rsidR="007C6EB9" w:rsidRPr="00603361" w:rsidRDefault="007C6EB9" w:rsidP="007C6EB9">
      <w:pPr>
        <w:pStyle w:val="Paragraph"/>
      </w:pPr>
      <w:r w:rsidRPr="00603361">
        <w:t xml:space="preserve">This suggestion has not been progressed. </w:t>
      </w:r>
      <w:r w:rsidR="00603361">
        <w:t>There are no guideline recommendations relevant to this area</w:t>
      </w:r>
      <w:r w:rsidRPr="00603361">
        <w:t>.</w:t>
      </w:r>
    </w:p>
    <w:p w14:paraId="347AA0A0" w14:textId="77777777" w:rsidR="005263CF" w:rsidRDefault="005263CF" w:rsidP="007C6EB9">
      <w:pPr>
        <w:pStyle w:val="Paragraph"/>
        <w:rPr>
          <w:rFonts w:cs="Arial"/>
          <w:b/>
          <w:bCs/>
          <w:sz w:val="26"/>
          <w:highlight w:val="cyan"/>
        </w:rPr>
      </w:pPr>
      <w:r w:rsidRPr="005263CF">
        <w:rPr>
          <w:rFonts w:cs="Arial"/>
          <w:b/>
          <w:bCs/>
          <w:sz w:val="26"/>
        </w:rPr>
        <w:t>Local evidence of high-resolution equipment operated by experienced operators</w:t>
      </w:r>
      <w:r w:rsidRPr="005263CF">
        <w:rPr>
          <w:rFonts w:cs="Arial"/>
          <w:b/>
          <w:bCs/>
          <w:sz w:val="26"/>
          <w:highlight w:val="cyan"/>
        </w:rPr>
        <w:t xml:space="preserve"> </w:t>
      </w:r>
    </w:p>
    <w:p w14:paraId="149E4FD4" w14:textId="4D89C1B3" w:rsidR="007C6EB9" w:rsidRPr="005263CF" w:rsidRDefault="005263CF" w:rsidP="007C6EB9">
      <w:pPr>
        <w:pStyle w:val="Paragraph"/>
      </w:pPr>
      <w:r>
        <w:t xml:space="preserve">Ensuring that there is local evidence of </w:t>
      </w:r>
      <w:r w:rsidRPr="005263CF">
        <w:t>high-resolution equipment</w:t>
      </w:r>
      <w:r>
        <w:t xml:space="preserve"> used by experienced operators for </w:t>
      </w:r>
      <w:proofErr w:type="spellStart"/>
      <w:r>
        <w:t>transthoratic</w:t>
      </w:r>
      <w:proofErr w:type="spellEnd"/>
      <w:r>
        <w:t xml:space="preserve"> echocardiography was suggested as an area for improvement.</w:t>
      </w:r>
    </w:p>
    <w:p w14:paraId="186941AC" w14:textId="567B24B8" w:rsidR="007C6EB9" w:rsidRDefault="007C6EB9" w:rsidP="007C6EB9">
      <w:pPr>
        <w:pStyle w:val="Paragraph"/>
      </w:pPr>
      <w:r w:rsidRPr="005263CF">
        <w:t xml:space="preserve">This suggestion has not been progressed. Quality statements focus on actions that demonstrate high quality care or support, not the </w:t>
      </w:r>
      <w:r w:rsidR="005263CF">
        <w:t>equipment</w:t>
      </w:r>
      <w:r w:rsidRPr="005263CF">
        <w:t xml:space="preserve"> that enables the actions to take place.</w:t>
      </w:r>
    </w:p>
    <w:p w14:paraId="0A7AE20C" w14:textId="77935EE8" w:rsidR="00654347" w:rsidRDefault="00654347" w:rsidP="00654347">
      <w:pPr>
        <w:pStyle w:val="Paragraph"/>
        <w:rPr>
          <w:rFonts w:cs="Arial"/>
          <w:b/>
          <w:bCs/>
          <w:sz w:val="26"/>
        </w:rPr>
      </w:pPr>
      <w:r>
        <w:rPr>
          <w:rFonts w:cs="Arial"/>
          <w:b/>
          <w:bCs/>
          <w:sz w:val="26"/>
        </w:rPr>
        <w:t>Code cleansing in primary care</w:t>
      </w:r>
    </w:p>
    <w:p w14:paraId="273EAFA4" w14:textId="4F00CE05" w:rsidR="00654347" w:rsidRDefault="00654347" w:rsidP="00654347">
      <w:pPr>
        <w:pStyle w:val="Paragraph"/>
      </w:pPr>
      <w:r>
        <w:t>Ensuring patients area on the correct disease register by code cleansing in primary care was suggested as an area for improvement.</w:t>
      </w:r>
    </w:p>
    <w:p w14:paraId="740E11F0" w14:textId="5D154510" w:rsidR="00E9784F" w:rsidRDefault="00654347" w:rsidP="00A813F7">
      <w:pPr>
        <w:pStyle w:val="Paragraph"/>
      </w:pPr>
      <w:r>
        <w:t>This suggestion has not been progressed.</w:t>
      </w:r>
      <w:r w:rsidRPr="00654347">
        <w:t xml:space="preserve"> Quality statements focus on actions that demonstrate high quality care or support, not the </w:t>
      </w:r>
      <w:r>
        <w:t>administration</w:t>
      </w:r>
      <w:r w:rsidRPr="00654347">
        <w:t xml:space="preserve"> that enables the actions to take place</w:t>
      </w:r>
      <w:r>
        <w:t>. Additionally, there are no relevant recommendations for this area.</w:t>
      </w:r>
      <w:bookmarkEnd w:id="113"/>
      <w:bookmarkEnd w:id="114"/>
      <w:bookmarkEnd w:id="115"/>
      <w:bookmarkEnd w:id="116"/>
      <w:bookmarkEnd w:id="117"/>
    </w:p>
    <w:p w14:paraId="6992F21E" w14:textId="7144F888" w:rsidR="00197A02" w:rsidRDefault="00197A02" w:rsidP="00197A02">
      <w:pPr>
        <w:pStyle w:val="Paragraph"/>
        <w:rPr>
          <w:rFonts w:cs="Arial"/>
          <w:b/>
          <w:bCs/>
          <w:sz w:val="26"/>
          <w:highlight w:val="cyan"/>
        </w:rPr>
      </w:pPr>
      <w:r>
        <w:rPr>
          <w:rFonts w:cs="Arial"/>
          <w:b/>
          <w:bCs/>
          <w:sz w:val="26"/>
        </w:rPr>
        <w:t>Palliative care</w:t>
      </w:r>
      <w:r w:rsidRPr="005263CF">
        <w:rPr>
          <w:rFonts w:cs="Arial"/>
          <w:b/>
          <w:bCs/>
          <w:sz w:val="26"/>
          <w:highlight w:val="cyan"/>
        </w:rPr>
        <w:t xml:space="preserve"> </w:t>
      </w:r>
    </w:p>
    <w:p w14:paraId="14075D2B" w14:textId="0E498D7E" w:rsidR="00197A02" w:rsidRDefault="00197A02" w:rsidP="00197A02">
      <w:pPr>
        <w:pStyle w:val="Paragraph"/>
      </w:pPr>
      <w:r>
        <w:t xml:space="preserve">Palliative care provision for people living with heart failure was suggested as an area for improvement. </w:t>
      </w:r>
    </w:p>
    <w:p w14:paraId="36C5C2B6" w14:textId="6CD669F6" w:rsidR="00197A02" w:rsidRPr="00A813F7" w:rsidRDefault="00197A02" w:rsidP="00197A02">
      <w:pPr>
        <w:pStyle w:val="Paragraph"/>
      </w:pPr>
      <w:r>
        <w:t xml:space="preserve">This suggestion has not been progressed. NICE quality standards on </w:t>
      </w:r>
      <w:hyperlink r:id="rId36" w:history="1">
        <w:r w:rsidRPr="00197A02">
          <w:rPr>
            <w:rStyle w:val="Hyperlink"/>
          </w:rPr>
          <w:t>end of life care for adults (QS13)</w:t>
        </w:r>
      </w:hyperlink>
      <w:r>
        <w:t xml:space="preserve"> and </w:t>
      </w:r>
      <w:hyperlink r:id="rId37" w:history="1">
        <w:r w:rsidR="00C94C64">
          <w:rPr>
            <w:rStyle w:val="Hyperlink"/>
          </w:rPr>
          <w:t>care of dying adults in the last days of life (QS144)</w:t>
        </w:r>
      </w:hyperlink>
      <w:r w:rsidR="00C94C64">
        <w:t xml:space="preserve"> cover this area.</w:t>
      </w:r>
    </w:p>
    <w:p w14:paraId="5AD328F6" w14:textId="267699C7" w:rsidR="008D5584" w:rsidRPr="00E80EE3" w:rsidRDefault="008D5584" w:rsidP="00A813F7">
      <w:pPr>
        <w:pStyle w:val="Paragraph"/>
      </w:pPr>
      <w:r w:rsidRPr="00A813F7">
        <w:t xml:space="preserve">© NICE </w:t>
      </w:r>
      <w:r w:rsidR="00654347">
        <w:t>2022</w:t>
      </w:r>
      <w:r w:rsidRPr="00A813F7">
        <w:t xml:space="preserve">. All rights reserved. </w:t>
      </w:r>
      <w:r w:rsidR="008A5E6E" w:rsidRPr="00A813F7">
        <w:t xml:space="preserve">Subject to </w:t>
      </w:r>
      <w:hyperlink r:id="rId38" w:anchor="notice-of-rights" w:history="1">
        <w:r w:rsidR="008A5E6E">
          <w:rPr>
            <w:rStyle w:val="Hyperlink"/>
            <w:rFonts w:cs="Arial"/>
          </w:rPr>
          <w:t>Notice of rights</w:t>
        </w:r>
      </w:hyperlink>
      <w:r w:rsidRPr="00A813F7">
        <w:t>.</w:t>
      </w:r>
    </w:p>
    <w:p w14:paraId="71D73A1C" w14:textId="77777777" w:rsidR="00F20713" w:rsidRDefault="000E401D" w:rsidP="00993F21">
      <w:pPr>
        <w:pStyle w:val="Heading1"/>
      </w:pPr>
      <w:bookmarkStart w:id="118" w:name="_Appendix_1:_Additional"/>
      <w:bookmarkEnd w:id="118"/>
      <w:r>
        <w:br w:type="page"/>
      </w:r>
      <w:bookmarkStart w:id="119" w:name="_Toc108708707"/>
      <w:r w:rsidR="00F20713" w:rsidRPr="00F20713">
        <w:t>Appendix 1</w:t>
      </w:r>
      <w:r w:rsidR="0001392D">
        <w:t xml:space="preserve">: </w:t>
      </w:r>
      <w:r w:rsidR="00F77659" w:rsidRPr="00296096">
        <w:t>Additional</w:t>
      </w:r>
      <w:r w:rsidR="00F77659">
        <w:t xml:space="preserve"> information</w:t>
      </w:r>
      <w:bookmarkEnd w:id="119"/>
    </w:p>
    <w:p w14:paraId="08562E13" w14:textId="3EAF1FCC" w:rsidR="00F20713" w:rsidRDefault="006B0A77" w:rsidP="004411A2">
      <w:pPr>
        <w:pStyle w:val="Paragraph"/>
        <w:rPr>
          <w:highlight w:val="cyan"/>
        </w:rPr>
      </w:pPr>
      <w:r>
        <w:rPr>
          <w:noProof/>
        </w:rPr>
        <w:drawing>
          <wp:inline distT="0" distB="0" distL="0" distR="0" wp14:anchorId="50B976F5" wp14:editId="778183ED">
            <wp:extent cx="6066845" cy="4717164"/>
            <wp:effectExtent l="0" t="0" r="0" b="76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39"/>
                    <a:stretch>
                      <a:fillRect/>
                    </a:stretch>
                  </pic:blipFill>
                  <pic:spPr>
                    <a:xfrm>
                      <a:off x="0" y="0"/>
                      <a:ext cx="6096423" cy="4740162"/>
                    </a:xfrm>
                    <a:prstGeom prst="rect">
                      <a:avLst/>
                    </a:prstGeom>
                  </pic:spPr>
                </pic:pic>
              </a:graphicData>
            </a:graphic>
          </wp:inline>
        </w:drawing>
      </w:r>
    </w:p>
    <w:p w14:paraId="77814DFE" w14:textId="3699FD7D" w:rsidR="004411A2" w:rsidRDefault="004411A2">
      <w:pPr>
        <w:rPr>
          <w:rFonts w:ascii="Arial" w:hAnsi="Arial"/>
          <w:highlight w:val="cyan"/>
        </w:rPr>
      </w:pPr>
      <w:r>
        <w:rPr>
          <w:highlight w:val="cyan"/>
        </w:rPr>
        <w:br w:type="page"/>
      </w:r>
    </w:p>
    <w:p w14:paraId="08F40305" w14:textId="7F547BED" w:rsidR="0001392D" w:rsidRPr="0001392D" w:rsidRDefault="0001392D" w:rsidP="0001392D">
      <w:pPr>
        <w:pStyle w:val="Paragraph"/>
        <w:sectPr w:rsidR="0001392D" w:rsidRPr="0001392D" w:rsidSect="00491FE4">
          <w:footerReference w:type="default" r:id="rId40"/>
          <w:footerReference w:type="first" r:id="rId41"/>
          <w:pgSz w:w="11906" w:h="16838"/>
          <w:pgMar w:top="1440" w:right="1440" w:bottom="1440" w:left="1440" w:header="708" w:footer="708" w:gutter="0"/>
          <w:cols w:space="708"/>
          <w:titlePg/>
          <w:docGrid w:linePitch="360"/>
        </w:sectPr>
      </w:pPr>
    </w:p>
    <w:p w14:paraId="2220548B" w14:textId="142F16A2" w:rsidR="00DC2522" w:rsidRDefault="005C6F10" w:rsidP="00DE5D03">
      <w:pPr>
        <w:pStyle w:val="Heading1"/>
      </w:pPr>
      <w:bookmarkStart w:id="120" w:name="_Toc108708708"/>
      <w:r w:rsidRPr="00FC11EC">
        <w:t xml:space="preserve">Appendix </w:t>
      </w:r>
      <w:r w:rsidR="002D09CC">
        <w:t>2</w:t>
      </w:r>
      <w:r w:rsidR="00603263">
        <w:t xml:space="preserve">: </w:t>
      </w:r>
      <w:r w:rsidR="002C296A" w:rsidRPr="00FC11EC">
        <w:t xml:space="preserve">Suggestions from </w:t>
      </w:r>
      <w:r w:rsidR="00626943">
        <w:t>registered stakeholders</w:t>
      </w:r>
      <w:bookmarkEnd w:id="120"/>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Caption w:val="Suggestions from stakeholder engagement exercise – registered stakeholders"/>
        <w:tblDescription w:val="Information from registered stakeholders on their suggestions for key areas for quality improvement, including why each area is important for quality improvement and any supporting information."/>
      </w:tblPr>
      <w:tblGrid>
        <w:gridCol w:w="562"/>
        <w:gridCol w:w="1843"/>
        <w:gridCol w:w="1985"/>
        <w:gridCol w:w="6520"/>
        <w:gridCol w:w="3758"/>
      </w:tblGrid>
      <w:tr w:rsidR="007179CF" w:rsidRPr="00427135" w14:paraId="48896623" w14:textId="77777777" w:rsidTr="00584584">
        <w:trPr>
          <w:tblHeader/>
        </w:trPr>
        <w:tc>
          <w:tcPr>
            <w:tcW w:w="562" w:type="dxa"/>
            <w:shd w:val="clear" w:color="auto" w:fill="auto"/>
          </w:tcPr>
          <w:p w14:paraId="4D582778" w14:textId="77777777" w:rsidR="009372E7" w:rsidRPr="00B24E25" w:rsidRDefault="009372E7" w:rsidP="00584584">
            <w:pPr>
              <w:pStyle w:val="Tabletitle"/>
              <w:jc w:val="center"/>
            </w:pPr>
            <w:r w:rsidRPr="00B24E25">
              <w:t>ID</w:t>
            </w:r>
          </w:p>
        </w:tc>
        <w:tc>
          <w:tcPr>
            <w:tcW w:w="1843" w:type="dxa"/>
            <w:shd w:val="clear" w:color="auto" w:fill="auto"/>
          </w:tcPr>
          <w:p w14:paraId="49EF11AA" w14:textId="77777777" w:rsidR="009372E7" w:rsidRPr="00B24E25" w:rsidRDefault="009372E7" w:rsidP="00B24E25">
            <w:pPr>
              <w:pStyle w:val="Tabletitle"/>
            </w:pPr>
            <w:r w:rsidRPr="00B24E25">
              <w:t>Stakeholder</w:t>
            </w:r>
          </w:p>
        </w:tc>
        <w:tc>
          <w:tcPr>
            <w:tcW w:w="1985" w:type="dxa"/>
            <w:shd w:val="clear" w:color="auto" w:fill="auto"/>
          </w:tcPr>
          <w:p w14:paraId="73859640" w14:textId="77777777" w:rsidR="009372E7" w:rsidRPr="00B24E25" w:rsidRDefault="009372E7" w:rsidP="00B24E25">
            <w:pPr>
              <w:pStyle w:val="Tabletitle"/>
            </w:pPr>
            <w:r w:rsidRPr="00B24E25">
              <w:t>Suggested key area for quality improvement</w:t>
            </w:r>
          </w:p>
        </w:tc>
        <w:tc>
          <w:tcPr>
            <w:tcW w:w="6520" w:type="dxa"/>
            <w:shd w:val="clear" w:color="auto" w:fill="auto"/>
          </w:tcPr>
          <w:p w14:paraId="063C047C" w14:textId="77777777" w:rsidR="009372E7" w:rsidRPr="00B24E25" w:rsidRDefault="009372E7" w:rsidP="00B24E25">
            <w:pPr>
              <w:pStyle w:val="Tabletitle"/>
            </w:pPr>
            <w:r w:rsidRPr="00B24E25">
              <w:t>Why is this a key area for quality improvement?</w:t>
            </w:r>
          </w:p>
        </w:tc>
        <w:tc>
          <w:tcPr>
            <w:tcW w:w="3758" w:type="dxa"/>
            <w:shd w:val="clear" w:color="auto" w:fill="auto"/>
          </w:tcPr>
          <w:p w14:paraId="4784B10F" w14:textId="77777777" w:rsidR="009372E7" w:rsidRPr="00B24E25" w:rsidRDefault="009372E7" w:rsidP="00B24E25">
            <w:pPr>
              <w:pStyle w:val="Tabletitle"/>
            </w:pPr>
            <w:r w:rsidRPr="00B24E25">
              <w:t>Supporting information</w:t>
            </w:r>
          </w:p>
        </w:tc>
      </w:tr>
      <w:tr w:rsidR="007179CF" w:rsidRPr="00C92280" w14:paraId="7DFD8CAF" w14:textId="77777777" w:rsidTr="00584584">
        <w:trPr>
          <w:trHeight w:val="282"/>
        </w:trPr>
        <w:tc>
          <w:tcPr>
            <w:tcW w:w="562" w:type="dxa"/>
          </w:tcPr>
          <w:p w14:paraId="76EC2304" w14:textId="77777777" w:rsidR="009372E7" w:rsidRPr="00F27622" w:rsidRDefault="009372E7" w:rsidP="00DE5D03">
            <w:pPr>
              <w:pStyle w:val="Tabletext"/>
              <w:numPr>
                <w:ilvl w:val="0"/>
                <w:numId w:val="21"/>
              </w:numPr>
            </w:pPr>
          </w:p>
        </w:tc>
        <w:tc>
          <w:tcPr>
            <w:tcW w:w="1843" w:type="dxa"/>
          </w:tcPr>
          <w:p w14:paraId="5C0844D1" w14:textId="7A7CA45E" w:rsidR="009372E7" w:rsidRPr="00427135" w:rsidRDefault="009372E7" w:rsidP="00B24E25">
            <w:pPr>
              <w:pStyle w:val="Tabletext"/>
            </w:pPr>
            <w:r>
              <w:t>SCM1</w:t>
            </w:r>
          </w:p>
        </w:tc>
        <w:tc>
          <w:tcPr>
            <w:tcW w:w="1985" w:type="dxa"/>
          </w:tcPr>
          <w:p w14:paraId="002BEE9E" w14:textId="77777777" w:rsidR="009372E7" w:rsidRPr="00C5158D" w:rsidRDefault="009372E7" w:rsidP="00C5158D">
            <w:pPr>
              <w:pStyle w:val="Tabletext"/>
              <w:rPr>
                <w:b/>
                <w:bCs/>
              </w:rPr>
            </w:pPr>
            <w:r w:rsidRPr="00C5158D">
              <w:rPr>
                <w:b/>
                <w:bCs/>
              </w:rPr>
              <w:t>Diagnosis</w:t>
            </w:r>
          </w:p>
          <w:p w14:paraId="4444E336" w14:textId="306DC125" w:rsidR="009372E7" w:rsidRPr="00427135" w:rsidRDefault="009372E7" w:rsidP="00C5158D">
            <w:pPr>
              <w:pStyle w:val="Tabletext"/>
            </w:pPr>
            <w:r w:rsidRPr="00C5158D">
              <w:t>Merge statements 1 and 2</w:t>
            </w:r>
          </w:p>
        </w:tc>
        <w:tc>
          <w:tcPr>
            <w:tcW w:w="6520" w:type="dxa"/>
          </w:tcPr>
          <w:p w14:paraId="60FEF8BC" w14:textId="236ABDC0" w:rsidR="009372E7" w:rsidRPr="00427135" w:rsidRDefault="009372E7" w:rsidP="00B24E25">
            <w:pPr>
              <w:pStyle w:val="Tabletext"/>
            </w:pPr>
            <w:r w:rsidRPr="000C41B1">
              <w:t xml:space="preserve">Yes, provided you preserve the distinctive nature of the </w:t>
            </w:r>
            <w:proofErr w:type="gramStart"/>
            <w:r w:rsidRPr="000C41B1">
              <w:t>high risk</w:t>
            </w:r>
            <w:proofErr w:type="gramEnd"/>
            <w:r w:rsidRPr="000C41B1">
              <w:t xml:space="preserve"> patients defined by </w:t>
            </w:r>
            <w:proofErr w:type="spellStart"/>
            <w:r w:rsidRPr="000C41B1">
              <w:t>NTproBNP</w:t>
            </w:r>
            <w:proofErr w:type="spellEnd"/>
            <w:r w:rsidRPr="000C41B1">
              <w:t>&gt;2000 ng/L for whom the specialist consultation and the trans-thoracic echocardiograms are to be delivered within 2 weeks (while the others are to have both delivered within 6 weeks)</w:t>
            </w:r>
          </w:p>
        </w:tc>
        <w:tc>
          <w:tcPr>
            <w:tcW w:w="3758" w:type="dxa"/>
          </w:tcPr>
          <w:p w14:paraId="309923C2" w14:textId="77777777" w:rsidR="009372E7" w:rsidRPr="00427135" w:rsidRDefault="009372E7" w:rsidP="00B24E25">
            <w:pPr>
              <w:pStyle w:val="Tabletext"/>
            </w:pPr>
          </w:p>
        </w:tc>
      </w:tr>
      <w:tr w:rsidR="000A3191" w:rsidRPr="00C92280" w14:paraId="625CB32F" w14:textId="77777777" w:rsidTr="00584584">
        <w:trPr>
          <w:trHeight w:val="282"/>
        </w:trPr>
        <w:tc>
          <w:tcPr>
            <w:tcW w:w="562" w:type="dxa"/>
          </w:tcPr>
          <w:p w14:paraId="2EB84F29" w14:textId="77777777" w:rsidR="000A3191" w:rsidRPr="00F27622" w:rsidRDefault="000A3191">
            <w:pPr>
              <w:pStyle w:val="Tabletext"/>
              <w:numPr>
                <w:ilvl w:val="0"/>
                <w:numId w:val="21"/>
              </w:numPr>
            </w:pPr>
          </w:p>
        </w:tc>
        <w:tc>
          <w:tcPr>
            <w:tcW w:w="1843" w:type="dxa"/>
          </w:tcPr>
          <w:p w14:paraId="6FC19A6E" w14:textId="30A5A761" w:rsidR="000A3191" w:rsidRDefault="000A3191" w:rsidP="00B24E25">
            <w:pPr>
              <w:pStyle w:val="Tabletext"/>
            </w:pPr>
            <w:r w:rsidRPr="000A3191">
              <w:t>BACPR</w:t>
            </w:r>
          </w:p>
        </w:tc>
        <w:tc>
          <w:tcPr>
            <w:tcW w:w="1985" w:type="dxa"/>
          </w:tcPr>
          <w:p w14:paraId="2FE407F4" w14:textId="77777777" w:rsidR="000A3191" w:rsidRPr="00C5158D" w:rsidRDefault="000A3191" w:rsidP="000A3191">
            <w:pPr>
              <w:pStyle w:val="Tabletext"/>
              <w:rPr>
                <w:b/>
                <w:bCs/>
              </w:rPr>
            </w:pPr>
            <w:r w:rsidRPr="00C5158D">
              <w:rPr>
                <w:b/>
                <w:bCs/>
              </w:rPr>
              <w:t>Diagnosis</w:t>
            </w:r>
          </w:p>
          <w:p w14:paraId="714E5330" w14:textId="5A11EE23" w:rsidR="000A3191" w:rsidRPr="00C5158D" w:rsidRDefault="000A3191" w:rsidP="000A3191">
            <w:pPr>
              <w:pStyle w:val="Tabletext"/>
              <w:rPr>
                <w:b/>
                <w:bCs/>
              </w:rPr>
            </w:pPr>
            <w:r w:rsidRPr="00C5158D">
              <w:t>Merge statements 1 and 2</w:t>
            </w:r>
          </w:p>
        </w:tc>
        <w:tc>
          <w:tcPr>
            <w:tcW w:w="6520" w:type="dxa"/>
          </w:tcPr>
          <w:p w14:paraId="64DA418F" w14:textId="7745A99D" w:rsidR="000A3191" w:rsidRPr="000C41B1" w:rsidRDefault="000A3191" w:rsidP="00B24E25">
            <w:pPr>
              <w:pStyle w:val="Tabletext"/>
            </w:pPr>
            <w:r w:rsidRPr="000A3191">
              <w:t xml:space="preserve">Yes, but ensure you keep the differentiation between </w:t>
            </w:r>
            <w:proofErr w:type="spellStart"/>
            <w:r w:rsidRPr="000A3191">
              <w:t>NTproBNP</w:t>
            </w:r>
            <w:proofErr w:type="spellEnd"/>
            <w:r w:rsidRPr="000A3191">
              <w:t xml:space="preserve"> levels.</w:t>
            </w:r>
          </w:p>
        </w:tc>
        <w:tc>
          <w:tcPr>
            <w:tcW w:w="3758" w:type="dxa"/>
          </w:tcPr>
          <w:p w14:paraId="24120529" w14:textId="77777777" w:rsidR="000A3191" w:rsidRPr="00427135" w:rsidRDefault="000A3191" w:rsidP="00B24E25">
            <w:pPr>
              <w:pStyle w:val="Tabletext"/>
            </w:pPr>
          </w:p>
        </w:tc>
      </w:tr>
      <w:tr w:rsidR="007179CF" w:rsidRPr="00C92280" w14:paraId="55EE4720" w14:textId="77777777" w:rsidTr="00584584">
        <w:trPr>
          <w:trHeight w:val="282"/>
        </w:trPr>
        <w:tc>
          <w:tcPr>
            <w:tcW w:w="562" w:type="dxa"/>
          </w:tcPr>
          <w:p w14:paraId="48AD98B5" w14:textId="77777777" w:rsidR="009372E7" w:rsidRPr="00F27622" w:rsidRDefault="009372E7" w:rsidP="00DE5D03">
            <w:pPr>
              <w:pStyle w:val="Tabletext"/>
              <w:numPr>
                <w:ilvl w:val="0"/>
                <w:numId w:val="21"/>
              </w:numPr>
            </w:pPr>
          </w:p>
        </w:tc>
        <w:tc>
          <w:tcPr>
            <w:tcW w:w="1843" w:type="dxa"/>
          </w:tcPr>
          <w:p w14:paraId="46C83F01" w14:textId="0B861E14" w:rsidR="009372E7" w:rsidRPr="00427135" w:rsidRDefault="009372E7" w:rsidP="00B24E25">
            <w:pPr>
              <w:pStyle w:val="Tabletext"/>
            </w:pPr>
            <w:r w:rsidRPr="009372E7">
              <w:t>Boehringer Ingelheim</w:t>
            </w:r>
          </w:p>
        </w:tc>
        <w:tc>
          <w:tcPr>
            <w:tcW w:w="1985" w:type="dxa"/>
          </w:tcPr>
          <w:p w14:paraId="33F7D0AE" w14:textId="77777777" w:rsidR="001E4E8C" w:rsidRPr="00C5158D" w:rsidRDefault="001E4E8C" w:rsidP="001E4E8C">
            <w:pPr>
              <w:pStyle w:val="Tabletext"/>
              <w:rPr>
                <w:b/>
                <w:bCs/>
              </w:rPr>
            </w:pPr>
            <w:r w:rsidRPr="00C5158D">
              <w:rPr>
                <w:b/>
                <w:bCs/>
              </w:rPr>
              <w:t>Diagnosis</w:t>
            </w:r>
          </w:p>
          <w:p w14:paraId="0B25EEBF" w14:textId="450D6A2B" w:rsidR="009372E7" w:rsidRPr="00427135" w:rsidRDefault="001E4E8C" w:rsidP="001E4E8C">
            <w:pPr>
              <w:pStyle w:val="Tabletext"/>
            </w:pPr>
            <w:r w:rsidRPr="00C5158D">
              <w:t>Merge statements 1 and 2</w:t>
            </w:r>
          </w:p>
        </w:tc>
        <w:tc>
          <w:tcPr>
            <w:tcW w:w="6520" w:type="dxa"/>
          </w:tcPr>
          <w:p w14:paraId="6D7907DD" w14:textId="47EB2ED6" w:rsidR="009372E7" w:rsidRPr="00427135" w:rsidRDefault="009372E7" w:rsidP="00B24E25">
            <w:pPr>
              <w:pStyle w:val="Tabletext"/>
            </w:pPr>
            <w:r w:rsidRPr="000C41B1">
              <w:t>Yes, we agree with this suggestion, however we still feel it is important to collect existing quality measures under this standard for all patients including those needing urgent and non-urgent assessment</w:t>
            </w:r>
          </w:p>
        </w:tc>
        <w:tc>
          <w:tcPr>
            <w:tcW w:w="3758" w:type="dxa"/>
          </w:tcPr>
          <w:p w14:paraId="572F8AD7" w14:textId="77777777" w:rsidR="009372E7" w:rsidRPr="00427135" w:rsidRDefault="009372E7" w:rsidP="00B24E25">
            <w:pPr>
              <w:pStyle w:val="Tabletext"/>
            </w:pPr>
          </w:p>
        </w:tc>
      </w:tr>
      <w:tr w:rsidR="00A50C7A" w:rsidRPr="00C92280" w14:paraId="5F1C6056" w14:textId="77777777" w:rsidTr="00584584">
        <w:trPr>
          <w:trHeight w:val="282"/>
        </w:trPr>
        <w:tc>
          <w:tcPr>
            <w:tcW w:w="562" w:type="dxa"/>
          </w:tcPr>
          <w:p w14:paraId="6D01D62C" w14:textId="77777777" w:rsidR="00A50C7A" w:rsidRPr="00F27622" w:rsidRDefault="00A50C7A" w:rsidP="00A50C7A">
            <w:pPr>
              <w:pStyle w:val="Tabletext"/>
              <w:numPr>
                <w:ilvl w:val="0"/>
                <w:numId w:val="21"/>
              </w:numPr>
            </w:pPr>
          </w:p>
        </w:tc>
        <w:tc>
          <w:tcPr>
            <w:tcW w:w="1843" w:type="dxa"/>
          </w:tcPr>
          <w:p w14:paraId="7A8247A6" w14:textId="62CC48EF" w:rsidR="00A50C7A" w:rsidRPr="009372E7" w:rsidRDefault="00A50C7A" w:rsidP="00A50C7A">
            <w:pPr>
              <w:pStyle w:val="Tabletext"/>
            </w:pPr>
            <w:r w:rsidRPr="009372E7">
              <w:t>Boehringer Ingelheim</w:t>
            </w:r>
          </w:p>
        </w:tc>
        <w:tc>
          <w:tcPr>
            <w:tcW w:w="1985" w:type="dxa"/>
          </w:tcPr>
          <w:p w14:paraId="5216D67C" w14:textId="77777777" w:rsidR="00A50C7A" w:rsidRPr="00C5158D" w:rsidRDefault="00A50C7A" w:rsidP="00A50C7A">
            <w:pPr>
              <w:pStyle w:val="Tabletext"/>
              <w:rPr>
                <w:b/>
                <w:bCs/>
              </w:rPr>
            </w:pPr>
            <w:r w:rsidRPr="00C5158D">
              <w:rPr>
                <w:b/>
                <w:bCs/>
              </w:rPr>
              <w:t>Diagnosis</w:t>
            </w:r>
          </w:p>
          <w:p w14:paraId="73039A45" w14:textId="512F2ED5" w:rsidR="00A50C7A" w:rsidRPr="00C5158D" w:rsidRDefault="00A50C7A" w:rsidP="00A50C7A">
            <w:pPr>
              <w:pStyle w:val="Tabletext"/>
              <w:rPr>
                <w:b/>
                <w:bCs/>
              </w:rPr>
            </w:pPr>
            <w:r w:rsidRPr="00C5158D">
              <w:t>Merge statements 1 and 2</w:t>
            </w:r>
          </w:p>
        </w:tc>
        <w:tc>
          <w:tcPr>
            <w:tcW w:w="6520" w:type="dxa"/>
          </w:tcPr>
          <w:p w14:paraId="51ED705E" w14:textId="77777777" w:rsidR="00A50C7A" w:rsidRDefault="00A50C7A" w:rsidP="00A50C7A">
            <w:pPr>
              <w:pStyle w:val="Tabletext"/>
            </w:pPr>
            <w:r w:rsidRPr="00A50C7A">
              <w:t>Local availability of N-terminal pro-B-type natriuretic peptide (NT-</w:t>
            </w:r>
            <w:proofErr w:type="spellStart"/>
            <w:r w:rsidRPr="00A50C7A">
              <w:t>proBNP</w:t>
            </w:r>
            <w:proofErr w:type="spellEnd"/>
            <w:r w:rsidRPr="00A50C7A">
              <w:t>) and evidence of utilisation in people with suspected heart failure.</w:t>
            </w:r>
          </w:p>
          <w:p w14:paraId="6C4249B7" w14:textId="3E817054" w:rsidR="00A50C7A" w:rsidRPr="000C41B1" w:rsidRDefault="00A50C7A" w:rsidP="00A50C7A">
            <w:pPr>
              <w:pStyle w:val="Tabletext"/>
            </w:pPr>
            <w:r w:rsidRPr="00A50C7A">
              <w:t xml:space="preserve">A key implementation issue from the guideline consultation was whether the </w:t>
            </w:r>
            <w:proofErr w:type="spellStart"/>
            <w:r w:rsidRPr="00A50C7A">
              <w:t>NTproBNP</w:t>
            </w:r>
            <w:proofErr w:type="spellEnd"/>
            <w:r w:rsidRPr="00A50C7A">
              <w:t xml:space="preserve"> test is widely available in primary care (recommendation 1.2.2). Commissioners, along with providers, may also need to review local services </w:t>
            </w:r>
            <w:proofErr w:type="gramStart"/>
            <w:r w:rsidRPr="00A50C7A">
              <w:t>in order to</w:t>
            </w:r>
            <w:proofErr w:type="gramEnd"/>
            <w:r w:rsidRPr="00A50C7A">
              <w:t xml:space="preserve"> meet this recommendation. The implementation will not have a substantial resource impact at a national level and has not included it in this report and accompanying template.</w:t>
            </w:r>
          </w:p>
        </w:tc>
        <w:tc>
          <w:tcPr>
            <w:tcW w:w="3758" w:type="dxa"/>
          </w:tcPr>
          <w:p w14:paraId="54C8CA96" w14:textId="7A1DF153" w:rsidR="00A50C7A" w:rsidRPr="00A50C7A" w:rsidRDefault="00AF2CC8" w:rsidP="00584584">
            <w:pPr>
              <w:pStyle w:val="Tabletext"/>
            </w:pPr>
            <w:hyperlink r:id="rId42" w:history="1">
              <w:r w:rsidR="00584584" w:rsidRPr="00AE3BE9">
                <w:rPr>
                  <w:rStyle w:val="Hyperlink"/>
                </w:rPr>
                <w:t>https://www.nice.org.uk/guidance/ng106 section 1.2</w:t>
              </w:r>
            </w:hyperlink>
            <w:r w:rsidR="00A50C7A" w:rsidRPr="00A50C7A">
              <w:t>.2</w:t>
            </w:r>
          </w:p>
          <w:p w14:paraId="4612ED0A" w14:textId="686E8707" w:rsidR="00A50C7A" w:rsidRPr="00427135" w:rsidRDefault="00AF2CC8" w:rsidP="00584584">
            <w:pPr>
              <w:pStyle w:val="Tabletext"/>
            </w:pPr>
            <w:hyperlink r:id="rId43" w:history="1">
              <w:r w:rsidR="00584584" w:rsidRPr="00AE3BE9">
                <w:rPr>
                  <w:rStyle w:val="Hyperlink"/>
                </w:rPr>
                <w:t>https://www.nice.org.uk/guidance/ng106/resources/resource-impact-report-pdf-6537494413</w:t>
              </w:r>
            </w:hyperlink>
          </w:p>
        </w:tc>
      </w:tr>
      <w:tr w:rsidR="007179CF" w:rsidRPr="00C92280" w14:paraId="728F668B" w14:textId="77777777" w:rsidTr="00584584">
        <w:trPr>
          <w:trHeight w:val="282"/>
        </w:trPr>
        <w:tc>
          <w:tcPr>
            <w:tcW w:w="562" w:type="dxa"/>
          </w:tcPr>
          <w:p w14:paraId="26C927A1" w14:textId="77777777" w:rsidR="009372E7" w:rsidRPr="00F27622" w:rsidRDefault="009372E7" w:rsidP="00DE5D03">
            <w:pPr>
              <w:pStyle w:val="Tabletext"/>
              <w:numPr>
                <w:ilvl w:val="0"/>
                <w:numId w:val="21"/>
              </w:numPr>
            </w:pPr>
          </w:p>
        </w:tc>
        <w:tc>
          <w:tcPr>
            <w:tcW w:w="1843" w:type="dxa"/>
          </w:tcPr>
          <w:p w14:paraId="0E021CF0" w14:textId="71E83A09" w:rsidR="009372E7" w:rsidRPr="00427135" w:rsidRDefault="009372E7" w:rsidP="00B24E25">
            <w:pPr>
              <w:pStyle w:val="Tabletext"/>
            </w:pPr>
            <w:r w:rsidRPr="009372E7">
              <w:t>British Society for Heart Failure (BSH)</w:t>
            </w:r>
          </w:p>
        </w:tc>
        <w:tc>
          <w:tcPr>
            <w:tcW w:w="1985" w:type="dxa"/>
          </w:tcPr>
          <w:p w14:paraId="2EAE1E61" w14:textId="77777777" w:rsidR="001E4E8C" w:rsidRPr="00C5158D" w:rsidRDefault="001E4E8C" w:rsidP="001E4E8C">
            <w:pPr>
              <w:pStyle w:val="Tabletext"/>
              <w:rPr>
                <w:b/>
                <w:bCs/>
              </w:rPr>
            </w:pPr>
            <w:r w:rsidRPr="00C5158D">
              <w:rPr>
                <w:b/>
                <w:bCs/>
              </w:rPr>
              <w:t>Diagnosis</w:t>
            </w:r>
          </w:p>
          <w:p w14:paraId="021CE7AD" w14:textId="68D02C61" w:rsidR="009372E7" w:rsidRPr="00427135" w:rsidRDefault="001E4E8C" w:rsidP="001E4E8C">
            <w:pPr>
              <w:pStyle w:val="Tabletext"/>
            </w:pPr>
            <w:r w:rsidRPr="00C5158D">
              <w:t>Merge statements 1 and 2</w:t>
            </w:r>
          </w:p>
        </w:tc>
        <w:tc>
          <w:tcPr>
            <w:tcW w:w="6520" w:type="dxa"/>
          </w:tcPr>
          <w:p w14:paraId="7F217388" w14:textId="77777777" w:rsidR="009372E7" w:rsidRDefault="009372E7" w:rsidP="003451B4">
            <w:pPr>
              <w:pStyle w:val="Tabletext"/>
            </w:pPr>
            <w:r>
              <w:t>Agree, however this should reflect the NICE recommended pathway.</w:t>
            </w:r>
          </w:p>
          <w:p w14:paraId="0C3A7F89" w14:textId="415A2D8E" w:rsidR="009372E7" w:rsidRPr="00427135" w:rsidRDefault="009372E7" w:rsidP="003451B4">
            <w:pPr>
              <w:pStyle w:val="Tabletext"/>
            </w:pPr>
            <w:proofErr w:type="gramStart"/>
            <w:r>
              <w:t>i.e.</w:t>
            </w:r>
            <w:proofErr w:type="gramEnd"/>
            <w:r>
              <w:t xml:space="preserve"> “Adults with suspected chronic heart failure and highly elevated levels of serum natriuretic peptides, who have been referred for diagnosis, have an echocardiogram and specialist </w:t>
            </w:r>
            <w:r>
              <w:lastRenderedPageBreak/>
              <w:t>assessment within 2 weeks or mild to moderate within 6 weeks in accordance with NICE guideline recommendations.”</w:t>
            </w:r>
          </w:p>
        </w:tc>
        <w:tc>
          <w:tcPr>
            <w:tcW w:w="3758" w:type="dxa"/>
          </w:tcPr>
          <w:p w14:paraId="3B3B71F4" w14:textId="77777777" w:rsidR="009372E7" w:rsidRPr="00427135" w:rsidRDefault="009372E7" w:rsidP="00B24E25">
            <w:pPr>
              <w:pStyle w:val="Tabletext"/>
            </w:pPr>
          </w:p>
        </w:tc>
      </w:tr>
      <w:tr w:rsidR="007179CF" w:rsidRPr="00C92280" w14:paraId="75EC39FB" w14:textId="77777777" w:rsidTr="00584584">
        <w:trPr>
          <w:trHeight w:val="282"/>
        </w:trPr>
        <w:tc>
          <w:tcPr>
            <w:tcW w:w="562" w:type="dxa"/>
          </w:tcPr>
          <w:p w14:paraId="4B424D5B" w14:textId="77777777" w:rsidR="009372E7" w:rsidRPr="00F27622" w:rsidRDefault="009372E7" w:rsidP="00DE5D03">
            <w:pPr>
              <w:pStyle w:val="Tabletext"/>
              <w:numPr>
                <w:ilvl w:val="0"/>
                <w:numId w:val="21"/>
              </w:numPr>
            </w:pPr>
          </w:p>
        </w:tc>
        <w:tc>
          <w:tcPr>
            <w:tcW w:w="1843" w:type="dxa"/>
          </w:tcPr>
          <w:p w14:paraId="499E7C44" w14:textId="206323D4" w:rsidR="009372E7" w:rsidRPr="00427135" w:rsidRDefault="009372E7" w:rsidP="00B24E25">
            <w:pPr>
              <w:pStyle w:val="Tabletext"/>
            </w:pPr>
            <w:r w:rsidRPr="009372E7">
              <w:t>British Society for Heart Failure (BSH)</w:t>
            </w:r>
          </w:p>
        </w:tc>
        <w:tc>
          <w:tcPr>
            <w:tcW w:w="1985" w:type="dxa"/>
          </w:tcPr>
          <w:p w14:paraId="0D409CC9" w14:textId="77777777" w:rsidR="001E4E8C" w:rsidRPr="00C5158D" w:rsidRDefault="001E4E8C" w:rsidP="001E4E8C">
            <w:pPr>
              <w:pStyle w:val="Tabletext"/>
              <w:rPr>
                <w:b/>
                <w:bCs/>
              </w:rPr>
            </w:pPr>
            <w:r w:rsidRPr="00C5158D">
              <w:rPr>
                <w:b/>
                <w:bCs/>
              </w:rPr>
              <w:t>Diagnosis</w:t>
            </w:r>
          </w:p>
          <w:p w14:paraId="60121F3B" w14:textId="02CB9175" w:rsidR="009372E7" w:rsidRPr="00427135" w:rsidRDefault="001E4E8C" w:rsidP="001E4E8C">
            <w:pPr>
              <w:pStyle w:val="Tabletext"/>
            </w:pPr>
            <w:r w:rsidRPr="00C5158D">
              <w:t>Merge statements 1 and 2</w:t>
            </w:r>
          </w:p>
        </w:tc>
        <w:tc>
          <w:tcPr>
            <w:tcW w:w="6520" w:type="dxa"/>
          </w:tcPr>
          <w:p w14:paraId="7C2A5E8F" w14:textId="77777777" w:rsidR="009372E7" w:rsidRPr="003451B4" w:rsidRDefault="009372E7" w:rsidP="003451B4">
            <w:pPr>
              <w:pStyle w:val="Tabletext"/>
              <w:rPr>
                <w:bCs/>
              </w:rPr>
            </w:pPr>
            <w:r w:rsidRPr="003451B4">
              <w:rPr>
                <w:bCs/>
              </w:rPr>
              <w:t xml:space="preserve">Adherence to NICE recommended 2- and 6-week review in this life limiting, condition to prevent deterioration and admission to hospital.  </w:t>
            </w:r>
          </w:p>
          <w:p w14:paraId="007AA072" w14:textId="77777777" w:rsidR="009372E7" w:rsidRPr="003451B4" w:rsidRDefault="009372E7" w:rsidP="003451B4">
            <w:pPr>
              <w:pStyle w:val="Tabletext"/>
              <w:rPr>
                <w:bCs/>
              </w:rPr>
            </w:pPr>
          </w:p>
          <w:p w14:paraId="7B69D8B4" w14:textId="77777777" w:rsidR="009372E7" w:rsidRPr="003451B4" w:rsidRDefault="009372E7" w:rsidP="003451B4">
            <w:pPr>
              <w:pStyle w:val="Tabletext"/>
              <w:rPr>
                <w:bCs/>
              </w:rPr>
            </w:pPr>
            <w:r w:rsidRPr="003451B4">
              <w:rPr>
                <w:bCs/>
              </w:rPr>
              <w:t xml:space="preserve">Almost 80% of HF is diagnosed on admission to hospital, despite 40% of patients having visited their GP with symptoms prior. HF prevalence is under recorded again suggesting there are people living with HF undiagnosed. </w:t>
            </w:r>
          </w:p>
          <w:p w14:paraId="26AB6070" w14:textId="77777777" w:rsidR="009372E7" w:rsidRPr="003451B4" w:rsidRDefault="009372E7" w:rsidP="003451B4">
            <w:pPr>
              <w:pStyle w:val="Tabletext"/>
              <w:rPr>
                <w:bCs/>
              </w:rPr>
            </w:pPr>
            <w:r w:rsidRPr="003451B4">
              <w:rPr>
                <w:bCs/>
              </w:rPr>
              <w:t xml:space="preserve">NICOR data shows follow-up at 2 weeks post discharge poor at 40%. Overall, only 56% of patients see a HF nurse and 46% have cardiology follow up. This puts the onus of responsibility on community services even if the change made in secondary care. </w:t>
            </w:r>
          </w:p>
          <w:p w14:paraId="179F6F0C" w14:textId="77777777" w:rsidR="009372E7" w:rsidRPr="003451B4" w:rsidRDefault="009372E7" w:rsidP="003451B4">
            <w:pPr>
              <w:pStyle w:val="Tabletext"/>
              <w:rPr>
                <w:bCs/>
              </w:rPr>
            </w:pPr>
            <w:r w:rsidRPr="003451B4">
              <w:rPr>
                <w:bCs/>
              </w:rPr>
              <w:t>Secondary and Primary care providers cannot meet this requirement without HF specialist nurse services input, of which there is inequity provision across the UK.</w:t>
            </w:r>
          </w:p>
          <w:p w14:paraId="5A73E857" w14:textId="77777777" w:rsidR="009372E7" w:rsidRPr="003451B4" w:rsidRDefault="009372E7" w:rsidP="003451B4">
            <w:pPr>
              <w:pStyle w:val="Tabletext"/>
              <w:rPr>
                <w:bCs/>
              </w:rPr>
            </w:pPr>
            <w:r w:rsidRPr="003451B4">
              <w:rPr>
                <w:bCs/>
              </w:rPr>
              <w:t xml:space="preserve">Diagnosis by a specialist should also confirm aetiology where possible to manage underlying cause/co-morbidities. This is of particular significance in </w:t>
            </w:r>
            <w:proofErr w:type="spellStart"/>
            <w:proofErr w:type="gramStart"/>
            <w:r w:rsidRPr="003451B4">
              <w:rPr>
                <w:bCs/>
              </w:rPr>
              <w:t>HFpEF</w:t>
            </w:r>
            <w:proofErr w:type="spellEnd"/>
            <w:proofErr w:type="gramEnd"/>
            <w:r w:rsidRPr="003451B4">
              <w:rPr>
                <w:bCs/>
              </w:rPr>
              <w:t xml:space="preserve"> and emphasis should be made here with emerging therapies. </w:t>
            </w:r>
            <w:proofErr w:type="spellStart"/>
            <w:r w:rsidRPr="003451B4">
              <w:rPr>
                <w:bCs/>
              </w:rPr>
              <w:t>HFpEF</w:t>
            </w:r>
            <w:proofErr w:type="spellEnd"/>
            <w:r w:rsidRPr="003451B4">
              <w:rPr>
                <w:bCs/>
              </w:rPr>
              <w:t xml:space="preserve"> should be diagnosed by a HF cardiologist only. </w:t>
            </w:r>
          </w:p>
          <w:p w14:paraId="2BA5284D" w14:textId="77777777" w:rsidR="009372E7" w:rsidRPr="003451B4" w:rsidRDefault="009372E7" w:rsidP="003451B4">
            <w:pPr>
              <w:pStyle w:val="Tabletext"/>
              <w:rPr>
                <w:bCs/>
              </w:rPr>
            </w:pPr>
            <w:r w:rsidRPr="003451B4">
              <w:rPr>
                <w:bCs/>
              </w:rPr>
              <w:t xml:space="preserve">The National HF audit states that “86% of patients received an echocardiogram (down from 92% in 2014/15) with rates higher for those admitted to cardiology (93%) rather than general medical (82%) wards”, again suggesting that even as an inpatient. Greater emphasis on referral to cardiology as inpatient is required. </w:t>
            </w:r>
          </w:p>
          <w:p w14:paraId="7A07CB84" w14:textId="77777777" w:rsidR="009372E7" w:rsidRPr="003451B4" w:rsidRDefault="009372E7" w:rsidP="003451B4">
            <w:pPr>
              <w:pStyle w:val="Tabletext"/>
              <w:rPr>
                <w:bCs/>
              </w:rPr>
            </w:pPr>
            <w:r w:rsidRPr="003451B4">
              <w:rPr>
                <w:bCs/>
              </w:rPr>
              <w:lastRenderedPageBreak/>
              <w:t>Improvements in NT-</w:t>
            </w:r>
            <w:proofErr w:type="spellStart"/>
            <w:r w:rsidRPr="003451B4">
              <w:rPr>
                <w:bCs/>
              </w:rPr>
              <w:t>proBNP</w:t>
            </w:r>
            <w:proofErr w:type="spellEnd"/>
            <w:r w:rsidRPr="003451B4">
              <w:rPr>
                <w:bCs/>
              </w:rPr>
              <w:t xml:space="preserve"> testing would necessitate more timely specialist review. Equity of access is variable, and commissioners should proactively seek to address this. </w:t>
            </w:r>
          </w:p>
          <w:p w14:paraId="1F49DA54" w14:textId="181773FA" w:rsidR="009372E7" w:rsidRPr="00427135" w:rsidRDefault="009372E7" w:rsidP="003451B4">
            <w:pPr>
              <w:pStyle w:val="Tabletext"/>
            </w:pPr>
            <w:r w:rsidRPr="003451B4">
              <w:rPr>
                <w:bCs/>
              </w:rPr>
              <w:t>Services are struggling to meet current standards due to lack of echocardiography appointments and staffing shortages of physiologists and specialists to review patients. Commissioners and providers should seek to address this.</w:t>
            </w:r>
          </w:p>
        </w:tc>
        <w:tc>
          <w:tcPr>
            <w:tcW w:w="3758" w:type="dxa"/>
          </w:tcPr>
          <w:p w14:paraId="70FEB814" w14:textId="77777777" w:rsidR="009372E7" w:rsidRPr="003451B4" w:rsidRDefault="009372E7" w:rsidP="003451B4">
            <w:pPr>
              <w:pStyle w:val="Tabletext"/>
              <w:rPr>
                <w:bCs/>
              </w:rPr>
            </w:pPr>
            <w:r w:rsidRPr="003451B4">
              <w:rPr>
                <w:bCs/>
              </w:rPr>
              <w:lastRenderedPageBreak/>
              <w:t>Please see below documents highlighting the continued issues with poor diagnosis rates and access to relevant tests/specialists:</w:t>
            </w:r>
          </w:p>
          <w:p w14:paraId="76E8C449" w14:textId="77777777" w:rsidR="009372E7" w:rsidRPr="003451B4" w:rsidRDefault="009372E7" w:rsidP="003451B4">
            <w:pPr>
              <w:pStyle w:val="Tabletext"/>
              <w:rPr>
                <w:bCs/>
              </w:rPr>
            </w:pPr>
            <w:r w:rsidRPr="003451B4">
              <w:rPr>
                <w:bCs/>
              </w:rPr>
              <w:t xml:space="preserve"> Bottle A, Kim D, Aylin P et al (2017). </w:t>
            </w:r>
            <w:hyperlink r:id="rId44" w:history="1">
              <w:r w:rsidRPr="003451B4">
                <w:rPr>
                  <w:rStyle w:val="Hyperlink"/>
                  <w:bCs/>
                </w:rPr>
                <w:t>Routes to diagnosis of heart failure: observational study using linked data in England</w:t>
              </w:r>
            </w:hyperlink>
            <w:r w:rsidRPr="003451B4">
              <w:rPr>
                <w:bCs/>
              </w:rPr>
              <w:t>. Heart. </w:t>
            </w:r>
            <w:proofErr w:type="gramStart"/>
            <w:r w:rsidRPr="003451B4">
              <w:rPr>
                <w:bCs/>
              </w:rPr>
              <w:t>2018;104:600</w:t>
            </w:r>
            <w:proofErr w:type="gramEnd"/>
            <w:r w:rsidRPr="003451B4">
              <w:rPr>
                <w:bCs/>
              </w:rPr>
              <w:t>-605</w:t>
            </w:r>
          </w:p>
          <w:p w14:paraId="5ABF0972" w14:textId="77777777" w:rsidR="009372E7" w:rsidRPr="003451B4" w:rsidRDefault="009372E7" w:rsidP="003451B4">
            <w:pPr>
              <w:pStyle w:val="Tabletext"/>
              <w:rPr>
                <w:bCs/>
              </w:rPr>
            </w:pPr>
          </w:p>
          <w:p w14:paraId="6DDA4E07" w14:textId="77777777" w:rsidR="009372E7" w:rsidRPr="003451B4" w:rsidRDefault="00AF2CC8" w:rsidP="003451B4">
            <w:pPr>
              <w:pStyle w:val="Tabletext"/>
              <w:rPr>
                <w:bCs/>
              </w:rPr>
            </w:pPr>
            <w:hyperlink r:id="rId45" w:history="1">
              <w:r w:rsidR="009372E7" w:rsidRPr="003451B4">
                <w:rPr>
                  <w:rStyle w:val="Hyperlink"/>
                  <w:bCs/>
                </w:rPr>
                <w:t>Heart-Failure-A-Blueprint-For-Change-Oct-2020-3.pdf (bsh.org.uk)</w:t>
              </w:r>
            </w:hyperlink>
          </w:p>
          <w:p w14:paraId="6AF046CB" w14:textId="77777777" w:rsidR="009372E7" w:rsidRPr="003451B4" w:rsidRDefault="00AF2CC8" w:rsidP="003451B4">
            <w:pPr>
              <w:pStyle w:val="Tabletext"/>
              <w:rPr>
                <w:bCs/>
              </w:rPr>
            </w:pPr>
            <w:hyperlink r:id="rId46" w:history="1">
              <w:r w:rsidR="009372E7" w:rsidRPr="003451B4">
                <w:rPr>
                  <w:rStyle w:val="Hyperlink"/>
                  <w:bCs/>
                </w:rPr>
                <w:t>NHFA-Domain-Report_2021_FINAL.pdf (nicor.org.uk)</w:t>
              </w:r>
            </w:hyperlink>
          </w:p>
          <w:p w14:paraId="1ED8DB73" w14:textId="77777777" w:rsidR="009372E7" w:rsidRPr="003451B4" w:rsidRDefault="009372E7" w:rsidP="003451B4">
            <w:pPr>
              <w:pStyle w:val="Tabletext"/>
              <w:rPr>
                <w:bCs/>
              </w:rPr>
            </w:pPr>
            <w:r w:rsidRPr="003451B4">
              <w:rPr>
                <w:bCs/>
              </w:rPr>
              <w:t>National Institute for Cardiovascular Outcomes Research (2019). Heart Failure Audit 2019 summary report (2017/18 data)</w:t>
            </w:r>
          </w:p>
          <w:p w14:paraId="00678E71" w14:textId="77777777" w:rsidR="009372E7" w:rsidRPr="003451B4" w:rsidRDefault="00AF2CC8" w:rsidP="003451B4">
            <w:pPr>
              <w:pStyle w:val="Tabletext"/>
              <w:rPr>
                <w:bCs/>
              </w:rPr>
            </w:pPr>
            <w:hyperlink r:id="rId47" w:history="1">
              <w:r w:rsidR="009372E7" w:rsidRPr="003451B4">
                <w:rPr>
                  <w:rStyle w:val="Hyperlink"/>
                  <w:bCs/>
                </w:rPr>
                <w:t>NHS Long Term Plan v1.2 August 2019</w:t>
              </w:r>
            </w:hyperlink>
          </w:p>
          <w:p w14:paraId="1FD0395A" w14:textId="77777777" w:rsidR="009372E7" w:rsidRPr="003451B4" w:rsidRDefault="009372E7" w:rsidP="003451B4">
            <w:pPr>
              <w:pStyle w:val="Tabletext"/>
              <w:rPr>
                <w:bCs/>
              </w:rPr>
            </w:pPr>
          </w:p>
          <w:p w14:paraId="1235034C" w14:textId="77777777" w:rsidR="009372E7" w:rsidRPr="003451B4" w:rsidRDefault="009372E7" w:rsidP="003451B4">
            <w:pPr>
              <w:pStyle w:val="Tabletext"/>
              <w:rPr>
                <w:bCs/>
              </w:rPr>
            </w:pPr>
          </w:p>
          <w:p w14:paraId="16CC350E" w14:textId="77777777" w:rsidR="009372E7" w:rsidRPr="003451B4" w:rsidRDefault="009372E7" w:rsidP="003451B4">
            <w:pPr>
              <w:pStyle w:val="Tabletext"/>
              <w:rPr>
                <w:bCs/>
              </w:rPr>
            </w:pPr>
          </w:p>
          <w:p w14:paraId="331C27A3" w14:textId="77777777" w:rsidR="009372E7" w:rsidRPr="003451B4" w:rsidRDefault="00AF2CC8" w:rsidP="003451B4">
            <w:pPr>
              <w:pStyle w:val="Tabletext"/>
              <w:rPr>
                <w:bCs/>
              </w:rPr>
            </w:pPr>
            <w:hyperlink r:id="rId48" w:history="1">
              <w:r w:rsidR="009372E7" w:rsidRPr="003451B4">
                <w:rPr>
                  <w:rStyle w:val="Hyperlink"/>
                  <w:bCs/>
                </w:rPr>
                <w:t>NICE impact Diagnostic pathology</w:t>
              </w:r>
            </w:hyperlink>
          </w:p>
          <w:p w14:paraId="205515AD" w14:textId="77777777" w:rsidR="009372E7" w:rsidRPr="003451B4" w:rsidRDefault="009372E7" w:rsidP="003451B4">
            <w:pPr>
              <w:pStyle w:val="Tabletext"/>
              <w:rPr>
                <w:bCs/>
              </w:rPr>
            </w:pPr>
          </w:p>
          <w:p w14:paraId="7B2D4DC2" w14:textId="77777777" w:rsidR="009372E7" w:rsidRPr="003451B4" w:rsidRDefault="009372E7" w:rsidP="003451B4">
            <w:pPr>
              <w:pStyle w:val="Tabletext"/>
              <w:rPr>
                <w:bCs/>
              </w:rPr>
            </w:pPr>
            <w:r w:rsidRPr="003451B4">
              <w:rPr>
                <w:bCs/>
              </w:rPr>
              <w:lastRenderedPageBreak/>
              <w:t xml:space="preserve">Myhre PL, </w:t>
            </w:r>
            <w:proofErr w:type="spellStart"/>
            <w:r w:rsidRPr="003451B4">
              <w:rPr>
                <w:bCs/>
              </w:rPr>
              <w:t>Vaduganathan</w:t>
            </w:r>
            <w:proofErr w:type="spellEnd"/>
            <w:r w:rsidRPr="003451B4">
              <w:rPr>
                <w:bCs/>
              </w:rPr>
              <w:t xml:space="preserve"> M, Claggett B, Packer M, Desai AS, Rouleau JL, </w:t>
            </w:r>
            <w:proofErr w:type="spellStart"/>
            <w:r w:rsidRPr="003451B4">
              <w:rPr>
                <w:bCs/>
              </w:rPr>
              <w:t>Zile</w:t>
            </w:r>
            <w:proofErr w:type="spellEnd"/>
            <w:r w:rsidRPr="003451B4">
              <w:rPr>
                <w:bCs/>
              </w:rPr>
              <w:t xml:space="preserve"> MR, </w:t>
            </w:r>
            <w:proofErr w:type="spellStart"/>
            <w:r w:rsidRPr="003451B4">
              <w:rPr>
                <w:bCs/>
              </w:rPr>
              <w:t>Swedberg</w:t>
            </w:r>
            <w:proofErr w:type="spellEnd"/>
            <w:r w:rsidRPr="003451B4">
              <w:rPr>
                <w:bCs/>
              </w:rPr>
              <w:t xml:space="preserve"> K, Lefkowitz M, Shi V, McMurray JJV, Solomon SD. J Am Coll </w:t>
            </w:r>
            <w:proofErr w:type="spellStart"/>
            <w:r w:rsidRPr="003451B4">
              <w:rPr>
                <w:bCs/>
              </w:rPr>
              <w:t>Cardiol</w:t>
            </w:r>
            <w:proofErr w:type="spellEnd"/>
            <w:r w:rsidRPr="003451B4">
              <w:rPr>
                <w:bCs/>
              </w:rPr>
              <w:t xml:space="preserve">. 2019 Mar 26;73(11):1264-1272. </w:t>
            </w:r>
            <w:proofErr w:type="spellStart"/>
            <w:r w:rsidRPr="003451B4">
              <w:rPr>
                <w:bCs/>
              </w:rPr>
              <w:t>doi</w:t>
            </w:r>
            <w:proofErr w:type="spellEnd"/>
            <w:r w:rsidRPr="003451B4">
              <w:rPr>
                <w:bCs/>
              </w:rPr>
              <w:t xml:space="preserve">: 10.1016/j.jacc.2019.01.018. </w:t>
            </w:r>
            <w:proofErr w:type="spellStart"/>
            <w:r w:rsidRPr="003451B4">
              <w:rPr>
                <w:bCs/>
              </w:rPr>
              <w:t>Epub</w:t>
            </w:r>
            <w:proofErr w:type="spellEnd"/>
            <w:r w:rsidRPr="003451B4">
              <w:rPr>
                <w:bCs/>
              </w:rPr>
              <w:t xml:space="preserve"> 2019 Mar 4. PMID: 30846338; PMCID: PMC7955687.</w:t>
            </w:r>
          </w:p>
          <w:p w14:paraId="6F499BD5" w14:textId="140D095C" w:rsidR="009372E7" w:rsidRPr="00427135" w:rsidRDefault="00AF2CC8" w:rsidP="003451B4">
            <w:pPr>
              <w:pStyle w:val="Tabletext"/>
            </w:pPr>
            <w:hyperlink r:id="rId49" w:history="1">
              <w:r w:rsidR="009372E7" w:rsidRPr="003451B4">
                <w:rPr>
                  <w:rStyle w:val="Hyperlink"/>
                  <w:bCs/>
                </w:rPr>
                <w:t>NICE impact Diagnostic pathology</w:t>
              </w:r>
            </w:hyperlink>
          </w:p>
        </w:tc>
      </w:tr>
      <w:tr w:rsidR="007179CF" w:rsidRPr="00C92280" w14:paraId="599B41C6" w14:textId="77777777" w:rsidTr="00584584">
        <w:trPr>
          <w:trHeight w:val="282"/>
        </w:trPr>
        <w:tc>
          <w:tcPr>
            <w:tcW w:w="562" w:type="dxa"/>
          </w:tcPr>
          <w:p w14:paraId="698573C5" w14:textId="77777777" w:rsidR="009372E7" w:rsidRPr="00F27622" w:rsidRDefault="009372E7" w:rsidP="00DE5D03">
            <w:pPr>
              <w:pStyle w:val="Tabletext"/>
              <w:numPr>
                <w:ilvl w:val="0"/>
                <w:numId w:val="21"/>
              </w:numPr>
            </w:pPr>
          </w:p>
        </w:tc>
        <w:tc>
          <w:tcPr>
            <w:tcW w:w="1843" w:type="dxa"/>
          </w:tcPr>
          <w:p w14:paraId="3FB73CF6" w14:textId="3AC63617" w:rsidR="009372E7" w:rsidRPr="00427135" w:rsidRDefault="009372E7" w:rsidP="00B24E25">
            <w:pPr>
              <w:pStyle w:val="Tabletext"/>
            </w:pPr>
            <w:r>
              <w:t>SCM2</w:t>
            </w:r>
          </w:p>
        </w:tc>
        <w:tc>
          <w:tcPr>
            <w:tcW w:w="1985" w:type="dxa"/>
          </w:tcPr>
          <w:p w14:paraId="49631099" w14:textId="77777777" w:rsidR="001E4E8C" w:rsidRPr="00C5158D" w:rsidRDefault="001E4E8C" w:rsidP="001E4E8C">
            <w:pPr>
              <w:pStyle w:val="Tabletext"/>
              <w:rPr>
                <w:b/>
                <w:bCs/>
              </w:rPr>
            </w:pPr>
            <w:r w:rsidRPr="00C5158D">
              <w:rPr>
                <w:b/>
                <w:bCs/>
              </w:rPr>
              <w:t>Diagnosis</w:t>
            </w:r>
          </w:p>
          <w:p w14:paraId="73AA6E86" w14:textId="7880A7E7" w:rsidR="009372E7" w:rsidRPr="00427135" w:rsidRDefault="001E4E8C" w:rsidP="001E4E8C">
            <w:pPr>
              <w:pStyle w:val="Tabletext"/>
            </w:pPr>
            <w:r w:rsidRPr="00C5158D">
              <w:t>Merge statements 1 and 2</w:t>
            </w:r>
          </w:p>
        </w:tc>
        <w:tc>
          <w:tcPr>
            <w:tcW w:w="6520" w:type="dxa"/>
          </w:tcPr>
          <w:p w14:paraId="18CD9F00" w14:textId="77777777" w:rsidR="009372E7" w:rsidRPr="009372E7" w:rsidRDefault="009372E7" w:rsidP="009372E7">
            <w:pPr>
              <w:pStyle w:val="Tabletext"/>
            </w:pPr>
            <w:r w:rsidRPr="009372E7">
              <w:t>Agree, however this should reflect the NICE recommended pathway.</w:t>
            </w:r>
          </w:p>
          <w:p w14:paraId="133488D1" w14:textId="23598251" w:rsidR="009372E7" w:rsidRPr="00427135" w:rsidRDefault="009372E7" w:rsidP="009372E7">
            <w:pPr>
              <w:pStyle w:val="Tabletext"/>
            </w:pPr>
            <w:proofErr w:type="gramStart"/>
            <w:r w:rsidRPr="009372E7">
              <w:t>i.e.</w:t>
            </w:r>
            <w:proofErr w:type="gramEnd"/>
            <w:r w:rsidRPr="009372E7">
              <w:t xml:space="preserve"> “</w:t>
            </w:r>
            <w:r w:rsidRPr="009372E7">
              <w:rPr>
                <w:i/>
              </w:rPr>
              <w:t>Adults with suspected chronic heart failure and highly elevated levels of serum natriuretic peptides, who have been referred for diagnosis, have an echocardiogram and specialist assessment within 2 weeks or mild to moderate within 6 weeks in accordance with NICE guideline recommendations.”</w:t>
            </w:r>
          </w:p>
        </w:tc>
        <w:tc>
          <w:tcPr>
            <w:tcW w:w="3758" w:type="dxa"/>
          </w:tcPr>
          <w:p w14:paraId="61717B7C" w14:textId="77777777" w:rsidR="009372E7" w:rsidRPr="00427135" w:rsidRDefault="009372E7" w:rsidP="00B24E25">
            <w:pPr>
              <w:pStyle w:val="Tabletext"/>
            </w:pPr>
          </w:p>
        </w:tc>
      </w:tr>
      <w:tr w:rsidR="007179CF" w:rsidRPr="00C92280" w14:paraId="7FCE216B" w14:textId="77777777" w:rsidTr="00584584">
        <w:trPr>
          <w:trHeight w:val="282"/>
        </w:trPr>
        <w:tc>
          <w:tcPr>
            <w:tcW w:w="562" w:type="dxa"/>
          </w:tcPr>
          <w:p w14:paraId="0913CCE3" w14:textId="77777777" w:rsidR="009372E7" w:rsidRPr="00F27622" w:rsidRDefault="009372E7" w:rsidP="00DE5D03">
            <w:pPr>
              <w:pStyle w:val="Tabletext"/>
              <w:numPr>
                <w:ilvl w:val="0"/>
                <w:numId w:val="21"/>
              </w:numPr>
            </w:pPr>
          </w:p>
        </w:tc>
        <w:tc>
          <w:tcPr>
            <w:tcW w:w="1843" w:type="dxa"/>
          </w:tcPr>
          <w:p w14:paraId="57A7D07E" w14:textId="59626AFF" w:rsidR="009372E7" w:rsidRPr="00427135" w:rsidRDefault="009372E7" w:rsidP="00B24E25">
            <w:pPr>
              <w:pStyle w:val="Tabletext"/>
            </w:pPr>
            <w:r>
              <w:t>SCM2</w:t>
            </w:r>
          </w:p>
        </w:tc>
        <w:tc>
          <w:tcPr>
            <w:tcW w:w="1985" w:type="dxa"/>
          </w:tcPr>
          <w:p w14:paraId="06B2A08D" w14:textId="77777777" w:rsidR="001E4E8C" w:rsidRPr="00C5158D" w:rsidRDefault="001E4E8C" w:rsidP="001E4E8C">
            <w:pPr>
              <w:pStyle w:val="Tabletext"/>
              <w:rPr>
                <w:b/>
                <w:bCs/>
              </w:rPr>
            </w:pPr>
            <w:r w:rsidRPr="00C5158D">
              <w:rPr>
                <w:b/>
                <w:bCs/>
              </w:rPr>
              <w:t>Diagnosis</w:t>
            </w:r>
          </w:p>
          <w:p w14:paraId="5BF65C2C" w14:textId="0DC5EFAE" w:rsidR="009372E7" w:rsidRPr="00427135" w:rsidRDefault="001E4E8C" w:rsidP="001E4E8C">
            <w:pPr>
              <w:pStyle w:val="Tabletext"/>
            </w:pPr>
            <w:r w:rsidRPr="00C5158D">
              <w:t>Merge statements 1 and 2</w:t>
            </w:r>
          </w:p>
        </w:tc>
        <w:tc>
          <w:tcPr>
            <w:tcW w:w="6520" w:type="dxa"/>
          </w:tcPr>
          <w:p w14:paraId="4D888ABF" w14:textId="77777777" w:rsidR="009372E7" w:rsidRPr="00445535" w:rsidRDefault="009372E7" w:rsidP="00DE5D03">
            <w:pPr>
              <w:spacing w:after="240" w:line="276" w:lineRule="auto"/>
              <w:rPr>
                <w:rFonts w:ascii="Arial" w:hAnsi="Arial" w:cs="Arial"/>
                <w:sz w:val="22"/>
                <w:szCs w:val="22"/>
                <w:lang w:eastAsia="en-GB"/>
              </w:rPr>
            </w:pPr>
            <w:r w:rsidRPr="00445535">
              <w:rPr>
                <w:rFonts w:ascii="Arial" w:hAnsi="Arial" w:cs="Arial"/>
                <w:sz w:val="22"/>
                <w:szCs w:val="22"/>
                <w:lang w:eastAsia="en-GB"/>
              </w:rPr>
              <w:t xml:space="preserve">Almost 80% of HF is diagnosed on admission to hospital, despite 40% of patients having visited their GP with symptoms prior. This suggests that diagnosis and pathways are still not be followed appropriately in the community. HF prevalence is under recorded again suggesting there are people living with HF undiagnosed. </w:t>
            </w:r>
          </w:p>
          <w:p w14:paraId="0A3FA246" w14:textId="77777777" w:rsidR="009372E7" w:rsidRPr="00445535" w:rsidRDefault="009372E7" w:rsidP="00DE5D03">
            <w:pPr>
              <w:spacing w:after="240" w:line="276" w:lineRule="auto"/>
              <w:rPr>
                <w:rFonts w:ascii="Arial" w:hAnsi="Arial" w:cs="Arial"/>
                <w:b/>
                <w:sz w:val="22"/>
                <w:szCs w:val="22"/>
                <w:lang w:eastAsia="en-GB"/>
              </w:rPr>
            </w:pPr>
            <w:proofErr w:type="gramStart"/>
            <w:r w:rsidRPr="00445535">
              <w:rPr>
                <w:rFonts w:ascii="Arial" w:hAnsi="Arial" w:cs="Arial"/>
                <w:b/>
                <w:sz w:val="22"/>
                <w:szCs w:val="22"/>
                <w:lang w:eastAsia="en-GB"/>
              </w:rPr>
              <w:t>Therefore</w:t>
            </w:r>
            <w:proofErr w:type="gramEnd"/>
            <w:r w:rsidRPr="00445535">
              <w:rPr>
                <w:rFonts w:ascii="Arial" w:hAnsi="Arial" w:cs="Arial"/>
                <w:b/>
                <w:sz w:val="22"/>
                <w:szCs w:val="22"/>
                <w:lang w:eastAsia="en-GB"/>
              </w:rPr>
              <w:t xml:space="preserve"> greater emphasis on 2 week urgent review as in cancer pathways should be made to prevent deterioration and admission to hospital.  </w:t>
            </w:r>
          </w:p>
          <w:p w14:paraId="46410596" w14:textId="77777777" w:rsidR="009372E7" w:rsidRPr="00445535" w:rsidRDefault="009372E7" w:rsidP="00DE5D03">
            <w:pPr>
              <w:spacing w:after="240" w:line="276" w:lineRule="auto"/>
              <w:rPr>
                <w:rFonts w:ascii="Arial" w:hAnsi="Arial" w:cs="Arial"/>
                <w:b/>
                <w:sz w:val="22"/>
                <w:szCs w:val="22"/>
                <w:lang w:eastAsia="en-GB"/>
              </w:rPr>
            </w:pPr>
            <w:r w:rsidRPr="00445535">
              <w:rPr>
                <w:rFonts w:ascii="Arial" w:hAnsi="Arial" w:cs="Arial"/>
                <w:sz w:val="22"/>
                <w:szCs w:val="22"/>
                <w:lang w:eastAsia="en-GB"/>
              </w:rPr>
              <w:lastRenderedPageBreak/>
              <w:t xml:space="preserve">Diagnosis by specialist should also confirm where possible aetiology to manage underlying cause/co morbidities affecting HF effectively. This is of particular significance in </w:t>
            </w:r>
            <w:proofErr w:type="spellStart"/>
            <w:proofErr w:type="gramStart"/>
            <w:r w:rsidRPr="00445535">
              <w:rPr>
                <w:rFonts w:ascii="Arial" w:hAnsi="Arial" w:cs="Arial"/>
                <w:sz w:val="22"/>
                <w:szCs w:val="22"/>
                <w:lang w:eastAsia="en-GB"/>
              </w:rPr>
              <w:t>HFpEF</w:t>
            </w:r>
            <w:proofErr w:type="spellEnd"/>
            <w:proofErr w:type="gramEnd"/>
            <w:r w:rsidRPr="00445535">
              <w:rPr>
                <w:rFonts w:ascii="Arial" w:hAnsi="Arial" w:cs="Arial"/>
                <w:sz w:val="22"/>
                <w:szCs w:val="22"/>
                <w:lang w:eastAsia="en-GB"/>
              </w:rPr>
              <w:t xml:space="preserve"> and emphasis should be made here with emerging therapies. Other cardiac modalities could </w:t>
            </w:r>
            <w:proofErr w:type="gramStart"/>
            <w:r w:rsidRPr="00445535">
              <w:rPr>
                <w:rFonts w:ascii="Arial" w:hAnsi="Arial" w:cs="Arial"/>
                <w:sz w:val="22"/>
                <w:szCs w:val="22"/>
                <w:lang w:eastAsia="en-GB"/>
              </w:rPr>
              <w:t>be</w:t>
            </w:r>
            <w:proofErr w:type="gramEnd"/>
            <w:r w:rsidRPr="00445535">
              <w:rPr>
                <w:rFonts w:ascii="Arial" w:hAnsi="Arial" w:cs="Arial"/>
                <w:sz w:val="22"/>
                <w:szCs w:val="22"/>
                <w:lang w:eastAsia="en-GB"/>
              </w:rPr>
              <w:t xml:space="preserve"> mentioned her such as Cardiac MRI.</w:t>
            </w:r>
            <w:r w:rsidRPr="00445535">
              <w:rPr>
                <w:rFonts w:ascii="Arial" w:hAnsi="Arial" w:cs="Arial"/>
                <w:b/>
                <w:sz w:val="22"/>
                <w:szCs w:val="22"/>
                <w:lang w:eastAsia="en-GB"/>
              </w:rPr>
              <w:t xml:space="preserve"> </w:t>
            </w:r>
            <w:r w:rsidRPr="00445535">
              <w:rPr>
                <w:rFonts w:ascii="Arial" w:hAnsi="Arial" w:cs="Arial"/>
                <w:sz w:val="22"/>
                <w:szCs w:val="22"/>
                <w:lang w:eastAsia="en-GB"/>
              </w:rPr>
              <w:t xml:space="preserve"> </w:t>
            </w:r>
            <w:proofErr w:type="spellStart"/>
            <w:r w:rsidRPr="00445535">
              <w:rPr>
                <w:rFonts w:ascii="Arial" w:hAnsi="Arial" w:cs="Arial"/>
                <w:b/>
                <w:sz w:val="22"/>
                <w:szCs w:val="22"/>
                <w:lang w:eastAsia="en-GB"/>
              </w:rPr>
              <w:t>HFpEF</w:t>
            </w:r>
            <w:proofErr w:type="spellEnd"/>
            <w:r w:rsidRPr="00445535">
              <w:rPr>
                <w:rFonts w:ascii="Arial" w:hAnsi="Arial" w:cs="Arial"/>
                <w:b/>
                <w:sz w:val="22"/>
                <w:szCs w:val="22"/>
                <w:lang w:eastAsia="en-GB"/>
              </w:rPr>
              <w:t xml:space="preserve"> should be diagnosed by a HF Cardiologist only. </w:t>
            </w:r>
          </w:p>
          <w:p w14:paraId="47802123" w14:textId="77777777" w:rsidR="009372E7" w:rsidRPr="00445535" w:rsidRDefault="009372E7" w:rsidP="00DE5D03">
            <w:pPr>
              <w:spacing w:after="240" w:line="276" w:lineRule="auto"/>
              <w:rPr>
                <w:rFonts w:ascii="Arial" w:hAnsi="Arial" w:cs="Arial"/>
                <w:sz w:val="22"/>
                <w:szCs w:val="22"/>
                <w:lang w:eastAsia="en-GB"/>
              </w:rPr>
            </w:pPr>
            <w:r w:rsidRPr="00445535">
              <w:rPr>
                <w:rFonts w:ascii="Arial" w:hAnsi="Arial" w:cs="Arial"/>
                <w:sz w:val="22"/>
                <w:szCs w:val="22"/>
                <w:lang w:eastAsia="en-GB"/>
              </w:rPr>
              <w:t xml:space="preserve">The rationale statement in Q1 needs revising. </w:t>
            </w:r>
          </w:p>
          <w:p w14:paraId="198406CC" w14:textId="77777777" w:rsidR="009372E7" w:rsidRPr="00445535" w:rsidRDefault="009372E7" w:rsidP="00DE5D03">
            <w:pPr>
              <w:spacing w:after="240" w:line="276" w:lineRule="auto"/>
              <w:rPr>
                <w:rFonts w:ascii="Arial" w:hAnsi="Arial" w:cs="Arial"/>
                <w:sz w:val="22"/>
                <w:szCs w:val="22"/>
                <w:lang w:eastAsia="en-GB"/>
              </w:rPr>
            </w:pPr>
            <w:r w:rsidRPr="00445535">
              <w:rPr>
                <w:rFonts w:ascii="Arial" w:hAnsi="Arial" w:cs="Arial"/>
                <w:sz w:val="22"/>
                <w:szCs w:val="22"/>
                <w:lang w:eastAsia="en-GB"/>
              </w:rPr>
              <w:t xml:space="preserve">The National HF audit states that “86% of patients received an echocardiogram (down from 92% in 2014/15) with rates higher for those admitted to cardiology (93%) rather than general medical (82%) wards”, again suggesting that even as an inpatient. Greater emphasis on referral to Cardiology as inpatient is required. </w:t>
            </w:r>
          </w:p>
          <w:p w14:paraId="790573BB" w14:textId="77777777" w:rsidR="009372E7" w:rsidRPr="00445535" w:rsidRDefault="009372E7" w:rsidP="00DE5D03">
            <w:pPr>
              <w:spacing w:after="240" w:line="276" w:lineRule="auto"/>
              <w:rPr>
                <w:rFonts w:ascii="Arial" w:hAnsi="Arial" w:cs="Arial"/>
                <w:sz w:val="22"/>
                <w:szCs w:val="22"/>
                <w:lang w:eastAsia="en-GB"/>
              </w:rPr>
            </w:pPr>
            <w:r w:rsidRPr="00445535">
              <w:rPr>
                <w:rFonts w:ascii="Arial" w:hAnsi="Arial" w:cs="Arial"/>
                <w:sz w:val="22"/>
                <w:szCs w:val="22"/>
                <w:lang w:eastAsia="en-GB"/>
              </w:rPr>
              <w:t xml:space="preserve">There continues to be variability with access to </w:t>
            </w:r>
            <w:proofErr w:type="spellStart"/>
            <w:r w:rsidRPr="00445535">
              <w:rPr>
                <w:rFonts w:ascii="Arial" w:hAnsi="Arial" w:cs="Arial"/>
                <w:sz w:val="22"/>
                <w:szCs w:val="22"/>
                <w:lang w:eastAsia="en-GB"/>
              </w:rPr>
              <w:t>NTproBNP</w:t>
            </w:r>
            <w:proofErr w:type="spellEnd"/>
            <w:r w:rsidRPr="00445535">
              <w:rPr>
                <w:rFonts w:ascii="Arial" w:hAnsi="Arial" w:cs="Arial"/>
                <w:sz w:val="22"/>
                <w:szCs w:val="22"/>
                <w:lang w:eastAsia="en-GB"/>
              </w:rPr>
              <w:t xml:space="preserve"> and lack of appropriate use that would trigger specialist review. Equity of access is </w:t>
            </w:r>
            <w:proofErr w:type="gramStart"/>
            <w:r w:rsidRPr="00445535">
              <w:rPr>
                <w:rFonts w:ascii="Arial" w:hAnsi="Arial" w:cs="Arial"/>
                <w:sz w:val="22"/>
                <w:szCs w:val="22"/>
                <w:lang w:eastAsia="en-GB"/>
              </w:rPr>
              <w:t>variable</w:t>
            </w:r>
            <w:proofErr w:type="gramEnd"/>
            <w:r w:rsidRPr="00445535">
              <w:rPr>
                <w:rFonts w:ascii="Arial" w:hAnsi="Arial" w:cs="Arial"/>
                <w:sz w:val="22"/>
                <w:szCs w:val="22"/>
                <w:lang w:eastAsia="en-GB"/>
              </w:rPr>
              <w:t xml:space="preserve"> and commissioners should seek to address this. </w:t>
            </w:r>
          </w:p>
          <w:p w14:paraId="6135D2E7" w14:textId="77777777" w:rsidR="009372E7" w:rsidRPr="00445535" w:rsidRDefault="009372E7" w:rsidP="00DE5D03">
            <w:pPr>
              <w:spacing w:after="120" w:line="276" w:lineRule="auto"/>
              <w:rPr>
                <w:rFonts w:ascii="Arial" w:hAnsi="Arial" w:cs="Arial"/>
                <w:sz w:val="22"/>
                <w:szCs w:val="22"/>
                <w:lang w:eastAsia="en-GB"/>
              </w:rPr>
            </w:pPr>
            <w:r w:rsidRPr="00445535">
              <w:rPr>
                <w:rFonts w:ascii="Arial" w:hAnsi="Arial" w:cs="Arial"/>
                <w:sz w:val="22"/>
                <w:szCs w:val="22"/>
                <w:lang w:eastAsia="en-GB"/>
              </w:rPr>
              <w:t xml:space="preserve">Many services are struggling to meet standard with lack of echo slots/physiologists and specialists to review patients. Commissioners and providers should seek to address this. This has been further highlighted in NHSE recovery plan for elective care. </w:t>
            </w:r>
          </w:p>
          <w:p w14:paraId="0DF53DFC" w14:textId="68E8DF6D" w:rsidR="009372E7" w:rsidRPr="00427135" w:rsidRDefault="009372E7" w:rsidP="009372E7">
            <w:pPr>
              <w:pStyle w:val="Tabletext"/>
            </w:pPr>
            <w:proofErr w:type="spellStart"/>
            <w:r w:rsidRPr="00445535">
              <w:rPr>
                <w:rFonts w:cs="Arial"/>
                <w:szCs w:val="22"/>
              </w:rPr>
              <w:t>NTproBNP</w:t>
            </w:r>
            <w:proofErr w:type="spellEnd"/>
            <w:r w:rsidRPr="00445535">
              <w:rPr>
                <w:rFonts w:cs="Arial"/>
                <w:szCs w:val="22"/>
              </w:rPr>
              <w:t xml:space="preserve"> use should be encouraged over BNP.</w:t>
            </w:r>
          </w:p>
        </w:tc>
        <w:tc>
          <w:tcPr>
            <w:tcW w:w="3758" w:type="dxa"/>
          </w:tcPr>
          <w:p w14:paraId="4C487313" w14:textId="77777777" w:rsidR="009372E7" w:rsidRPr="009372E7" w:rsidRDefault="009372E7" w:rsidP="00DE5D03">
            <w:pPr>
              <w:pStyle w:val="Tabletext"/>
            </w:pPr>
            <w:r w:rsidRPr="009372E7">
              <w:lastRenderedPageBreak/>
              <w:t>Please see below documents highlighting the continued issues with poor diagnosis rates and access to relevant tests/specialists:</w:t>
            </w:r>
          </w:p>
          <w:p w14:paraId="12737373" w14:textId="77777777" w:rsidR="009372E7" w:rsidRPr="009372E7" w:rsidRDefault="009372E7" w:rsidP="00DE5D03">
            <w:pPr>
              <w:pStyle w:val="Tabletext"/>
            </w:pPr>
            <w:r w:rsidRPr="009372E7">
              <w:t xml:space="preserve"> Bottle A, Kim D, Aylin P et al (2017). </w:t>
            </w:r>
            <w:hyperlink r:id="rId50" w:history="1">
              <w:r w:rsidRPr="009372E7">
                <w:rPr>
                  <w:rStyle w:val="Hyperlink"/>
                </w:rPr>
                <w:t>Routes to diagnosis of heart failure: observational study using linked data in England</w:t>
              </w:r>
            </w:hyperlink>
            <w:r w:rsidRPr="009372E7">
              <w:t>. Heart. </w:t>
            </w:r>
            <w:proofErr w:type="gramStart"/>
            <w:r w:rsidRPr="009372E7">
              <w:t>2018;104:600</w:t>
            </w:r>
            <w:proofErr w:type="gramEnd"/>
            <w:r w:rsidRPr="009372E7">
              <w:t>-605</w:t>
            </w:r>
          </w:p>
          <w:p w14:paraId="7220CA8E" w14:textId="77777777" w:rsidR="009372E7" w:rsidRPr="009372E7" w:rsidRDefault="009372E7" w:rsidP="00DE5D03">
            <w:pPr>
              <w:pStyle w:val="Tabletext"/>
            </w:pPr>
          </w:p>
          <w:p w14:paraId="6F07AA3C" w14:textId="77777777" w:rsidR="009372E7" w:rsidRPr="009372E7" w:rsidRDefault="00AF2CC8" w:rsidP="00DE5D03">
            <w:pPr>
              <w:pStyle w:val="Tabletext"/>
            </w:pPr>
            <w:hyperlink r:id="rId51" w:history="1">
              <w:r w:rsidR="009372E7" w:rsidRPr="009372E7">
                <w:rPr>
                  <w:rStyle w:val="Hyperlink"/>
                </w:rPr>
                <w:t>Heart-Failure-A-Blueprint-For-Change-Oct-2020-3.pdf (bsh.org.uk)</w:t>
              </w:r>
            </w:hyperlink>
          </w:p>
          <w:p w14:paraId="141ABB5B" w14:textId="77777777" w:rsidR="009372E7" w:rsidRPr="009372E7" w:rsidRDefault="00AF2CC8" w:rsidP="00DE5D03">
            <w:pPr>
              <w:pStyle w:val="Tabletext"/>
            </w:pPr>
            <w:hyperlink r:id="rId52" w:history="1">
              <w:r w:rsidR="009372E7" w:rsidRPr="009372E7">
                <w:rPr>
                  <w:rStyle w:val="Hyperlink"/>
                </w:rPr>
                <w:t>NHFA-Domain-Report_2021_FINAL.pdf (nicor.org.uk)</w:t>
              </w:r>
            </w:hyperlink>
          </w:p>
          <w:p w14:paraId="609259C3" w14:textId="77777777" w:rsidR="009372E7" w:rsidRPr="009372E7" w:rsidRDefault="009372E7" w:rsidP="00DE5D03">
            <w:pPr>
              <w:pStyle w:val="Tabletext"/>
            </w:pPr>
            <w:r w:rsidRPr="009372E7">
              <w:t>National Institute for Cardiovascular Outcomes Research (2019). Heart Failure Audit 2019 summary report (2017/18 data)</w:t>
            </w:r>
          </w:p>
          <w:p w14:paraId="698A8785" w14:textId="77777777" w:rsidR="009372E7" w:rsidRPr="009372E7" w:rsidRDefault="00AF2CC8" w:rsidP="00DE5D03">
            <w:pPr>
              <w:pStyle w:val="Tabletext"/>
            </w:pPr>
            <w:hyperlink r:id="rId53" w:history="1">
              <w:r w:rsidR="009372E7" w:rsidRPr="009372E7">
                <w:rPr>
                  <w:rStyle w:val="Hyperlink"/>
                </w:rPr>
                <w:t>NHS Long Term Plan v1.2 August 2019</w:t>
              </w:r>
            </w:hyperlink>
          </w:p>
          <w:p w14:paraId="027DF8EC" w14:textId="77777777" w:rsidR="009372E7" w:rsidRPr="009372E7" w:rsidRDefault="00AF2CC8" w:rsidP="00DE5D03">
            <w:pPr>
              <w:pStyle w:val="Tabletext"/>
            </w:pPr>
            <w:hyperlink r:id="rId54" w:history="1">
              <w:r w:rsidR="009372E7" w:rsidRPr="009372E7">
                <w:rPr>
                  <w:rStyle w:val="Hyperlink"/>
                </w:rPr>
                <w:t>C1466-delivery-plan-for-tackling-the-covid-19-backlog-of-elective-care.pdf (england.nhs.uk)</w:t>
              </w:r>
            </w:hyperlink>
          </w:p>
          <w:p w14:paraId="1CFC582E" w14:textId="77777777" w:rsidR="009372E7" w:rsidRPr="009372E7" w:rsidRDefault="009372E7" w:rsidP="00DE5D03">
            <w:pPr>
              <w:pStyle w:val="Tabletext"/>
            </w:pPr>
          </w:p>
          <w:p w14:paraId="17CF9895" w14:textId="77777777" w:rsidR="009372E7" w:rsidRPr="009372E7" w:rsidRDefault="00AF2CC8" w:rsidP="00DE5D03">
            <w:pPr>
              <w:pStyle w:val="Tabletext"/>
            </w:pPr>
            <w:hyperlink r:id="rId55" w:history="1">
              <w:r w:rsidR="009372E7" w:rsidRPr="009372E7">
                <w:rPr>
                  <w:rStyle w:val="Hyperlink"/>
                </w:rPr>
                <w:t>NICE impact Diagnostic pathology</w:t>
              </w:r>
            </w:hyperlink>
          </w:p>
          <w:p w14:paraId="182A8F37" w14:textId="77777777" w:rsidR="009372E7" w:rsidRPr="009372E7" w:rsidRDefault="009372E7" w:rsidP="00445535">
            <w:pPr>
              <w:pStyle w:val="Tabletext"/>
            </w:pPr>
          </w:p>
          <w:p w14:paraId="14579A7B" w14:textId="33C4F70A" w:rsidR="009372E7" w:rsidRPr="00427135" w:rsidRDefault="009372E7" w:rsidP="009372E7">
            <w:pPr>
              <w:pStyle w:val="Tabletext"/>
            </w:pPr>
            <w:r w:rsidRPr="009372E7">
              <w:t xml:space="preserve">Myhre PL, </w:t>
            </w:r>
            <w:proofErr w:type="spellStart"/>
            <w:r w:rsidRPr="009372E7">
              <w:t>Vaduganathan</w:t>
            </w:r>
            <w:proofErr w:type="spellEnd"/>
            <w:r w:rsidRPr="009372E7">
              <w:t xml:space="preserve"> M, Claggett B, Packer M, Desai AS, Rouleau JL, </w:t>
            </w:r>
            <w:proofErr w:type="spellStart"/>
            <w:r w:rsidRPr="009372E7">
              <w:t>Zile</w:t>
            </w:r>
            <w:proofErr w:type="spellEnd"/>
            <w:r w:rsidRPr="009372E7">
              <w:t xml:space="preserve"> MR, </w:t>
            </w:r>
            <w:proofErr w:type="spellStart"/>
            <w:r w:rsidRPr="009372E7">
              <w:t>Swedberg</w:t>
            </w:r>
            <w:proofErr w:type="spellEnd"/>
            <w:r w:rsidRPr="009372E7">
              <w:t xml:space="preserve"> K, Lefkowitz M, Shi V, McMurray JJV, Solomon SD. J Am Coll </w:t>
            </w:r>
            <w:proofErr w:type="spellStart"/>
            <w:r w:rsidRPr="009372E7">
              <w:t>Cardiol</w:t>
            </w:r>
            <w:proofErr w:type="spellEnd"/>
            <w:r w:rsidRPr="009372E7">
              <w:t xml:space="preserve">. 2019 Mar 26;73(11):1264-1272. </w:t>
            </w:r>
            <w:proofErr w:type="spellStart"/>
            <w:r w:rsidRPr="009372E7">
              <w:t>doi</w:t>
            </w:r>
            <w:proofErr w:type="spellEnd"/>
            <w:r w:rsidRPr="009372E7">
              <w:t xml:space="preserve">: 10.1016/j.jacc.2019.01.018. </w:t>
            </w:r>
            <w:proofErr w:type="spellStart"/>
            <w:r w:rsidRPr="009372E7">
              <w:t>Epub</w:t>
            </w:r>
            <w:proofErr w:type="spellEnd"/>
            <w:r w:rsidRPr="009372E7">
              <w:t xml:space="preserve"> 2019 Mar 4. PMID: 30846338; PMCID: PMC7955687.</w:t>
            </w:r>
          </w:p>
        </w:tc>
      </w:tr>
      <w:tr w:rsidR="007179CF" w:rsidRPr="00C92280" w14:paraId="74696D33" w14:textId="77777777" w:rsidTr="00584584">
        <w:trPr>
          <w:trHeight w:val="282"/>
        </w:trPr>
        <w:tc>
          <w:tcPr>
            <w:tcW w:w="562" w:type="dxa"/>
          </w:tcPr>
          <w:p w14:paraId="13AEA29C" w14:textId="77777777" w:rsidR="009372E7" w:rsidRPr="00F27622" w:rsidRDefault="009372E7" w:rsidP="00DE5D03">
            <w:pPr>
              <w:pStyle w:val="Tabletext"/>
              <w:numPr>
                <w:ilvl w:val="0"/>
                <w:numId w:val="21"/>
              </w:numPr>
            </w:pPr>
          </w:p>
        </w:tc>
        <w:tc>
          <w:tcPr>
            <w:tcW w:w="1843" w:type="dxa"/>
          </w:tcPr>
          <w:p w14:paraId="2DA0F558" w14:textId="6FFC51CA" w:rsidR="009372E7" w:rsidRPr="00427135" w:rsidRDefault="00F00DB5" w:rsidP="00B24E25">
            <w:pPr>
              <w:pStyle w:val="Tabletext"/>
            </w:pPr>
            <w:r>
              <w:t>SCM3</w:t>
            </w:r>
          </w:p>
        </w:tc>
        <w:tc>
          <w:tcPr>
            <w:tcW w:w="1985" w:type="dxa"/>
          </w:tcPr>
          <w:p w14:paraId="47A8EF6D" w14:textId="77777777" w:rsidR="001E4E8C" w:rsidRPr="00C5158D" w:rsidRDefault="001E4E8C" w:rsidP="001E4E8C">
            <w:pPr>
              <w:pStyle w:val="Tabletext"/>
              <w:rPr>
                <w:b/>
                <w:bCs/>
              </w:rPr>
            </w:pPr>
            <w:r w:rsidRPr="00C5158D">
              <w:rPr>
                <w:b/>
                <w:bCs/>
              </w:rPr>
              <w:t>Diagnosis</w:t>
            </w:r>
          </w:p>
          <w:p w14:paraId="12F0ED10" w14:textId="36F60B6E" w:rsidR="009372E7" w:rsidRPr="00427135" w:rsidRDefault="001E4E8C" w:rsidP="001E4E8C">
            <w:pPr>
              <w:pStyle w:val="Tabletext"/>
            </w:pPr>
            <w:r w:rsidRPr="00C5158D">
              <w:t>Merge statements 1 and 2</w:t>
            </w:r>
          </w:p>
        </w:tc>
        <w:tc>
          <w:tcPr>
            <w:tcW w:w="6520" w:type="dxa"/>
          </w:tcPr>
          <w:p w14:paraId="07906BF8" w14:textId="77777777" w:rsidR="00F00DB5" w:rsidRDefault="00F00DB5" w:rsidP="00F00DB5">
            <w:pPr>
              <w:pStyle w:val="Tabletext"/>
            </w:pPr>
            <w:r>
              <w:t>Yes, both statements 1 and 2 are about patients having an echo and specialist assessment when they have been referred by their GP. Statement 2 gives the time scale (two weeks) based on very high natriuretic peptide levels. The NICE 2018 Chronic Heart Failure guideline suggests all people should be seen within six weeks so we might want to add that in too.</w:t>
            </w:r>
          </w:p>
          <w:p w14:paraId="424FA5CF" w14:textId="4A8ACF27" w:rsidR="009372E7" w:rsidRPr="00427135" w:rsidRDefault="00F00DB5" w:rsidP="00F00DB5">
            <w:pPr>
              <w:pStyle w:val="Tabletext"/>
            </w:pPr>
            <w:r>
              <w:t>I do wonder if we have missed a step though. The first thing is to recognise this might be heart failure and do a natriuretic peptide test which does not always happen. I have suggested a new additional quality standard below.</w:t>
            </w:r>
          </w:p>
        </w:tc>
        <w:tc>
          <w:tcPr>
            <w:tcW w:w="3758" w:type="dxa"/>
          </w:tcPr>
          <w:p w14:paraId="0498C926" w14:textId="77777777" w:rsidR="009372E7" w:rsidRPr="00427135" w:rsidRDefault="009372E7" w:rsidP="00B24E25">
            <w:pPr>
              <w:pStyle w:val="Tabletext"/>
            </w:pPr>
          </w:p>
        </w:tc>
      </w:tr>
      <w:tr w:rsidR="007179CF" w:rsidRPr="00C92280" w14:paraId="1C340041" w14:textId="77777777" w:rsidTr="00584584">
        <w:trPr>
          <w:trHeight w:val="282"/>
        </w:trPr>
        <w:tc>
          <w:tcPr>
            <w:tcW w:w="562" w:type="dxa"/>
          </w:tcPr>
          <w:p w14:paraId="7DE1F542" w14:textId="77777777" w:rsidR="009372E7" w:rsidRPr="00F27622" w:rsidRDefault="009372E7" w:rsidP="00DE5D03">
            <w:pPr>
              <w:pStyle w:val="Tabletext"/>
              <w:numPr>
                <w:ilvl w:val="0"/>
                <w:numId w:val="21"/>
              </w:numPr>
            </w:pPr>
          </w:p>
        </w:tc>
        <w:tc>
          <w:tcPr>
            <w:tcW w:w="1843" w:type="dxa"/>
          </w:tcPr>
          <w:p w14:paraId="608ADCEF" w14:textId="47D9D55B" w:rsidR="009372E7" w:rsidRPr="00427135" w:rsidRDefault="00F00DB5" w:rsidP="00B24E25">
            <w:pPr>
              <w:pStyle w:val="Tabletext"/>
            </w:pPr>
            <w:r>
              <w:t>SCM3</w:t>
            </w:r>
          </w:p>
        </w:tc>
        <w:tc>
          <w:tcPr>
            <w:tcW w:w="1985" w:type="dxa"/>
          </w:tcPr>
          <w:p w14:paraId="59A5A18E" w14:textId="77777777" w:rsidR="001E4E8C" w:rsidRPr="00C5158D" w:rsidRDefault="001E4E8C" w:rsidP="001E4E8C">
            <w:pPr>
              <w:pStyle w:val="Tabletext"/>
              <w:rPr>
                <w:b/>
                <w:bCs/>
              </w:rPr>
            </w:pPr>
            <w:r w:rsidRPr="00C5158D">
              <w:rPr>
                <w:b/>
                <w:bCs/>
              </w:rPr>
              <w:t>Diagnosis</w:t>
            </w:r>
          </w:p>
          <w:p w14:paraId="4A4AB5AF" w14:textId="42339775" w:rsidR="009372E7" w:rsidRPr="00427135" w:rsidRDefault="001E4E8C" w:rsidP="001E4E8C">
            <w:pPr>
              <w:pStyle w:val="Tabletext"/>
            </w:pPr>
            <w:r w:rsidRPr="00C5158D">
              <w:t>Merge statements 1 and 2</w:t>
            </w:r>
          </w:p>
        </w:tc>
        <w:tc>
          <w:tcPr>
            <w:tcW w:w="6520" w:type="dxa"/>
          </w:tcPr>
          <w:p w14:paraId="38D6537F" w14:textId="77777777" w:rsidR="00F00DB5" w:rsidRDefault="00F00DB5" w:rsidP="00F00DB5">
            <w:pPr>
              <w:pStyle w:val="Tabletext"/>
            </w:pPr>
            <w:r>
              <w:t>NICE Chronic Heart Failure guideline 2018 recommendation: ‘Measure NT-</w:t>
            </w:r>
            <w:proofErr w:type="spellStart"/>
            <w:r>
              <w:t>proBNP</w:t>
            </w:r>
            <w:proofErr w:type="spellEnd"/>
            <w:r>
              <w:t xml:space="preserve"> in people with suspected heart failure [2018]’.</w:t>
            </w:r>
          </w:p>
          <w:p w14:paraId="114DF8CB" w14:textId="77777777" w:rsidR="00F00DB5" w:rsidRDefault="00F00DB5" w:rsidP="00F00DB5">
            <w:pPr>
              <w:pStyle w:val="Tabletext"/>
            </w:pPr>
            <w:r>
              <w:t>Our research published in the European Heart Journal this year found that three in every four patients did not have a natriuretic peptide test prior to heart failure diagnosis.</w:t>
            </w:r>
          </w:p>
          <w:p w14:paraId="4C559916" w14:textId="774E4C6C" w:rsidR="009372E7" w:rsidRPr="00427135" w:rsidRDefault="00F00DB5" w:rsidP="00F00DB5">
            <w:pPr>
              <w:pStyle w:val="Tabletext"/>
            </w:pPr>
            <w:r>
              <w:t>The NICE Acute Heart Failure Quality Standard states: ‘Adults presenting to hospital with new suspected acute heart failure have a single measurement of natriuretic peptide’ so we could use similar wording for patients with new suspected chronic heart failure in primary care.</w:t>
            </w:r>
          </w:p>
        </w:tc>
        <w:tc>
          <w:tcPr>
            <w:tcW w:w="3758" w:type="dxa"/>
          </w:tcPr>
          <w:p w14:paraId="6CFD180E" w14:textId="77777777" w:rsidR="00F00DB5" w:rsidRPr="00F00DB5" w:rsidRDefault="00F00DB5" w:rsidP="00DE5D03">
            <w:pPr>
              <w:pStyle w:val="Tabletext"/>
            </w:pPr>
            <w:r w:rsidRPr="00F00DB5">
              <w:t xml:space="preserve">NICE Chronic Heart Failure guideline 2018: </w:t>
            </w:r>
            <w:hyperlink r:id="rId56" w:anchor="diagnosing-heart-failure" w:history="1">
              <w:r w:rsidRPr="00F00DB5">
                <w:rPr>
                  <w:rStyle w:val="Hyperlink"/>
                </w:rPr>
                <w:t>https://www.nice.org.uk/guidance/ng106/chapter/Recommendations - diagnosing-heart-failure</w:t>
              </w:r>
            </w:hyperlink>
          </w:p>
          <w:p w14:paraId="4490B57D" w14:textId="77777777" w:rsidR="00F00DB5" w:rsidRPr="00F00DB5" w:rsidRDefault="00F00DB5" w:rsidP="00DE5D03">
            <w:pPr>
              <w:pStyle w:val="Tabletext"/>
            </w:pPr>
            <w:r w:rsidRPr="00F00DB5">
              <w:t xml:space="preserve">European Heart Journal paper: </w:t>
            </w:r>
            <w:hyperlink r:id="rId57" w:history="1">
              <w:r w:rsidRPr="00F00DB5">
                <w:rPr>
                  <w:rStyle w:val="Hyperlink"/>
                </w:rPr>
                <w:t>https://academic.oup.com/eurheartj/article/43/9/881/6437771</w:t>
              </w:r>
            </w:hyperlink>
          </w:p>
          <w:p w14:paraId="0ADEB0DF" w14:textId="7E8F6588" w:rsidR="009372E7" w:rsidRPr="00427135" w:rsidRDefault="00F00DB5" w:rsidP="00F00DB5">
            <w:pPr>
              <w:pStyle w:val="Tabletext"/>
            </w:pPr>
            <w:r w:rsidRPr="00F00DB5">
              <w:t xml:space="preserve">NICE Acute Heart Failure Quality Standard One: </w:t>
            </w:r>
            <w:hyperlink r:id="rId58" w:history="1">
              <w:r w:rsidRPr="00F00DB5">
                <w:rPr>
                  <w:rStyle w:val="Hyperlink"/>
                </w:rPr>
                <w:t>https://www.nice.org.uk/guidance/qs103/chapter/Quality-statement-1-Single-measurement-of-natriuretic-peptide</w:t>
              </w:r>
            </w:hyperlink>
          </w:p>
        </w:tc>
      </w:tr>
      <w:tr w:rsidR="007179CF" w:rsidRPr="00C92280" w14:paraId="52BA5C22" w14:textId="77777777" w:rsidTr="00584584">
        <w:trPr>
          <w:trHeight w:val="282"/>
        </w:trPr>
        <w:tc>
          <w:tcPr>
            <w:tcW w:w="562" w:type="dxa"/>
          </w:tcPr>
          <w:p w14:paraId="6DE640EA" w14:textId="77777777" w:rsidR="009372E7" w:rsidRPr="00F27622" w:rsidRDefault="009372E7" w:rsidP="00DE5D03">
            <w:pPr>
              <w:pStyle w:val="Tabletext"/>
              <w:numPr>
                <w:ilvl w:val="0"/>
                <w:numId w:val="21"/>
              </w:numPr>
            </w:pPr>
          </w:p>
        </w:tc>
        <w:tc>
          <w:tcPr>
            <w:tcW w:w="1843" w:type="dxa"/>
          </w:tcPr>
          <w:p w14:paraId="35553D99" w14:textId="0E324051" w:rsidR="009372E7" w:rsidRPr="00427135" w:rsidRDefault="00F00DB5" w:rsidP="00B24E25">
            <w:pPr>
              <w:pStyle w:val="Tabletext"/>
            </w:pPr>
            <w:proofErr w:type="spellStart"/>
            <w:r w:rsidRPr="00F00DB5">
              <w:t>Vifor</w:t>
            </w:r>
            <w:proofErr w:type="spellEnd"/>
            <w:r w:rsidRPr="00F00DB5">
              <w:t xml:space="preserve"> Pharma UK</w:t>
            </w:r>
          </w:p>
        </w:tc>
        <w:tc>
          <w:tcPr>
            <w:tcW w:w="1985" w:type="dxa"/>
          </w:tcPr>
          <w:p w14:paraId="13DC85A9" w14:textId="77777777" w:rsidR="001E4E8C" w:rsidRPr="00C5158D" w:rsidRDefault="001E4E8C" w:rsidP="001E4E8C">
            <w:pPr>
              <w:pStyle w:val="Tabletext"/>
              <w:rPr>
                <w:b/>
                <w:bCs/>
              </w:rPr>
            </w:pPr>
            <w:r w:rsidRPr="00C5158D">
              <w:rPr>
                <w:b/>
                <w:bCs/>
              </w:rPr>
              <w:t>Diagnosis</w:t>
            </w:r>
          </w:p>
          <w:p w14:paraId="2228F046" w14:textId="0E005DDE" w:rsidR="009372E7" w:rsidRPr="00427135" w:rsidRDefault="001E4E8C" w:rsidP="001E4E8C">
            <w:pPr>
              <w:pStyle w:val="Tabletext"/>
            </w:pPr>
            <w:r w:rsidRPr="00C5158D">
              <w:t>Merge statements 1 and 2</w:t>
            </w:r>
          </w:p>
        </w:tc>
        <w:tc>
          <w:tcPr>
            <w:tcW w:w="6520" w:type="dxa"/>
          </w:tcPr>
          <w:p w14:paraId="018039E5" w14:textId="2F2550D4" w:rsidR="009372E7" w:rsidRPr="00427135" w:rsidRDefault="00F00DB5" w:rsidP="00B24E25">
            <w:pPr>
              <w:pStyle w:val="Tabletext"/>
            </w:pPr>
            <w:proofErr w:type="gramStart"/>
            <w:r w:rsidRPr="00F00DB5">
              <w:t>Yes</w:t>
            </w:r>
            <w:proofErr w:type="gramEnd"/>
            <w:r w:rsidRPr="00F00DB5">
              <w:t xml:space="preserve"> we agree.</w:t>
            </w:r>
          </w:p>
        </w:tc>
        <w:tc>
          <w:tcPr>
            <w:tcW w:w="3758" w:type="dxa"/>
          </w:tcPr>
          <w:p w14:paraId="2F39AD4E" w14:textId="77777777" w:rsidR="009372E7" w:rsidRPr="00427135" w:rsidRDefault="009372E7" w:rsidP="00B24E25">
            <w:pPr>
              <w:pStyle w:val="Tabletext"/>
            </w:pPr>
          </w:p>
        </w:tc>
      </w:tr>
      <w:tr w:rsidR="007179CF" w:rsidRPr="00C92280" w14:paraId="1AB7D5D6" w14:textId="77777777" w:rsidTr="00584584">
        <w:trPr>
          <w:trHeight w:val="282"/>
        </w:trPr>
        <w:tc>
          <w:tcPr>
            <w:tcW w:w="562" w:type="dxa"/>
          </w:tcPr>
          <w:p w14:paraId="4CFE3485" w14:textId="77777777" w:rsidR="009372E7" w:rsidRPr="00F27622" w:rsidRDefault="009372E7" w:rsidP="00DE5D03">
            <w:pPr>
              <w:pStyle w:val="Tabletext"/>
              <w:numPr>
                <w:ilvl w:val="0"/>
                <w:numId w:val="21"/>
              </w:numPr>
            </w:pPr>
          </w:p>
        </w:tc>
        <w:tc>
          <w:tcPr>
            <w:tcW w:w="1843" w:type="dxa"/>
          </w:tcPr>
          <w:p w14:paraId="4F31B1ED" w14:textId="02E8F213" w:rsidR="009372E7" w:rsidRPr="00427135" w:rsidRDefault="00F00DB5" w:rsidP="00B24E25">
            <w:pPr>
              <w:pStyle w:val="Tabletext"/>
            </w:pPr>
            <w:r w:rsidRPr="00F00DB5">
              <w:t>NHSE</w:t>
            </w:r>
          </w:p>
        </w:tc>
        <w:tc>
          <w:tcPr>
            <w:tcW w:w="1985" w:type="dxa"/>
          </w:tcPr>
          <w:p w14:paraId="1934080F" w14:textId="77777777" w:rsidR="001E4E8C" w:rsidRPr="00C5158D" w:rsidRDefault="001E4E8C" w:rsidP="001E4E8C">
            <w:pPr>
              <w:pStyle w:val="Tabletext"/>
              <w:rPr>
                <w:b/>
                <w:bCs/>
              </w:rPr>
            </w:pPr>
            <w:r w:rsidRPr="00C5158D">
              <w:rPr>
                <w:b/>
                <w:bCs/>
              </w:rPr>
              <w:t>Diagnosis</w:t>
            </w:r>
          </w:p>
          <w:p w14:paraId="4083A23F" w14:textId="7C25F6CC" w:rsidR="009372E7" w:rsidRPr="00427135" w:rsidRDefault="001E4E8C" w:rsidP="001E4E8C">
            <w:pPr>
              <w:pStyle w:val="Tabletext"/>
            </w:pPr>
            <w:r w:rsidRPr="00C5158D">
              <w:t>Merge statements 1 and 2</w:t>
            </w:r>
          </w:p>
        </w:tc>
        <w:tc>
          <w:tcPr>
            <w:tcW w:w="6520" w:type="dxa"/>
          </w:tcPr>
          <w:p w14:paraId="7390F7FE" w14:textId="14903D88" w:rsidR="009372E7" w:rsidRPr="00427135" w:rsidRDefault="00F00DB5" w:rsidP="00B24E25">
            <w:pPr>
              <w:pStyle w:val="Tabletext"/>
            </w:pPr>
            <w:r w:rsidRPr="00F00DB5">
              <w:t xml:space="preserve">Yes, agree. </w:t>
            </w:r>
            <w:proofErr w:type="spellStart"/>
            <w:r w:rsidRPr="00F00DB5">
              <w:t>NTproBNP</w:t>
            </w:r>
            <w:proofErr w:type="spellEnd"/>
            <w:r w:rsidRPr="00F00DB5">
              <w:t xml:space="preserve"> thresholds should be explicit.</w:t>
            </w:r>
          </w:p>
        </w:tc>
        <w:tc>
          <w:tcPr>
            <w:tcW w:w="3758" w:type="dxa"/>
          </w:tcPr>
          <w:p w14:paraId="1B86BAC5" w14:textId="77777777" w:rsidR="009372E7" w:rsidRPr="00427135" w:rsidRDefault="009372E7" w:rsidP="00B24E25">
            <w:pPr>
              <w:pStyle w:val="Tabletext"/>
            </w:pPr>
          </w:p>
        </w:tc>
      </w:tr>
      <w:tr w:rsidR="00C213C7" w:rsidRPr="00C92280" w14:paraId="1871EA60" w14:textId="77777777" w:rsidTr="00584584">
        <w:trPr>
          <w:trHeight w:val="282"/>
        </w:trPr>
        <w:tc>
          <w:tcPr>
            <w:tcW w:w="562" w:type="dxa"/>
          </w:tcPr>
          <w:p w14:paraId="6F985B44" w14:textId="77777777" w:rsidR="00C213C7" w:rsidRPr="00F27622" w:rsidRDefault="00C213C7" w:rsidP="00C213C7">
            <w:pPr>
              <w:pStyle w:val="Tabletext"/>
              <w:numPr>
                <w:ilvl w:val="0"/>
                <w:numId w:val="21"/>
              </w:numPr>
            </w:pPr>
          </w:p>
        </w:tc>
        <w:tc>
          <w:tcPr>
            <w:tcW w:w="1843" w:type="dxa"/>
          </w:tcPr>
          <w:p w14:paraId="42F22934" w14:textId="618E3F6E" w:rsidR="00C213C7" w:rsidRPr="00F00DB5" w:rsidRDefault="00C213C7" w:rsidP="00C213C7">
            <w:pPr>
              <w:pStyle w:val="Tabletext"/>
            </w:pPr>
            <w:r w:rsidRPr="00F00DB5">
              <w:t>NHSE</w:t>
            </w:r>
          </w:p>
        </w:tc>
        <w:tc>
          <w:tcPr>
            <w:tcW w:w="1985" w:type="dxa"/>
          </w:tcPr>
          <w:p w14:paraId="292456B3" w14:textId="77777777" w:rsidR="00C213C7" w:rsidRPr="00C5158D" w:rsidRDefault="00C213C7" w:rsidP="00C213C7">
            <w:pPr>
              <w:pStyle w:val="Tabletext"/>
              <w:rPr>
                <w:b/>
                <w:bCs/>
              </w:rPr>
            </w:pPr>
            <w:r w:rsidRPr="00C5158D">
              <w:rPr>
                <w:b/>
                <w:bCs/>
              </w:rPr>
              <w:t>Diagnosis</w:t>
            </w:r>
          </w:p>
          <w:p w14:paraId="5F238023" w14:textId="721ECE8A" w:rsidR="00C213C7" w:rsidRPr="00C5158D" w:rsidRDefault="00C213C7" w:rsidP="00C213C7">
            <w:pPr>
              <w:pStyle w:val="Tabletext"/>
              <w:rPr>
                <w:b/>
                <w:bCs/>
              </w:rPr>
            </w:pPr>
            <w:r w:rsidRPr="00C5158D">
              <w:t>Merge statements 1 and 2</w:t>
            </w:r>
          </w:p>
        </w:tc>
        <w:tc>
          <w:tcPr>
            <w:tcW w:w="6520" w:type="dxa"/>
          </w:tcPr>
          <w:p w14:paraId="040E0626" w14:textId="77777777" w:rsidR="00C213C7" w:rsidRDefault="00C213C7" w:rsidP="00C213C7">
            <w:pPr>
              <w:pStyle w:val="Tabletext"/>
            </w:pPr>
            <w:r w:rsidRPr="00C213C7">
              <w:t xml:space="preserve">Co-morbidities for HF are </w:t>
            </w:r>
            <w:proofErr w:type="gramStart"/>
            <w:r w:rsidRPr="00C213C7">
              <w:t>addressed</w:t>
            </w:r>
            <w:proofErr w:type="gramEnd"/>
            <w:r w:rsidRPr="00C213C7">
              <w:t xml:space="preserve"> and patients optimised. </w:t>
            </w:r>
            <w:proofErr w:type="spellStart"/>
            <w:r w:rsidRPr="00C213C7">
              <w:t>Eg</w:t>
            </w:r>
            <w:proofErr w:type="spellEnd"/>
            <w:r w:rsidRPr="00C213C7">
              <w:t xml:space="preserve"> HTN/AF/valve disease/COPD/diabetes/CKD </w:t>
            </w:r>
            <w:proofErr w:type="spellStart"/>
            <w:r w:rsidRPr="00C213C7">
              <w:t>inc</w:t>
            </w:r>
            <w:proofErr w:type="spellEnd"/>
            <w:r w:rsidRPr="00C213C7">
              <w:t xml:space="preserve"> albuminuria</w:t>
            </w:r>
            <w:r>
              <w:t>.</w:t>
            </w:r>
          </w:p>
          <w:p w14:paraId="6FF7AD28" w14:textId="2CB365FD" w:rsidR="00C213C7" w:rsidRPr="00F00DB5" w:rsidRDefault="00C213C7" w:rsidP="00C213C7">
            <w:pPr>
              <w:pStyle w:val="Tabletext"/>
            </w:pPr>
            <w:r w:rsidRPr="00C213C7">
              <w:t>This improves outcomes</w:t>
            </w:r>
          </w:p>
        </w:tc>
        <w:tc>
          <w:tcPr>
            <w:tcW w:w="3758" w:type="dxa"/>
          </w:tcPr>
          <w:p w14:paraId="0BBACDB2" w14:textId="77777777" w:rsidR="00C213C7" w:rsidRPr="00427135" w:rsidRDefault="00C213C7" w:rsidP="00C213C7">
            <w:pPr>
              <w:pStyle w:val="Tabletext"/>
            </w:pPr>
          </w:p>
        </w:tc>
      </w:tr>
      <w:tr w:rsidR="007179CF" w:rsidRPr="00C92280" w14:paraId="40A52CBC" w14:textId="77777777" w:rsidTr="00584584">
        <w:trPr>
          <w:trHeight w:val="282"/>
        </w:trPr>
        <w:tc>
          <w:tcPr>
            <w:tcW w:w="562" w:type="dxa"/>
          </w:tcPr>
          <w:p w14:paraId="6F1D5647" w14:textId="77777777" w:rsidR="009372E7" w:rsidRPr="00F27622" w:rsidRDefault="009372E7" w:rsidP="00DE5D03">
            <w:pPr>
              <w:pStyle w:val="Tabletext"/>
              <w:numPr>
                <w:ilvl w:val="0"/>
                <w:numId w:val="21"/>
              </w:numPr>
            </w:pPr>
          </w:p>
        </w:tc>
        <w:tc>
          <w:tcPr>
            <w:tcW w:w="1843" w:type="dxa"/>
          </w:tcPr>
          <w:p w14:paraId="5383D75B" w14:textId="24249BE4" w:rsidR="009372E7" w:rsidRPr="00427135" w:rsidRDefault="007179CF" w:rsidP="00B24E25">
            <w:pPr>
              <w:pStyle w:val="Tabletext"/>
            </w:pPr>
            <w:r w:rsidRPr="007179CF">
              <w:t>NHS England and NHS Improvement</w:t>
            </w:r>
          </w:p>
        </w:tc>
        <w:tc>
          <w:tcPr>
            <w:tcW w:w="1985" w:type="dxa"/>
          </w:tcPr>
          <w:p w14:paraId="2704D09A" w14:textId="77777777" w:rsidR="001E4E8C" w:rsidRPr="00C5158D" w:rsidRDefault="001E4E8C" w:rsidP="001E4E8C">
            <w:pPr>
              <w:pStyle w:val="Tabletext"/>
              <w:rPr>
                <w:b/>
                <w:bCs/>
              </w:rPr>
            </w:pPr>
            <w:r w:rsidRPr="00C5158D">
              <w:rPr>
                <w:b/>
                <w:bCs/>
              </w:rPr>
              <w:t>Diagnosis</w:t>
            </w:r>
          </w:p>
          <w:p w14:paraId="03E997C0" w14:textId="7EC37C82" w:rsidR="009372E7" w:rsidRPr="00427135" w:rsidRDefault="001E4E8C" w:rsidP="001E4E8C">
            <w:pPr>
              <w:pStyle w:val="Tabletext"/>
            </w:pPr>
            <w:r w:rsidRPr="00C5158D">
              <w:t>Merge statements 1 and 2</w:t>
            </w:r>
          </w:p>
        </w:tc>
        <w:tc>
          <w:tcPr>
            <w:tcW w:w="6520" w:type="dxa"/>
          </w:tcPr>
          <w:p w14:paraId="536ECAAD" w14:textId="4FE4FACC" w:rsidR="009372E7" w:rsidRPr="00427135" w:rsidRDefault="007179CF" w:rsidP="00B24E25">
            <w:pPr>
              <w:pStyle w:val="Tabletext"/>
            </w:pPr>
            <w:r w:rsidRPr="007179CF">
              <w:t>Yes, we agree with this proposal</w:t>
            </w:r>
          </w:p>
        </w:tc>
        <w:tc>
          <w:tcPr>
            <w:tcW w:w="3758" w:type="dxa"/>
          </w:tcPr>
          <w:p w14:paraId="5C6242AF" w14:textId="77777777" w:rsidR="009372E7" w:rsidRPr="00427135" w:rsidRDefault="009372E7" w:rsidP="00B24E25">
            <w:pPr>
              <w:pStyle w:val="Tabletext"/>
            </w:pPr>
          </w:p>
        </w:tc>
      </w:tr>
      <w:tr w:rsidR="007179CF" w:rsidRPr="00C92280" w14:paraId="2A7A75F7" w14:textId="77777777" w:rsidTr="00584584">
        <w:trPr>
          <w:trHeight w:val="282"/>
        </w:trPr>
        <w:tc>
          <w:tcPr>
            <w:tcW w:w="562" w:type="dxa"/>
          </w:tcPr>
          <w:p w14:paraId="05A83729" w14:textId="77777777" w:rsidR="009372E7" w:rsidRPr="00F27622" w:rsidRDefault="009372E7" w:rsidP="00DE5D03">
            <w:pPr>
              <w:pStyle w:val="Tabletext"/>
              <w:numPr>
                <w:ilvl w:val="0"/>
                <w:numId w:val="21"/>
              </w:numPr>
            </w:pPr>
          </w:p>
        </w:tc>
        <w:tc>
          <w:tcPr>
            <w:tcW w:w="1843" w:type="dxa"/>
          </w:tcPr>
          <w:p w14:paraId="2158E295" w14:textId="50A7CA66" w:rsidR="009372E7" w:rsidRPr="00427135" w:rsidRDefault="007179CF" w:rsidP="00B24E25">
            <w:pPr>
              <w:pStyle w:val="Tabletext"/>
            </w:pPr>
            <w:r>
              <w:t>SCM4</w:t>
            </w:r>
          </w:p>
        </w:tc>
        <w:tc>
          <w:tcPr>
            <w:tcW w:w="1985" w:type="dxa"/>
          </w:tcPr>
          <w:p w14:paraId="1A5E2750" w14:textId="77777777" w:rsidR="001E4E8C" w:rsidRPr="00C5158D" w:rsidRDefault="001E4E8C" w:rsidP="001E4E8C">
            <w:pPr>
              <w:pStyle w:val="Tabletext"/>
              <w:rPr>
                <w:b/>
                <w:bCs/>
              </w:rPr>
            </w:pPr>
            <w:r w:rsidRPr="00C5158D">
              <w:rPr>
                <w:b/>
                <w:bCs/>
              </w:rPr>
              <w:t>Diagnosis</w:t>
            </w:r>
          </w:p>
          <w:p w14:paraId="69F93AEE" w14:textId="2916DA91" w:rsidR="009372E7" w:rsidRPr="00427135" w:rsidRDefault="001E4E8C" w:rsidP="001E4E8C">
            <w:pPr>
              <w:pStyle w:val="Tabletext"/>
            </w:pPr>
            <w:r w:rsidRPr="00C5158D">
              <w:t>Merge statements 1 and 2</w:t>
            </w:r>
          </w:p>
        </w:tc>
        <w:tc>
          <w:tcPr>
            <w:tcW w:w="6520" w:type="dxa"/>
          </w:tcPr>
          <w:p w14:paraId="369E5401" w14:textId="77777777" w:rsidR="007179CF" w:rsidRDefault="007179CF" w:rsidP="007179CF">
            <w:pPr>
              <w:pStyle w:val="Tabletext"/>
            </w:pPr>
            <w:r>
              <w:t>Both statements relate to the diagnosis of heart failure but should not be combined. Both areas are significantly important to have individual focus with the importance of linkage. Combining both statements would dilute their significance and the outcome of the patient.</w:t>
            </w:r>
          </w:p>
          <w:p w14:paraId="73096BEC" w14:textId="77777777" w:rsidR="007179CF" w:rsidRDefault="007179CF" w:rsidP="007179CF">
            <w:pPr>
              <w:pStyle w:val="Tabletext"/>
            </w:pPr>
            <w:r>
              <w:t>Statement 1 – This statement relates to the clinical process of assessing and diagnosing a person with suspected heart failure. This statement is about the clinical processes.</w:t>
            </w:r>
          </w:p>
          <w:p w14:paraId="4B7E3A77" w14:textId="77777777" w:rsidR="007179CF" w:rsidRDefault="007179CF" w:rsidP="007179CF">
            <w:pPr>
              <w:pStyle w:val="Tabletext"/>
            </w:pPr>
            <w:r>
              <w:t xml:space="preserve">Statement 2 – This statement relates to the severity and timescales a person with suspected heart failure is processed through the system. Although this statement doesn’t go anywhere near as to legally pin down a process, like the legal obligation for a person with suspected cancer to be seen by specialists within 2 weeks, this statement is about timescale.  </w:t>
            </w:r>
          </w:p>
          <w:p w14:paraId="2ADC2D9E" w14:textId="4495B947" w:rsidR="009372E7" w:rsidRPr="00427135" w:rsidRDefault="007179CF" w:rsidP="007179CF">
            <w:pPr>
              <w:pStyle w:val="Tabletext"/>
            </w:pPr>
            <w:r>
              <w:t>I do not agree that combining these two statements has any value and, in many respects, is proposing the combination of two separate channels relating to diagnosis – clinical process and timescale.</w:t>
            </w:r>
          </w:p>
        </w:tc>
        <w:tc>
          <w:tcPr>
            <w:tcW w:w="3758" w:type="dxa"/>
          </w:tcPr>
          <w:p w14:paraId="5BCEE029" w14:textId="77777777" w:rsidR="009372E7" w:rsidRPr="00427135" w:rsidRDefault="009372E7" w:rsidP="00B24E25">
            <w:pPr>
              <w:pStyle w:val="Tabletext"/>
            </w:pPr>
          </w:p>
        </w:tc>
      </w:tr>
      <w:tr w:rsidR="007179CF" w:rsidRPr="00C92280" w14:paraId="3D527B78" w14:textId="77777777" w:rsidTr="00584584">
        <w:trPr>
          <w:trHeight w:val="282"/>
        </w:trPr>
        <w:tc>
          <w:tcPr>
            <w:tcW w:w="562" w:type="dxa"/>
          </w:tcPr>
          <w:p w14:paraId="3C70CF1C" w14:textId="77777777" w:rsidR="009372E7" w:rsidRPr="00F27622" w:rsidRDefault="009372E7" w:rsidP="00DE5D03">
            <w:pPr>
              <w:pStyle w:val="Tabletext"/>
              <w:numPr>
                <w:ilvl w:val="0"/>
                <w:numId w:val="21"/>
              </w:numPr>
            </w:pPr>
          </w:p>
        </w:tc>
        <w:tc>
          <w:tcPr>
            <w:tcW w:w="1843" w:type="dxa"/>
          </w:tcPr>
          <w:p w14:paraId="4EC64A79" w14:textId="4876DD59" w:rsidR="009372E7" w:rsidRPr="00427135" w:rsidRDefault="007179CF" w:rsidP="00B24E25">
            <w:pPr>
              <w:pStyle w:val="Tabletext"/>
            </w:pPr>
            <w:r>
              <w:t>SCM4</w:t>
            </w:r>
          </w:p>
        </w:tc>
        <w:tc>
          <w:tcPr>
            <w:tcW w:w="1985" w:type="dxa"/>
          </w:tcPr>
          <w:p w14:paraId="2823F3FA" w14:textId="77777777" w:rsidR="009372E7" w:rsidRPr="00427135" w:rsidRDefault="009372E7" w:rsidP="00B24E25">
            <w:pPr>
              <w:pStyle w:val="Tabletext"/>
            </w:pPr>
          </w:p>
        </w:tc>
        <w:tc>
          <w:tcPr>
            <w:tcW w:w="6520" w:type="dxa"/>
          </w:tcPr>
          <w:p w14:paraId="38B37066" w14:textId="77777777" w:rsidR="007179CF" w:rsidRDefault="007179CF" w:rsidP="007179CF">
            <w:pPr>
              <w:pStyle w:val="Tabletext"/>
            </w:pPr>
            <w:r>
              <w:t xml:space="preserve">I would like to question this sentence. </w:t>
            </w:r>
          </w:p>
          <w:p w14:paraId="56EBD720" w14:textId="77777777" w:rsidR="007179CF" w:rsidRDefault="007179CF" w:rsidP="007179CF">
            <w:pPr>
              <w:pStyle w:val="Tabletext"/>
            </w:pPr>
          </w:p>
          <w:p w14:paraId="30A8D585" w14:textId="77777777" w:rsidR="007179CF" w:rsidRDefault="007179CF" w:rsidP="007179CF">
            <w:pPr>
              <w:pStyle w:val="Tabletext"/>
            </w:pPr>
            <w:r>
              <w:t xml:space="preserve">“The echocardiogram will show any valve disease and assess the function of the left ventricle.” </w:t>
            </w:r>
          </w:p>
          <w:p w14:paraId="58142290" w14:textId="77777777" w:rsidR="007179CF" w:rsidRDefault="007179CF" w:rsidP="007179CF">
            <w:pPr>
              <w:pStyle w:val="Tabletext"/>
            </w:pPr>
          </w:p>
          <w:p w14:paraId="4D5BBDAE" w14:textId="177EC096" w:rsidR="009372E7" w:rsidRPr="007179CF" w:rsidRDefault="007179CF" w:rsidP="007179CF">
            <w:pPr>
              <w:pStyle w:val="Tabletext"/>
            </w:pPr>
            <w:r>
              <w:lastRenderedPageBreak/>
              <w:t xml:space="preserve">Does this mean that the quality standard does not cover the needs of people with </w:t>
            </w:r>
            <w:proofErr w:type="spellStart"/>
            <w:r>
              <w:t>HFpEF</w:t>
            </w:r>
            <w:proofErr w:type="spellEnd"/>
            <w:r>
              <w:t>? Or the dysfunctionality of their heart other than their LV? Shouldn’t it cover all heart failure.</w:t>
            </w:r>
          </w:p>
        </w:tc>
        <w:tc>
          <w:tcPr>
            <w:tcW w:w="3758" w:type="dxa"/>
          </w:tcPr>
          <w:p w14:paraId="5388AC9A" w14:textId="6158F90D" w:rsidR="009372E7" w:rsidRPr="00427135" w:rsidRDefault="007179CF" w:rsidP="00B24E25">
            <w:pPr>
              <w:pStyle w:val="Tabletext"/>
            </w:pPr>
            <w:r w:rsidRPr="007179CF">
              <w:lastRenderedPageBreak/>
              <w:t xml:space="preserve">In line with the latest clinical guidelines </w:t>
            </w:r>
            <w:hyperlink r:id="rId59" w:history="1">
              <w:r w:rsidRPr="00E67CE4">
                <w:rPr>
                  <w:rStyle w:val="Hyperlink"/>
                </w:rPr>
                <w:t>https://academic.oup.com/eurheartj/article/42/36/3599/6358045?login=false</w:t>
              </w:r>
            </w:hyperlink>
            <w:r>
              <w:t xml:space="preserve"> </w:t>
            </w:r>
          </w:p>
        </w:tc>
      </w:tr>
      <w:tr w:rsidR="007179CF" w:rsidRPr="00C92280" w14:paraId="1824D02C" w14:textId="77777777" w:rsidTr="00584584">
        <w:trPr>
          <w:trHeight w:val="282"/>
        </w:trPr>
        <w:tc>
          <w:tcPr>
            <w:tcW w:w="562" w:type="dxa"/>
          </w:tcPr>
          <w:p w14:paraId="7FAB18E1" w14:textId="77777777" w:rsidR="009372E7" w:rsidRPr="00F27622" w:rsidRDefault="009372E7" w:rsidP="00DE5D03">
            <w:pPr>
              <w:pStyle w:val="Tabletext"/>
              <w:numPr>
                <w:ilvl w:val="0"/>
                <w:numId w:val="21"/>
              </w:numPr>
            </w:pPr>
          </w:p>
        </w:tc>
        <w:tc>
          <w:tcPr>
            <w:tcW w:w="1843" w:type="dxa"/>
          </w:tcPr>
          <w:p w14:paraId="61E67017" w14:textId="5E4E40CC" w:rsidR="009372E7" w:rsidRPr="00427135" w:rsidRDefault="009D16B0" w:rsidP="00B24E25">
            <w:pPr>
              <w:pStyle w:val="Tabletext"/>
            </w:pPr>
            <w:r w:rsidRPr="009D16B0">
              <w:t>Novartis Pharmaceuticals UK Ltd</w:t>
            </w:r>
          </w:p>
        </w:tc>
        <w:tc>
          <w:tcPr>
            <w:tcW w:w="1985" w:type="dxa"/>
          </w:tcPr>
          <w:p w14:paraId="10BEE384" w14:textId="77777777" w:rsidR="001E4E8C" w:rsidRPr="00C5158D" w:rsidRDefault="001E4E8C" w:rsidP="001E4E8C">
            <w:pPr>
              <w:pStyle w:val="Tabletext"/>
              <w:rPr>
                <w:b/>
                <w:bCs/>
              </w:rPr>
            </w:pPr>
            <w:r w:rsidRPr="00C5158D">
              <w:rPr>
                <w:b/>
                <w:bCs/>
              </w:rPr>
              <w:t>Diagnosis</w:t>
            </w:r>
          </w:p>
          <w:p w14:paraId="6067020A" w14:textId="062B01DE" w:rsidR="009372E7" w:rsidRPr="00427135" w:rsidRDefault="001E4E8C" w:rsidP="001E4E8C">
            <w:pPr>
              <w:pStyle w:val="Tabletext"/>
            </w:pPr>
            <w:r w:rsidRPr="00C5158D">
              <w:t>Merge statements 1 and 2</w:t>
            </w:r>
          </w:p>
        </w:tc>
        <w:tc>
          <w:tcPr>
            <w:tcW w:w="6520" w:type="dxa"/>
          </w:tcPr>
          <w:p w14:paraId="4BA3BD9A" w14:textId="04022CFE" w:rsidR="009372E7" w:rsidRPr="00427135" w:rsidRDefault="009D16B0" w:rsidP="00B24E25">
            <w:pPr>
              <w:pStyle w:val="Tabletext"/>
            </w:pPr>
            <w:r w:rsidRPr="009D16B0">
              <w:t>While we agree with the proposal to merge the two statements on diagnosis, we’d like to note that the use of NT-</w:t>
            </w:r>
            <w:proofErr w:type="spellStart"/>
            <w:r w:rsidRPr="009D16B0">
              <w:t>proBNP</w:t>
            </w:r>
            <w:proofErr w:type="spellEnd"/>
            <w:r w:rsidRPr="009D16B0">
              <w:t xml:space="preserve"> or BNP testing as an exclusion test for heart failure (before echocardiogram is conducted) is not explicitly stated. Quality statement 2 refers to ‘very high levels of serum natriuretic peptides’ in the diagnostic pathway but does not explicitly state that an NT-</w:t>
            </w:r>
            <w:proofErr w:type="spellStart"/>
            <w:r w:rsidRPr="009D16B0">
              <w:t>proBNP</w:t>
            </w:r>
            <w:proofErr w:type="spellEnd"/>
            <w:r w:rsidRPr="009D16B0">
              <w:t xml:space="preserve"> or BNP test should be conducted in the first instance to rule-out the possibility of heart failure. Since this is a simple and inexpensive step to take in the early identification of heart failure – and has been recommended within key British Society for Heart Failure (BSH) and European Society of Cardiology (ESC) guidance – we propose that the use of NT-</w:t>
            </w:r>
            <w:proofErr w:type="spellStart"/>
            <w:r w:rsidRPr="009D16B0">
              <w:t>proBNP</w:t>
            </w:r>
            <w:proofErr w:type="spellEnd"/>
            <w:r w:rsidRPr="009D16B0">
              <w:t xml:space="preserve"> or BNP testing is included in the consolidated quality statement.</w:t>
            </w:r>
          </w:p>
        </w:tc>
        <w:tc>
          <w:tcPr>
            <w:tcW w:w="3758" w:type="dxa"/>
          </w:tcPr>
          <w:p w14:paraId="63ADA877" w14:textId="77777777" w:rsidR="009372E7" w:rsidRPr="00427135" w:rsidRDefault="009372E7" w:rsidP="00B24E25">
            <w:pPr>
              <w:pStyle w:val="Tabletext"/>
            </w:pPr>
          </w:p>
        </w:tc>
      </w:tr>
      <w:tr w:rsidR="007179CF" w:rsidRPr="00C92280" w14:paraId="2A779B67" w14:textId="77777777" w:rsidTr="00584584">
        <w:trPr>
          <w:trHeight w:val="282"/>
        </w:trPr>
        <w:tc>
          <w:tcPr>
            <w:tcW w:w="562" w:type="dxa"/>
          </w:tcPr>
          <w:p w14:paraId="3DE2B5DF" w14:textId="77777777" w:rsidR="009372E7" w:rsidRPr="00F27622" w:rsidRDefault="009372E7" w:rsidP="00DE5D03">
            <w:pPr>
              <w:pStyle w:val="Tabletext"/>
              <w:numPr>
                <w:ilvl w:val="0"/>
                <w:numId w:val="21"/>
              </w:numPr>
            </w:pPr>
          </w:p>
        </w:tc>
        <w:tc>
          <w:tcPr>
            <w:tcW w:w="1843" w:type="dxa"/>
          </w:tcPr>
          <w:p w14:paraId="3D67F2F8" w14:textId="1D81FFB3" w:rsidR="009372E7" w:rsidRPr="00427135" w:rsidRDefault="009D16B0" w:rsidP="00B24E25">
            <w:pPr>
              <w:pStyle w:val="Tabletext"/>
            </w:pPr>
            <w:r w:rsidRPr="009D16B0">
              <w:t>Novartis Pharmaceuticals UK Ltd</w:t>
            </w:r>
          </w:p>
        </w:tc>
        <w:tc>
          <w:tcPr>
            <w:tcW w:w="1985" w:type="dxa"/>
          </w:tcPr>
          <w:p w14:paraId="1B892B33" w14:textId="77777777" w:rsidR="001E4E8C" w:rsidRPr="00C5158D" w:rsidRDefault="001E4E8C" w:rsidP="001E4E8C">
            <w:pPr>
              <w:pStyle w:val="Tabletext"/>
              <w:rPr>
                <w:b/>
                <w:bCs/>
              </w:rPr>
            </w:pPr>
            <w:r w:rsidRPr="00C5158D">
              <w:rPr>
                <w:b/>
                <w:bCs/>
              </w:rPr>
              <w:t>Diagnosis</w:t>
            </w:r>
          </w:p>
          <w:p w14:paraId="57E0EE75" w14:textId="784B0ADB" w:rsidR="009372E7" w:rsidRPr="00427135" w:rsidRDefault="001E4E8C" w:rsidP="001E4E8C">
            <w:pPr>
              <w:pStyle w:val="Tabletext"/>
            </w:pPr>
            <w:r w:rsidRPr="00C5158D">
              <w:t>Merge statements 1 and 2</w:t>
            </w:r>
          </w:p>
        </w:tc>
        <w:tc>
          <w:tcPr>
            <w:tcW w:w="6520" w:type="dxa"/>
          </w:tcPr>
          <w:p w14:paraId="26516024" w14:textId="77777777" w:rsidR="009372E7" w:rsidRDefault="009D16B0" w:rsidP="00B24E25">
            <w:pPr>
              <w:pStyle w:val="Tabletext"/>
            </w:pPr>
            <w:r w:rsidRPr="009D16B0">
              <w:t>Inclusion of NT-</w:t>
            </w:r>
            <w:proofErr w:type="spellStart"/>
            <w:r w:rsidRPr="009D16B0">
              <w:t>proBNP</w:t>
            </w:r>
            <w:proofErr w:type="spellEnd"/>
            <w:r w:rsidRPr="009D16B0">
              <w:t xml:space="preserve"> or BNP testing in the diagnostic quality statement (either to be included within the proposed merged statement or within a standalone statement, depending on what the Committee feel is most appropriate)</w:t>
            </w:r>
          </w:p>
          <w:p w14:paraId="1956B5C3" w14:textId="586BF2D0" w:rsidR="009D16B0" w:rsidRPr="00427135" w:rsidRDefault="009D16B0" w:rsidP="00B24E25">
            <w:pPr>
              <w:pStyle w:val="Tabletext"/>
            </w:pPr>
            <w:r w:rsidRPr="009D16B0">
              <w:t>Several key clinical bodies and stakeholder groups, such as the British Society for Heart Failure (BSH), The European Society of Cardiology (ESC) and The Alliance for Heart Failure have emphasised the critical importance of accurate, early identification of heart failure to improve patient outcomes. NT-</w:t>
            </w:r>
            <w:proofErr w:type="spellStart"/>
            <w:r w:rsidRPr="009D16B0">
              <w:t>proBNP</w:t>
            </w:r>
            <w:proofErr w:type="spellEnd"/>
            <w:r w:rsidRPr="009D16B0">
              <w:t xml:space="preserve"> or BNP tests act as simple, inexpensive exclusion tests for heart failure by measuring levels of serum natriuretic peptides before the need for a (more expensive and resource intensive) echocardiogram to confirm diagnosis.</w:t>
            </w:r>
          </w:p>
        </w:tc>
        <w:tc>
          <w:tcPr>
            <w:tcW w:w="3758" w:type="dxa"/>
          </w:tcPr>
          <w:p w14:paraId="5805BF63" w14:textId="77777777" w:rsidR="009D16B0" w:rsidRPr="009D16B0" w:rsidRDefault="009D16B0" w:rsidP="00DE5D03">
            <w:pPr>
              <w:pStyle w:val="Tabletext"/>
            </w:pPr>
            <w:r w:rsidRPr="009D16B0">
              <w:t xml:space="preserve">The BSH has emphasised in </w:t>
            </w:r>
            <w:hyperlink r:id="rId60" w:history="1">
              <w:r w:rsidRPr="009D16B0">
                <w:rPr>
                  <w:rStyle w:val="Hyperlink"/>
                </w:rPr>
                <w:t>A Position Statement</w:t>
              </w:r>
            </w:hyperlink>
            <w:r w:rsidRPr="009D16B0">
              <w:t xml:space="preserve"> that heart failure service provisions should include as a minimum </w:t>
            </w:r>
            <w:proofErr w:type="spellStart"/>
            <w:r w:rsidRPr="009D16B0">
              <w:t>NTproBNP</w:t>
            </w:r>
            <w:proofErr w:type="spellEnd"/>
            <w:r w:rsidRPr="009D16B0">
              <w:t>/BNP for those with possible new diagnosis of HF.</w:t>
            </w:r>
          </w:p>
          <w:p w14:paraId="6F8C2622" w14:textId="77777777" w:rsidR="009D16B0" w:rsidRPr="009D16B0" w:rsidRDefault="009D16B0" w:rsidP="00DE5D03">
            <w:pPr>
              <w:pStyle w:val="Tabletext"/>
            </w:pPr>
            <w:r w:rsidRPr="009D16B0">
              <w:t xml:space="preserve">The </w:t>
            </w:r>
            <w:hyperlink r:id="rId61" w:history="1">
              <w:r w:rsidRPr="009D16B0">
                <w:rPr>
                  <w:rStyle w:val="Hyperlink"/>
                </w:rPr>
                <w:t>2021 ESC Guidelines</w:t>
              </w:r>
            </w:hyperlink>
            <w:r w:rsidRPr="009D16B0">
              <w:t xml:space="preserve"> for the diagnosis and treatment of acute and chronic heart failure recommends the measurement of BNP and </w:t>
            </w:r>
            <w:proofErr w:type="spellStart"/>
            <w:r w:rsidRPr="009D16B0">
              <w:t>NTproBNP</w:t>
            </w:r>
            <w:proofErr w:type="spellEnd"/>
            <w:r w:rsidRPr="009D16B0">
              <w:t>, if available.</w:t>
            </w:r>
          </w:p>
          <w:p w14:paraId="6E9FD924" w14:textId="77777777" w:rsidR="009D16B0" w:rsidRPr="009D16B0" w:rsidRDefault="009D16B0" w:rsidP="00DE5D03">
            <w:pPr>
              <w:pStyle w:val="Tabletext"/>
            </w:pPr>
            <w:r w:rsidRPr="009D16B0">
              <w:t>The Alliance for Heart Failure has emphasised the need to prioritise the use of NT-</w:t>
            </w:r>
            <w:proofErr w:type="spellStart"/>
            <w:r w:rsidRPr="009D16B0">
              <w:t>proBNP</w:t>
            </w:r>
            <w:proofErr w:type="spellEnd"/>
            <w:r w:rsidRPr="009D16B0">
              <w:t xml:space="preserve"> testing to </w:t>
            </w:r>
            <w:r w:rsidRPr="009D16B0">
              <w:lastRenderedPageBreak/>
              <w:t xml:space="preserve">improve early identification of heart failure in the 2020 </w:t>
            </w:r>
            <w:hyperlink r:id="rId62" w:history="1">
              <w:r w:rsidRPr="009D16B0">
                <w:rPr>
                  <w:rStyle w:val="Hyperlink"/>
                </w:rPr>
                <w:t>Call to Action</w:t>
              </w:r>
            </w:hyperlink>
            <w:r w:rsidRPr="009D16B0">
              <w:t xml:space="preserve"> report.</w:t>
            </w:r>
          </w:p>
          <w:p w14:paraId="2E87CAB0" w14:textId="055A1E69" w:rsidR="009372E7" w:rsidRPr="00427135" w:rsidRDefault="009D16B0" w:rsidP="009D16B0">
            <w:pPr>
              <w:pStyle w:val="Tabletext"/>
            </w:pPr>
            <w:r w:rsidRPr="009D16B0">
              <w:t xml:space="preserve">The newly published </w:t>
            </w:r>
            <w:hyperlink r:id="rId63" w:history="1">
              <w:r w:rsidRPr="009D16B0">
                <w:rPr>
                  <w:rStyle w:val="Hyperlink"/>
                </w:rPr>
                <w:t>PCN DES</w:t>
              </w:r>
            </w:hyperlink>
            <w:r w:rsidRPr="009D16B0">
              <w:t xml:space="preserve"> emphasises the criticality of prioritising heart failure identification among major CVD risk factors such as AF, hypertension and high cholesterol, including specifically through the timely use of NT-</w:t>
            </w:r>
            <w:proofErr w:type="spellStart"/>
            <w:r w:rsidRPr="009D16B0">
              <w:t>proBNP</w:t>
            </w:r>
            <w:proofErr w:type="spellEnd"/>
            <w:r w:rsidRPr="009D16B0">
              <w:t xml:space="preserve"> testing.  </w:t>
            </w:r>
          </w:p>
        </w:tc>
      </w:tr>
      <w:tr w:rsidR="007179CF" w:rsidRPr="00C92280" w14:paraId="6EAFE031" w14:textId="77777777" w:rsidTr="00584584">
        <w:trPr>
          <w:trHeight w:val="282"/>
        </w:trPr>
        <w:tc>
          <w:tcPr>
            <w:tcW w:w="562" w:type="dxa"/>
          </w:tcPr>
          <w:p w14:paraId="7A6012FD" w14:textId="77777777" w:rsidR="009372E7" w:rsidRPr="00F27622" w:rsidRDefault="009372E7" w:rsidP="00DE5D03">
            <w:pPr>
              <w:pStyle w:val="Tabletext"/>
              <w:numPr>
                <w:ilvl w:val="0"/>
                <w:numId w:val="21"/>
              </w:numPr>
            </w:pPr>
          </w:p>
        </w:tc>
        <w:tc>
          <w:tcPr>
            <w:tcW w:w="1843" w:type="dxa"/>
          </w:tcPr>
          <w:p w14:paraId="52C55CBC" w14:textId="062F2B03" w:rsidR="009372E7" w:rsidRPr="00427135" w:rsidRDefault="009D16B0" w:rsidP="00B24E25">
            <w:pPr>
              <w:pStyle w:val="Tabletext"/>
            </w:pPr>
            <w:r>
              <w:t>SCM5</w:t>
            </w:r>
          </w:p>
        </w:tc>
        <w:tc>
          <w:tcPr>
            <w:tcW w:w="1985" w:type="dxa"/>
          </w:tcPr>
          <w:p w14:paraId="4561758F" w14:textId="77777777" w:rsidR="001E4E8C" w:rsidRPr="00C5158D" w:rsidRDefault="001E4E8C" w:rsidP="001E4E8C">
            <w:pPr>
              <w:pStyle w:val="Tabletext"/>
              <w:rPr>
                <w:b/>
                <w:bCs/>
              </w:rPr>
            </w:pPr>
            <w:r w:rsidRPr="00C5158D">
              <w:rPr>
                <w:b/>
                <w:bCs/>
              </w:rPr>
              <w:t>Diagnosis</w:t>
            </w:r>
          </w:p>
          <w:p w14:paraId="788376A1" w14:textId="46E7BA67" w:rsidR="009372E7" w:rsidRPr="00427135" w:rsidRDefault="001E4E8C" w:rsidP="001E4E8C">
            <w:pPr>
              <w:pStyle w:val="Tabletext"/>
            </w:pPr>
            <w:r w:rsidRPr="00C5158D">
              <w:t>Merge statements 1 and 2</w:t>
            </w:r>
          </w:p>
        </w:tc>
        <w:tc>
          <w:tcPr>
            <w:tcW w:w="6520" w:type="dxa"/>
          </w:tcPr>
          <w:p w14:paraId="2FEAD2F2" w14:textId="38495428" w:rsidR="009372E7" w:rsidRPr="00427135" w:rsidRDefault="009D16B0" w:rsidP="00B24E25">
            <w:pPr>
              <w:pStyle w:val="Tabletext"/>
            </w:pPr>
            <w:r w:rsidRPr="009D16B0">
              <w:t xml:space="preserve">Agree – though diagnosis needs to be timely. Ideally NICE QS would </w:t>
            </w:r>
            <w:proofErr w:type="spellStart"/>
            <w:r w:rsidRPr="009D16B0">
              <w:t>nt</w:t>
            </w:r>
            <w:proofErr w:type="spellEnd"/>
            <w:r w:rsidRPr="009D16B0">
              <w:t xml:space="preserve"> - it should be stratified according to </w:t>
            </w:r>
            <w:proofErr w:type="spellStart"/>
            <w:r w:rsidRPr="009D16B0">
              <w:t>NTproBNP</w:t>
            </w:r>
            <w:proofErr w:type="spellEnd"/>
            <w:r w:rsidRPr="009D16B0">
              <w:t xml:space="preserve"> level, as per NICE guidelines (echocardiography and HF specialist assessment in &lt;2 weeks if BNP &gt;2000, &lt;6 weeks if BNP 400-2000)</w:t>
            </w:r>
          </w:p>
        </w:tc>
        <w:tc>
          <w:tcPr>
            <w:tcW w:w="3758" w:type="dxa"/>
          </w:tcPr>
          <w:p w14:paraId="5EAB5A31" w14:textId="77777777" w:rsidR="009372E7" w:rsidRPr="00427135" w:rsidRDefault="009372E7" w:rsidP="00B24E25">
            <w:pPr>
              <w:pStyle w:val="Tabletext"/>
            </w:pPr>
          </w:p>
        </w:tc>
      </w:tr>
      <w:tr w:rsidR="007179CF" w:rsidRPr="00C92280" w14:paraId="03237914" w14:textId="77777777" w:rsidTr="00584584">
        <w:trPr>
          <w:trHeight w:val="282"/>
        </w:trPr>
        <w:tc>
          <w:tcPr>
            <w:tcW w:w="562" w:type="dxa"/>
          </w:tcPr>
          <w:p w14:paraId="23A399A6" w14:textId="77777777" w:rsidR="009372E7" w:rsidRPr="00F27622" w:rsidRDefault="009372E7" w:rsidP="00DE5D03">
            <w:pPr>
              <w:pStyle w:val="Tabletext"/>
              <w:numPr>
                <w:ilvl w:val="0"/>
                <w:numId w:val="21"/>
              </w:numPr>
            </w:pPr>
          </w:p>
        </w:tc>
        <w:tc>
          <w:tcPr>
            <w:tcW w:w="1843" w:type="dxa"/>
          </w:tcPr>
          <w:p w14:paraId="564A4999" w14:textId="33AF4754" w:rsidR="009372E7" w:rsidRPr="00427135" w:rsidRDefault="009D16B0" w:rsidP="00B24E25">
            <w:pPr>
              <w:pStyle w:val="Tabletext"/>
            </w:pPr>
            <w:r>
              <w:t>SCM5</w:t>
            </w:r>
          </w:p>
        </w:tc>
        <w:tc>
          <w:tcPr>
            <w:tcW w:w="1985" w:type="dxa"/>
          </w:tcPr>
          <w:p w14:paraId="193B5976" w14:textId="77777777" w:rsidR="001E4E8C" w:rsidRPr="00C5158D" w:rsidRDefault="001E4E8C" w:rsidP="001E4E8C">
            <w:pPr>
              <w:pStyle w:val="Tabletext"/>
              <w:rPr>
                <w:b/>
                <w:bCs/>
              </w:rPr>
            </w:pPr>
            <w:r w:rsidRPr="00C5158D">
              <w:rPr>
                <w:b/>
                <w:bCs/>
              </w:rPr>
              <w:t>Diagnosis</w:t>
            </w:r>
          </w:p>
          <w:p w14:paraId="7AF659AE" w14:textId="14E3B5FF" w:rsidR="009372E7" w:rsidRPr="00427135" w:rsidRDefault="001E4E8C" w:rsidP="001E4E8C">
            <w:pPr>
              <w:pStyle w:val="Tabletext"/>
            </w:pPr>
            <w:r w:rsidRPr="00C5158D">
              <w:t>Merge statements 1 and 2</w:t>
            </w:r>
          </w:p>
        </w:tc>
        <w:tc>
          <w:tcPr>
            <w:tcW w:w="6520" w:type="dxa"/>
          </w:tcPr>
          <w:p w14:paraId="39F5EFDB" w14:textId="77777777" w:rsidR="009D16B0" w:rsidRPr="009D16B0" w:rsidRDefault="009D16B0" w:rsidP="009D16B0">
            <w:pPr>
              <w:pStyle w:val="Tabletext"/>
              <w:rPr>
                <w:bCs/>
              </w:rPr>
            </w:pPr>
            <w:r w:rsidRPr="009D16B0">
              <w:rPr>
                <w:bCs/>
              </w:rPr>
              <w:t>Timely diagnosis, by a specialist</w:t>
            </w:r>
          </w:p>
          <w:p w14:paraId="2AFF7F99" w14:textId="77777777" w:rsidR="009D16B0" w:rsidRPr="009D16B0" w:rsidRDefault="009D16B0" w:rsidP="009D16B0">
            <w:pPr>
              <w:pStyle w:val="Tabletext"/>
              <w:numPr>
                <w:ilvl w:val="0"/>
                <w:numId w:val="23"/>
              </w:numPr>
              <w:rPr>
                <w:bCs/>
              </w:rPr>
            </w:pPr>
            <w:r w:rsidRPr="009D16B0">
              <w:rPr>
                <w:bCs/>
              </w:rPr>
              <w:t xml:space="preserve">Merging QS 1 + </w:t>
            </w:r>
            <w:proofErr w:type="gramStart"/>
            <w:r w:rsidRPr="009D16B0">
              <w:rPr>
                <w:bCs/>
              </w:rPr>
              <w:t>2, but</w:t>
            </w:r>
            <w:proofErr w:type="gramEnd"/>
            <w:r w:rsidRPr="009D16B0">
              <w:rPr>
                <w:bCs/>
              </w:rPr>
              <w:t xml:space="preserve"> emphasising the triaging urgency according to </w:t>
            </w:r>
            <w:proofErr w:type="spellStart"/>
            <w:r w:rsidRPr="009D16B0">
              <w:rPr>
                <w:bCs/>
              </w:rPr>
              <w:t>NTproBNP</w:t>
            </w:r>
            <w:proofErr w:type="spellEnd"/>
            <w:r w:rsidRPr="009D16B0">
              <w:rPr>
                <w:bCs/>
              </w:rPr>
              <w:t xml:space="preserve"> levels (as above).</w:t>
            </w:r>
          </w:p>
          <w:p w14:paraId="4F9B6D36" w14:textId="77777777" w:rsidR="009D16B0" w:rsidRDefault="009D16B0" w:rsidP="009D16B0">
            <w:pPr>
              <w:pStyle w:val="Tabletext"/>
              <w:numPr>
                <w:ilvl w:val="0"/>
                <w:numId w:val="23"/>
              </w:numPr>
              <w:rPr>
                <w:bCs/>
              </w:rPr>
            </w:pPr>
            <w:r w:rsidRPr="009D16B0">
              <w:rPr>
                <w:bCs/>
              </w:rPr>
              <w:t>Emphasis on those at highest risk (</w:t>
            </w:r>
            <w:proofErr w:type="spellStart"/>
            <w:r w:rsidRPr="009D16B0">
              <w:rPr>
                <w:bCs/>
              </w:rPr>
              <w:t>NTproBNP</w:t>
            </w:r>
            <w:proofErr w:type="spellEnd"/>
            <w:r w:rsidRPr="009D16B0">
              <w:rPr>
                <w:bCs/>
              </w:rPr>
              <w:t xml:space="preserve"> &gt;2000), where a </w:t>
            </w:r>
            <w:proofErr w:type="gramStart"/>
            <w:r w:rsidRPr="009D16B0">
              <w:rPr>
                <w:bCs/>
              </w:rPr>
              <w:t>2 week</w:t>
            </w:r>
            <w:proofErr w:type="gramEnd"/>
            <w:r w:rsidRPr="009D16B0">
              <w:rPr>
                <w:bCs/>
              </w:rPr>
              <w:t xml:space="preserve"> assessment needs treated as a ‘red-flag’ in the same way cancer diagnosis is. </w:t>
            </w:r>
          </w:p>
          <w:p w14:paraId="3F7830A2" w14:textId="3DAA76C6" w:rsidR="009D16B0" w:rsidRPr="009D16B0" w:rsidRDefault="009D16B0" w:rsidP="00DE5D03">
            <w:pPr>
              <w:pStyle w:val="Tabletext"/>
              <w:numPr>
                <w:ilvl w:val="0"/>
                <w:numId w:val="23"/>
              </w:numPr>
              <w:rPr>
                <w:bCs/>
              </w:rPr>
            </w:pPr>
            <w:r w:rsidRPr="009D16B0">
              <w:rPr>
                <w:bCs/>
              </w:rPr>
              <w:t>Diagnosis then made based on echocardiography and HF specialist input</w:t>
            </w:r>
          </w:p>
          <w:p w14:paraId="66E62575" w14:textId="77777777" w:rsidR="009D16B0" w:rsidRDefault="009D16B0" w:rsidP="009D16B0">
            <w:pPr>
              <w:pStyle w:val="Tabletext"/>
            </w:pPr>
          </w:p>
          <w:p w14:paraId="54492266" w14:textId="611467FC" w:rsidR="009D16B0" w:rsidRDefault="009D16B0" w:rsidP="009D16B0">
            <w:pPr>
              <w:pStyle w:val="Tabletext"/>
            </w:pPr>
            <w:r>
              <w:t>Early recognition and diagnosis of HF can reduce patient morbidity and mortality, by timely introduction of guideline directed medical therapies at an earlier more treatable stage, with effects on HF hospitalisation and mortality.</w:t>
            </w:r>
          </w:p>
          <w:p w14:paraId="14B994CC" w14:textId="77777777" w:rsidR="009D16B0" w:rsidRDefault="009D16B0" w:rsidP="009D16B0">
            <w:pPr>
              <w:pStyle w:val="Tabletext"/>
            </w:pPr>
            <w:r>
              <w:lastRenderedPageBreak/>
              <w:t xml:space="preserve">Those at highest risk, stratified according to BNP levels per NICE guidelines, should be highest priority and see in same light as suspected cancer – with a ‘red-flag’ </w:t>
            </w:r>
            <w:proofErr w:type="gramStart"/>
            <w:r>
              <w:t>2 week</w:t>
            </w:r>
            <w:proofErr w:type="gramEnd"/>
            <w:r>
              <w:t xml:space="preserve"> echocardiogram and HF specialist opinion an absolute necessity. Within 6 weeks for those with </w:t>
            </w:r>
            <w:proofErr w:type="spellStart"/>
            <w:r>
              <w:t>NTproBNP</w:t>
            </w:r>
            <w:proofErr w:type="spellEnd"/>
            <w:r>
              <w:t xml:space="preserve"> levels 400-2000.</w:t>
            </w:r>
          </w:p>
          <w:p w14:paraId="2E8E259C" w14:textId="77777777" w:rsidR="009D16B0" w:rsidRDefault="009D16B0" w:rsidP="009D16B0">
            <w:pPr>
              <w:pStyle w:val="Tabletext"/>
            </w:pPr>
            <w:r>
              <w:t xml:space="preserve">But while </w:t>
            </w:r>
            <w:proofErr w:type="spellStart"/>
            <w:r>
              <w:t>NTproBNP</w:t>
            </w:r>
            <w:proofErr w:type="spellEnd"/>
            <w:r>
              <w:t xml:space="preserve"> testing in primary care has increased over time, most patients still do not have an </w:t>
            </w:r>
            <w:proofErr w:type="spellStart"/>
            <w:r>
              <w:t>NTproBNP</w:t>
            </w:r>
            <w:proofErr w:type="spellEnd"/>
            <w:r>
              <w:t xml:space="preserve"> level checked prior to diagnosis – with approximately 70-80% of HF being diagnosed in hospital, despite 40% having visited a </w:t>
            </w:r>
            <w:proofErr w:type="gramStart"/>
            <w:r>
              <w:t>primary care provider/had HF symptoms</w:t>
            </w:r>
            <w:proofErr w:type="gramEnd"/>
            <w:r>
              <w:t xml:space="preserve"> in the preceding 6 months prior to admission. </w:t>
            </w:r>
          </w:p>
          <w:p w14:paraId="16E58065" w14:textId="1E45A0CC" w:rsidR="009372E7" w:rsidRPr="00427135" w:rsidRDefault="009D16B0" w:rsidP="009D16B0">
            <w:pPr>
              <w:pStyle w:val="Tabletext"/>
            </w:pPr>
            <w:r>
              <w:t xml:space="preserve">Specialist opinion and echocardiography remain key in diagnosis and then ongoing management. However, we know from NICOR national HF audit data that “There is considerable room for improvement in the use of echocardiography in the assessment and diagnosis of HF” and access to specialist care even as an in-patient is suboptimal. This difficulty in getting access to opinion and echo is worse in primary </w:t>
            </w:r>
            <w:proofErr w:type="gramStart"/>
            <w:r>
              <w:t>care, and</w:t>
            </w:r>
            <w:proofErr w:type="gramEnd"/>
            <w:r>
              <w:t xml:space="preserve"> needs to be a focus for service commissioning for future to ensure onward progress for care quality and outcomes.</w:t>
            </w:r>
          </w:p>
        </w:tc>
        <w:tc>
          <w:tcPr>
            <w:tcW w:w="3758" w:type="dxa"/>
          </w:tcPr>
          <w:p w14:paraId="404971B5" w14:textId="77777777" w:rsidR="009D16B0" w:rsidRPr="009D16B0" w:rsidRDefault="009D16B0" w:rsidP="009D16B0">
            <w:pPr>
              <w:pStyle w:val="Tabletext"/>
            </w:pPr>
            <w:r w:rsidRPr="009D16B0">
              <w:lastRenderedPageBreak/>
              <w:t xml:space="preserve">Long term trends in natriuretic peptide testing for heart failure in UK primary care: a cohort study. AK </w:t>
            </w:r>
            <w:proofErr w:type="spellStart"/>
            <w:r w:rsidRPr="009D16B0">
              <w:t>Roalfe</w:t>
            </w:r>
            <w:proofErr w:type="spellEnd"/>
            <w:r w:rsidRPr="009D16B0">
              <w:t xml:space="preserve"> et al. European Heart Journal 2022;43(9):881-891. </w:t>
            </w:r>
            <w:hyperlink r:id="rId64" w:history="1">
              <w:r w:rsidRPr="009D16B0">
                <w:rPr>
                  <w:rStyle w:val="Hyperlink"/>
                </w:rPr>
                <w:t>https://doi.org/10.1093/eurheartj/ehab781</w:t>
              </w:r>
            </w:hyperlink>
          </w:p>
          <w:p w14:paraId="5C9C0EE9" w14:textId="77777777" w:rsidR="009D16B0" w:rsidRPr="009D16B0" w:rsidRDefault="009D16B0" w:rsidP="009D16B0">
            <w:pPr>
              <w:pStyle w:val="Tabletext"/>
            </w:pPr>
            <w:r w:rsidRPr="009D16B0">
              <w:t xml:space="preserve">The prehospital patient pathway and experience of care with acute heart failure: a comparison of two health care systems. J </w:t>
            </w:r>
            <w:proofErr w:type="spellStart"/>
            <w:r w:rsidRPr="009D16B0">
              <w:t>McCambridge</w:t>
            </w:r>
            <w:proofErr w:type="spellEnd"/>
            <w:r w:rsidRPr="009D16B0">
              <w:t xml:space="preserve"> et al ESC Heart Failure 2021;8(2):1076-1084. </w:t>
            </w:r>
            <w:hyperlink r:id="rId65" w:history="1">
              <w:r w:rsidRPr="009D16B0">
                <w:rPr>
                  <w:rStyle w:val="Hyperlink"/>
                </w:rPr>
                <w:t>https://doi.org/10.1002/ehf2.13089</w:t>
              </w:r>
            </w:hyperlink>
          </w:p>
          <w:p w14:paraId="69F4D888" w14:textId="77777777" w:rsidR="009D16B0" w:rsidRPr="009D16B0" w:rsidRDefault="009D16B0" w:rsidP="009D16B0">
            <w:pPr>
              <w:pStyle w:val="Tabletext"/>
            </w:pPr>
            <w:r w:rsidRPr="009D16B0">
              <w:lastRenderedPageBreak/>
              <w:t>Disparity in the Setting of Incident Heart Failure Diagnosis. AT Sandhu et al Circulation Heart Failure 2021;</w:t>
            </w:r>
            <w:proofErr w:type="gramStart"/>
            <w:r w:rsidRPr="009D16B0">
              <w:t>14:e</w:t>
            </w:r>
            <w:proofErr w:type="gramEnd"/>
            <w:r w:rsidRPr="009D16B0">
              <w:t xml:space="preserve">008538. </w:t>
            </w:r>
            <w:hyperlink r:id="rId66" w:history="1">
              <w:r w:rsidRPr="009D16B0">
                <w:rPr>
                  <w:rStyle w:val="Hyperlink"/>
                </w:rPr>
                <w:t>https://doi.org/10.1161/CIRCHEARTFAILURE.121.008538</w:t>
              </w:r>
            </w:hyperlink>
          </w:p>
          <w:p w14:paraId="7123DC14" w14:textId="77777777" w:rsidR="009D16B0" w:rsidRPr="009D16B0" w:rsidRDefault="009D16B0" w:rsidP="009D16B0">
            <w:pPr>
              <w:pStyle w:val="Tabletext"/>
            </w:pPr>
            <w:r w:rsidRPr="009D16B0">
              <w:t xml:space="preserve">Characteristics and outcomes of patients with suspected heart failure referred in line with National Institute for Health and Care Excellence guidance. A Zheng et al. Heart 2020;106;1579-1586. </w:t>
            </w:r>
            <w:hyperlink r:id="rId67" w:history="1">
              <w:r w:rsidRPr="009D16B0">
                <w:rPr>
                  <w:rStyle w:val="Hyperlink"/>
                </w:rPr>
                <w:t>http://dx.doi.org/10.1136/heartjnl-2019-316511</w:t>
              </w:r>
            </w:hyperlink>
          </w:p>
          <w:p w14:paraId="07BEE314" w14:textId="77777777" w:rsidR="009D16B0" w:rsidRPr="009D16B0" w:rsidRDefault="009D16B0" w:rsidP="009D16B0">
            <w:pPr>
              <w:pStyle w:val="Tabletext"/>
            </w:pPr>
            <w:r w:rsidRPr="009D16B0">
              <w:t xml:space="preserve"> </w:t>
            </w:r>
            <w:hyperlink r:id="rId68" w:history="1">
              <w:r w:rsidRPr="009D16B0">
                <w:rPr>
                  <w:rStyle w:val="Hyperlink"/>
                </w:rPr>
                <w:t>https://www.bsh.org.uk/wp-content/uploads/2020/10/Heart-Failure-A-Blueprint-For-Change-Oct-2020-3.pdf</w:t>
              </w:r>
            </w:hyperlink>
          </w:p>
          <w:p w14:paraId="7D7B6D77" w14:textId="01B4A9A2" w:rsidR="009372E7" w:rsidRPr="00427135" w:rsidRDefault="00AF2CC8" w:rsidP="00B24E25">
            <w:pPr>
              <w:pStyle w:val="Tabletext"/>
            </w:pPr>
            <w:hyperlink r:id="rId69" w:history="1">
              <w:r w:rsidR="009D16B0" w:rsidRPr="009D16B0">
                <w:rPr>
                  <w:rStyle w:val="Hyperlink"/>
                </w:rPr>
                <w:t>https://www.nicor.org.uk/wp-content/uploads/2021/10/NHFA-Domain-Report_2021_FINAL.pdf</w:t>
              </w:r>
            </w:hyperlink>
          </w:p>
        </w:tc>
      </w:tr>
      <w:tr w:rsidR="007179CF" w:rsidRPr="00C92280" w14:paraId="31AC6D0A" w14:textId="77777777" w:rsidTr="00584584">
        <w:trPr>
          <w:trHeight w:val="282"/>
        </w:trPr>
        <w:tc>
          <w:tcPr>
            <w:tcW w:w="562" w:type="dxa"/>
          </w:tcPr>
          <w:p w14:paraId="7317BDD3" w14:textId="77777777" w:rsidR="009372E7" w:rsidRPr="00F27622" w:rsidRDefault="009372E7" w:rsidP="00DE5D03">
            <w:pPr>
              <w:pStyle w:val="Tabletext"/>
              <w:numPr>
                <w:ilvl w:val="0"/>
                <w:numId w:val="21"/>
              </w:numPr>
            </w:pPr>
          </w:p>
        </w:tc>
        <w:tc>
          <w:tcPr>
            <w:tcW w:w="1843" w:type="dxa"/>
          </w:tcPr>
          <w:p w14:paraId="70DA2A7B" w14:textId="51238E09" w:rsidR="009372E7" w:rsidRPr="00427135" w:rsidRDefault="009D16B0" w:rsidP="00B24E25">
            <w:pPr>
              <w:pStyle w:val="Tabletext"/>
            </w:pPr>
            <w:r>
              <w:t>SCM6</w:t>
            </w:r>
          </w:p>
        </w:tc>
        <w:tc>
          <w:tcPr>
            <w:tcW w:w="1985" w:type="dxa"/>
          </w:tcPr>
          <w:p w14:paraId="61F4CFBA" w14:textId="77777777" w:rsidR="001E4E8C" w:rsidRPr="00C5158D" w:rsidRDefault="001E4E8C" w:rsidP="001E4E8C">
            <w:pPr>
              <w:pStyle w:val="Tabletext"/>
              <w:rPr>
                <w:b/>
                <w:bCs/>
              </w:rPr>
            </w:pPr>
            <w:r w:rsidRPr="00C5158D">
              <w:rPr>
                <w:b/>
                <w:bCs/>
              </w:rPr>
              <w:t>Diagnosis</w:t>
            </w:r>
          </w:p>
          <w:p w14:paraId="7C9CA0FF" w14:textId="07D1F747" w:rsidR="009372E7" w:rsidRPr="00427135" w:rsidRDefault="001E4E8C" w:rsidP="001E4E8C">
            <w:pPr>
              <w:pStyle w:val="Tabletext"/>
            </w:pPr>
            <w:r w:rsidRPr="00C5158D">
              <w:t>Merge statements 1 and 2</w:t>
            </w:r>
          </w:p>
        </w:tc>
        <w:tc>
          <w:tcPr>
            <w:tcW w:w="6520" w:type="dxa"/>
          </w:tcPr>
          <w:p w14:paraId="7183353A" w14:textId="0FF1CD77" w:rsidR="009372E7" w:rsidRPr="00427135" w:rsidRDefault="009D16B0" w:rsidP="00B24E25">
            <w:pPr>
              <w:pStyle w:val="Tabletext"/>
            </w:pPr>
            <w:r w:rsidRPr="009D16B0">
              <w:t>Yes, agree. But we should keep the time points. So urgent vs. non-urgent.</w:t>
            </w:r>
          </w:p>
        </w:tc>
        <w:tc>
          <w:tcPr>
            <w:tcW w:w="3758" w:type="dxa"/>
          </w:tcPr>
          <w:p w14:paraId="519DE6CF" w14:textId="77777777" w:rsidR="009372E7" w:rsidRPr="00427135" w:rsidRDefault="009372E7" w:rsidP="00B24E25">
            <w:pPr>
              <w:pStyle w:val="Tabletext"/>
            </w:pPr>
          </w:p>
        </w:tc>
      </w:tr>
      <w:tr w:rsidR="007179CF" w:rsidRPr="00C92280" w14:paraId="415C1E16" w14:textId="77777777" w:rsidTr="00584584">
        <w:trPr>
          <w:trHeight w:val="282"/>
        </w:trPr>
        <w:tc>
          <w:tcPr>
            <w:tcW w:w="562" w:type="dxa"/>
          </w:tcPr>
          <w:p w14:paraId="2DF13AF4" w14:textId="77777777" w:rsidR="009372E7" w:rsidRPr="00F27622" w:rsidRDefault="009372E7" w:rsidP="00DE5D03">
            <w:pPr>
              <w:pStyle w:val="Tabletext"/>
              <w:numPr>
                <w:ilvl w:val="0"/>
                <w:numId w:val="21"/>
              </w:numPr>
            </w:pPr>
          </w:p>
        </w:tc>
        <w:tc>
          <w:tcPr>
            <w:tcW w:w="1843" w:type="dxa"/>
          </w:tcPr>
          <w:p w14:paraId="1A6F8061" w14:textId="7D38CDC6" w:rsidR="009372E7" w:rsidRPr="00427135" w:rsidRDefault="001552A2" w:rsidP="00B24E25">
            <w:pPr>
              <w:pStyle w:val="Tabletext"/>
            </w:pPr>
            <w:r>
              <w:t>SCM6</w:t>
            </w:r>
          </w:p>
        </w:tc>
        <w:tc>
          <w:tcPr>
            <w:tcW w:w="1985" w:type="dxa"/>
          </w:tcPr>
          <w:p w14:paraId="5809DFE8" w14:textId="77777777" w:rsidR="001E4E8C" w:rsidRPr="00C5158D" w:rsidRDefault="001E4E8C" w:rsidP="001E4E8C">
            <w:pPr>
              <w:pStyle w:val="Tabletext"/>
              <w:rPr>
                <w:b/>
                <w:bCs/>
              </w:rPr>
            </w:pPr>
            <w:r w:rsidRPr="00C5158D">
              <w:rPr>
                <w:b/>
                <w:bCs/>
              </w:rPr>
              <w:t>Diagnosis</w:t>
            </w:r>
          </w:p>
          <w:p w14:paraId="429CC5A1" w14:textId="0DDFA0D3" w:rsidR="009372E7" w:rsidRPr="00427135" w:rsidRDefault="001E4E8C" w:rsidP="001E4E8C">
            <w:pPr>
              <w:pStyle w:val="Tabletext"/>
            </w:pPr>
            <w:r w:rsidRPr="00C5158D">
              <w:t>Merge statements 1 and 2</w:t>
            </w:r>
          </w:p>
        </w:tc>
        <w:tc>
          <w:tcPr>
            <w:tcW w:w="6520" w:type="dxa"/>
          </w:tcPr>
          <w:p w14:paraId="63D5CEFC" w14:textId="1D6BBD2F" w:rsidR="001552A2" w:rsidRDefault="001552A2" w:rsidP="00B24E25">
            <w:pPr>
              <w:pStyle w:val="Tabletext"/>
            </w:pPr>
            <w:r w:rsidRPr="001552A2">
              <w:t>Diagnosis is still not optimal</w:t>
            </w:r>
          </w:p>
          <w:p w14:paraId="7C7C0C8B" w14:textId="3F84C712" w:rsidR="009372E7" w:rsidRPr="00427135" w:rsidRDefault="001552A2" w:rsidP="00B24E25">
            <w:pPr>
              <w:pStyle w:val="Tabletext"/>
            </w:pPr>
            <w:r w:rsidRPr="001552A2">
              <w:t xml:space="preserve">“There is a downward trend in the percentage receiving an echocardiogram, the gold standard diagnostic test, now at 86% down from 92% in 2014/15. There is considerable variation in the use of this essential diagnostic tool across institutions, leaving room for improvement as only 60% of hospitals achieve </w:t>
            </w:r>
            <w:r w:rsidRPr="001552A2">
              <w:lastRenderedPageBreak/>
              <w:t>the benchmark of ≥90% having an echocardiogram. This is significantly worse for older people as only 54% of those ≥75 years receive one.”</w:t>
            </w:r>
          </w:p>
        </w:tc>
        <w:tc>
          <w:tcPr>
            <w:tcW w:w="3758" w:type="dxa"/>
          </w:tcPr>
          <w:p w14:paraId="3DFA2B4E" w14:textId="6D3F0D0C" w:rsidR="009372E7" w:rsidRPr="00427135" w:rsidRDefault="001552A2" w:rsidP="00B24E25">
            <w:pPr>
              <w:pStyle w:val="Tabletext"/>
            </w:pPr>
            <w:r w:rsidRPr="001552A2">
              <w:lastRenderedPageBreak/>
              <w:t>National Heart Failure Audit (NHFA) 2021S.</w:t>
            </w:r>
          </w:p>
        </w:tc>
      </w:tr>
      <w:tr w:rsidR="007179CF" w:rsidRPr="00C92280" w14:paraId="728FEFEF" w14:textId="77777777" w:rsidTr="00584584">
        <w:trPr>
          <w:trHeight w:val="282"/>
        </w:trPr>
        <w:tc>
          <w:tcPr>
            <w:tcW w:w="562" w:type="dxa"/>
          </w:tcPr>
          <w:p w14:paraId="01923B9E" w14:textId="77777777" w:rsidR="009372E7" w:rsidRPr="00F27622" w:rsidRDefault="009372E7" w:rsidP="00DE5D03">
            <w:pPr>
              <w:pStyle w:val="Tabletext"/>
              <w:numPr>
                <w:ilvl w:val="0"/>
                <w:numId w:val="21"/>
              </w:numPr>
            </w:pPr>
          </w:p>
        </w:tc>
        <w:tc>
          <w:tcPr>
            <w:tcW w:w="1843" w:type="dxa"/>
          </w:tcPr>
          <w:p w14:paraId="6205DE8F" w14:textId="26A1225C" w:rsidR="009372E7" w:rsidRPr="00427135" w:rsidRDefault="001552A2" w:rsidP="00B24E25">
            <w:pPr>
              <w:pStyle w:val="Tabletext"/>
            </w:pPr>
            <w:r>
              <w:t>SCM7</w:t>
            </w:r>
          </w:p>
        </w:tc>
        <w:tc>
          <w:tcPr>
            <w:tcW w:w="1985" w:type="dxa"/>
          </w:tcPr>
          <w:p w14:paraId="2A0BA7DA" w14:textId="77777777" w:rsidR="001E4E8C" w:rsidRPr="00C5158D" w:rsidRDefault="001E4E8C" w:rsidP="001E4E8C">
            <w:pPr>
              <w:pStyle w:val="Tabletext"/>
              <w:rPr>
                <w:b/>
                <w:bCs/>
              </w:rPr>
            </w:pPr>
            <w:r w:rsidRPr="00C5158D">
              <w:rPr>
                <w:b/>
                <w:bCs/>
              </w:rPr>
              <w:t>Diagnosis</w:t>
            </w:r>
          </w:p>
          <w:p w14:paraId="1637FCB4" w14:textId="1C332DF0" w:rsidR="009372E7" w:rsidRPr="00427135" w:rsidRDefault="001E4E8C" w:rsidP="001E4E8C">
            <w:pPr>
              <w:pStyle w:val="Tabletext"/>
            </w:pPr>
            <w:r w:rsidRPr="00C5158D">
              <w:t>Merge statements 1 and 2</w:t>
            </w:r>
          </w:p>
        </w:tc>
        <w:tc>
          <w:tcPr>
            <w:tcW w:w="6520" w:type="dxa"/>
          </w:tcPr>
          <w:p w14:paraId="27D144E2" w14:textId="77777777" w:rsidR="001552A2" w:rsidRDefault="001552A2" w:rsidP="001552A2">
            <w:pPr>
              <w:pStyle w:val="Tabletext"/>
            </w:pPr>
            <w:r>
              <w:t>No, these statements relate to two very different things and are trying to achieve two very different things.</w:t>
            </w:r>
          </w:p>
          <w:p w14:paraId="224C55EA" w14:textId="77777777" w:rsidR="001552A2" w:rsidRDefault="001552A2" w:rsidP="001552A2">
            <w:pPr>
              <w:pStyle w:val="Tabletext"/>
            </w:pPr>
            <w:r>
              <w:t>Statement 1 is trying to make sure that all people sent for investigation into suspected HF (a) have an echo, the gold standard for HF diagnosis, plus (b) a review by someone specialised in HF who can interpret the echo, look at other HF factors and immediately initiate guideline directed therapy (as appropriate).</w:t>
            </w:r>
          </w:p>
          <w:p w14:paraId="28767EEF" w14:textId="6588B43E" w:rsidR="009372E7" w:rsidRPr="00427135" w:rsidRDefault="001552A2" w:rsidP="001552A2">
            <w:pPr>
              <w:pStyle w:val="Tabletext"/>
            </w:pPr>
            <w:r>
              <w:t>Statement 2 is trying to make sure that those who are highly likely to have HF (suspected HF plus elevated BNP/NT-</w:t>
            </w:r>
            <w:proofErr w:type="spellStart"/>
            <w:r>
              <w:t>proBNP</w:t>
            </w:r>
            <w:proofErr w:type="spellEnd"/>
            <w:r>
              <w:t>) are seen urgently to eliminate the risk of a permanent deterioration in their condition.  This guideline recommendation and subsequent QI was introduced to emulate the approach to cancer where urgent cases are seen within 2 weeks, ideally before complexity and irreversibility set in.</w:t>
            </w:r>
          </w:p>
        </w:tc>
        <w:tc>
          <w:tcPr>
            <w:tcW w:w="3758" w:type="dxa"/>
          </w:tcPr>
          <w:p w14:paraId="64F0523E" w14:textId="77777777" w:rsidR="009372E7" w:rsidRPr="00427135" w:rsidRDefault="009372E7" w:rsidP="00B24E25">
            <w:pPr>
              <w:pStyle w:val="Tabletext"/>
            </w:pPr>
          </w:p>
        </w:tc>
      </w:tr>
      <w:tr w:rsidR="007179CF" w:rsidRPr="00C92280" w14:paraId="300676E0" w14:textId="77777777" w:rsidTr="00584584">
        <w:trPr>
          <w:trHeight w:val="282"/>
        </w:trPr>
        <w:tc>
          <w:tcPr>
            <w:tcW w:w="562" w:type="dxa"/>
          </w:tcPr>
          <w:p w14:paraId="4B98726E" w14:textId="77777777" w:rsidR="009372E7" w:rsidRPr="00F27622" w:rsidRDefault="009372E7" w:rsidP="00DE5D03">
            <w:pPr>
              <w:pStyle w:val="Tabletext"/>
              <w:numPr>
                <w:ilvl w:val="0"/>
                <w:numId w:val="21"/>
              </w:numPr>
            </w:pPr>
          </w:p>
        </w:tc>
        <w:tc>
          <w:tcPr>
            <w:tcW w:w="1843" w:type="dxa"/>
          </w:tcPr>
          <w:p w14:paraId="326AD48E" w14:textId="53CD164A" w:rsidR="009372E7" w:rsidRPr="00427135" w:rsidRDefault="00072B85" w:rsidP="00B24E25">
            <w:pPr>
              <w:pStyle w:val="Tabletext"/>
            </w:pPr>
            <w:r>
              <w:t>SCM1</w:t>
            </w:r>
          </w:p>
        </w:tc>
        <w:tc>
          <w:tcPr>
            <w:tcW w:w="1985" w:type="dxa"/>
          </w:tcPr>
          <w:p w14:paraId="47692952" w14:textId="6A7D6832" w:rsidR="009372E7" w:rsidRPr="00DE5D03" w:rsidRDefault="001E4E8C" w:rsidP="001E4E8C">
            <w:pPr>
              <w:pStyle w:val="Tabletext"/>
              <w:rPr>
                <w:b/>
                <w:bCs/>
              </w:rPr>
            </w:pPr>
            <w:r w:rsidRPr="001E4E8C">
              <w:rPr>
                <w:b/>
                <w:bCs/>
              </w:rPr>
              <w:t>Cardiac Rehabilitation</w:t>
            </w:r>
          </w:p>
        </w:tc>
        <w:tc>
          <w:tcPr>
            <w:tcW w:w="6520" w:type="dxa"/>
          </w:tcPr>
          <w:p w14:paraId="7BA4EAC4" w14:textId="622BE8CC" w:rsidR="009372E7" w:rsidRPr="00427135" w:rsidRDefault="001E4E8C" w:rsidP="00B24E25">
            <w:pPr>
              <w:pStyle w:val="Tabletext"/>
            </w:pPr>
            <w:r w:rsidRPr="001E4E8C">
              <w:t>Yes.</w:t>
            </w:r>
          </w:p>
        </w:tc>
        <w:tc>
          <w:tcPr>
            <w:tcW w:w="3758" w:type="dxa"/>
          </w:tcPr>
          <w:p w14:paraId="00CF6947" w14:textId="77777777" w:rsidR="009372E7" w:rsidRPr="00427135" w:rsidRDefault="009372E7" w:rsidP="00B24E25">
            <w:pPr>
              <w:pStyle w:val="Tabletext"/>
            </w:pPr>
          </w:p>
        </w:tc>
      </w:tr>
      <w:tr w:rsidR="000A3191" w:rsidRPr="00C92280" w14:paraId="6DCB9209" w14:textId="77777777" w:rsidTr="00584584">
        <w:trPr>
          <w:trHeight w:val="282"/>
        </w:trPr>
        <w:tc>
          <w:tcPr>
            <w:tcW w:w="562" w:type="dxa"/>
          </w:tcPr>
          <w:p w14:paraId="33A95F11" w14:textId="77777777" w:rsidR="000A3191" w:rsidRPr="00F27622" w:rsidRDefault="000A3191" w:rsidP="000A3191">
            <w:pPr>
              <w:pStyle w:val="Tabletext"/>
              <w:numPr>
                <w:ilvl w:val="0"/>
                <w:numId w:val="21"/>
              </w:numPr>
            </w:pPr>
          </w:p>
        </w:tc>
        <w:tc>
          <w:tcPr>
            <w:tcW w:w="1843" w:type="dxa"/>
          </w:tcPr>
          <w:p w14:paraId="03B0E68C" w14:textId="0676DC1D" w:rsidR="000A3191" w:rsidRDefault="000A3191" w:rsidP="000A3191">
            <w:pPr>
              <w:pStyle w:val="Tabletext"/>
            </w:pPr>
            <w:r>
              <w:t>BACPR</w:t>
            </w:r>
          </w:p>
        </w:tc>
        <w:tc>
          <w:tcPr>
            <w:tcW w:w="1985" w:type="dxa"/>
          </w:tcPr>
          <w:p w14:paraId="34894B66" w14:textId="702B7B15" w:rsidR="000A3191" w:rsidRPr="001E4E8C" w:rsidRDefault="000A3191" w:rsidP="000A3191">
            <w:pPr>
              <w:pStyle w:val="Tabletext"/>
              <w:rPr>
                <w:b/>
                <w:bCs/>
              </w:rPr>
            </w:pPr>
            <w:r w:rsidRPr="001E4E8C">
              <w:rPr>
                <w:b/>
                <w:bCs/>
              </w:rPr>
              <w:t>Cardiac Rehabilitation</w:t>
            </w:r>
          </w:p>
        </w:tc>
        <w:tc>
          <w:tcPr>
            <w:tcW w:w="6520" w:type="dxa"/>
          </w:tcPr>
          <w:p w14:paraId="121E46EC" w14:textId="3478D785" w:rsidR="000A3191" w:rsidRPr="001E4E8C" w:rsidRDefault="000A3191" w:rsidP="000A3191">
            <w:pPr>
              <w:pStyle w:val="Tabletext"/>
            </w:pPr>
            <w:r w:rsidRPr="000A3191">
              <w:t>Yes. However, there remain areas of the country where rehabilitation for this group is not yet offered due to funding issues Combining might take the focus away from ensuring all patients can be offered a programme. A rehabilitation programme should offer more than just exercise and that can be encompassed in combining 6&amp;7.</w:t>
            </w:r>
          </w:p>
        </w:tc>
        <w:tc>
          <w:tcPr>
            <w:tcW w:w="3758" w:type="dxa"/>
          </w:tcPr>
          <w:p w14:paraId="2E938E6C" w14:textId="77777777" w:rsidR="000A3191" w:rsidRPr="00427135" w:rsidRDefault="000A3191" w:rsidP="000A3191">
            <w:pPr>
              <w:pStyle w:val="Tabletext"/>
            </w:pPr>
          </w:p>
        </w:tc>
      </w:tr>
      <w:tr w:rsidR="000A3191" w:rsidRPr="00C92280" w14:paraId="6F82A43D" w14:textId="77777777" w:rsidTr="00584584">
        <w:trPr>
          <w:trHeight w:val="282"/>
        </w:trPr>
        <w:tc>
          <w:tcPr>
            <w:tcW w:w="562" w:type="dxa"/>
          </w:tcPr>
          <w:p w14:paraId="4F56B0D7" w14:textId="77777777" w:rsidR="000A3191" w:rsidRPr="00F27622" w:rsidRDefault="000A3191" w:rsidP="000A3191">
            <w:pPr>
              <w:pStyle w:val="Tabletext"/>
              <w:numPr>
                <w:ilvl w:val="0"/>
                <w:numId w:val="21"/>
              </w:numPr>
            </w:pPr>
          </w:p>
        </w:tc>
        <w:tc>
          <w:tcPr>
            <w:tcW w:w="1843" w:type="dxa"/>
          </w:tcPr>
          <w:p w14:paraId="4BCAF761" w14:textId="4D2D23A1" w:rsidR="000A3191" w:rsidRDefault="000A3191" w:rsidP="000A3191">
            <w:pPr>
              <w:pStyle w:val="Tabletext"/>
            </w:pPr>
            <w:r>
              <w:t>BACPR</w:t>
            </w:r>
          </w:p>
        </w:tc>
        <w:tc>
          <w:tcPr>
            <w:tcW w:w="1985" w:type="dxa"/>
          </w:tcPr>
          <w:p w14:paraId="448124D2" w14:textId="4F1DD5BB" w:rsidR="000A3191" w:rsidRPr="001E4E8C" w:rsidRDefault="000A3191" w:rsidP="000A3191">
            <w:pPr>
              <w:pStyle w:val="Tabletext"/>
              <w:rPr>
                <w:b/>
                <w:bCs/>
              </w:rPr>
            </w:pPr>
            <w:r w:rsidRPr="001E4E8C">
              <w:rPr>
                <w:b/>
                <w:bCs/>
              </w:rPr>
              <w:t>Cardiac Rehabilitation</w:t>
            </w:r>
          </w:p>
        </w:tc>
        <w:tc>
          <w:tcPr>
            <w:tcW w:w="6520" w:type="dxa"/>
          </w:tcPr>
          <w:p w14:paraId="296E6B4D" w14:textId="786C058A" w:rsidR="000A3191" w:rsidRPr="001E4E8C" w:rsidRDefault="000A3191" w:rsidP="000A3191">
            <w:pPr>
              <w:pStyle w:val="Tabletext"/>
            </w:pPr>
            <w:r w:rsidRPr="000A3191">
              <w:t xml:space="preserve">There are now </w:t>
            </w:r>
            <w:proofErr w:type="gramStart"/>
            <w:r w:rsidRPr="000A3191">
              <w:t>evidence based</w:t>
            </w:r>
            <w:proofErr w:type="gramEnd"/>
            <w:r w:rsidRPr="000A3191">
              <w:t xml:space="preserve"> home based rehabilitation options for heart failure patients. Digital / </w:t>
            </w:r>
            <w:proofErr w:type="gramStart"/>
            <w:r w:rsidRPr="000A3191">
              <w:t>web based</w:t>
            </w:r>
            <w:proofErr w:type="gramEnd"/>
            <w:r w:rsidRPr="000A3191">
              <w:t xml:space="preserve"> options have progressed rapidly during the pandemic and these provide patients with a range of locations and times.</w:t>
            </w:r>
          </w:p>
        </w:tc>
        <w:tc>
          <w:tcPr>
            <w:tcW w:w="3758" w:type="dxa"/>
          </w:tcPr>
          <w:p w14:paraId="0C1728BD" w14:textId="77777777" w:rsidR="000A3191" w:rsidRPr="00427135" w:rsidRDefault="000A3191" w:rsidP="000A3191">
            <w:pPr>
              <w:pStyle w:val="Tabletext"/>
            </w:pPr>
          </w:p>
        </w:tc>
      </w:tr>
      <w:tr w:rsidR="00AF2E19" w:rsidRPr="00C92280" w14:paraId="7340B5DC" w14:textId="77777777" w:rsidTr="00584584">
        <w:trPr>
          <w:trHeight w:val="282"/>
        </w:trPr>
        <w:tc>
          <w:tcPr>
            <w:tcW w:w="562" w:type="dxa"/>
          </w:tcPr>
          <w:p w14:paraId="1DDDFB7E" w14:textId="77777777" w:rsidR="00AF2E19" w:rsidRPr="00F27622" w:rsidRDefault="00AF2E19" w:rsidP="00AF2E19">
            <w:pPr>
              <w:pStyle w:val="Tabletext"/>
              <w:numPr>
                <w:ilvl w:val="0"/>
                <w:numId w:val="21"/>
              </w:numPr>
            </w:pPr>
          </w:p>
        </w:tc>
        <w:tc>
          <w:tcPr>
            <w:tcW w:w="1843" w:type="dxa"/>
          </w:tcPr>
          <w:p w14:paraId="6805DB2D" w14:textId="0BDD1F0E" w:rsidR="00AF2E19" w:rsidRDefault="00AF2E19" w:rsidP="00AF2E19">
            <w:pPr>
              <w:pStyle w:val="Tabletext"/>
            </w:pPr>
            <w:r>
              <w:t>BACPR</w:t>
            </w:r>
          </w:p>
        </w:tc>
        <w:tc>
          <w:tcPr>
            <w:tcW w:w="1985" w:type="dxa"/>
          </w:tcPr>
          <w:p w14:paraId="43B63559" w14:textId="3CFD17E1" w:rsidR="00AF2E19" w:rsidRPr="001E4E8C" w:rsidRDefault="00AF2E19" w:rsidP="00AF2E19">
            <w:pPr>
              <w:pStyle w:val="Tabletext"/>
              <w:rPr>
                <w:b/>
                <w:bCs/>
              </w:rPr>
            </w:pPr>
            <w:r w:rsidRPr="001E4E8C">
              <w:rPr>
                <w:b/>
                <w:bCs/>
              </w:rPr>
              <w:t>Cardiac Rehabilitation</w:t>
            </w:r>
          </w:p>
        </w:tc>
        <w:tc>
          <w:tcPr>
            <w:tcW w:w="6520" w:type="dxa"/>
          </w:tcPr>
          <w:p w14:paraId="4B2191AB" w14:textId="77777777" w:rsidR="00AF2E19" w:rsidRPr="00AF2E19" w:rsidRDefault="00AF2E19" w:rsidP="00AF2E19">
            <w:pPr>
              <w:pStyle w:val="Tabletext"/>
            </w:pPr>
            <w:r w:rsidRPr="00AF2E19">
              <w:t>NACR 2020 report recorded a 1.4% drop in people with HF accessing CR in the first six months of Covid-19. This may appear small but is equivalent to a 20% relative reduction which is likely to lead to an increased burden on NHS services through greater hospital readmissions.</w:t>
            </w:r>
          </w:p>
          <w:p w14:paraId="50985150" w14:textId="77777777" w:rsidR="00AF2E19" w:rsidRDefault="00AF2CC8" w:rsidP="00AF2E19">
            <w:pPr>
              <w:pStyle w:val="Tabletext"/>
            </w:pPr>
            <w:hyperlink r:id="rId70" w:history="1">
              <w:r w:rsidR="00AF2E19" w:rsidRPr="00AF2E19">
                <w:rPr>
                  <w:rStyle w:val="Hyperlink"/>
                </w:rPr>
                <w:t>www.bhf.org.uk/informationsupport/publications/statistics/national-audit-of-cardiac-rehabilitation-quality-and-outcomes-report-2020#</w:t>
              </w:r>
            </w:hyperlink>
          </w:p>
          <w:p w14:paraId="79A89CBB" w14:textId="77777777" w:rsidR="00AF2E19" w:rsidRDefault="00AF2E19" w:rsidP="00AF2E19">
            <w:pPr>
              <w:pStyle w:val="Tabletext"/>
            </w:pPr>
            <w:r>
              <w:t>The NACR has recommended that programmes:</w:t>
            </w:r>
          </w:p>
          <w:p w14:paraId="5491B79B" w14:textId="77777777" w:rsidR="00AF2E19" w:rsidRDefault="00AF2E19" w:rsidP="00AF2E19">
            <w:pPr>
              <w:pStyle w:val="Tabletext"/>
            </w:pPr>
            <w:r>
              <w:t xml:space="preserve">Actively promote comprehensive home-based, group-based and hybrid versions of CR and ensure appropriate support of staff (including training) is available to deliver these according to BACPR national standards. </w:t>
            </w:r>
          </w:p>
          <w:p w14:paraId="402975AB" w14:textId="753D90F1" w:rsidR="00AF2E19" w:rsidRPr="000A3191" w:rsidRDefault="00AF2E19" w:rsidP="00AF2E19">
            <w:pPr>
              <w:pStyle w:val="Tabletext"/>
            </w:pPr>
            <w:r>
              <w:t>Individual programmes differ in the precise exercises used, are of different duration, involve variable amounts of home exercise and have different referral criteria.</w:t>
            </w:r>
          </w:p>
        </w:tc>
        <w:tc>
          <w:tcPr>
            <w:tcW w:w="3758" w:type="dxa"/>
          </w:tcPr>
          <w:p w14:paraId="44B52A82" w14:textId="77777777" w:rsidR="00AF2E19" w:rsidRPr="00AF2E19" w:rsidRDefault="00AF2E19" w:rsidP="00AF2E19">
            <w:pPr>
              <w:pStyle w:val="Tabletext"/>
            </w:pPr>
            <w:r w:rsidRPr="00AF2E19">
              <w:t xml:space="preserve">NACR audit confirms low numbers taking up cardiac rehabilitation. </w:t>
            </w:r>
            <w:hyperlink r:id="rId71" w:history="1">
              <w:r w:rsidRPr="00AF2E19">
                <w:rPr>
                  <w:rStyle w:val="Hyperlink"/>
                </w:rPr>
                <w:t>https://www.bhf.org.uk/informationsupport/publications/statistics/national-audit-of-cardiac-rehabilitation-quality-and-outcomes-report-2021</w:t>
              </w:r>
            </w:hyperlink>
          </w:p>
          <w:p w14:paraId="15595093" w14:textId="77777777" w:rsidR="00AF2E19" w:rsidRDefault="00AF2E19" w:rsidP="00AF2E19">
            <w:pPr>
              <w:pStyle w:val="Tabletext"/>
            </w:pPr>
            <w:r w:rsidRPr="00AF2E19">
              <w:t>Paper reporting on BACPR/BSH webinar session highlighting different approaches to rehabilitation for those with heart failure.</w:t>
            </w:r>
          </w:p>
          <w:p w14:paraId="7B335380" w14:textId="77777777" w:rsidR="00AF2E19" w:rsidRPr="00AF2E19" w:rsidRDefault="00AF2E19" w:rsidP="00AF2E19">
            <w:pPr>
              <w:pStyle w:val="Tabletext"/>
            </w:pPr>
            <w:r w:rsidRPr="00AF2E19">
              <w:t xml:space="preserve">Brooks, P., 2022. Heart failure rehabilitation: a silver lining of the COVID-19 </w:t>
            </w:r>
            <w:proofErr w:type="gramStart"/>
            <w:r w:rsidRPr="00AF2E19">
              <w:t>pandemic?.</w:t>
            </w:r>
            <w:proofErr w:type="gramEnd"/>
            <w:r w:rsidRPr="00AF2E19">
              <w:t> </w:t>
            </w:r>
            <w:r w:rsidRPr="00AF2E19">
              <w:rPr>
                <w:i/>
                <w:iCs/>
              </w:rPr>
              <w:t>British Journal of Cardiac Nursing</w:t>
            </w:r>
            <w:r w:rsidRPr="00AF2E19">
              <w:t>, pp.1-6.</w:t>
            </w:r>
          </w:p>
          <w:p w14:paraId="1193EEE6" w14:textId="7B17571F" w:rsidR="00AF2E19" w:rsidRPr="00427135" w:rsidRDefault="00AF2CC8" w:rsidP="00AF2E19">
            <w:pPr>
              <w:pStyle w:val="Tabletext"/>
            </w:pPr>
            <w:hyperlink r:id="rId72" w:history="1">
              <w:r w:rsidR="00AF2E19" w:rsidRPr="00AF2E19">
                <w:rPr>
                  <w:rStyle w:val="Hyperlink"/>
                </w:rPr>
                <w:t>https://doi.org/10.12968/bjca.2022.0023</w:t>
              </w:r>
            </w:hyperlink>
          </w:p>
        </w:tc>
      </w:tr>
      <w:tr w:rsidR="00713A26" w:rsidRPr="00C92280" w14:paraId="4AF13978" w14:textId="77777777" w:rsidTr="00584584">
        <w:trPr>
          <w:trHeight w:val="282"/>
        </w:trPr>
        <w:tc>
          <w:tcPr>
            <w:tcW w:w="562" w:type="dxa"/>
          </w:tcPr>
          <w:p w14:paraId="3C88B474" w14:textId="77777777" w:rsidR="00713A26" w:rsidRPr="00F27622" w:rsidRDefault="00713A26" w:rsidP="00DE5D03">
            <w:pPr>
              <w:pStyle w:val="Tabletext"/>
              <w:numPr>
                <w:ilvl w:val="0"/>
                <w:numId w:val="21"/>
              </w:numPr>
            </w:pPr>
          </w:p>
        </w:tc>
        <w:tc>
          <w:tcPr>
            <w:tcW w:w="1843" w:type="dxa"/>
          </w:tcPr>
          <w:p w14:paraId="637F97D0" w14:textId="3A05CAB2" w:rsidR="00713A26" w:rsidRPr="00427135" w:rsidRDefault="00713A26" w:rsidP="00713A26">
            <w:pPr>
              <w:pStyle w:val="Tabletext"/>
            </w:pPr>
            <w:r w:rsidRPr="00072B85">
              <w:t>Boehringer Ingelheim</w:t>
            </w:r>
          </w:p>
        </w:tc>
        <w:tc>
          <w:tcPr>
            <w:tcW w:w="1985" w:type="dxa"/>
          </w:tcPr>
          <w:p w14:paraId="30EFF6F5" w14:textId="5573F17E" w:rsidR="00713A26" w:rsidRPr="00427135" w:rsidRDefault="00713A26" w:rsidP="00713A26">
            <w:pPr>
              <w:pStyle w:val="Tabletext"/>
            </w:pPr>
            <w:r w:rsidRPr="00C156D8">
              <w:rPr>
                <w:b/>
                <w:bCs/>
              </w:rPr>
              <w:t>Cardiac Rehabilitation</w:t>
            </w:r>
          </w:p>
        </w:tc>
        <w:tc>
          <w:tcPr>
            <w:tcW w:w="6520" w:type="dxa"/>
          </w:tcPr>
          <w:p w14:paraId="737B49D5" w14:textId="17A61711" w:rsidR="00713A26" w:rsidRPr="00427135" w:rsidRDefault="00713A26" w:rsidP="00713A26">
            <w:pPr>
              <w:pStyle w:val="Tabletext"/>
            </w:pPr>
            <w:r w:rsidRPr="00072B85">
              <w:t>Yes, we agree this suggestion, we still feel it is important to collect existing quality measures under this standard.</w:t>
            </w:r>
          </w:p>
        </w:tc>
        <w:tc>
          <w:tcPr>
            <w:tcW w:w="3758" w:type="dxa"/>
          </w:tcPr>
          <w:p w14:paraId="5BCC62A5" w14:textId="77777777" w:rsidR="00713A26" w:rsidRPr="00427135" w:rsidRDefault="00713A26" w:rsidP="00713A26">
            <w:pPr>
              <w:pStyle w:val="Tabletext"/>
            </w:pPr>
          </w:p>
        </w:tc>
      </w:tr>
      <w:tr w:rsidR="00713A26" w:rsidRPr="00C92280" w14:paraId="2557F3A7" w14:textId="77777777" w:rsidTr="00584584">
        <w:trPr>
          <w:trHeight w:val="282"/>
        </w:trPr>
        <w:tc>
          <w:tcPr>
            <w:tcW w:w="562" w:type="dxa"/>
          </w:tcPr>
          <w:p w14:paraId="314626F3" w14:textId="77777777" w:rsidR="00713A26" w:rsidRPr="00F27622" w:rsidRDefault="00713A26" w:rsidP="00DE5D03">
            <w:pPr>
              <w:pStyle w:val="Tabletext"/>
              <w:numPr>
                <w:ilvl w:val="0"/>
                <w:numId w:val="21"/>
              </w:numPr>
            </w:pPr>
          </w:p>
        </w:tc>
        <w:tc>
          <w:tcPr>
            <w:tcW w:w="1843" w:type="dxa"/>
          </w:tcPr>
          <w:p w14:paraId="6B50FF28" w14:textId="4206397A" w:rsidR="00713A26" w:rsidRPr="00427135" w:rsidRDefault="00713A26" w:rsidP="00713A26">
            <w:pPr>
              <w:pStyle w:val="Tabletext"/>
            </w:pPr>
            <w:r w:rsidRPr="00072B85">
              <w:t>British Society for Heart Failure (BSH)</w:t>
            </w:r>
          </w:p>
        </w:tc>
        <w:tc>
          <w:tcPr>
            <w:tcW w:w="1985" w:type="dxa"/>
          </w:tcPr>
          <w:p w14:paraId="1D599B4B" w14:textId="31BFE427" w:rsidR="00713A26" w:rsidRPr="00427135" w:rsidRDefault="00713A26" w:rsidP="00713A26">
            <w:pPr>
              <w:pStyle w:val="Tabletext"/>
            </w:pPr>
            <w:r w:rsidRPr="00C156D8">
              <w:rPr>
                <w:b/>
                <w:bCs/>
              </w:rPr>
              <w:t>Cardiac Rehabilitation</w:t>
            </w:r>
          </w:p>
        </w:tc>
        <w:tc>
          <w:tcPr>
            <w:tcW w:w="6520" w:type="dxa"/>
          </w:tcPr>
          <w:p w14:paraId="593BA2C1" w14:textId="505BC614" w:rsidR="00713A26" w:rsidRPr="00427135" w:rsidRDefault="00713A26" w:rsidP="00713A26">
            <w:pPr>
              <w:pStyle w:val="Tabletext"/>
            </w:pPr>
            <w:r w:rsidRPr="00072B85">
              <w:t>Agree, different delivery methods are still part of the same quality statement.</w:t>
            </w:r>
          </w:p>
        </w:tc>
        <w:tc>
          <w:tcPr>
            <w:tcW w:w="3758" w:type="dxa"/>
          </w:tcPr>
          <w:p w14:paraId="5FDFBCB9" w14:textId="77777777" w:rsidR="00713A26" w:rsidRPr="00427135" w:rsidRDefault="00713A26" w:rsidP="00713A26">
            <w:pPr>
              <w:pStyle w:val="Tabletext"/>
            </w:pPr>
          </w:p>
        </w:tc>
      </w:tr>
      <w:tr w:rsidR="00713A26" w:rsidRPr="00C92280" w14:paraId="49AF7E50" w14:textId="77777777" w:rsidTr="00584584">
        <w:trPr>
          <w:trHeight w:val="282"/>
        </w:trPr>
        <w:tc>
          <w:tcPr>
            <w:tcW w:w="562" w:type="dxa"/>
          </w:tcPr>
          <w:p w14:paraId="6C03B516" w14:textId="77777777" w:rsidR="00713A26" w:rsidRPr="00F27622" w:rsidRDefault="00713A26" w:rsidP="00DE5D03">
            <w:pPr>
              <w:pStyle w:val="Tabletext"/>
              <w:numPr>
                <w:ilvl w:val="0"/>
                <w:numId w:val="21"/>
              </w:numPr>
            </w:pPr>
          </w:p>
        </w:tc>
        <w:tc>
          <w:tcPr>
            <w:tcW w:w="1843" w:type="dxa"/>
          </w:tcPr>
          <w:p w14:paraId="6546FDAF" w14:textId="124AF8E1" w:rsidR="00713A26" w:rsidRPr="00427135" w:rsidRDefault="00713A26" w:rsidP="00713A26">
            <w:pPr>
              <w:pStyle w:val="Tabletext"/>
            </w:pPr>
            <w:r w:rsidRPr="00072B85">
              <w:t>British Society for Heart Failure (BSH)</w:t>
            </w:r>
          </w:p>
        </w:tc>
        <w:tc>
          <w:tcPr>
            <w:tcW w:w="1985" w:type="dxa"/>
          </w:tcPr>
          <w:p w14:paraId="6F7F039B" w14:textId="370EA864" w:rsidR="00713A26" w:rsidRPr="00427135" w:rsidRDefault="00713A26" w:rsidP="00713A26">
            <w:pPr>
              <w:pStyle w:val="Tabletext"/>
            </w:pPr>
            <w:r w:rsidRPr="00C156D8">
              <w:rPr>
                <w:b/>
                <w:bCs/>
              </w:rPr>
              <w:t>Cardiac Rehabilitation</w:t>
            </w:r>
          </w:p>
        </w:tc>
        <w:tc>
          <w:tcPr>
            <w:tcW w:w="6520" w:type="dxa"/>
          </w:tcPr>
          <w:p w14:paraId="4C5ECF06" w14:textId="77777777" w:rsidR="00713A26" w:rsidRPr="00072B85" w:rsidRDefault="00713A26" w:rsidP="00713A26">
            <w:pPr>
              <w:pStyle w:val="Tabletext"/>
              <w:rPr>
                <w:b/>
                <w:bCs/>
              </w:rPr>
            </w:pPr>
            <w:r w:rsidRPr="00072B85">
              <w:rPr>
                <w:b/>
                <w:bCs/>
              </w:rPr>
              <w:t xml:space="preserve">All adults with stable chronic heart failure should be offered a programme of cardiac rehabilitation. </w:t>
            </w:r>
          </w:p>
          <w:p w14:paraId="6C39012E" w14:textId="77777777" w:rsidR="00713A26" w:rsidRPr="00072B85" w:rsidRDefault="00713A26" w:rsidP="00713A26">
            <w:pPr>
              <w:pStyle w:val="Tabletext"/>
              <w:numPr>
                <w:ilvl w:val="0"/>
                <w:numId w:val="24"/>
              </w:numPr>
              <w:rPr>
                <w:bCs/>
              </w:rPr>
            </w:pPr>
            <w:r w:rsidRPr="00072B85">
              <w:rPr>
                <w:b/>
                <w:bCs/>
              </w:rPr>
              <w:t>ALL</w:t>
            </w:r>
            <w:r w:rsidRPr="00072B85">
              <w:rPr>
                <w:bCs/>
              </w:rPr>
              <w:t xml:space="preserve"> heart failure patients MUST be offered Cardiac rehabilitation (where appropriate) </w:t>
            </w:r>
          </w:p>
          <w:p w14:paraId="61EF200B" w14:textId="77777777" w:rsidR="00713A26" w:rsidRPr="00072B85" w:rsidRDefault="00713A26" w:rsidP="00713A26">
            <w:pPr>
              <w:pStyle w:val="Tabletext"/>
              <w:numPr>
                <w:ilvl w:val="0"/>
                <w:numId w:val="24"/>
              </w:numPr>
              <w:rPr>
                <w:bCs/>
              </w:rPr>
            </w:pPr>
            <w:r w:rsidRPr="00072B85">
              <w:rPr>
                <w:bCs/>
              </w:rPr>
              <w:t xml:space="preserve">Alternative delivery of cardiac rehabilitation must be offered to improve uptake </w:t>
            </w:r>
          </w:p>
          <w:p w14:paraId="2DAD3A36" w14:textId="77777777" w:rsidR="00713A26" w:rsidRPr="00072B85" w:rsidRDefault="00713A26" w:rsidP="00713A26">
            <w:pPr>
              <w:pStyle w:val="Tabletext"/>
              <w:numPr>
                <w:ilvl w:val="0"/>
                <w:numId w:val="24"/>
              </w:numPr>
              <w:rPr>
                <w:bCs/>
              </w:rPr>
            </w:pPr>
            <w:r w:rsidRPr="00072B85">
              <w:rPr>
                <w:bCs/>
              </w:rPr>
              <w:lastRenderedPageBreak/>
              <w:t>Sessions during and outside working hours, and the choice of undertaking the programme at home, in the community or in a hospital setting should be offered.</w:t>
            </w:r>
          </w:p>
          <w:p w14:paraId="002BB273" w14:textId="77777777" w:rsidR="00713A26" w:rsidRDefault="00713A26" w:rsidP="00713A26">
            <w:pPr>
              <w:pStyle w:val="Tabletext"/>
              <w:rPr>
                <w:bCs/>
              </w:rPr>
            </w:pPr>
            <w:r w:rsidRPr="00072B85">
              <w:rPr>
                <w:bCs/>
              </w:rPr>
              <w:t>Psychological needs of people with heart failure should be integrated into the cardiac rehabilitation setting</w:t>
            </w:r>
          </w:p>
          <w:p w14:paraId="4F4CB81B" w14:textId="77777777" w:rsidR="00713A26" w:rsidRDefault="00713A26" w:rsidP="00713A26">
            <w:pPr>
              <w:pStyle w:val="Tabletext"/>
              <w:rPr>
                <w:bCs/>
              </w:rPr>
            </w:pPr>
          </w:p>
          <w:p w14:paraId="72E624F6" w14:textId="77777777" w:rsidR="00713A26" w:rsidRDefault="00713A26" w:rsidP="00713A26">
            <w:pPr>
              <w:pStyle w:val="Tabletext"/>
            </w:pPr>
            <w:r>
              <w:t xml:space="preserve">Referral and uptake of CR for patients with HF remain very low. There has been no improvement in this at all. “16% of patients with heart failure are referred as an in-patient for cardiac rehabilitation (22% for those admitted to a cardiology ward, ~10% for those admitted to other wards) – target &gt;85%”. This is despite the NICE recommendation that all HF patients should be referred. </w:t>
            </w:r>
          </w:p>
          <w:p w14:paraId="0224E24A" w14:textId="77777777" w:rsidR="00713A26" w:rsidRDefault="00713A26" w:rsidP="00713A26">
            <w:pPr>
              <w:pStyle w:val="Tabletext"/>
            </w:pPr>
            <w:r>
              <w:t xml:space="preserve">Potentially uptake is affected by times offered, ability to attend, cost implications to patients. There remains variability across sex, </w:t>
            </w:r>
            <w:proofErr w:type="gramStart"/>
            <w:r>
              <w:t>deprivation</w:t>
            </w:r>
            <w:proofErr w:type="gramEnd"/>
            <w:r>
              <w:t xml:space="preserve"> and ethnicity. Differing delivery methods for CR should be offered </w:t>
            </w:r>
            <w:proofErr w:type="gramStart"/>
            <w:r>
              <w:t>i.e.</w:t>
            </w:r>
            <w:proofErr w:type="gramEnd"/>
            <w:r>
              <w:t xml:space="preserve"> Digital, virtual, evenings, weekends, online education resources. </w:t>
            </w:r>
          </w:p>
          <w:p w14:paraId="6060B3C1" w14:textId="5C09DA2B" w:rsidR="00713A26" w:rsidRPr="00427135" w:rsidRDefault="00713A26" w:rsidP="00713A26">
            <w:pPr>
              <w:pStyle w:val="Tabletext"/>
            </w:pPr>
            <w:r>
              <w:t xml:space="preserve">The denominator may be best divided into differing delivery methods </w:t>
            </w:r>
            <w:proofErr w:type="gramStart"/>
            <w:r>
              <w:t>i.e.</w:t>
            </w:r>
            <w:proofErr w:type="gramEnd"/>
            <w:r>
              <w:t xml:space="preserve"> out of office hours and virtual/digital delivery in order to review compliance with standard.</w:t>
            </w:r>
          </w:p>
        </w:tc>
        <w:tc>
          <w:tcPr>
            <w:tcW w:w="3758" w:type="dxa"/>
          </w:tcPr>
          <w:p w14:paraId="61902673" w14:textId="77777777" w:rsidR="00713A26" w:rsidRPr="00072B85" w:rsidRDefault="00713A26" w:rsidP="00713A26">
            <w:pPr>
              <w:pStyle w:val="Tabletext"/>
              <w:rPr>
                <w:bCs/>
              </w:rPr>
            </w:pPr>
            <w:r w:rsidRPr="00072B85">
              <w:rPr>
                <w:bCs/>
              </w:rPr>
              <w:lastRenderedPageBreak/>
              <w:t>Please see below documents evidencing poor uptake and referral rates of cardiac rehabilitation in HF:</w:t>
            </w:r>
          </w:p>
          <w:p w14:paraId="721FEB8E" w14:textId="77777777" w:rsidR="00713A26" w:rsidRPr="00072B85" w:rsidRDefault="00AF2CC8" w:rsidP="00713A26">
            <w:pPr>
              <w:pStyle w:val="Tabletext"/>
              <w:rPr>
                <w:bCs/>
              </w:rPr>
            </w:pPr>
            <w:hyperlink r:id="rId73" w:history="1">
              <w:r w:rsidR="00713A26" w:rsidRPr="00072B85">
                <w:rPr>
                  <w:rStyle w:val="Hyperlink"/>
                  <w:bCs/>
                </w:rPr>
                <w:t>NCAP-Aggregate_-Report_2021_FINAL.pdf (nicor.org.uk)</w:t>
              </w:r>
            </w:hyperlink>
          </w:p>
          <w:p w14:paraId="4D9CA85C" w14:textId="77777777" w:rsidR="00713A26" w:rsidRPr="00072B85" w:rsidRDefault="00AF2CC8" w:rsidP="00713A26">
            <w:pPr>
              <w:pStyle w:val="Tabletext"/>
              <w:rPr>
                <w:bCs/>
              </w:rPr>
            </w:pPr>
            <w:hyperlink r:id="rId74" w:history="1">
              <w:r w:rsidR="00713A26" w:rsidRPr="00072B85">
                <w:rPr>
                  <w:rStyle w:val="Hyperlink"/>
                  <w:bCs/>
                </w:rPr>
                <w:t>Cardiac rehabilitation: the big picture | BHF</w:t>
              </w:r>
            </w:hyperlink>
          </w:p>
          <w:p w14:paraId="78DCCCF3" w14:textId="0DF3C258" w:rsidR="00713A26" w:rsidRPr="00427135" w:rsidRDefault="00AF2CC8" w:rsidP="00713A26">
            <w:pPr>
              <w:pStyle w:val="Tabletext"/>
            </w:pPr>
            <w:hyperlink r:id="rId75" w:history="1">
              <w:r w:rsidR="00713A26" w:rsidRPr="00072B85">
                <w:rPr>
                  <w:rStyle w:val="Hyperlink"/>
                  <w:bCs/>
                </w:rPr>
                <w:t>nacr-quality-and-outcomes-report-2019.pdf</w:t>
              </w:r>
            </w:hyperlink>
          </w:p>
        </w:tc>
      </w:tr>
      <w:tr w:rsidR="00713A26" w:rsidRPr="00C92280" w14:paraId="294B2EB9" w14:textId="77777777" w:rsidTr="00584584">
        <w:trPr>
          <w:trHeight w:val="282"/>
        </w:trPr>
        <w:tc>
          <w:tcPr>
            <w:tcW w:w="562" w:type="dxa"/>
          </w:tcPr>
          <w:p w14:paraId="4B0AE681" w14:textId="77777777" w:rsidR="00713A26" w:rsidRPr="00F27622" w:rsidRDefault="00713A26" w:rsidP="00DE5D03">
            <w:pPr>
              <w:pStyle w:val="Tabletext"/>
              <w:numPr>
                <w:ilvl w:val="0"/>
                <w:numId w:val="21"/>
              </w:numPr>
            </w:pPr>
          </w:p>
        </w:tc>
        <w:tc>
          <w:tcPr>
            <w:tcW w:w="1843" w:type="dxa"/>
          </w:tcPr>
          <w:p w14:paraId="7C39C23E" w14:textId="1DF6DF86" w:rsidR="00713A26" w:rsidRPr="00427135" w:rsidRDefault="00713A26" w:rsidP="00713A26">
            <w:pPr>
              <w:pStyle w:val="Tabletext"/>
            </w:pPr>
            <w:r>
              <w:t>SCM2</w:t>
            </w:r>
          </w:p>
        </w:tc>
        <w:tc>
          <w:tcPr>
            <w:tcW w:w="1985" w:type="dxa"/>
          </w:tcPr>
          <w:p w14:paraId="4EDDCD7E" w14:textId="29A4AE87" w:rsidR="00713A26" w:rsidRPr="00427135" w:rsidRDefault="00713A26" w:rsidP="00713A26">
            <w:pPr>
              <w:pStyle w:val="Tabletext"/>
            </w:pPr>
            <w:r w:rsidRPr="00A91269">
              <w:rPr>
                <w:b/>
                <w:bCs/>
              </w:rPr>
              <w:t>Cardiac Rehabilitation</w:t>
            </w:r>
          </w:p>
        </w:tc>
        <w:tc>
          <w:tcPr>
            <w:tcW w:w="6520" w:type="dxa"/>
          </w:tcPr>
          <w:p w14:paraId="4B25BA1F" w14:textId="0BB11AD9" w:rsidR="00713A26" w:rsidRPr="00427135" w:rsidRDefault="00713A26" w:rsidP="00713A26">
            <w:pPr>
              <w:pStyle w:val="Tabletext"/>
            </w:pPr>
            <w:r w:rsidRPr="00072B85">
              <w:t xml:space="preserve">Agree, different delivery methods are still part of the same quality statement. However, CR is not able to be routinely offered at different times. Can this be split into A and B </w:t>
            </w:r>
            <w:proofErr w:type="gramStart"/>
            <w:r w:rsidRPr="00072B85">
              <w:t>in order to</w:t>
            </w:r>
            <w:proofErr w:type="gramEnd"/>
            <w:r w:rsidRPr="00072B85">
              <w:t xml:space="preserve"> identify where services are not meeting standard? Suggest outside of office hours and virtually/online are different asks.</w:t>
            </w:r>
          </w:p>
        </w:tc>
        <w:tc>
          <w:tcPr>
            <w:tcW w:w="3758" w:type="dxa"/>
          </w:tcPr>
          <w:p w14:paraId="01620AF6" w14:textId="77777777" w:rsidR="00713A26" w:rsidRPr="00427135" w:rsidRDefault="00713A26" w:rsidP="00713A26">
            <w:pPr>
              <w:pStyle w:val="Tabletext"/>
            </w:pPr>
          </w:p>
        </w:tc>
      </w:tr>
      <w:tr w:rsidR="00713A26" w:rsidRPr="00C92280" w14:paraId="6396FB85" w14:textId="77777777" w:rsidTr="00584584">
        <w:trPr>
          <w:trHeight w:val="282"/>
        </w:trPr>
        <w:tc>
          <w:tcPr>
            <w:tcW w:w="562" w:type="dxa"/>
          </w:tcPr>
          <w:p w14:paraId="37BE84FE" w14:textId="77777777" w:rsidR="00713A26" w:rsidRPr="00F27622" w:rsidRDefault="00713A26" w:rsidP="00DE5D03">
            <w:pPr>
              <w:pStyle w:val="Tabletext"/>
              <w:numPr>
                <w:ilvl w:val="0"/>
                <w:numId w:val="21"/>
              </w:numPr>
            </w:pPr>
          </w:p>
        </w:tc>
        <w:tc>
          <w:tcPr>
            <w:tcW w:w="1843" w:type="dxa"/>
          </w:tcPr>
          <w:p w14:paraId="2300D87F" w14:textId="2A05594A" w:rsidR="00713A26" w:rsidRPr="00427135" w:rsidRDefault="00713A26" w:rsidP="00713A26">
            <w:pPr>
              <w:pStyle w:val="Tabletext"/>
            </w:pPr>
            <w:r>
              <w:t>SCM2</w:t>
            </w:r>
          </w:p>
        </w:tc>
        <w:tc>
          <w:tcPr>
            <w:tcW w:w="1985" w:type="dxa"/>
          </w:tcPr>
          <w:p w14:paraId="727E39E7" w14:textId="0BB6B12E" w:rsidR="00713A26" w:rsidRPr="00427135" w:rsidRDefault="00713A26" w:rsidP="00713A26">
            <w:pPr>
              <w:pStyle w:val="Tabletext"/>
            </w:pPr>
            <w:r w:rsidRPr="00A91269">
              <w:rPr>
                <w:b/>
                <w:bCs/>
              </w:rPr>
              <w:t>Cardiac Rehabilitation</w:t>
            </w:r>
          </w:p>
        </w:tc>
        <w:tc>
          <w:tcPr>
            <w:tcW w:w="6520" w:type="dxa"/>
          </w:tcPr>
          <w:p w14:paraId="69EE4D36" w14:textId="77777777" w:rsidR="00713A26" w:rsidRPr="00072B85" w:rsidRDefault="00713A26" w:rsidP="00713A26">
            <w:pPr>
              <w:pStyle w:val="Tabletext"/>
              <w:numPr>
                <w:ilvl w:val="0"/>
                <w:numId w:val="22"/>
              </w:numPr>
              <w:rPr>
                <w:b/>
              </w:rPr>
            </w:pPr>
            <w:r w:rsidRPr="00072B85">
              <w:rPr>
                <w:b/>
              </w:rPr>
              <w:t xml:space="preserve">Adults with stable chronic heart failure are offered an exercise-based programme of cardiac rehabilitation. Sessions during and outside working hours, and the </w:t>
            </w:r>
            <w:r w:rsidRPr="00072B85">
              <w:rPr>
                <w:b/>
              </w:rPr>
              <w:lastRenderedPageBreak/>
              <w:t>choice of undertaking the programme at home, in the community or in a hospital setting should be offered.</w:t>
            </w:r>
          </w:p>
          <w:p w14:paraId="7614EE93" w14:textId="77777777" w:rsidR="00713A26" w:rsidRPr="00072B85" w:rsidRDefault="00713A26" w:rsidP="00713A26">
            <w:pPr>
              <w:pStyle w:val="Tabletext"/>
              <w:numPr>
                <w:ilvl w:val="0"/>
                <w:numId w:val="24"/>
              </w:numPr>
            </w:pPr>
            <w:r w:rsidRPr="00072B85">
              <w:rPr>
                <w:b/>
              </w:rPr>
              <w:t>ALL</w:t>
            </w:r>
            <w:r w:rsidRPr="00072B85">
              <w:t xml:space="preserve"> heart failure patients MUST be offered Cardiac rehabilitation </w:t>
            </w:r>
          </w:p>
          <w:p w14:paraId="53CF9B80" w14:textId="77777777" w:rsidR="00713A26" w:rsidRDefault="00713A26" w:rsidP="00713A26">
            <w:pPr>
              <w:pStyle w:val="Tabletext"/>
            </w:pPr>
            <w:r w:rsidRPr="00072B85">
              <w:t>Alternative delivery of cardiac rehabilitation must be offered to improve uptake</w:t>
            </w:r>
            <w:r>
              <w:t>.</w:t>
            </w:r>
          </w:p>
          <w:p w14:paraId="15E38F90" w14:textId="77777777" w:rsidR="00713A26" w:rsidRDefault="00713A26" w:rsidP="00713A26">
            <w:pPr>
              <w:pStyle w:val="Tabletext"/>
            </w:pPr>
            <w:r>
              <w:t xml:space="preserve">Referral and uptake of CR for patients with HF remain very low. There has been no improvement in this at all. “16% of patients with heart failure are referred as an in-patient for cardiac rehabilitation (22% for those admitted to a cardiology ward, ~10% for those admitted to other wards) – target &gt;85%”. This is despite the NICE recommendation that all HF patients should be referred. </w:t>
            </w:r>
          </w:p>
          <w:p w14:paraId="56074C3F" w14:textId="77777777" w:rsidR="00713A26" w:rsidRDefault="00713A26" w:rsidP="00713A26">
            <w:pPr>
              <w:pStyle w:val="Tabletext"/>
            </w:pPr>
            <w:r>
              <w:t xml:space="preserve">Potentially uptake is affected by times offered, ability to attend, cost implications to patients. There remains variability across sex, </w:t>
            </w:r>
            <w:proofErr w:type="gramStart"/>
            <w:r>
              <w:t>deprivation</w:t>
            </w:r>
            <w:proofErr w:type="gramEnd"/>
            <w:r>
              <w:t xml:space="preserve"> and ethnicity. Differing delivery methods for CR should be offered i.e. Digital, virtual, evenings, </w:t>
            </w:r>
            <w:proofErr w:type="gramStart"/>
            <w:r>
              <w:t>weekends ,</w:t>
            </w:r>
            <w:proofErr w:type="gramEnd"/>
            <w:r>
              <w:t xml:space="preserve"> online education resources. </w:t>
            </w:r>
          </w:p>
          <w:p w14:paraId="2943BB1C" w14:textId="6AA7CF6A" w:rsidR="00713A26" w:rsidRPr="00427135" w:rsidRDefault="00713A26" w:rsidP="00713A26">
            <w:pPr>
              <w:pStyle w:val="Tabletext"/>
            </w:pPr>
            <w:r>
              <w:t xml:space="preserve">The denominator may be best divided into differing delivery methods </w:t>
            </w:r>
            <w:proofErr w:type="gramStart"/>
            <w:r>
              <w:t>i.e.</w:t>
            </w:r>
            <w:proofErr w:type="gramEnd"/>
            <w:r>
              <w:t xml:space="preserve"> out of office hours and virtual/digital delivery in order to review compliance with standard.</w:t>
            </w:r>
          </w:p>
        </w:tc>
        <w:tc>
          <w:tcPr>
            <w:tcW w:w="3758" w:type="dxa"/>
          </w:tcPr>
          <w:p w14:paraId="5294A517" w14:textId="77777777" w:rsidR="00713A26" w:rsidRPr="00CC063E" w:rsidRDefault="00713A26" w:rsidP="00DE5D03">
            <w:pPr>
              <w:pStyle w:val="Tabletext"/>
            </w:pPr>
            <w:r w:rsidRPr="00CC063E">
              <w:lastRenderedPageBreak/>
              <w:t>Please see below documents evidencing poor uptake and referral rates of cardiac rehabilitation in HF:</w:t>
            </w:r>
          </w:p>
          <w:p w14:paraId="2B8E44C4" w14:textId="77777777" w:rsidR="00713A26" w:rsidRPr="00CC063E" w:rsidRDefault="00AF2CC8" w:rsidP="00DE5D03">
            <w:pPr>
              <w:pStyle w:val="Tabletext"/>
            </w:pPr>
            <w:hyperlink r:id="rId76" w:history="1">
              <w:r w:rsidR="00713A26" w:rsidRPr="00CC063E">
                <w:rPr>
                  <w:rStyle w:val="Hyperlink"/>
                </w:rPr>
                <w:t>NCAP-Aggregate_-Report_2021_FINAL.pdf (nicor.org.uk)</w:t>
              </w:r>
            </w:hyperlink>
          </w:p>
          <w:p w14:paraId="0BF0CBC7" w14:textId="77777777" w:rsidR="00713A26" w:rsidRPr="00CC063E" w:rsidRDefault="00AF2CC8" w:rsidP="00DE5D03">
            <w:pPr>
              <w:pStyle w:val="Tabletext"/>
            </w:pPr>
            <w:hyperlink r:id="rId77" w:history="1">
              <w:r w:rsidR="00713A26" w:rsidRPr="00CC063E">
                <w:rPr>
                  <w:rStyle w:val="Hyperlink"/>
                </w:rPr>
                <w:t>Cardiac rehabilitation: the big picture | BHF</w:t>
              </w:r>
            </w:hyperlink>
          </w:p>
          <w:p w14:paraId="266DF684" w14:textId="2FC64A17" w:rsidR="00713A26" w:rsidRPr="00427135" w:rsidRDefault="00AF2CC8" w:rsidP="00713A26">
            <w:pPr>
              <w:pStyle w:val="Tabletext"/>
            </w:pPr>
            <w:hyperlink r:id="rId78" w:history="1">
              <w:r w:rsidR="00713A26" w:rsidRPr="00CC063E">
                <w:rPr>
                  <w:rStyle w:val="Hyperlink"/>
                </w:rPr>
                <w:t>nacr-quality-and-outcomes-report-2019.pdf</w:t>
              </w:r>
            </w:hyperlink>
          </w:p>
        </w:tc>
      </w:tr>
      <w:tr w:rsidR="00713A26" w:rsidRPr="00C92280" w14:paraId="59B2DCBE" w14:textId="77777777" w:rsidTr="00584584">
        <w:trPr>
          <w:trHeight w:val="282"/>
        </w:trPr>
        <w:tc>
          <w:tcPr>
            <w:tcW w:w="562" w:type="dxa"/>
          </w:tcPr>
          <w:p w14:paraId="51BB1F0B" w14:textId="77777777" w:rsidR="00713A26" w:rsidRPr="00F27622" w:rsidRDefault="00713A26" w:rsidP="00DE5D03">
            <w:pPr>
              <w:pStyle w:val="Tabletext"/>
              <w:numPr>
                <w:ilvl w:val="0"/>
                <w:numId w:val="21"/>
              </w:numPr>
            </w:pPr>
          </w:p>
        </w:tc>
        <w:tc>
          <w:tcPr>
            <w:tcW w:w="1843" w:type="dxa"/>
          </w:tcPr>
          <w:p w14:paraId="12A2CD8E" w14:textId="5A905F7B" w:rsidR="00713A26" w:rsidRPr="00427135" w:rsidRDefault="00713A26" w:rsidP="00713A26">
            <w:pPr>
              <w:pStyle w:val="Tabletext"/>
            </w:pPr>
            <w:r>
              <w:t>SCM3</w:t>
            </w:r>
          </w:p>
        </w:tc>
        <w:tc>
          <w:tcPr>
            <w:tcW w:w="1985" w:type="dxa"/>
          </w:tcPr>
          <w:p w14:paraId="0AB46AED" w14:textId="2068611B" w:rsidR="00713A26" w:rsidRPr="00427135" w:rsidRDefault="00713A26" w:rsidP="00713A26">
            <w:pPr>
              <w:pStyle w:val="Tabletext"/>
            </w:pPr>
            <w:r w:rsidRPr="007E7808">
              <w:rPr>
                <w:b/>
                <w:bCs/>
              </w:rPr>
              <w:t>Cardiac Rehabilitation</w:t>
            </w:r>
          </w:p>
        </w:tc>
        <w:tc>
          <w:tcPr>
            <w:tcW w:w="6520" w:type="dxa"/>
          </w:tcPr>
          <w:p w14:paraId="519506C6" w14:textId="664D50EF" w:rsidR="00713A26" w:rsidRPr="00427135" w:rsidRDefault="00713A26" w:rsidP="00713A26">
            <w:pPr>
              <w:pStyle w:val="Tabletext"/>
            </w:pPr>
            <w:r w:rsidRPr="00CC063E">
              <w:t xml:space="preserve">Yes, makes sense as no point offering cardiac rehab if not possible for patients to undertake it </w:t>
            </w:r>
            <w:proofErr w:type="gramStart"/>
            <w:r w:rsidRPr="00CC063E">
              <w:t>e.g.</w:t>
            </w:r>
            <w:proofErr w:type="gramEnd"/>
            <w:r w:rsidRPr="00CC063E">
              <w:t xml:space="preserve"> housebound need at home, etc.</w:t>
            </w:r>
          </w:p>
        </w:tc>
        <w:tc>
          <w:tcPr>
            <w:tcW w:w="3758" w:type="dxa"/>
          </w:tcPr>
          <w:p w14:paraId="5D31C72C" w14:textId="77777777" w:rsidR="00713A26" w:rsidRPr="00427135" w:rsidRDefault="00713A26" w:rsidP="00713A26">
            <w:pPr>
              <w:pStyle w:val="Tabletext"/>
            </w:pPr>
          </w:p>
        </w:tc>
      </w:tr>
      <w:tr w:rsidR="00713A26" w:rsidRPr="00C92280" w14:paraId="2698B579" w14:textId="77777777" w:rsidTr="00584584">
        <w:trPr>
          <w:trHeight w:val="282"/>
        </w:trPr>
        <w:tc>
          <w:tcPr>
            <w:tcW w:w="562" w:type="dxa"/>
          </w:tcPr>
          <w:p w14:paraId="49D6B17D" w14:textId="77777777" w:rsidR="00713A26" w:rsidRPr="00F27622" w:rsidRDefault="00713A26" w:rsidP="00DE5D03">
            <w:pPr>
              <w:pStyle w:val="Tabletext"/>
              <w:numPr>
                <w:ilvl w:val="0"/>
                <w:numId w:val="21"/>
              </w:numPr>
            </w:pPr>
          </w:p>
        </w:tc>
        <w:tc>
          <w:tcPr>
            <w:tcW w:w="1843" w:type="dxa"/>
          </w:tcPr>
          <w:p w14:paraId="4C63EE16" w14:textId="5610293F" w:rsidR="00713A26" w:rsidRPr="00427135" w:rsidRDefault="00713A26" w:rsidP="00713A26">
            <w:pPr>
              <w:pStyle w:val="Tabletext"/>
            </w:pPr>
            <w:proofErr w:type="spellStart"/>
            <w:r w:rsidRPr="00CC063E">
              <w:t>Vifor</w:t>
            </w:r>
            <w:proofErr w:type="spellEnd"/>
            <w:r w:rsidRPr="00CC063E">
              <w:t xml:space="preserve"> Pharma UK</w:t>
            </w:r>
          </w:p>
        </w:tc>
        <w:tc>
          <w:tcPr>
            <w:tcW w:w="1985" w:type="dxa"/>
          </w:tcPr>
          <w:p w14:paraId="30B1AE7D" w14:textId="385D6A16" w:rsidR="00713A26" w:rsidRPr="00427135" w:rsidRDefault="00713A26" w:rsidP="00713A26">
            <w:pPr>
              <w:pStyle w:val="Tabletext"/>
            </w:pPr>
            <w:r w:rsidRPr="007E7808">
              <w:rPr>
                <w:b/>
                <w:bCs/>
              </w:rPr>
              <w:t>Cardiac Rehabilitation</w:t>
            </w:r>
          </w:p>
        </w:tc>
        <w:tc>
          <w:tcPr>
            <w:tcW w:w="6520" w:type="dxa"/>
          </w:tcPr>
          <w:p w14:paraId="60BC26E3" w14:textId="56849560" w:rsidR="00713A26" w:rsidRPr="00427135" w:rsidRDefault="00713A26" w:rsidP="00713A26">
            <w:pPr>
              <w:pStyle w:val="Tabletext"/>
            </w:pPr>
            <w:proofErr w:type="gramStart"/>
            <w:r w:rsidRPr="00CC063E">
              <w:t>Yes</w:t>
            </w:r>
            <w:proofErr w:type="gramEnd"/>
            <w:r w:rsidRPr="00CC063E">
              <w:t xml:space="preserve"> we agree.</w:t>
            </w:r>
          </w:p>
        </w:tc>
        <w:tc>
          <w:tcPr>
            <w:tcW w:w="3758" w:type="dxa"/>
          </w:tcPr>
          <w:p w14:paraId="2D2CB140" w14:textId="77777777" w:rsidR="00713A26" w:rsidRPr="00427135" w:rsidRDefault="00713A26" w:rsidP="00713A26">
            <w:pPr>
              <w:pStyle w:val="Tabletext"/>
            </w:pPr>
          </w:p>
        </w:tc>
      </w:tr>
      <w:tr w:rsidR="007179CF" w:rsidRPr="00C92280" w14:paraId="60997970" w14:textId="77777777" w:rsidTr="00584584">
        <w:trPr>
          <w:trHeight w:val="282"/>
        </w:trPr>
        <w:tc>
          <w:tcPr>
            <w:tcW w:w="562" w:type="dxa"/>
          </w:tcPr>
          <w:p w14:paraId="309C16E7" w14:textId="77777777" w:rsidR="009372E7" w:rsidRPr="00F27622" w:rsidRDefault="009372E7" w:rsidP="00DE5D03">
            <w:pPr>
              <w:pStyle w:val="Tabletext"/>
              <w:numPr>
                <w:ilvl w:val="0"/>
                <w:numId w:val="21"/>
              </w:numPr>
            </w:pPr>
          </w:p>
        </w:tc>
        <w:tc>
          <w:tcPr>
            <w:tcW w:w="1843" w:type="dxa"/>
          </w:tcPr>
          <w:p w14:paraId="6F276BA4" w14:textId="6E2E2D3D" w:rsidR="009372E7" w:rsidRPr="00427135" w:rsidRDefault="00CC063E" w:rsidP="00B24E25">
            <w:pPr>
              <w:pStyle w:val="Tabletext"/>
            </w:pPr>
            <w:r w:rsidRPr="00CC063E">
              <w:t>NHSE</w:t>
            </w:r>
          </w:p>
        </w:tc>
        <w:tc>
          <w:tcPr>
            <w:tcW w:w="1985" w:type="dxa"/>
          </w:tcPr>
          <w:p w14:paraId="5659569B" w14:textId="58FA4C1D" w:rsidR="009372E7" w:rsidRPr="00427135" w:rsidRDefault="00713A26" w:rsidP="00A86C3F">
            <w:pPr>
              <w:pStyle w:val="Tabletext"/>
            </w:pPr>
            <w:r w:rsidRPr="001E4E8C">
              <w:rPr>
                <w:b/>
                <w:bCs/>
              </w:rPr>
              <w:t>Cardiac Rehabilitation</w:t>
            </w:r>
          </w:p>
        </w:tc>
        <w:tc>
          <w:tcPr>
            <w:tcW w:w="6520" w:type="dxa"/>
          </w:tcPr>
          <w:p w14:paraId="3F9CACE3" w14:textId="5C700927" w:rsidR="009372E7" w:rsidRPr="00427135" w:rsidRDefault="00CC063E" w:rsidP="00B24E25">
            <w:pPr>
              <w:pStyle w:val="Tabletext"/>
            </w:pPr>
            <w:r w:rsidRPr="00CC063E">
              <w:t>Yes, agree. Explicit comment on deprived/hard to reach communities should be commented on.</w:t>
            </w:r>
          </w:p>
        </w:tc>
        <w:tc>
          <w:tcPr>
            <w:tcW w:w="3758" w:type="dxa"/>
          </w:tcPr>
          <w:p w14:paraId="78A15727" w14:textId="77777777" w:rsidR="009372E7" w:rsidRPr="00427135" w:rsidRDefault="009372E7" w:rsidP="00B24E25">
            <w:pPr>
              <w:pStyle w:val="Tabletext"/>
            </w:pPr>
          </w:p>
        </w:tc>
      </w:tr>
      <w:tr w:rsidR="00713A26" w:rsidRPr="00C92280" w14:paraId="57217116" w14:textId="77777777" w:rsidTr="00584584">
        <w:trPr>
          <w:trHeight w:val="282"/>
        </w:trPr>
        <w:tc>
          <w:tcPr>
            <w:tcW w:w="562" w:type="dxa"/>
          </w:tcPr>
          <w:p w14:paraId="4CA778E1" w14:textId="77777777" w:rsidR="00713A26" w:rsidRPr="00F27622" w:rsidRDefault="00713A26" w:rsidP="00DE5D03">
            <w:pPr>
              <w:pStyle w:val="Tabletext"/>
              <w:numPr>
                <w:ilvl w:val="0"/>
                <w:numId w:val="21"/>
              </w:numPr>
            </w:pPr>
          </w:p>
        </w:tc>
        <w:tc>
          <w:tcPr>
            <w:tcW w:w="1843" w:type="dxa"/>
          </w:tcPr>
          <w:p w14:paraId="4FD53724" w14:textId="253EEFCA" w:rsidR="00713A26" w:rsidRPr="00427135" w:rsidRDefault="00713A26" w:rsidP="00713A26">
            <w:pPr>
              <w:pStyle w:val="Tabletext"/>
            </w:pPr>
            <w:r w:rsidRPr="00CC063E">
              <w:t>NHS England and NHS Improvement</w:t>
            </w:r>
          </w:p>
        </w:tc>
        <w:tc>
          <w:tcPr>
            <w:tcW w:w="1985" w:type="dxa"/>
          </w:tcPr>
          <w:p w14:paraId="41B12D08" w14:textId="2BC03772" w:rsidR="00713A26" w:rsidRPr="00427135" w:rsidRDefault="00713A26" w:rsidP="00713A26">
            <w:pPr>
              <w:pStyle w:val="Tabletext"/>
            </w:pPr>
            <w:r w:rsidRPr="00A330A8">
              <w:rPr>
                <w:b/>
                <w:bCs/>
              </w:rPr>
              <w:t>Cardiac Rehabilitation</w:t>
            </w:r>
          </w:p>
        </w:tc>
        <w:tc>
          <w:tcPr>
            <w:tcW w:w="6520" w:type="dxa"/>
          </w:tcPr>
          <w:p w14:paraId="435D552D" w14:textId="77777777" w:rsidR="00713A26" w:rsidRPr="00CC063E" w:rsidRDefault="00713A26" w:rsidP="00713A26">
            <w:pPr>
              <w:pStyle w:val="Tabletext"/>
              <w:rPr>
                <w:bCs/>
              </w:rPr>
            </w:pPr>
            <w:r w:rsidRPr="00CC063E">
              <w:rPr>
                <w:bCs/>
              </w:rPr>
              <w:t xml:space="preserve">Please see comment below.  We note that the list of Stakeholders for this work </w:t>
            </w:r>
            <w:proofErr w:type="gramStart"/>
            <w:r w:rsidRPr="00CC063E">
              <w:rPr>
                <w:bCs/>
              </w:rPr>
              <w:t>are</w:t>
            </w:r>
            <w:proofErr w:type="gramEnd"/>
            <w:r w:rsidRPr="00CC063E">
              <w:rPr>
                <w:bCs/>
              </w:rPr>
              <w:t xml:space="preserve"> and these organisations are best placed to comment on this question</w:t>
            </w:r>
          </w:p>
          <w:p w14:paraId="6E9984F3" w14:textId="77777777" w:rsidR="00713A26" w:rsidRPr="00CC063E" w:rsidRDefault="00713A26" w:rsidP="00713A26">
            <w:pPr>
              <w:pStyle w:val="Tabletext"/>
              <w:numPr>
                <w:ilvl w:val="0"/>
                <w:numId w:val="25"/>
              </w:numPr>
              <w:rPr>
                <w:bCs/>
              </w:rPr>
            </w:pPr>
            <w:r w:rsidRPr="00CC063E">
              <w:rPr>
                <w:bCs/>
              </w:rPr>
              <w:t>The Chartered Society of Physiotherapist</w:t>
            </w:r>
          </w:p>
          <w:p w14:paraId="128E43CF" w14:textId="77777777" w:rsidR="00713A26" w:rsidRPr="00CC063E" w:rsidRDefault="00713A26" w:rsidP="00713A26">
            <w:pPr>
              <w:pStyle w:val="Tabletext"/>
              <w:numPr>
                <w:ilvl w:val="0"/>
                <w:numId w:val="25"/>
              </w:numPr>
              <w:rPr>
                <w:bCs/>
              </w:rPr>
            </w:pPr>
            <w:r w:rsidRPr="00CC063E">
              <w:t>Association of Chartered Physiotherapists in Cardiac Rehabilitation</w:t>
            </w:r>
          </w:p>
          <w:p w14:paraId="77C36030" w14:textId="76CC1478" w:rsidR="00713A26" w:rsidRPr="00427135" w:rsidRDefault="00713A26" w:rsidP="00713A26">
            <w:pPr>
              <w:pStyle w:val="Tabletext"/>
            </w:pPr>
            <w:r w:rsidRPr="00CC063E">
              <w:t>Association of Chartered Physiotherapists in Respiratory Care</w:t>
            </w:r>
          </w:p>
        </w:tc>
        <w:tc>
          <w:tcPr>
            <w:tcW w:w="3758" w:type="dxa"/>
          </w:tcPr>
          <w:p w14:paraId="1D4E1251" w14:textId="77777777" w:rsidR="00713A26" w:rsidRPr="00427135" w:rsidRDefault="00713A26" w:rsidP="00713A26">
            <w:pPr>
              <w:pStyle w:val="Tabletext"/>
            </w:pPr>
          </w:p>
        </w:tc>
      </w:tr>
      <w:tr w:rsidR="00713A26" w:rsidRPr="00C92280" w14:paraId="75FBD744" w14:textId="77777777" w:rsidTr="00584584">
        <w:trPr>
          <w:trHeight w:val="282"/>
        </w:trPr>
        <w:tc>
          <w:tcPr>
            <w:tcW w:w="562" w:type="dxa"/>
          </w:tcPr>
          <w:p w14:paraId="4050449B" w14:textId="77777777" w:rsidR="00713A26" w:rsidRPr="00F27622" w:rsidRDefault="00713A26" w:rsidP="00DE5D03">
            <w:pPr>
              <w:pStyle w:val="Tabletext"/>
              <w:numPr>
                <w:ilvl w:val="0"/>
                <w:numId w:val="21"/>
              </w:numPr>
            </w:pPr>
          </w:p>
        </w:tc>
        <w:tc>
          <w:tcPr>
            <w:tcW w:w="1843" w:type="dxa"/>
          </w:tcPr>
          <w:p w14:paraId="6264B8DC" w14:textId="419D92C1" w:rsidR="00713A26" w:rsidRPr="00427135" w:rsidRDefault="00713A26" w:rsidP="00713A26">
            <w:pPr>
              <w:pStyle w:val="Tabletext"/>
            </w:pPr>
            <w:r>
              <w:t>SCM4</w:t>
            </w:r>
          </w:p>
        </w:tc>
        <w:tc>
          <w:tcPr>
            <w:tcW w:w="1985" w:type="dxa"/>
          </w:tcPr>
          <w:p w14:paraId="4D14C5DC" w14:textId="64F12571" w:rsidR="00713A26" w:rsidRPr="00427135" w:rsidRDefault="00713A26" w:rsidP="00713A26">
            <w:pPr>
              <w:pStyle w:val="Tabletext"/>
            </w:pPr>
            <w:r w:rsidRPr="00A330A8">
              <w:rPr>
                <w:b/>
                <w:bCs/>
              </w:rPr>
              <w:t>Cardiac Rehabilitation</w:t>
            </w:r>
          </w:p>
        </w:tc>
        <w:tc>
          <w:tcPr>
            <w:tcW w:w="6520" w:type="dxa"/>
          </w:tcPr>
          <w:p w14:paraId="1B8B5631" w14:textId="77777777" w:rsidR="00713A26" w:rsidRDefault="00713A26" w:rsidP="00713A26">
            <w:pPr>
              <w:pStyle w:val="Tabletext"/>
            </w:pPr>
            <w:r>
              <w:t xml:space="preserve">I am happy to see both statements merged to create a more robust and consistent offering to healthcare providers of how to deliver Cardiac Rehabilitation. </w:t>
            </w:r>
          </w:p>
          <w:p w14:paraId="4B76697F" w14:textId="77777777" w:rsidR="00713A26" w:rsidRDefault="00713A26" w:rsidP="00713A26">
            <w:pPr>
              <w:pStyle w:val="Tabletext"/>
            </w:pPr>
            <w:r>
              <w:t>Considering the poor offering of CR, by payers, which to be honest is a national disgrace and would not be accepted in Cancer, to patients with stable heart failure, combining both statements make sense to demonstrate further value to the providers.</w:t>
            </w:r>
          </w:p>
          <w:p w14:paraId="18BA02DB" w14:textId="77777777" w:rsidR="00713A26" w:rsidRDefault="00713A26" w:rsidP="00713A26">
            <w:pPr>
              <w:pStyle w:val="Tabletext"/>
            </w:pPr>
            <w:r>
              <w:t>I do however have an opinion as to how this new combined statement should look like. CR is more than just exercise and nutrition. It is helping people to realise the value, in the teachings, to deliver behavioural change which creates a longevity effect.</w:t>
            </w:r>
          </w:p>
          <w:p w14:paraId="1D04EAFB" w14:textId="330C5D9B" w:rsidR="00713A26" w:rsidRPr="00427135" w:rsidRDefault="00713A26" w:rsidP="00713A26">
            <w:pPr>
              <w:pStyle w:val="Tabletext"/>
            </w:pPr>
            <w:r>
              <w:t>CR should also be focussed on psychosocial support and peer to peer support for the patient / carer / family member.</w:t>
            </w:r>
          </w:p>
        </w:tc>
        <w:tc>
          <w:tcPr>
            <w:tcW w:w="3758" w:type="dxa"/>
          </w:tcPr>
          <w:p w14:paraId="60B76072" w14:textId="77777777" w:rsidR="00713A26" w:rsidRPr="00427135" w:rsidRDefault="00713A26" w:rsidP="00713A26">
            <w:pPr>
              <w:pStyle w:val="Tabletext"/>
            </w:pPr>
          </w:p>
        </w:tc>
      </w:tr>
      <w:tr w:rsidR="007179CF" w:rsidRPr="00C92280" w14:paraId="703D5A95" w14:textId="77777777" w:rsidTr="00584584">
        <w:trPr>
          <w:trHeight w:val="282"/>
        </w:trPr>
        <w:tc>
          <w:tcPr>
            <w:tcW w:w="562" w:type="dxa"/>
          </w:tcPr>
          <w:p w14:paraId="1945645B" w14:textId="77777777" w:rsidR="009372E7" w:rsidRPr="00F27622" w:rsidRDefault="009372E7" w:rsidP="00DE5D03">
            <w:pPr>
              <w:pStyle w:val="Tabletext"/>
              <w:numPr>
                <w:ilvl w:val="0"/>
                <w:numId w:val="21"/>
              </w:numPr>
            </w:pPr>
          </w:p>
        </w:tc>
        <w:tc>
          <w:tcPr>
            <w:tcW w:w="1843" w:type="dxa"/>
          </w:tcPr>
          <w:p w14:paraId="1627A9F0" w14:textId="2D8678B1" w:rsidR="009372E7" w:rsidRPr="00427135" w:rsidRDefault="00CC063E" w:rsidP="00B24E25">
            <w:pPr>
              <w:pStyle w:val="Tabletext"/>
            </w:pPr>
            <w:r w:rsidRPr="00CC063E">
              <w:t>Novartis Pharmaceuticals UK Ltd</w:t>
            </w:r>
          </w:p>
        </w:tc>
        <w:tc>
          <w:tcPr>
            <w:tcW w:w="1985" w:type="dxa"/>
          </w:tcPr>
          <w:p w14:paraId="0AAF1C7B" w14:textId="027E7DE8" w:rsidR="009372E7" w:rsidRPr="00427135" w:rsidRDefault="00713A26" w:rsidP="00A86C3F">
            <w:pPr>
              <w:pStyle w:val="Tabletext"/>
            </w:pPr>
            <w:r w:rsidRPr="001E4E8C">
              <w:rPr>
                <w:b/>
                <w:bCs/>
              </w:rPr>
              <w:t>Cardiac Rehabilitation</w:t>
            </w:r>
          </w:p>
        </w:tc>
        <w:tc>
          <w:tcPr>
            <w:tcW w:w="6520" w:type="dxa"/>
          </w:tcPr>
          <w:p w14:paraId="22B716A8" w14:textId="7ED15681" w:rsidR="009372E7" w:rsidRPr="00427135" w:rsidRDefault="00CC063E" w:rsidP="00B24E25">
            <w:pPr>
              <w:pStyle w:val="Tabletext"/>
            </w:pPr>
            <w:r w:rsidRPr="00CC063E">
              <w:t xml:space="preserve">We </w:t>
            </w:r>
            <w:proofErr w:type="gramStart"/>
            <w:r w:rsidRPr="00CC063E">
              <w:t>are in agreement</w:t>
            </w:r>
            <w:proofErr w:type="gramEnd"/>
            <w:r w:rsidRPr="00CC063E">
              <w:t xml:space="preserve"> with the proposed consolidation of quality statements.</w:t>
            </w:r>
          </w:p>
        </w:tc>
        <w:tc>
          <w:tcPr>
            <w:tcW w:w="3758" w:type="dxa"/>
          </w:tcPr>
          <w:p w14:paraId="64ECEC97" w14:textId="77777777" w:rsidR="009372E7" w:rsidRPr="00427135" w:rsidRDefault="009372E7" w:rsidP="00B24E25">
            <w:pPr>
              <w:pStyle w:val="Tabletext"/>
            </w:pPr>
          </w:p>
        </w:tc>
      </w:tr>
      <w:tr w:rsidR="00713A26" w:rsidRPr="00C92280" w14:paraId="5F594F21" w14:textId="77777777" w:rsidTr="00584584">
        <w:trPr>
          <w:trHeight w:val="282"/>
        </w:trPr>
        <w:tc>
          <w:tcPr>
            <w:tcW w:w="562" w:type="dxa"/>
          </w:tcPr>
          <w:p w14:paraId="07BEDA50" w14:textId="77777777" w:rsidR="00713A26" w:rsidRPr="00F27622" w:rsidRDefault="00713A26" w:rsidP="00DE5D03">
            <w:pPr>
              <w:pStyle w:val="Tabletext"/>
              <w:numPr>
                <w:ilvl w:val="0"/>
                <w:numId w:val="21"/>
              </w:numPr>
            </w:pPr>
          </w:p>
        </w:tc>
        <w:tc>
          <w:tcPr>
            <w:tcW w:w="1843" w:type="dxa"/>
          </w:tcPr>
          <w:p w14:paraId="3FC9ECA7" w14:textId="295EE730" w:rsidR="00713A26" w:rsidRPr="00427135" w:rsidRDefault="00713A26" w:rsidP="00713A26">
            <w:pPr>
              <w:pStyle w:val="Tabletext"/>
            </w:pPr>
            <w:r>
              <w:t>SCM5</w:t>
            </w:r>
          </w:p>
        </w:tc>
        <w:tc>
          <w:tcPr>
            <w:tcW w:w="1985" w:type="dxa"/>
          </w:tcPr>
          <w:p w14:paraId="4088A859" w14:textId="31A97B69" w:rsidR="00713A26" w:rsidRPr="00427135" w:rsidRDefault="00713A26" w:rsidP="00713A26">
            <w:pPr>
              <w:pStyle w:val="Tabletext"/>
            </w:pPr>
            <w:r w:rsidRPr="008C6E97">
              <w:rPr>
                <w:b/>
                <w:bCs/>
              </w:rPr>
              <w:t>Cardiac Rehabilitation</w:t>
            </w:r>
          </w:p>
        </w:tc>
        <w:tc>
          <w:tcPr>
            <w:tcW w:w="6520" w:type="dxa"/>
          </w:tcPr>
          <w:p w14:paraId="3B16C3AB" w14:textId="42079469" w:rsidR="00713A26" w:rsidRPr="00427135" w:rsidRDefault="00713A26" w:rsidP="00713A26">
            <w:pPr>
              <w:pStyle w:val="Tabletext"/>
            </w:pPr>
            <w:r w:rsidRPr="00CC063E">
              <w:t xml:space="preserve">Agree in principle, though I suspect many places are NOT currently offering flexible timings/locations for CR, so perhaps need to be a sub-point or remain </w:t>
            </w:r>
            <w:proofErr w:type="gramStart"/>
            <w:r w:rsidRPr="00CC063E">
              <w:t>separate ,with</w:t>
            </w:r>
            <w:proofErr w:type="gramEnd"/>
            <w:r w:rsidRPr="00CC063E">
              <w:t xml:space="preserve"> first point being </w:t>
            </w:r>
            <w:r w:rsidRPr="00CC063E">
              <w:lastRenderedPageBreak/>
              <w:t>that CR must be offered, and second point being that sessions need to offer the above.</w:t>
            </w:r>
          </w:p>
        </w:tc>
        <w:tc>
          <w:tcPr>
            <w:tcW w:w="3758" w:type="dxa"/>
          </w:tcPr>
          <w:p w14:paraId="735D5A2C" w14:textId="77777777" w:rsidR="00713A26" w:rsidRPr="00427135" w:rsidRDefault="00713A26" w:rsidP="00713A26">
            <w:pPr>
              <w:pStyle w:val="Tabletext"/>
            </w:pPr>
          </w:p>
        </w:tc>
      </w:tr>
      <w:tr w:rsidR="00713A26" w:rsidRPr="00C92280" w14:paraId="75FB2313" w14:textId="77777777" w:rsidTr="00584584">
        <w:trPr>
          <w:trHeight w:val="282"/>
        </w:trPr>
        <w:tc>
          <w:tcPr>
            <w:tcW w:w="562" w:type="dxa"/>
          </w:tcPr>
          <w:p w14:paraId="15B48700" w14:textId="77777777" w:rsidR="00713A26" w:rsidRPr="00F27622" w:rsidRDefault="00713A26" w:rsidP="00DE5D03">
            <w:pPr>
              <w:pStyle w:val="Tabletext"/>
              <w:numPr>
                <w:ilvl w:val="0"/>
                <w:numId w:val="21"/>
              </w:numPr>
            </w:pPr>
          </w:p>
        </w:tc>
        <w:tc>
          <w:tcPr>
            <w:tcW w:w="1843" w:type="dxa"/>
          </w:tcPr>
          <w:p w14:paraId="49ABD734" w14:textId="035F603E" w:rsidR="00713A26" w:rsidRPr="00427135" w:rsidRDefault="00713A26" w:rsidP="00713A26">
            <w:pPr>
              <w:pStyle w:val="Tabletext"/>
            </w:pPr>
            <w:r>
              <w:t>SCM5</w:t>
            </w:r>
          </w:p>
        </w:tc>
        <w:tc>
          <w:tcPr>
            <w:tcW w:w="1985" w:type="dxa"/>
          </w:tcPr>
          <w:p w14:paraId="606BB550" w14:textId="312AB723" w:rsidR="00713A26" w:rsidRPr="00427135" w:rsidRDefault="00713A26" w:rsidP="00713A26">
            <w:pPr>
              <w:pStyle w:val="Tabletext"/>
            </w:pPr>
            <w:r w:rsidRPr="008C6E97">
              <w:rPr>
                <w:b/>
                <w:bCs/>
              </w:rPr>
              <w:t>Cardiac Rehabilitation</w:t>
            </w:r>
          </w:p>
        </w:tc>
        <w:tc>
          <w:tcPr>
            <w:tcW w:w="6520" w:type="dxa"/>
          </w:tcPr>
          <w:p w14:paraId="6DA3FCC2" w14:textId="77777777" w:rsidR="00713A26" w:rsidRDefault="00713A26" w:rsidP="00713A26">
            <w:pPr>
              <w:pStyle w:val="Tabletext"/>
            </w:pPr>
            <w:r w:rsidRPr="00A86C3F">
              <w:t>Every patient with stable chronic heart failure must be offered CR</w:t>
            </w:r>
          </w:p>
          <w:p w14:paraId="4668CBA6" w14:textId="77777777" w:rsidR="00713A26" w:rsidRDefault="00713A26" w:rsidP="00713A26">
            <w:pPr>
              <w:pStyle w:val="Tabletext"/>
            </w:pPr>
            <w:r>
              <w:t xml:space="preserve">Cardiac rehab is associated with a significant prognostic benefit in HF </w:t>
            </w:r>
            <w:proofErr w:type="gramStart"/>
            <w:r>
              <w:t>patients</w:t>
            </w:r>
            <w:proofErr w:type="gramEnd"/>
            <w:r>
              <w:t xml:space="preserve"> and this is regardless of age, sex, frailty, co-morbidities or ejection fraction. </w:t>
            </w:r>
          </w:p>
          <w:p w14:paraId="3D596F1B" w14:textId="77777777" w:rsidR="00713A26" w:rsidRDefault="00713A26" w:rsidP="00713A26">
            <w:pPr>
              <w:pStyle w:val="Tabletext"/>
            </w:pPr>
            <w:r>
              <w:t xml:space="preserve">Despite such convincing outcome data, only 15% of patients from the most recent NICOR dataset were noted to be referred to cardiac rehab. </w:t>
            </w:r>
          </w:p>
          <w:p w14:paraId="6A44A6E5" w14:textId="2B082372" w:rsidR="00713A26" w:rsidRPr="00427135" w:rsidRDefault="00713A26" w:rsidP="00713A26">
            <w:pPr>
              <w:pStyle w:val="Tabletext"/>
            </w:pPr>
            <w:r>
              <w:t>Current QS states that CR should eb offered in various settings and times, but many places do not currently offer this. This data should be collected.</w:t>
            </w:r>
          </w:p>
        </w:tc>
        <w:tc>
          <w:tcPr>
            <w:tcW w:w="3758" w:type="dxa"/>
          </w:tcPr>
          <w:p w14:paraId="0CD24A21" w14:textId="77777777" w:rsidR="00713A26" w:rsidRPr="00A86C3F" w:rsidRDefault="00AF2CC8" w:rsidP="00713A26">
            <w:pPr>
              <w:pStyle w:val="Tabletext"/>
            </w:pPr>
            <w:hyperlink r:id="rId79" w:history="1">
              <w:r w:rsidR="00713A26" w:rsidRPr="00A86C3F">
                <w:rPr>
                  <w:rStyle w:val="Hyperlink"/>
                </w:rPr>
                <w:t>https://www.bhf.org.uk/for-professionals/healthcare-professionals/data-and-statistics/cardiac-rehabilitation-the-big-picture</w:t>
              </w:r>
            </w:hyperlink>
          </w:p>
          <w:p w14:paraId="7A728D88" w14:textId="77777777" w:rsidR="00713A26" w:rsidRPr="00A86C3F" w:rsidRDefault="00713A26" w:rsidP="00713A26">
            <w:pPr>
              <w:pStyle w:val="Tabletext"/>
            </w:pPr>
            <w:r w:rsidRPr="00A86C3F">
              <w:t xml:space="preserve">K </w:t>
            </w:r>
            <w:proofErr w:type="spellStart"/>
            <w:r w:rsidRPr="00A86C3F">
              <w:t>Kamiya</w:t>
            </w:r>
            <w:proofErr w:type="spellEnd"/>
            <w:r w:rsidRPr="00A86C3F">
              <w:t xml:space="preserve"> et al. Multidisciplinary Cardiac Rehabilitation and Long-Term Prognosis in Patients </w:t>
            </w:r>
            <w:proofErr w:type="gramStart"/>
            <w:r w:rsidRPr="00A86C3F">
              <w:t>With</w:t>
            </w:r>
            <w:proofErr w:type="gramEnd"/>
            <w:r w:rsidRPr="00A86C3F">
              <w:t xml:space="preserve"> Heart Failure. Circulation Heart Failure 2020;13. </w:t>
            </w:r>
            <w:hyperlink r:id="rId80" w:history="1">
              <w:r w:rsidRPr="00A86C3F">
                <w:rPr>
                  <w:rStyle w:val="Hyperlink"/>
                </w:rPr>
                <w:t>https://doi.org/10.1161/CIRCHEARTFAILURE.119.006798</w:t>
              </w:r>
            </w:hyperlink>
          </w:p>
          <w:p w14:paraId="17AC876E" w14:textId="77777777" w:rsidR="00713A26" w:rsidRPr="00A86C3F" w:rsidRDefault="00AF2CC8" w:rsidP="00713A26">
            <w:pPr>
              <w:pStyle w:val="Tabletext"/>
            </w:pPr>
            <w:hyperlink r:id="rId81" w:history="1">
              <w:r w:rsidR="00713A26" w:rsidRPr="00A86C3F">
                <w:rPr>
                  <w:rStyle w:val="Hyperlink"/>
                </w:rPr>
                <w:t>https://www.nicor.org.uk/wp-content/uploads/2021/10/NHFA-Domain-Report_2021_FINAL.pdf</w:t>
              </w:r>
            </w:hyperlink>
          </w:p>
          <w:p w14:paraId="66C38611" w14:textId="77777777" w:rsidR="00713A26" w:rsidRPr="00427135" w:rsidRDefault="00713A26" w:rsidP="00713A26">
            <w:pPr>
              <w:pStyle w:val="Tabletext"/>
            </w:pPr>
          </w:p>
        </w:tc>
      </w:tr>
      <w:tr w:rsidR="00713A26" w:rsidRPr="00C92280" w14:paraId="6967C708" w14:textId="77777777" w:rsidTr="00584584">
        <w:trPr>
          <w:trHeight w:val="282"/>
        </w:trPr>
        <w:tc>
          <w:tcPr>
            <w:tcW w:w="562" w:type="dxa"/>
          </w:tcPr>
          <w:p w14:paraId="306FB7F5" w14:textId="77777777" w:rsidR="00713A26" w:rsidRPr="00F27622" w:rsidRDefault="00713A26" w:rsidP="00DE5D03">
            <w:pPr>
              <w:pStyle w:val="Tabletext"/>
              <w:numPr>
                <w:ilvl w:val="0"/>
                <w:numId w:val="21"/>
              </w:numPr>
            </w:pPr>
          </w:p>
        </w:tc>
        <w:tc>
          <w:tcPr>
            <w:tcW w:w="1843" w:type="dxa"/>
          </w:tcPr>
          <w:p w14:paraId="48F0F2F7" w14:textId="5B1605C3" w:rsidR="00713A26" w:rsidRPr="00427135" w:rsidRDefault="00713A26" w:rsidP="00713A26">
            <w:pPr>
              <w:pStyle w:val="Tabletext"/>
            </w:pPr>
            <w:r>
              <w:t>SCM6</w:t>
            </w:r>
          </w:p>
        </w:tc>
        <w:tc>
          <w:tcPr>
            <w:tcW w:w="1985" w:type="dxa"/>
          </w:tcPr>
          <w:p w14:paraId="5EA5DA13" w14:textId="6AD1AE55" w:rsidR="00713A26" w:rsidRPr="00427135" w:rsidRDefault="00713A26" w:rsidP="00713A26">
            <w:pPr>
              <w:pStyle w:val="Tabletext"/>
            </w:pPr>
            <w:r w:rsidRPr="008C6E97">
              <w:rPr>
                <w:b/>
                <w:bCs/>
              </w:rPr>
              <w:t>Cardiac Rehabilitation</w:t>
            </w:r>
          </w:p>
        </w:tc>
        <w:tc>
          <w:tcPr>
            <w:tcW w:w="6520" w:type="dxa"/>
          </w:tcPr>
          <w:p w14:paraId="30333380" w14:textId="2CEAB67F" w:rsidR="00713A26" w:rsidRPr="00427135" w:rsidRDefault="00713A26" w:rsidP="00713A26">
            <w:pPr>
              <w:pStyle w:val="Tabletext"/>
            </w:pPr>
            <w:r w:rsidRPr="00A86C3F">
              <w:t>Yes, agree. We may need to think about the new virtual option for cardiac rehabilitation.</w:t>
            </w:r>
          </w:p>
        </w:tc>
        <w:tc>
          <w:tcPr>
            <w:tcW w:w="3758" w:type="dxa"/>
          </w:tcPr>
          <w:p w14:paraId="374B9389" w14:textId="77777777" w:rsidR="00713A26" w:rsidRPr="00427135" w:rsidRDefault="00713A26" w:rsidP="00713A26">
            <w:pPr>
              <w:pStyle w:val="Tabletext"/>
            </w:pPr>
          </w:p>
        </w:tc>
      </w:tr>
      <w:tr w:rsidR="00713A26" w:rsidRPr="00C92280" w14:paraId="0E3445AA" w14:textId="77777777" w:rsidTr="00584584">
        <w:trPr>
          <w:trHeight w:val="282"/>
        </w:trPr>
        <w:tc>
          <w:tcPr>
            <w:tcW w:w="562" w:type="dxa"/>
          </w:tcPr>
          <w:p w14:paraId="21238984" w14:textId="77777777" w:rsidR="00713A26" w:rsidRPr="00F27622" w:rsidRDefault="00713A26" w:rsidP="00DE5D03">
            <w:pPr>
              <w:pStyle w:val="Tabletext"/>
              <w:numPr>
                <w:ilvl w:val="0"/>
                <w:numId w:val="21"/>
              </w:numPr>
            </w:pPr>
          </w:p>
        </w:tc>
        <w:tc>
          <w:tcPr>
            <w:tcW w:w="1843" w:type="dxa"/>
          </w:tcPr>
          <w:p w14:paraId="6B5F42F9" w14:textId="2A882A00" w:rsidR="00713A26" w:rsidRPr="00427135" w:rsidRDefault="00713A26" w:rsidP="00713A26">
            <w:pPr>
              <w:pStyle w:val="Tabletext"/>
            </w:pPr>
            <w:r>
              <w:t>SCM6</w:t>
            </w:r>
          </w:p>
        </w:tc>
        <w:tc>
          <w:tcPr>
            <w:tcW w:w="1985" w:type="dxa"/>
          </w:tcPr>
          <w:p w14:paraId="4099493C" w14:textId="658B011A" w:rsidR="00713A26" w:rsidRPr="00427135" w:rsidRDefault="00713A26" w:rsidP="00713A26">
            <w:pPr>
              <w:pStyle w:val="Tabletext"/>
            </w:pPr>
            <w:r w:rsidRPr="008C6E97">
              <w:rPr>
                <w:b/>
                <w:bCs/>
              </w:rPr>
              <w:t>Cardiac Rehabilitation</w:t>
            </w:r>
          </w:p>
        </w:tc>
        <w:tc>
          <w:tcPr>
            <w:tcW w:w="6520" w:type="dxa"/>
          </w:tcPr>
          <w:p w14:paraId="6EFF9220" w14:textId="77777777" w:rsidR="00713A26" w:rsidRDefault="00713A26" w:rsidP="00713A26">
            <w:pPr>
              <w:pStyle w:val="Tabletext"/>
            </w:pPr>
            <w:r w:rsidRPr="00A86C3F">
              <w:t>Cardiac Rehabilitation</w:t>
            </w:r>
          </w:p>
          <w:p w14:paraId="0C2C14A5" w14:textId="5161679B" w:rsidR="00713A26" w:rsidRPr="00427135" w:rsidRDefault="00713A26" w:rsidP="00713A26">
            <w:pPr>
              <w:pStyle w:val="Tabletext"/>
            </w:pPr>
            <w:r w:rsidRPr="00A86C3F">
              <w:t>“Cardiac rehabilitation is too low at 15% (22% for those on a cardiology ward). A significant investment is needed if hospitals in England are to reach the NHS CVD goal of 85% of those eligible accessing care. Fresh approaches for delivering access to cardiac rehabilitation need to be considered.”</w:t>
            </w:r>
          </w:p>
        </w:tc>
        <w:tc>
          <w:tcPr>
            <w:tcW w:w="3758" w:type="dxa"/>
          </w:tcPr>
          <w:p w14:paraId="1220C50D" w14:textId="356BD9B8" w:rsidR="00713A26" w:rsidRPr="00427135" w:rsidRDefault="00713A26" w:rsidP="00713A26">
            <w:pPr>
              <w:pStyle w:val="Tabletext"/>
            </w:pPr>
            <w:r w:rsidRPr="00A86C3F">
              <w:t>As above</w:t>
            </w:r>
          </w:p>
        </w:tc>
      </w:tr>
      <w:tr w:rsidR="00713A26" w:rsidRPr="00C92280" w14:paraId="2B2F974D" w14:textId="77777777" w:rsidTr="00584584">
        <w:trPr>
          <w:trHeight w:val="282"/>
        </w:trPr>
        <w:tc>
          <w:tcPr>
            <w:tcW w:w="562" w:type="dxa"/>
          </w:tcPr>
          <w:p w14:paraId="2951EAF2" w14:textId="77777777" w:rsidR="00713A26" w:rsidRPr="00F27622" w:rsidRDefault="00713A26" w:rsidP="00DE5D03">
            <w:pPr>
              <w:pStyle w:val="Tabletext"/>
              <w:numPr>
                <w:ilvl w:val="0"/>
                <w:numId w:val="21"/>
              </w:numPr>
            </w:pPr>
          </w:p>
        </w:tc>
        <w:tc>
          <w:tcPr>
            <w:tcW w:w="1843" w:type="dxa"/>
          </w:tcPr>
          <w:p w14:paraId="46AF0707" w14:textId="086E1167" w:rsidR="00713A26" w:rsidRPr="00427135" w:rsidRDefault="00713A26" w:rsidP="00713A26">
            <w:pPr>
              <w:pStyle w:val="Tabletext"/>
            </w:pPr>
            <w:r>
              <w:t>SCM7</w:t>
            </w:r>
          </w:p>
        </w:tc>
        <w:tc>
          <w:tcPr>
            <w:tcW w:w="1985" w:type="dxa"/>
          </w:tcPr>
          <w:p w14:paraId="43AD6B76" w14:textId="08E0B033" w:rsidR="00713A26" w:rsidRPr="00427135" w:rsidRDefault="00713A26" w:rsidP="00713A26">
            <w:pPr>
              <w:pStyle w:val="Tabletext"/>
            </w:pPr>
            <w:r w:rsidRPr="00282993">
              <w:rPr>
                <w:b/>
                <w:bCs/>
              </w:rPr>
              <w:t>Cardiac Rehabilitation</w:t>
            </w:r>
          </w:p>
        </w:tc>
        <w:tc>
          <w:tcPr>
            <w:tcW w:w="6520" w:type="dxa"/>
          </w:tcPr>
          <w:p w14:paraId="0C5694F4" w14:textId="77777777" w:rsidR="00713A26" w:rsidRPr="00A86C3F" w:rsidRDefault="00713A26" w:rsidP="00713A26">
            <w:pPr>
              <w:pStyle w:val="Tabletext"/>
              <w:rPr>
                <w:bCs/>
              </w:rPr>
            </w:pPr>
            <w:r w:rsidRPr="00A86C3F">
              <w:rPr>
                <w:bCs/>
              </w:rPr>
              <w:t xml:space="preserve">At one level I could agree with </w:t>
            </w:r>
            <w:proofErr w:type="gramStart"/>
            <w:r w:rsidRPr="00A86C3F">
              <w:rPr>
                <w:bCs/>
              </w:rPr>
              <w:t>this, if</w:t>
            </w:r>
            <w:proofErr w:type="gramEnd"/>
            <w:r w:rsidRPr="00A86C3F">
              <w:rPr>
                <w:bCs/>
              </w:rPr>
              <w:t xml:space="preserve"> the combination measures the provision of CR </w:t>
            </w:r>
            <w:r w:rsidRPr="00A86C3F">
              <w:rPr>
                <w:bCs/>
                <w:i/>
                <w:iCs/>
              </w:rPr>
              <w:t>and</w:t>
            </w:r>
            <w:r w:rsidRPr="00A86C3F">
              <w:rPr>
                <w:bCs/>
              </w:rPr>
              <w:t xml:space="preserve"> the choices associated with it.</w:t>
            </w:r>
          </w:p>
          <w:p w14:paraId="709D1BE5" w14:textId="77777777" w:rsidR="00713A26" w:rsidRPr="00A86C3F" w:rsidRDefault="00713A26" w:rsidP="00713A26">
            <w:pPr>
              <w:pStyle w:val="Tabletext"/>
              <w:rPr>
                <w:bCs/>
              </w:rPr>
            </w:pPr>
            <w:r w:rsidRPr="00A86C3F">
              <w:rPr>
                <w:bCs/>
              </w:rPr>
              <w:t>However, one major issue is that this QI under-recognises the issue with CR in all its forms.  CR is significantly under-</w:t>
            </w:r>
            <w:r w:rsidRPr="00A86C3F">
              <w:rPr>
                <w:bCs/>
              </w:rPr>
              <w:lastRenderedPageBreak/>
              <w:t>prescribed (see the HF Audit</w:t>
            </w:r>
            <w:proofErr w:type="gramStart"/>
            <w:r w:rsidRPr="00A86C3F">
              <w:rPr>
                <w:bCs/>
              </w:rPr>
              <w:t>)</w:t>
            </w:r>
            <w:proofErr w:type="gramEnd"/>
            <w:r w:rsidRPr="00A86C3F">
              <w:rPr>
                <w:bCs/>
              </w:rPr>
              <w:t xml:space="preserve"> and the service does not have a clear definition of what it needs to include.  The current QI is focused on exercise but there is a much broader need for Rehabilitation in </w:t>
            </w:r>
            <w:proofErr w:type="gramStart"/>
            <w:r w:rsidRPr="00A86C3F">
              <w:rPr>
                <w:bCs/>
              </w:rPr>
              <w:t>all of</w:t>
            </w:r>
            <w:proofErr w:type="gramEnd"/>
            <w:r w:rsidRPr="00A86C3F">
              <w:rPr>
                <w:bCs/>
              </w:rPr>
              <w:t xml:space="preserve"> its forms, which includes: exercise, education, psychosocial support and the involvement/support of the partner/family.  The latest HF Guideline from the European Society of Cardiology attempts to address this in part.  (</w:t>
            </w:r>
            <w:proofErr w:type="spellStart"/>
            <w:r w:rsidRPr="00A86C3F">
              <w:rPr>
                <w:bCs/>
              </w:rPr>
              <w:t>DoI</w:t>
            </w:r>
            <w:proofErr w:type="spellEnd"/>
            <w:r w:rsidRPr="00A86C3F">
              <w:rPr>
                <w:bCs/>
              </w:rPr>
              <w:t>, I was a patient member of this GL.)</w:t>
            </w:r>
          </w:p>
          <w:p w14:paraId="001B3F76" w14:textId="5644166D" w:rsidR="00713A26" w:rsidRPr="00427135" w:rsidRDefault="00713A26" w:rsidP="00713A26">
            <w:pPr>
              <w:pStyle w:val="Tabletext"/>
            </w:pPr>
            <w:r w:rsidRPr="00A86C3F">
              <w:rPr>
                <w:bCs/>
              </w:rPr>
              <w:t xml:space="preserve">(Also see Cardiac Rehabilitation for Patients </w:t>
            </w:r>
            <w:proofErr w:type="gramStart"/>
            <w:r w:rsidRPr="00A86C3F">
              <w:rPr>
                <w:bCs/>
              </w:rPr>
              <w:t>With</w:t>
            </w:r>
            <w:proofErr w:type="gramEnd"/>
            <w:r w:rsidRPr="00A86C3F">
              <w:rPr>
                <w:bCs/>
              </w:rPr>
              <w:t xml:space="preserve"> Heart Failure, JACC Expert Panel, </w:t>
            </w:r>
            <w:hyperlink r:id="rId82" w:history="1">
              <w:r w:rsidRPr="00A86C3F">
                <w:rPr>
                  <w:rStyle w:val="Hyperlink"/>
                  <w:bCs/>
                </w:rPr>
                <w:t>https://doi.org/10.1016/j.jacc.2021.01.030</w:t>
              </w:r>
            </w:hyperlink>
            <w:r w:rsidRPr="00A86C3F">
              <w:rPr>
                <w:bCs/>
              </w:rPr>
              <w:t>.)</w:t>
            </w:r>
          </w:p>
        </w:tc>
        <w:tc>
          <w:tcPr>
            <w:tcW w:w="3758" w:type="dxa"/>
          </w:tcPr>
          <w:p w14:paraId="305E42A6" w14:textId="77777777" w:rsidR="00713A26" w:rsidRPr="00427135" w:rsidRDefault="00713A26" w:rsidP="00713A26">
            <w:pPr>
              <w:pStyle w:val="Tabletext"/>
            </w:pPr>
          </w:p>
        </w:tc>
      </w:tr>
      <w:tr w:rsidR="00713A26" w:rsidRPr="00C92280" w14:paraId="6DF86F30" w14:textId="77777777" w:rsidTr="00584584">
        <w:trPr>
          <w:trHeight w:val="282"/>
        </w:trPr>
        <w:tc>
          <w:tcPr>
            <w:tcW w:w="562" w:type="dxa"/>
          </w:tcPr>
          <w:p w14:paraId="0D8F37F8" w14:textId="77777777" w:rsidR="00713A26" w:rsidRPr="00F27622" w:rsidRDefault="00713A26" w:rsidP="00DE5D03">
            <w:pPr>
              <w:pStyle w:val="Tabletext"/>
              <w:numPr>
                <w:ilvl w:val="0"/>
                <w:numId w:val="21"/>
              </w:numPr>
            </w:pPr>
          </w:p>
        </w:tc>
        <w:tc>
          <w:tcPr>
            <w:tcW w:w="1843" w:type="dxa"/>
          </w:tcPr>
          <w:p w14:paraId="4A62D559" w14:textId="7303B6E8" w:rsidR="00713A26" w:rsidRPr="00427135" w:rsidRDefault="00713A26" w:rsidP="00713A26">
            <w:pPr>
              <w:pStyle w:val="Tabletext"/>
            </w:pPr>
            <w:r>
              <w:t>SCM7</w:t>
            </w:r>
          </w:p>
        </w:tc>
        <w:tc>
          <w:tcPr>
            <w:tcW w:w="1985" w:type="dxa"/>
          </w:tcPr>
          <w:p w14:paraId="4C9F9045" w14:textId="1F16666E" w:rsidR="00713A26" w:rsidRPr="00427135" w:rsidRDefault="00713A26" w:rsidP="00713A26">
            <w:pPr>
              <w:pStyle w:val="Tabletext"/>
            </w:pPr>
            <w:r w:rsidRPr="00282993">
              <w:rPr>
                <w:b/>
                <w:bCs/>
              </w:rPr>
              <w:t>Cardiac Rehabilitation</w:t>
            </w:r>
          </w:p>
        </w:tc>
        <w:tc>
          <w:tcPr>
            <w:tcW w:w="6520" w:type="dxa"/>
          </w:tcPr>
          <w:p w14:paraId="0D2ACD22" w14:textId="77777777" w:rsidR="00713A26" w:rsidRDefault="00713A26" w:rsidP="00713A26">
            <w:pPr>
              <w:pStyle w:val="Tabletext"/>
            </w:pPr>
            <w:r w:rsidRPr="00A86C3F">
              <w:t>As discussed above, broadening the definition of CR (cardiac rehabilitation</w:t>
            </w:r>
            <w:proofErr w:type="gramStart"/>
            <w:r w:rsidRPr="00A86C3F">
              <w:t>)</w:t>
            </w:r>
            <w:proofErr w:type="gramEnd"/>
            <w:r w:rsidRPr="00A86C3F">
              <w:t xml:space="preserve"> and then improving its provision and prescription is essential to patient Quality of Life.</w:t>
            </w:r>
          </w:p>
          <w:p w14:paraId="71068CF7" w14:textId="77777777" w:rsidR="00713A26" w:rsidRDefault="00713A26" w:rsidP="00713A26">
            <w:pPr>
              <w:pStyle w:val="Tabletext"/>
            </w:pPr>
          </w:p>
          <w:p w14:paraId="044E9187" w14:textId="77777777" w:rsidR="00713A26" w:rsidRDefault="00713A26" w:rsidP="00713A26">
            <w:pPr>
              <w:pStyle w:val="Tabletext"/>
            </w:pPr>
            <w:r>
              <w:t xml:space="preserve">Addressing the physical status of patients with medical therapies is only addressing part of the problem that HF patients face.  Living with a chronic disease like HF means living with a significant impact on the rest of your life and the lives of those around you.  Current services focus largely on addressing the physical but fail to meet the educational needs of patients which would help them to be more effective at self-care (and be more adherent), they also fail to meet the full psychological consequences for a person living with a chronic condition (and for the psychological needs of the patient’s partner/family) and fail to target adequately the physical rehabilitation of the patient sufficient to improve their status and improve the likelihood of the patient returning to work and/or contributing to his/her household and society.  Many/most clinicians appreciate this argument but when guidelines demand evidence from RCTs before recommendations may be put in place, there have historically been few large, high-quality studies as they are </w:t>
            </w:r>
            <w:r>
              <w:lastRenderedPageBreak/>
              <w:t xml:space="preserve">expensive to </w:t>
            </w:r>
            <w:proofErr w:type="gramStart"/>
            <w:r>
              <w:t>conduct</w:t>
            </w:r>
            <w:proofErr w:type="gramEnd"/>
            <w:r>
              <w:t xml:space="preserve"> and no drug company will benefit from the outcome (and therefore not pay for the study).  Further, budgets available to clinicians have largely been directed at fixing the physical problem, there have been few or no funds available for the </w:t>
            </w:r>
            <w:proofErr w:type="spellStart"/>
            <w:r>
              <w:t>rehabilitational</w:t>
            </w:r>
            <w:proofErr w:type="spellEnd"/>
            <w:r>
              <w:t xml:space="preserve">, emotional, psychological and educational needs of those whose physical status </w:t>
            </w:r>
            <w:proofErr w:type="gramStart"/>
            <w:r>
              <w:t>has</w:t>
            </w:r>
            <w:proofErr w:type="gramEnd"/>
            <w:r>
              <w:t xml:space="preserve"> been managed to its optimum.</w:t>
            </w:r>
          </w:p>
          <w:p w14:paraId="4DD20DBB" w14:textId="553195E6" w:rsidR="00713A26" w:rsidRPr="00427135" w:rsidRDefault="00713A26" w:rsidP="00713A26">
            <w:pPr>
              <w:pStyle w:val="Tabletext"/>
            </w:pPr>
            <w:proofErr w:type="gramStart"/>
            <w:r>
              <w:t>Consequently</w:t>
            </w:r>
            <w:proofErr w:type="gramEnd"/>
            <w:r>
              <w:t xml:space="preserve"> the difficulty with putting CR arguments in QIs (and guidelines) has been the poor quality and/or low number of studies in to CR.  However, more and more examples of the value of CR are emerging (see the two papers cited above) and we know from the HF Audit (cited in this questionnaire’s preamble) that CR is offered in only 20% of acute patients discharged from hospital (noting that there may be some further prescribing in local cardiac services, but any such data are not captured).  Further, not all patients are diagnosed with HF in the acute setting and so the prescribing of CR is likely significantly under 20%.  HQIP has plans to merge some of the CR audit data across </w:t>
            </w:r>
            <w:proofErr w:type="gramStart"/>
            <w:r>
              <w:t>England</w:t>
            </w:r>
            <w:proofErr w:type="gramEnd"/>
            <w:r>
              <w:t xml:space="preserve"> but this is still in the planning phase.</w:t>
            </w:r>
          </w:p>
        </w:tc>
        <w:tc>
          <w:tcPr>
            <w:tcW w:w="3758" w:type="dxa"/>
          </w:tcPr>
          <w:p w14:paraId="1CD1AE12" w14:textId="77777777" w:rsidR="00713A26" w:rsidRDefault="00713A26" w:rsidP="00713A26">
            <w:pPr>
              <w:pStyle w:val="Tabletext"/>
            </w:pPr>
            <w:r>
              <w:lastRenderedPageBreak/>
              <w:t>See argument to left and papers cited above.  Further papers are available, notably from the European low countries and Switzerland.</w:t>
            </w:r>
          </w:p>
          <w:p w14:paraId="330FBCD6" w14:textId="77777777" w:rsidR="00713A26" w:rsidRDefault="00713A26" w:rsidP="00713A26">
            <w:pPr>
              <w:pStyle w:val="Tabletext"/>
            </w:pPr>
            <w:r>
              <w:t xml:space="preserve">The following paper offers very clear evidence of the effectiveness of exercise as part of a rehab </w:t>
            </w:r>
            <w:proofErr w:type="gramStart"/>
            <w:r>
              <w:t>programme, but</w:t>
            </w:r>
            <w:proofErr w:type="gramEnd"/>
            <w:r>
              <w:t xml:space="preserve"> is limited to exercise.</w:t>
            </w:r>
          </w:p>
          <w:p w14:paraId="7DCC1E7A" w14:textId="77777777" w:rsidR="00713A26" w:rsidRDefault="00713A26" w:rsidP="00713A26">
            <w:pPr>
              <w:pStyle w:val="Tabletext"/>
            </w:pPr>
            <w:r>
              <w:t xml:space="preserve">(Participation in exercise-based cardiac rehabilitation is related to reduced total mortality in both men and women: results from the </w:t>
            </w:r>
            <w:proofErr w:type="spellStart"/>
            <w:r>
              <w:t>SWEDEHEARTregistry</w:t>
            </w:r>
            <w:proofErr w:type="spellEnd"/>
            <w:r>
              <w:t>, European Journal of Preventive Cardiology, doi:10.1093/</w:t>
            </w:r>
            <w:proofErr w:type="spellStart"/>
            <w:r>
              <w:t>eurjpc</w:t>
            </w:r>
            <w:proofErr w:type="spellEnd"/>
            <w:r>
              <w:t>/zwab083.)</w:t>
            </w:r>
          </w:p>
          <w:p w14:paraId="1ABA2C21" w14:textId="77777777" w:rsidR="00713A26" w:rsidRDefault="00713A26" w:rsidP="00713A26">
            <w:pPr>
              <w:pStyle w:val="Tabletext"/>
            </w:pPr>
            <w:r>
              <w:t>The following paper, whilst calling for action on secondary prevention, cites evidence of “both the effectiveness as well as the cost-</w:t>
            </w:r>
            <w:r>
              <w:lastRenderedPageBreak/>
              <w:t>effectiveness of comprehensive cardiac rehabilitation in improving exercise capacity and quality of life, and in reducing cardiovascular mortality and morbidity.”</w:t>
            </w:r>
          </w:p>
          <w:p w14:paraId="0E65AF08" w14:textId="733BA090" w:rsidR="00713A26" w:rsidRPr="00427135" w:rsidRDefault="00713A26" w:rsidP="00713A26">
            <w:pPr>
              <w:pStyle w:val="Tabletext"/>
            </w:pPr>
            <w:r>
              <w:t>(The future is now: a call for action for cardiac telerehabilitation in the COVID-19 pandemic from the secondary prevention and rehabilitation section of the European Association of Preventive Cardiology, European Journal of Preventive Cardiology, doi:10.1177/2047487320939671.)</w:t>
            </w:r>
          </w:p>
        </w:tc>
      </w:tr>
      <w:tr w:rsidR="00713A26" w:rsidRPr="00C92280" w14:paraId="33077C3D" w14:textId="77777777" w:rsidTr="00584584">
        <w:trPr>
          <w:trHeight w:val="282"/>
        </w:trPr>
        <w:tc>
          <w:tcPr>
            <w:tcW w:w="562" w:type="dxa"/>
          </w:tcPr>
          <w:p w14:paraId="0BAFB109" w14:textId="77777777" w:rsidR="00713A26" w:rsidRPr="00F27622" w:rsidRDefault="00713A26" w:rsidP="00DE5D03">
            <w:pPr>
              <w:pStyle w:val="Tabletext"/>
              <w:numPr>
                <w:ilvl w:val="0"/>
                <w:numId w:val="21"/>
              </w:numPr>
            </w:pPr>
          </w:p>
        </w:tc>
        <w:tc>
          <w:tcPr>
            <w:tcW w:w="1843" w:type="dxa"/>
          </w:tcPr>
          <w:p w14:paraId="6E27540C" w14:textId="635E87AF" w:rsidR="00713A26" w:rsidRPr="00427135" w:rsidRDefault="00713A26" w:rsidP="00713A26">
            <w:pPr>
              <w:pStyle w:val="Tabletext"/>
            </w:pPr>
            <w:r>
              <w:t>SCM1</w:t>
            </w:r>
          </w:p>
        </w:tc>
        <w:tc>
          <w:tcPr>
            <w:tcW w:w="1985" w:type="dxa"/>
          </w:tcPr>
          <w:p w14:paraId="75D04FE2" w14:textId="0123DCAF" w:rsidR="00713A26" w:rsidRPr="00427135" w:rsidRDefault="00713A26" w:rsidP="00713A26">
            <w:pPr>
              <w:pStyle w:val="Tabletext"/>
            </w:pPr>
            <w:r w:rsidRPr="003D4FB3">
              <w:rPr>
                <w:b/>
                <w:bCs/>
              </w:rPr>
              <w:t>Cardiac Rehabilitation</w:t>
            </w:r>
          </w:p>
        </w:tc>
        <w:tc>
          <w:tcPr>
            <w:tcW w:w="6520" w:type="dxa"/>
          </w:tcPr>
          <w:p w14:paraId="2CDA24BD" w14:textId="399D3A1D" w:rsidR="00713A26" w:rsidRPr="00427135" w:rsidRDefault="00713A26" w:rsidP="00713A26">
            <w:pPr>
              <w:pStyle w:val="Tabletext"/>
            </w:pPr>
            <w:proofErr w:type="gramStart"/>
            <w:r w:rsidRPr="00D17E1B">
              <w:t>Well</w:t>
            </w:r>
            <w:proofErr w:type="gramEnd"/>
            <w:r w:rsidRPr="00D17E1B">
              <w:t xml:space="preserve"> this was impacted upon by COVID which forced some services to become more flexible to a degree that they consider doing the sessions remotely. In addition, the most recent guidelines considered both group rehabilitation and rehabilitation at home.</w:t>
            </w:r>
          </w:p>
        </w:tc>
        <w:tc>
          <w:tcPr>
            <w:tcW w:w="3758" w:type="dxa"/>
          </w:tcPr>
          <w:p w14:paraId="47C0303D" w14:textId="77777777" w:rsidR="00713A26" w:rsidRPr="00427135" w:rsidRDefault="00713A26" w:rsidP="00713A26">
            <w:pPr>
              <w:pStyle w:val="Tabletext"/>
            </w:pPr>
          </w:p>
        </w:tc>
      </w:tr>
      <w:tr w:rsidR="00713A26" w:rsidRPr="00C92280" w14:paraId="4E6DA64E" w14:textId="77777777" w:rsidTr="00584584">
        <w:trPr>
          <w:trHeight w:val="282"/>
        </w:trPr>
        <w:tc>
          <w:tcPr>
            <w:tcW w:w="562" w:type="dxa"/>
          </w:tcPr>
          <w:p w14:paraId="7F876820" w14:textId="77777777" w:rsidR="00713A26" w:rsidRPr="00F27622" w:rsidRDefault="00713A26" w:rsidP="00DE5D03">
            <w:pPr>
              <w:pStyle w:val="Tabletext"/>
              <w:numPr>
                <w:ilvl w:val="0"/>
                <w:numId w:val="21"/>
              </w:numPr>
            </w:pPr>
          </w:p>
        </w:tc>
        <w:tc>
          <w:tcPr>
            <w:tcW w:w="1843" w:type="dxa"/>
          </w:tcPr>
          <w:p w14:paraId="08B28CCA" w14:textId="187670EB" w:rsidR="00713A26" w:rsidRPr="00427135" w:rsidRDefault="00713A26" w:rsidP="00713A26">
            <w:pPr>
              <w:pStyle w:val="Tabletext"/>
            </w:pPr>
            <w:r w:rsidRPr="00D17E1B">
              <w:t>Boehringer Ingelheim</w:t>
            </w:r>
          </w:p>
        </w:tc>
        <w:tc>
          <w:tcPr>
            <w:tcW w:w="1985" w:type="dxa"/>
          </w:tcPr>
          <w:p w14:paraId="44CFC9EB" w14:textId="24AD10EC" w:rsidR="00713A26" w:rsidRPr="00427135" w:rsidRDefault="00713A26" w:rsidP="00713A26">
            <w:pPr>
              <w:pStyle w:val="Tabletext"/>
            </w:pPr>
            <w:r w:rsidRPr="003D4FB3">
              <w:rPr>
                <w:b/>
                <w:bCs/>
              </w:rPr>
              <w:t>Cardiac Rehabilitation</w:t>
            </w:r>
          </w:p>
        </w:tc>
        <w:tc>
          <w:tcPr>
            <w:tcW w:w="6520" w:type="dxa"/>
          </w:tcPr>
          <w:p w14:paraId="0524B593" w14:textId="4294B9A4" w:rsidR="00713A26" w:rsidRPr="00427135" w:rsidRDefault="00713A26" w:rsidP="00713A26">
            <w:pPr>
              <w:pStyle w:val="Tabletext"/>
            </w:pPr>
            <w:r w:rsidRPr="00D17E1B">
              <w:t xml:space="preserve">We agree that this should now be classified as a main standard as advances in digital technology enable patients’ flexible access to cardiac rehab services. An example of a such technology is </w:t>
            </w:r>
            <w:proofErr w:type="spellStart"/>
            <w:r w:rsidRPr="00D17E1B">
              <w:t>MyHeart</w:t>
            </w:r>
            <w:proofErr w:type="spellEnd"/>
            <w:r w:rsidRPr="00D17E1B">
              <w:t>.</w:t>
            </w:r>
          </w:p>
        </w:tc>
        <w:tc>
          <w:tcPr>
            <w:tcW w:w="3758" w:type="dxa"/>
          </w:tcPr>
          <w:p w14:paraId="6C56865E" w14:textId="77777777" w:rsidR="00713A26" w:rsidRPr="00427135" w:rsidRDefault="00713A26" w:rsidP="00713A26">
            <w:pPr>
              <w:pStyle w:val="Tabletext"/>
            </w:pPr>
          </w:p>
        </w:tc>
      </w:tr>
      <w:tr w:rsidR="00713A26" w:rsidRPr="00C92280" w14:paraId="5755FBA8" w14:textId="77777777" w:rsidTr="00584584">
        <w:trPr>
          <w:trHeight w:val="282"/>
        </w:trPr>
        <w:tc>
          <w:tcPr>
            <w:tcW w:w="562" w:type="dxa"/>
          </w:tcPr>
          <w:p w14:paraId="0BBA4F0E" w14:textId="77777777" w:rsidR="00713A26" w:rsidRPr="00F27622" w:rsidRDefault="00713A26" w:rsidP="00DE5D03">
            <w:pPr>
              <w:pStyle w:val="Tabletext"/>
              <w:numPr>
                <w:ilvl w:val="0"/>
                <w:numId w:val="21"/>
              </w:numPr>
            </w:pPr>
          </w:p>
        </w:tc>
        <w:tc>
          <w:tcPr>
            <w:tcW w:w="1843" w:type="dxa"/>
          </w:tcPr>
          <w:p w14:paraId="05778077" w14:textId="5445408F" w:rsidR="00713A26" w:rsidRPr="00427135" w:rsidRDefault="00713A26" w:rsidP="00713A26">
            <w:pPr>
              <w:pStyle w:val="Tabletext"/>
            </w:pPr>
            <w:r w:rsidRPr="00D17E1B">
              <w:t>British Society for Heart Failure (BSH)</w:t>
            </w:r>
          </w:p>
        </w:tc>
        <w:tc>
          <w:tcPr>
            <w:tcW w:w="1985" w:type="dxa"/>
          </w:tcPr>
          <w:p w14:paraId="5488076E" w14:textId="50AE0F11" w:rsidR="00713A26" w:rsidRPr="00427135" w:rsidRDefault="00713A26" w:rsidP="00713A26">
            <w:pPr>
              <w:pStyle w:val="Tabletext"/>
            </w:pPr>
            <w:r w:rsidRPr="00BD38DB">
              <w:rPr>
                <w:b/>
                <w:bCs/>
              </w:rPr>
              <w:t>Cardiac Rehabilitation</w:t>
            </w:r>
          </w:p>
        </w:tc>
        <w:tc>
          <w:tcPr>
            <w:tcW w:w="6520" w:type="dxa"/>
          </w:tcPr>
          <w:p w14:paraId="5E412795" w14:textId="77777777" w:rsidR="00713A26" w:rsidRDefault="00713A26" w:rsidP="00713A26">
            <w:pPr>
              <w:pStyle w:val="Tabletext"/>
            </w:pPr>
            <w:r>
              <w:t xml:space="preserve">It is not routine to provide this due to lack of resources. This does not alter the fact it should be aimed for. Sessions during and outside working hours, and the choice of undertaking the </w:t>
            </w:r>
            <w:r>
              <w:lastRenderedPageBreak/>
              <w:t>programme at home, in the community or in a hospital setting should be offered.</w:t>
            </w:r>
          </w:p>
          <w:p w14:paraId="586EFBD8" w14:textId="04987273" w:rsidR="00713A26" w:rsidRPr="00427135" w:rsidRDefault="00713A26" w:rsidP="00713A26">
            <w:pPr>
              <w:pStyle w:val="Tabletext"/>
            </w:pPr>
            <w:r>
              <w:t xml:space="preserve">It may be prudent to add as Part A and Part B of the same standard as above.  </w:t>
            </w:r>
          </w:p>
        </w:tc>
        <w:tc>
          <w:tcPr>
            <w:tcW w:w="3758" w:type="dxa"/>
          </w:tcPr>
          <w:p w14:paraId="34C07BB1" w14:textId="77777777" w:rsidR="00713A26" w:rsidRPr="00427135" w:rsidRDefault="00713A26" w:rsidP="00713A26">
            <w:pPr>
              <w:pStyle w:val="Tabletext"/>
            </w:pPr>
          </w:p>
        </w:tc>
      </w:tr>
      <w:tr w:rsidR="00713A26" w:rsidRPr="00C92280" w14:paraId="4359088C" w14:textId="77777777" w:rsidTr="00584584">
        <w:trPr>
          <w:trHeight w:val="282"/>
        </w:trPr>
        <w:tc>
          <w:tcPr>
            <w:tcW w:w="562" w:type="dxa"/>
          </w:tcPr>
          <w:p w14:paraId="345C8DB2" w14:textId="77777777" w:rsidR="00713A26" w:rsidRPr="00F27622" w:rsidRDefault="00713A26" w:rsidP="00DE5D03">
            <w:pPr>
              <w:pStyle w:val="Tabletext"/>
              <w:numPr>
                <w:ilvl w:val="0"/>
                <w:numId w:val="21"/>
              </w:numPr>
            </w:pPr>
          </w:p>
        </w:tc>
        <w:tc>
          <w:tcPr>
            <w:tcW w:w="1843" w:type="dxa"/>
          </w:tcPr>
          <w:p w14:paraId="5DB4B683" w14:textId="05575FEF" w:rsidR="00713A26" w:rsidRPr="00427135" w:rsidRDefault="00713A26" w:rsidP="00713A26">
            <w:pPr>
              <w:pStyle w:val="Tabletext"/>
            </w:pPr>
            <w:r>
              <w:t>SCM2</w:t>
            </w:r>
          </w:p>
        </w:tc>
        <w:tc>
          <w:tcPr>
            <w:tcW w:w="1985" w:type="dxa"/>
          </w:tcPr>
          <w:p w14:paraId="78CA990D" w14:textId="25FD605C" w:rsidR="00713A26" w:rsidRPr="00427135" w:rsidRDefault="00713A26" w:rsidP="00713A26">
            <w:pPr>
              <w:pStyle w:val="Tabletext"/>
            </w:pPr>
            <w:r w:rsidRPr="00BD38DB">
              <w:rPr>
                <w:b/>
                <w:bCs/>
              </w:rPr>
              <w:t>Cardiac Rehabilitation</w:t>
            </w:r>
          </w:p>
        </w:tc>
        <w:tc>
          <w:tcPr>
            <w:tcW w:w="6520" w:type="dxa"/>
          </w:tcPr>
          <w:p w14:paraId="038899DC" w14:textId="77777777" w:rsidR="00713A26" w:rsidRDefault="00713A26" w:rsidP="00713A26">
            <w:pPr>
              <w:pStyle w:val="Tabletext"/>
            </w:pPr>
            <w:r>
              <w:t>It is not routine to provide this due to lack of resource. This does not alter the fact it should be aimed for.</w:t>
            </w:r>
          </w:p>
          <w:p w14:paraId="37DF28DD" w14:textId="2A8336F5" w:rsidR="00713A26" w:rsidRPr="00427135" w:rsidRDefault="00713A26" w:rsidP="00713A26">
            <w:pPr>
              <w:pStyle w:val="Tabletext"/>
            </w:pPr>
            <w:r>
              <w:t xml:space="preserve">It may be prudent to add as Part A and Part B of the same standard as above.  </w:t>
            </w:r>
          </w:p>
        </w:tc>
        <w:tc>
          <w:tcPr>
            <w:tcW w:w="3758" w:type="dxa"/>
          </w:tcPr>
          <w:p w14:paraId="072F799C" w14:textId="77777777" w:rsidR="00713A26" w:rsidRPr="00427135" w:rsidRDefault="00713A26" w:rsidP="00713A26">
            <w:pPr>
              <w:pStyle w:val="Tabletext"/>
            </w:pPr>
          </w:p>
        </w:tc>
      </w:tr>
      <w:tr w:rsidR="00713A26" w:rsidRPr="00C92280" w14:paraId="06FD5D9C" w14:textId="77777777" w:rsidTr="00584584">
        <w:trPr>
          <w:trHeight w:val="282"/>
        </w:trPr>
        <w:tc>
          <w:tcPr>
            <w:tcW w:w="562" w:type="dxa"/>
          </w:tcPr>
          <w:p w14:paraId="62B72B62" w14:textId="77777777" w:rsidR="00713A26" w:rsidRPr="00F27622" w:rsidRDefault="00713A26" w:rsidP="00DE5D03">
            <w:pPr>
              <w:pStyle w:val="Tabletext"/>
              <w:numPr>
                <w:ilvl w:val="0"/>
                <w:numId w:val="21"/>
              </w:numPr>
            </w:pPr>
          </w:p>
        </w:tc>
        <w:tc>
          <w:tcPr>
            <w:tcW w:w="1843" w:type="dxa"/>
          </w:tcPr>
          <w:p w14:paraId="280847B0" w14:textId="065B4919" w:rsidR="00713A26" w:rsidRPr="00427135" w:rsidRDefault="00713A26" w:rsidP="00713A26">
            <w:pPr>
              <w:pStyle w:val="Tabletext"/>
            </w:pPr>
            <w:r>
              <w:t>SCM3</w:t>
            </w:r>
          </w:p>
        </w:tc>
        <w:tc>
          <w:tcPr>
            <w:tcW w:w="1985" w:type="dxa"/>
          </w:tcPr>
          <w:p w14:paraId="60B2F2CB" w14:textId="5ED55F25" w:rsidR="00713A26" w:rsidRPr="00427135" w:rsidRDefault="00713A26" w:rsidP="00713A26">
            <w:pPr>
              <w:pStyle w:val="Tabletext"/>
            </w:pPr>
            <w:r w:rsidRPr="00BD38DB">
              <w:rPr>
                <w:b/>
                <w:bCs/>
              </w:rPr>
              <w:t>Cardiac Rehabilitation</w:t>
            </w:r>
          </w:p>
        </w:tc>
        <w:tc>
          <w:tcPr>
            <w:tcW w:w="6520" w:type="dxa"/>
          </w:tcPr>
          <w:p w14:paraId="7E5FF25B" w14:textId="6CE3F42D" w:rsidR="00713A26" w:rsidRPr="00427135" w:rsidRDefault="00713A26" w:rsidP="00713A26">
            <w:pPr>
              <w:pStyle w:val="Tabletext"/>
            </w:pPr>
            <w:r w:rsidRPr="00D17E1B">
              <w:t>Provision of cardiac rehab is still very variable. There is progress but still big gaps in provision. Professor Rod Taylor has been funded by NIHR to roll out the REACH programme of cardiac rehabilitation for people with heart failure.</w:t>
            </w:r>
          </w:p>
        </w:tc>
        <w:tc>
          <w:tcPr>
            <w:tcW w:w="3758" w:type="dxa"/>
          </w:tcPr>
          <w:p w14:paraId="41E19AD3" w14:textId="77777777" w:rsidR="00713A26" w:rsidRPr="00427135" w:rsidRDefault="00713A26" w:rsidP="00713A26">
            <w:pPr>
              <w:pStyle w:val="Tabletext"/>
            </w:pPr>
          </w:p>
        </w:tc>
      </w:tr>
      <w:tr w:rsidR="00713A26" w:rsidRPr="00C92280" w14:paraId="27960685" w14:textId="77777777" w:rsidTr="00584584">
        <w:trPr>
          <w:trHeight w:val="282"/>
        </w:trPr>
        <w:tc>
          <w:tcPr>
            <w:tcW w:w="562" w:type="dxa"/>
          </w:tcPr>
          <w:p w14:paraId="22048E70" w14:textId="77777777" w:rsidR="00713A26" w:rsidRPr="00F27622" w:rsidRDefault="00713A26" w:rsidP="00DE5D03">
            <w:pPr>
              <w:pStyle w:val="Tabletext"/>
              <w:numPr>
                <w:ilvl w:val="0"/>
                <w:numId w:val="21"/>
              </w:numPr>
            </w:pPr>
          </w:p>
        </w:tc>
        <w:tc>
          <w:tcPr>
            <w:tcW w:w="1843" w:type="dxa"/>
          </w:tcPr>
          <w:p w14:paraId="23D914DD" w14:textId="1B46EAF2" w:rsidR="00713A26" w:rsidRPr="00427135" w:rsidRDefault="00713A26" w:rsidP="00713A26">
            <w:pPr>
              <w:pStyle w:val="Tabletext"/>
            </w:pPr>
            <w:proofErr w:type="spellStart"/>
            <w:r w:rsidRPr="006C4FFC">
              <w:t>Vifor</w:t>
            </w:r>
            <w:proofErr w:type="spellEnd"/>
            <w:r w:rsidRPr="006C4FFC">
              <w:t xml:space="preserve"> Pharma UK</w:t>
            </w:r>
          </w:p>
        </w:tc>
        <w:tc>
          <w:tcPr>
            <w:tcW w:w="1985" w:type="dxa"/>
          </w:tcPr>
          <w:p w14:paraId="5A022246" w14:textId="194402BB" w:rsidR="00713A26" w:rsidRPr="00427135" w:rsidRDefault="00713A26" w:rsidP="00713A26">
            <w:pPr>
              <w:pStyle w:val="Tabletext"/>
            </w:pPr>
            <w:r w:rsidRPr="00BD38DB">
              <w:rPr>
                <w:b/>
                <w:bCs/>
              </w:rPr>
              <w:t>Cardiac Rehabilitation</w:t>
            </w:r>
          </w:p>
        </w:tc>
        <w:tc>
          <w:tcPr>
            <w:tcW w:w="6520" w:type="dxa"/>
          </w:tcPr>
          <w:p w14:paraId="06F4ADB9" w14:textId="489F39A0" w:rsidR="00713A26" w:rsidRPr="00427135" w:rsidRDefault="00713A26" w:rsidP="00713A26">
            <w:pPr>
              <w:pStyle w:val="Tabletext"/>
            </w:pPr>
            <w:r>
              <w:t>No comment</w:t>
            </w:r>
          </w:p>
        </w:tc>
        <w:tc>
          <w:tcPr>
            <w:tcW w:w="3758" w:type="dxa"/>
          </w:tcPr>
          <w:p w14:paraId="73B95245" w14:textId="77777777" w:rsidR="00713A26" w:rsidRPr="00427135" w:rsidRDefault="00713A26" w:rsidP="00713A26">
            <w:pPr>
              <w:pStyle w:val="Tabletext"/>
            </w:pPr>
          </w:p>
        </w:tc>
      </w:tr>
      <w:tr w:rsidR="00713A26" w:rsidRPr="00C92280" w14:paraId="6E08EF97" w14:textId="77777777" w:rsidTr="00584584">
        <w:trPr>
          <w:trHeight w:val="282"/>
        </w:trPr>
        <w:tc>
          <w:tcPr>
            <w:tcW w:w="562" w:type="dxa"/>
          </w:tcPr>
          <w:p w14:paraId="7762EB0E" w14:textId="77777777" w:rsidR="00713A26" w:rsidRPr="00F27622" w:rsidRDefault="00713A26" w:rsidP="00DE5D03">
            <w:pPr>
              <w:pStyle w:val="Tabletext"/>
              <w:numPr>
                <w:ilvl w:val="0"/>
                <w:numId w:val="21"/>
              </w:numPr>
            </w:pPr>
          </w:p>
        </w:tc>
        <w:tc>
          <w:tcPr>
            <w:tcW w:w="1843" w:type="dxa"/>
          </w:tcPr>
          <w:p w14:paraId="28E077D7" w14:textId="40B7CB35" w:rsidR="00713A26" w:rsidRPr="00427135" w:rsidRDefault="00713A26" w:rsidP="00713A26">
            <w:pPr>
              <w:pStyle w:val="Tabletext"/>
            </w:pPr>
            <w:r w:rsidRPr="006C4FFC">
              <w:t>NHSE</w:t>
            </w:r>
          </w:p>
        </w:tc>
        <w:tc>
          <w:tcPr>
            <w:tcW w:w="1985" w:type="dxa"/>
          </w:tcPr>
          <w:p w14:paraId="46624168" w14:textId="313744C0" w:rsidR="00713A26" w:rsidRPr="00427135" w:rsidRDefault="00713A26" w:rsidP="00713A26">
            <w:pPr>
              <w:pStyle w:val="Tabletext"/>
            </w:pPr>
            <w:r w:rsidRPr="0046664F">
              <w:rPr>
                <w:b/>
                <w:bCs/>
              </w:rPr>
              <w:t>Cardiac Rehabilitation</w:t>
            </w:r>
          </w:p>
        </w:tc>
        <w:tc>
          <w:tcPr>
            <w:tcW w:w="6520" w:type="dxa"/>
          </w:tcPr>
          <w:p w14:paraId="7803EDB7" w14:textId="5AB5F410" w:rsidR="00713A26" w:rsidRPr="00427135" w:rsidRDefault="00713A26" w:rsidP="00713A26">
            <w:pPr>
              <w:pStyle w:val="Tabletext"/>
            </w:pPr>
            <w:r w:rsidRPr="006C4FFC">
              <w:t>There is variation in provision – it is important to keep this statement in to ensure rehab is aspirational and prioritised</w:t>
            </w:r>
          </w:p>
        </w:tc>
        <w:tc>
          <w:tcPr>
            <w:tcW w:w="3758" w:type="dxa"/>
          </w:tcPr>
          <w:p w14:paraId="49C38D1A" w14:textId="77777777" w:rsidR="00713A26" w:rsidRPr="00427135" w:rsidRDefault="00713A26" w:rsidP="00713A26">
            <w:pPr>
              <w:pStyle w:val="Tabletext"/>
            </w:pPr>
          </w:p>
        </w:tc>
      </w:tr>
      <w:tr w:rsidR="00713A26" w:rsidRPr="00C92280" w14:paraId="4B375295" w14:textId="77777777" w:rsidTr="00584584">
        <w:trPr>
          <w:trHeight w:val="282"/>
        </w:trPr>
        <w:tc>
          <w:tcPr>
            <w:tcW w:w="562" w:type="dxa"/>
          </w:tcPr>
          <w:p w14:paraId="796AB731" w14:textId="77777777" w:rsidR="00713A26" w:rsidRPr="00F27622" w:rsidRDefault="00713A26" w:rsidP="00DE5D03">
            <w:pPr>
              <w:pStyle w:val="Tabletext"/>
              <w:numPr>
                <w:ilvl w:val="0"/>
                <w:numId w:val="21"/>
              </w:numPr>
            </w:pPr>
          </w:p>
        </w:tc>
        <w:tc>
          <w:tcPr>
            <w:tcW w:w="1843" w:type="dxa"/>
          </w:tcPr>
          <w:p w14:paraId="0E02BE40" w14:textId="1F0BC39C" w:rsidR="00713A26" w:rsidRPr="00427135" w:rsidRDefault="00713A26" w:rsidP="00713A26">
            <w:pPr>
              <w:pStyle w:val="Tabletext"/>
            </w:pPr>
            <w:r w:rsidRPr="006C4FFC">
              <w:t>NHS England and NHS Improvement</w:t>
            </w:r>
          </w:p>
        </w:tc>
        <w:tc>
          <w:tcPr>
            <w:tcW w:w="1985" w:type="dxa"/>
          </w:tcPr>
          <w:p w14:paraId="1A496303" w14:textId="63442151" w:rsidR="00713A26" w:rsidRPr="00427135" w:rsidRDefault="00713A26" w:rsidP="00713A26">
            <w:pPr>
              <w:pStyle w:val="Tabletext"/>
            </w:pPr>
            <w:r w:rsidRPr="0046664F">
              <w:rPr>
                <w:b/>
                <w:bCs/>
              </w:rPr>
              <w:t>Cardiac Rehabilitation</w:t>
            </w:r>
          </w:p>
        </w:tc>
        <w:tc>
          <w:tcPr>
            <w:tcW w:w="6520" w:type="dxa"/>
          </w:tcPr>
          <w:p w14:paraId="11E12E3D" w14:textId="2A52CD86" w:rsidR="00713A26" w:rsidRPr="00427135" w:rsidRDefault="00713A26" w:rsidP="00713A26">
            <w:pPr>
              <w:pStyle w:val="Tabletext"/>
            </w:pPr>
            <w:r w:rsidRPr="006C4FFC">
              <w:t>We do not collect this data within our team.  We suggest working with local providers and systems of cardiac rehabilitation alongside those listed above to gather this information</w:t>
            </w:r>
          </w:p>
        </w:tc>
        <w:tc>
          <w:tcPr>
            <w:tcW w:w="3758" w:type="dxa"/>
          </w:tcPr>
          <w:p w14:paraId="06B790B6" w14:textId="77777777" w:rsidR="00713A26" w:rsidRPr="00427135" w:rsidRDefault="00713A26" w:rsidP="00713A26">
            <w:pPr>
              <w:pStyle w:val="Tabletext"/>
            </w:pPr>
          </w:p>
        </w:tc>
      </w:tr>
      <w:tr w:rsidR="007179CF" w:rsidRPr="00C92280" w14:paraId="6CAAF759" w14:textId="77777777" w:rsidTr="00584584">
        <w:trPr>
          <w:trHeight w:val="282"/>
        </w:trPr>
        <w:tc>
          <w:tcPr>
            <w:tcW w:w="562" w:type="dxa"/>
          </w:tcPr>
          <w:p w14:paraId="6EA9595E" w14:textId="77777777" w:rsidR="009372E7" w:rsidRPr="00F27622" w:rsidRDefault="009372E7" w:rsidP="00DE5D03">
            <w:pPr>
              <w:pStyle w:val="Tabletext"/>
              <w:numPr>
                <w:ilvl w:val="0"/>
                <w:numId w:val="21"/>
              </w:numPr>
            </w:pPr>
          </w:p>
        </w:tc>
        <w:tc>
          <w:tcPr>
            <w:tcW w:w="1843" w:type="dxa"/>
          </w:tcPr>
          <w:p w14:paraId="71D65DF0" w14:textId="317E581E" w:rsidR="009372E7" w:rsidRPr="00427135" w:rsidRDefault="006C4FFC" w:rsidP="00B24E25">
            <w:pPr>
              <w:pStyle w:val="Tabletext"/>
            </w:pPr>
            <w:r>
              <w:t>SCM4</w:t>
            </w:r>
          </w:p>
        </w:tc>
        <w:tc>
          <w:tcPr>
            <w:tcW w:w="1985" w:type="dxa"/>
          </w:tcPr>
          <w:p w14:paraId="47DEA484" w14:textId="2E108F41" w:rsidR="009372E7" w:rsidRPr="00427135" w:rsidRDefault="00713A26" w:rsidP="006C4FFC">
            <w:pPr>
              <w:pStyle w:val="Tabletext"/>
            </w:pPr>
            <w:r w:rsidRPr="001E4E8C">
              <w:rPr>
                <w:b/>
                <w:bCs/>
              </w:rPr>
              <w:t>Cardiac Rehabilitation</w:t>
            </w:r>
          </w:p>
        </w:tc>
        <w:tc>
          <w:tcPr>
            <w:tcW w:w="6520" w:type="dxa"/>
          </w:tcPr>
          <w:p w14:paraId="66B7A264" w14:textId="77777777" w:rsidR="006C4FFC" w:rsidRPr="006C4FFC" w:rsidRDefault="006C4FFC" w:rsidP="006C4FFC">
            <w:pPr>
              <w:pStyle w:val="Tabletext"/>
              <w:rPr>
                <w:bCs/>
              </w:rPr>
            </w:pPr>
            <w:r w:rsidRPr="006C4FFC">
              <w:rPr>
                <w:bCs/>
              </w:rPr>
              <w:t xml:space="preserve">It should be routine to offer cardiac rehab too all patients with stable chronic heart failure either </w:t>
            </w:r>
            <w:proofErr w:type="spellStart"/>
            <w:r w:rsidRPr="006C4FFC">
              <w:rPr>
                <w:bCs/>
              </w:rPr>
              <w:t>HFrEF</w:t>
            </w:r>
            <w:proofErr w:type="spellEnd"/>
            <w:r w:rsidRPr="006C4FFC">
              <w:rPr>
                <w:bCs/>
              </w:rPr>
              <w:t xml:space="preserve"> or </w:t>
            </w:r>
            <w:proofErr w:type="spellStart"/>
            <w:r w:rsidRPr="006C4FFC">
              <w:rPr>
                <w:bCs/>
              </w:rPr>
              <w:t>HFpEF</w:t>
            </w:r>
            <w:proofErr w:type="spellEnd"/>
            <w:r w:rsidRPr="006C4FFC">
              <w:rPr>
                <w:bCs/>
              </w:rPr>
              <w:t>. However, as we know, the amount of patient offered is still poor.</w:t>
            </w:r>
          </w:p>
          <w:p w14:paraId="2DDDC90B" w14:textId="77777777" w:rsidR="006C4FFC" w:rsidRPr="006C4FFC" w:rsidRDefault="00AF2CC8" w:rsidP="006C4FFC">
            <w:pPr>
              <w:pStyle w:val="Tabletext"/>
              <w:rPr>
                <w:bCs/>
              </w:rPr>
            </w:pPr>
            <w:hyperlink r:id="rId83" w:history="1">
              <w:r w:rsidR="006C4FFC" w:rsidRPr="006C4FFC">
                <w:rPr>
                  <w:rStyle w:val="Hyperlink"/>
                  <w:bCs/>
                </w:rPr>
                <w:t>https://www.bhf.org.uk/for-professionals/healthcare-professionals/data-and-statistics/cardiac-rehabilitation-the-big-picture</w:t>
              </w:r>
            </w:hyperlink>
          </w:p>
          <w:p w14:paraId="3076885C" w14:textId="77777777" w:rsidR="006C4FFC" w:rsidRPr="006C4FFC" w:rsidRDefault="006C4FFC" w:rsidP="006C4FFC">
            <w:pPr>
              <w:pStyle w:val="Tabletext"/>
              <w:rPr>
                <w:bCs/>
              </w:rPr>
            </w:pPr>
            <w:r w:rsidRPr="006C4FFC">
              <w:rPr>
                <w:bCs/>
              </w:rPr>
              <w:t>This is clearly unacceptable. The place of delivering CR is not exclusively face to face delivery in hospitals or clinics. A combination of the REACH-HF programme and the Pandemic has given stakeholders the impetus to pull CR into the 21</w:t>
            </w:r>
            <w:r w:rsidRPr="006C4FFC">
              <w:rPr>
                <w:bCs/>
                <w:vertAlign w:val="superscript"/>
              </w:rPr>
              <w:t>st</w:t>
            </w:r>
            <w:r w:rsidRPr="006C4FFC">
              <w:rPr>
                <w:bCs/>
              </w:rPr>
              <w:t xml:space="preserve"> </w:t>
            </w:r>
            <w:r w:rsidRPr="006C4FFC">
              <w:rPr>
                <w:bCs/>
              </w:rPr>
              <w:lastRenderedPageBreak/>
              <w:t>century. ICS’s and the newly formed cardiac networks are considering hybrid programmes around face to face in clinics, at home and flexible formats of digital delivery.</w:t>
            </w:r>
          </w:p>
          <w:p w14:paraId="4E59F156" w14:textId="77777777" w:rsidR="006C4FFC" w:rsidRPr="006C4FFC" w:rsidRDefault="006C4FFC" w:rsidP="006C4FFC">
            <w:pPr>
              <w:pStyle w:val="Tabletext"/>
              <w:rPr>
                <w:bCs/>
              </w:rPr>
            </w:pPr>
            <w:r w:rsidRPr="006C4FFC">
              <w:rPr>
                <w:bCs/>
              </w:rPr>
              <w:t>The quality standard must shift perceptions of current CR provision to include the full width of rehabilitation.</w:t>
            </w:r>
          </w:p>
          <w:p w14:paraId="78106FEE" w14:textId="6B8C47C2" w:rsidR="009372E7" w:rsidRPr="00427135" w:rsidRDefault="00AF2CC8" w:rsidP="006C4FFC">
            <w:pPr>
              <w:pStyle w:val="Tabletext"/>
            </w:pPr>
            <w:hyperlink r:id="rId84" w:history="1">
              <w:r w:rsidR="006C4FFC" w:rsidRPr="006C4FFC">
                <w:rPr>
                  <w:rStyle w:val="Hyperlink"/>
                  <w:bCs/>
                </w:rPr>
                <w:t>https://www.bmj.com/content/373/bmj.n1270</w:t>
              </w:r>
            </w:hyperlink>
          </w:p>
        </w:tc>
        <w:tc>
          <w:tcPr>
            <w:tcW w:w="3758" w:type="dxa"/>
          </w:tcPr>
          <w:p w14:paraId="29A2FC04" w14:textId="77777777" w:rsidR="009372E7" w:rsidRPr="00427135" w:rsidRDefault="009372E7" w:rsidP="00B24E25">
            <w:pPr>
              <w:pStyle w:val="Tabletext"/>
            </w:pPr>
          </w:p>
        </w:tc>
      </w:tr>
      <w:tr w:rsidR="00713A26" w:rsidRPr="00C92280" w14:paraId="0E5196AA" w14:textId="77777777" w:rsidTr="00584584">
        <w:trPr>
          <w:trHeight w:val="282"/>
        </w:trPr>
        <w:tc>
          <w:tcPr>
            <w:tcW w:w="562" w:type="dxa"/>
          </w:tcPr>
          <w:p w14:paraId="35987E37" w14:textId="77777777" w:rsidR="00713A26" w:rsidRPr="00F27622" w:rsidRDefault="00713A26" w:rsidP="00DE5D03">
            <w:pPr>
              <w:pStyle w:val="Tabletext"/>
              <w:numPr>
                <w:ilvl w:val="0"/>
                <w:numId w:val="21"/>
              </w:numPr>
            </w:pPr>
          </w:p>
        </w:tc>
        <w:tc>
          <w:tcPr>
            <w:tcW w:w="1843" w:type="dxa"/>
          </w:tcPr>
          <w:p w14:paraId="362EE670" w14:textId="0EC0C216" w:rsidR="00713A26" w:rsidRPr="00427135" w:rsidRDefault="00713A26" w:rsidP="00713A26">
            <w:pPr>
              <w:pStyle w:val="Tabletext"/>
            </w:pPr>
            <w:r>
              <w:t>SCM5</w:t>
            </w:r>
          </w:p>
        </w:tc>
        <w:tc>
          <w:tcPr>
            <w:tcW w:w="1985" w:type="dxa"/>
          </w:tcPr>
          <w:p w14:paraId="404B2417" w14:textId="6443BA00" w:rsidR="00713A26" w:rsidRPr="00427135" w:rsidRDefault="00713A26" w:rsidP="00713A26">
            <w:pPr>
              <w:pStyle w:val="Tabletext"/>
            </w:pPr>
            <w:r w:rsidRPr="0039255D">
              <w:rPr>
                <w:b/>
                <w:bCs/>
              </w:rPr>
              <w:t>Cardiac Rehabilitation</w:t>
            </w:r>
          </w:p>
        </w:tc>
        <w:tc>
          <w:tcPr>
            <w:tcW w:w="6520" w:type="dxa"/>
          </w:tcPr>
          <w:p w14:paraId="29C1A806" w14:textId="62DAC973" w:rsidR="00713A26" w:rsidRPr="00427135" w:rsidRDefault="00713A26" w:rsidP="00713A26">
            <w:pPr>
              <w:pStyle w:val="Tabletext"/>
            </w:pPr>
            <w:r w:rsidRPr="006C4FFC">
              <w:t>While routine for some places, it remains sadly not the norm, and so for this reason I feel should be kept separate.</w:t>
            </w:r>
          </w:p>
        </w:tc>
        <w:tc>
          <w:tcPr>
            <w:tcW w:w="3758" w:type="dxa"/>
          </w:tcPr>
          <w:p w14:paraId="0557A495" w14:textId="77777777" w:rsidR="00713A26" w:rsidRPr="00427135" w:rsidRDefault="00713A26" w:rsidP="00713A26">
            <w:pPr>
              <w:pStyle w:val="Tabletext"/>
            </w:pPr>
          </w:p>
        </w:tc>
      </w:tr>
      <w:tr w:rsidR="00713A26" w:rsidRPr="00C92280" w14:paraId="183E627B" w14:textId="77777777" w:rsidTr="00584584">
        <w:trPr>
          <w:trHeight w:val="282"/>
        </w:trPr>
        <w:tc>
          <w:tcPr>
            <w:tcW w:w="562" w:type="dxa"/>
          </w:tcPr>
          <w:p w14:paraId="11E5D632" w14:textId="77777777" w:rsidR="00713A26" w:rsidRPr="00F27622" w:rsidRDefault="00713A26" w:rsidP="00DE5D03">
            <w:pPr>
              <w:pStyle w:val="Tabletext"/>
              <w:numPr>
                <w:ilvl w:val="0"/>
                <w:numId w:val="21"/>
              </w:numPr>
            </w:pPr>
          </w:p>
        </w:tc>
        <w:tc>
          <w:tcPr>
            <w:tcW w:w="1843" w:type="dxa"/>
          </w:tcPr>
          <w:p w14:paraId="3956F722" w14:textId="5556A1D8" w:rsidR="00713A26" w:rsidRPr="00427135" w:rsidRDefault="00713A26" w:rsidP="00713A26">
            <w:pPr>
              <w:pStyle w:val="Tabletext"/>
            </w:pPr>
            <w:r>
              <w:t>SCM6</w:t>
            </w:r>
          </w:p>
        </w:tc>
        <w:tc>
          <w:tcPr>
            <w:tcW w:w="1985" w:type="dxa"/>
          </w:tcPr>
          <w:p w14:paraId="5853AB51" w14:textId="61055B3B" w:rsidR="00713A26" w:rsidRPr="00427135" w:rsidRDefault="00713A26" w:rsidP="00713A26">
            <w:pPr>
              <w:pStyle w:val="Tabletext"/>
            </w:pPr>
            <w:r w:rsidRPr="0039255D">
              <w:rPr>
                <w:b/>
                <w:bCs/>
              </w:rPr>
              <w:t>Cardiac Rehabilitation</w:t>
            </w:r>
          </w:p>
        </w:tc>
        <w:tc>
          <w:tcPr>
            <w:tcW w:w="6520" w:type="dxa"/>
          </w:tcPr>
          <w:p w14:paraId="5E135E14" w14:textId="42838086" w:rsidR="00713A26" w:rsidRPr="00427135" w:rsidRDefault="00713A26" w:rsidP="00713A26">
            <w:pPr>
              <w:pStyle w:val="Tabletext"/>
            </w:pPr>
            <w:r w:rsidRPr="006C4FFC">
              <w:t xml:space="preserve">COVID-19 had its impact on making cardiac rehabilitation more flexible. So based on our experience, the provisions for cardiac rehabilitation are now more flexible. However, access to cardiac rehabilitation may not be available in all centres and uptake is variable.   </w:t>
            </w:r>
          </w:p>
        </w:tc>
        <w:tc>
          <w:tcPr>
            <w:tcW w:w="3758" w:type="dxa"/>
          </w:tcPr>
          <w:p w14:paraId="280D107D" w14:textId="77777777" w:rsidR="00713A26" w:rsidRPr="00427135" w:rsidRDefault="00713A26" w:rsidP="00713A26">
            <w:pPr>
              <w:pStyle w:val="Tabletext"/>
            </w:pPr>
          </w:p>
        </w:tc>
      </w:tr>
      <w:tr w:rsidR="00713A26" w:rsidRPr="00C92280" w14:paraId="606164AE" w14:textId="77777777" w:rsidTr="00584584">
        <w:trPr>
          <w:trHeight w:val="282"/>
        </w:trPr>
        <w:tc>
          <w:tcPr>
            <w:tcW w:w="562" w:type="dxa"/>
          </w:tcPr>
          <w:p w14:paraId="0E37B448" w14:textId="77777777" w:rsidR="00713A26" w:rsidRPr="00F27622" w:rsidRDefault="00713A26" w:rsidP="00713A26">
            <w:pPr>
              <w:pStyle w:val="Tabletext"/>
              <w:numPr>
                <w:ilvl w:val="0"/>
                <w:numId w:val="21"/>
              </w:numPr>
            </w:pPr>
          </w:p>
        </w:tc>
        <w:tc>
          <w:tcPr>
            <w:tcW w:w="1843" w:type="dxa"/>
          </w:tcPr>
          <w:p w14:paraId="0A0BE05D" w14:textId="46FD2508" w:rsidR="00713A26" w:rsidRDefault="00713A26" w:rsidP="00713A26">
            <w:pPr>
              <w:pStyle w:val="Tabletext"/>
            </w:pPr>
            <w:r>
              <w:t>SCM6</w:t>
            </w:r>
          </w:p>
        </w:tc>
        <w:tc>
          <w:tcPr>
            <w:tcW w:w="1985" w:type="dxa"/>
          </w:tcPr>
          <w:p w14:paraId="04AAF7BA" w14:textId="22AC1A88" w:rsidR="00713A26" w:rsidRPr="00D17E1B" w:rsidRDefault="00713A26" w:rsidP="00713A26">
            <w:pPr>
              <w:pStyle w:val="Tabletext"/>
              <w:rPr>
                <w:b/>
                <w:bCs/>
              </w:rPr>
            </w:pPr>
            <w:r w:rsidRPr="0039255D">
              <w:rPr>
                <w:b/>
                <w:bCs/>
              </w:rPr>
              <w:t>Cardiac Rehabilitation</w:t>
            </w:r>
          </w:p>
        </w:tc>
        <w:tc>
          <w:tcPr>
            <w:tcW w:w="6520" w:type="dxa"/>
          </w:tcPr>
          <w:p w14:paraId="2DEE46EE" w14:textId="35DF25D8" w:rsidR="00713A26" w:rsidRPr="006C4FFC" w:rsidRDefault="00713A26" w:rsidP="00713A26">
            <w:pPr>
              <w:pStyle w:val="Tabletext"/>
            </w:pPr>
            <w:r w:rsidRPr="008F0E91">
              <w:t>“Cardiac rehabilitation is too low at 15% (22% for those on a cardiology ward). A significant investment is needed if hospitals in England are to reach the NHS CVD goal of 85% of those eligible accessing care. Fresh approaches for delivering access to cardiac rehabilitation need to be considered.”</w:t>
            </w:r>
          </w:p>
        </w:tc>
        <w:tc>
          <w:tcPr>
            <w:tcW w:w="3758" w:type="dxa"/>
          </w:tcPr>
          <w:p w14:paraId="2923E052" w14:textId="77777777" w:rsidR="00713A26" w:rsidRPr="00427135" w:rsidRDefault="00713A26" w:rsidP="00713A26">
            <w:pPr>
              <w:pStyle w:val="Tabletext"/>
            </w:pPr>
          </w:p>
        </w:tc>
      </w:tr>
      <w:tr w:rsidR="007179CF" w:rsidRPr="00C92280" w14:paraId="5A48882C" w14:textId="77777777" w:rsidTr="00584584">
        <w:trPr>
          <w:trHeight w:val="282"/>
        </w:trPr>
        <w:tc>
          <w:tcPr>
            <w:tcW w:w="562" w:type="dxa"/>
          </w:tcPr>
          <w:p w14:paraId="48CF8B89" w14:textId="77777777" w:rsidR="009372E7" w:rsidRPr="00F27622" w:rsidRDefault="009372E7" w:rsidP="00DE5D03">
            <w:pPr>
              <w:pStyle w:val="Tabletext"/>
              <w:numPr>
                <w:ilvl w:val="0"/>
                <w:numId w:val="21"/>
              </w:numPr>
            </w:pPr>
          </w:p>
        </w:tc>
        <w:tc>
          <w:tcPr>
            <w:tcW w:w="1843" w:type="dxa"/>
          </w:tcPr>
          <w:p w14:paraId="5D28D90A" w14:textId="18175B35" w:rsidR="009372E7" w:rsidRPr="00427135" w:rsidRDefault="006C4FFC" w:rsidP="00B24E25">
            <w:pPr>
              <w:pStyle w:val="Tabletext"/>
            </w:pPr>
            <w:r>
              <w:t>SCM7</w:t>
            </w:r>
          </w:p>
        </w:tc>
        <w:tc>
          <w:tcPr>
            <w:tcW w:w="1985" w:type="dxa"/>
          </w:tcPr>
          <w:p w14:paraId="031B3F69" w14:textId="5AEF1799" w:rsidR="009372E7" w:rsidRPr="00427135" w:rsidRDefault="00713A26" w:rsidP="006C4FFC">
            <w:pPr>
              <w:pStyle w:val="Tabletext"/>
            </w:pPr>
            <w:r w:rsidRPr="001E4E8C">
              <w:rPr>
                <w:b/>
                <w:bCs/>
              </w:rPr>
              <w:t>Cardiac Rehabilitation</w:t>
            </w:r>
          </w:p>
        </w:tc>
        <w:tc>
          <w:tcPr>
            <w:tcW w:w="6520" w:type="dxa"/>
          </w:tcPr>
          <w:p w14:paraId="2513599C" w14:textId="77777777" w:rsidR="006C4FFC" w:rsidRPr="006C4FFC" w:rsidRDefault="006C4FFC" w:rsidP="006C4FFC">
            <w:pPr>
              <w:pStyle w:val="Tabletext"/>
              <w:rPr>
                <w:bCs/>
              </w:rPr>
            </w:pPr>
            <w:r w:rsidRPr="006C4FFC">
              <w:rPr>
                <w:bCs/>
              </w:rPr>
              <w:t xml:space="preserve">I cannot be </w:t>
            </w:r>
            <w:proofErr w:type="gramStart"/>
            <w:r w:rsidRPr="006C4FFC">
              <w:rPr>
                <w:bCs/>
              </w:rPr>
              <w:t>sure</w:t>
            </w:r>
            <w:proofErr w:type="gramEnd"/>
            <w:r w:rsidRPr="006C4FFC">
              <w:rPr>
                <w:bCs/>
              </w:rPr>
              <w:t xml:space="preserve"> but I believe not.  The whole area of provision is poor and prescription low (and the scope narrow, see comments under (2)).  COVID has demonstrated that home rehab can be effective, but I do not know that facilities have been established which are more in tune with people’s lives and availability.  Further, as discussed in (2), the Quality Standard should no longer be limited to exercise alone but to the full spectrum of rehabilitation needs.</w:t>
            </w:r>
          </w:p>
          <w:p w14:paraId="3AEBDA2C" w14:textId="72618A30" w:rsidR="009372E7" w:rsidRPr="00427135" w:rsidRDefault="006C4FFC" w:rsidP="006C4FFC">
            <w:pPr>
              <w:pStyle w:val="Tabletext"/>
            </w:pPr>
            <w:r w:rsidRPr="006C4FFC">
              <w:rPr>
                <w:bCs/>
              </w:rPr>
              <w:t>(See Virtual and in-person cardiac rehabilitation, BMJ 2021;</w:t>
            </w:r>
            <w:proofErr w:type="gramStart"/>
            <w:r w:rsidRPr="006C4FFC">
              <w:rPr>
                <w:bCs/>
              </w:rPr>
              <w:t>373:n</w:t>
            </w:r>
            <w:proofErr w:type="gramEnd"/>
            <w:r w:rsidRPr="006C4FFC">
              <w:rPr>
                <w:bCs/>
              </w:rPr>
              <w:t xml:space="preserve">1270, </w:t>
            </w:r>
            <w:hyperlink r:id="rId85" w:history="1">
              <w:r w:rsidRPr="006C4FFC">
                <w:rPr>
                  <w:rStyle w:val="Hyperlink"/>
                  <w:bCs/>
                </w:rPr>
                <w:t>http://dx.doi.org/10.1136/bmj.n1270</w:t>
              </w:r>
            </w:hyperlink>
            <w:r w:rsidRPr="006C4FFC">
              <w:rPr>
                <w:bCs/>
              </w:rPr>
              <w:t>.)</w:t>
            </w:r>
          </w:p>
        </w:tc>
        <w:tc>
          <w:tcPr>
            <w:tcW w:w="3758" w:type="dxa"/>
          </w:tcPr>
          <w:p w14:paraId="051D90CC" w14:textId="77777777" w:rsidR="009372E7" w:rsidRPr="00427135" w:rsidRDefault="009372E7" w:rsidP="00B24E25">
            <w:pPr>
              <w:pStyle w:val="Tabletext"/>
            </w:pPr>
          </w:p>
        </w:tc>
      </w:tr>
      <w:tr w:rsidR="007179CF" w:rsidRPr="00C92280" w14:paraId="146BF4BD" w14:textId="77777777" w:rsidTr="00584584">
        <w:trPr>
          <w:trHeight w:val="282"/>
        </w:trPr>
        <w:tc>
          <w:tcPr>
            <w:tcW w:w="562" w:type="dxa"/>
          </w:tcPr>
          <w:p w14:paraId="1F0F2B21" w14:textId="77777777" w:rsidR="009372E7" w:rsidRPr="00F27622" w:rsidRDefault="009372E7" w:rsidP="00DE5D03">
            <w:pPr>
              <w:pStyle w:val="Tabletext"/>
              <w:numPr>
                <w:ilvl w:val="0"/>
                <w:numId w:val="21"/>
              </w:numPr>
            </w:pPr>
          </w:p>
        </w:tc>
        <w:tc>
          <w:tcPr>
            <w:tcW w:w="1843" w:type="dxa"/>
          </w:tcPr>
          <w:p w14:paraId="23F65254" w14:textId="53E51B44" w:rsidR="009372E7" w:rsidRPr="00427135" w:rsidRDefault="008B402B" w:rsidP="00B24E25">
            <w:pPr>
              <w:pStyle w:val="Tabletext"/>
            </w:pPr>
            <w:r w:rsidRPr="008B402B">
              <w:t>Boehringer Ingelheim</w:t>
            </w:r>
          </w:p>
        </w:tc>
        <w:tc>
          <w:tcPr>
            <w:tcW w:w="1985" w:type="dxa"/>
          </w:tcPr>
          <w:p w14:paraId="7FCE8CBB" w14:textId="77777777" w:rsidR="008B402B" w:rsidRPr="008B402B" w:rsidRDefault="008B402B" w:rsidP="008B402B">
            <w:pPr>
              <w:pStyle w:val="Tabletext"/>
              <w:rPr>
                <w:b/>
                <w:bCs/>
              </w:rPr>
            </w:pPr>
            <w:r w:rsidRPr="008B402B">
              <w:rPr>
                <w:b/>
                <w:bCs/>
              </w:rPr>
              <w:t>Service Delivery</w:t>
            </w:r>
          </w:p>
          <w:p w14:paraId="3BC122FA" w14:textId="31F9E103" w:rsidR="009372E7" w:rsidRPr="00427135" w:rsidRDefault="008B402B" w:rsidP="008B402B">
            <w:pPr>
              <w:pStyle w:val="Tabletext"/>
            </w:pPr>
            <w:r w:rsidRPr="008B402B">
              <w:t>MDTs</w:t>
            </w:r>
          </w:p>
        </w:tc>
        <w:tc>
          <w:tcPr>
            <w:tcW w:w="6520" w:type="dxa"/>
          </w:tcPr>
          <w:p w14:paraId="505CA75B" w14:textId="77777777" w:rsidR="008B402B" w:rsidRDefault="008B402B" w:rsidP="008B402B">
            <w:pPr>
              <w:pStyle w:val="Tabletext"/>
            </w:pPr>
            <w:r>
              <w:t xml:space="preserve">Local evidence of a Heart Failure MDT comprised of a minimum of a lead physician with subspecialty training in heart failure, a specialist heart failure nurse, a healthcare professional with expertise in specialist prescribing for heart failure. This MDT should have capacity to diagnose heart failure, give information to people newly diagnosed with heart failure, manage newly diagnosed, recently decompensated or advanced heart failure (NYHA [New York Heart Association] class III to IV), optimise treatment, start new medicines that need specialist supervision,  continue to manage heart failure after an interventional procedure such as implantation of a cardioverter defibrillator or cardiac resynchronisation device and manage heart failure that is not responding to treatment. </w:t>
            </w:r>
          </w:p>
          <w:p w14:paraId="665F0DEF" w14:textId="77777777" w:rsidR="009372E7" w:rsidRDefault="008B402B" w:rsidP="008B402B">
            <w:pPr>
              <w:pStyle w:val="Tabletext"/>
            </w:pPr>
            <w:r>
              <w:t xml:space="preserve">Patients should also have a comprehensive discharge plan in line with the recommendation from the BSH (professional society). In addition to </w:t>
            </w:r>
            <w:proofErr w:type="gramStart"/>
            <w:r>
              <w:t>this,  patients</w:t>
            </w:r>
            <w:proofErr w:type="gramEnd"/>
            <w:r>
              <w:t xml:space="preserve"> should receive information about how to self-manage their condition, patient support groups (The patient society, Pumping Marvellous has excellent resources) and how to access specialist input should their condition deteriorate.</w:t>
            </w:r>
          </w:p>
          <w:p w14:paraId="301BAA1C" w14:textId="77777777" w:rsidR="008B402B" w:rsidRDefault="008B402B" w:rsidP="008B402B">
            <w:pPr>
              <w:pStyle w:val="Tabletext"/>
            </w:pPr>
          </w:p>
          <w:p w14:paraId="4E7F3944" w14:textId="77777777" w:rsidR="008B402B" w:rsidRPr="008B402B" w:rsidRDefault="008B402B" w:rsidP="00DE5D03">
            <w:pPr>
              <w:pStyle w:val="Tabletext"/>
            </w:pPr>
            <w:r w:rsidRPr="008B402B">
              <w:t>The core specialist heart failure multidisciplinary team (MDT) should work in collaboration with the primary care team, and should include:</w:t>
            </w:r>
          </w:p>
          <w:p w14:paraId="01C4D679" w14:textId="77777777" w:rsidR="008B402B" w:rsidRPr="008B402B" w:rsidRDefault="008B402B" w:rsidP="00DE5D03">
            <w:pPr>
              <w:pStyle w:val="Tabletext"/>
            </w:pPr>
            <w:r w:rsidRPr="008B402B">
              <w:t>• a lead physician with subspecialty training in heart failure (usually a consultant cardiologist) who is responsible for making the clinical diagnosis</w:t>
            </w:r>
          </w:p>
          <w:p w14:paraId="7764A197" w14:textId="77777777" w:rsidR="008B402B" w:rsidRPr="008B402B" w:rsidRDefault="008B402B" w:rsidP="00DE5D03">
            <w:pPr>
              <w:pStyle w:val="Tabletext"/>
            </w:pPr>
            <w:r w:rsidRPr="008B402B">
              <w:t>• a specialist heart failure nurse</w:t>
            </w:r>
          </w:p>
          <w:p w14:paraId="6A98228E" w14:textId="77777777" w:rsidR="008B402B" w:rsidRPr="008B402B" w:rsidRDefault="008B402B" w:rsidP="00DE5D03">
            <w:pPr>
              <w:pStyle w:val="Tabletext"/>
            </w:pPr>
            <w:r w:rsidRPr="008B402B">
              <w:t>• a healthcare professional with expertise in specialist prescribing for heart failure.</w:t>
            </w:r>
          </w:p>
          <w:p w14:paraId="6972865D" w14:textId="77777777" w:rsidR="008B402B" w:rsidRPr="008B402B" w:rsidRDefault="008B402B" w:rsidP="00DE5D03">
            <w:pPr>
              <w:pStyle w:val="Tabletext"/>
            </w:pPr>
            <w:r w:rsidRPr="008B402B">
              <w:lastRenderedPageBreak/>
              <w:t>1.1.2 The specialist heart failure MDT should:</w:t>
            </w:r>
          </w:p>
          <w:p w14:paraId="69998363" w14:textId="77777777" w:rsidR="008B402B" w:rsidRPr="008B402B" w:rsidRDefault="008B402B" w:rsidP="00DE5D03">
            <w:pPr>
              <w:pStyle w:val="Tabletext"/>
            </w:pPr>
            <w:r w:rsidRPr="008B402B">
              <w:t>• diagnose &amp; classify heart failure</w:t>
            </w:r>
          </w:p>
          <w:p w14:paraId="4152527E" w14:textId="77777777" w:rsidR="008B402B" w:rsidRPr="008B402B" w:rsidRDefault="008B402B" w:rsidP="00DE5D03">
            <w:pPr>
              <w:pStyle w:val="Tabletext"/>
            </w:pPr>
            <w:r w:rsidRPr="008B402B">
              <w:t>• give information to people newly diagnosed with heart failure (see the section on giving information to people with heart failure)</w:t>
            </w:r>
          </w:p>
          <w:p w14:paraId="0E338A56" w14:textId="77777777" w:rsidR="008B402B" w:rsidRPr="008B402B" w:rsidRDefault="008B402B" w:rsidP="00DE5D03">
            <w:pPr>
              <w:pStyle w:val="Tabletext"/>
            </w:pPr>
            <w:r w:rsidRPr="008B402B">
              <w:t>• manage newly diagnosed, recently decompensated or advanced heart failure (NYHA [New York Heart Association] class III to IV)</w:t>
            </w:r>
          </w:p>
          <w:p w14:paraId="6A4EC18F" w14:textId="77777777" w:rsidR="008B402B" w:rsidRPr="008B402B" w:rsidRDefault="008B402B" w:rsidP="00DE5D03">
            <w:pPr>
              <w:pStyle w:val="Tabletext"/>
            </w:pPr>
            <w:r w:rsidRPr="008B402B">
              <w:t>• optimise treatment</w:t>
            </w:r>
          </w:p>
          <w:p w14:paraId="6A646D41" w14:textId="77777777" w:rsidR="008B402B" w:rsidRPr="008B402B" w:rsidRDefault="008B402B" w:rsidP="00DE5D03">
            <w:pPr>
              <w:pStyle w:val="Tabletext"/>
            </w:pPr>
            <w:r w:rsidRPr="008B402B">
              <w:t>• start new medicines that need specialist supervision</w:t>
            </w:r>
          </w:p>
          <w:p w14:paraId="29C03C71" w14:textId="77777777" w:rsidR="008B402B" w:rsidRPr="008B402B" w:rsidRDefault="008B402B" w:rsidP="00DE5D03">
            <w:pPr>
              <w:pStyle w:val="Tabletext"/>
            </w:pPr>
            <w:r w:rsidRPr="008B402B">
              <w:t>Chronic heart failure in adults: diagnosis and management (NG106)</w:t>
            </w:r>
          </w:p>
          <w:p w14:paraId="4EDB8F1F" w14:textId="77777777" w:rsidR="008B402B" w:rsidRPr="008B402B" w:rsidRDefault="008B402B" w:rsidP="00DE5D03">
            <w:pPr>
              <w:pStyle w:val="Tabletext"/>
            </w:pPr>
            <w:r w:rsidRPr="008B402B">
              <w:t>• continue to manage heart failure after an interventional procedure such as</w:t>
            </w:r>
          </w:p>
          <w:p w14:paraId="580E6A75" w14:textId="77777777" w:rsidR="008B402B" w:rsidRPr="008B402B" w:rsidRDefault="008B402B" w:rsidP="00DE5D03">
            <w:pPr>
              <w:pStyle w:val="Tabletext"/>
            </w:pPr>
            <w:r w:rsidRPr="008B402B">
              <w:t>implantation of a cardioverter defibrillator or cardiac resynchronisation device</w:t>
            </w:r>
          </w:p>
          <w:p w14:paraId="53B47F6F" w14:textId="3C16EE4F" w:rsidR="008B402B" w:rsidRPr="00427135" w:rsidRDefault="008B402B" w:rsidP="008B402B">
            <w:pPr>
              <w:pStyle w:val="Tabletext"/>
            </w:pPr>
            <w:r w:rsidRPr="008B402B">
              <w:t>• manage heart failure that is not responding to treatment.</w:t>
            </w:r>
          </w:p>
        </w:tc>
        <w:tc>
          <w:tcPr>
            <w:tcW w:w="3758" w:type="dxa"/>
          </w:tcPr>
          <w:p w14:paraId="7D72FF2C" w14:textId="77777777" w:rsidR="008B402B" w:rsidRPr="008B402B" w:rsidRDefault="00AF2CC8" w:rsidP="00DE5D03">
            <w:pPr>
              <w:pStyle w:val="Tabletext"/>
            </w:pPr>
            <w:hyperlink r:id="rId86" w:history="1">
              <w:r w:rsidR="008B402B" w:rsidRPr="008B402B">
                <w:rPr>
                  <w:rStyle w:val="Hyperlink"/>
                </w:rPr>
                <w:t>https://www.nice.org.uk/guidance/ng106</w:t>
              </w:r>
            </w:hyperlink>
            <w:r w:rsidR="008B402B" w:rsidRPr="008B402B">
              <w:t xml:space="preserve">  section 1.1</w:t>
            </w:r>
          </w:p>
          <w:p w14:paraId="3FB42F33" w14:textId="77777777" w:rsidR="008B402B" w:rsidRPr="008B402B" w:rsidRDefault="00AF2CC8" w:rsidP="00DE5D03">
            <w:pPr>
              <w:pStyle w:val="Tabletext"/>
            </w:pPr>
            <w:hyperlink r:id="rId87" w:history="1">
              <w:r w:rsidR="008B402B" w:rsidRPr="008B402B">
                <w:rPr>
                  <w:rStyle w:val="Hyperlink"/>
                </w:rPr>
                <w:t>https://www.bsh.org.uk/wp-content/uploads/2020/06/Guidance-for-discharging-from-HFSN-service-BSH-endorsed.pdf</w:t>
              </w:r>
            </w:hyperlink>
            <w:r w:rsidR="008B402B" w:rsidRPr="008B402B">
              <w:t xml:space="preserve"> </w:t>
            </w:r>
          </w:p>
          <w:p w14:paraId="4E89B830" w14:textId="77777777" w:rsidR="009372E7" w:rsidRPr="00427135" w:rsidRDefault="009372E7" w:rsidP="00B24E25">
            <w:pPr>
              <w:pStyle w:val="Tabletext"/>
            </w:pPr>
          </w:p>
        </w:tc>
      </w:tr>
      <w:tr w:rsidR="007179CF" w:rsidRPr="00C92280" w14:paraId="16379E0F" w14:textId="77777777" w:rsidTr="00584584">
        <w:trPr>
          <w:trHeight w:val="282"/>
        </w:trPr>
        <w:tc>
          <w:tcPr>
            <w:tcW w:w="562" w:type="dxa"/>
          </w:tcPr>
          <w:p w14:paraId="3C284EF3" w14:textId="77777777" w:rsidR="009372E7" w:rsidRPr="00F27622" w:rsidRDefault="009372E7" w:rsidP="00DE5D03">
            <w:pPr>
              <w:pStyle w:val="Tabletext"/>
              <w:numPr>
                <w:ilvl w:val="0"/>
                <w:numId w:val="21"/>
              </w:numPr>
            </w:pPr>
          </w:p>
        </w:tc>
        <w:tc>
          <w:tcPr>
            <w:tcW w:w="1843" w:type="dxa"/>
          </w:tcPr>
          <w:p w14:paraId="716992EC" w14:textId="5C8BFA63" w:rsidR="009372E7" w:rsidRPr="00427135" w:rsidRDefault="008B402B" w:rsidP="00B24E25">
            <w:pPr>
              <w:pStyle w:val="Tabletext"/>
            </w:pPr>
            <w:r>
              <w:t>SCM3</w:t>
            </w:r>
          </w:p>
        </w:tc>
        <w:tc>
          <w:tcPr>
            <w:tcW w:w="1985" w:type="dxa"/>
          </w:tcPr>
          <w:p w14:paraId="7AB17255" w14:textId="77777777" w:rsidR="005E5B6D" w:rsidRPr="008B402B" w:rsidRDefault="005E5B6D" w:rsidP="005E5B6D">
            <w:pPr>
              <w:pStyle w:val="Tabletext"/>
              <w:rPr>
                <w:b/>
                <w:bCs/>
              </w:rPr>
            </w:pPr>
            <w:r w:rsidRPr="008B402B">
              <w:rPr>
                <w:b/>
                <w:bCs/>
              </w:rPr>
              <w:t>Service Delivery</w:t>
            </w:r>
          </w:p>
          <w:p w14:paraId="7A364EFB" w14:textId="047C2091" w:rsidR="009372E7" w:rsidRPr="00427135" w:rsidRDefault="005E5B6D" w:rsidP="005E5B6D">
            <w:pPr>
              <w:pStyle w:val="Tabletext"/>
            </w:pPr>
            <w:r w:rsidRPr="008B402B">
              <w:t>MDTs</w:t>
            </w:r>
          </w:p>
        </w:tc>
        <w:tc>
          <w:tcPr>
            <w:tcW w:w="6520" w:type="dxa"/>
          </w:tcPr>
          <w:p w14:paraId="236BDCE0" w14:textId="77777777" w:rsidR="009372E7" w:rsidRDefault="008B402B" w:rsidP="00B24E25">
            <w:pPr>
              <w:pStyle w:val="Tabletext"/>
            </w:pPr>
            <w:r w:rsidRPr="008B402B">
              <w:t>Access to Heart Failure Nurse Specialist.</w:t>
            </w:r>
          </w:p>
          <w:p w14:paraId="3FC65A8A" w14:textId="3B6DC967" w:rsidR="008B402B" w:rsidRPr="00427135" w:rsidRDefault="008B402B" w:rsidP="00B24E25">
            <w:pPr>
              <w:pStyle w:val="Tabletext"/>
            </w:pPr>
            <w:r w:rsidRPr="008B402B">
              <w:t xml:space="preserve">Access to HFNS is key to ongoing patient care and is a recommendation as part of multidisciplinary team. Services vary with sometimes only patient with </w:t>
            </w:r>
            <w:proofErr w:type="spellStart"/>
            <w:r w:rsidRPr="008B402B">
              <w:t>HFrEF</w:t>
            </w:r>
            <w:proofErr w:type="spellEnd"/>
            <w:r w:rsidRPr="008B402B">
              <w:t xml:space="preserve"> eligible to be seen.</w:t>
            </w:r>
          </w:p>
        </w:tc>
        <w:tc>
          <w:tcPr>
            <w:tcW w:w="3758" w:type="dxa"/>
          </w:tcPr>
          <w:p w14:paraId="378C236B" w14:textId="77777777" w:rsidR="009372E7" w:rsidRPr="00427135" w:rsidRDefault="009372E7" w:rsidP="00B24E25">
            <w:pPr>
              <w:pStyle w:val="Tabletext"/>
            </w:pPr>
          </w:p>
        </w:tc>
      </w:tr>
      <w:tr w:rsidR="00483585" w:rsidRPr="00C92280" w14:paraId="43A42DC3" w14:textId="77777777" w:rsidTr="00584584">
        <w:trPr>
          <w:trHeight w:val="282"/>
        </w:trPr>
        <w:tc>
          <w:tcPr>
            <w:tcW w:w="562" w:type="dxa"/>
          </w:tcPr>
          <w:p w14:paraId="69A60CBC" w14:textId="77777777" w:rsidR="00483585" w:rsidRPr="00F27622" w:rsidRDefault="00483585" w:rsidP="00C5158D">
            <w:pPr>
              <w:pStyle w:val="Tabletext"/>
              <w:numPr>
                <w:ilvl w:val="0"/>
                <w:numId w:val="21"/>
              </w:numPr>
            </w:pPr>
          </w:p>
        </w:tc>
        <w:tc>
          <w:tcPr>
            <w:tcW w:w="1843" w:type="dxa"/>
          </w:tcPr>
          <w:p w14:paraId="224371DF" w14:textId="3944AABA" w:rsidR="00483585" w:rsidRDefault="00483585" w:rsidP="00B24E25">
            <w:pPr>
              <w:pStyle w:val="Tabletext"/>
            </w:pPr>
            <w:r>
              <w:t>SCM3</w:t>
            </w:r>
          </w:p>
        </w:tc>
        <w:tc>
          <w:tcPr>
            <w:tcW w:w="1985" w:type="dxa"/>
          </w:tcPr>
          <w:p w14:paraId="5A94329B" w14:textId="77777777" w:rsidR="00483585" w:rsidRPr="008B402B" w:rsidRDefault="00483585" w:rsidP="00483585">
            <w:pPr>
              <w:pStyle w:val="Tabletext"/>
              <w:rPr>
                <w:b/>
                <w:bCs/>
              </w:rPr>
            </w:pPr>
            <w:r w:rsidRPr="008B402B">
              <w:rPr>
                <w:b/>
                <w:bCs/>
              </w:rPr>
              <w:t>Service Delivery</w:t>
            </w:r>
          </w:p>
          <w:p w14:paraId="10744F3B" w14:textId="02664D5D" w:rsidR="00483585" w:rsidRPr="008B402B" w:rsidRDefault="00483585" w:rsidP="00483585">
            <w:pPr>
              <w:pStyle w:val="Tabletext"/>
              <w:rPr>
                <w:b/>
                <w:bCs/>
              </w:rPr>
            </w:pPr>
            <w:r w:rsidRPr="008B402B">
              <w:t>MDTs</w:t>
            </w:r>
          </w:p>
        </w:tc>
        <w:tc>
          <w:tcPr>
            <w:tcW w:w="6520" w:type="dxa"/>
          </w:tcPr>
          <w:p w14:paraId="34D11820" w14:textId="77777777" w:rsidR="00483585" w:rsidRDefault="00483585" w:rsidP="00B24E25">
            <w:pPr>
              <w:pStyle w:val="Tabletext"/>
            </w:pPr>
            <w:r w:rsidRPr="00483585">
              <w:t>Offer extended first appointment for people with a new diagnosis of heart failure.</w:t>
            </w:r>
          </w:p>
          <w:p w14:paraId="0C8D39BD" w14:textId="77777777" w:rsidR="00483585" w:rsidRDefault="00483585" w:rsidP="00483585">
            <w:pPr>
              <w:pStyle w:val="Tabletext"/>
            </w:pPr>
            <w:r>
              <w:t>NICE Chronic Heart Failure guideline recommendation: ‘The specialist heart failure MDT should offer people newly diagnosed with heart failure an extended first consultation, followed by a second consultation to take place within 2 weeks if possible [2018]’.</w:t>
            </w:r>
          </w:p>
          <w:p w14:paraId="20ECC1BB" w14:textId="77777777" w:rsidR="00483585" w:rsidRDefault="00483585" w:rsidP="00483585">
            <w:pPr>
              <w:pStyle w:val="Tabletext"/>
            </w:pPr>
          </w:p>
          <w:p w14:paraId="59104E64" w14:textId="35D0F402" w:rsidR="00483585" w:rsidRPr="008B402B" w:rsidRDefault="00483585" w:rsidP="00483585">
            <w:pPr>
              <w:pStyle w:val="Tabletext"/>
            </w:pPr>
            <w:r>
              <w:t>I am not sure if there is evidence that this is taking place yet.</w:t>
            </w:r>
          </w:p>
        </w:tc>
        <w:tc>
          <w:tcPr>
            <w:tcW w:w="3758" w:type="dxa"/>
          </w:tcPr>
          <w:p w14:paraId="619C48DD" w14:textId="77777777" w:rsidR="00483585" w:rsidRPr="00427135" w:rsidRDefault="00483585" w:rsidP="00B24E25">
            <w:pPr>
              <w:pStyle w:val="Tabletext"/>
            </w:pPr>
          </w:p>
        </w:tc>
      </w:tr>
      <w:tr w:rsidR="007179CF" w:rsidRPr="00C92280" w14:paraId="74D11272" w14:textId="77777777" w:rsidTr="00584584">
        <w:trPr>
          <w:trHeight w:val="282"/>
        </w:trPr>
        <w:tc>
          <w:tcPr>
            <w:tcW w:w="562" w:type="dxa"/>
          </w:tcPr>
          <w:p w14:paraId="23DD4522" w14:textId="77777777" w:rsidR="009372E7" w:rsidRPr="00F27622" w:rsidRDefault="009372E7" w:rsidP="00DE5D03">
            <w:pPr>
              <w:pStyle w:val="Tabletext"/>
              <w:numPr>
                <w:ilvl w:val="0"/>
                <w:numId w:val="21"/>
              </w:numPr>
            </w:pPr>
          </w:p>
        </w:tc>
        <w:tc>
          <w:tcPr>
            <w:tcW w:w="1843" w:type="dxa"/>
          </w:tcPr>
          <w:p w14:paraId="7AB1E5D1" w14:textId="464C8AD5" w:rsidR="009372E7" w:rsidRPr="00427135" w:rsidRDefault="005E5B6D" w:rsidP="00B24E25">
            <w:pPr>
              <w:pStyle w:val="Tabletext"/>
            </w:pPr>
            <w:r>
              <w:t>SCM6</w:t>
            </w:r>
          </w:p>
        </w:tc>
        <w:tc>
          <w:tcPr>
            <w:tcW w:w="1985" w:type="dxa"/>
          </w:tcPr>
          <w:p w14:paraId="08781C2B" w14:textId="77777777" w:rsidR="005E5B6D" w:rsidRPr="008B402B" w:rsidRDefault="005E5B6D" w:rsidP="005E5B6D">
            <w:pPr>
              <w:pStyle w:val="Tabletext"/>
              <w:rPr>
                <w:b/>
                <w:bCs/>
              </w:rPr>
            </w:pPr>
            <w:r w:rsidRPr="008B402B">
              <w:rPr>
                <w:b/>
                <w:bCs/>
              </w:rPr>
              <w:t>Service Delivery</w:t>
            </w:r>
          </w:p>
          <w:p w14:paraId="15CA732C" w14:textId="02DD4569" w:rsidR="009372E7" w:rsidRPr="00427135" w:rsidRDefault="005E5B6D" w:rsidP="005E5B6D">
            <w:pPr>
              <w:pStyle w:val="Tabletext"/>
            </w:pPr>
            <w:r w:rsidRPr="008B402B">
              <w:t>MDTs</w:t>
            </w:r>
          </w:p>
        </w:tc>
        <w:tc>
          <w:tcPr>
            <w:tcW w:w="6520" w:type="dxa"/>
          </w:tcPr>
          <w:p w14:paraId="0AFE8E0D" w14:textId="77777777" w:rsidR="009372E7" w:rsidRDefault="005E5B6D" w:rsidP="00B24E25">
            <w:pPr>
              <w:pStyle w:val="Tabletext"/>
            </w:pPr>
            <w:r w:rsidRPr="005E5B6D">
              <w:t xml:space="preserve">Supporting more integrated HF care and multidisciplinary HF teams that include physicians, nurses, </w:t>
            </w:r>
            <w:proofErr w:type="gramStart"/>
            <w:r w:rsidRPr="005E5B6D">
              <w:t>pharmacists</w:t>
            </w:r>
            <w:proofErr w:type="gramEnd"/>
            <w:r w:rsidRPr="005E5B6D">
              <w:t xml:space="preserve"> and other healthcare professionals across primary and secondary care</w:t>
            </w:r>
          </w:p>
          <w:p w14:paraId="2EB383D1" w14:textId="51FBD6B8" w:rsidR="005E5B6D" w:rsidRPr="00427135" w:rsidRDefault="005E5B6D" w:rsidP="00B24E25">
            <w:pPr>
              <w:pStyle w:val="Tabletext"/>
            </w:pPr>
            <w:r w:rsidRPr="005E5B6D">
              <w:t>“A unifying theme to address all these points would be early and continuing involvement of the specialist team as first outlined in the NICE guidance of 2014.” - this was further emphasised in the 2018 NICE HF guidelines</w:t>
            </w:r>
          </w:p>
        </w:tc>
        <w:tc>
          <w:tcPr>
            <w:tcW w:w="3758" w:type="dxa"/>
          </w:tcPr>
          <w:p w14:paraId="380B2AA8" w14:textId="77777777" w:rsidR="005E5B6D" w:rsidRPr="005E5B6D" w:rsidRDefault="005E5B6D" w:rsidP="005E5B6D">
            <w:pPr>
              <w:pStyle w:val="Tabletext"/>
            </w:pPr>
            <w:r w:rsidRPr="005E5B6D">
              <w:t>As above - this:</w:t>
            </w:r>
          </w:p>
          <w:p w14:paraId="1F70449A" w14:textId="77777777" w:rsidR="005E5B6D" w:rsidRPr="005E5B6D" w:rsidRDefault="00AF2CC8" w:rsidP="005E5B6D">
            <w:pPr>
              <w:pStyle w:val="Tabletext"/>
            </w:pPr>
            <w:hyperlink r:id="rId88" w:history="1">
              <w:r w:rsidR="005E5B6D" w:rsidRPr="005E5B6D">
                <w:rPr>
                  <w:rStyle w:val="Hyperlink"/>
                </w:rPr>
                <w:t>NHFA-Key-Messages-2021.pdf (nicor.org.uk)</w:t>
              </w:r>
            </w:hyperlink>
          </w:p>
          <w:p w14:paraId="37D4ABD6" w14:textId="31048C0E" w:rsidR="009372E7" w:rsidRPr="00427135" w:rsidRDefault="005E5B6D" w:rsidP="005E5B6D">
            <w:pPr>
              <w:pStyle w:val="Tabletext"/>
            </w:pPr>
            <w:r w:rsidRPr="005E5B6D">
              <w:t>See NICE HF guidelines 2018.</w:t>
            </w:r>
          </w:p>
        </w:tc>
      </w:tr>
      <w:tr w:rsidR="007179CF" w:rsidRPr="00C92280" w14:paraId="3A4F2874" w14:textId="77777777" w:rsidTr="00584584">
        <w:trPr>
          <w:trHeight w:val="282"/>
        </w:trPr>
        <w:tc>
          <w:tcPr>
            <w:tcW w:w="562" w:type="dxa"/>
          </w:tcPr>
          <w:p w14:paraId="465A6756" w14:textId="77777777" w:rsidR="009372E7" w:rsidRPr="00F27622" w:rsidRDefault="009372E7" w:rsidP="00DE5D03">
            <w:pPr>
              <w:pStyle w:val="Tabletext"/>
              <w:numPr>
                <w:ilvl w:val="0"/>
                <w:numId w:val="21"/>
              </w:numPr>
            </w:pPr>
          </w:p>
        </w:tc>
        <w:tc>
          <w:tcPr>
            <w:tcW w:w="1843" w:type="dxa"/>
          </w:tcPr>
          <w:p w14:paraId="153B1DAB" w14:textId="66133221" w:rsidR="009372E7" w:rsidRPr="00427135" w:rsidRDefault="005E5B6D" w:rsidP="00B24E25">
            <w:pPr>
              <w:pStyle w:val="Tabletext"/>
            </w:pPr>
            <w:r w:rsidRPr="005E5B6D">
              <w:t>British Society for Heart Failure (BSH)</w:t>
            </w:r>
          </w:p>
        </w:tc>
        <w:tc>
          <w:tcPr>
            <w:tcW w:w="1985" w:type="dxa"/>
          </w:tcPr>
          <w:p w14:paraId="56D4FEF9" w14:textId="77777777" w:rsidR="005E5B6D" w:rsidRPr="005E5B6D" w:rsidRDefault="005E5B6D" w:rsidP="005E5B6D">
            <w:pPr>
              <w:pStyle w:val="Tabletext"/>
              <w:rPr>
                <w:b/>
                <w:bCs/>
              </w:rPr>
            </w:pPr>
            <w:r w:rsidRPr="005E5B6D">
              <w:rPr>
                <w:b/>
                <w:bCs/>
              </w:rPr>
              <w:t>Service Delivery</w:t>
            </w:r>
          </w:p>
          <w:p w14:paraId="17EDF148" w14:textId="44467970" w:rsidR="009372E7" w:rsidRPr="00427135" w:rsidRDefault="005E5B6D" w:rsidP="005E5B6D">
            <w:pPr>
              <w:pStyle w:val="Tabletext"/>
            </w:pPr>
            <w:r w:rsidRPr="005E5B6D">
              <w:t>Care reviews and care plans</w:t>
            </w:r>
          </w:p>
        </w:tc>
        <w:tc>
          <w:tcPr>
            <w:tcW w:w="6520" w:type="dxa"/>
          </w:tcPr>
          <w:p w14:paraId="40A101C6" w14:textId="77777777" w:rsidR="005E5B6D" w:rsidRPr="005E5B6D" w:rsidRDefault="005E5B6D" w:rsidP="005E5B6D">
            <w:pPr>
              <w:pStyle w:val="Tabletext"/>
              <w:rPr>
                <w:bCs/>
              </w:rPr>
            </w:pPr>
            <w:r w:rsidRPr="005E5B6D">
              <w:rPr>
                <w:b/>
                <w:bCs/>
              </w:rPr>
              <w:t>All patients with heart failure, regardless of ejection fraction should have a lifelong care plan</w:t>
            </w:r>
          </w:p>
          <w:p w14:paraId="7BCDDE3B" w14:textId="77777777" w:rsidR="005E5B6D" w:rsidRPr="005E5B6D" w:rsidRDefault="005E5B6D" w:rsidP="005E5B6D">
            <w:pPr>
              <w:pStyle w:val="Tabletext"/>
              <w:rPr>
                <w:bCs/>
              </w:rPr>
            </w:pPr>
          </w:p>
          <w:p w14:paraId="23D3891A" w14:textId="77777777" w:rsidR="005E5B6D" w:rsidRPr="005E5B6D" w:rsidRDefault="005E5B6D" w:rsidP="005E5B6D">
            <w:pPr>
              <w:pStyle w:val="Tabletext"/>
              <w:numPr>
                <w:ilvl w:val="0"/>
                <w:numId w:val="26"/>
              </w:numPr>
              <w:rPr>
                <w:bCs/>
              </w:rPr>
            </w:pPr>
            <w:r w:rsidRPr="005E5B6D">
              <w:rPr>
                <w:bCs/>
              </w:rPr>
              <w:t xml:space="preserve">Commission more heart failure nurses across all health settings to reflect 2-4 HF nurses per 100,000 </w:t>
            </w:r>
            <w:proofErr w:type="gramStart"/>
            <w:r w:rsidRPr="005E5B6D">
              <w:rPr>
                <w:bCs/>
              </w:rPr>
              <w:t>in order to</w:t>
            </w:r>
            <w:proofErr w:type="gramEnd"/>
            <w:r w:rsidRPr="005E5B6D">
              <w:rPr>
                <w:bCs/>
              </w:rPr>
              <w:t xml:space="preserve"> meet Standards and support delivery of the care plan when patients require a HF specialist</w:t>
            </w:r>
          </w:p>
          <w:p w14:paraId="053F741B" w14:textId="77777777" w:rsidR="005E5B6D" w:rsidRPr="005E5B6D" w:rsidRDefault="005E5B6D" w:rsidP="005E5B6D">
            <w:pPr>
              <w:pStyle w:val="Tabletext"/>
              <w:numPr>
                <w:ilvl w:val="0"/>
                <w:numId w:val="26"/>
              </w:numPr>
              <w:rPr>
                <w:bCs/>
              </w:rPr>
            </w:pPr>
            <w:r w:rsidRPr="005E5B6D">
              <w:rPr>
                <w:bCs/>
              </w:rPr>
              <w:t xml:space="preserve">Utilise the multi-disciplinary team to promote and implement a care plan across the patient pathway including </w:t>
            </w:r>
            <w:proofErr w:type="gramStart"/>
            <w:r w:rsidRPr="005E5B6D">
              <w:rPr>
                <w:bCs/>
              </w:rPr>
              <w:t>doctors</w:t>
            </w:r>
            <w:proofErr w:type="gramEnd"/>
            <w:r w:rsidRPr="005E5B6D">
              <w:rPr>
                <w:bCs/>
              </w:rPr>
              <w:t xml:space="preserve"> pharmacists, physiologists and allied professions across primary, </w:t>
            </w:r>
            <w:proofErr w:type="spellStart"/>
            <w:r w:rsidRPr="005E5B6D">
              <w:rPr>
                <w:bCs/>
              </w:rPr>
              <w:t>seconday</w:t>
            </w:r>
            <w:proofErr w:type="spellEnd"/>
            <w:r w:rsidRPr="005E5B6D">
              <w:rPr>
                <w:bCs/>
              </w:rPr>
              <w:t xml:space="preserve"> and </w:t>
            </w:r>
            <w:proofErr w:type="spellStart"/>
            <w:r w:rsidRPr="005E5B6D">
              <w:rPr>
                <w:bCs/>
              </w:rPr>
              <w:t>teriary</w:t>
            </w:r>
            <w:proofErr w:type="spellEnd"/>
            <w:r w:rsidRPr="005E5B6D">
              <w:rPr>
                <w:bCs/>
              </w:rPr>
              <w:t xml:space="preserve"> care</w:t>
            </w:r>
          </w:p>
          <w:p w14:paraId="6E55D220" w14:textId="77777777" w:rsidR="005E5B6D" w:rsidRPr="005E5B6D" w:rsidRDefault="005E5B6D" w:rsidP="005E5B6D">
            <w:pPr>
              <w:pStyle w:val="Tabletext"/>
              <w:numPr>
                <w:ilvl w:val="0"/>
                <w:numId w:val="26"/>
              </w:numPr>
              <w:rPr>
                <w:bCs/>
              </w:rPr>
            </w:pPr>
            <w:r w:rsidRPr="005E5B6D">
              <w:rPr>
                <w:bCs/>
              </w:rPr>
              <w:t>All medication change should be monitored after 2 weeks (although this is less important for SGLT2i)</w:t>
            </w:r>
          </w:p>
          <w:p w14:paraId="6D6AF6CE" w14:textId="77777777" w:rsidR="005E5B6D" w:rsidRPr="005E5B6D" w:rsidRDefault="005E5B6D" w:rsidP="005E5B6D">
            <w:pPr>
              <w:pStyle w:val="Tabletext"/>
              <w:numPr>
                <w:ilvl w:val="0"/>
                <w:numId w:val="26"/>
              </w:numPr>
              <w:rPr>
                <w:bCs/>
              </w:rPr>
            </w:pPr>
            <w:r w:rsidRPr="005E5B6D">
              <w:rPr>
                <w:bCs/>
              </w:rPr>
              <w:t xml:space="preserve">Alternative/complementary methods of review should be considered </w:t>
            </w:r>
            <w:proofErr w:type="gramStart"/>
            <w:r w:rsidRPr="005E5B6D">
              <w:rPr>
                <w:bCs/>
              </w:rPr>
              <w:t>e.g.</w:t>
            </w:r>
            <w:proofErr w:type="gramEnd"/>
            <w:r w:rsidRPr="005E5B6D">
              <w:rPr>
                <w:bCs/>
              </w:rPr>
              <w:t xml:space="preserve"> Remote monitoring, digital tools, self-care </w:t>
            </w:r>
          </w:p>
          <w:p w14:paraId="487EE1D4" w14:textId="77777777" w:rsidR="009372E7" w:rsidRDefault="005E5B6D" w:rsidP="005E5B6D">
            <w:pPr>
              <w:pStyle w:val="Tabletext"/>
              <w:rPr>
                <w:bCs/>
              </w:rPr>
            </w:pPr>
            <w:r w:rsidRPr="005E5B6D">
              <w:rPr>
                <w:bCs/>
              </w:rPr>
              <w:t>All patients should have access to palliative and end-of-life care where applicable</w:t>
            </w:r>
          </w:p>
          <w:p w14:paraId="3DA7EAAB" w14:textId="77777777" w:rsidR="005E5B6D" w:rsidRDefault="005E5B6D" w:rsidP="005E5B6D">
            <w:pPr>
              <w:pStyle w:val="Tabletext"/>
              <w:rPr>
                <w:bCs/>
              </w:rPr>
            </w:pPr>
          </w:p>
          <w:p w14:paraId="4028B86A" w14:textId="77777777" w:rsidR="005E5B6D" w:rsidRDefault="005E5B6D" w:rsidP="005E5B6D">
            <w:pPr>
              <w:pStyle w:val="Tabletext"/>
            </w:pPr>
            <w:r>
              <w:lastRenderedPageBreak/>
              <w:t>According to NICE impact report February 2021 only 6% of patients in the community have a care plan.</w:t>
            </w:r>
          </w:p>
          <w:p w14:paraId="7537A37B" w14:textId="77777777" w:rsidR="005E5B6D" w:rsidRDefault="005E5B6D" w:rsidP="005E5B6D">
            <w:pPr>
              <w:pStyle w:val="Tabletext"/>
            </w:pPr>
            <w:r>
              <w:t xml:space="preserve">‘It is recommended that people admitted to hospital with suspected acute heart failure have early and continuing input from a specialist team. This can help to ensure rapid diagnosis and contribute to reduced readmissions and better quality of life. The multidisciplinary team should include specialist nurses and work with the primary care team to develop a care plan, however workforce is an issue and there is a need to recruit more specialist nurses and increase heart failure competencies for all HCPs managing people with heart failure. </w:t>
            </w:r>
          </w:p>
          <w:p w14:paraId="728791E1" w14:textId="77777777" w:rsidR="005E5B6D" w:rsidRDefault="005E5B6D" w:rsidP="005E5B6D">
            <w:pPr>
              <w:pStyle w:val="Tabletext"/>
            </w:pPr>
            <w:r>
              <w:t>Patients with heart failure often have other problems such as diabetes and kidney disease and may end up attending several specialist clinics. The development of new classes of drugs for the treatment of both heart failure and diabetes offers an opportunity to promote a more holistic approach to treatment.</w:t>
            </w:r>
          </w:p>
          <w:p w14:paraId="55F449AA" w14:textId="77777777" w:rsidR="005E5B6D" w:rsidRDefault="005E5B6D" w:rsidP="005E5B6D">
            <w:pPr>
              <w:pStyle w:val="Tabletext"/>
            </w:pPr>
            <w:r>
              <w:t>Long-term care for heart failure patients needs to be fully integrated.</w:t>
            </w:r>
          </w:p>
          <w:p w14:paraId="17BAF260" w14:textId="77777777" w:rsidR="005E5B6D" w:rsidRDefault="005E5B6D" w:rsidP="005E5B6D">
            <w:pPr>
              <w:pStyle w:val="Tabletext"/>
            </w:pPr>
            <w:r>
              <w:t>Again, all medication changes should be monitored within two weeks according to individual patient needs/SmPC either by:</w:t>
            </w:r>
          </w:p>
          <w:p w14:paraId="79F10AC3" w14:textId="77777777" w:rsidR="005E5B6D" w:rsidRDefault="005E5B6D" w:rsidP="005E5B6D">
            <w:pPr>
              <w:pStyle w:val="Tabletext"/>
            </w:pPr>
            <w:r>
              <w:t>a)</w:t>
            </w:r>
            <w:r>
              <w:tab/>
              <w:t>Renal blood test</w:t>
            </w:r>
          </w:p>
          <w:p w14:paraId="2F36DC64" w14:textId="77777777" w:rsidR="005E5B6D" w:rsidRDefault="005E5B6D" w:rsidP="005E5B6D">
            <w:pPr>
              <w:pStyle w:val="Tabletext"/>
            </w:pPr>
            <w:r>
              <w:t>b)</w:t>
            </w:r>
            <w:r>
              <w:tab/>
              <w:t>Patient self-reporting</w:t>
            </w:r>
          </w:p>
          <w:p w14:paraId="66B1C46A" w14:textId="77777777" w:rsidR="005E5B6D" w:rsidRDefault="005E5B6D" w:rsidP="005E5B6D">
            <w:pPr>
              <w:pStyle w:val="Tabletext"/>
            </w:pPr>
            <w:r>
              <w:t>c)</w:t>
            </w:r>
            <w:r>
              <w:tab/>
              <w:t>Remote monitoring/review</w:t>
            </w:r>
          </w:p>
          <w:p w14:paraId="4CC8F96A" w14:textId="77777777" w:rsidR="005E5B6D" w:rsidRDefault="005E5B6D" w:rsidP="005E5B6D">
            <w:pPr>
              <w:pStyle w:val="Tabletext"/>
            </w:pPr>
            <w:r>
              <w:t>d)</w:t>
            </w:r>
            <w:r>
              <w:tab/>
              <w:t xml:space="preserve">Face to face review </w:t>
            </w:r>
          </w:p>
          <w:p w14:paraId="3284DFD4" w14:textId="5515285B" w:rsidR="005E5B6D" w:rsidRPr="00427135" w:rsidRDefault="005E5B6D" w:rsidP="005E5B6D">
            <w:pPr>
              <w:pStyle w:val="Tabletext"/>
            </w:pPr>
            <w:r>
              <w:t>Reference to digital health/self-care apps, remote monitoring and virtual review could be highlighted here to support achieving the standard.</w:t>
            </w:r>
          </w:p>
        </w:tc>
        <w:tc>
          <w:tcPr>
            <w:tcW w:w="3758" w:type="dxa"/>
          </w:tcPr>
          <w:p w14:paraId="2F24C01E" w14:textId="77777777" w:rsidR="005E5B6D" w:rsidRPr="005E5B6D" w:rsidRDefault="005E5B6D" w:rsidP="005E5B6D">
            <w:pPr>
              <w:pStyle w:val="Tabletext"/>
              <w:rPr>
                <w:bCs/>
              </w:rPr>
            </w:pPr>
            <w:r w:rsidRPr="005E5B6D">
              <w:rPr>
                <w:bCs/>
              </w:rPr>
              <w:lastRenderedPageBreak/>
              <w:t>https://www.nice.org.uk/about/what-we-do/into-practice/measuring-the-use-of-nice-guidance/impact-of-our-guidance/nice-impact-cardiovascular-disease-management</w:t>
            </w:r>
          </w:p>
          <w:p w14:paraId="2FEAFF90" w14:textId="77777777" w:rsidR="005E5B6D" w:rsidRPr="005E5B6D" w:rsidRDefault="00AF2CC8" w:rsidP="005E5B6D">
            <w:pPr>
              <w:pStyle w:val="Tabletext"/>
              <w:rPr>
                <w:bCs/>
              </w:rPr>
            </w:pPr>
            <w:hyperlink r:id="rId89" w:anchor=":~:text=The%20Alliance%20for%20Heart%20Failure,and%20four%20per%20100%2C000%20people." w:history="1">
              <w:r w:rsidR="005E5B6D" w:rsidRPr="005E5B6D">
                <w:rPr>
                  <w:rStyle w:val="Hyperlink"/>
                  <w:bCs/>
                </w:rPr>
                <w:t xml:space="preserve">Call for trusts to urgently </w:t>
              </w:r>
              <w:proofErr w:type="gramStart"/>
              <w:r w:rsidR="005E5B6D" w:rsidRPr="005E5B6D">
                <w:rPr>
                  <w:rStyle w:val="Hyperlink"/>
                  <w:bCs/>
                </w:rPr>
                <w:t>increase</w:t>
              </w:r>
              <w:proofErr w:type="gramEnd"/>
              <w:r w:rsidR="005E5B6D" w:rsidRPr="005E5B6D">
                <w:rPr>
                  <w:rStyle w:val="Hyperlink"/>
                  <w:bCs/>
                </w:rPr>
                <w:t xml:space="preserve"> number of heart failure nurses | Nursing Times</w:t>
              </w:r>
            </w:hyperlink>
          </w:p>
          <w:p w14:paraId="655B07C9" w14:textId="77777777" w:rsidR="005E5B6D" w:rsidRPr="005E5B6D" w:rsidRDefault="005E5B6D" w:rsidP="005E5B6D">
            <w:pPr>
              <w:pStyle w:val="Tabletext"/>
              <w:rPr>
                <w:bCs/>
              </w:rPr>
            </w:pPr>
            <w:r w:rsidRPr="005E5B6D">
              <w:rPr>
                <w:bCs/>
              </w:rPr>
              <w:t xml:space="preserve">Jayne Masters </w:t>
            </w:r>
            <w:proofErr w:type="gramStart"/>
            <w:r w:rsidRPr="005E5B6D">
              <w:rPr>
                <w:bCs/>
              </w:rPr>
              <w:t>et al.(</w:t>
            </w:r>
            <w:proofErr w:type="gramEnd"/>
            <w:r w:rsidRPr="005E5B6D">
              <w:rPr>
                <w:bCs/>
              </w:rPr>
              <w:t xml:space="preserve">2019).British Journal of Cardiac increasing the heart failure nursing workforce: recommendations by the British Society for Heart Failure Nurse </w:t>
            </w:r>
            <w:proofErr w:type="spellStart"/>
            <w:r w:rsidRPr="005E5B6D">
              <w:rPr>
                <w:bCs/>
              </w:rPr>
              <w:t>Forum.Published</w:t>
            </w:r>
            <w:proofErr w:type="spellEnd"/>
            <w:r w:rsidRPr="005E5B6D">
              <w:rPr>
                <w:bCs/>
              </w:rPr>
              <w:t xml:space="preserve"> Online:8 Nov2019 </w:t>
            </w:r>
            <w:hyperlink r:id="rId90" w:history="1">
              <w:r w:rsidRPr="005E5B6D">
                <w:rPr>
                  <w:rStyle w:val="Hyperlink"/>
                  <w:bCs/>
                </w:rPr>
                <w:t>https://doi.org/10.12968/bjca.2019.0109</w:t>
              </w:r>
            </w:hyperlink>
          </w:p>
          <w:p w14:paraId="2E8B8A8E" w14:textId="70468701" w:rsidR="009372E7" w:rsidRPr="00427135" w:rsidRDefault="005E5B6D" w:rsidP="005E5B6D">
            <w:pPr>
              <w:pStyle w:val="Tabletext"/>
            </w:pPr>
            <w:r w:rsidRPr="005E5B6D">
              <w:rPr>
                <w:bCs/>
              </w:rPr>
              <w:t>BNF (2022) British National Formulary. National Institute of Health and Care Excellence (NICE). https://bnf.nice.org.uk</w:t>
            </w:r>
          </w:p>
        </w:tc>
      </w:tr>
      <w:tr w:rsidR="005E5B6D" w:rsidRPr="00C92280" w14:paraId="4F21D6F6" w14:textId="77777777" w:rsidTr="00584584">
        <w:trPr>
          <w:trHeight w:val="282"/>
        </w:trPr>
        <w:tc>
          <w:tcPr>
            <w:tcW w:w="562" w:type="dxa"/>
          </w:tcPr>
          <w:p w14:paraId="0C812D22" w14:textId="77777777" w:rsidR="005E5B6D" w:rsidRPr="00F27622" w:rsidRDefault="005E5B6D" w:rsidP="00DE5D03">
            <w:pPr>
              <w:pStyle w:val="Tabletext"/>
              <w:numPr>
                <w:ilvl w:val="0"/>
                <w:numId w:val="21"/>
              </w:numPr>
            </w:pPr>
          </w:p>
        </w:tc>
        <w:tc>
          <w:tcPr>
            <w:tcW w:w="1843" w:type="dxa"/>
          </w:tcPr>
          <w:p w14:paraId="52AD2D25" w14:textId="2B64EFC9" w:rsidR="005E5B6D" w:rsidRPr="00427135" w:rsidRDefault="005E5B6D" w:rsidP="005E5B6D">
            <w:pPr>
              <w:pStyle w:val="Tabletext"/>
            </w:pPr>
            <w:r w:rsidRPr="005E5B6D">
              <w:t>British Society for Heart Failure (BSH)</w:t>
            </w:r>
          </w:p>
        </w:tc>
        <w:tc>
          <w:tcPr>
            <w:tcW w:w="1985" w:type="dxa"/>
          </w:tcPr>
          <w:p w14:paraId="6DB485CD" w14:textId="77777777" w:rsidR="008D2E0C" w:rsidRPr="005E5B6D" w:rsidRDefault="008D2E0C" w:rsidP="008D2E0C">
            <w:pPr>
              <w:pStyle w:val="Tabletext"/>
              <w:rPr>
                <w:b/>
                <w:bCs/>
              </w:rPr>
            </w:pPr>
            <w:r w:rsidRPr="005E5B6D">
              <w:rPr>
                <w:b/>
                <w:bCs/>
              </w:rPr>
              <w:t>Service Delivery</w:t>
            </w:r>
          </w:p>
          <w:p w14:paraId="58A9BC55" w14:textId="417DE868" w:rsidR="005E5B6D" w:rsidRPr="00427135" w:rsidRDefault="008D2E0C" w:rsidP="008D2E0C">
            <w:pPr>
              <w:pStyle w:val="Tabletext"/>
            </w:pPr>
            <w:r w:rsidRPr="005E5B6D">
              <w:t>Care reviews and care plans</w:t>
            </w:r>
          </w:p>
        </w:tc>
        <w:tc>
          <w:tcPr>
            <w:tcW w:w="6520" w:type="dxa"/>
          </w:tcPr>
          <w:p w14:paraId="5F7B1CDA" w14:textId="77777777" w:rsidR="005E5B6D" w:rsidRPr="005E5B6D" w:rsidRDefault="005E5B6D" w:rsidP="005E5B6D">
            <w:pPr>
              <w:pStyle w:val="Tabletext"/>
              <w:rPr>
                <w:bCs/>
              </w:rPr>
            </w:pPr>
            <w:r w:rsidRPr="005E5B6D">
              <w:rPr>
                <w:b/>
                <w:bCs/>
              </w:rPr>
              <w:t>Adults with stable heart failure should receive continuous care, ideally with a review every 6 months in primary care but with ongoing access to specialist advice.</w:t>
            </w:r>
          </w:p>
          <w:p w14:paraId="110ED23B" w14:textId="77777777" w:rsidR="005E5B6D" w:rsidRPr="005E5B6D" w:rsidRDefault="005E5B6D" w:rsidP="005E5B6D">
            <w:pPr>
              <w:pStyle w:val="Tabletext"/>
              <w:rPr>
                <w:bCs/>
              </w:rPr>
            </w:pPr>
          </w:p>
          <w:p w14:paraId="00A3DEA7" w14:textId="77777777" w:rsidR="005E5B6D" w:rsidRPr="005E5B6D" w:rsidRDefault="005E5B6D" w:rsidP="00445535">
            <w:pPr>
              <w:pStyle w:val="Tabletext"/>
              <w:numPr>
                <w:ilvl w:val="0"/>
                <w:numId w:val="26"/>
              </w:numPr>
              <w:rPr>
                <w:bCs/>
              </w:rPr>
            </w:pPr>
            <w:r w:rsidRPr="005E5B6D">
              <w:rPr>
                <w:bCs/>
              </w:rPr>
              <w:t>Responsibility for stable heart failure lies with primary care or community heart failure services</w:t>
            </w:r>
          </w:p>
          <w:p w14:paraId="29A16F81" w14:textId="77777777" w:rsidR="005E5B6D" w:rsidRPr="005E5B6D" w:rsidRDefault="005E5B6D" w:rsidP="00445535">
            <w:pPr>
              <w:pStyle w:val="Tabletext"/>
              <w:numPr>
                <w:ilvl w:val="0"/>
                <w:numId w:val="26"/>
              </w:numPr>
              <w:rPr>
                <w:bCs/>
              </w:rPr>
            </w:pPr>
            <w:r w:rsidRPr="005E5B6D">
              <w:rPr>
                <w:bCs/>
              </w:rPr>
              <w:t>Clear communication channels and access to advice and guidance from specialists for both primary care and patients</w:t>
            </w:r>
          </w:p>
          <w:p w14:paraId="313F829B" w14:textId="77777777" w:rsidR="005E5B6D" w:rsidRPr="005E5B6D" w:rsidRDefault="005E5B6D" w:rsidP="00445535">
            <w:pPr>
              <w:pStyle w:val="Tabletext"/>
              <w:numPr>
                <w:ilvl w:val="0"/>
                <w:numId w:val="26"/>
              </w:numPr>
              <w:rPr>
                <w:bCs/>
              </w:rPr>
            </w:pPr>
            <w:r w:rsidRPr="005E5B6D">
              <w:rPr>
                <w:bCs/>
              </w:rPr>
              <w:t>The Heart Failure MDT should include a GP/primary care/community representative</w:t>
            </w:r>
          </w:p>
          <w:p w14:paraId="6C823202" w14:textId="77777777" w:rsidR="005E5B6D" w:rsidRPr="005E5B6D" w:rsidRDefault="005E5B6D" w:rsidP="00445535">
            <w:pPr>
              <w:pStyle w:val="Tabletext"/>
              <w:numPr>
                <w:ilvl w:val="0"/>
                <w:numId w:val="26"/>
              </w:numPr>
              <w:rPr>
                <w:bCs/>
              </w:rPr>
            </w:pPr>
            <w:r w:rsidRPr="005E5B6D">
              <w:rPr>
                <w:bCs/>
              </w:rPr>
              <w:t xml:space="preserve">An ECG should be performed at least annually, to ensure patients have not become suitable candidates for </w:t>
            </w:r>
            <w:proofErr w:type="spellStart"/>
            <w:proofErr w:type="gramStart"/>
            <w:r w:rsidRPr="005E5B6D">
              <w:rPr>
                <w:bCs/>
              </w:rPr>
              <w:t>CRT,or</w:t>
            </w:r>
            <w:proofErr w:type="spellEnd"/>
            <w:proofErr w:type="gramEnd"/>
            <w:r w:rsidRPr="005E5B6D">
              <w:rPr>
                <w:bCs/>
              </w:rPr>
              <w:t xml:space="preserve"> have developed atrial fibrillation. </w:t>
            </w:r>
          </w:p>
          <w:p w14:paraId="5FA07C51" w14:textId="77777777" w:rsidR="005E5B6D" w:rsidRDefault="005E5B6D" w:rsidP="005E5B6D">
            <w:pPr>
              <w:pStyle w:val="Tabletext"/>
            </w:pPr>
          </w:p>
          <w:p w14:paraId="6C4D1491" w14:textId="77777777" w:rsidR="005E5B6D" w:rsidRDefault="005E5B6D" w:rsidP="005E5B6D">
            <w:pPr>
              <w:pStyle w:val="Tabletext"/>
            </w:pPr>
            <w:r>
              <w:t>This should be specific in terms of:</w:t>
            </w:r>
          </w:p>
          <w:p w14:paraId="641B0099" w14:textId="77777777" w:rsidR="005E5B6D" w:rsidRDefault="005E5B6D" w:rsidP="005E5B6D">
            <w:pPr>
              <w:pStyle w:val="Tabletext"/>
            </w:pPr>
            <w:r>
              <w:t>a)</w:t>
            </w:r>
            <w:r>
              <w:tab/>
              <w:t>Review by HF team</w:t>
            </w:r>
          </w:p>
          <w:p w14:paraId="7AF2EC95" w14:textId="77777777" w:rsidR="005E5B6D" w:rsidRDefault="005E5B6D" w:rsidP="005E5B6D">
            <w:pPr>
              <w:pStyle w:val="Tabletext"/>
            </w:pPr>
            <w:r>
              <w:t>b)</w:t>
            </w:r>
            <w:r>
              <w:tab/>
              <w:t>Primary care provider</w:t>
            </w:r>
          </w:p>
          <w:p w14:paraId="546B0BC2" w14:textId="77777777" w:rsidR="005E5B6D" w:rsidRDefault="005E5B6D" w:rsidP="005E5B6D">
            <w:pPr>
              <w:pStyle w:val="Tabletext"/>
            </w:pPr>
            <w:r>
              <w:t xml:space="preserve">Chronic heart failure in adults: diagnosis and management (NG106) section 1.1.4 </w:t>
            </w:r>
            <w:proofErr w:type="gramStart"/>
            <w:r>
              <w:t>suggests</w:t>
            </w:r>
            <w:proofErr w:type="gramEnd"/>
            <w:r>
              <w:t xml:space="preserve"> this may be a primary care provider as part of a long term condition review. Stable HF patients should be reviewed by Primary care providers with advice and guidance accessible with specialists. </w:t>
            </w:r>
          </w:p>
          <w:p w14:paraId="29AF0697" w14:textId="77777777" w:rsidR="005E5B6D" w:rsidRDefault="005E5B6D" w:rsidP="005E5B6D">
            <w:pPr>
              <w:pStyle w:val="Tabletext"/>
            </w:pPr>
            <w:r>
              <w:t>QOF incentivises for review within last 12 months “HF007 The percentage of patients with a diagnosis of heart failure on the register, who have had a review in the preceding 12 months, including an assessment of functional capacity and a review of medication to ensure medicines optimisation at maximal tolerated doses.”</w:t>
            </w:r>
          </w:p>
          <w:p w14:paraId="71275A3F" w14:textId="3A9CA506" w:rsidR="005E5B6D" w:rsidRPr="00427135" w:rsidRDefault="005E5B6D" w:rsidP="005E5B6D">
            <w:pPr>
              <w:pStyle w:val="Tabletext"/>
            </w:pPr>
            <w:r>
              <w:lastRenderedPageBreak/>
              <w:t>Emphasis on Primary care managing stable heart failure with access to advice and guidance from specialist team. HF becomes unstable and improved pathways with access to specialists is vital in avoiding deterioration and admission to hospital. NICE recommends that a GP be part of the HF MDT.</w:t>
            </w:r>
          </w:p>
        </w:tc>
        <w:tc>
          <w:tcPr>
            <w:tcW w:w="3758" w:type="dxa"/>
          </w:tcPr>
          <w:p w14:paraId="1455D48E" w14:textId="77777777" w:rsidR="00483585" w:rsidRPr="00483585" w:rsidRDefault="00483585" w:rsidP="00483585">
            <w:pPr>
              <w:pStyle w:val="Tabletext"/>
              <w:rPr>
                <w:bCs/>
              </w:rPr>
            </w:pPr>
            <w:r w:rsidRPr="00483585">
              <w:rPr>
                <w:bCs/>
              </w:rPr>
              <w:lastRenderedPageBreak/>
              <w:t>Please see below supporting information regards NICE review guidelines and QOF:</w:t>
            </w:r>
          </w:p>
          <w:p w14:paraId="3BC8061B" w14:textId="77777777" w:rsidR="00483585" w:rsidRPr="00483585" w:rsidRDefault="00AF2CC8" w:rsidP="00483585">
            <w:pPr>
              <w:pStyle w:val="Tabletext"/>
              <w:rPr>
                <w:bCs/>
              </w:rPr>
            </w:pPr>
            <w:hyperlink r:id="rId91" w:history="1">
              <w:r w:rsidR="00483585" w:rsidRPr="00483585">
                <w:rPr>
                  <w:rStyle w:val="Hyperlink"/>
                  <w:bCs/>
                </w:rPr>
                <w:t>Chronic heart failure in adults: diagnosis and management (nice.org.uk)</w:t>
              </w:r>
            </w:hyperlink>
          </w:p>
          <w:p w14:paraId="039F0E55" w14:textId="77777777" w:rsidR="00483585" w:rsidRPr="00483585" w:rsidRDefault="00483585" w:rsidP="00483585">
            <w:pPr>
              <w:pStyle w:val="Tabletext"/>
              <w:rPr>
                <w:bCs/>
              </w:rPr>
            </w:pPr>
          </w:p>
          <w:p w14:paraId="07F5822A" w14:textId="77777777" w:rsidR="00483585" w:rsidRPr="00483585" w:rsidRDefault="00483585" w:rsidP="00483585">
            <w:pPr>
              <w:pStyle w:val="Tabletext"/>
              <w:rPr>
                <w:bCs/>
              </w:rPr>
            </w:pPr>
          </w:p>
          <w:p w14:paraId="708F29F8" w14:textId="77777777" w:rsidR="00483585" w:rsidRPr="00483585" w:rsidRDefault="00AF2CC8" w:rsidP="00483585">
            <w:pPr>
              <w:pStyle w:val="Tabletext"/>
              <w:rPr>
                <w:bCs/>
              </w:rPr>
            </w:pPr>
            <w:hyperlink r:id="rId92" w:history="1">
              <w:r w:rsidR="00483585" w:rsidRPr="00483585">
                <w:rPr>
                  <w:rStyle w:val="Hyperlink"/>
                  <w:bCs/>
                </w:rPr>
                <w:t>https://cks.nice.org.uk/topics/heart-failure-chronic/goals-outcome-measures/qof-indicators/</w:t>
              </w:r>
            </w:hyperlink>
            <w:r w:rsidR="00483585" w:rsidRPr="00483585">
              <w:rPr>
                <w:bCs/>
              </w:rPr>
              <w:t xml:space="preserve"> </w:t>
            </w:r>
          </w:p>
          <w:p w14:paraId="0DBE0DBD" w14:textId="77777777" w:rsidR="005E5B6D" w:rsidRPr="00427135" w:rsidRDefault="005E5B6D" w:rsidP="005E5B6D">
            <w:pPr>
              <w:pStyle w:val="Tabletext"/>
            </w:pPr>
          </w:p>
        </w:tc>
      </w:tr>
      <w:tr w:rsidR="005E5B6D" w:rsidRPr="00C92280" w14:paraId="3429F8A2" w14:textId="77777777" w:rsidTr="00584584">
        <w:trPr>
          <w:trHeight w:val="282"/>
        </w:trPr>
        <w:tc>
          <w:tcPr>
            <w:tcW w:w="562" w:type="dxa"/>
          </w:tcPr>
          <w:p w14:paraId="498ADD46" w14:textId="77777777" w:rsidR="005E5B6D" w:rsidRPr="00F27622" w:rsidRDefault="005E5B6D" w:rsidP="00DE5D03">
            <w:pPr>
              <w:pStyle w:val="Tabletext"/>
              <w:numPr>
                <w:ilvl w:val="0"/>
                <w:numId w:val="21"/>
              </w:numPr>
            </w:pPr>
          </w:p>
        </w:tc>
        <w:tc>
          <w:tcPr>
            <w:tcW w:w="1843" w:type="dxa"/>
          </w:tcPr>
          <w:p w14:paraId="6F5796FA" w14:textId="1CCE9845" w:rsidR="005E5B6D" w:rsidRPr="00427135" w:rsidRDefault="00483585" w:rsidP="005E5B6D">
            <w:pPr>
              <w:pStyle w:val="Tabletext"/>
            </w:pPr>
            <w:r>
              <w:t>SCM2</w:t>
            </w:r>
          </w:p>
        </w:tc>
        <w:tc>
          <w:tcPr>
            <w:tcW w:w="1985" w:type="dxa"/>
          </w:tcPr>
          <w:p w14:paraId="64EA5252" w14:textId="77777777" w:rsidR="008D2E0C" w:rsidRPr="005E5B6D" w:rsidRDefault="008D2E0C" w:rsidP="008D2E0C">
            <w:pPr>
              <w:pStyle w:val="Tabletext"/>
              <w:rPr>
                <w:b/>
                <w:bCs/>
              </w:rPr>
            </w:pPr>
            <w:r w:rsidRPr="005E5B6D">
              <w:rPr>
                <w:b/>
                <w:bCs/>
              </w:rPr>
              <w:t>Service Delivery</w:t>
            </w:r>
          </w:p>
          <w:p w14:paraId="0E47D8C7" w14:textId="0C64F14E" w:rsidR="005E5B6D" w:rsidRPr="00427135" w:rsidRDefault="008D2E0C" w:rsidP="008D2E0C">
            <w:pPr>
              <w:pStyle w:val="Tabletext"/>
            </w:pPr>
            <w:r w:rsidRPr="005E5B6D">
              <w:t>Care reviews and care plans</w:t>
            </w:r>
          </w:p>
        </w:tc>
        <w:tc>
          <w:tcPr>
            <w:tcW w:w="6520" w:type="dxa"/>
          </w:tcPr>
          <w:p w14:paraId="0F818E6D" w14:textId="77777777" w:rsidR="00483585" w:rsidRPr="00483585" w:rsidRDefault="00483585" w:rsidP="00483585">
            <w:pPr>
              <w:pStyle w:val="Tabletext"/>
              <w:numPr>
                <w:ilvl w:val="0"/>
                <w:numId w:val="22"/>
              </w:numPr>
              <w:rPr>
                <w:b/>
              </w:rPr>
            </w:pPr>
            <w:r w:rsidRPr="00483585">
              <w:rPr>
                <w:b/>
              </w:rPr>
              <w:t xml:space="preserve">QS5 Adults with stable chronic heart failure have a review of their condition at least every 6 months in Primary care with access to specialist advice and guidance. </w:t>
            </w:r>
          </w:p>
          <w:p w14:paraId="7841ACB5" w14:textId="77777777" w:rsidR="00483585" w:rsidRPr="00483585" w:rsidRDefault="00483585" w:rsidP="00483585">
            <w:pPr>
              <w:pStyle w:val="Tabletext"/>
              <w:numPr>
                <w:ilvl w:val="0"/>
                <w:numId w:val="22"/>
              </w:numPr>
            </w:pPr>
          </w:p>
          <w:p w14:paraId="0A8B960A" w14:textId="77777777" w:rsidR="00483585" w:rsidRPr="00483585" w:rsidRDefault="00483585" w:rsidP="00483585">
            <w:pPr>
              <w:pStyle w:val="Tabletext"/>
              <w:numPr>
                <w:ilvl w:val="0"/>
                <w:numId w:val="26"/>
              </w:numPr>
            </w:pPr>
            <w:r w:rsidRPr="00483585">
              <w:t xml:space="preserve">Explicit regards responsibility for review – stable HF primary care </w:t>
            </w:r>
          </w:p>
          <w:p w14:paraId="2807C1E5" w14:textId="77777777" w:rsidR="00483585" w:rsidRPr="00483585" w:rsidRDefault="00483585" w:rsidP="00483585">
            <w:pPr>
              <w:pStyle w:val="Tabletext"/>
              <w:numPr>
                <w:ilvl w:val="0"/>
                <w:numId w:val="26"/>
              </w:numPr>
            </w:pPr>
            <w:r w:rsidRPr="00483585">
              <w:t>Access to advice and guidance from specialists</w:t>
            </w:r>
          </w:p>
          <w:p w14:paraId="4CA633E0" w14:textId="77777777" w:rsidR="00483585" w:rsidRPr="00483585" w:rsidRDefault="00483585" w:rsidP="00483585">
            <w:pPr>
              <w:pStyle w:val="Tabletext"/>
              <w:numPr>
                <w:ilvl w:val="0"/>
                <w:numId w:val="26"/>
              </w:numPr>
            </w:pPr>
            <w:proofErr w:type="gramStart"/>
            <w:r w:rsidRPr="00483585">
              <w:t>GP’s</w:t>
            </w:r>
            <w:proofErr w:type="gramEnd"/>
            <w:r w:rsidRPr="00483585">
              <w:t xml:space="preserve"> should be part of the HF MDT  </w:t>
            </w:r>
          </w:p>
          <w:p w14:paraId="1F20EF5E" w14:textId="77777777" w:rsidR="00483585" w:rsidRPr="00483585" w:rsidRDefault="00483585" w:rsidP="00483585">
            <w:pPr>
              <w:pStyle w:val="Tabletext"/>
              <w:numPr>
                <w:ilvl w:val="0"/>
                <w:numId w:val="26"/>
              </w:numPr>
            </w:pPr>
            <w:r w:rsidRPr="00483585">
              <w:rPr>
                <w:b/>
              </w:rPr>
              <w:t xml:space="preserve">All </w:t>
            </w:r>
            <w:r w:rsidRPr="00483585">
              <w:t>HF patients must have a care plan from specialist team. Any changes recorded and reported back across MDT</w:t>
            </w:r>
          </w:p>
          <w:p w14:paraId="4D8BBE91" w14:textId="77777777" w:rsidR="00483585" w:rsidRPr="00483585" w:rsidRDefault="00483585" w:rsidP="00483585">
            <w:pPr>
              <w:pStyle w:val="Tabletext"/>
              <w:numPr>
                <w:ilvl w:val="0"/>
                <w:numId w:val="26"/>
              </w:numPr>
            </w:pPr>
            <w:r w:rsidRPr="00483585">
              <w:t xml:space="preserve">Care plans should reflect all stages of disease progression and from diagnosis to end of life care. It should include reference to psychological wellbeing and functional </w:t>
            </w:r>
            <w:proofErr w:type="spellStart"/>
            <w:proofErr w:type="gramStart"/>
            <w:r w:rsidRPr="00483585">
              <w:t>status.The</w:t>
            </w:r>
            <w:proofErr w:type="spellEnd"/>
            <w:proofErr w:type="gramEnd"/>
            <w:r w:rsidRPr="00483585">
              <w:t xml:space="preserve"> care plan should be shared with all appropriate care providers with patient consent. </w:t>
            </w:r>
          </w:p>
          <w:p w14:paraId="7FE02E1F" w14:textId="77777777" w:rsidR="00483585" w:rsidRDefault="00483585" w:rsidP="00483585">
            <w:pPr>
              <w:pStyle w:val="Tabletext"/>
            </w:pPr>
            <w:r>
              <w:t>This should be specific in terms of:</w:t>
            </w:r>
          </w:p>
          <w:p w14:paraId="565668CD" w14:textId="77777777" w:rsidR="00483585" w:rsidRDefault="00483585" w:rsidP="00483585">
            <w:pPr>
              <w:pStyle w:val="Tabletext"/>
            </w:pPr>
            <w:r>
              <w:t>a)</w:t>
            </w:r>
            <w:r>
              <w:tab/>
              <w:t>Review by HF team</w:t>
            </w:r>
          </w:p>
          <w:p w14:paraId="4BFF5EF5" w14:textId="77777777" w:rsidR="00483585" w:rsidRDefault="00483585" w:rsidP="00483585">
            <w:pPr>
              <w:pStyle w:val="Tabletext"/>
            </w:pPr>
            <w:r>
              <w:t>b)</w:t>
            </w:r>
            <w:r>
              <w:tab/>
              <w:t>Primary care provider</w:t>
            </w:r>
          </w:p>
          <w:p w14:paraId="1EEAB8B8" w14:textId="77777777" w:rsidR="00483585" w:rsidRDefault="00483585" w:rsidP="00483585">
            <w:pPr>
              <w:pStyle w:val="Tabletext"/>
            </w:pPr>
            <w:r>
              <w:t xml:space="preserve">Chronic heart failure in adults: diagnosis and management (NG106) section 1.1.4 </w:t>
            </w:r>
            <w:proofErr w:type="gramStart"/>
            <w:r>
              <w:t>suggests</w:t>
            </w:r>
            <w:proofErr w:type="gramEnd"/>
            <w:r>
              <w:t xml:space="preserve"> this may be a primary care provider as part of a long term condition review. Stable HF </w:t>
            </w:r>
            <w:r>
              <w:lastRenderedPageBreak/>
              <w:t xml:space="preserve">patients should be reviewed by Primary care providers with advice and guidance accessible with </w:t>
            </w:r>
            <w:proofErr w:type="spellStart"/>
            <w:r>
              <w:t>specilaists</w:t>
            </w:r>
            <w:proofErr w:type="spellEnd"/>
            <w:r>
              <w:t xml:space="preserve">. </w:t>
            </w:r>
          </w:p>
          <w:p w14:paraId="2DBD2AE9" w14:textId="77777777" w:rsidR="00483585" w:rsidRDefault="00483585" w:rsidP="00483585">
            <w:pPr>
              <w:pStyle w:val="Tabletext"/>
            </w:pPr>
            <w:r>
              <w:t xml:space="preserve">QOF incentivises for review within last 12 months “HF007 The percentage of patients with a diagnosis of heart failure on the register, who have had a review in the preceding 12 months, including an assessment of functional capacity and a review of medication to ensure medicines optimisation at maximal tolerated </w:t>
            </w:r>
            <w:proofErr w:type="gramStart"/>
            <w:r>
              <w:t>doses ”</w:t>
            </w:r>
            <w:proofErr w:type="gramEnd"/>
            <w:r>
              <w:t xml:space="preserve"> This sits outside of the recommendation from NICE. </w:t>
            </w:r>
          </w:p>
          <w:p w14:paraId="4D23EBBC" w14:textId="77777777" w:rsidR="00483585" w:rsidRDefault="00483585" w:rsidP="00483585">
            <w:pPr>
              <w:pStyle w:val="Tabletext"/>
            </w:pPr>
            <w:r>
              <w:t xml:space="preserve">Emphasis on Primary care managing stable heart failure with access to advice and guidance from specialist team. HF becomes unstable and improved pathways with access to specialists is vital in avoiding deterioration and admission to hospital. NICE recommends that a GP be part of the HF MDT. </w:t>
            </w:r>
          </w:p>
          <w:p w14:paraId="34072B8C" w14:textId="761762E3" w:rsidR="005E5B6D" w:rsidRPr="00427135" w:rsidRDefault="00483585" w:rsidP="00483585">
            <w:pPr>
              <w:pStyle w:val="Tabletext"/>
            </w:pPr>
            <w:r>
              <w:t>NICE makes a recommendation for patient care plan from the specialist team (1.1.7, 1.1.8, 1.1.9). Any changes to the care plan should be reported back to the specialist team to avoid deterioration in symptoms and prevent admission to hospital.</w:t>
            </w:r>
          </w:p>
        </w:tc>
        <w:tc>
          <w:tcPr>
            <w:tcW w:w="3758" w:type="dxa"/>
          </w:tcPr>
          <w:p w14:paraId="31EFAA94" w14:textId="77777777" w:rsidR="00483585" w:rsidRPr="00483585" w:rsidRDefault="00483585" w:rsidP="00DE5D03">
            <w:pPr>
              <w:pStyle w:val="Tabletext"/>
            </w:pPr>
            <w:r w:rsidRPr="00483585">
              <w:lastRenderedPageBreak/>
              <w:t>Please see below supporting information regards NICE review guidelines and QOF:</w:t>
            </w:r>
          </w:p>
          <w:p w14:paraId="526FB7FF" w14:textId="77777777" w:rsidR="00483585" w:rsidRPr="00483585" w:rsidRDefault="00AF2CC8" w:rsidP="00DE5D03">
            <w:pPr>
              <w:pStyle w:val="Tabletext"/>
            </w:pPr>
            <w:hyperlink r:id="rId93" w:history="1">
              <w:r w:rsidR="00483585" w:rsidRPr="00483585">
                <w:rPr>
                  <w:rStyle w:val="Hyperlink"/>
                </w:rPr>
                <w:t>Chronic heart failure in adults: diagnosis and management (nice.org.uk)</w:t>
              </w:r>
            </w:hyperlink>
          </w:p>
          <w:p w14:paraId="4E731244" w14:textId="77777777" w:rsidR="00483585" w:rsidRPr="00483585" w:rsidRDefault="00483585" w:rsidP="00DE5D03">
            <w:pPr>
              <w:pStyle w:val="Tabletext"/>
            </w:pPr>
          </w:p>
          <w:p w14:paraId="2F90A3FB" w14:textId="77777777" w:rsidR="00483585" w:rsidRPr="00483585" w:rsidRDefault="00AF2CC8" w:rsidP="00DE5D03">
            <w:pPr>
              <w:pStyle w:val="Tabletext"/>
            </w:pPr>
            <w:hyperlink r:id="rId94" w:history="1">
              <w:r w:rsidR="00483585" w:rsidRPr="00483585">
                <w:rPr>
                  <w:rStyle w:val="Hyperlink"/>
                </w:rPr>
                <w:t>https://cks.nice.org.uk/topics/heart-failure-chronic/goals-outcome-measures/qof-indicators/</w:t>
              </w:r>
            </w:hyperlink>
            <w:r w:rsidR="00483585" w:rsidRPr="00483585">
              <w:t xml:space="preserve"> </w:t>
            </w:r>
          </w:p>
          <w:p w14:paraId="121E6C35" w14:textId="77777777" w:rsidR="005E5B6D" w:rsidRPr="00427135" w:rsidRDefault="005E5B6D" w:rsidP="005E5B6D">
            <w:pPr>
              <w:pStyle w:val="Tabletext"/>
            </w:pPr>
          </w:p>
        </w:tc>
      </w:tr>
      <w:tr w:rsidR="005E5B6D" w:rsidRPr="00C92280" w14:paraId="6D5E2507" w14:textId="77777777" w:rsidTr="00584584">
        <w:trPr>
          <w:trHeight w:val="282"/>
        </w:trPr>
        <w:tc>
          <w:tcPr>
            <w:tcW w:w="562" w:type="dxa"/>
          </w:tcPr>
          <w:p w14:paraId="3FC3B1F6" w14:textId="77777777" w:rsidR="005E5B6D" w:rsidRPr="00F27622" w:rsidRDefault="005E5B6D" w:rsidP="00DE5D03">
            <w:pPr>
              <w:pStyle w:val="Tabletext"/>
              <w:numPr>
                <w:ilvl w:val="0"/>
                <w:numId w:val="21"/>
              </w:numPr>
            </w:pPr>
          </w:p>
        </w:tc>
        <w:tc>
          <w:tcPr>
            <w:tcW w:w="1843" w:type="dxa"/>
          </w:tcPr>
          <w:p w14:paraId="518F0D92" w14:textId="540FF4F5" w:rsidR="005E5B6D" w:rsidRPr="00427135" w:rsidRDefault="007D4749" w:rsidP="005E5B6D">
            <w:pPr>
              <w:pStyle w:val="Tabletext"/>
            </w:pPr>
            <w:r w:rsidRPr="007D4749">
              <w:t>NHSE</w:t>
            </w:r>
          </w:p>
        </w:tc>
        <w:tc>
          <w:tcPr>
            <w:tcW w:w="1985" w:type="dxa"/>
          </w:tcPr>
          <w:p w14:paraId="053EA6ED" w14:textId="77777777" w:rsidR="008D2E0C" w:rsidRPr="005E5B6D" w:rsidRDefault="008D2E0C" w:rsidP="008D2E0C">
            <w:pPr>
              <w:pStyle w:val="Tabletext"/>
              <w:rPr>
                <w:b/>
                <w:bCs/>
              </w:rPr>
            </w:pPr>
            <w:r w:rsidRPr="005E5B6D">
              <w:rPr>
                <w:b/>
                <w:bCs/>
              </w:rPr>
              <w:t>Service Delivery</w:t>
            </w:r>
          </w:p>
          <w:p w14:paraId="780886C2" w14:textId="4F969349" w:rsidR="005E5B6D" w:rsidRPr="00427135" w:rsidRDefault="008D2E0C" w:rsidP="008D2E0C">
            <w:pPr>
              <w:pStyle w:val="Tabletext"/>
            </w:pPr>
            <w:r w:rsidRPr="005E5B6D">
              <w:t>Care reviews and care plans</w:t>
            </w:r>
          </w:p>
        </w:tc>
        <w:tc>
          <w:tcPr>
            <w:tcW w:w="6520" w:type="dxa"/>
          </w:tcPr>
          <w:p w14:paraId="4FE1C5DB" w14:textId="77777777" w:rsidR="005E5B6D" w:rsidRDefault="007D4749" w:rsidP="005E5B6D">
            <w:pPr>
              <w:pStyle w:val="Tabletext"/>
            </w:pPr>
            <w:r w:rsidRPr="007D4749">
              <w:t xml:space="preserve">Patients reviewed 6 monthly to include optimisation, education, </w:t>
            </w:r>
            <w:proofErr w:type="spellStart"/>
            <w:r w:rsidRPr="007D4749">
              <w:t>self care</w:t>
            </w:r>
            <w:proofErr w:type="spellEnd"/>
          </w:p>
          <w:p w14:paraId="3933E222" w14:textId="4EABCF52" w:rsidR="007D4749" w:rsidRPr="00427135" w:rsidRDefault="007D4749" w:rsidP="005E5B6D">
            <w:pPr>
              <w:pStyle w:val="Tabletext"/>
            </w:pPr>
            <w:r w:rsidRPr="007D4749">
              <w:t>Patients are not robustly followed up in primary care</w:t>
            </w:r>
          </w:p>
        </w:tc>
        <w:tc>
          <w:tcPr>
            <w:tcW w:w="3758" w:type="dxa"/>
          </w:tcPr>
          <w:p w14:paraId="1676F9E9" w14:textId="77777777" w:rsidR="005E5B6D" w:rsidRPr="00427135" w:rsidRDefault="005E5B6D" w:rsidP="005E5B6D">
            <w:pPr>
              <w:pStyle w:val="Tabletext"/>
            </w:pPr>
          </w:p>
        </w:tc>
      </w:tr>
      <w:tr w:rsidR="005E5B6D" w:rsidRPr="00C92280" w14:paraId="7335D8B7" w14:textId="77777777" w:rsidTr="00584584">
        <w:trPr>
          <w:trHeight w:val="282"/>
        </w:trPr>
        <w:tc>
          <w:tcPr>
            <w:tcW w:w="562" w:type="dxa"/>
          </w:tcPr>
          <w:p w14:paraId="28C85FBA" w14:textId="77777777" w:rsidR="005E5B6D" w:rsidRPr="00F27622" w:rsidRDefault="005E5B6D" w:rsidP="00DE5D03">
            <w:pPr>
              <w:pStyle w:val="Tabletext"/>
              <w:numPr>
                <w:ilvl w:val="0"/>
                <w:numId w:val="21"/>
              </w:numPr>
            </w:pPr>
          </w:p>
        </w:tc>
        <w:tc>
          <w:tcPr>
            <w:tcW w:w="1843" w:type="dxa"/>
          </w:tcPr>
          <w:p w14:paraId="2A0D3332" w14:textId="35F896F4" w:rsidR="005E5B6D" w:rsidRPr="00427135" w:rsidRDefault="007D4749" w:rsidP="005E5B6D">
            <w:pPr>
              <w:pStyle w:val="Tabletext"/>
            </w:pPr>
            <w:r>
              <w:t>NHSE</w:t>
            </w:r>
          </w:p>
        </w:tc>
        <w:tc>
          <w:tcPr>
            <w:tcW w:w="1985" w:type="dxa"/>
          </w:tcPr>
          <w:p w14:paraId="16611D33" w14:textId="77777777" w:rsidR="008D2E0C" w:rsidRPr="005E5B6D" w:rsidRDefault="008D2E0C" w:rsidP="008D2E0C">
            <w:pPr>
              <w:pStyle w:val="Tabletext"/>
              <w:rPr>
                <w:b/>
                <w:bCs/>
              </w:rPr>
            </w:pPr>
            <w:r w:rsidRPr="005E5B6D">
              <w:rPr>
                <w:b/>
                <w:bCs/>
              </w:rPr>
              <w:t>Service Delivery</w:t>
            </w:r>
          </w:p>
          <w:p w14:paraId="5771C9B9" w14:textId="26A9EB7F" w:rsidR="005E5B6D" w:rsidRPr="00427135" w:rsidRDefault="008D2E0C" w:rsidP="008D2E0C">
            <w:pPr>
              <w:pStyle w:val="Tabletext"/>
            </w:pPr>
            <w:r w:rsidRPr="005E5B6D">
              <w:t>Care reviews and care plans</w:t>
            </w:r>
          </w:p>
        </w:tc>
        <w:tc>
          <w:tcPr>
            <w:tcW w:w="6520" w:type="dxa"/>
          </w:tcPr>
          <w:p w14:paraId="7A6032F3" w14:textId="77777777" w:rsidR="005E5B6D" w:rsidRDefault="007D4749" w:rsidP="005E5B6D">
            <w:pPr>
              <w:pStyle w:val="Tabletext"/>
            </w:pPr>
            <w:r w:rsidRPr="007D4749">
              <w:t>Patients who are severely frail [cfs7-9] or EOL to have individualised care plan</w:t>
            </w:r>
            <w:r>
              <w:t>.</w:t>
            </w:r>
          </w:p>
          <w:p w14:paraId="2081E8B7" w14:textId="199CCE88" w:rsidR="007D4749" w:rsidRPr="00427135" w:rsidRDefault="007D4749" w:rsidP="005E5B6D">
            <w:pPr>
              <w:pStyle w:val="Tabletext"/>
            </w:pPr>
            <w:r w:rsidRPr="007D4749">
              <w:t>Patients may be better cared for in the community.</w:t>
            </w:r>
          </w:p>
        </w:tc>
        <w:tc>
          <w:tcPr>
            <w:tcW w:w="3758" w:type="dxa"/>
          </w:tcPr>
          <w:p w14:paraId="32C96509" w14:textId="77777777" w:rsidR="005E5B6D" w:rsidRPr="00427135" w:rsidRDefault="005E5B6D" w:rsidP="005E5B6D">
            <w:pPr>
              <w:pStyle w:val="Tabletext"/>
            </w:pPr>
          </w:p>
        </w:tc>
      </w:tr>
      <w:tr w:rsidR="005E5B6D" w:rsidRPr="00C92280" w14:paraId="78C763F4" w14:textId="77777777" w:rsidTr="00584584">
        <w:trPr>
          <w:trHeight w:val="282"/>
        </w:trPr>
        <w:tc>
          <w:tcPr>
            <w:tcW w:w="562" w:type="dxa"/>
          </w:tcPr>
          <w:p w14:paraId="0DD1CC24" w14:textId="77777777" w:rsidR="005E5B6D" w:rsidRPr="00F27622" w:rsidRDefault="005E5B6D" w:rsidP="00DE5D03">
            <w:pPr>
              <w:pStyle w:val="Tabletext"/>
              <w:numPr>
                <w:ilvl w:val="0"/>
                <w:numId w:val="21"/>
              </w:numPr>
            </w:pPr>
          </w:p>
        </w:tc>
        <w:tc>
          <w:tcPr>
            <w:tcW w:w="1843" w:type="dxa"/>
          </w:tcPr>
          <w:p w14:paraId="4491450A" w14:textId="458E828C" w:rsidR="005E5B6D" w:rsidRPr="00427135" w:rsidRDefault="007D4749" w:rsidP="005E5B6D">
            <w:pPr>
              <w:pStyle w:val="Tabletext"/>
            </w:pPr>
            <w:r>
              <w:t>SCM4</w:t>
            </w:r>
          </w:p>
        </w:tc>
        <w:tc>
          <w:tcPr>
            <w:tcW w:w="1985" w:type="dxa"/>
          </w:tcPr>
          <w:p w14:paraId="5BC7F188" w14:textId="77777777" w:rsidR="008D2E0C" w:rsidRPr="005E5B6D" w:rsidRDefault="008D2E0C" w:rsidP="008D2E0C">
            <w:pPr>
              <w:pStyle w:val="Tabletext"/>
              <w:rPr>
                <w:b/>
                <w:bCs/>
              </w:rPr>
            </w:pPr>
            <w:r w:rsidRPr="005E5B6D">
              <w:rPr>
                <w:b/>
                <w:bCs/>
              </w:rPr>
              <w:t>Service Delivery</w:t>
            </w:r>
          </w:p>
          <w:p w14:paraId="141260CF" w14:textId="2089D91B" w:rsidR="005E5B6D" w:rsidRPr="00427135" w:rsidRDefault="008D2E0C" w:rsidP="008D2E0C">
            <w:pPr>
              <w:pStyle w:val="Tabletext"/>
            </w:pPr>
            <w:r w:rsidRPr="005E5B6D">
              <w:t>Care reviews and care plans</w:t>
            </w:r>
          </w:p>
        </w:tc>
        <w:tc>
          <w:tcPr>
            <w:tcW w:w="6520" w:type="dxa"/>
          </w:tcPr>
          <w:p w14:paraId="6CB11EFB" w14:textId="3E8F943A" w:rsidR="005E5B6D" w:rsidRPr="00427135" w:rsidRDefault="007D4749" w:rsidP="005E5B6D">
            <w:pPr>
              <w:pStyle w:val="Tabletext"/>
            </w:pPr>
            <w:r w:rsidRPr="007D4749">
              <w:t xml:space="preserve">Due to the acknowledged variation of HF service provision, to ensure quality and consistency which directly impacts patient outcomes, care plans should be recognised as a key part of the revised Quality Standards. Every patient with heart failure should have a care plan. This would ensure that all members of the patient’s healthcare team, play an active part and </w:t>
            </w:r>
            <w:r w:rsidRPr="007D4749">
              <w:lastRenderedPageBreak/>
              <w:t>understand the patient’s current clinical picture. A care plan for heart failure must also be written so that it is understandable for the patient and or the carer or family member. A care plan shared with the patient, carer and or family member may help to improve the patient’s ability to self-manage and self-care along with better communication between patient and family and their healthcare team. For the HCP’s it distributes knowledge between and specialist and generalist.</w:t>
            </w:r>
          </w:p>
        </w:tc>
        <w:tc>
          <w:tcPr>
            <w:tcW w:w="3758" w:type="dxa"/>
          </w:tcPr>
          <w:p w14:paraId="61FE6DCE" w14:textId="3FB63F19" w:rsidR="005E5B6D" w:rsidRPr="00427135" w:rsidRDefault="00AF2CC8" w:rsidP="005E5B6D">
            <w:pPr>
              <w:pStyle w:val="Tabletext"/>
            </w:pPr>
            <w:hyperlink r:id="rId95" w:anchor="giving-information-to-people-with-heart-failure" w:history="1">
              <w:r w:rsidR="007D4749" w:rsidRPr="007D4749">
                <w:rPr>
                  <w:rStyle w:val="Hyperlink"/>
                </w:rPr>
                <w:t>https://www.nice.org.uk/guidance/ng106/chapter/Recommendations#giving-information-to-people-with-heart-failure</w:t>
              </w:r>
            </w:hyperlink>
            <w:r w:rsidR="007D4749" w:rsidRPr="007D4749">
              <w:t xml:space="preserve"> 1.17</w:t>
            </w:r>
          </w:p>
        </w:tc>
      </w:tr>
      <w:tr w:rsidR="005E5B6D" w:rsidRPr="00C92280" w14:paraId="5C428895" w14:textId="77777777" w:rsidTr="00584584">
        <w:trPr>
          <w:trHeight w:val="282"/>
        </w:trPr>
        <w:tc>
          <w:tcPr>
            <w:tcW w:w="562" w:type="dxa"/>
          </w:tcPr>
          <w:p w14:paraId="003C18D4" w14:textId="77777777" w:rsidR="005E5B6D" w:rsidRPr="00F27622" w:rsidRDefault="005E5B6D" w:rsidP="00DE5D03">
            <w:pPr>
              <w:pStyle w:val="Tabletext"/>
              <w:numPr>
                <w:ilvl w:val="0"/>
                <w:numId w:val="21"/>
              </w:numPr>
            </w:pPr>
          </w:p>
        </w:tc>
        <w:tc>
          <w:tcPr>
            <w:tcW w:w="1843" w:type="dxa"/>
          </w:tcPr>
          <w:p w14:paraId="1C91307E" w14:textId="62DE9FA0" w:rsidR="005E5B6D" w:rsidRPr="00427135" w:rsidRDefault="007D4749" w:rsidP="005E5B6D">
            <w:pPr>
              <w:pStyle w:val="Tabletext"/>
            </w:pPr>
            <w:r>
              <w:t>SCM5</w:t>
            </w:r>
          </w:p>
        </w:tc>
        <w:tc>
          <w:tcPr>
            <w:tcW w:w="1985" w:type="dxa"/>
          </w:tcPr>
          <w:p w14:paraId="6DD3BD46" w14:textId="77777777" w:rsidR="008D2E0C" w:rsidRPr="005E5B6D" w:rsidRDefault="008D2E0C" w:rsidP="008D2E0C">
            <w:pPr>
              <w:pStyle w:val="Tabletext"/>
              <w:rPr>
                <w:b/>
                <w:bCs/>
              </w:rPr>
            </w:pPr>
            <w:r w:rsidRPr="005E5B6D">
              <w:rPr>
                <w:b/>
                <w:bCs/>
              </w:rPr>
              <w:t>Service Delivery</w:t>
            </w:r>
          </w:p>
          <w:p w14:paraId="08FE2373" w14:textId="6F110BA8" w:rsidR="005E5B6D" w:rsidRPr="00427135" w:rsidRDefault="008D2E0C" w:rsidP="008D2E0C">
            <w:pPr>
              <w:pStyle w:val="Tabletext"/>
            </w:pPr>
            <w:r w:rsidRPr="005E5B6D">
              <w:t>Care reviews and care plans</w:t>
            </w:r>
          </w:p>
        </w:tc>
        <w:tc>
          <w:tcPr>
            <w:tcW w:w="6520" w:type="dxa"/>
          </w:tcPr>
          <w:p w14:paraId="2BF4CDAB" w14:textId="77777777" w:rsidR="005E5B6D" w:rsidRDefault="007D4749" w:rsidP="005E5B6D">
            <w:pPr>
              <w:pStyle w:val="Tabletext"/>
            </w:pPr>
            <w:r w:rsidRPr="007D4749">
              <w:t>Post discharge review within 2 weeks</w:t>
            </w:r>
          </w:p>
          <w:p w14:paraId="2E553996" w14:textId="77777777" w:rsidR="007D4749" w:rsidRDefault="007D4749" w:rsidP="007D4749">
            <w:pPr>
              <w:pStyle w:val="Tabletext"/>
            </w:pPr>
            <w:r>
              <w:t xml:space="preserve">Heart failure has a high post-discharge mortality, and since up to 80% of patients get their heart failure diagnosis in hospital the post discharge clinic is effectively the start of the chronic HF pathway for most patients. </w:t>
            </w:r>
          </w:p>
          <w:p w14:paraId="168F061D" w14:textId="77777777" w:rsidR="007D4749" w:rsidRDefault="007D4749" w:rsidP="007D4749">
            <w:pPr>
              <w:pStyle w:val="Tabletext"/>
            </w:pPr>
            <w:r>
              <w:t xml:space="preserve">Specialist input early post discharge reduces rehospitalisation risk.   </w:t>
            </w:r>
          </w:p>
          <w:p w14:paraId="34E7853B" w14:textId="07EA391E" w:rsidR="007D4749" w:rsidRPr="00427135" w:rsidRDefault="007D4749" w:rsidP="007D4749">
            <w:pPr>
              <w:pStyle w:val="Tabletext"/>
            </w:pPr>
            <w:r>
              <w:t xml:space="preserve">But we know from NICOR that the percentage of patients being followed at this </w:t>
            </w:r>
            <w:proofErr w:type="gramStart"/>
            <w:r>
              <w:t>2 week</w:t>
            </w:r>
            <w:proofErr w:type="gramEnd"/>
            <w:r>
              <w:t xml:space="preserve"> point is only 40%.</w:t>
            </w:r>
          </w:p>
        </w:tc>
        <w:tc>
          <w:tcPr>
            <w:tcW w:w="3758" w:type="dxa"/>
          </w:tcPr>
          <w:p w14:paraId="04406470" w14:textId="77777777" w:rsidR="007D4749" w:rsidRPr="007D4749" w:rsidRDefault="007D4749" w:rsidP="007D4749">
            <w:pPr>
              <w:pStyle w:val="Tabletext"/>
            </w:pPr>
            <w:r w:rsidRPr="007D4749">
              <w:t xml:space="preserve">Bottle, A., Kim, D., Aylin, P., Cowie, M., Majeed, A. &amp; </w:t>
            </w:r>
            <w:proofErr w:type="spellStart"/>
            <w:r w:rsidRPr="007D4749">
              <w:t>Hayhoe</w:t>
            </w:r>
            <w:proofErr w:type="spellEnd"/>
            <w:r w:rsidRPr="007D4749">
              <w:t>, B. Routes to diagnosis of heart failure: observational study using linked data in England. Heart. 2018;104(7):600-605.</w:t>
            </w:r>
          </w:p>
          <w:p w14:paraId="3559C7EC" w14:textId="77777777" w:rsidR="007D4749" w:rsidRPr="007D4749" w:rsidRDefault="007D4749" w:rsidP="007D4749">
            <w:pPr>
              <w:pStyle w:val="Tabletext"/>
            </w:pPr>
            <w:r w:rsidRPr="007D4749">
              <w:t> </w:t>
            </w:r>
            <w:hyperlink r:id="rId96" w:history="1">
              <w:r w:rsidRPr="007D4749">
                <w:rPr>
                  <w:rStyle w:val="Hyperlink"/>
                </w:rPr>
                <w:t>https://doi.org/10.1136/heartjnl-2017-312183</w:t>
              </w:r>
            </w:hyperlink>
          </w:p>
          <w:p w14:paraId="50577B28" w14:textId="77777777" w:rsidR="007D4749" w:rsidRPr="007D4749" w:rsidRDefault="007D4749" w:rsidP="007D4749">
            <w:pPr>
              <w:pStyle w:val="Tabletext"/>
            </w:pPr>
          </w:p>
          <w:p w14:paraId="471C7FE1" w14:textId="77777777" w:rsidR="007D4749" w:rsidRPr="007D4749" w:rsidRDefault="007D4749" w:rsidP="007D4749">
            <w:pPr>
              <w:pStyle w:val="Tabletext"/>
            </w:pPr>
            <w:r w:rsidRPr="007D4749">
              <w:t xml:space="preserve">Lee CS, </w:t>
            </w:r>
            <w:proofErr w:type="spellStart"/>
            <w:r w:rsidRPr="007D4749">
              <w:t>Tkacs</w:t>
            </w:r>
            <w:proofErr w:type="spellEnd"/>
            <w:r w:rsidRPr="007D4749">
              <w:t xml:space="preserve"> NC, Riegel B. The influence of heart failure self-care on health outcomes: hypothetical cardioprotective mechanisms. </w:t>
            </w:r>
            <w:r w:rsidRPr="007D4749">
              <w:rPr>
                <w:i/>
                <w:iCs/>
              </w:rPr>
              <w:t xml:space="preserve">J Cardiovasc </w:t>
            </w:r>
            <w:proofErr w:type="spellStart"/>
            <w:r w:rsidRPr="007D4749">
              <w:rPr>
                <w:i/>
                <w:iCs/>
              </w:rPr>
              <w:t>Nurs</w:t>
            </w:r>
            <w:proofErr w:type="spellEnd"/>
            <w:r w:rsidRPr="007D4749">
              <w:rPr>
                <w:i/>
                <w:iCs/>
              </w:rPr>
              <w:t xml:space="preserve"> 2009;</w:t>
            </w:r>
            <w:r w:rsidRPr="007D4749">
              <w:t xml:space="preserve">24(3):179-87 </w:t>
            </w:r>
          </w:p>
          <w:p w14:paraId="2B62A61E" w14:textId="77777777" w:rsidR="007D4749" w:rsidRPr="007D4749" w:rsidRDefault="007D4749" w:rsidP="007D4749">
            <w:pPr>
              <w:pStyle w:val="Tabletext"/>
            </w:pPr>
            <w:r w:rsidRPr="007D4749">
              <w:t xml:space="preserve">Bradley EH, </w:t>
            </w:r>
            <w:proofErr w:type="spellStart"/>
            <w:r w:rsidRPr="007D4749">
              <w:t>Sipsma</w:t>
            </w:r>
            <w:proofErr w:type="spellEnd"/>
            <w:r w:rsidRPr="007D4749">
              <w:t xml:space="preserve"> H, Horwitz LI, </w:t>
            </w:r>
            <w:r w:rsidRPr="007D4749">
              <w:rPr>
                <w:i/>
                <w:iCs/>
              </w:rPr>
              <w:t>et al</w:t>
            </w:r>
            <w:r w:rsidRPr="007D4749">
              <w:t xml:space="preserve">. Hospital strategy uptake and reductions in unplanned readmission rates for patients with heart failure: a prospective study. </w:t>
            </w:r>
            <w:r w:rsidRPr="007D4749">
              <w:rPr>
                <w:i/>
                <w:iCs/>
              </w:rPr>
              <w:t>J Gen Intern Med 2015;</w:t>
            </w:r>
            <w:r w:rsidRPr="007D4749">
              <w:t xml:space="preserve">30(5): 605-11 </w:t>
            </w:r>
          </w:p>
          <w:p w14:paraId="30EF0293" w14:textId="2461F1C4" w:rsidR="005E5B6D" w:rsidRPr="00427135" w:rsidRDefault="00AF2CC8" w:rsidP="005E5B6D">
            <w:pPr>
              <w:pStyle w:val="Tabletext"/>
            </w:pPr>
            <w:hyperlink r:id="rId97" w:history="1">
              <w:r w:rsidR="007D4749" w:rsidRPr="007D4749">
                <w:rPr>
                  <w:rStyle w:val="Hyperlink"/>
                </w:rPr>
                <w:t>https://www.nicor.org.uk/wp-content/uploads/2021/10/NHFA-Domain-Report_2021_FINAL.pdf</w:t>
              </w:r>
            </w:hyperlink>
          </w:p>
        </w:tc>
      </w:tr>
      <w:tr w:rsidR="005E5B6D" w:rsidRPr="00C92280" w14:paraId="06B8D8EB" w14:textId="77777777" w:rsidTr="00584584">
        <w:trPr>
          <w:trHeight w:val="282"/>
        </w:trPr>
        <w:tc>
          <w:tcPr>
            <w:tcW w:w="562" w:type="dxa"/>
          </w:tcPr>
          <w:p w14:paraId="6AFB04BB" w14:textId="77777777" w:rsidR="005E5B6D" w:rsidRPr="00F27622" w:rsidRDefault="005E5B6D" w:rsidP="00DE5D03">
            <w:pPr>
              <w:pStyle w:val="Tabletext"/>
              <w:numPr>
                <w:ilvl w:val="0"/>
                <w:numId w:val="21"/>
              </w:numPr>
            </w:pPr>
          </w:p>
        </w:tc>
        <w:tc>
          <w:tcPr>
            <w:tcW w:w="1843" w:type="dxa"/>
          </w:tcPr>
          <w:p w14:paraId="3AF17245" w14:textId="31AAE1B4" w:rsidR="005E5B6D" w:rsidRPr="00427135" w:rsidRDefault="007D4749" w:rsidP="005E5B6D">
            <w:pPr>
              <w:pStyle w:val="Tabletext"/>
            </w:pPr>
            <w:r>
              <w:t>SCM5</w:t>
            </w:r>
          </w:p>
        </w:tc>
        <w:tc>
          <w:tcPr>
            <w:tcW w:w="1985" w:type="dxa"/>
          </w:tcPr>
          <w:p w14:paraId="6B9D61AE" w14:textId="77777777" w:rsidR="008D2E0C" w:rsidRPr="005E5B6D" w:rsidRDefault="008D2E0C" w:rsidP="008D2E0C">
            <w:pPr>
              <w:pStyle w:val="Tabletext"/>
              <w:rPr>
                <w:b/>
                <w:bCs/>
              </w:rPr>
            </w:pPr>
            <w:r w:rsidRPr="005E5B6D">
              <w:rPr>
                <w:b/>
                <w:bCs/>
              </w:rPr>
              <w:t>Service Delivery</w:t>
            </w:r>
          </w:p>
          <w:p w14:paraId="5BB9901D" w14:textId="0FB93D9C" w:rsidR="005E5B6D" w:rsidRPr="00427135" w:rsidRDefault="008D2E0C" w:rsidP="008D2E0C">
            <w:pPr>
              <w:pStyle w:val="Tabletext"/>
            </w:pPr>
            <w:r w:rsidRPr="005E5B6D">
              <w:t>Care reviews and care plans</w:t>
            </w:r>
          </w:p>
        </w:tc>
        <w:tc>
          <w:tcPr>
            <w:tcW w:w="6520" w:type="dxa"/>
          </w:tcPr>
          <w:p w14:paraId="1FA7DA44" w14:textId="77777777" w:rsidR="005E5B6D" w:rsidRDefault="007D4749" w:rsidP="005E5B6D">
            <w:pPr>
              <w:pStyle w:val="Tabletext"/>
            </w:pPr>
            <w:r w:rsidRPr="007D4749">
              <w:t xml:space="preserve">Every patient with stable chronic heart failure, regardless of ejection fraction, should have a lifelong care plan, including 6 monthly </w:t>
            </w:r>
            <w:proofErr w:type="gramStart"/>
            <w:r w:rsidRPr="007D4749">
              <w:t>review</w:t>
            </w:r>
            <w:proofErr w:type="gramEnd"/>
            <w:r w:rsidRPr="007D4749">
              <w:t xml:space="preserve"> with ongoing access to HF specialist advice</w:t>
            </w:r>
            <w:r>
              <w:t>.</w:t>
            </w:r>
          </w:p>
          <w:p w14:paraId="01656434" w14:textId="77777777" w:rsidR="007D4749" w:rsidRDefault="007D4749" w:rsidP="007D4749">
            <w:pPr>
              <w:pStyle w:val="Tabletext"/>
            </w:pPr>
            <w:r>
              <w:t xml:space="preserve">Patients with heart failure need to have access to care all along their patient journey from diagnosis to end of life. Once actively discharged from a HFNS team back to primary care, there is often a lack of further HF management in the community (despite the existence of QOF targets for HF care – which are outdated in terms of medical therapy and do not lead to significant changes in patient care) due to a lack of engagement between primary and secondary care. </w:t>
            </w:r>
          </w:p>
          <w:p w14:paraId="7568E4C6" w14:textId="29C1DF2E" w:rsidR="007D4749" w:rsidRPr="00427135" w:rsidRDefault="007D4749" w:rsidP="007D4749">
            <w:pPr>
              <w:pStyle w:val="Tabletext"/>
            </w:pPr>
            <w:r>
              <w:t>Ideally there should be an MDT direct to primary care which would enable GPs/primary care teams to have access to specialist HF opinion rapidly to ensure excellence in patient care. In this way GPs are part of the HF MDT, and patients have quick access to specialist opinion/input in the event of deterioration/need of medication maximisation.</w:t>
            </w:r>
          </w:p>
        </w:tc>
        <w:tc>
          <w:tcPr>
            <w:tcW w:w="3758" w:type="dxa"/>
          </w:tcPr>
          <w:p w14:paraId="7CC6BCEA" w14:textId="77777777" w:rsidR="007D4749" w:rsidRPr="007D4749" w:rsidRDefault="00AF2CC8" w:rsidP="007D4749">
            <w:pPr>
              <w:pStyle w:val="Tabletext"/>
            </w:pPr>
            <w:hyperlink r:id="rId98" w:history="1">
              <w:r w:rsidR="007D4749" w:rsidRPr="007D4749">
                <w:rPr>
                  <w:rStyle w:val="Hyperlink"/>
                </w:rPr>
                <w:t>https://cks.nice.org.uk/topics/heart-failure-chronic/goals-outcome-measures/qof-indicators/</w:t>
              </w:r>
            </w:hyperlink>
          </w:p>
          <w:p w14:paraId="541D6502" w14:textId="77777777" w:rsidR="005E5B6D" w:rsidRPr="00427135" w:rsidRDefault="005E5B6D" w:rsidP="005E5B6D">
            <w:pPr>
              <w:pStyle w:val="Tabletext"/>
            </w:pPr>
          </w:p>
        </w:tc>
      </w:tr>
      <w:tr w:rsidR="005E5B6D" w:rsidRPr="00C92280" w14:paraId="2F6D5B1E" w14:textId="77777777" w:rsidTr="00584584">
        <w:trPr>
          <w:trHeight w:val="282"/>
        </w:trPr>
        <w:tc>
          <w:tcPr>
            <w:tcW w:w="562" w:type="dxa"/>
          </w:tcPr>
          <w:p w14:paraId="14EB5F3F" w14:textId="77777777" w:rsidR="005E5B6D" w:rsidRPr="00F27622" w:rsidRDefault="005E5B6D" w:rsidP="00DE5D03">
            <w:pPr>
              <w:pStyle w:val="Tabletext"/>
              <w:numPr>
                <w:ilvl w:val="0"/>
                <w:numId w:val="21"/>
              </w:numPr>
            </w:pPr>
          </w:p>
        </w:tc>
        <w:tc>
          <w:tcPr>
            <w:tcW w:w="1843" w:type="dxa"/>
          </w:tcPr>
          <w:p w14:paraId="24B19DB3" w14:textId="58B90187" w:rsidR="005E5B6D" w:rsidRPr="00427135" w:rsidRDefault="00B026B5" w:rsidP="005E5B6D">
            <w:pPr>
              <w:pStyle w:val="Tabletext"/>
            </w:pPr>
            <w:r>
              <w:t>SCM2</w:t>
            </w:r>
          </w:p>
        </w:tc>
        <w:tc>
          <w:tcPr>
            <w:tcW w:w="1985" w:type="dxa"/>
          </w:tcPr>
          <w:p w14:paraId="1E0FB695" w14:textId="77777777" w:rsidR="008D2E0C" w:rsidRPr="00B65D9F" w:rsidRDefault="008D2E0C" w:rsidP="008D2E0C">
            <w:pPr>
              <w:pStyle w:val="Tabletext"/>
              <w:rPr>
                <w:b/>
                <w:bCs/>
              </w:rPr>
            </w:pPr>
            <w:r>
              <w:rPr>
                <w:b/>
                <w:bCs/>
              </w:rPr>
              <w:t>Service Delivery</w:t>
            </w:r>
          </w:p>
          <w:p w14:paraId="4CFB9D24" w14:textId="5BDC2468" w:rsidR="005E5B6D" w:rsidRPr="00427135" w:rsidRDefault="008D2E0C" w:rsidP="008D2E0C">
            <w:pPr>
              <w:pStyle w:val="Tabletext"/>
            </w:pPr>
            <w:r w:rsidRPr="00CC3406">
              <w:t>Medication review at 2 weeks</w:t>
            </w:r>
          </w:p>
        </w:tc>
        <w:tc>
          <w:tcPr>
            <w:tcW w:w="6520" w:type="dxa"/>
          </w:tcPr>
          <w:p w14:paraId="3E89F4C0" w14:textId="77777777" w:rsidR="00B026B5" w:rsidRDefault="00B026B5" w:rsidP="00B026B5">
            <w:pPr>
              <w:pStyle w:val="Tabletext"/>
            </w:pPr>
            <w:r>
              <w:t>QS 4 Adults with chronic heart failure have a review within 2 weeks of any change in the dose or type of their heart failure medication.</w:t>
            </w:r>
          </w:p>
          <w:p w14:paraId="4D7F4DB4" w14:textId="77777777" w:rsidR="00B026B5" w:rsidRDefault="00B026B5" w:rsidP="00B026B5">
            <w:pPr>
              <w:pStyle w:val="Tabletext"/>
            </w:pPr>
            <w:r>
              <w:t>•</w:t>
            </w:r>
            <w:r>
              <w:tab/>
              <w:t xml:space="preserve">Not achievable in present form- should be explicit regards drug class and mode of review </w:t>
            </w:r>
          </w:p>
          <w:p w14:paraId="27D4D812" w14:textId="77777777" w:rsidR="00B026B5" w:rsidRDefault="00B026B5" w:rsidP="00B026B5">
            <w:pPr>
              <w:pStyle w:val="Tabletext"/>
            </w:pPr>
            <w:r>
              <w:t>•</w:t>
            </w:r>
            <w:r>
              <w:tab/>
              <w:t>Emphasis on commissioning of HF nurses</w:t>
            </w:r>
          </w:p>
          <w:p w14:paraId="6E750200" w14:textId="77777777" w:rsidR="005E5B6D" w:rsidRDefault="00B026B5" w:rsidP="00B026B5">
            <w:pPr>
              <w:pStyle w:val="Tabletext"/>
            </w:pPr>
            <w:r>
              <w:t xml:space="preserve">Reference to different methods of review </w:t>
            </w:r>
            <w:proofErr w:type="gramStart"/>
            <w:r>
              <w:t>i.e.</w:t>
            </w:r>
            <w:proofErr w:type="gramEnd"/>
            <w:r>
              <w:t xml:space="preserve"> remote monitoring</w:t>
            </w:r>
          </w:p>
          <w:p w14:paraId="3EC9E270" w14:textId="77777777" w:rsidR="00B026B5" w:rsidRDefault="00B026B5" w:rsidP="00B026B5">
            <w:pPr>
              <w:pStyle w:val="Tabletext"/>
            </w:pPr>
          </w:p>
          <w:p w14:paraId="7658B34E" w14:textId="77777777" w:rsidR="00B026B5" w:rsidRPr="00B026B5" w:rsidRDefault="00B026B5" w:rsidP="00DE5D03">
            <w:pPr>
              <w:pStyle w:val="Tabletext"/>
              <w:ind w:left="360"/>
            </w:pPr>
            <w:r w:rsidRPr="00B026B5">
              <w:t xml:space="preserve">NICOR data shows follow-up at 2 weeks post discharge poor at 40%. </w:t>
            </w:r>
            <w:proofErr w:type="gramStart"/>
            <w:r w:rsidRPr="00B026B5">
              <w:t>Overall</w:t>
            </w:r>
            <w:proofErr w:type="gramEnd"/>
            <w:r w:rsidRPr="00B026B5">
              <w:t xml:space="preserve"> only 56% of patients see a HF nurse and </w:t>
            </w:r>
            <w:r w:rsidRPr="00B026B5">
              <w:lastRenderedPageBreak/>
              <w:t xml:space="preserve">46% have cardiology follow up. This puts the onus of responsibility on community services even if the change made in secondary care. </w:t>
            </w:r>
          </w:p>
          <w:p w14:paraId="43E3B165" w14:textId="77777777" w:rsidR="00B026B5" w:rsidRPr="00B026B5" w:rsidRDefault="00B026B5" w:rsidP="00DE5D03">
            <w:pPr>
              <w:pStyle w:val="Tabletext"/>
              <w:ind w:left="360"/>
            </w:pPr>
            <w:r w:rsidRPr="00B026B5">
              <w:t xml:space="preserve">This standard is not achievable in its present form. It is also not necessarily required depending on the medication changed. Blood tests are often reviewed in the case </w:t>
            </w:r>
            <w:proofErr w:type="spellStart"/>
            <w:r w:rsidRPr="00B026B5">
              <w:t>RASSi</w:t>
            </w:r>
            <w:proofErr w:type="spellEnd"/>
            <w:r w:rsidRPr="00B026B5">
              <w:t xml:space="preserve"> changes and if this is the case then this should be </w:t>
            </w:r>
            <w:r w:rsidRPr="00B026B5">
              <w:rPr>
                <w:b/>
              </w:rPr>
              <w:t>explicit</w:t>
            </w:r>
            <w:r w:rsidRPr="00B026B5">
              <w:t xml:space="preserve">. </w:t>
            </w:r>
          </w:p>
          <w:p w14:paraId="1119457D" w14:textId="77777777" w:rsidR="00B026B5" w:rsidRPr="00B026B5" w:rsidRDefault="00B026B5" w:rsidP="00DE5D03">
            <w:pPr>
              <w:pStyle w:val="Tabletext"/>
              <w:ind w:left="360"/>
            </w:pPr>
            <w:r w:rsidRPr="00B026B5">
              <w:t xml:space="preserve">Secondary and Primary care providers cannot meet this requirement without HF specialist nurse services commissioned which are woefully under resourced and there is inequity provision across the UK. The statement should recommend increase in HF specialist nurse workforce to providers to address this gap. </w:t>
            </w:r>
          </w:p>
          <w:p w14:paraId="118B7F11" w14:textId="77777777" w:rsidR="00B026B5" w:rsidRPr="00B026B5" w:rsidRDefault="00B026B5" w:rsidP="00DE5D03">
            <w:pPr>
              <w:pStyle w:val="Tabletext"/>
              <w:ind w:left="360"/>
            </w:pPr>
            <w:r w:rsidRPr="00B026B5">
              <w:t>The statement could be written to state that all medication changes should be monitored within two weeks according to individual patient needs/SmPC either by:</w:t>
            </w:r>
          </w:p>
          <w:p w14:paraId="2F965A90" w14:textId="77777777" w:rsidR="00B026B5" w:rsidRPr="00B026B5" w:rsidRDefault="00B026B5" w:rsidP="00B026B5">
            <w:pPr>
              <w:pStyle w:val="Tabletext"/>
              <w:numPr>
                <w:ilvl w:val="0"/>
                <w:numId w:val="27"/>
              </w:numPr>
            </w:pPr>
            <w:r w:rsidRPr="00B026B5">
              <w:t>Renal blood test</w:t>
            </w:r>
          </w:p>
          <w:p w14:paraId="361D004F" w14:textId="77777777" w:rsidR="00B026B5" w:rsidRPr="00B026B5" w:rsidRDefault="00B026B5" w:rsidP="00B026B5">
            <w:pPr>
              <w:pStyle w:val="Tabletext"/>
              <w:numPr>
                <w:ilvl w:val="0"/>
                <w:numId w:val="27"/>
              </w:numPr>
            </w:pPr>
            <w:r w:rsidRPr="00B026B5">
              <w:t>Patient self-reporting</w:t>
            </w:r>
          </w:p>
          <w:p w14:paraId="11A1A0CE" w14:textId="77777777" w:rsidR="00B026B5" w:rsidRPr="00B026B5" w:rsidRDefault="00B026B5" w:rsidP="00B026B5">
            <w:pPr>
              <w:pStyle w:val="Tabletext"/>
              <w:numPr>
                <w:ilvl w:val="0"/>
                <w:numId w:val="27"/>
              </w:numPr>
            </w:pPr>
            <w:r w:rsidRPr="00B026B5">
              <w:t>Remote monitoring/review</w:t>
            </w:r>
          </w:p>
          <w:p w14:paraId="00A2CAF8" w14:textId="77777777" w:rsidR="00B026B5" w:rsidRPr="00B026B5" w:rsidRDefault="00B026B5" w:rsidP="00B026B5">
            <w:pPr>
              <w:pStyle w:val="Tabletext"/>
              <w:numPr>
                <w:ilvl w:val="0"/>
                <w:numId w:val="27"/>
              </w:numPr>
            </w:pPr>
            <w:r w:rsidRPr="00B026B5">
              <w:t xml:space="preserve">Face to face review </w:t>
            </w:r>
          </w:p>
          <w:p w14:paraId="00512E31" w14:textId="77777777" w:rsidR="00B026B5" w:rsidRPr="00B026B5" w:rsidRDefault="00B026B5" w:rsidP="00DE5D03">
            <w:pPr>
              <w:pStyle w:val="Tabletext"/>
              <w:ind w:left="360"/>
            </w:pPr>
            <w:r w:rsidRPr="00B026B5">
              <w:t xml:space="preserve">Reference to digital health/self-care apps, remote monitoring and virtual review could be highlighted here to support achieving the standard. </w:t>
            </w:r>
          </w:p>
          <w:p w14:paraId="7C98BE42" w14:textId="3C2050D5" w:rsidR="00B026B5" w:rsidRPr="00427135" w:rsidRDefault="00B026B5" w:rsidP="00B026B5">
            <w:pPr>
              <w:pStyle w:val="Tabletext"/>
            </w:pPr>
          </w:p>
        </w:tc>
        <w:tc>
          <w:tcPr>
            <w:tcW w:w="3758" w:type="dxa"/>
          </w:tcPr>
          <w:p w14:paraId="3C0687D3" w14:textId="77777777" w:rsidR="00B026B5" w:rsidRPr="00B026B5" w:rsidRDefault="00B026B5" w:rsidP="00445535">
            <w:pPr>
              <w:pStyle w:val="Tabletext"/>
            </w:pPr>
            <w:r w:rsidRPr="00B026B5">
              <w:lastRenderedPageBreak/>
              <w:t>Please see below supporting documentation regards inadequate number of HF nurses to meet this standard:</w:t>
            </w:r>
          </w:p>
          <w:p w14:paraId="6195909A" w14:textId="77777777" w:rsidR="00B026B5" w:rsidRPr="00B026B5" w:rsidRDefault="00AF2CC8" w:rsidP="00445535">
            <w:pPr>
              <w:pStyle w:val="Tabletext"/>
            </w:pPr>
            <w:hyperlink r:id="rId99" w:anchor=":~:text=The%20Alliance%20for%20Heart%20Failure,and%20four%20per%20100%2C000%20people." w:history="1">
              <w:r w:rsidR="00B026B5" w:rsidRPr="00B026B5">
                <w:rPr>
                  <w:rStyle w:val="Hyperlink"/>
                </w:rPr>
                <w:t xml:space="preserve">Call for trusts to urgently </w:t>
              </w:r>
              <w:proofErr w:type="gramStart"/>
              <w:r w:rsidR="00B026B5" w:rsidRPr="00B026B5">
                <w:rPr>
                  <w:rStyle w:val="Hyperlink"/>
                </w:rPr>
                <w:t>increase</w:t>
              </w:r>
              <w:proofErr w:type="gramEnd"/>
              <w:r w:rsidR="00B026B5" w:rsidRPr="00B026B5">
                <w:rPr>
                  <w:rStyle w:val="Hyperlink"/>
                </w:rPr>
                <w:t xml:space="preserve"> number of heart failure nurses | Nursing Times</w:t>
              </w:r>
            </w:hyperlink>
          </w:p>
          <w:p w14:paraId="41D953D0" w14:textId="77777777" w:rsidR="00B026B5" w:rsidRPr="00B026B5" w:rsidRDefault="00B026B5" w:rsidP="00445535">
            <w:pPr>
              <w:pStyle w:val="Tabletext"/>
            </w:pPr>
            <w:r w:rsidRPr="00B026B5">
              <w:t xml:space="preserve">Jayne Masters </w:t>
            </w:r>
            <w:proofErr w:type="gramStart"/>
            <w:r w:rsidRPr="00B026B5">
              <w:t>et al.(</w:t>
            </w:r>
            <w:proofErr w:type="gramEnd"/>
            <w:r w:rsidRPr="00B026B5">
              <w:t xml:space="preserve">2019).British Journal of Cardiac increasing the heart failure nursing workforce: </w:t>
            </w:r>
            <w:r w:rsidRPr="00B026B5">
              <w:lastRenderedPageBreak/>
              <w:t xml:space="preserve">recommendations by the British Society for Heart Failure Nurse </w:t>
            </w:r>
            <w:proofErr w:type="spellStart"/>
            <w:r w:rsidRPr="00B026B5">
              <w:t>Forum.Published</w:t>
            </w:r>
            <w:proofErr w:type="spellEnd"/>
            <w:r w:rsidRPr="00B026B5">
              <w:t xml:space="preserve"> Online:8 Nov2019 </w:t>
            </w:r>
            <w:hyperlink r:id="rId100" w:history="1">
              <w:r w:rsidRPr="00B026B5">
                <w:rPr>
                  <w:rStyle w:val="Hyperlink"/>
                </w:rPr>
                <w:t>https://doi.org/10.12968/bjca.2019.0109</w:t>
              </w:r>
            </w:hyperlink>
          </w:p>
          <w:p w14:paraId="0AC7D61A" w14:textId="497133AB" w:rsidR="005E5B6D" w:rsidRPr="00427135" w:rsidRDefault="00B026B5" w:rsidP="00445535">
            <w:pPr>
              <w:pStyle w:val="Tabletext"/>
            </w:pPr>
            <w:r w:rsidRPr="00B026B5">
              <w:t>BNF (2022) British National Formulary. National Institute of Health and Care Excellence (NICE). https://bnf.nice.org.uk</w:t>
            </w:r>
          </w:p>
        </w:tc>
      </w:tr>
      <w:tr w:rsidR="005E5B6D" w:rsidRPr="00C92280" w14:paraId="5BF230DF" w14:textId="77777777" w:rsidTr="00584584">
        <w:trPr>
          <w:trHeight w:val="282"/>
        </w:trPr>
        <w:tc>
          <w:tcPr>
            <w:tcW w:w="562" w:type="dxa"/>
          </w:tcPr>
          <w:p w14:paraId="50C9AEB9" w14:textId="77777777" w:rsidR="005E5B6D" w:rsidRPr="00F27622" w:rsidRDefault="005E5B6D" w:rsidP="00DE5D03">
            <w:pPr>
              <w:pStyle w:val="Tabletext"/>
              <w:numPr>
                <w:ilvl w:val="0"/>
                <w:numId w:val="21"/>
              </w:numPr>
            </w:pPr>
          </w:p>
        </w:tc>
        <w:tc>
          <w:tcPr>
            <w:tcW w:w="1843" w:type="dxa"/>
          </w:tcPr>
          <w:p w14:paraId="6440C7B2" w14:textId="6D7535D7" w:rsidR="005E5B6D" w:rsidRPr="00427135" w:rsidRDefault="00B026B5" w:rsidP="005E5B6D">
            <w:pPr>
              <w:pStyle w:val="Tabletext"/>
            </w:pPr>
            <w:r w:rsidRPr="00B026B5">
              <w:t>Novartis Pharmaceuticals UK Ltd</w:t>
            </w:r>
          </w:p>
        </w:tc>
        <w:tc>
          <w:tcPr>
            <w:tcW w:w="1985" w:type="dxa"/>
          </w:tcPr>
          <w:p w14:paraId="5228DAFC" w14:textId="77777777" w:rsidR="00C10FA7" w:rsidRPr="00B65D9F" w:rsidRDefault="00C10FA7" w:rsidP="00C10FA7">
            <w:pPr>
              <w:pStyle w:val="Tabletext"/>
              <w:rPr>
                <w:b/>
                <w:bCs/>
              </w:rPr>
            </w:pPr>
            <w:r>
              <w:rPr>
                <w:b/>
                <w:bCs/>
              </w:rPr>
              <w:t>Service Delivery</w:t>
            </w:r>
          </w:p>
          <w:p w14:paraId="2439E55C" w14:textId="0465E08C" w:rsidR="005E5B6D" w:rsidRPr="00427135" w:rsidRDefault="00C10FA7" w:rsidP="00C10FA7">
            <w:pPr>
              <w:pStyle w:val="Tabletext"/>
            </w:pPr>
            <w:r w:rsidRPr="00CC3406">
              <w:t>Medication review at 2 weeks</w:t>
            </w:r>
          </w:p>
        </w:tc>
        <w:tc>
          <w:tcPr>
            <w:tcW w:w="6520" w:type="dxa"/>
          </w:tcPr>
          <w:p w14:paraId="63F17082" w14:textId="77777777" w:rsidR="005E5B6D" w:rsidRDefault="00B026B5" w:rsidP="005E5B6D">
            <w:pPr>
              <w:pStyle w:val="Tabletext"/>
            </w:pPr>
            <w:r w:rsidRPr="00B026B5">
              <w:t>Medicines optimisation: ensure medicines optimisation is included within the ‘rationale’ wording and ‘Definitions of terms’ for Quality Statement 4 and 5 to emphasise the urgency and importance of appropriate medicines optimisation.</w:t>
            </w:r>
          </w:p>
          <w:p w14:paraId="7F2EB313" w14:textId="77777777" w:rsidR="00B026B5" w:rsidRDefault="00B026B5" w:rsidP="005E5B6D">
            <w:pPr>
              <w:pStyle w:val="Tabletext"/>
            </w:pPr>
          </w:p>
          <w:p w14:paraId="5EC2712C" w14:textId="77777777" w:rsidR="00B026B5" w:rsidRPr="00B026B5" w:rsidRDefault="00B026B5" w:rsidP="00DE5D03">
            <w:pPr>
              <w:pStyle w:val="Tabletext"/>
            </w:pPr>
            <w:r w:rsidRPr="00B026B5">
              <w:lastRenderedPageBreak/>
              <w:t>Medicines optimisation is critical to improving patient outcomes for heart failure due to the potential for rapid symptomatic worsening of the condition and associated survival statistics [</w:t>
            </w:r>
            <w:hyperlink r:id="rId101" w:history="1">
              <w:r w:rsidRPr="00B026B5">
                <w:rPr>
                  <w:rStyle w:val="Hyperlink"/>
                </w:rPr>
                <w:t>The National Heart Failure Audit (NHFA) 2021 Summary Report</w:t>
              </w:r>
            </w:hyperlink>
            <w:r w:rsidRPr="00B026B5">
              <w:t xml:space="preserve">]. Ensuring patients are rapidly </w:t>
            </w:r>
            <w:proofErr w:type="gramStart"/>
            <w:r w:rsidRPr="00B026B5">
              <w:t>up-titrated</w:t>
            </w:r>
            <w:proofErr w:type="gramEnd"/>
            <w:r w:rsidRPr="00B026B5">
              <w:t xml:space="preserve"> to the maximum tolerated dose of appropriate medication is therefore crucial to improving survival rates and broader patient outcomes. </w:t>
            </w:r>
          </w:p>
          <w:p w14:paraId="7208E52F" w14:textId="647C9AEB" w:rsidR="00B026B5" w:rsidRPr="00427135" w:rsidRDefault="00B026B5" w:rsidP="00B026B5">
            <w:pPr>
              <w:pStyle w:val="Tabletext"/>
            </w:pPr>
            <w:r w:rsidRPr="00B026B5">
              <w:t xml:space="preserve">Ensuring that a patient’s medication is optimised should also be a key component of their regular review. </w:t>
            </w:r>
            <w:proofErr w:type="gramStart"/>
            <w:r w:rsidRPr="00B026B5">
              <w:t>In order to</w:t>
            </w:r>
            <w:proofErr w:type="gramEnd"/>
            <w:r w:rsidRPr="00B026B5">
              <w:t xml:space="preserve"> reflect this adequately, we suggest that supporting ‘rationale’ wording for Quality Statement 4 and Quality Statement 5 is amended to include an increased emphasis on the ‘optimisation’ of medication. At present, the wording emphasises whether a patient’s medication should be ‘changed’, without highlighting the important need for optimisation as well. As well as this, we suggest that the wording in the ‘Definition of terms’ (review of medication, including need for changes and possible side effects) is also updated to reflect the focus on ‘optimisation’ as opposed to ‘review’.</w:t>
            </w:r>
          </w:p>
        </w:tc>
        <w:tc>
          <w:tcPr>
            <w:tcW w:w="3758" w:type="dxa"/>
          </w:tcPr>
          <w:p w14:paraId="6DB0D503" w14:textId="77777777" w:rsidR="00B026B5" w:rsidRPr="00B026B5" w:rsidRDefault="00B026B5" w:rsidP="00445535">
            <w:pPr>
              <w:pStyle w:val="Tabletext"/>
            </w:pPr>
            <w:r w:rsidRPr="00B026B5">
              <w:lastRenderedPageBreak/>
              <w:t xml:space="preserve">Medicine optimisation is a key priority and focus for the NHS as outlined in the NICE guideline </w:t>
            </w:r>
            <w:hyperlink r:id="rId102" w:history="1">
              <w:r w:rsidRPr="00B026B5">
                <w:rPr>
                  <w:rStyle w:val="Hyperlink"/>
                </w:rPr>
                <w:t xml:space="preserve">Medicines optimisation: the safe </w:t>
              </w:r>
              <w:r w:rsidRPr="00B026B5">
                <w:rPr>
                  <w:rStyle w:val="Hyperlink"/>
                </w:rPr>
                <w:lastRenderedPageBreak/>
                <w:t>and effective use of medicines to enable the best possible outcomes</w:t>
              </w:r>
            </w:hyperlink>
          </w:p>
          <w:p w14:paraId="33E8C6CE" w14:textId="77777777" w:rsidR="00B026B5" w:rsidRPr="00B026B5" w:rsidRDefault="00B026B5" w:rsidP="00445535">
            <w:pPr>
              <w:pStyle w:val="Tabletext"/>
            </w:pPr>
            <w:r w:rsidRPr="00B026B5">
              <w:t>The need for optimisation as part of the review of medication is called out in inclusion of HF007 as part of the Quality Outcome Framework clinical domains for Heart Failure starting from 2020.</w:t>
            </w:r>
          </w:p>
          <w:p w14:paraId="041FAA47" w14:textId="48F28216" w:rsidR="00B026B5" w:rsidRPr="00B026B5" w:rsidRDefault="00AF2CC8" w:rsidP="00445535">
            <w:pPr>
              <w:pStyle w:val="Tabletext"/>
            </w:pPr>
            <w:hyperlink r:id="rId103" w:history="1">
              <w:r w:rsidR="00445535" w:rsidRPr="00AE3BE9">
                <w:rPr>
                  <w:rStyle w:val="Hyperlink"/>
                </w:rPr>
                <w:t>https://assets.publishing.service.gov.uk/government/uploads/system/uploads/attachment_data/file/877314/sfe-directions-2020.pdf</w:t>
              </w:r>
            </w:hyperlink>
            <w:r w:rsidR="00B026B5" w:rsidRPr="00B026B5">
              <w:t xml:space="preserve"> </w:t>
            </w:r>
          </w:p>
          <w:p w14:paraId="5A4D20DA" w14:textId="4DD40650" w:rsidR="005E5B6D" w:rsidRPr="00427135" w:rsidRDefault="00AF2CC8" w:rsidP="00445535">
            <w:pPr>
              <w:pStyle w:val="Tabletext"/>
            </w:pPr>
            <w:hyperlink r:id="rId104" w:history="1">
              <w:r w:rsidR="00B026B5" w:rsidRPr="00B026B5">
                <w:rPr>
                  <w:rStyle w:val="Hyperlink"/>
                </w:rPr>
                <w:t>The National Heart Failure Audit (NHFA) 2021 Summary Report</w:t>
              </w:r>
            </w:hyperlink>
            <w:r w:rsidR="00B026B5" w:rsidRPr="00B026B5">
              <w:t xml:space="preserve"> showed that post-discharge mortality was highly dependent upon the prescribing of 3 disease-modifying drugs (</w:t>
            </w:r>
            <w:proofErr w:type="spellStart"/>
            <w:r w:rsidR="00B026B5" w:rsidRPr="00B026B5">
              <w:t>ACEi</w:t>
            </w:r>
            <w:proofErr w:type="spellEnd"/>
            <w:r w:rsidR="00B026B5" w:rsidRPr="00B026B5">
              <w:t>/ARB, BB and MRA), with the greatest cumulative benefit seen in those who leave hospital on all 3 key disease modifying drugs. Those discharged on all 3 disease-modifying drugs had a 1-year mortality rate of 18% compared to 52% for those leaving hospital without any of the key drugs.</w:t>
            </w:r>
          </w:p>
        </w:tc>
      </w:tr>
      <w:tr w:rsidR="005E5B6D" w:rsidRPr="00C92280" w14:paraId="2648D016" w14:textId="77777777" w:rsidTr="00584584">
        <w:trPr>
          <w:trHeight w:val="282"/>
        </w:trPr>
        <w:tc>
          <w:tcPr>
            <w:tcW w:w="562" w:type="dxa"/>
          </w:tcPr>
          <w:p w14:paraId="2974D874" w14:textId="77777777" w:rsidR="005E5B6D" w:rsidRPr="00F27622" w:rsidRDefault="005E5B6D" w:rsidP="005E5B6D">
            <w:pPr>
              <w:pStyle w:val="Tabletext"/>
              <w:numPr>
                <w:ilvl w:val="0"/>
                <w:numId w:val="21"/>
              </w:numPr>
            </w:pPr>
          </w:p>
        </w:tc>
        <w:tc>
          <w:tcPr>
            <w:tcW w:w="1843" w:type="dxa"/>
          </w:tcPr>
          <w:p w14:paraId="02A0AEBD" w14:textId="1A92C829" w:rsidR="005E5B6D" w:rsidRPr="00427135" w:rsidRDefault="00C10FA7" w:rsidP="005E5B6D">
            <w:pPr>
              <w:pStyle w:val="Tabletext"/>
            </w:pPr>
            <w:r>
              <w:t>SCM1</w:t>
            </w:r>
          </w:p>
        </w:tc>
        <w:tc>
          <w:tcPr>
            <w:tcW w:w="1985" w:type="dxa"/>
          </w:tcPr>
          <w:p w14:paraId="695C3EE8" w14:textId="36BF1ABB" w:rsidR="005E5B6D" w:rsidRPr="00DE5D03" w:rsidRDefault="00C10FA7" w:rsidP="00C10FA7">
            <w:pPr>
              <w:pStyle w:val="Tabletext"/>
              <w:rPr>
                <w:b/>
                <w:bCs/>
              </w:rPr>
            </w:pPr>
            <w:r>
              <w:rPr>
                <w:b/>
                <w:bCs/>
              </w:rPr>
              <w:t>T</w:t>
            </w:r>
            <w:r w:rsidR="00930324">
              <w:rPr>
                <w:b/>
                <w:bCs/>
              </w:rPr>
              <w:t xml:space="preserve">reating </w:t>
            </w:r>
            <w:r>
              <w:rPr>
                <w:b/>
                <w:bCs/>
              </w:rPr>
              <w:t>Heart failure with reduced ejection fraction</w:t>
            </w:r>
          </w:p>
        </w:tc>
        <w:tc>
          <w:tcPr>
            <w:tcW w:w="6520" w:type="dxa"/>
          </w:tcPr>
          <w:p w14:paraId="12E6379B" w14:textId="1729BFA4" w:rsidR="005E5B6D" w:rsidRPr="00427135" w:rsidRDefault="00C10FA7" w:rsidP="005E5B6D">
            <w:pPr>
              <w:pStyle w:val="Tabletext"/>
            </w:pPr>
            <w:r w:rsidRPr="00C10FA7">
              <w:t xml:space="preserve">Mandating triple therapy (unless contra-indicated) in all patients with </w:t>
            </w:r>
            <w:proofErr w:type="spellStart"/>
            <w:r w:rsidRPr="00C10FA7">
              <w:t>HFrEF</w:t>
            </w:r>
            <w:proofErr w:type="spellEnd"/>
            <w:r w:rsidRPr="00C10FA7">
              <w:t xml:space="preserve"> (this includes </w:t>
            </w:r>
            <w:proofErr w:type="spellStart"/>
            <w:r w:rsidRPr="00C10FA7">
              <w:t>ACEi</w:t>
            </w:r>
            <w:proofErr w:type="spellEnd"/>
            <w:r w:rsidRPr="00C10FA7">
              <w:t>/ARB/ARNI+BB+MRA)</w:t>
            </w:r>
          </w:p>
        </w:tc>
        <w:tc>
          <w:tcPr>
            <w:tcW w:w="3758" w:type="dxa"/>
          </w:tcPr>
          <w:p w14:paraId="24F00050" w14:textId="037B01BA" w:rsidR="005E5B6D" w:rsidRPr="00427135" w:rsidRDefault="00C10FA7" w:rsidP="005E5B6D">
            <w:pPr>
              <w:pStyle w:val="Tabletext"/>
            </w:pPr>
            <w:r w:rsidRPr="00C10FA7">
              <w:t xml:space="preserve">NICOR has demonstrated in the National Heart Failure audit that the uptake of triple therapy in patients with </w:t>
            </w:r>
            <w:proofErr w:type="spellStart"/>
            <w:r w:rsidRPr="00C10FA7">
              <w:t>HFrEF</w:t>
            </w:r>
            <w:proofErr w:type="spellEnd"/>
            <w:r w:rsidRPr="00C10FA7">
              <w:t xml:space="preserve"> is sub-optimal. NICOR </w:t>
            </w:r>
            <w:r w:rsidRPr="00C10FA7">
              <w:lastRenderedPageBreak/>
              <w:t>report 2020 and NG106 (1.4.1-1.4.18)</w:t>
            </w:r>
          </w:p>
        </w:tc>
      </w:tr>
      <w:tr w:rsidR="00930324" w:rsidRPr="00C92280" w14:paraId="40CADF78" w14:textId="77777777" w:rsidTr="00584584">
        <w:trPr>
          <w:trHeight w:val="282"/>
        </w:trPr>
        <w:tc>
          <w:tcPr>
            <w:tcW w:w="562" w:type="dxa"/>
          </w:tcPr>
          <w:p w14:paraId="7EE357B3" w14:textId="77777777" w:rsidR="00930324" w:rsidRPr="00F27622" w:rsidRDefault="00930324" w:rsidP="00930324">
            <w:pPr>
              <w:pStyle w:val="Tabletext"/>
              <w:numPr>
                <w:ilvl w:val="0"/>
                <w:numId w:val="21"/>
              </w:numPr>
            </w:pPr>
          </w:p>
        </w:tc>
        <w:tc>
          <w:tcPr>
            <w:tcW w:w="1843" w:type="dxa"/>
          </w:tcPr>
          <w:p w14:paraId="72A86DDA" w14:textId="7356344B" w:rsidR="00930324" w:rsidRPr="00427135" w:rsidRDefault="00930324" w:rsidP="00930324">
            <w:pPr>
              <w:pStyle w:val="Tabletext"/>
            </w:pPr>
            <w:r>
              <w:t>SCM1</w:t>
            </w:r>
          </w:p>
        </w:tc>
        <w:tc>
          <w:tcPr>
            <w:tcW w:w="1985" w:type="dxa"/>
          </w:tcPr>
          <w:p w14:paraId="428B3FE7" w14:textId="29C55519" w:rsidR="00930324" w:rsidRPr="00427135" w:rsidRDefault="00930324" w:rsidP="00930324">
            <w:pPr>
              <w:pStyle w:val="Tabletext"/>
            </w:pPr>
            <w:r>
              <w:rPr>
                <w:b/>
                <w:bCs/>
              </w:rPr>
              <w:t>Treating Heart failure with reduced ejection fraction</w:t>
            </w:r>
          </w:p>
        </w:tc>
        <w:tc>
          <w:tcPr>
            <w:tcW w:w="6520" w:type="dxa"/>
          </w:tcPr>
          <w:p w14:paraId="731F568F" w14:textId="3F39C89F" w:rsidR="00930324" w:rsidRPr="00427135" w:rsidRDefault="00930324" w:rsidP="00930324">
            <w:pPr>
              <w:pStyle w:val="Tabletext"/>
            </w:pPr>
            <w:r w:rsidRPr="00C10FA7">
              <w:t xml:space="preserve">Patients with </w:t>
            </w:r>
            <w:proofErr w:type="spellStart"/>
            <w:r w:rsidRPr="00C10FA7">
              <w:t>HFrEF</w:t>
            </w:r>
            <w:proofErr w:type="spellEnd"/>
            <w:r w:rsidRPr="00C10FA7">
              <w:t xml:space="preserve"> who remain symptomatic despite optimal therapy and whose LVEF is &lt;40% should be considered for a switch of </w:t>
            </w:r>
            <w:proofErr w:type="spellStart"/>
            <w:r w:rsidRPr="00C10FA7">
              <w:t>ACEi</w:t>
            </w:r>
            <w:proofErr w:type="spellEnd"/>
            <w:r w:rsidRPr="00C10FA7">
              <w:t xml:space="preserve"> to Sacubitril-Valsartan.</w:t>
            </w:r>
          </w:p>
        </w:tc>
        <w:tc>
          <w:tcPr>
            <w:tcW w:w="3758" w:type="dxa"/>
          </w:tcPr>
          <w:p w14:paraId="14489D65" w14:textId="7561E581" w:rsidR="00930324" w:rsidRPr="00427135" w:rsidRDefault="00930324" w:rsidP="00930324">
            <w:pPr>
              <w:pStyle w:val="Tabletext"/>
            </w:pPr>
            <w:r w:rsidRPr="00C10FA7">
              <w:t>NG106 (1.4.22)</w:t>
            </w:r>
          </w:p>
        </w:tc>
      </w:tr>
      <w:tr w:rsidR="00930324" w:rsidRPr="00C92280" w14:paraId="0B5CBAEE" w14:textId="77777777" w:rsidTr="00584584">
        <w:trPr>
          <w:trHeight w:val="282"/>
        </w:trPr>
        <w:tc>
          <w:tcPr>
            <w:tcW w:w="562" w:type="dxa"/>
          </w:tcPr>
          <w:p w14:paraId="3F9D8761" w14:textId="77777777" w:rsidR="00930324" w:rsidRPr="00F27622" w:rsidRDefault="00930324" w:rsidP="00930324">
            <w:pPr>
              <w:pStyle w:val="Tabletext"/>
              <w:numPr>
                <w:ilvl w:val="0"/>
                <w:numId w:val="21"/>
              </w:numPr>
            </w:pPr>
          </w:p>
        </w:tc>
        <w:tc>
          <w:tcPr>
            <w:tcW w:w="1843" w:type="dxa"/>
          </w:tcPr>
          <w:p w14:paraId="195F6457" w14:textId="7C9D210E" w:rsidR="00930324" w:rsidRPr="00427135" w:rsidRDefault="00930324" w:rsidP="00930324">
            <w:pPr>
              <w:pStyle w:val="Tabletext"/>
            </w:pPr>
            <w:r>
              <w:t>SCM1</w:t>
            </w:r>
          </w:p>
        </w:tc>
        <w:tc>
          <w:tcPr>
            <w:tcW w:w="1985" w:type="dxa"/>
          </w:tcPr>
          <w:p w14:paraId="7B9917BF" w14:textId="71DB3958" w:rsidR="00930324" w:rsidRPr="00427135" w:rsidRDefault="00930324" w:rsidP="00930324">
            <w:pPr>
              <w:pStyle w:val="Tabletext"/>
            </w:pPr>
            <w:r>
              <w:rPr>
                <w:b/>
                <w:bCs/>
              </w:rPr>
              <w:t>Treating Heart failure with reduced ejection fraction</w:t>
            </w:r>
          </w:p>
        </w:tc>
        <w:tc>
          <w:tcPr>
            <w:tcW w:w="6520" w:type="dxa"/>
          </w:tcPr>
          <w:p w14:paraId="3B30F8CB" w14:textId="7C63DB2C" w:rsidR="00930324" w:rsidRPr="00427135" w:rsidRDefault="00930324" w:rsidP="00930324">
            <w:pPr>
              <w:pStyle w:val="Tabletext"/>
            </w:pPr>
            <w:r w:rsidRPr="00C10FA7">
              <w:t xml:space="preserve">Patients with </w:t>
            </w:r>
            <w:proofErr w:type="spellStart"/>
            <w:r w:rsidRPr="00C10FA7">
              <w:t>HFrEF</w:t>
            </w:r>
            <w:proofErr w:type="spellEnd"/>
            <w:r w:rsidRPr="00C10FA7">
              <w:t xml:space="preserve"> who are in sinus rhythm and whose heart rate is &gt;75 bpm despite optimal beta-blockade or who either are unable to tolerate higher doses of beta-blockers or have a contra-indication to beta-blockers should be considered for treatment with ivabradine</w:t>
            </w:r>
          </w:p>
        </w:tc>
        <w:tc>
          <w:tcPr>
            <w:tcW w:w="3758" w:type="dxa"/>
          </w:tcPr>
          <w:p w14:paraId="60C547B4" w14:textId="6486A7F0" w:rsidR="00930324" w:rsidRPr="00427135" w:rsidRDefault="00930324" w:rsidP="00930324">
            <w:pPr>
              <w:pStyle w:val="Tabletext"/>
            </w:pPr>
            <w:r w:rsidRPr="00C10FA7">
              <w:t>NG106 (1.4.19)</w:t>
            </w:r>
          </w:p>
        </w:tc>
      </w:tr>
      <w:tr w:rsidR="00930324" w:rsidRPr="00C92280" w14:paraId="35A1253C" w14:textId="77777777" w:rsidTr="00584584">
        <w:trPr>
          <w:trHeight w:val="282"/>
        </w:trPr>
        <w:tc>
          <w:tcPr>
            <w:tcW w:w="562" w:type="dxa"/>
          </w:tcPr>
          <w:p w14:paraId="31718E2E" w14:textId="77777777" w:rsidR="00930324" w:rsidRPr="00F27622" w:rsidRDefault="00930324" w:rsidP="00930324">
            <w:pPr>
              <w:pStyle w:val="Tabletext"/>
              <w:numPr>
                <w:ilvl w:val="0"/>
                <w:numId w:val="21"/>
              </w:numPr>
            </w:pPr>
          </w:p>
        </w:tc>
        <w:tc>
          <w:tcPr>
            <w:tcW w:w="1843" w:type="dxa"/>
          </w:tcPr>
          <w:p w14:paraId="6C684ABB" w14:textId="512B833F" w:rsidR="00930324" w:rsidRPr="00427135" w:rsidRDefault="00930324" w:rsidP="00930324">
            <w:pPr>
              <w:pStyle w:val="Tabletext"/>
            </w:pPr>
            <w:r>
              <w:t>SCM1</w:t>
            </w:r>
          </w:p>
        </w:tc>
        <w:tc>
          <w:tcPr>
            <w:tcW w:w="1985" w:type="dxa"/>
          </w:tcPr>
          <w:p w14:paraId="7807E7D5" w14:textId="700CD601" w:rsidR="00930324" w:rsidRPr="00427135" w:rsidRDefault="00930324" w:rsidP="00930324">
            <w:pPr>
              <w:pStyle w:val="Tabletext"/>
            </w:pPr>
            <w:r>
              <w:rPr>
                <w:b/>
                <w:bCs/>
              </w:rPr>
              <w:t>Treating Heart failure with reduced ejection fraction</w:t>
            </w:r>
          </w:p>
        </w:tc>
        <w:tc>
          <w:tcPr>
            <w:tcW w:w="6520" w:type="dxa"/>
          </w:tcPr>
          <w:p w14:paraId="6255D8FA" w14:textId="37F815B4" w:rsidR="00930324" w:rsidRPr="00427135" w:rsidRDefault="00930324" w:rsidP="00930324">
            <w:pPr>
              <w:pStyle w:val="Tabletext"/>
            </w:pPr>
            <w:r w:rsidRPr="00C10FA7">
              <w:t xml:space="preserve">Patients with </w:t>
            </w:r>
            <w:proofErr w:type="spellStart"/>
            <w:r w:rsidRPr="00C10FA7">
              <w:t>HFrEF</w:t>
            </w:r>
            <w:proofErr w:type="spellEnd"/>
            <w:r w:rsidRPr="00C10FA7">
              <w:t xml:space="preserve"> optimally treated with best tolerated triple therapy and who are still symptomatic should be considered for treatment with SGLT2i (either Dapagliflozin or Empagliflozin)</w:t>
            </w:r>
          </w:p>
        </w:tc>
        <w:tc>
          <w:tcPr>
            <w:tcW w:w="3758" w:type="dxa"/>
          </w:tcPr>
          <w:p w14:paraId="402D14AD" w14:textId="77777777" w:rsidR="00930324" w:rsidRDefault="00930324" w:rsidP="00930324">
            <w:pPr>
              <w:pStyle w:val="Tabletext"/>
            </w:pPr>
            <w:r>
              <w:t>While this was not included in NG106, it appears in two subsequent recommendations by NICE TAC: TA679 (21/02/2021) and TA773 (9/3/2022); which are supposed to be considered alongside NG106.</w:t>
            </w:r>
          </w:p>
          <w:p w14:paraId="1271DFBE" w14:textId="1C7F1016" w:rsidR="00930324" w:rsidRPr="00427135" w:rsidRDefault="00930324" w:rsidP="00930324">
            <w:pPr>
              <w:pStyle w:val="Tabletext"/>
            </w:pPr>
            <w:r>
              <w:t>In addition, Dapagliflozin is now recommended in patients with Chronic Kidney Disease TA775 (9/3/2022) and this can be linked to NG106 under 1.5 in those guidelines, particularly 1.5.1 and 1.5.2.</w:t>
            </w:r>
          </w:p>
        </w:tc>
      </w:tr>
      <w:tr w:rsidR="00930324" w:rsidRPr="00C92280" w14:paraId="76FF072B" w14:textId="77777777" w:rsidTr="00584584">
        <w:trPr>
          <w:trHeight w:val="282"/>
        </w:trPr>
        <w:tc>
          <w:tcPr>
            <w:tcW w:w="562" w:type="dxa"/>
          </w:tcPr>
          <w:p w14:paraId="152BCFDA" w14:textId="77777777" w:rsidR="00930324" w:rsidRPr="00F27622" w:rsidRDefault="00930324" w:rsidP="00930324">
            <w:pPr>
              <w:pStyle w:val="Tabletext"/>
              <w:numPr>
                <w:ilvl w:val="0"/>
                <w:numId w:val="21"/>
              </w:numPr>
            </w:pPr>
          </w:p>
        </w:tc>
        <w:tc>
          <w:tcPr>
            <w:tcW w:w="1843" w:type="dxa"/>
          </w:tcPr>
          <w:p w14:paraId="4CD19F15" w14:textId="111292EB" w:rsidR="00930324" w:rsidRPr="00427135" w:rsidRDefault="00930324" w:rsidP="00930324">
            <w:pPr>
              <w:pStyle w:val="Tabletext"/>
            </w:pPr>
            <w:r>
              <w:t>SCM1</w:t>
            </w:r>
          </w:p>
        </w:tc>
        <w:tc>
          <w:tcPr>
            <w:tcW w:w="1985" w:type="dxa"/>
          </w:tcPr>
          <w:p w14:paraId="20D0CE02" w14:textId="67FCAB70" w:rsidR="00930324" w:rsidRPr="00427135" w:rsidRDefault="00930324" w:rsidP="00930324">
            <w:pPr>
              <w:pStyle w:val="Tabletext"/>
            </w:pPr>
            <w:r>
              <w:rPr>
                <w:b/>
                <w:bCs/>
              </w:rPr>
              <w:t>Treating Heart failure with reduced ejection fraction</w:t>
            </w:r>
          </w:p>
        </w:tc>
        <w:tc>
          <w:tcPr>
            <w:tcW w:w="6520" w:type="dxa"/>
          </w:tcPr>
          <w:p w14:paraId="057BF35A" w14:textId="7762885F" w:rsidR="00930324" w:rsidRPr="00427135" w:rsidRDefault="00930324" w:rsidP="00930324">
            <w:pPr>
              <w:pStyle w:val="Tabletext"/>
            </w:pPr>
            <w:r w:rsidRPr="00C10FA7">
              <w:t xml:space="preserve">Patients with </w:t>
            </w:r>
            <w:proofErr w:type="spellStart"/>
            <w:r w:rsidRPr="00C10FA7">
              <w:t>HFrEF</w:t>
            </w:r>
            <w:proofErr w:type="spellEnd"/>
            <w:r w:rsidRPr="00C10FA7">
              <w:t xml:space="preserve"> who are considered for ICD should have regular reviews to assess the continuing need for the defibrillator and to ascertain whether the potential harm may exceed the potential benefit, when deactivation needs to be considered </w:t>
            </w:r>
            <w:r w:rsidRPr="00C10FA7">
              <w:lastRenderedPageBreak/>
              <w:t>without affecting the pacing or if appropriate the synchronisation functions of the device they have.</w:t>
            </w:r>
          </w:p>
        </w:tc>
        <w:tc>
          <w:tcPr>
            <w:tcW w:w="3758" w:type="dxa"/>
          </w:tcPr>
          <w:p w14:paraId="7F338840" w14:textId="5B14A7E4" w:rsidR="00930324" w:rsidRPr="00427135" w:rsidRDefault="00930324" w:rsidP="00930324">
            <w:pPr>
              <w:pStyle w:val="Tabletext"/>
            </w:pPr>
            <w:r w:rsidRPr="00C10FA7">
              <w:lastRenderedPageBreak/>
              <w:t>NG106 (1.8.3 and 1.8.4)</w:t>
            </w:r>
          </w:p>
        </w:tc>
      </w:tr>
      <w:tr w:rsidR="00930324" w:rsidRPr="00C92280" w14:paraId="406A787A" w14:textId="77777777" w:rsidTr="00584584">
        <w:trPr>
          <w:trHeight w:val="282"/>
        </w:trPr>
        <w:tc>
          <w:tcPr>
            <w:tcW w:w="562" w:type="dxa"/>
          </w:tcPr>
          <w:p w14:paraId="1FD2337C" w14:textId="77777777" w:rsidR="00930324" w:rsidRPr="00F27622" w:rsidRDefault="00930324" w:rsidP="00930324">
            <w:pPr>
              <w:pStyle w:val="Tabletext"/>
              <w:numPr>
                <w:ilvl w:val="0"/>
                <w:numId w:val="21"/>
              </w:numPr>
            </w:pPr>
          </w:p>
        </w:tc>
        <w:tc>
          <w:tcPr>
            <w:tcW w:w="1843" w:type="dxa"/>
          </w:tcPr>
          <w:p w14:paraId="5E0DD105" w14:textId="448C4036" w:rsidR="00930324" w:rsidRPr="00427135" w:rsidRDefault="00930324" w:rsidP="00930324">
            <w:pPr>
              <w:pStyle w:val="Tabletext"/>
            </w:pPr>
            <w:r>
              <w:t>SCM1</w:t>
            </w:r>
          </w:p>
        </w:tc>
        <w:tc>
          <w:tcPr>
            <w:tcW w:w="1985" w:type="dxa"/>
          </w:tcPr>
          <w:p w14:paraId="531896C4" w14:textId="2D7FD428" w:rsidR="00930324" w:rsidRPr="00427135" w:rsidRDefault="00930324" w:rsidP="00930324">
            <w:pPr>
              <w:pStyle w:val="Tabletext"/>
            </w:pPr>
            <w:r>
              <w:rPr>
                <w:b/>
                <w:bCs/>
              </w:rPr>
              <w:t>Treating Heart failure with reduced ejection fraction</w:t>
            </w:r>
          </w:p>
        </w:tc>
        <w:tc>
          <w:tcPr>
            <w:tcW w:w="6520" w:type="dxa"/>
          </w:tcPr>
          <w:p w14:paraId="1B0C8BF8" w14:textId="77777777" w:rsidR="00930324" w:rsidRDefault="00930324" w:rsidP="00930324">
            <w:pPr>
              <w:pStyle w:val="Tabletext"/>
            </w:pPr>
            <w:r>
              <w:t xml:space="preserve">*Dear colleagues, in case my proposal for key area for quality improvement 4 was to be rejected </w:t>
            </w:r>
            <w:proofErr w:type="gramStart"/>
            <w:r>
              <w:t>on the basis of</w:t>
            </w:r>
            <w:proofErr w:type="gramEnd"/>
            <w:r>
              <w:t xml:space="preserve"> the technicality as it was not part of NG106, then I propose as a replacement to add the following:</w:t>
            </w:r>
          </w:p>
          <w:p w14:paraId="4B626C74" w14:textId="77777777" w:rsidR="00930324" w:rsidRDefault="00930324" w:rsidP="00930324">
            <w:pPr>
              <w:pStyle w:val="Tabletext"/>
            </w:pPr>
            <w:r>
              <w:t xml:space="preserve">KQI4: </w:t>
            </w:r>
          </w:p>
          <w:p w14:paraId="715CB0E5" w14:textId="19E7834C" w:rsidR="00930324" w:rsidRPr="00427135" w:rsidRDefault="00930324" w:rsidP="00930324">
            <w:pPr>
              <w:pStyle w:val="Tabletext"/>
            </w:pPr>
            <w:r>
              <w:t xml:space="preserve">Patients with </w:t>
            </w:r>
            <w:proofErr w:type="spellStart"/>
            <w:r>
              <w:t>HFrEF</w:t>
            </w:r>
            <w:proofErr w:type="spellEnd"/>
            <w:r>
              <w:t xml:space="preserve"> who have been started on MRA should have their renal function monthly for three months and then at least every 6 months and when the patient becomes acutely unwell. [Supporting information: This is from NG106(1.4.18)]: Please note there is typo in 1.4.18 it says review treatment when it was mean to have been monitor the renal function.</w:t>
            </w:r>
          </w:p>
        </w:tc>
        <w:tc>
          <w:tcPr>
            <w:tcW w:w="3758" w:type="dxa"/>
          </w:tcPr>
          <w:p w14:paraId="0BFB3D47" w14:textId="77777777" w:rsidR="00930324" w:rsidRPr="00427135" w:rsidRDefault="00930324" w:rsidP="00930324">
            <w:pPr>
              <w:pStyle w:val="Tabletext"/>
            </w:pPr>
          </w:p>
        </w:tc>
      </w:tr>
      <w:tr w:rsidR="00AF2E19" w:rsidRPr="00C92280" w14:paraId="1918C85C" w14:textId="77777777" w:rsidTr="00584584">
        <w:trPr>
          <w:trHeight w:val="282"/>
        </w:trPr>
        <w:tc>
          <w:tcPr>
            <w:tcW w:w="562" w:type="dxa"/>
          </w:tcPr>
          <w:p w14:paraId="708B48CD" w14:textId="77777777" w:rsidR="00AF2E19" w:rsidRPr="00F27622" w:rsidRDefault="00AF2E19" w:rsidP="00930324">
            <w:pPr>
              <w:pStyle w:val="Tabletext"/>
              <w:numPr>
                <w:ilvl w:val="0"/>
                <w:numId w:val="21"/>
              </w:numPr>
            </w:pPr>
          </w:p>
        </w:tc>
        <w:tc>
          <w:tcPr>
            <w:tcW w:w="1843" w:type="dxa"/>
          </w:tcPr>
          <w:p w14:paraId="2A74D9DC" w14:textId="5437F135" w:rsidR="00AF2E19" w:rsidRPr="00C10FA7" w:rsidRDefault="00AF2E19" w:rsidP="00930324">
            <w:pPr>
              <w:pStyle w:val="Tabletext"/>
            </w:pPr>
            <w:r>
              <w:t>BACPR</w:t>
            </w:r>
          </w:p>
        </w:tc>
        <w:tc>
          <w:tcPr>
            <w:tcW w:w="1985" w:type="dxa"/>
          </w:tcPr>
          <w:p w14:paraId="5FD68A49" w14:textId="7FFAF8E4" w:rsidR="00AF2E19" w:rsidRDefault="00AF2E19" w:rsidP="00930324">
            <w:pPr>
              <w:pStyle w:val="Tabletext"/>
              <w:rPr>
                <w:b/>
                <w:bCs/>
              </w:rPr>
            </w:pPr>
            <w:r>
              <w:rPr>
                <w:b/>
                <w:bCs/>
              </w:rPr>
              <w:t>Treating Heart failure with reduced ejection fraction</w:t>
            </w:r>
          </w:p>
        </w:tc>
        <w:tc>
          <w:tcPr>
            <w:tcW w:w="6520" w:type="dxa"/>
          </w:tcPr>
          <w:p w14:paraId="17BE1ABA" w14:textId="77777777" w:rsidR="00AF2E19" w:rsidRDefault="00AF2E19" w:rsidP="00930324">
            <w:pPr>
              <w:pStyle w:val="Tabletext"/>
            </w:pPr>
            <w:r w:rsidRPr="00AF2E19">
              <w:t xml:space="preserve">Adults with chronic heart failure and reduced ejection fraction are offered medicines </w:t>
            </w:r>
            <w:proofErr w:type="spellStart"/>
            <w:r w:rsidRPr="00AF2E19">
              <w:t>optimisaton</w:t>
            </w:r>
            <w:proofErr w:type="spellEnd"/>
            <w:r w:rsidRPr="00AF2E19">
              <w:t xml:space="preserve"> clinics to enable rapid titration of guideline developed medical therapy (GDMT) SGLT2, MRA, BB, </w:t>
            </w:r>
            <w:proofErr w:type="spellStart"/>
            <w:r w:rsidRPr="00AF2E19">
              <w:t>ARNi</w:t>
            </w:r>
            <w:proofErr w:type="spellEnd"/>
            <w:r w:rsidRPr="00AF2E19">
              <w:t>/</w:t>
            </w:r>
            <w:proofErr w:type="spellStart"/>
            <w:r w:rsidRPr="00AF2E19">
              <w:t>ACEi</w:t>
            </w:r>
            <w:proofErr w:type="spellEnd"/>
            <w:r w:rsidRPr="00AF2E19">
              <w:t>/ARB.</w:t>
            </w:r>
          </w:p>
          <w:p w14:paraId="448409A8" w14:textId="57635FA3" w:rsidR="00AF2E19" w:rsidRDefault="00AF2E19" w:rsidP="00930324">
            <w:pPr>
              <w:pStyle w:val="Tabletext"/>
            </w:pPr>
            <w:r w:rsidRPr="00AF2E19">
              <w:t>Evidence suggests much of the benefits of GDMT are seen within 30 days of initiating treatment.  This includes reduced hospitalisation.</w:t>
            </w:r>
          </w:p>
        </w:tc>
        <w:tc>
          <w:tcPr>
            <w:tcW w:w="3758" w:type="dxa"/>
          </w:tcPr>
          <w:p w14:paraId="18734488" w14:textId="77777777" w:rsidR="00AF2E19" w:rsidRPr="00427135" w:rsidRDefault="00AF2E19" w:rsidP="00930324">
            <w:pPr>
              <w:pStyle w:val="Tabletext"/>
            </w:pPr>
          </w:p>
        </w:tc>
      </w:tr>
      <w:tr w:rsidR="00930324" w:rsidRPr="00C92280" w14:paraId="098E2C4A" w14:textId="77777777" w:rsidTr="00584584">
        <w:trPr>
          <w:trHeight w:val="282"/>
        </w:trPr>
        <w:tc>
          <w:tcPr>
            <w:tcW w:w="562" w:type="dxa"/>
          </w:tcPr>
          <w:p w14:paraId="1A65EEF5" w14:textId="77777777" w:rsidR="00930324" w:rsidRPr="00F27622" w:rsidRDefault="00930324" w:rsidP="00930324">
            <w:pPr>
              <w:pStyle w:val="Tabletext"/>
              <w:numPr>
                <w:ilvl w:val="0"/>
                <w:numId w:val="21"/>
              </w:numPr>
            </w:pPr>
          </w:p>
        </w:tc>
        <w:tc>
          <w:tcPr>
            <w:tcW w:w="1843" w:type="dxa"/>
          </w:tcPr>
          <w:p w14:paraId="538CDB3C" w14:textId="5494D683" w:rsidR="00930324" w:rsidRPr="00427135" w:rsidRDefault="00930324" w:rsidP="00930324">
            <w:pPr>
              <w:pStyle w:val="Tabletext"/>
            </w:pPr>
            <w:r w:rsidRPr="00C10FA7">
              <w:t>Bayer Plc Ltd</w:t>
            </w:r>
          </w:p>
        </w:tc>
        <w:tc>
          <w:tcPr>
            <w:tcW w:w="1985" w:type="dxa"/>
          </w:tcPr>
          <w:p w14:paraId="5DC36968" w14:textId="5AEEEAF8" w:rsidR="00930324" w:rsidRPr="00427135" w:rsidRDefault="00930324" w:rsidP="00930324">
            <w:pPr>
              <w:pStyle w:val="Tabletext"/>
            </w:pPr>
            <w:r>
              <w:rPr>
                <w:b/>
                <w:bCs/>
              </w:rPr>
              <w:t>Treating Heart failure with reduced ejection fraction</w:t>
            </w:r>
          </w:p>
        </w:tc>
        <w:tc>
          <w:tcPr>
            <w:tcW w:w="6520" w:type="dxa"/>
          </w:tcPr>
          <w:p w14:paraId="01426550" w14:textId="77777777" w:rsidR="00930324" w:rsidRDefault="00930324" w:rsidP="00930324">
            <w:pPr>
              <w:pStyle w:val="Tabletext"/>
            </w:pPr>
            <w:r>
              <w:t>Adults should have a medication review prior to discharge from hospital.  Treatment with ACE inhibitor, beta-blocker and MRA should be optimised.</w:t>
            </w:r>
            <w:r>
              <w:tab/>
              <w:t xml:space="preserve">Prescription of </w:t>
            </w:r>
            <w:proofErr w:type="spellStart"/>
            <w:r>
              <w:t>ACEi</w:t>
            </w:r>
            <w:proofErr w:type="spellEnd"/>
            <w:r>
              <w:t>, beta-blocker and MRA are key performance indicators for patients with HF as these drugs are associated with better survival, lower hospitalisation rates and better quality of life</w:t>
            </w:r>
            <w:r>
              <w:tab/>
              <w:t xml:space="preserve">The National Heart Failure Audit states that all </w:t>
            </w:r>
            <w:proofErr w:type="spellStart"/>
            <w:r>
              <w:t>HRrEF</w:t>
            </w:r>
            <w:proofErr w:type="spellEnd"/>
            <w:r>
              <w:t xml:space="preserve"> patients should be discharged on ACE, BB and MRA.  </w:t>
            </w:r>
          </w:p>
          <w:p w14:paraId="6B355DDD" w14:textId="77777777" w:rsidR="00930324" w:rsidRDefault="00930324" w:rsidP="00930324">
            <w:pPr>
              <w:pStyle w:val="Tabletext"/>
            </w:pPr>
            <w:r>
              <w:t>In the 2021 NHFA report the proportion of patients discharged on all three medications in the period 2019/2020 was 49%.</w:t>
            </w:r>
          </w:p>
          <w:p w14:paraId="795EE324" w14:textId="77777777" w:rsidR="00930324" w:rsidRDefault="00930324" w:rsidP="00930324">
            <w:pPr>
              <w:pStyle w:val="Tabletext"/>
            </w:pPr>
            <w:r>
              <w:lastRenderedPageBreak/>
              <w:t>Reference</w:t>
            </w:r>
          </w:p>
          <w:p w14:paraId="2CAFA81A" w14:textId="483CCB32" w:rsidR="00930324" w:rsidRPr="00427135" w:rsidRDefault="00930324" w:rsidP="00930324">
            <w:pPr>
              <w:pStyle w:val="Tabletext"/>
            </w:pPr>
            <w:r>
              <w:t>https://www.hqip.org.uk/resource/national-heart-failure-audit-nhfa-2021-summary-report/#.Yl5kvud7mUk</w:t>
            </w:r>
          </w:p>
        </w:tc>
        <w:tc>
          <w:tcPr>
            <w:tcW w:w="3758" w:type="dxa"/>
          </w:tcPr>
          <w:p w14:paraId="69D0C7CE" w14:textId="593291E0" w:rsidR="00930324" w:rsidRPr="00427135" w:rsidRDefault="00AF2E19" w:rsidP="00930324">
            <w:pPr>
              <w:pStyle w:val="Tabletext"/>
            </w:pPr>
            <w:r w:rsidRPr="00AF2E19">
              <w:lastRenderedPageBreak/>
              <w:t>McMurray, J.J. and Packer, M., 2021. How should we sequence the treatments for heart failure and a reduced ejection fraction? A redefinition of evidence-based medicine. Circulation, 143(9), pp.875-877.</w:t>
            </w:r>
          </w:p>
        </w:tc>
      </w:tr>
      <w:tr w:rsidR="00930324" w:rsidRPr="00C92280" w14:paraId="3432B6F6" w14:textId="77777777" w:rsidTr="00584584">
        <w:trPr>
          <w:trHeight w:val="282"/>
        </w:trPr>
        <w:tc>
          <w:tcPr>
            <w:tcW w:w="562" w:type="dxa"/>
          </w:tcPr>
          <w:p w14:paraId="7CE19250" w14:textId="77777777" w:rsidR="00930324" w:rsidRPr="00F27622" w:rsidRDefault="00930324" w:rsidP="00930324">
            <w:pPr>
              <w:pStyle w:val="Tabletext"/>
              <w:numPr>
                <w:ilvl w:val="0"/>
                <w:numId w:val="21"/>
              </w:numPr>
            </w:pPr>
          </w:p>
        </w:tc>
        <w:tc>
          <w:tcPr>
            <w:tcW w:w="1843" w:type="dxa"/>
          </w:tcPr>
          <w:p w14:paraId="74B6F6B4" w14:textId="6528B786" w:rsidR="00930324" w:rsidRPr="00427135" w:rsidRDefault="00930324" w:rsidP="00930324">
            <w:pPr>
              <w:pStyle w:val="Tabletext"/>
            </w:pPr>
            <w:r w:rsidRPr="00C10FA7">
              <w:t>Boehringer Ingelheim</w:t>
            </w:r>
          </w:p>
        </w:tc>
        <w:tc>
          <w:tcPr>
            <w:tcW w:w="1985" w:type="dxa"/>
          </w:tcPr>
          <w:p w14:paraId="2A234A1C" w14:textId="1AB9045D" w:rsidR="00930324" w:rsidRPr="00427135" w:rsidRDefault="00930324" w:rsidP="00930324">
            <w:pPr>
              <w:pStyle w:val="Tabletext"/>
            </w:pPr>
            <w:r>
              <w:rPr>
                <w:b/>
                <w:bCs/>
              </w:rPr>
              <w:t>Treating Heart failure with reduced ejection fraction</w:t>
            </w:r>
          </w:p>
        </w:tc>
        <w:tc>
          <w:tcPr>
            <w:tcW w:w="6520" w:type="dxa"/>
          </w:tcPr>
          <w:p w14:paraId="107119A9" w14:textId="77777777" w:rsidR="00930324" w:rsidRDefault="00930324" w:rsidP="00930324">
            <w:pPr>
              <w:pStyle w:val="Tabletext"/>
            </w:pPr>
            <w:r>
              <w:t xml:space="preserve">Inclusion of all 4 pillars of HF medicines should be recognised. Recommend that MRAs &amp; SGLT2i (Empagliflozin &amp; Dapagliflozin) are included into existing statement 3 &amp; 4 as these treatments are recommended as an option for treating symptomatic chronic heart failure with reduced ejection fraction in adults, only if it is used as an add-on to </w:t>
            </w:r>
            <w:proofErr w:type="gramStart"/>
            <w:r>
              <w:t>optimised</w:t>
            </w:r>
            <w:proofErr w:type="gramEnd"/>
            <w:r>
              <w:t xml:space="preserve"> standard care.</w:t>
            </w:r>
          </w:p>
          <w:p w14:paraId="0C8BA4DE" w14:textId="77777777" w:rsidR="00930324" w:rsidRDefault="00930324" w:rsidP="00930324">
            <w:pPr>
              <w:pStyle w:val="Tabletext"/>
            </w:pPr>
            <w:r>
              <w:t>The minimum standard for review in Quality Statement 3 &amp; 5 should consider strengthening the statement around the review of medication to reinforce the need for recommended dose of SGLT2i or maximum tolerated doses of ACE / ARB / ARNI, BB, MRA, including reviewing for any missing treatments in this list.</w:t>
            </w:r>
          </w:p>
          <w:p w14:paraId="33102175" w14:textId="77777777" w:rsidR="00930324" w:rsidRDefault="00930324" w:rsidP="00930324">
            <w:pPr>
              <w:pStyle w:val="Tabletext"/>
            </w:pPr>
          </w:p>
          <w:p w14:paraId="0A3F7B85" w14:textId="77777777" w:rsidR="00930324" w:rsidRDefault="00930324" w:rsidP="00930324">
            <w:pPr>
              <w:pStyle w:val="Tabletext"/>
            </w:pPr>
            <w:r>
              <w:t xml:space="preserve">People with heart failure with reduced ejection fraction may have symptoms that are not controlled well enough despite being on the most appropriate (optimised) standard care. Standard care includes an ACE inhibitor or an ARB, with a beta blocker and, if tolerated, an MRA. Then, if symptoms </w:t>
            </w:r>
            <w:proofErr w:type="gramStart"/>
            <w:r>
              <w:t>continue on</w:t>
            </w:r>
            <w:proofErr w:type="gramEnd"/>
            <w:r>
              <w:t xml:space="preserve"> this, people may be offered sacubitril valsartan with a beta blocker and, if tolerated, an MRA.</w:t>
            </w:r>
          </w:p>
          <w:p w14:paraId="407260D4" w14:textId="77777777" w:rsidR="00930324" w:rsidRDefault="00930324" w:rsidP="00930324">
            <w:pPr>
              <w:pStyle w:val="Tabletext"/>
            </w:pPr>
            <w:r>
              <w:t xml:space="preserve">Evidence from clinical trials shows that empagliflozin and Dapagliflozin plus standard care reduces the risk of dying from cardiovascular causes and hospitalisation for Heart failure compared with placebo plus standard care. It also shows that it reduces the likelihood of hospitalisation for heart failure. </w:t>
            </w:r>
          </w:p>
          <w:p w14:paraId="7EF971BD" w14:textId="77777777" w:rsidR="00930324" w:rsidRDefault="00930324" w:rsidP="00930324">
            <w:pPr>
              <w:pStyle w:val="Tabletext"/>
            </w:pPr>
            <w:r>
              <w:t xml:space="preserve">The cost-effectiveness estimates for empagliflozin and Dapagliflozin are within what NICE normally considers an </w:t>
            </w:r>
            <w:r>
              <w:lastRenderedPageBreak/>
              <w:t xml:space="preserve">acceptable use of NHS resources. So empagliflozin and Dapagliflozin are recommended as treatment options for HF patients. </w:t>
            </w:r>
          </w:p>
          <w:p w14:paraId="428D5FDD" w14:textId="77777777" w:rsidR="00930324" w:rsidRDefault="00930324" w:rsidP="00930324">
            <w:pPr>
              <w:pStyle w:val="Tabletext"/>
            </w:pPr>
            <w:r>
              <w:t>Increased monitoring or changes to other medicines being taken may be needed for treating heart failure with empagliflozin. So, it should only be started on advice from a heart failure specialist.</w:t>
            </w:r>
          </w:p>
          <w:p w14:paraId="26DECB3F" w14:textId="44A37308" w:rsidR="00930324" w:rsidRPr="00427135" w:rsidRDefault="00930324" w:rsidP="00930324">
            <w:pPr>
              <w:pStyle w:val="Tabletext"/>
            </w:pPr>
            <w:r>
              <w:t xml:space="preserve">People with heart failure with reduced ejection fraction may have symptoms that are not controlled well enough despite being on the most appropriate (optimised) standard care. Standard care includes an ACE inhibitor or an ARB, with a beta blocker and, if tolerated, an MRA. Then, if symptoms </w:t>
            </w:r>
            <w:proofErr w:type="gramStart"/>
            <w:r>
              <w:t>continue on</w:t>
            </w:r>
            <w:proofErr w:type="gramEnd"/>
            <w:r>
              <w:t xml:space="preserve"> this, people may be offered sacubitril valsartan with a beta blocker and, if tolerated, an MRA</w:t>
            </w:r>
          </w:p>
        </w:tc>
        <w:tc>
          <w:tcPr>
            <w:tcW w:w="3758" w:type="dxa"/>
          </w:tcPr>
          <w:p w14:paraId="576987C8" w14:textId="77777777" w:rsidR="00930324" w:rsidRPr="00C10FA7" w:rsidRDefault="00AF2CC8" w:rsidP="00DE5D03">
            <w:pPr>
              <w:pStyle w:val="Tabletext"/>
            </w:pPr>
            <w:hyperlink r:id="rId105" w:history="1">
              <w:r w:rsidR="00930324" w:rsidRPr="00C10FA7">
                <w:rPr>
                  <w:rStyle w:val="Hyperlink"/>
                </w:rPr>
                <w:t>https://www.nice.org.uk/guidance/ta773/chapter/1-Recommendations</w:t>
              </w:r>
            </w:hyperlink>
            <w:r w:rsidR="00930324" w:rsidRPr="00C10FA7">
              <w:t xml:space="preserve"> </w:t>
            </w:r>
          </w:p>
          <w:p w14:paraId="068AEA9D" w14:textId="77777777" w:rsidR="00930324" w:rsidRPr="00C10FA7" w:rsidRDefault="00AF2CC8" w:rsidP="00DE5D03">
            <w:pPr>
              <w:pStyle w:val="Tabletext"/>
            </w:pPr>
            <w:hyperlink r:id="rId106" w:history="1">
              <w:r w:rsidR="00930324" w:rsidRPr="00C10FA7">
                <w:rPr>
                  <w:rStyle w:val="Hyperlink"/>
                </w:rPr>
                <w:t>https://www.nice.org.uk/guidance/TA679</w:t>
              </w:r>
            </w:hyperlink>
            <w:r w:rsidR="00930324" w:rsidRPr="00C10FA7">
              <w:t xml:space="preserve"> </w:t>
            </w:r>
          </w:p>
          <w:p w14:paraId="1A572C2E" w14:textId="77777777" w:rsidR="00930324" w:rsidRPr="00C10FA7" w:rsidRDefault="00AF2CC8" w:rsidP="00DE5D03">
            <w:pPr>
              <w:pStyle w:val="Tabletext"/>
            </w:pPr>
            <w:hyperlink r:id="rId107" w:history="1">
              <w:r w:rsidR="00930324" w:rsidRPr="00C10FA7">
                <w:rPr>
                  <w:rStyle w:val="Hyperlink"/>
                </w:rPr>
                <w:t>https://www.nice.org.uk/guidance/ta773/chapter/1-Recommendations</w:t>
              </w:r>
            </w:hyperlink>
          </w:p>
          <w:p w14:paraId="4C27F6C5" w14:textId="77777777" w:rsidR="00930324" w:rsidRPr="00427135" w:rsidRDefault="00930324" w:rsidP="00930324">
            <w:pPr>
              <w:pStyle w:val="Tabletext"/>
            </w:pPr>
          </w:p>
        </w:tc>
      </w:tr>
      <w:tr w:rsidR="00930324" w:rsidRPr="00C92280" w14:paraId="472D2EFD" w14:textId="77777777" w:rsidTr="00584584">
        <w:trPr>
          <w:trHeight w:val="282"/>
        </w:trPr>
        <w:tc>
          <w:tcPr>
            <w:tcW w:w="562" w:type="dxa"/>
          </w:tcPr>
          <w:p w14:paraId="3B3573B2" w14:textId="77777777" w:rsidR="00930324" w:rsidRPr="00F27622" w:rsidRDefault="00930324" w:rsidP="00930324">
            <w:pPr>
              <w:pStyle w:val="Tabletext"/>
              <w:numPr>
                <w:ilvl w:val="0"/>
                <w:numId w:val="21"/>
              </w:numPr>
            </w:pPr>
          </w:p>
        </w:tc>
        <w:tc>
          <w:tcPr>
            <w:tcW w:w="1843" w:type="dxa"/>
          </w:tcPr>
          <w:p w14:paraId="0CA450F4" w14:textId="04225FDF" w:rsidR="00930324" w:rsidRPr="00427135" w:rsidRDefault="00930324" w:rsidP="00930324">
            <w:pPr>
              <w:pStyle w:val="Tabletext"/>
            </w:pPr>
            <w:r w:rsidRPr="00362B70">
              <w:t>British Society for Heart Failure (BSH)</w:t>
            </w:r>
          </w:p>
        </w:tc>
        <w:tc>
          <w:tcPr>
            <w:tcW w:w="1985" w:type="dxa"/>
          </w:tcPr>
          <w:p w14:paraId="16C25997" w14:textId="16F2B657" w:rsidR="00930324" w:rsidRPr="00427135" w:rsidRDefault="00930324" w:rsidP="00930324">
            <w:pPr>
              <w:pStyle w:val="Tabletext"/>
            </w:pPr>
            <w:r>
              <w:rPr>
                <w:b/>
                <w:bCs/>
              </w:rPr>
              <w:t>Treating Heart failure with reduced ejection fraction</w:t>
            </w:r>
          </w:p>
        </w:tc>
        <w:tc>
          <w:tcPr>
            <w:tcW w:w="6520" w:type="dxa"/>
          </w:tcPr>
          <w:p w14:paraId="63D4E57F" w14:textId="77777777" w:rsidR="00930324" w:rsidRPr="00362B70" w:rsidRDefault="00930324" w:rsidP="00930324">
            <w:pPr>
              <w:pStyle w:val="Tabletext"/>
            </w:pPr>
            <w:r w:rsidRPr="00362B70">
              <w:t>To reduce hospitalisation and mortality related to heart failure, and/or improve quality of life, patients should receive guideline directed therapies including:</w:t>
            </w:r>
          </w:p>
          <w:p w14:paraId="7975136C" w14:textId="77777777" w:rsidR="00930324" w:rsidRPr="00362B70" w:rsidRDefault="00930324" w:rsidP="00930324">
            <w:pPr>
              <w:pStyle w:val="Tabletext"/>
              <w:numPr>
                <w:ilvl w:val="0"/>
                <w:numId w:val="35"/>
              </w:numPr>
              <w:rPr>
                <w:bCs/>
              </w:rPr>
            </w:pPr>
            <w:r w:rsidRPr="00362B70">
              <w:rPr>
                <w:bCs/>
              </w:rPr>
              <w:t>4 pillars of heart failure guideline recommended therapies (ACE/ARNI, B-Blockers, MRAs and SGLT2is) in HF with Reduced Ejection Fraction (</w:t>
            </w:r>
            <w:proofErr w:type="spellStart"/>
            <w:r w:rsidRPr="00362B70">
              <w:rPr>
                <w:bCs/>
              </w:rPr>
              <w:t>HFrEF</w:t>
            </w:r>
            <w:proofErr w:type="spellEnd"/>
            <w:r w:rsidRPr="00362B70">
              <w:rPr>
                <w:bCs/>
              </w:rPr>
              <w:t>, LVEF &lt;40%) initiated and gradually increased until the target or optimal tolerated doses are reached.</w:t>
            </w:r>
          </w:p>
          <w:p w14:paraId="1B7711B8" w14:textId="77777777" w:rsidR="00930324" w:rsidRPr="00362B70" w:rsidRDefault="00930324" w:rsidP="00930324">
            <w:pPr>
              <w:pStyle w:val="Tabletext"/>
              <w:rPr>
                <w:bCs/>
              </w:rPr>
            </w:pPr>
            <w:r w:rsidRPr="00362B70">
              <w:rPr>
                <w:bCs/>
              </w:rPr>
              <w:t>There are emerging therapies in heart failure with preserved ejection fraction (</w:t>
            </w:r>
            <w:proofErr w:type="spellStart"/>
            <w:r w:rsidRPr="00362B70">
              <w:rPr>
                <w:bCs/>
              </w:rPr>
              <w:t>HFpEF</w:t>
            </w:r>
            <w:proofErr w:type="spellEnd"/>
            <w:r w:rsidRPr="00362B70">
              <w:rPr>
                <w:bCs/>
              </w:rPr>
              <w:t xml:space="preserve">) and associated comorbidities and these should be considered </w:t>
            </w:r>
          </w:p>
          <w:p w14:paraId="41EF8082" w14:textId="77777777" w:rsidR="00930324" w:rsidRPr="00362B70" w:rsidRDefault="00930324" w:rsidP="00930324">
            <w:pPr>
              <w:pStyle w:val="Tabletext"/>
              <w:rPr>
                <w:bCs/>
              </w:rPr>
            </w:pPr>
            <w:r w:rsidRPr="00362B70">
              <w:rPr>
                <w:bCs/>
              </w:rPr>
              <w:t xml:space="preserve">Initiation of specialist therapies by non-medical prescribers competent in heart failure care should be encouraged when supported by the heart failure MDT. </w:t>
            </w:r>
          </w:p>
          <w:p w14:paraId="1C21CBB4" w14:textId="77777777" w:rsidR="00930324" w:rsidRPr="00362B70" w:rsidRDefault="00930324" w:rsidP="00930324">
            <w:pPr>
              <w:pStyle w:val="Tabletext"/>
              <w:numPr>
                <w:ilvl w:val="0"/>
                <w:numId w:val="34"/>
              </w:numPr>
              <w:rPr>
                <w:bCs/>
              </w:rPr>
            </w:pPr>
            <w:r w:rsidRPr="00362B70">
              <w:rPr>
                <w:bCs/>
              </w:rPr>
              <w:t xml:space="preserve">All patients with heart failure and reduced ejection fraction (LVEF≤35%) despite at least 3 months of optimal 4-pillar medical therapy (ACE/ARNI, B-Blockers, MRAs </w:t>
            </w:r>
            <w:r w:rsidRPr="00362B70">
              <w:rPr>
                <w:bCs/>
              </w:rPr>
              <w:lastRenderedPageBreak/>
              <w:t>and SGLT2i), should be considered for device therapy. (ICD, CRT-P or CRT-D).</w:t>
            </w:r>
          </w:p>
          <w:p w14:paraId="0160F46C" w14:textId="77777777" w:rsidR="00930324" w:rsidRDefault="00930324" w:rsidP="00930324">
            <w:pPr>
              <w:pStyle w:val="Tabletext"/>
              <w:rPr>
                <w:bCs/>
              </w:rPr>
            </w:pPr>
            <w:r w:rsidRPr="00362B70">
              <w:rPr>
                <w:bCs/>
              </w:rPr>
              <w:t>In selected patients with advanced heart failure, referral to a cardiac transplant centre should be considered</w:t>
            </w:r>
            <w:r>
              <w:rPr>
                <w:bCs/>
              </w:rPr>
              <w:t>.</w:t>
            </w:r>
          </w:p>
          <w:p w14:paraId="0B153924" w14:textId="77777777" w:rsidR="00930324" w:rsidRDefault="00930324" w:rsidP="00930324">
            <w:pPr>
              <w:pStyle w:val="Tabletext"/>
              <w:rPr>
                <w:bCs/>
              </w:rPr>
            </w:pPr>
          </w:p>
          <w:p w14:paraId="69E95D3F" w14:textId="77777777" w:rsidR="00930324" w:rsidRDefault="00930324" w:rsidP="00930324">
            <w:pPr>
              <w:pStyle w:val="Tabletext"/>
            </w:pPr>
            <w:r>
              <w:t xml:space="preserve">There are three major goals of treatment for patients with </w:t>
            </w:r>
            <w:proofErr w:type="spellStart"/>
            <w:r>
              <w:t>HFrEF</w:t>
            </w:r>
            <w:proofErr w:type="spellEnd"/>
            <w:r>
              <w:t>: (</w:t>
            </w:r>
            <w:proofErr w:type="spellStart"/>
            <w:r>
              <w:t>i</w:t>
            </w:r>
            <w:proofErr w:type="spellEnd"/>
            <w:r>
              <w:t>) reduction in mortality, (ii) prevention of first/recurrent hospitalizations due to worsening HF, and (iii) improvement in clinical status, functional capacity, and QOL.</w:t>
            </w:r>
          </w:p>
          <w:p w14:paraId="38AB2E40" w14:textId="77777777" w:rsidR="00930324" w:rsidRDefault="00930324" w:rsidP="00930324">
            <w:pPr>
              <w:pStyle w:val="Tabletext"/>
            </w:pPr>
            <w:r>
              <w:t xml:space="preserve">Low prescribing rates of MRA’s evidenced in the National Heart Failure audit must be improved. However, this statement also needs substantial change to reflect all changes in therapies to treat </w:t>
            </w:r>
            <w:proofErr w:type="spellStart"/>
            <w:r>
              <w:t>HFrEF</w:t>
            </w:r>
            <w:proofErr w:type="spellEnd"/>
            <w:r>
              <w:t xml:space="preserve">. We now also have the addition of SGLT2i from the NICE TA appraisal (TA679). </w:t>
            </w:r>
          </w:p>
          <w:p w14:paraId="1A1A2A77" w14:textId="77777777" w:rsidR="00930324" w:rsidRDefault="00930324" w:rsidP="00930324">
            <w:pPr>
              <w:pStyle w:val="Tabletext"/>
            </w:pPr>
            <w:r>
              <w:t xml:space="preserve">The statement should reflect evidence for all four pharmacological HF therapies. Also, the rate of optimisation maximised. This statement potentially conveys a conservative approach to optimisation which would negatively affect morbidity and mortality outcomes. </w:t>
            </w:r>
          </w:p>
          <w:p w14:paraId="38F3AB21" w14:textId="78DBC934" w:rsidR="00930324" w:rsidRPr="00427135" w:rsidRDefault="00930324" w:rsidP="00930324">
            <w:pPr>
              <w:pStyle w:val="Tabletext"/>
            </w:pPr>
            <w:r>
              <w:t>It would be helpful for the statement to include explicit reference to HF specialist nurses and pharmacists who are Non-Medical Prescribers being able to initiate and optimise specialist therapies, thus ensuring improved prescribing rates and associated improved outcomes. NB. There is an urgent need to increase this workforce to meet this standard.</w:t>
            </w:r>
          </w:p>
        </w:tc>
        <w:tc>
          <w:tcPr>
            <w:tcW w:w="3758" w:type="dxa"/>
          </w:tcPr>
          <w:p w14:paraId="33E9A389" w14:textId="77777777" w:rsidR="00930324" w:rsidRPr="00362B70" w:rsidRDefault="00930324" w:rsidP="00930324">
            <w:pPr>
              <w:pStyle w:val="Tabletext"/>
              <w:rPr>
                <w:bCs/>
              </w:rPr>
            </w:pPr>
            <w:r w:rsidRPr="00362B70">
              <w:rPr>
                <w:b/>
                <w:bCs/>
              </w:rPr>
              <w:lastRenderedPageBreak/>
              <w:t>Please see below supporting documents to evidence improved prescribing of newer HF therapies:</w:t>
            </w:r>
            <w:r w:rsidRPr="00362B70">
              <w:rPr>
                <w:bCs/>
              </w:rPr>
              <w:t xml:space="preserve"> </w:t>
            </w:r>
          </w:p>
          <w:p w14:paraId="25338FD8" w14:textId="77777777" w:rsidR="00930324" w:rsidRPr="00362B70" w:rsidRDefault="00930324" w:rsidP="00930324">
            <w:pPr>
              <w:pStyle w:val="Tabletext"/>
              <w:rPr>
                <w:bCs/>
              </w:rPr>
            </w:pPr>
            <w:r w:rsidRPr="00362B70">
              <w:rPr>
                <w:bCs/>
              </w:rPr>
              <w:t xml:space="preserve">McDonagh TA, </w:t>
            </w:r>
            <w:proofErr w:type="spellStart"/>
            <w:r w:rsidRPr="00362B70">
              <w:rPr>
                <w:bCs/>
              </w:rPr>
              <w:t>Metra</w:t>
            </w:r>
            <w:proofErr w:type="spellEnd"/>
            <w:r w:rsidRPr="00362B70">
              <w:rPr>
                <w:bCs/>
              </w:rPr>
              <w:t xml:space="preserve"> M, Adamo M, Gardner RS et al. 2021 ESC guidelines for the diagnosis and treatment of acute and chronic heart failure. </w:t>
            </w:r>
            <w:proofErr w:type="spellStart"/>
            <w:r w:rsidRPr="00362B70">
              <w:rPr>
                <w:bCs/>
              </w:rPr>
              <w:t>Eur</w:t>
            </w:r>
            <w:proofErr w:type="spellEnd"/>
            <w:r w:rsidRPr="00362B70">
              <w:rPr>
                <w:bCs/>
              </w:rPr>
              <w:t xml:space="preserve"> Heart J </w:t>
            </w:r>
            <w:proofErr w:type="gramStart"/>
            <w:r w:rsidRPr="00362B70">
              <w:rPr>
                <w:bCs/>
              </w:rPr>
              <w:t>2021;42:3599</w:t>
            </w:r>
            <w:proofErr w:type="gramEnd"/>
            <w:r w:rsidRPr="00362B70">
              <w:rPr>
                <w:bCs/>
              </w:rPr>
              <w:t xml:space="preserve">–726. </w:t>
            </w:r>
            <w:hyperlink r:id="rId108" w:history="1">
              <w:r w:rsidRPr="00362B70">
                <w:rPr>
                  <w:rStyle w:val="Hyperlink"/>
                  <w:bCs/>
                </w:rPr>
                <w:t>https://doi.org/10.1093/eurheartj/ehab368</w:t>
              </w:r>
            </w:hyperlink>
          </w:p>
          <w:p w14:paraId="4622197A" w14:textId="77777777" w:rsidR="00930324" w:rsidRPr="00362B70" w:rsidRDefault="00930324" w:rsidP="00930324">
            <w:pPr>
              <w:pStyle w:val="Tabletext"/>
              <w:rPr>
                <w:bCs/>
              </w:rPr>
            </w:pPr>
            <w:r w:rsidRPr="00362B70">
              <w:rPr>
                <w:bCs/>
              </w:rPr>
              <w:t>Implantable cardioverter defibrillators and cardiac resynchronisation therapy for arrhythmias and heart failure</w:t>
            </w:r>
          </w:p>
          <w:p w14:paraId="25382627" w14:textId="77777777" w:rsidR="00930324" w:rsidRPr="00362B70" w:rsidRDefault="00930324" w:rsidP="00930324">
            <w:pPr>
              <w:pStyle w:val="Tabletext"/>
              <w:rPr>
                <w:bCs/>
              </w:rPr>
            </w:pPr>
            <w:r w:rsidRPr="00362B70">
              <w:rPr>
                <w:bCs/>
              </w:rPr>
              <w:lastRenderedPageBreak/>
              <w:t>Technology appraisal guidance [TA314] Published: 25 June 2014</w:t>
            </w:r>
          </w:p>
          <w:p w14:paraId="761C6EEC" w14:textId="77777777" w:rsidR="00930324" w:rsidRPr="00362B70" w:rsidRDefault="00930324" w:rsidP="00930324">
            <w:pPr>
              <w:pStyle w:val="Tabletext"/>
              <w:rPr>
                <w:bCs/>
              </w:rPr>
            </w:pPr>
            <w:r w:rsidRPr="00362B70">
              <w:rPr>
                <w:bCs/>
              </w:rPr>
              <w:t>https://www.nice.org.uk/guidance/ta314/resources/implantable-cardioverter-defibrillators-and-cardiac-resynchronisation-therapy-for-arrhythmias-and-heart-failure-pdf-82602426443461</w:t>
            </w:r>
          </w:p>
          <w:p w14:paraId="3BD83BE3" w14:textId="77777777" w:rsidR="00930324" w:rsidRPr="00362B70" w:rsidRDefault="00AF2CC8" w:rsidP="00930324">
            <w:pPr>
              <w:pStyle w:val="Tabletext"/>
              <w:rPr>
                <w:bCs/>
              </w:rPr>
            </w:pPr>
            <w:hyperlink r:id="rId109" w:history="1">
              <w:r w:rsidR="00930324" w:rsidRPr="00362B70">
                <w:rPr>
                  <w:rStyle w:val="Hyperlink"/>
                  <w:bCs/>
                </w:rPr>
                <w:t>NHFA-Domain-Report_2021_FINAL.pdf (nicor.org.uk)</w:t>
              </w:r>
            </w:hyperlink>
          </w:p>
          <w:p w14:paraId="717E3985" w14:textId="77777777" w:rsidR="00930324" w:rsidRPr="00362B70" w:rsidRDefault="00AF2CC8" w:rsidP="00930324">
            <w:pPr>
              <w:pStyle w:val="Tabletext"/>
              <w:rPr>
                <w:bCs/>
              </w:rPr>
            </w:pPr>
            <w:hyperlink r:id="rId110" w:history="1">
              <w:r w:rsidR="00930324" w:rsidRPr="00362B70">
                <w:rPr>
                  <w:rStyle w:val="Hyperlink"/>
                  <w:bCs/>
                </w:rPr>
                <w:t>Overview | Dapagliflozin for treating chronic heart failure with reduced ejection fraction | Guidance | NICE</w:t>
              </w:r>
            </w:hyperlink>
          </w:p>
          <w:p w14:paraId="12719D27" w14:textId="77777777" w:rsidR="00930324" w:rsidRPr="00362B70" w:rsidRDefault="00930324" w:rsidP="00930324">
            <w:pPr>
              <w:pStyle w:val="Tabletext"/>
              <w:rPr>
                <w:bCs/>
              </w:rPr>
            </w:pPr>
            <w:r w:rsidRPr="00362B70">
              <w:rPr>
                <w:bCs/>
              </w:rPr>
              <w:t xml:space="preserve">John J.V. McMurray and Milton Packer. (2020) A Redefinition of Evidence-Based </w:t>
            </w:r>
            <w:proofErr w:type="gramStart"/>
            <w:r w:rsidRPr="00362B70">
              <w:rPr>
                <w:bCs/>
              </w:rPr>
              <w:t>Medicine.:/</w:t>
            </w:r>
            <w:proofErr w:type="gramEnd"/>
            <w:r w:rsidRPr="00362B70">
              <w:rPr>
                <w:bCs/>
              </w:rPr>
              <w:t xml:space="preserve">/doi.org/10.1161/CIRCULATIONAHA.120.052926Circulation. </w:t>
            </w:r>
            <w:proofErr w:type="gramStart"/>
            <w:r w:rsidRPr="00362B70">
              <w:rPr>
                <w:bCs/>
              </w:rPr>
              <w:t>2021;143:875</w:t>
            </w:r>
            <w:proofErr w:type="gramEnd"/>
            <w:r w:rsidRPr="00362B70">
              <w:rPr>
                <w:bCs/>
              </w:rPr>
              <w:t>–877</w:t>
            </w:r>
          </w:p>
          <w:p w14:paraId="2BA6A222" w14:textId="77777777" w:rsidR="00930324" w:rsidRPr="00362B70" w:rsidRDefault="00930324" w:rsidP="00930324">
            <w:pPr>
              <w:pStyle w:val="Tabletext"/>
              <w:rPr>
                <w:bCs/>
              </w:rPr>
            </w:pPr>
            <w:r w:rsidRPr="00362B70">
              <w:rPr>
                <w:bCs/>
              </w:rPr>
              <w:t>Heidenreich P, Bozkurt B, Aguilar D, et al. 2022 AHA/ACC/HFSA Guideline for the Management of Heart Failure. </w:t>
            </w:r>
            <w:r w:rsidRPr="00362B70">
              <w:rPr>
                <w:bCs/>
                <w:i/>
                <w:iCs/>
              </w:rPr>
              <w:t xml:space="preserve">J Am Coll </w:t>
            </w:r>
            <w:proofErr w:type="spellStart"/>
            <w:r w:rsidRPr="00362B70">
              <w:rPr>
                <w:bCs/>
                <w:i/>
                <w:iCs/>
              </w:rPr>
              <w:t>Cardiol</w:t>
            </w:r>
            <w:proofErr w:type="spellEnd"/>
            <w:r w:rsidRPr="00362B70">
              <w:rPr>
                <w:bCs/>
                <w:i/>
                <w:iCs/>
              </w:rPr>
              <w:t>. </w:t>
            </w:r>
            <w:r w:rsidRPr="00362B70">
              <w:rPr>
                <w:bCs/>
              </w:rPr>
              <w:t>null2022, 0 (0</w:t>
            </w:r>
            <w:proofErr w:type="gramStart"/>
            <w:r w:rsidRPr="00362B70">
              <w:rPr>
                <w:bCs/>
              </w:rPr>
              <w:t>) .</w:t>
            </w:r>
            <w:proofErr w:type="gramEnd"/>
            <w:r w:rsidRPr="00362B70">
              <w:rPr>
                <w:bCs/>
              </w:rPr>
              <w:fldChar w:fldCharType="begin"/>
            </w:r>
            <w:r w:rsidRPr="00362B70">
              <w:rPr>
                <w:bCs/>
              </w:rPr>
              <w:instrText xml:space="preserve"> HYPERLINK "https://doi.org/10.1016/j.jacc.2021.12.012" </w:instrText>
            </w:r>
            <w:r w:rsidRPr="00362B70">
              <w:rPr>
                <w:bCs/>
              </w:rPr>
            </w:r>
            <w:r w:rsidRPr="00362B70">
              <w:rPr>
                <w:bCs/>
              </w:rPr>
              <w:fldChar w:fldCharType="separate"/>
            </w:r>
            <w:r w:rsidRPr="00362B70">
              <w:rPr>
                <w:rStyle w:val="Hyperlink"/>
                <w:bCs/>
              </w:rPr>
              <w:t>https://doi.org/10.1016/j.jacc.2021.12.012</w:t>
            </w:r>
            <w:r w:rsidRPr="00362B70">
              <w:fldChar w:fldCharType="end"/>
            </w:r>
          </w:p>
          <w:p w14:paraId="32A6B856" w14:textId="77777777" w:rsidR="00930324" w:rsidRPr="00362B70" w:rsidRDefault="00AF2CC8" w:rsidP="00930324">
            <w:pPr>
              <w:pStyle w:val="Tabletext"/>
              <w:rPr>
                <w:bCs/>
              </w:rPr>
            </w:pPr>
            <w:hyperlink r:id="rId111" w:history="1">
              <w:r w:rsidR="00930324" w:rsidRPr="00362B70">
                <w:rPr>
                  <w:rStyle w:val="Hyperlink"/>
                  <w:bCs/>
                </w:rPr>
                <w:t>BSH-Position-Statement-Non-medical-prescribers-final-copy.pdf</w:t>
              </w:r>
            </w:hyperlink>
          </w:p>
          <w:p w14:paraId="40FA87BF" w14:textId="77777777" w:rsidR="00930324" w:rsidRPr="00362B70" w:rsidRDefault="00930324" w:rsidP="00930324">
            <w:pPr>
              <w:pStyle w:val="Tabletext"/>
              <w:rPr>
                <w:bCs/>
              </w:rPr>
            </w:pPr>
            <w:proofErr w:type="spellStart"/>
            <w:r w:rsidRPr="00362B70">
              <w:rPr>
                <w:bCs/>
              </w:rPr>
              <w:lastRenderedPageBreak/>
              <w:t>Oyanguren</w:t>
            </w:r>
            <w:proofErr w:type="spellEnd"/>
            <w:r w:rsidRPr="00362B70">
              <w:rPr>
                <w:bCs/>
              </w:rPr>
              <w:t xml:space="preserve">, J., et al. (2020). Noninferiority of heart failure nurse titration versus heart failure cardiologist titration. ETIFIC </w:t>
            </w:r>
            <w:proofErr w:type="spellStart"/>
            <w:r w:rsidRPr="00362B70">
              <w:rPr>
                <w:bCs/>
              </w:rPr>
              <w:t>multicenter</w:t>
            </w:r>
            <w:proofErr w:type="spellEnd"/>
            <w:r w:rsidRPr="00362B70">
              <w:rPr>
                <w:bCs/>
              </w:rPr>
              <w:t xml:space="preserve"> randomized trial. </w:t>
            </w:r>
            <w:proofErr w:type="spellStart"/>
            <w:r w:rsidRPr="00362B70">
              <w:rPr>
                <w:bCs/>
              </w:rPr>
              <w:t>Revista</w:t>
            </w:r>
            <w:proofErr w:type="spellEnd"/>
            <w:r w:rsidRPr="00362B70">
              <w:rPr>
                <w:bCs/>
              </w:rPr>
              <w:t xml:space="preserve"> Española de </w:t>
            </w:r>
            <w:proofErr w:type="spellStart"/>
            <w:r w:rsidRPr="00362B70">
              <w:rPr>
                <w:bCs/>
              </w:rPr>
              <w:t>Cardiología</w:t>
            </w:r>
            <w:proofErr w:type="spellEnd"/>
            <w:r w:rsidRPr="00362B70">
              <w:rPr>
                <w:bCs/>
              </w:rPr>
              <w:t xml:space="preserve"> (English Edition). [online] Available at: </w:t>
            </w:r>
            <w:hyperlink r:id="rId112" w:history="1">
              <w:r w:rsidRPr="00362B70">
                <w:rPr>
                  <w:rStyle w:val="Hyperlink"/>
                  <w:bCs/>
                </w:rPr>
                <w:t>https://www.sciencedirect.com/science/article/pii/S1885585720301869</w:t>
              </w:r>
            </w:hyperlink>
          </w:p>
          <w:p w14:paraId="66366F52" w14:textId="77777777" w:rsidR="00930324" w:rsidRPr="00362B70" w:rsidRDefault="00930324" w:rsidP="00930324">
            <w:pPr>
              <w:pStyle w:val="Tabletext"/>
              <w:rPr>
                <w:bCs/>
              </w:rPr>
            </w:pPr>
          </w:p>
          <w:p w14:paraId="51597AD3" w14:textId="77777777" w:rsidR="00930324" w:rsidRPr="00362B70" w:rsidRDefault="00930324" w:rsidP="00930324">
            <w:pPr>
              <w:pStyle w:val="Tabletext"/>
              <w:rPr>
                <w:bCs/>
              </w:rPr>
            </w:pPr>
            <w:r w:rsidRPr="00362B70">
              <w:rPr>
                <w:bCs/>
              </w:rPr>
              <w:t>UK guidelines for referral and assessment of adults for</w:t>
            </w:r>
          </w:p>
          <w:p w14:paraId="70C9C8EA" w14:textId="77777777" w:rsidR="00930324" w:rsidRPr="00362B70" w:rsidRDefault="00930324" w:rsidP="00930324">
            <w:pPr>
              <w:pStyle w:val="Tabletext"/>
              <w:rPr>
                <w:bCs/>
              </w:rPr>
            </w:pPr>
            <w:r w:rsidRPr="00362B70">
              <w:rPr>
                <w:bCs/>
              </w:rPr>
              <w:t>heart transplantation</w:t>
            </w:r>
          </w:p>
          <w:p w14:paraId="082DB82A" w14:textId="77777777" w:rsidR="00930324" w:rsidRPr="00362B70" w:rsidRDefault="00930324" w:rsidP="00930324">
            <w:pPr>
              <w:pStyle w:val="Tabletext"/>
              <w:rPr>
                <w:bCs/>
              </w:rPr>
            </w:pPr>
            <w:r w:rsidRPr="00362B70">
              <w:rPr>
                <w:bCs/>
              </w:rPr>
              <w:t>Banner NR, Bonser R, Clark AL, Clark S</w:t>
            </w:r>
          </w:p>
          <w:p w14:paraId="76F8F072" w14:textId="58712C0F" w:rsidR="00930324" w:rsidRPr="00445535" w:rsidRDefault="00930324" w:rsidP="00930324">
            <w:pPr>
              <w:pStyle w:val="Tabletext"/>
              <w:rPr>
                <w:bCs/>
              </w:rPr>
            </w:pPr>
            <w:proofErr w:type="spellStart"/>
            <w:r w:rsidRPr="00362B70">
              <w:rPr>
                <w:bCs/>
              </w:rPr>
              <w:t>Cowburn</w:t>
            </w:r>
            <w:proofErr w:type="spellEnd"/>
            <w:r w:rsidRPr="00362B70">
              <w:rPr>
                <w:bCs/>
              </w:rPr>
              <w:t xml:space="preserve"> PJ, Gardner RS et al. Heart 2011 2011 Sep;97(18):1520-7.</w:t>
            </w:r>
          </w:p>
        </w:tc>
      </w:tr>
      <w:tr w:rsidR="00930324" w:rsidRPr="00C92280" w14:paraId="0652C4AA" w14:textId="77777777" w:rsidTr="00584584">
        <w:trPr>
          <w:trHeight w:val="282"/>
        </w:trPr>
        <w:tc>
          <w:tcPr>
            <w:tcW w:w="562" w:type="dxa"/>
          </w:tcPr>
          <w:p w14:paraId="41662C0E" w14:textId="77777777" w:rsidR="00930324" w:rsidRPr="00F27622" w:rsidRDefault="00930324" w:rsidP="00930324">
            <w:pPr>
              <w:pStyle w:val="Tabletext"/>
              <w:numPr>
                <w:ilvl w:val="0"/>
                <w:numId w:val="21"/>
              </w:numPr>
            </w:pPr>
          </w:p>
        </w:tc>
        <w:tc>
          <w:tcPr>
            <w:tcW w:w="1843" w:type="dxa"/>
          </w:tcPr>
          <w:p w14:paraId="07B4E138" w14:textId="597146CE" w:rsidR="00930324" w:rsidRPr="00427135" w:rsidRDefault="00930324" w:rsidP="00930324">
            <w:pPr>
              <w:pStyle w:val="Tabletext"/>
            </w:pPr>
            <w:r>
              <w:t>SCM2</w:t>
            </w:r>
          </w:p>
        </w:tc>
        <w:tc>
          <w:tcPr>
            <w:tcW w:w="1985" w:type="dxa"/>
          </w:tcPr>
          <w:p w14:paraId="4130C370" w14:textId="2E6A7757" w:rsidR="00930324" w:rsidRPr="00427135" w:rsidRDefault="00930324" w:rsidP="00930324">
            <w:pPr>
              <w:pStyle w:val="Tabletext"/>
            </w:pPr>
            <w:r>
              <w:rPr>
                <w:b/>
                <w:bCs/>
              </w:rPr>
              <w:t>Treating Heart failure with reduced ejection fraction</w:t>
            </w:r>
          </w:p>
        </w:tc>
        <w:tc>
          <w:tcPr>
            <w:tcW w:w="6520" w:type="dxa"/>
          </w:tcPr>
          <w:p w14:paraId="5C39695B" w14:textId="77777777" w:rsidR="00930324" w:rsidRDefault="00930324" w:rsidP="00930324">
            <w:pPr>
              <w:pStyle w:val="Tabletext"/>
            </w:pPr>
            <w:r>
              <w:t xml:space="preserve">QS3 Adults with chronic heart failure who have reduced ejection fraction are started on all four pillars of therapies in </w:t>
            </w:r>
            <w:proofErr w:type="spellStart"/>
            <w:r>
              <w:t>HFrEF</w:t>
            </w:r>
            <w:proofErr w:type="spellEnd"/>
            <w:r>
              <w:t xml:space="preserve"> and increased until the target or optimal tolerated doses are reached </w:t>
            </w:r>
          </w:p>
          <w:p w14:paraId="218BA1D3" w14:textId="77777777" w:rsidR="00930324" w:rsidRDefault="00930324" w:rsidP="00930324">
            <w:pPr>
              <w:pStyle w:val="Tabletext"/>
            </w:pPr>
            <w:r>
              <w:t>•</w:t>
            </w:r>
            <w:r>
              <w:tab/>
              <w:t xml:space="preserve">Emphasis on emerging therapies in </w:t>
            </w:r>
            <w:proofErr w:type="spellStart"/>
            <w:r>
              <w:t>HFpEF</w:t>
            </w:r>
            <w:proofErr w:type="spellEnd"/>
            <w:r>
              <w:t xml:space="preserve"> and managing comorbidities</w:t>
            </w:r>
          </w:p>
          <w:p w14:paraId="0DD3555A" w14:textId="77777777" w:rsidR="00930324" w:rsidRDefault="00930324" w:rsidP="00930324">
            <w:pPr>
              <w:pStyle w:val="Tabletext"/>
            </w:pPr>
            <w:r>
              <w:t xml:space="preserve">Explicit reference to initiation of specialist therapies by </w:t>
            </w:r>
            <w:proofErr w:type="gramStart"/>
            <w:r>
              <w:t>Non-Medical</w:t>
            </w:r>
            <w:proofErr w:type="gramEnd"/>
            <w:r>
              <w:t xml:space="preserve"> prescribers in HF</w:t>
            </w:r>
          </w:p>
          <w:p w14:paraId="38C5CE04" w14:textId="77777777" w:rsidR="00930324" w:rsidRDefault="00930324" w:rsidP="00930324">
            <w:pPr>
              <w:pStyle w:val="Tabletext"/>
            </w:pPr>
          </w:p>
          <w:p w14:paraId="30E88997" w14:textId="77777777" w:rsidR="00930324" w:rsidRDefault="00930324" w:rsidP="00930324">
            <w:pPr>
              <w:pStyle w:val="Tabletext"/>
            </w:pPr>
            <w:r>
              <w:t xml:space="preserve">Low prescribing rates of MRA’s evidenced in the National Heart Failure audit must be improved. However, this statement also </w:t>
            </w:r>
            <w:r>
              <w:lastRenderedPageBreak/>
              <w:t xml:space="preserve">needs substantial change to reflect all changes in therapies to treat </w:t>
            </w:r>
            <w:proofErr w:type="spellStart"/>
            <w:r>
              <w:t>HFrEF</w:t>
            </w:r>
            <w:proofErr w:type="spellEnd"/>
            <w:r>
              <w:t xml:space="preserve">. We now also have the addition of SGLT2i from the NICE TA appraisal (TA679). </w:t>
            </w:r>
          </w:p>
          <w:p w14:paraId="63F34397" w14:textId="77777777" w:rsidR="00930324" w:rsidRDefault="00930324" w:rsidP="00930324">
            <w:pPr>
              <w:pStyle w:val="Tabletext"/>
            </w:pPr>
            <w:r>
              <w:t xml:space="preserve">The statement should change to reflect evidence for all four therapies. </w:t>
            </w:r>
            <w:proofErr w:type="gramStart"/>
            <w:r>
              <w:t>Also</w:t>
            </w:r>
            <w:proofErr w:type="gramEnd"/>
            <w:r>
              <w:t xml:space="preserve"> the rate of optimisation maximised. This statement potentially conveys a conservative approach to optimisation which would negatively affect morbidity and mortality outcomes. </w:t>
            </w:r>
          </w:p>
          <w:p w14:paraId="06C66BF8" w14:textId="0674DA9D" w:rsidR="00930324" w:rsidRPr="00427135" w:rsidRDefault="00930324" w:rsidP="00930324">
            <w:pPr>
              <w:pStyle w:val="Tabletext"/>
            </w:pPr>
            <w:r>
              <w:t xml:space="preserve">It would be helpful for the statement to include explicit reference in recommendations to increase the HF specialist nurse workforce to meet increasing prevalence and therapies to treat. The standard should also address HF specialist nurses and Pharmacists who are Non-Medical Prescribers being able to initiate and optimise specialist therapies. </w:t>
            </w:r>
            <w:proofErr w:type="gramStart"/>
            <w:r>
              <w:t>Thus</w:t>
            </w:r>
            <w:proofErr w:type="gramEnd"/>
            <w:r>
              <w:t xml:space="preserve"> ensuring improved prescribing rates and associated improved outcomes.</w:t>
            </w:r>
          </w:p>
        </w:tc>
        <w:tc>
          <w:tcPr>
            <w:tcW w:w="3758" w:type="dxa"/>
          </w:tcPr>
          <w:p w14:paraId="3B135C1F" w14:textId="77777777" w:rsidR="00445535" w:rsidRDefault="00930324" w:rsidP="00445535">
            <w:pPr>
              <w:pStyle w:val="Tabletext"/>
            </w:pPr>
            <w:r w:rsidRPr="00362B70">
              <w:lastRenderedPageBreak/>
              <w:t>Please see below supporting documents to evidence improved prescribing of newer HF therapies:</w:t>
            </w:r>
          </w:p>
          <w:p w14:paraId="679626F2" w14:textId="6C88117A" w:rsidR="00930324" w:rsidRPr="00362B70" w:rsidRDefault="00AF2CC8" w:rsidP="00445535">
            <w:pPr>
              <w:pStyle w:val="Tabletext"/>
            </w:pPr>
            <w:hyperlink r:id="rId113" w:history="1">
              <w:r w:rsidR="00930324" w:rsidRPr="00362B70">
                <w:rPr>
                  <w:rStyle w:val="Hyperlink"/>
                </w:rPr>
                <w:t>NHFA-Domain-Report_2021_FINAL.pdf (nicor.org.uk)</w:t>
              </w:r>
            </w:hyperlink>
          </w:p>
          <w:p w14:paraId="06610B27" w14:textId="77777777" w:rsidR="00930324" w:rsidRPr="00362B70" w:rsidRDefault="00AF2CC8" w:rsidP="00445535">
            <w:pPr>
              <w:pStyle w:val="Tabletext"/>
            </w:pPr>
            <w:hyperlink r:id="rId114" w:history="1">
              <w:r w:rsidR="00930324" w:rsidRPr="00362B70">
                <w:rPr>
                  <w:rStyle w:val="Hyperlink"/>
                </w:rPr>
                <w:t>Overview | Dapagliflozin for treating chronic heart failure with reduced ejection fraction | Guidance | NICE</w:t>
              </w:r>
            </w:hyperlink>
          </w:p>
          <w:p w14:paraId="53F58699" w14:textId="77777777" w:rsidR="00930324" w:rsidRPr="00362B70" w:rsidRDefault="00930324" w:rsidP="00445535">
            <w:pPr>
              <w:pStyle w:val="Tabletext"/>
            </w:pPr>
            <w:r w:rsidRPr="00362B70">
              <w:lastRenderedPageBreak/>
              <w:t>How Should We Sequence the Treatments for Heart Failure and a Reduced Ejection Fraction?</w:t>
            </w:r>
          </w:p>
          <w:p w14:paraId="0D39749A" w14:textId="77777777" w:rsidR="00930324" w:rsidRPr="00362B70" w:rsidRDefault="00930324" w:rsidP="00445535">
            <w:pPr>
              <w:pStyle w:val="Tabletext"/>
            </w:pPr>
            <w:r w:rsidRPr="00362B70">
              <w:t>John J.V. McMurray and Milton Packer. (</w:t>
            </w:r>
            <w:proofErr w:type="gramStart"/>
            <w:r w:rsidRPr="00362B70">
              <w:t>2020)A</w:t>
            </w:r>
            <w:proofErr w:type="gramEnd"/>
            <w:r w:rsidRPr="00362B70">
              <w:t xml:space="preserve"> Redefinition of Evidence-Based Medicine.://doi.org/10.1161/CIRCULATIONAHA.120.052926Circulation. </w:t>
            </w:r>
            <w:proofErr w:type="gramStart"/>
            <w:r w:rsidRPr="00362B70">
              <w:t>2021;143:875</w:t>
            </w:r>
            <w:proofErr w:type="gramEnd"/>
            <w:r w:rsidRPr="00362B70">
              <w:t>–877</w:t>
            </w:r>
          </w:p>
          <w:p w14:paraId="703AE354" w14:textId="77777777" w:rsidR="00930324" w:rsidRPr="00362B70" w:rsidRDefault="00930324" w:rsidP="00445535">
            <w:pPr>
              <w:pStyle w:val="Tabletext"/>
            </w:pPr>
            <w:r w:rsidRPr="00362B70">
              <w:t xml:space="preserve">McDonagh TA, </w:t>
            </w:r>
            <w:proofErr w:type="spellStart"/>
            <w:r w:rsidRPr="00362B70">
              <w:t>Metra</w:t>
            </w:r>
            <w:proofErr w:type="spellEnd"/>
            <w:r w:rsidRPr="00362B70">
              <w:t xml:space="preserve"> M, Adamo M et al. 2021 ESC guidelines for the diagnosis and treatment of acute and chronic heart failure. </w:t>
            </w:r>
            <w:proofErr w:type="spellStart"/>
            <w:r w:rsidRPr="00362B70">
              <w:t>Eur</w:t>
            </w:r>
            <w:proofErr w:type="spellEnd"/>
            <w:r w:rsidRPr="00362B70">
              <w:t xml:space="preserve"> Heart J </w:t>
            </w:r>
            <w:proofErr w:type="gramStart"/>
            <w:r w:rsidRPr="00362B70">
              <w:t>2021;42:3599</w:t>
            </w:r>
            <w:proofErr w:type="gramEnd"/>
            <w:r w:rsidRPr="00362B70">
              <w:t xml:space="preserve">–726. </w:t>
            </w:r>
            <w:hyperlink r:id="rId115" w:history="1">
              <w:r w:rsidRPr="00362B70">
                <w:rPr>
                  <w:rStyle w:val="Hyperlink"/>
                </w:rPr>
                <w:t>https://doi.org/10.1093/eurheartj/ehab368</w:t>
              </w:r>
            </w:hyperlink>
          </w:p>
          <w:p w14:paraId="1E2FEDE0" w14:textId="77777777" w:rsidR="00930324" w:rsidRPr="00362B70" w:rsidRDefault="00930324" w:rsidP="00445535">
            <w:pPr>
              <w:pStyle w:val="Tabletext"/>
            </w:pPr>
            <w:r w:rsidRPr="00362B70">
              <w:t>Heidenreich P, Bozkurt B, Aguilar D, et al. 2022 AHA/ACC/HFSA Guideline for the Management of Heart Failure. </w:t>
            </w:r>
            <w:r w:rsidRPr="00362B70">
              <w:rPr>
                <w:i/>
                <w:iCs/>
              </w:rPr>
              <w:t xml:space="preserve">J Am Coll </w:t>
            </w:r>
            <w:proofErr w:type="spellStart"/>
            <w:r w:rsidRPr="00362B70">
              <w:rPr>
                <w:i/>
                <w:iCs/>
              </w:rPr>
              <w:t>Cardiol</w:t>
            </w:r>
            <w:proofErr w:type="spellEnd"/>
            <w:r w:rsidRPr="00362B70">
              <w:rPr>
                <w:i/>
                <w:iCs/>
              </w:rPr>
              <w:t>. </w:t>
            </w:r>
            <w:r w:rsidRPr="00362B70">
              <w:t>null2022, 0 (0</w:t>
            </w:r>
            <w:proofErr w:type="gramStart"/>
            <w:r w:rsidRPr="00362B70">
              <w:t>) .</w:t>
            </w:r>
            <w:proofErr w:type="gramEnd"/>
            <w:r w:rsidRPr="00362B70">
              <w:fldChar w:fldCharType="begin"/>
            </w:r>
            <w:r w:rsidRPr="00362B70">
              <w:instrText xml:space="preserve"> HYPERLINK "https://doi.org/10.1016/j.jacc.2021.12.012" </w:instrText>
            </w:r>
            <w:r w:rsidRPr="00362B70">
              <w:fldChar w:fldCharType="separate"/>
            </w:r>
            <w:r w:rsidRPr="00362B70">
              <w:rPr>
                <w:rStyle w:val="Hyperlink"/>
                <w:bCs/>
              </w:rPr>
              <w:t>https://doi.org/10.1016/j.jacc.2021.12.012</w:t>
            </w:r>
            <w:r w:rsidRPr="00362B70">
              <w:fldChar w:fldCharType="end"/>
            </w:r>
          </w:p>
          <w:p w14:paraId="2FC574A1" w14:textId="77777777" w:rsidR="00930324" w:rsidRPr="00362B70" w:rsidRDefault="00AF2CC8" w:rsidP="00445535">
            <w:pPr>
              <w:pStyle w:val="Tabletext"/>
            </w:pPr>
            <w:hyperlink r:id="rId116" w:history="1">
              <w:r w:rsidR="00930324" w:rsidRPr="00362B70">
                <w:rPr>
                  <w:rStyle w:val="Hyperlink"/>
                </w:rPr>
                <w:t>BSH-Position-Statement-Non-medical-prescribers-final-copy.pdf</w:t>
              </w:r>
            </w:hyperlink>
          </w:p>
          <w:p w14:paraId="0528B920" w14:textId="45181E8D" w:rsidR="00930324" w:rsidRPr="00427135" w:rsidRDefault="00930324" w:rsidP="00445535">
            <w:pPr>
              <w:pStyle w:val="Tabletext"/>
            </w:pPr>
            <w:proofErr w:type="spellStart"/>
            <w:r w:rsidRPr="00362B70">
              <w:t>Oyanguren</w:t>
            </w:r>
            <w:proofErr w:type="spellEnd"/>
            <w:r w:rsidRPr="00362B70">
              <w:t xml:space="preserve">, J., et al. (2020). Noninferiority of heart failure nurse titration versus heart failure cardiologist titration. ETIFIC </w:t>
            </w:r>
            <w:proofErr w:type="spellStart"/>
            <w:r w:rsidRPr="00362B70">
              <w:t>multicenter</w:t>
            </w:r>
            <w:proofErr w:type="spellEnd"/>
            <w:r w:rsidRPr="00362B70">
              <w:t xml:space="preserve"> randomized trial. </w:t>
            </w:r>
            <w:proofErr w:type="spellStart"/>
            <w:r w:rsidRPr="00362B70">
              <w:t>Revista</w:t>
            </w:r>
            <w:proofErr w:type="spellEnd"/>
            <w:r w:rsidRPr="00362B70">
              <w:t xml:space="preserve"> Española de </w:t>
            </w:r>
            <w:proofErr w:type="spellStart"/>
            <w:r w:rsidRPr="00362B70">
              <w:t>Cardiología</w:t>
            </w:r>
            <w:proofErr w:type="spellEnd"/>
            <w:r w:rsidRPr="00362B70">
              <w:t xml:space="preserve"> </w:t>
            </w:r>
            <w:r w:rsidRPr="00362B70">
              <w:lastRenderedPageBreak/>
              <w:t>(English Edition). [online] Available at: https://www.sciencedirect.com/science/article/pii/S1885585720301869</w:t>
            </w:r>
          </w:p>
        </w:tc>
      </w:tr>
      <w:tr w:rsidR="00930324" w:rsidRPr="00C92280" w14:paraId="0EDF5551" w14:textId="77777777" w:rsidTr="00584584">
        <w:trPr>
          <w:trHeight w:val="282"/>
        </w:trPr>
        <w:tc>
          <w:tcPr>
            <w:tcW w:w="562" w:type="dxa"/>
          </w:tcPr>
          <w:p w14:paraId="0D965E93" w14:textId="77777777" w:rsidR="00930324" w:rsidRPr="00F27622" w:rsidRDefault="00930324" w:rsidP="00930324">
            <w:pPr>
              <w:pStyle w:val="Tabletext"/>
              <w:numPr>
                <w:ilvl w:val="0"/>
                <w:numId w:val="21"/>
              </w:numPr>
            </w:pPr>
          </w:p>
        </w:tc>
        <w:tc>
          <w:tcPr>
            <w:tcW w:w="1843" w:type="dxa"/>
          </w:tcPr>
          <w:p w14:paraId="5CB6DE08" w14:textId="65D2A624" w:rsidR="00930324" w:rsidRPr="00427135" w:rsidRDefault="00930324" w:rsidP="00930324">
            <w:pPr>
              <w:pStyle w:val="Tabletext"/>
            </w:pPr>
            <w:proofErr w:type="spellStart"/>
            <w:r w:rsidRPr="00362B70">
              <w:t>Vifor</w:t>
            </w:r>
            <w:proofErr w:type="spellEnd"/>
            <w:r w:rsidRPr="00362B70">
              <w:t xml:space="preserve"> Pharma UK</w:t>
            </w:r>
          </w:p>
        </w:tc>
        <w:tc>
          <w:tcPr>
            <w:tcW w:w="1985" w:type="dxa"/>
          </w:tcPr>
          <w:p w14:paraId="6E70AE52" w14:textId="341B37AD" w:rsidR="00930324" w:rsidRPr="00427135" w:rsidRDefault="00930324" w:rsidP="00930324">
            <w:pPr>
              <w:pStyle w:val="Tabletext"/>
            </w:pPr>
            <w:r>
              <w:rPr>
                <w:b/>
                <w:bCs/>
              </w:rPr>
              <w:t>Treating Heart failure with reduced ejection fraction</w:t>
            </w:r>
          </w:p>
        </w:tc>
        <w:tc>
          <w:tcPr>
            <w:tcW w:w="6520" w:type="dxa"/>
          </w:tcPr>
          <w:p w14:paraId="73DC4010" w14:textId="77777777" w:rsidR="00930324" w:rsidRDefault="00930324" w:rsidP="00930324">
            <w:pPr>
              <w:pStyle w:val="Tabletext"/>
            </w:pPr>
            <w:r>
              <w:t xml:space="preserve">The proportion of patients being prescribed MRA at discharge is improving but it was still only 56% in 2019/20 (NHFA 2021) </w:t>
            </w:r>
          </w:p>
          <w:p w14:paraId="73DC82B0" w14:textId="6392AA5C" w:rsidR="00930324" w:rsidRPr="00427135" w:rsidRDefault="00930324" w:rsidP="00930324">
            <w:pPr>
              <w:pStyle w:val="Tabletext"/>
            </w:pPr>
            <w:r>
              <w:t>A recent audit of 78 UK GP practices identified missed cohorts of patients with HF and LVSD, enabling the optimization of prognostic medication and an increase in device prescription. In total, 19,393 patients’ (HF w/ LVSD) medical records were audited of which 662 required a specialist review.  Of these patients only 19.9% were initiated or optimised on MRA therapy. [Kahn et al, 2021, European Heart Journal, Volume 43, Issue 5, 1 February 2022, Pages 405–412]</w:t>
            </w:r>
          </w:p>
        </w:tc>
        <w:tc>
          <w:tcPr>
            <w:tcW w:w="3758" w:type="dxa"/>
          </w:tcPr>
          <w:p w14:paraId="7576C8A8" w14:textId="77777777" w:rsidR="00930324" w:rsidRPr="00362B70" w:rsidRDefault="00930324" w:rsidP="00DE5D03">
            <w:pPr>
              <w:pStyle w:val="Tabletext"/>
            </w:pPr>
            <w:r w:rsidRPr="00362B70">
              <w:t xml:space="preserve">NICE NG106 update on 2018 included a recommendation to add MRA as standard-of-care therapy for patients with </w:t>
            </w:r>
            <w:proofErr w:type="spellStart"/>
            <w:r w:rsidRPr="00362B70">
              <w:t>HFrEF</w:t>
            </w:r>
            <w:proofErr w:type="spellEnd"/>
            <w:r w:rsidRPr="00362B70">
              <w:t xml:space="preserve"> on </w:t>
            </w:r>
            <w:proofErr w:type="spellStart"/>
            <w:r w:rsidRPr="00362B70">
              <w:t>ACEi</w:t>
            </w:r>
            <w:proofErr w:type="spellEnd"/>
            <w:r w:rsidRPr="00362B70">
              <w:t xml:space="preserve"> and beta-blocker who remain symptomatic</w:t>
            </w:r>
          </w:p>
          <w:p w14:paraId="68FCC8CB" w14:textId="77777777" w:rsidR="00930324" w:rsidRPr="00362B70" w:rsidRDefault="00930324" w:rsidP="00DE5D03">
            <w:pPr>
              <w:pStyle w:val="Tabletext"/>
            </w:pPr>
            <w:r w:rsidRPr="00362B70">
              <w:t xml:space="preserve">QOF HF indicator 007 (based on NM174) The percentage of patients with a diagnosis of heart failure on the register, who have had a review in the preceding 12 months, including an assessment of functional capacity and a review of medication to ensure medicines optimisation at </w:t>
            </w:r>
            <w:r w:rsidRPr="00362B70">
              <w:rPr>
                <w:b/>
                <w:bCs/>
              </w:rPr>
              <w:t>maximal tolerated doses</w:t>
            </w:r>
            <w:r w:rsidRPr="00362B70">
              <w:t>.</w:t>
            </w:r>
          </w:p>
          <w:p w14:paraId="6D8E805D" w14:textId="44B00603" w:rsidR="00930324" w:rsidRPr="00427135" w:rsidRDefault="00AF2CC8" w:rsidP="00930324">
            <w:pPr>
              <w:pStyle w:val="Tabletext"/>
            </w:pPr>
            <w:hyperlink r:id="rId117" w:history="1">
              <w:r w:rsidR="00930324" w:rsidRPr="00362B70">
                <w:rPr>
                  <w:rStyle w:val="Hyperlink"/>
                  <w:lang w:val="fr-FR"/>
                </w:rPr>
                <w:t>https://www.england.nhs.uk/wp-content/uploads/2020/09/C0713-202021-General-Medical-Services-GMS-contract-Quality-and-Outcomes-Framework-QOF-Guidance.pdf</w:t>
              </w:r>
            </w:hyperlink>
            <w:r w:rsidR="00930324" w:rsidRPr="00362B70">
              <w:rPr>
                <w:lang w:val="fr-FR"/>
              </w:rPr>
              <w:t xml:space="preserve">  Pages 21/22</w:t>
            </w:r>
          </w:p>
        </w:tc>
      </w:tr>
      <w:tr w:rsidR="00930324" w:rsidRPr="00C92280" w14:paraId="453BEE88" w14:textId="77777777" w:rsidTr="00584584">
        <w:trPr>
          <w:trHeight w:val="282"/>
        </w:trPr>
        <w:tc>
          <w:tcPr>
            <w:tcW w:w="562" w:type="dxa"/>
          </w:tcPr>
          <w:p w14:paraId="65041624" w14:textId="77777777" w:rsidR="00930324" w:rsidRPr="00F27622" w:rsidRDefault="00930324" w:rsidP="00930324">
            <w:pPr>
              <w:pStyle w:val="Tabletext"/>
              <w:numPr>
                <w:ilvl w:val="0"/>
                <w:numId w:val="21"/>
              </w:numPr>
            </w:pPr>
          </w:p>
        </w:tc>
        <w:tc>
          <w:tcPr>
            <w:tcW w:w="1843" w:type="dxa"/>
          </w:tcPr>
          <w:p w14:paraId="68D25C63" w14:textId="6DBB126B" w:rsidR="00930324" w:rsidRPr="00427135" w:rsidRDefault="00930324" w:rsidP="00930324">
            <w:pPr>
              <w:pStyle w:val="Tabletext"/>
            </w:pPr>
            <w:proofErr w:type="spellStart"/>
            <w:r w:rsidRPr="00362B70">
              <w:t>Vifor</w:t>
            </w:r>
            <w:proofErr w:type="spellEnd"/>
            <w:r w:rsidRPr="00362B70">
              <w:t xml:space="preserve"> Pharma UK</w:t>
            </w:r>
          </w:p>
        </w:tc>
        <w:tc>
          <w:tcPr>
            <w:tcW w:w="1985" w:type="dxa"/>
          </w:tcPr>
          <w:p w14:paraId="692F1EB9" w14:textId="29FE6EA5" w:rsidR="00930324" w:rsidRPr="00427135" w:rsidRDefault="00930324" w:rsidP="00930324">
            <w:pPr>
              <w:pStyle w:val="Tabletext"/>
            </w:pPr>
            <w:r>
              <w:rPr>
                <w:b/>
                <w:bCs/>
              </w:rPr>
              <w:t>Treating Heart failure with reduced ejection fraction</w:t>
            </w:r>
          </w:p>
        </w:tc>
        <w:tc>
          <w:tcPr>
            <w:tcW w:w="6520" w:type="dxa"/>
          </w:tcPr>
          <w:p w14:paraId="4FBA9A77" w14:textId="0793C7E1" w:rsidR="00930324" w:rsidRPr="00427135" w:rsidRDefault="00930324" w:rsidP="00930324">
            <w:pPr>
              <w:pStyle w:val="Tabletext"/>
            </w:pPr>
            <w:r w:rsidRPr="00362B70">
              <w:t>The National HF Audit (NHFA) 2021 found that only 49% of patients are discharged on all three disease-modifying drugs (</w:t>
            </w:r>
            <w:proofErr w:type="spellStart"/>
            <w:r w:rsidRPr="00362B70">
              <w:t>ACEi</w:t>
            </w:r>
            <w:proofErr w:type="spellEnd"/>
            <w:r w:rsidRPr="00362B70">
              <w:t>, beta-blocker and MRA), and not much improvement has been observed in the last 6 years in this metric.</w:t>
            </w:r>
          </w:p>
        </w:tc>
        <w:tc>
          <w:tcPr>
            <w:tcW w:w="3758" w:type="dxa"/>
          </w:tcPr>
          <w:p w14:paraId="44C4995A" w14:textId="4E8A70D6" w:rsidR="00930324" w:rsidRPr="00427135" w:rsidRDefault="00930324" w:rsidP="00930324">
            <w:pPr>
              <w:pStyle w:val="Tabletext"/>
            </w:pPr>
            <w:r w:rsidRPr="00362B70">
              <w:t xml:space="preserve">The ESC 2021 guidelines recommend four pillars of HF management- ACE-I/ARNI; Beta-blocker; MRA; Dapagliflozin/Empagliflozin - in </w:t>
            </w:r>
            <w:r w:rsidRPr="00362B70">
              <w:lastRenderedPageBreak/>
              <w:t xml:space="preserve">patients with </w:t>
            </w:r>
            <w:proofErr w:type="spellStart"/>
            <w:r w:rsidRPr="00362B70">
              <w:t>HFrEF</w:t>
            </w:r>
            <w:proofErr w:type="spellEnd"/>
            <w:r w:rsidRPr="00362B70">
              <w:t xml:space="preserve"> to reduce mortality and HF hospitalisation (class I recommendation)</w:t>
            </w:r>
          </w:p>
        </w:tc>
      </w:tr>
      <w:tr w:rsidR="00930324" w:rsidRPr="00C92280" w14:paraId="39FC1489" w14:textId="77777777" w:rsidTr="00584584">
        <w:trPr>
          <w:trHeight w:val="282"/>
        </w:trPr>
        <w:tc>
          <w:tcPr>
            <w:tcW w:w="562" w:type="dxa"/>
          </w:tcPr>
          <w:p w14:paraId="1D09A461" w14:textId="77777777" w:rsidR="00930324" w:rsidRPr="00F27622" w:rsidRDefault="00930324" w:rsidP="00930324">
            <w:pPr>
              <w:pStyle w:val="Tabletext"/>
              <w:numPr>
                <w:ilvl w:val="0"/>
                <w:numId w:val="21"/>
              </w:numPr>
            </w:pPr>
          </w:p>
        </w:tc>
        <w:tc>
          <w:tcPr>
            <w:tcW w:w="1843" w:type="dxa"/>
          </w:tcPr>
          <w:p w14:paraId="15F3D955" w14:textId="38921B91" w:rsidR="00930324" w:rsidRPr="00427135" w:rsidRDefault="00930324" w:rsidP="00930324">
            <w:pPr>
              <w:pStyle w:val="Tabletext"/>
            </w:pPr>
            <w:r>
              <w:t>NHSE</w:t>
            </w:r>
          </w:p>
        </w:tc>
        <w:tc>
          <w:tcPr>
            <w:tcW w:w="1985" w:type="dxa"/>
          </w:tcPr>
          <w:p w14:paraId="46E55F48" w14:textId="17D412AA" w:rsidR="00930324" w:rsidRPr="00427135" w:rsidRDefault="00930324" w:rsidP="00930324">
            <w:pPr>
              <w:pStyle w:val="Tabletext"/>
            </w:pPr>
            <w:r>
              <w:rPr>
                <w:b/>
                <w:bCs/>
              </w:rPr>
              <w:t>Treating Heart failure with reduced ejection fraction</w:t>
            </w:r>
          </w:p>
        </w:tc>
        <w:tc>
          <w:tcPr>
            <w:tcW w:w="6520" w:type="dxa"/>
          </w:tcPr>
          <w:p w14:paraId="13E1C683" w14:textId="77777777" w:rsidR="00930324" w:rsidRDefault="00930324" w:rsidP="00930324">
            <w:pPr>
              <w:pStyle w:val="Tabletext"/>
            </w:pPr>
            <w:proofErr w:type="spellStart"/>
            <w:r>
              <w:t>HFrEF</w:t>
            </w:r>
            <w:proofErr w:type="spellEnd"/>
            <w:r>
              <w:t xml:space="preserve"> optimised with quadruple therapy – </w:t>
            </w:r>
            <w:proofErr w:type="spellStart"/>
            <w:r>
              <w:t>ACEi</w:t>
            </w:r>
            <w:proofErr w:type="spellEnd"/>
            <w:r>
              <w:t>/ARB, BB, MRA, SGLT2i</w:t>
            </w:r>
          </w:p>
          <w:p w14:paraId="1E1C34B4" w14:textId="77777777" w:rsidR="00930324" w:rsidRDefault="00930324" w:rsidP="00930324">
            <w:pPr>
              <w:pStyle w:val="Tabletext"/>
            </w:pPr>
            <w:proofErr w:type="spellStart"/>
            <w:r>
              <w:t>HFpEF</w:t>
            </w:r>
            <w:proofErr w:type="spellEnd"/>
            <w:r>
              <w:t xml:space="preserve"> – BP optimised, </w:t>
            </w:r>
            <w:proofErr w:type="spellStart"/>
            <w:r>
              <w:t>albuminuric</w:t>
            </w:r>
            <w:proofErr w:type="spellEnd"/>
            <w:r>
              <w:t xml:space="preserve"> patients optimised</w:t>
            </w:r>
          </w:p>
          <w:p w14:paraId="74653821" w14:textId="77777777" w:rsidR="00930324" w:rsidRDefault="00930324" w:rsidP="00930324">
            <w:pPr>
              <w:pStyle w:val="Tabletext"/>
            </w:pPr>
            <w:r>
              <w:t>Patients are often not optimised leading to preventable disease progression</w:t>
            </w:r>
          </w:p>
          <w:p w14:paraId="6A2751E8" w14:textId="77777777" w:rsidR="00930324" w:rsidRDefault="00930324" w:rsidP="00930324">
            <w:pPr>
              <w:pStyle w:val="Tabletext"/>
            </w:pPr>
          </w:p>
          <w:p w14:paraId="688518FB" w14:textId="017E1E4E" w:rsidR="00930324" w:rsidRPr="00427135" w:rsidRDefault="00930324" w:rsidP="00930324">
            <w:pPr>
              <w:pStyle w:val="Tabletext"/>
            </w:pPr>
            <w:r>
              <w:t>TOPCAT</w:t>
            </w:r>
          </w:p>
        </w:tc>
        <w:tc>
          <w:tcPr>
            <w:tcW w:w="3758" w:type="dxa"/>
          </w:tcPr>
          <w:p w14:paraId="551C4E7E" w14:textId="77777777" w:rsidR="00930324" w:rsidRPr="00427135" w:rsidRDefault="00930324" w:rsidP="00930324">
            <w:pPr>
              <w:pStyle w:val="Tabletext"/>
            </w:pPr>
          </w:p>
        </w:tc>
      </w:tr>
      <w:tr w:rsidR="00930324" w:rsidRPr="00C92280" w14:paraId="48F767FC" w14:textId="77777777" w:rsidTr="00584584">
        <w:trPr>
          <w:trHeight w:val="282"/>
        </w:trPr>
        <w:tc>
          <w:tcPr>
            <w:tcW w:w="562" w:type="dxa"/>
          </w:tcPr>
          <w:p w14:paraId="1EA1D98A" w14:textId="77777777" w:rsidR="00930324" w:rsidRPr="00F27622" w:rsidRDefault="00930324" w:rsidP="00930324">
            <w:pPr>
              <w:pStyle w:val="Tabletext"/>
              <w:numPr>
                <w:ilvl w:val="0"/>
                <w:numId w:val="21"/>
              </w:numPr>
            </w:pPr>
          </w:p>
        </w:tc>
        <w:tc>
          <w:tcPr>
            <w:tcW w:w="1843" w:type="dxa"/>
          </w:tcPr>
          <w:p w14:paraId="422348AB" w14:textId="6523B71B" w:rsidR="00930324" w:rsidRPr="00427135" w:rsidRDefault="00930324" w:rsidP="00930324">
            <w:pPr>
              <w:pStyle w:val="Tabletext"/>
            </w:pPr>
            <w:r w:rsidRPr="00481D6C">
              <w:t>Novartis Pharmaceuticals UK Ltd</w:t>
            </w:r>
          </w:p>
        </w:tc>
        <w:tc>
          <w:tcPr>
            <w:tcW w:w="1985" w:type="dxa"/>
          </w:tcPr>
          <w:p w14:paraId="5EA7912D" w14:textId="766F8D46" w:rsidR="00930324" w:rsidRPr="00427135" w:rsidRDefault="00930324" w:rsidP="00930324">
            <w:pPr>
              <w:pStyle w:val="Tabletext"/>
            </w:pPr>
            <w:r>
              <w:rPr>
                <w:b/>
                <w:bCs/>
              </w:rPr>
              <w:t>Treating Heart failure with reduced ejection fraction</w:t>
            </w:r>
          </w:p>
        </w:tc>
        <w:tc>
          <w:tcPr>
            <w:tcW w:w="6520" w:type="dxa"/>
          </w:tcPr>
          <w:p w14:paraId="06B35DC5" w14:textId="77777777" w:rsidR="00930324" w:rsidRDefault="00930324" w:rsidP="00930324">
            <w:pPr>
              <w:pStyle w:val="Tabletext"/>
            </w:pPr>
            <w:r w:rsidRPr="00481D6C">
              <w:t>Prescribing: Inclusion of ARNI (angiotensin receptor-</w:t>
            </w:r>
            <w:proofErr w:type="spellStart"/>
            <w:r w:rsidRPr="00481D6C">
              <w:t>neprilysin</w:t>
            </w:r>
            <w:proofErr w:type="spellEnd"/>
            <w:r w:rsidRPr="00481D6C">
              <w:t xml:space="preserve"> inhibitors) in the Four Pillar treatment paradigm for adults with chronic heart failure with reduced ejection fraction</w:t>
            </w:r>
            <w:r>
              <w:t>.</w:t>
            </w:r>
          </w:p>
          <w:p w14:paraId="6B570764" w14:textId="77777777" w:rsidR="00930324" w:rsidRDefault="00930324" w:rsidP="00930324">
            <w:pPr>
              <w:pStyle w:val="Tabletext"/>
            </w:pPr>
          </w:p>
          <w:p w14:paraId="5A9E3D80" w14:textId="77777777" w:rsidR="00930324" w:rsidRPr="00481D6C" w:rsidRDefault="00930324" w:rsidP="00445535">
            <w:pPr>
              <w:pStyle w:val="Tabletext"/>
            </w:pPr>
            <w:r w:rsidRPr="00481D6C">
              <w:t>The Quality Standard Statement 3 “</w:t>
            </w:r>
            <w:r w:rsidRPr="00481D6C">
              <w:rPr>
                <w:i/>
                <w:iCs/>
              </w:rPr>
              <w:t>Adults with chronic heart failure who have reduced ejection fraction are started on low-dose angiotensin-converting enzyme (ACE) inhibitor and beta-blocker medications that are gradually increased until the target or optimal tolerated doses are reached. [2011, updated 2016]”</w:t>
            </w:r>
            <w:r w:rsidRPr="00481D6C">
              <w:t xml:space="preserve"> does not reflect more recent advances in best practice treatment options for adults with chronic heart failure who have reduced ejection fraction. </w:t>
            </w:r>
          </w:p>
          <w:p w14:paraId="03AA4905" w14:textId="77777777" w:rsidR="00930324" w:rsidRPr="00481D6C" w:rsidRDefault="00930324" w:rsidP="00445535">
            <w:pPr>
              <w:pStyle w:val="Tabletext"/>
            </w:pPr>
            <w:r w:rsidRPr="00481D6C">
              <w:t>We recommend that the Quality Statement is updated to specifically include the initiation (where appropriate) of ARNI* (angiotensin receptor-</w:t>
            </w:r>
            <w:proofErr w:type="spellStart"/>
            <w:r w:rsidRPr="00481D6C">
              <w:t>neprilysin</w:t>
            </w:r>
            <w:proofErr w:type="spellEnd"/>
            <w:r w:rsidRPr="00481D6C">
              <w:t xml:space="preserve"> inhibitors) alongside beta-blocker (BB), mineralocorticoid receptor antagonist (MRA) and sodium-glucose co-transporter 2 inhibitors (SGLT2i) medications. *</w:t>
            </w:r>
            <w:proofErr w:type="spellStart"/>
            <w:r w:rsidRPr="00481D6C">
              <w:t>ACEi</w:t>
            </w:r>
            <w:proofErr w:type="spellEnd"/>
            <w:r w:rsidRPr="00481D6C">
              <w:t xml:space="preserve"> or ARB may be used as an alternative if ARNI is not suitable/appropriate. Doing so would bring the </w:t>
            </w:r>
            <w:r w:rsidRPr="00481D6C">
              <w:lastRenderedPageBreak/>
              <w:t>Quality Statement in line with the available evidence, as set out below.</w:t>
            </w:r>
          </w:p>
          <w:p w14:paraId="36BFFF69" w14:textId="77777777" w:rsidR="00930324" w:rsidRPr="00481D6C" w:rsidRDefault="00930324" w:rsidP="00930324">
            <w:pPr>
              <w:pStyle w:val="Tabletext"/>
            </w:pPr>
          </w:p>
          <w:p w14:paraId="7EB63AA1" w14:textId="77777777" w:rsidR="00930324" w:rsidRPr="00481D6C" w:rsidRDefault="00930324" w:rsidP="00445535">
            <w:pPr>
              <w:pStyle w:val="Tabletext"/>
            </w:pPr>
            <w:r w:rsidRPr="00481D6C">
              <w:t xml:space="preserve">The </w:t>
            </w:r>
            <w:hyperlink r:id="rId118" w:history="1">
              <w:hyperlink r:id="rId119" w:history="1">
                <w:r w:rsidRPr="00481D6C">
                  <w:rPr>
                    <w:rStyle w:val="Hyperlink"/>
                  </w:rPr>
                  <w:t>CaReMe 2021 HF Algorithm</w:t>
                </w:r>
              </w:hyperlink>
              <w:r w:rsidRPr="00481D6C">
                <w:rPr>
                  <w:rStyle w:val="Hyperlink"/>
                </w:rPr>
                <w:t>,</w:t>
              </w:r>
            </w:hyperlink>
            <w:r w:rsidRPr="00481D6C">
              <w:t xml:space="preserve"> is guidance from the British Cardiovascular Society, Renal Association and Association of British Clinical Diabetologists which has been modified from the NICE guideline for Chronic Heart Failure, recommends ARNI as first line treatment for patients with ejection fraction &lt;35%. The </w:t>
            </w:r>
            <w:hyperlink r:id="rId120" w:history="1">
              <w:r w:rsidRPr="00481D6C">
                <w:rPr>
                  <w:rStyle w:val="Hyperlink"/>
                </w:rPr>
                <w:t>2021 ESC Guidelines</w:t>
              </w:r>
            </w:hyperlink>
            <w:r w:rsidRPr="00481D6C">
              <w:t xml:space="preserve"> recommend ARNI as first line treatment for HF patients, as a replacement for </w:t>
            </w:r>
            <w:proofErr w:type="spellStart"/>
            <w:r w:rsidRPr="00481D6C">
              <w:t>ACEi</w:t>
            </w:r>
            <w:proofErr w:type="spellEnd"/>
            <w:r w:rsidRPr="00481D6C">
              <w:t xml:space="preserve">. The </w:t>
            </w:r>
            <w:hyperlink r:id="rId121" w:history="1">
              <w:r w:rsidRPr="00481D6C">
                <w:rPr>
                  <w:rStyle w:val="Hyperlink"/>
                </w:rPr>
                <w:t>AHA/ACC/HFSA 2022 Guideline</w:t>
              </w:r>
            </w:hyperlink>
            <w:r w:rsidRPr="00481D6C">
              <w:t xml:space="preserve"> for the Management of Heart Failure recommends ARNI first line for NYHA class II -III patients.</w:t>
            </w:r>
          </w:p>
          <w:p w14:paraId="2FF42A60" w14:textId="77777777" w:rsidR="00930324" w:rsidRPr="00481D6C" w:rsidRDefault="00930324" w:rsidP="00DE5D03">
            <w:pPr>
              <w:pStyle w:val="Tabletext"/>
              <w:ind w:left="360"/>
            </w:pPr>
            <w:r w:rsidRPr="00481D6C">
              <w:t xml:space="preserve">The PARADIGM-HF trial by McMurray JJV, Packer M, Desai AS, et al. 2014 showed that a combination of angiotensin receptor blocker and a </w:t>
            </w:r>
            <w:proofErr w:type="spellStart"/>
            <w:r w:rsidRPr="00481D6C">
              <w:t>neprilysin</w:t>
            </w:r>
            <w:proofErr w:type="spellEnd"/>
            <w:r w:rsidRPr="00481D6C">
              <w:t xml:space="preserve"> inhibitor- ARNI (sacubitril-valsartan) was superior to an </w:t>
            </w:r>
            <w:proofErr w:type="spellStart"/>
            <w:r w:rsidRPr="00481D6C">
              <w:t>ACEi</w:t>
            </w:r>
            <w:proofErr w:type="spellEnd"/>
            <w:r w:rsidRPr="00481D6C">
              <w:t xml:space="preserve"> (Enalapril) in preventing cardiovascular deaths or hospitalisation for heart failure and reducing all-cause mortality. </w:t>
            </w:r>
          </w:p>
          <w:p w14:paraId="5D794902" w14:textId="450A7054" w:rsidR="00930324" w:rsidRPr="00427135" w:rsidRDefault="00930324" w:rsidP="00DE5D03">
            <w:pPr>
              <w:pStyle w:val="Tabletext"/>
              <w:ind w:left="360"/>
            </w:pPr>
            <w:r w:rsidRPr="00481D6C">
              <w:t xml:space="preserve">Recent trials have also demonstrated improved outcomes in people with </w:t>
            </w:r>
            <w:proofErr w:type="spellStart"/>
            <w:r w:rsidRPr="00481D6C">
              <w:t>HFrEF</w:t>
            </w:r>
            <w:proofErr w:type="spellEnd"/>
            <w:r w:rsidRPr="00481D6C">
              <w:t xml:space="preserve"> receiving SGLT2i.</w:t>
            </w:r>
          </w:p>
        </w:tc>
        <w:tc>
          <w:tcPr>
            <w:tcW w:w="3758" w:type="dxa"/>
          </w:tcPr>
          <w:p w14:paraId="174022AB" w14:textId="77777777" w:rsidR="00930324" w:rsidRPr="00481D6C" w:rsidRDefault="00930324" w:rsidP="00DE5D03">
            <w:pPr>
              <w:pStyle w:val="Tabletext"/>
            </w:pPr>
            <w:r w:rsidRPr="00481D6C">
              <w:lastRenderedPageBreak/>
              <w:t xml:space="preserve">The </w:t>
            </w:r>
            <w:hyperlink r:id="rId122" w:history="1">
              <w:r w:rsidRPr="00481D6C">
                <w:rPr>
                  <w:rStyle w:val="Hyperlink"/>
                </w:rPr>
                <w:t>AHA/ACC/HFSA 2022 Guideline</w:t>
              </w:r>
            </w:hyperlink>
            <w:r w:rsidRPr="00481D6C">
              <w:t xml:space="preserve"> for the Management of Heart Failure recommends ARNI first line for NYHA class II-III patients. This is aligned with a viewpoint published by Straw S, </w:t>
            </w:r>
            <w:proofErr w:type="spellStart"/>
            <w:r w:rsidRPr="00481D6C">
              <w:t>McGinlay</w:t>
            </w:r>
            <w:proofErr w:type="spellEnd"/>
            <w:r w:rsidRPr="00481D6C">
              <w:t xml:space="preserve"> M, Witte KK. 2021. They propose a framework for the implementation of pharmacological therapies in </w:t>
            </w:r>
            <w:proofErr w:type="spellStart"/>
            <w:r w:rsidRPr="00481D6C">
              <w:t>HFrEF</w:t>
            </w:r>
            <w:proofErr w:type="spellEnd"/>
            <w:r w:rsidRPr="00481D6C">
              <w:t xml:space="preserve">, in which the Four Pillars of Heart Failure are introduced in parallel, very early in the patient pathway with subsequent optimisation of dosing where required. </w:t>
            </w:r>
          </w:p>
          <w:p w14:paraId="127EBE16" w14:textId="7E1FC805" w:rsidR="00930324" w:rsidRPr="00481D6C" w:rsidRDefault="00930324" w:rsidP="00DE5D03">
            <w:pPr>
              <w:pStyle w:val="Tabletext"/>
            </w:pPr>
            <w:r w:rsidRPr="00481D6C">
              <w:rPr>
                <w:noProof/>
              </w:rPr>
              <w:lastRenderedPageBreak/>
              <w:drawing>
                <wp:inline distT="0" distB="0" distL="0" distR="0" wp14:anchorId="77F89A30" wp14:editId="51ECA26B">
                  <wp:extent cx="2249170" cy="14420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249170" cy="1442085"/>
                          </a:xfrm>
                          <a:prstGeom prst="rect">
                            <a:avLst/>
                          </a:prstGeom>
                          <a:noFill/>
                          <a:ln>
                            <a:noFill/>
                          </a:ln>
                        </pic:spPr>
                      </pic:pic>
                    </a:graphicData>
                  </a:graphic>
                </wp:inline>
              </w:drawing>
            </w:r>
          </w:p>
          <w:p w14:paraId="234EFBCE" w14:textId="77777777" w:rsidR="00930324" w:rsidRPr="00481D6C" w:rsidRDefault="00930324" w:rsidP="00DE5D03">
            <w:pPr>
              <w:pStyle w:val="Tabletext"/>
            </w:pPr>
            <w:r w:rsidRPr="00481D6C">
              <w:rPr>
                <w:b/>
                <w:bCs/>
                <w:u w:val="single"/>
              </w:rPr>
              <w:t>Figure 1</w:t>
            </w:r>
            <w:r w:rsidRPr="00481D6C">
              <w:t xml:space="preserve"> Initiation and optimisation of the Four Pillars of Heart Failure therapy. All agents are initiated in parallel. This is followed by up-titration in one, two or three steps, as required. Additional therapies are then considered as a final step. </w:t>
            </w:r>
          </w:p>
          <w:p w14:paraId="10F2AD84" w14:textId="281ECEF3" w:rsidR="00930324" w:rsidRPr="00427135" w:rsidRDefault="00930324" w:rsidP="00930324">
            <w:pPr>
              <w:pStyle w:val="Tabletext"/>
            </w:pPr>
            <w:r w:rsidRPr="00481D6C">
              <w:t xml:space="preserve">In a cross-trial analysis, </w:t>
            </w:r>
            <w:proofErr w:type="spellStart"/>
            <w:r w:rsidRPr="00481D6C">
              <w:t>Vaduganathan</w:t>
            </w:r>
            <w:proofErr w:type="spellEnd"/>
            <w:r w:rsidRPr="00481D6C">
              <w:t xml:space="preserve"> M, Claggett BL, </w:t>
            </w:r>
            <w:proofErr w:type="spellStart"/>
            <w:r w:rsidRPr="00481D6C">
              <w:t>Jhund</w:t>
            </w:r>
            <w:proofErr w:type="spellEnd"/>
            <w:r w:rsidRPr="00481D6C">
              <w:t xml:space="preserve"> PS, et al. 2020, estimated that a typical patient aged 65 years can expect to live an additional 4 years if receiving a comprehensive ‘Four Pillar’ treatment strategy (ARNI, Beta Blocker, MRA, and SGLT2i) versus conventional therapy (</w:t>
            </w:r>
            <w:proofErr w:type="spellStart"/>
            <w:r w:rsidRPr="00481D6C">
              <w:t>ACEi</w:t>
            </w:r>
            <w:proofErr w:type="spellEnd"/>
            <w:r w:rsidRPr="00481D6C">
              <w:t xml:space="preserve">/ARB and Beta Blocker) in patients with chronic </w:t>
            </w:r>
            <w:proofErr w:type="spellStart"/>
            <w:r w:rsidRPr="00481D6C">
              <w:t>HFrEF</w:t>
            </w:r>
            <w:proofErr w:type="spellEnd"/>
            <w:r w:rsidRPr="00481D6C">
              <w:t>.</w:t>
            </w:r>
          </w:p>
        </w:tc>
      </w:tr>
      <w:tr w:rsidR="00930324" w:rsidRPr="00C92280" w14:paraId="68F053A8" w14:textId="77777777" w:rsidTr="00584584">
        <w:trPr>
          <w:trHeight w:val="282"/>
        </w:trPr>
        <w:tc>
          <w:tcPr>
            <w:tcW w:w="562" w:type="dxa"/>
          </w:tcPr>
          <w:p w14:paraId="6670FB71" w14:textId="77777777" w:rsidR="00930324" w:rsidRPr="00F27622" w:rsidRDefault="00930324" w:rsidP="00930324">
            <w:pPr>
              <w:pStyle w:val="Tabletext"/>
              <w:numPr>
                <w:ilvl w:val="0"/>
                <w:numId w:val="21"/>
              </w:numPr>
            </w:pPr>
          </w:p>
        </w:tc>
        <w:tc>
          <w:tcPr>
            <w:tcW w:w="1843" w:type="dxa"/>
          </w:tcPr>
          <w:p w14:paraId="176AFBB7" w14:textId="78B4C208" w:rsidR="00930324" w:rsidRPr="00427135" w:rsidRDefault="00930324" w:rsidP="00930324">
            <w:pPr>
              <w:pStyle w:val="Tabletext"/>
            </w:pPr>
            <w:r>
              <w:t>SCM5</w:t>
            </w:r>
          </w:p>
        </w:tc>
        <w:tc>
          <w:tcPr>
            <w:tcW w:w="1985" w:type="dxa"/>
          </w:tcPr>
          <w:p w14:paraId="7E4750E7" w14:textId="3871DAFD" w:rsidR="00930324" w:rsidRPr="00427135" w:rsidRDefault="00930324" w:rsidP="00930324">
            <w:pPr>
              <w:pStyle w:val="Tabletext"/>
            </w:pPr>
            <w:r>
              <w:rPr>
                <w:b/>
                <w:bCs/>
              </w:rPr>
              <w:t xml:space="preserve">Treating Heart failure with </w:t>
            </w:r>
            <w:r>
              <w:rPr>
                <w:b/>
                <w:bCs/>
              </w:rPr>
              <w:lastRenderedPageBreak/>
              <w:t>reduced ejection fraction</w:t>
            </w:r>
          </w:p>
        </w:tc>
        <w:tc>
          <w:tcPr>
            <w:tcW w:w="6520" w:type="dxa"/>
          </w:tcPr>
          <w:p w14:paraId="0CD423CA" w14:textId="77777777" w:rsidR="00930324" w:rsidRDefault="00930324" w:rsidP="00930324">
            <w:pPr>
              <w:pStyle w:val="Tabletext"/>
            </w:pPr>
            <w:r>
              <w:lastRenderedPageBreak/>
              <w:t xml:space="preserve">We know that use of all 4 pillars of medical therapy </w:t>
            </w:r>
            <w:proofErr w:type="gramStart"/>
            <w:r>
              <w:t>lead</w:t>
            </w:r>
            <w:proofErr w:type="gramEnd"/>
            <w:r>
              <w:t xml:space="preserve"> to significant improvement in event free survival. </w:t>
            </w:r>
          </w:p>
          <w:p w14:paraId="416DB2DB" w14:textId="77777777" w:rsidR="00930324" w:rsidRDefault="00930324" w:rsidP="00930324">
            <w:pPr>
              <w:pStyle w:val="Tabletext"/>
            </w:pPr>
            <w:r>
              <w:lastRenderedPageBreak/>
              <w:t xml:space="preserve">We also know that we are not doing well nationally at getting patients on all 4 pillars – particularly regarding low rates of MRA prescribing. </w:t>
            </w:r>
          </w:p>
          <w:p w14:paraId="2873576C" w14:textId="77777777" w:rsidR="00930324" w:rsidRDefault="00930324" w:rsidP="00930324">
            <w:pPr>
              <w:pStyle w:val="Tabletext"/>
            </w:pPr>
            <w:r>
              <w:t xml:space="preserve">We also know that these therapies have an early onset of action, so that the sooner patients are initiated on these medicines, and </w:t>
            </w:r>
            <w:proofErr w:type="spellStart"/>
            <w:r>
              <w:t>uptitrated</w:t>
            </w:r>
            <w:proofErr w:type="spellEnd"/>
            <w:r>
              <w:t xml:space="preserve"> to maximally tolerated doses, the increased likelihood of a. better outcome. </w:t>
            </w:r>
          </w:p>
          <w:p w14:paraId="6BED983B" w14:textId="77777777" w:rsidR="00930324" w:rsidRDefault="00930324" w:rsidP="00930324">
            <w:pPr>
              <w:pStyle w:val="Tabletext"/>
            </w:pPr>
            <w:proofErr w:type="gramStart"/>
            <w:r>
              <w:t>Therefore</w:t>
            </w:r>
            <w:proofErr w:type="gramEnd"/>
            <w:r>
              <w:t xml:space="preserve"> it is logical that there should be a target timeframe for us to achieve this within. Some groups are recommending a </w:t>
            </w:r>
            <w:proofErr w:type="gramStart"/>
            <w:r>
              <w:t>4 week</w:t>
            </w:r>
            <w:proofErr w:type="gramEnd"/>
            <w:r>
              <w:t xml:space="preserve"> period, but 3-6 months seems more sensible and achievable, and measurable. </w:t>
            </w:r>
          </w:p>
          <w:p w14:paraId="10F79B51" w14:textId="14F61303" w:rsidR="00930324" w:rsidRPr="00427135" w:rsidRDefault="00930324" w:rsidP="00930324">
            <w:pPr>
              <w:pStyle w:val="Tabletext"/>
            </w:pPr>
            <w:r>
              <w:t xml:space="preserve">In so doing it would be helpful to explicitly highlight that there would need to be an uplift in HF nurse specialists </w:t>
            </w:r>
            <w:proofErr w:type="gramStart"/>
            <w:r>
              <w:t>in order to</w:t>
            </w:r>
            <w:proofErr w:type="gramEnd"/>
            <w:r>
              <w:t xml:space="preserve"> achieve this goal.</w:t>
            </w:r>
          </w:p>
        </w:tc>
        <w:tc>
          <w:tcPr>
            <w:tcW w:w="3758" w:type="dxa"/>
          </w:tcPr>
          <w:p w14:paraId="3A0CA1F8" w14:textId="77777777" w:rsidR="00930324" w:rsidRPr="00481D6C" w:rsidRDefault="00930324" w:rsidP="00930324">
            <w:pPr>
              <w:pStyle w:val="Tabletext"/>
            </w:pPr>
            <w:proofErr w:type="spellStart"/>
            <w:r w:rsidRPr="00481D6C">
              <w:rPr>
                <w:lang w:val="fr-FR"/>
              </w:rPr>
              <w:lastRenderedPageBreak/>
              <w:t>Vaduganathan</w:t>
            </w:r>
            <w:proofErr w:type="spellEnd"/>
            <w:r w:rsidRPr="00481D6C">
              <w:rPr>
                <w:lang w:val="fr-FR"/>
              </w:rPr>
              <w:t xml:space="preserve"> M et al. Lancet. </w:t>
            </w:r>
            <w:r w:rsidRPr="00481D6C">
              <w:t xml:space="preserve">2020 Jul 11;396(10244):121-128. </w:t>
            </w:r>
            <w:proofErr w:type="spellStart"/>
            <w:r w:rsidRPr="00481D6C">
              <w:t>doi</w:t>
            </w:r>
            <w:proofErr w:type="spellEnd"/>
            <w:r w:rsidRPr="00481D6C">
              <w:t>: 10.1016/S0140-</w:t>
            </w:r>
            <w:r w:rsidRPr="00481D6C">
              <w:lastRenderedPageBreak/>
              <w:t xml:space="preserve">6736(20)30748-0. </w:t>
            </w:r>
            <w:proofErr w:type="spellStart"/>
            <w:r w:rsidRPr="00481D6C">
              <w:t>Epub</w:t>
            </w:r>
            <w:proofErr w:type="spellEnd"/>
            <w:r w:rsidRPr="00481D6C">
              <w:t xml:space="preserve"> 2020 May 21. PMID: 32446323.</w:t>
            </w:r>
          </w:p>
          <w:p w14:paraId="11AE873B" w14:textId="77777777" w:rsidR="00930324" w:rsidRPr="00481D6C" w:rsidRDefault="00AF2CC8" w:rsidP="00930324">
            <w:pPr>
              <w:pStyle w:val="Tabletext"/>
            </w:pPr>
            <w:hyperlink r:id="rId124" w:history="1">
              <w:r w:rsidR="00930324" w:rsidRPr="00481D6C">
                <w:rPr>
                  <w:rStyle w:val="Hyperlink"/>
                </w:rPr>
                <w:t>https://www.nicor.org.uk/wp-content/uploads/2021/10/NHFA-Domain-Report_2021_FINAL.pdf</w:t>
              </w:r>
            </w:hyperlink>
          </w:p>
          <w:p w14:paraId="6F8697A1" w14:textId="77777777" w:rsidR="00930324" w:rsidRPr="00481D6C" w:rsidRDefault="00930324" w:rsidP="00930324">
            <w:pPr>
              <w:pStyle w:val="Tabletext"/>
            </w:pPr>
            <w:r w:rsidRPr="00481D6C">
              <w:rPr>
                <w:lang w:val="en-US"/>
              </w:rPr>
              <w:t xml:space="preserve">Berg JAMA </w:t>
            </w:r>
            <w:proofErr w:type="spellStart"/>
            <w:r w:rsidRPr="00481D6C">
              <w:rPr>
                <w:lang w:val="en-US"/>
              </w:rPr>
              <w:t>Cardiol</w:t>
            </w:r>
            <w:proofErr w:type="spellEnd"/>
            <w:r w:rsidRPr="00481D6C">
              <w:rPr>
                <w:lang w:val="en-US"/>
              </w:rPr>
              <w:t xml:space="preserve"> 2021; 6(5): 499-507</w:t>
            </w:r>
          </w:p>
          <w:p w14:paraId="1973FA58" w14:textId="77777777" w:rsidR="00930324" w:rsidRPr="00481D6C" w:rsidRDefault="00930324" w:rsidP="00930324">
            <w:pPr>
              <w:pStyle w:val="Tabletext"/>
            </w:pPr>
            <w:r w:rsidRPr="00481D6C">
              <w:rPr>
                <w:lang w:val="en-US"/>
              </w:rPr>
              <w:t>M Packer Circulation 2021; 143: 326-336</w:t>
            </w:r>
          </w:p>
          <w:p w14:paraId="1157C961" w14:textId="77777777" w:rsidR="00930324" w:rsidRPr="00481D6C" w:rsidRDefault="00930324" w:rsidP="00930324">
            <w:pPr>
              <w:pStyle w:val="Tabletext"/>
            </w:pPr>
            <w:r w:rsidRPr="00481D6C">
              <w:t xml:space="preserve">A Sharma et al. Optimizing Foundational Therapies in Patients </w:t>
            </w:r>
            <w:proofErr w:type="gramStart"/>
            <w:r w:rsidRPr="00481D6C">
              <w:t>With</w:t>
            </w:r>
            <w:proofErr w:type="gramEnd"/>
            <w:r w:rsidRPr="00481D6C">
              <w:t xml:space="preserve"> </w:t>
            </w:r>
            <w:proofErr w:type="spellStart"/>
            <w:r w:rsidRPr="00481D6C">
              <w:t>HFrEF</w:t>
            </w:r>
            <w:proofErr w:type="spellEnd"/>
            <w:r w:rsidRPr="00481D6C">
              <w:t xml:space="preserve">: How Do We Translate These Findings Into Clinical Care? JACC basic to translational science 2022. </w:t>
            </w:r>
            <w:hyperlink r:id="rId125" w:history="1">
              <w:r w:rsidRPr="00481D6C">
                <w:rPr>
                  <w:rStyle w:val="Hyperlink"/>
                </w:rPr>
                <w:t>https://doi.org/10.1016/j.jacbts.2021.10.018</w:t>
              </w:r>
            </w:hyperlink>
          </w:p>
          <w:p w14:paraId="6FD545AF" w14:textId="77777777" w:rsidR="00930324" w:rsidRPr="00481D6C" w:rsidRDefault="00930324" w:rsidP="00930324">
            <w:pPr>
              <w:pStyle w:val="Tabletext"/>
            </w:pPr>
            <w:r w:rsidRPr="00481D6C">
              <w:t>BSH-Position-Statement-Non-medical-prescribers-final-copy.pdf</w:t>
            </w:r>
          </w:p>
          <w:p w14:paraId="060E2D66" w14:textId="63DF344C" w:rsidR="00930324" w:rsidRPr="00427135" w:rsidRDefault="00930324" w:rsidP="00930324">
            <w:pPr>
              <w:pStyle w:val="Tabletext"/>
            </w:pPr>
            <w:proofErr w:type="spellStart"/>
            <w:r w:rsidRPr="00481D6C">
              <w:t>Oyanguren</w:t>
            </w:r>
            <w:proofErr w:type="spellEnd"/>
            <w:r w:rsidRPr="00481D6C">
              <w:t xml:space="preserve">, J., et al. (2020). Noninferiority of heart failure nurse titration versus heart failure cardiologist titration. ETIFIC </w:t>
            </w:r>
            <w:proofErr w:type="spellStart"/>
            <w:r w:rsidRPr="00481D6C">
              <w:t>multicenter</w:t>
            </w:r>
            <w:proofErr w:type="spellEnd"/>
            <w:r w:rsidRPr="00481D6C">
              <w:t xml:space="preserve"> randomized trial. </w:t>
            </w:r>
            <w:proofErr w:type="spellStart"/>
            <w:r w:rsidRPr="00481D6C">
              <w:t>Revista</w:t>
            </w:r>
            <w:proofErr w:type="spellEnd"/>
            <w:r w:rsidRPr="00481D6C">
              <w:t xml:space="preserve"> Española de </w:t>
            </w:r>
            <w:proofErr w:type="spellStart"/>
            <w:r w:rsidRPr="00481D6C">
              <w:t>Cardiología</w:t>
            </w:r>
            <w:proofErr w:type="spellEnd"/>
            <w:r w:rsidRPr="00481D6C">
              <w:t xml:space="preserve"> (English Edition). </w:t>
            </w:r>
            <w:hyperlink r:id="rId126" w:history="1">
              <w:r w:rsidRPr="00481D6C">
                <w:rPr>
                  <w:rStyle w:val="Hyperlink"/>
                </w:rPr>
                <w:t>https://www.sciencedirect.com/science/article/pii/S1885585720301869</w:t>
              </w:r>
            </w:hyperlink>
          </w:p>
        </w:tc>
      </w:tr>
      <w:tr w:rsidR="00930324" w:rsidRPr="00C92280" w14:paraId="2FB66B87" w14:textId="77777777" w:rsidTr="00584584">
        <w:trPr>
          <w:trHeight w:val="282"/>
        </w:trPr>
        <w:tc>
          <w:tcPr>
            <w:tcW w:w="562" w:type="dxa"/>
          </w:tcPr>
          <w:p w14:paraId="1A979FD0" w14:textId="77777777" w:rsidR="00930324" w:rsidRPr="00F27622" w:rsidRDefault="00930324" w:rsidP="00930324">
            <w:pPr>
              <w:pStyle w:val="Tabletext"/>
              <w:numPr>
                <w:ilvl w:val="0"/>
                <w:numId w:val="21"/>
              </w:numPr>
            </w:pPr>
          </w:p>
        </w:tc>
        <w:tc>
          <w:tcPr>
            <w:tcW w:w="1843" w:type="dxa"/>
          </w:tcPr>
          <w:p w14:paraId="45DAB751" w14:textId="7BDF2B5E" w:rsidR="00930324" w:rsidRPr="00427135" w:rsidRDefault="00930324" w:rsidP="00930324">
            <w:pPr>
              <w:pStyle w:val="Tabletext"/>
            </w:pPr>
            <w:r>
              <w:t>SCM6</w:t>
            </w:r>
          </w:p>
        </w:tc>
        <w:tc>
          <w:tcPr>
            <w:tcW w:w="1985" w:type="dxa"/>
          </w:tcPr>
          <w:p w14:paraId="72B78693" w14:textId="17428FCA" w:rsidR="00930324" w:rsidRPr="00427135" w:rsidRDefault="00930324" w:rsidP="00930324">
            <w:pPr>
              <w:pStyle w:val="Tabletext"/>
            </w:pPr>
            <w:r>
              <w:rPr>
                <w:b/>
                <w:bCs/>
              </w:rPr>
              <w:t>Treating Heart failure with reduced ejection fraction</w:t>
            </w:r>
          </w:p>
        </w:tc>
        <w:tc>
          <w:tcPr>
            <w:tcW w:w="6520" w:type="dxa"/>
          </w:tcPr>
          <w:p w14:paraId="0D3915A4" w14:textId="77777777" w:rsidR="00930324" w:rsidRDefault="00930324" w:rsidP="00930324">
            <w:pPr>
              <w:pStyle w:val="Tabletext"/>
            </w:pPr>
            <w:r w:rsidRPr="00481D6C">
              <w:t xml:space="preserve">Optimising heart failure medicines with the four disease modifying drugs that reduce mortality </w:t>
            </w:r>
            <w:proofErr w:type="gramStart"/>
            <w:r w:rsidRPr="00481D6C">
              <w:t>-  and</w:t>
            </w:r>
            <w:proofErr w:type="gramEnd"/>
            <w:r w:rsidRPr="00481D6C">
              <w:t xml:space="preserve"> better shared decision making and planning.</w:t>
            </w:r>
          </w:p>
          <w:p w14:paraId="7DD51961" w14:textId="77777777" w:rsidR="00930324" w:rsidRDefault="00930324" w:rsidP="00930324">
            <w:pPr>
              <w:pStyle w:val="Tabletext"/>
            </w:pPr>
          </w:p>
          <w:p w14:paraId="05B2A1AD" w14:textId="0F4A336A" w:rsidR="00930324" w:rsidRPr="00427135" w:rsidRDefault="00930324" w:rsidP="00930324">
            <w:pPr>
              <w:pStyle w:val="Tabletext"/>
            </w:pPr>
            <w:r w:rsidRPr="00481D6C">
              <w:t>“Fewer than 50% of patients with systolic dysfunction are discharged on the three key disease modifying drugs that reduce mortality.”</w:t>
            </w:r>
          </w:p>
        </w:tc>
        <w:tc>
          <w:tcPr>
            <w:tcW w:w="3758" w:type="dxa"/>
          </w:tcPr>
          <w:p w14:paraId="7D4FA2C9" w14:textId="77777777" w:rsidR="00930324" w:rsidRDefault="00930324" w:rsidP="00930324">
            <w:pPr>
              <w:pStyle w:val="Tabletext"/>
            </w:pPr>
            <w:r>
              <w:t>As above</w:t>
            </w:r>
          </w:p>
          <w:p w14:paraId="30F12F75" w14:textId="7324FB3E" w:rsidR="00930324" w:rsidRPr="00427135" w:rsidRDefault="00930324" w:rsidP="00930324">
            <w:pPr>
              <w:pStyle w:val="Tabletext"/>
            </w:pPr>
            <w:r>
              <w:t>See also NICE HF guidelines 2018 - importance of providing patients with clear plans</w:t>
            </w:r>
          </w:p>
        </w:tc>
      </w:tr>
      <w:tr w:rsidR="00930324" w:rsidRPr="00C92280" w14:paraId="754A6D5C" w14:textId="77777777" w:rsidTr="00584584">
        <w:trPr>
          <w:trHeight w:val="282"/>
        </w:trPr>
        <w:tc>
          <w:tcPr>
            <w:tcW w:w="562" w:type="dxa"/>
          </w:tcPr>
          <w:p w14:paraId="281BE655" w14:textId="77777777" w:rsidR="00930324" w:rsidRPr="00F27622" w:rsidRDefault="00930324" w:rsidP="00930324">
            <w:pPr>
              <w:pStyle w:val="Tabletext"/>
              <w:numPr>
                <w:ilvl w:val="0"/>
                <w:numId w:val="21"/>
              </w:numPr>
            </w:pPr>
          </w:p>
        </w:tc>
        <w:tc>
          <w:tcPr>
            <w:tcW w:w="1843" w:type="dxa"/>
          </w:tcPr>
          <w:p w14:paraId="51601D86" w14:textId="71C711B7" w:rsidR="00930324" w:rsidRDefault="00930324" w:rsidP="00930324">
            <w:pPr>
              <w:pStyle w:val="Tabletext"/>
            </w:pPr>
            <w:r>
              <w:t>SCM6</w:t>
            </w:r>
          </w:p>
        </w:tc>
        <w:tc>
          <w:tcPr>
            <w:tcW w:w="1985" w:type="dxa"/>
          </w:tcPr>
          <w:p w14:paraId="6F5984EE" w14:textId="6CA0D3C1" w:rsidR="00930324" w:rsidRDefault="00930324" w:rsidP="00930324">
            <w:pPr>
              <w:pStyle w:val="Tabletext"/>
              <w:rPr>
                <w:b/>
                <w:bCs/>
              </w:rPr>
            </w:pPr>
            <w:r>
              <w:rPr>
                <w:b/>
                <w:bCs/>
              </w:rPr>
              <w:t>Treating Heart failure with reduced ejection fraction</w:t>
            </w:r>
          </w:p>
        </w:tc>
        <w:tc>
          <w:tcPr>
            <w:tcW w:w="6520" w:type="dxa"/>
          </w:tcPr>
          <w:p w14:paraId="3162262F" w14:textId="77777777" w:rsidR="00930324" w:rsidRDefault="00930324" w:rsidP="00930324">
            <w:pPr>
              <w:pStyle w:val="Tabletext"/>
            </w:pPr>
            <w:r w:rsidRPr="00C213C7">
              <w:t>Tackle health inequalities in managing HF - especially among the elderly</w:t>
            </w:r>
          </w:p>
          <w:p w14:paraId="0A3C8843" w14:textId="77777777" w:rsidR="00930324" w:rsidRDefault="00930324" w:rsidP="00930324">
            <w:pPr>
              <w:pStyle w:val="Tabletext"/>
            </w:pPr>
            <w:r>
              <w:t xml:space="preserve">“There is a disparity in the care of the elderly compared to younger individuals. With increasing </w:t>
            </w:r>
            <w:proofErr w:type="gramStart"/>
            <w:r>
              <w:t>age</w:t>
            </w:r>
            <w:proofErr w:type="gramEnd"/>
            <w:r>
              <w:t xml:space="preserve"> the audit shows that fewer receive an echo, the gold standard diagnostic test, and a gradual decline in those leaving hospital on all three key disease modifying drugs, fewer are seen by specialists and fewer are admitted to cardiology wards.”</w:t>
            </w:r>
          </w:p>
          <w:p w14:paraId="584D83D6" w14:textId="4F441DA6" w:rsidR="00930324" w:rsidRPr="00481D6C" w:rsidRDefault="00930324" w:rsidP="00930324">
            <w:pPr>
              <w:pStyle w:val="Tabletext"/>
            </w:pPr>
            <w:r>
              <w:t>“Tailored management strategies and specialist care for patients with heart failure are needed to address persisting and increasing inequalities for men, the most deprived, and for those who are diagnosed with heart failure in hospital, and to address the worrying trends in women.”</w:t>
            </w:r>
          </w:p>
        </w:tc>
        <w:tc>
          <w:tcPr>
            <w:tcW w:w="3758" w:type="dxa"/>
          </w:tcPr>
          <w:p w14:paraId="604CE98F" w14:textId="77777777" w:rsidR="00930324" w:rsidRPr="00C213C7" w:rsidRDefault="00930324" w:rsidP="00930324">
            <w:pPr>
              <w:pStyle w:val="Tabletext"/>
            </w:pPr>
            <w:r w:rsidRPr="00C213C7">
              <w:t>As above</w:t>
            </w:r>
          </w:p>
          <w:p w14:paraId="01A90C30" w14:textId="77777777" w:rsidR="00930324" w:rsidRPr="00C213C7" w:rsidRDefault="00930324" w:rsidP="00930324">
            <w:pPr>
              <w:pStyle w:val="Tabletext"/>
            </w:pPr>
          </w:p>
          <w:p w14:paraId="4D453CDE" w14:textId="77777777" w:rsidR="00930324" w:rsidRPr="00C213C7" w:rsidRDefault="00930324" w:rsidP="00930324">
            <w:pPr>
              <w:pStyle w:val="Tabletext"/>
            </w:pPr>
            <w:r w:rsidRPr="00C213C7">
              <w:t>Also see this paper:</w:t>
            </w:r>
          </w:p>
          <w:p w14:paraId="743CE9A9" w14:textId="77777777" w:rsidR="00930324" w:rsidRPr="00C213C7" w:rsidRDefault="00930324" w:rsidP="00930324">
            <w:pPr>
              <w:pStyle w:val="Tabletext"/>
            </w:pPr>
            <w:r w:rsidRPr="00C213C7">
              <w:t>20-year trends in cause-specific heart failure outcomes by sex, socioeconomic status, and place of diagnosis: a population-based study.</w:t>
            </w:r>
          </w:p>
          <w:p w14:paraId="30C79FCE" w14:textId="5FDCFBF8" w:rsidR="00930324" w:rsidRDefault="00AF2CC8" w:rsidP="00930324">
            <w:pPr>
              <w:pStyle w:val="Tabletext"/>
            </w:pPr>
            <w:hyperlink r:id="rId127" w:history="1">
              <w:r w:rsidR="00930324" w:rsidRPr="00C213C7">
                <w:rPr>
                  <w:rStyle w:val="Hyperlink"/>
                </w:rPr>
                <w:t>https://doi.org/10.1016/S2468-2667(19)30108-2</w:t>
              </w:r>
            </w:hyperlink>
          </w:p>
        </w:tc>
      </w:tr>
      <w:tr w:rsidR="00930324" w:rsidRPr="00C92280" w14:paraId="0407F764" w14:textId="77777777" w:rsidTr="00584584">
        <w:trPr>
          <w:trHeight w:val="282"/>
        </w:trPr>
        <w:tc>
          <w:tcPr>
            <w:tcW w:w="562" w:type="dxa"/>
          </w:tcPr>
          <w:p w14:paraId="216A73BF" w14:textId="77777777" w:rsidR="00930324" w:rsidRPr="00F27622" w:rsidRDefault="00930324" w:rsidP="00930324">
            <w:pPr>
              <w:pStyle w:val="Tabletext"/>
              <w:numPr>
                <w:ilvl w:val="0"/>
                <w:numId w:val="21"/>
              </w:numPr>
            </w:pPr>
          </w:p>
        </w:tc>
        <w:tc>
          <w:tcPr>
            <w:tcW w:w="1843" w:type="dxa"/>
          </w:tcPr>
          <w:p w14:paraId="0BE73C09" w14:textId="5997C47B" w:rsidR="00930324" w:rsidRPr="00427135" w:rsidRDefault="00930324" w:rsidP="00930324">
            <w:pPr>
              <w:pStyle w:val="Tabletext"/>
            </w:pPr>
            <w:r w:rsidRPr="00A50C7A">
              <w:t>Boehringer Ingelheim</w:t>
            </w:r>
          </w:p>
        </w:tc>
        <w:tc>
          <w:tcPr>
            <w:tcW w:w="1985" w:type="dxa"/>
          </w:tcPr>
          <w:p w14:paraId="01725EB4" w14:textId="77777777" w:rsidR="00930324" w:rsidRPr="00A50C7A" w:rsidRDefault="00930324" w:rsidP="00930324">
            <w:pPr>
              <w:pStyle w:val="Tabletext"/>
              <w:rPr>
                <w:b/>
                <w:bCs/>
              </w:rPr>
            </w:pPr>
            <w:r w:rsidRPr="00A50C7A">
              <w:rPr>
                <w:b/>
                <w:bCs/>
              </w:rPr>
              <w:t>Treating Heart failure with preserved ejection fraction</w:t>
            </w:r>
          </w:p>
          <w:p w14:paraId="40F6C9FC" w14:textId="77777777" w:rsidR="00930324" w:rsidRPr="00427135" w:rsidRDefault="00930324" w:rsidP="00930324">
            <w:pPr>
              <w:pStyle w:val="Tabletext"/>
            </w:pPr>
          </w:p>
        </w:tc>
        <w:tc>
          <w:tcPr>
            <w:tcW w:w="6520" w:type="dxa"/>
          </w:tcPr>
          <w:p w14:paraId="20FFDF40" w14:textId="55F79A31" w:rsidR="00930324" w:rsidRDefault="00930324" w:rsidP="00930324">
            <w:pPr>
              <w:pStyle w:val="Tabletext"/>
            </w:pPr>
            <w:r>
              <w:t xml:space="preserve">People who have heart failure with preserved ejection fraction should usually be offered a low to medium dose of loop diuretics (for example, less than 80 mg furosemide per day). </w:t>
            </w:r>
          </w:p>
          <w:p w14:paraId="42E62CD5" w14:textId="77777777" w:rsidR="00930324" w:rsidRDefault="00930324" w:rsidP="00930324">
            <w:pPr>
              <w:pStyle w:val="Tabletext"/>
            </w:pPr>
          </w:p>
          <w:p w14:paraId="56AFA289" w14:textId="1ED8BE8D" w:rsidR="00930324" w:rsidRPr="00427135" w:rsidRDefault="00930324" w:rsidP="00930324">
            <w:pPr>
              <w:pStyle w:val="Tabletext"/>
            </w:pPr>
            <w:r w:rsidRPr="00A50C7A">
              <w:t>Current guidance on HFPEF management is limited within the current NICE quality standard and guidelines. We believe that a specific quality standard for this group of patients would lead to improvement in patient care.</w:t>
            </w:r>
          </w:p>
        </w:tc>
        <w:tc>
          <w:tcPr>
            <w:tcW w:w="3758" w:type="dxa"/>
          </w:tcPr>
          <w:p w14:paraId="2AFB4161" w14:textId="77777777" w:rsidR="00930324" w:rsidRPr="00427135" w:rsidRDefault="00930324" w:rsidP="00930324">
            <w:pPr>
              <w:pStyle w:val="Tabletext"/>
            </w:pPr>
          </w:p>
        </w:tc>
      </w:tr>
      <w:tr w:rsidR="00930324" w:rsidRPr="00C92280" w14:paraId="0E96B4A1" w14:textId="77777777" w:rsidTr="00584584">
        <w:trPr>
          <w:trHeight w:val="282"/>
        </w:trPr>
        <w:tc>
          <w:tcPr>
            <w:tcW w:w="562" w:type="dxa"/>
          </w:tcPr>
          <w:p w14:paraId="517E5A22" w14:textId="77777777" w:rsidR="00930324" w:rsidRPr="00F27622" w:rsidRDefault="00930324" w:rsidP="00930324">
            <w:pPr>
              <w:pStyle w:val="Tabletext"/>
              <w:numPr>
                <w:ilvl w:val="0"/>
                <w:numId w:val="21"/>
              </w:numPr>
            </w:pPr>
          </w:p>
        </w:tc>
        <w:tc>
          <w:tcPr>
            <w:tcW w:w="1843" w:type="dxa"/>
          </w:tcPr>
          <w:p w14:paraId="7754A264" w14:textId="6867F5E5" w:rsidR="00930324" w:rsidRPr="00A50C7A" w:rsidRDefault="00930324" w:rsidP="00930324">
            <w:pPr>
              <w:pStyle w:val="Tabletext"/>
            </w:pPr>
            <w:r>
              <w:t>SCM3</w:t>
            </w:r>
          </w:p>
        </w:tc>
        <w:tc>
          <w:tcPr>
            <w:tcW w:w="1985" w:type="dxa"/>
          </w:tcPr>
          <w:p w14:paraId="35184ABB" w14:textId="77777777" w:rsidR="00930324" w:rsidRPr="00A50C7A" w:rsidRDefault="00930324" w:rsidP="00930324">
            <w:pPr>
              <w:pStyle w:val="Tabletext"/>
              <w:rPr>
                <w:b/>
                <w:bCs/>
              </w:rPr>
            </w:pPr>
            <w:r w:rsidRPr="00A50C7A">
              <w:rPr>
                <w:b/>
                <w:bCs/>
              </w:rPr>
              <w:t>Treating Heart failure with preserved ejection fraction</w:t>
            </w:r>
          </w:p>
          <w:p w14:paraId="04E6C095" w14:textId="77777777" w:rsidR="00930324" w:rsidRPr="00A50C7A" w:rsidRDefault="00930324" w:rsidP="00930324">
            <w:pPr>
              <w:pStyle w:val="Tabletext"/>
              <w:rPr>
                <w:b/>
                <w:bCs/>
              </w:rPr>
            </w:pPr>
          </w:p>
        </w:tc>
        <w:tc>
          <w:tcPr>
            <w:tcW w:w="6520" w:type="dxa"/>
          </w:tcPr>
          <w:p w14:paraId="2938C368" w14:textId="77777777" w:rsidR="00930324" w:rsidRDefault="00930324" w:rsidP="00930324">
            <w:pPr>
              <w:pStyle w:val="Tabletext"/>
            </w:pPr>
            <w:r w:rsidRPr="00C03E10">
              <w:t>Heart failure with preserved ejection fraction diagnosis and management.</w:t>
            </w:r>
          </w:p>
          <w:p w14:paraId="0F1C31FD" w14:textId="77777777" w:rsidR="00930324" w:rsidRDefault="00930324" w:rsidP="00930324">
            <w:pPr>
              <w:pStyle w:val="Tabletext"/>
            </w:pPr>
            <w:r>
              <w:t xml:space="preserve">Quality Standards have not included </w:t>
            </w:r>
            <w:proofErr w:type="spellStart"/>
            <w:r>
              <w:t>HFpEF</w:t>
            </w:r>
            <w:proofErr w:type="spellEnd"/>
            <w:r>
              <w:t xml:space="preserve"> but the NICE Chronic Heart Failure guideline 2018 mentions </w:t>
            </w:r>
            <w:proofErr w:type="spellStart"/>
            <w:r>
              <w:t>HFpEF</w:t>
            </w:r>
            <w:proofErr w:type="spellEnd"/>
            <w:r>
              <w:t xml:space="preserve"> in diagnosis and trial of diuretic therapy in the recommendations. </w:t>
            </w:r>
          </w:p>
          <w:p w14:paraId="2376B71F" w14:textId="47B67733" w:rsidR="00930324" w:rsidRDefault="00930324" w:rsidP="00930324">
            <w:pPr>
              <w:pStyle w:val="Tabletext"/>
            </w:pPr>
            <w:r>
              <w:t xml:space="preserve">We could consider adding a Quality Standard on </w:t>
            </w:r>
            <w:proofErr w:type="spellStart"/>
            <w:r>
              <w:t>HFpEF</w:t>
            </w:r>
            <w:proofErr w:type="spellEnd"/>
            <w:r>
              <w:t xml:space="preserve"> as currently poorly recorded and managed.</w:t>
            </w:r>
          </w:p>
        </w:tc>
        <w:tc>
          <w:tcPr>
            <w:tcW w:w="3758" w:type="dxa"/>
          </w:tcPr>
          <w:p w14:paraId="1C5BF36F" w14:textId="17348674" w:rsidR="00930324" w:rsidRPr="00427135" w:rsidRDefault="00930324" w:rsidP="00930324">
            <w:pPr>
              <w:pStyle w:val="Tabletext"/>
            </w:pPr>
            <w:r w:rsidRPr="00C03E10">
              <w:t xml:space="preserve">Paper on </w:t>
            </w:r>
            <w:proofErr w:type="spellStart"/>
            <w:r w:rsidRPr="00C03E10">
              <w:t>HFpEF</w:t>
            </w:r>
            <w:proofErr w:type="spellEnd"/>
            <w:r w:rsidRPr="00C03E10">
              <w:t xml:space="preserve"> diagnosis in primary care: </w:t>
            </w:r>
            <w:hyperlink r:id="rId128" w:history="1">
              <w:r w:rsidRPr="00C03E10">
                <w:rPr>
                  <w:rStyle w:val="Hyperlink"/>
                </w:rPr>
                <w:t>https://onlinelibrary.wiley.com/doi/10.1002/ehf2.13612</w:t>
              </w:r>
            </w:hyperlink>
          </w:p>
        </w:tc>
      </w:tr>
      <w:tr w:rsidR="00AF2E19" w:rsidRPr="00C92280" w14:paraId="16EA75B7" w14:textId="77777777" w:rsidTr="00584584">
        <w:trPr>
          <w:trHeight w:val="282"/>
        </w:trPr>
        <w:tc>
          <w:tcPr>
            <w:tcW w:w="562" w:type="dxa"/>
          </w:tcPr>
          <w:p w14:paraId="7546573F" w14:textId="77777777" w:rsidR="00AF2E19" w:rsidRPr="00F27622" w:rsidRDefault="00AF2E19" w:rsidP="00AF2E19">
            <w:pPr>
              <w:pStyle w:val="Tabletext"/>
              <w:numPr>
                <w:ilvl w:val="0"/>
                <w:numId w:val="21"/>
              </w:numPr>
            </w:pPr>
          </w:p>
        </w:tc>
        <w:tc>
          <w:tcPr>
            <w:tcW w:w="1843" w:type="dxa"/>
          </w:tcPr>
          <w:p w14:paraId="268DFB15" w14:textId="50188245" w:rsidR="00AF2E19" w:rsidRPr="00427135" w:rsidRDefault="00AF2E19" w:rsidP="00AF2E19">
            <w:pPr>
              <w:pStyle w:val="Tabletext"/>
            </w:pPr>
            <w:r w:rsidRPr="00A50C7A">
              <w:t>Boehringer Ingelheim</w:t>
            </w:r>
          </w:p>
        </w:tc>
        <w:tc>
          <w:tcPr>
            <w:tcW w:w="1985" w:type="dxa"/>
          </w:tcPr>
          <w:p w14:paraId="2FE61D63" w14:textId="03BC5475" w:rsidR="00AF2E19" w:rsidRPr="00DE5D03" w:rsidRDefault="00AF2E19" w:rsidP="00AF2E19">
            <w:pPr>
              <w:pStyle w:val="Tabletext"/>
              <w:rPr>
                <w:b/>
                <w:bCs/>
              </w:rPr>
            </w:pPr>
            <w:r w:rsidRPr="00DE5D03">
              <w:rPr>
                <w:b/>
                <w:bCs/>
              </w:rPr>
              <w:t>Additional areas</w:t>
            </w:r>
          </w:p>
        </w:tc>
        <w:tc>
          <w:tcPr>
            <w:tcW w:w="6520" w:type="dxa"/>
          </w:tcPr>
          <w:p w14:paraId="5901121D" w14:textId="77777777" w:rsidR="00AF2E19" w:rsidRDefault="00AF2E19" w:rsidP="00AF2E19">
            <w:pPr>
              <w:pStyle w:val="Tabletext"/>
            </w:pPr>
            <w:r>
              <w:t xml:space="preserve">Local evidence of high-resolution equipment by experienced operators trained to deliver transthoracic echocardiography should be performed on high-resolution with sufficient capacity to image within the timelines indicated in the NICE guidelines – 2 weeks or 6 weeks. </w:t>
            </w:r>
          </w:p>
          <w:p w14:paraId="16BDBDA5" w14:textId="77777777" w:rsidR="00AF2E19" w:rsidRDefault="00AF2E19" w:rsidP="00AF2E19">
            <w:pPr>
              <w:pStyle w:val="Tabletext"/>
            </w:pPr>
            <w:r>
              <w:t>These may take place in secondary care or in a diagnostic hub as outlined in NHSE Diagnostics: Recovery and Renewal report.</w:t>
            </w:r>
          </w:p>
          <w:p w14:paraId="5DB5F84C" w14:textId="77777777" w:rsidR="00AF2E19" w:rsidRDefault="00AF2E19" w:rsidP="00AF2E19">
            <w:pPr>
              <w:pStyle w:val="Tabletext"/>
            </w:pPr>
          </w:p>
          <w:p w14:paraId="2A0220C1" w14:textId="4BB886F1" w:rsidR="00AF2E19" w:rsidRPr="00427135" w:rsidRDefault="00AF2E19" w:rsidP="00AF2E19">
            <w:pPr>
              <w:pStyle w:val="Tabletext"/>
            </w:pPr>
            <w:r w:rsidRPr="00C03E10">
              <w:t>Transthoracic echocardiography should be performed on high-resolution equipment by experienced operators trained to the relevant professional standards. Need and demand for these studies should not compromise quality.</w:t>
            </w:r>
          </w:p>
        </w:tc>
        <w:tc>
          <w:tcPr>
            <w:tcW w:w="3758" w:type="dxa"/>
          </w:tcPr>
          <w:p w14:paraId="5DC7C608" w14:textId="77777777" w:rsidR="00AF2E19" w:rsidRPr="00C03E10" w:rsidRDefault="00AF2CC8" w:rsidP="00DE5D03">
            <w:pPr>
              <w:pStyle w:val="Tabletext"/>
              <w:ind w:left="360"/>
            </w:pPr>
            <w:hyperlink r:id="rId129" w:history="1">
              <w:r w:rsidR="00AF2E19" w:rsidRPr="00C03E10">
                <w:rPr>
                  <w:rStyle w:val="Hyperlink"/>
                </w:rPr>
                <w:t>https://www.nice.org.uk/guidance/ng106</w:t>
              </w:r>
            </w:hyperlink>
            <w:r w:rsidR="00AF2E19" w:rsidRPr="00C03E10">
              <w:t xml:space="preserve">  section 1.29 </w:t>
            </w:r>
          </w:p>
          <w:p w14:paraId="2EAF5206" w14:textId="5405016A" w:rsidR="00AF2E19" w:rsidRPr="00427135" w:rsidRDefault="00AF2E19" w:rsidP="00DE5D03">
            <w:pPr>
              <w:pStyle w:val="Tabletext"/>
              <w:ind w:left="360"/>
            </w:pPr>
            <w:r w:rsidRPr="00C03E10">
              <w:t xml:space="preserve">Richards M, (2020) Diagnostics: Recovery and Renewal, October 2020 </w:t>
            </w:r>
            <w:hyperlink r:id="rId130" w:history="1">
              <w:r w:rsidRPr="00C03E10">
                <w:rPr>
                  <w:rStyle w:val="Hyperlink"/>
                </w:rPr>
                <w:t>https://www.england.nhs.uk/wp-content/</w:t>
              </w:r>
            </w:hyperlink>
            <w:r w:rsidRPr="00C03E10">
              <w:t xml:space="preserve"> uploads/2020/10/BM2025Pu-item-5-diagnostics-recovery-andrenewal.pdf</w:t>
            </w:r>
          </w:p>
        </w:tc>
      </w:tr>
      <w:tr w:rsidR="00AF2E19" w:rsidRPr="00C92280" w14:paraId="159F426D" w14:textId="77777777" w:rsidTr="00584584">
        <w:trPr>
          <w:trHeight w:val="282"/>
        </w:trPr>
        <w:tc>
          <w:tcPr>
            <w:tcW w:w="562" w:type="dxa"/>
          </w:tcPr>
          <w:p w14:paraId="1C5083F5" w14:textId="77777777" w:rsidR="00AF2E19" w:rsidRPr="00F27622" w:rsidRDefault="00AF2E19" w:rsidP="00AF2E19">
            <w:pPr>
              <w:pStyle w:val="Tabletext"/>
              <w:numPr>
                <w:ilvl w:val="0"/>
                <w:numId w:val="21"/>
              </w:numPr>
            </w:pPr>
          </w:p>
        </w:tc>
        <w:tc>
          <w:tcPr>
            <w:tcW w:w="1843" w:type="dxa"/>
          </w:tcPr>
          <w:p w14:paraId="57E30706" w14:textId="68196D5D" w:rsidR="00AF2E19" w:rsidRPr="00427135" w:rsidRDefault="00AF2E19" w:rsidP="00AF2E19">
            <w:pPr>
              <w:pStyle w:val="Tabletext"/>
            </w:pPr>
            <w:r>
              <w:t>SCM3</w:t>
            </w:r>
          </w:p>
        </w:tc>
        <w:tc>
          <w:tcPr>
            <w:tcW w:w="1985" w:type="dxa"/>
          </w:tcPr>
          <w:p w14:paraId="3B9153C9" w14:textId="0C6CE01A" w:rsidR="00AF2E19" w:rsidRPr="00DE5D03" w:rsidRDefault="00AF2E19" w:rsidP="00AF2E19">
            <w:pPr>
              <w:pStyle w:val="Tabletext"/>
              <w:rPr>
                <w:b/>
                <w:bCs/>
              </w:rPr>
            </w:pPr>
            <w:r w:rsidRPr="00DE5D03">
              <w:rPr>
                <w:b/>
                <w:bCs/>
              </w:rPr>
              <w:t>Additional areas</w:t>
            </w:r>
          </w:p>
        </w:tc>
        <w:tc>
          <w:tcPr>
            <w:tcW w:w="6520" w:type="dxa"/>
          </w:tcPr>
          <w:p w14:paraId="3C06D60E" w14:textId="77777777" w:rsidR="00AF2E19" w:rsidRDefault="00AF2E19" w:rsidP="00AF2E19">
            <w:pPr>
              <w:pStyle w:val="Tabletext"/>
            </w:pPr>
            <w:r w:rsidRPr="00C03E10">
              <w:t>Palliative care provision for people living with heart failure.</w:t>
            </w:r>
          </w:p>
          <w:p w14:paraId="5148215B" w14:textId="67ED5828" w:rsidR="00AF2E19" w:rsidRPr="00427135" w:rsidRDefault="00AF2E19" w:rsidP="00AF2E19">
            <w:pPr>
              <w:pStyle w:val="Tabletext"/>
            </w:pPr>
            <w:r w:rsidRPr="00C03E10">
              <w:t>Access to palliative care when appropriate is in the NICE Chronic Heart Failure 2018 update.</w:t>
            </w:r>
          </w:p>
        </w:tc>
        <w:tc>
          <w:tcPr>
            <w:tcW w:w="3758" w:type="dxa"/>
          </w:tcPr>
          <w:p w14:paraId="57348A02" w14:textId="77777777" w:rsidR="00AF2E19" w:rsidRPr="00427135" w:rsidRDefault="00AF2E19" w:rsidP="00AF2E19">
            <w:pPr>
              <w:pStyle w:val="Tabletext"/>
            </w:pPr>
          </w:p>
        </w:tc>
      </w:tr>
      <w:tr w:rsidR="00AF2E19" w:rsidRPr="00C92280" w14:paraId="78999045" w14:textId="77777777" w:rsidTr="00584584">
        <w:trPr>
          <w:trHeight w:val="282"/>
        </w:trPr>
        <w:tc>
          <w:tcPr>
            <w:tcW w:w="562" w:type="dxa"/>
          </w:tcPr>
          <w:p w14:paraId="467445A6" w14:textId="77777777" w:rsidR="00AF2E19" w:rsidRPr="00F27622" w:rsidRDefault="00AF2E19" w:rsidP="00AF2E19">
            <w:pPr>
              <w:pStyle w:val="Tabletext"/>
              <w:numPr>
                <w:ilvl w:val="0"/>
                <w:numId w:val="21"/>
              </w:numPr>
            </w:pPr>
          </w:p>
        </w:tc>
        <w:tc>
          <w:tcPr>
            <w:tcW w:w="1843" w:type="dxa"/>
          </w:tcPr>
          <w:p w14:paraId="75A0BD34" w14:textId="29D3D938" w:rsidR="00AF2E19" w:rsidRPr="00427135" w:rsidRDefault="00AF2E19" w:rsidP="00AF2E19">
            <w:pPr>
              <w:pStyle w:val="Tabletext"/>
            </w:pPr>
            <w:proofErr w:type="spellStart"/>
            <w:r w:rsidRPr="00C03E10">
              <w:t>Vifor</w:t>
            </w:r>
            <w:proofErr w:type="spellEnd"/>
            <w:r w:rsidRPr="00C03E10">
              <w:t xml:space="preserve"> Pharma UK</w:t>
            </w:r>
          </w:p>
        </w:tc>
        <w:tc>
          <w:tcPr>
            <w:tcW w:w="1985" w:type="dxa"/>
          </w:tcPr>
          <w:p w14:paraId="3287742B" w14:textId="04AF437F" w:rsidR="00AF2E19" w:rsidRPr="00427135" w:rsidRDefault="00AF2E19" w:rsidP="00AF2E19">
            <w:pPr>
              <w:pStyle w:val="Tabletext"/>
            </w:pPr>
            <w:r w:rsidRPr="00CC3406">
              <w:rPr>
                <w:b/>
                <w:bCs/>
              </w:rPr>
              <w:t>Additional areas</w:t>
            </w:r>
          </w:p>
        </w:tc>
        <w:tc>
          <w:tcPr>
            <w:tcW w:w="6520" w:type="dxa"/>
          </w:tcPr>
          <w:p w14:paraId="257A9EA0" w14:textId="77777777" w:rsidR="00AF2E19" w:rsidRDefault="00AF2E19" w:rsidP="00AF2E19">
            <w:pPr>
              <w:pStyle w:val="Tabletext"/>
            </w:pPr>
            <w:r w:rsidRPr="00C03E10">
              <w:t>Patients with HF have their iron deficiency diagnosed and managed to improve symptoms and reduce hospitalisations</w:t>
            </w:r>
            <w:r>
              <w:t>.</w:t>
            </w:r>
          </w:p>
          <w:p w14:paraId="5124A2AA" w14:textId="77777777" w:rsidR="00AF2E19" w:rsidRDefault="00AF2E19" w:rsidP="00AF2E19">
            <w:pPr>
              <w:pStyle w:val="Tabletext"/>
            </w:pPr>
          </w:p>
          <w:p w14:paraId="547483B1" w14:textId="77777777" w:rsidR="00AF2E19" w:rsidRPr="00C03E10" w:rsidRDefault="00AF2E19" w:rsidP="00AF2E19">
            <w:pPr>
              <w:pStyle w:val="Tabletext"/>
              <w:numPr>
                <w:ilvl w:val="0"/>
                <w:numId w:val="22"/>
              </w:numPr>
            </w:pPr>
            <w:r w:rsidRPr="00C03E10">
              <w:t xml:space="preserve">There is limited published data of iron deficiency testing in patients with </w:t>
            </w:r>
            <w:proofErr w:type="spellStart"/>
            <w:r w:rsidRPr="00C03E10">
              <w:t>HFrEF</w:t>
            </w:r>
            <w:proofErr w:type="spellEnd"/>
            <w:r w:rsidRPr="00C03E10">
              <w:t xml:space="preserve"> in the UK. Two examples below:</w:t>
            </w:r>
          </w:p>
          <w:p w14:paraId="14ED023B" w14:textId="77777777" w:rsidR="00AF2E19" w:rsidRPr="00C03E10" w:rsidRDefault="00AF2E19" w:rsidP="00AF2E19">
            <w:pPr>
              <w:pStyle w:val="Tabletext"/>
              <w:numPr>
                <w:ilvl w:val="0"/>
                <w:numId w:val="22"/>
              </w:numPr>
              <w:rPr>
                <w:i/>
                <w:iCs/>
              </w:rPr>
            </w:pPr>
            <w:r w:rsidRPr="00C03E10">
              <w:t xml:space="preserve">- An audit conducted in patients admitted to hospital at the Frimley Health NHS Foundation Trust in 2017 found that out </w:t>
            </w:r>
            <w:r w:rsidRPr="00C03E10">
              <w:lastRenderedPageBreak/>
              <w:t xml:space="preserve">of 218 patients with heart failure only 87 (39.9%) had iron studies performed and that 75.5% of those patients found to have iron deficiency were left without iron replacement therapy. </w:t>
            </w:r>
            <w:r w:rsidRPr="00C03E10">
              <w:rPr>
                <w:i/>
                <w:iCs/>
              </w:rPr>
              <w:t xml:space="preserve">[Simon S, </w:t>
            </w:r>
            <w:proofErr w:type="spellStart"/>
            <w:r w:rsidRPr="00C03E10">
              <w:rPr>
                <w:i/>
                <w:iCs/>
              </w:rPr>
              <w:t>Ioannou</w:t>
            </w:r>
            <w:proofErr w:type="spellEnd"/>
            <w:r w:rsidRPr="00C03E10">
              <w:rPr>
                <w:i/>
                <w:iCs/>
              </w:rPr>
              <w:t xml:space="preserve"> A, </w:t>
            </w:r>
            <w:proofErr w:type="spellStart"/>
            <w:r w:rsidRPr="00C03E10">
              <w:rPr>
                <w:i/>
                <w:iCs/>
              </w:rPr>
              <w:t>Deoraj</w:t>
            </w:r>
            <w:proofErr w:type="spellEnd"/>
            <w:r w:rsidRPr="00C03E10">
              <w:rPr>
                <w:i/>
                <w:iCs/>
              </w:rPr>
              <w:t xml:space="preserve"> S, et </w:t>
            </w:r>
            <w:proofErr w:type="spellStart"/>
            <w:r w:rsidRPr="00C03E10">
              <w:rPr>
                <w:i/>
                <w:iCs/>
              </w:rPr>
              <w:t>alAudit</w:t>
            </w:r>
            <w:proofErr w:type="spellEnd"/>
            <w:r w:rsidRPr="00C03E10">
              <w:rPr>
                <w:i/>
                <w:iCs/>
              </w:rPr>
              <w:t xml:space="preserve"> of the prevalence and investigation of iron deficiency anaemia in patients with heart failure in hospital </w:t>
            </w:r>
            <w:proofErr w:type="spellStart"/>
            <w:r w:rsidRPr="00C03E10">
              <w:rPr>
                <w:i/>
                <w:iCs/>
              </w:rPr>
              <w:t>practicePostgraduate</w:t>
            </w:r>
            <w:proofErr w:type="spellEnd"/>
            <w:r w:rsidRPr="00C03E10">
              <w:rPr>
                <w:i/>
                <w:iCs/>
              </w:rPr>
              <w:t xml:space="preserve"> Medical Journal 2020;96:206-211.]</w:t>
            </w:r>
          </w:p>
          <w:p w14:paraId="11806E44" w14:textId="637B5E9C" w:rsidR="00AF2E19" w:rsidRPr="00427135" w:rsidRDefault="00AF2E19" w:rsidP="00AF2E19">
            <w:pPr>
              <w:pStyle w:val="Tabletext"/>
            </w:pPr>
            <w:r w:rsidRPr="00C03E10">
              <w:t xml:space="preserve">-  An audit conducted at Leeds Teaching Hospital Trust in 2018 showed that only 18.5% of patients admitted within a </w:t>
            </w:r>
            <w:proofErr w:type="gramStart"/>
            <w:r w:rsidRPr="00C03E10">
              <w:t>one year</w:t>
            </w:r>
            <w:proofErr w:type="gramEnd"/>
            <w:r w:rsidRPr="00C03E10">
              <w:t xml:space="preserve"> period had a ferritin test and only 24% of patients diagnosed anaemic received a further ferritin test. </w:t>
            </w:r>
            <w:r w:rsidRPr="00C03E10">
              <w:rPr>
                <w:i/>
                <w:iCs/>
              </w:rPr>
              <w:t>[Khatib R and Winsor S. 2018. Prevalence of iron studies during admission of heart failure patients to Leeds Teaching Hospitals. Poster presentation at the ESC Heart Failure Congress and published in European Journal of Heart Failure Supplements 20(</w:t>
            </w:r>
            <w:proofErr w:type="spellStart"/>
            <w:r w:rsidRPr="00C03E10">
              <w:rPr>
                <w:i/>
                <w:iCs/>
              </w:rPr>
              <w:t>Suppl</w:t>
            </w:r>
            <w:proofErr w:type="spellEnd"/>
            <w:r w:rsidRPr="00C03E10">
              <w:rPr>
                <w:i/>
                <w:iCs/>
              </w:rPr>
              <w:t xml:space="preserve"> S.1):237.]</w:t>
            </w:r>
          </w:p>
        </w:tc>
        <w:tc>
          <w:tcPr>
            <w:tcW w:w="3758" w:type="dxa"/>
          </w:tcPr>
          <w:p w14:paraId="0BB775DB" w14:textId="77777777" w:rsidR="00AF2E19" w:rsidRDefault="00AF2E19" w:rsidP="00AF2E19">
            <w:pPr>
              <w:pStyle w:val="Tabletext"/>
            </w:pPr>
            <w:r>
              <w:lastRenderedPageBreak/>
              <w:t>The ESC 2021 guidelines recommend that all patients with HF be periodically screened for iron deficiency.</w:t>
            </w:r>
          </w:p>
          <w:p w14:paraId="18311373" w14:textId="77777777" w:rsidR="00AF2E19" w:rsidRDefault="00AF2E19" w:rsidP="00AF2E19">
            <w:pPr>
              <w:pStyle w:val="Tabletext"/>
            </w:pPr>
            <w:r>
              <w:t xml:space="preserve">The ESC 2021 guidelines recommend management of iron deficiency pre-discharge and early </w:t>
            </w:r>
            <w:r>
              <w:lastRenderedPageBreak/>
              <w:t>post-discharge in patients hospitalised for acute heart failure and with LVEF&lt;50% and iron deficiency to reduce the risk of HF re-hospitalisations.</w:t>
            </w:r>
          </w:p>
          <w:p w14:paraId="0712D59D" w14:textId="2DC3E1CB" w:rsidR="00AF2E19" w:rsidRPr="00427135" w:rsidRDefault="00AF2E19" w:rsidP="00AF2E19">
            <w:pPr>
              <w:pStyle w:val="Tabletext"/>
            </w:pPr>
            <w:r>
              <w:t>The ESC 2021 guidelines recommend management of iron deficiency in patients with LVEF&lt;45% and iron deficiency to alleviate HF symptoms, improve exercise capacity and quality of life.</w:t>
            </w:r>
          </w:p>
        </w:tc>
      </w:tr>
      <w:tr w:rsidR="00AF2E19" w:rsidRPr="00C92280" w14:paraId="2214F710" w14:textId="77777777" w:rsidTr="00584584">
        <w:trPr>
          <w:trHeight w:val="282"/>
        </w:trPr>
        <w:tc>
          <w:tcPr>
            <w:tcW w:w="562" w:type="dxa"/>
          </w:tcPr>
          <w:p w14:paraId="3392D096" w14:textId="77777777" w:rsidR="00AF2E19" w:rsidRPr="00F27622" w:rsidRDefault="00AF2E19" w:rsidP="00AF2E19">
            <w:pPr>
              <w:pStyle w:val="Tabletext"/>
              <w:numPr>
                <w:ilvl w:val="0"/>
                <w:numId w:val="21"/>
              </w:numPr>
            </w:pPr>
          </w:p>
        </w:tc>
        <w:tc>
          <w:tcPr>
            <w:tcW w:w="1843" w:type="dxa"/>
          </w:tcPr>
          <w:p w14:paraId="2258E010" w14:textId="622D7795" w:rsidR="00AF2E19" w:rsidRPr="00427135" w:rsidRDefault="00AF2E19" w:rsidP="00AF2E19">
            <w:pPr>
              <w:pStyle w:val="Tabletext"/>
            </w:pPr>
            <w:r>
              <w:t>NHSE</w:t>
            </w:r>
          </w:p>
        </w:tc>
        <w:tc>
          <w:tcPr>
            <w:tcW w:w="1985" w:type="dxa"/>
          </w:tcPr>
          <w:p w14:paraId="469889EC" w14:textId="6224B8BD" w:rsidR="00AF2E19" w:rsidRPr="00DE5D03" w:rsidRDefault="00AF2E19" w:rsidP="00AF2E19">
            <w:pPr>
              <w:pStyle w:val="Tabletext"/>
              <w:rPr>
                <w:b/>
                <w:bCs/>
              </w:rPr>
            </w:pPr>
            <w:r w:rsidRPr="00DE5D03">
              <w:rPr>
                <w:b/>
                <w:bCs/>
              </w:rPr>
              <w:t>Additional Areas</w:t>
            </w:r>
          </w:p>
        </w:tc>
        <w:tc>
          <w:tcPr>
            <w:tcW w:w="6520" w:type="dxa"/>
          </w:tcPr>
          <w:p w14:paraId="2DBEC054" w14:textId="77777777" w:rsidR="00AF2E19" w:rsidRDefault="00AF2E19" w:rsidP="00AF2E19">
            <w:pPr>
              <w:pStyle w:val="Tabletext"/>
            </w:pPr>
            <w:r w:rsidRPr="00C03E10">
              <w:t>Code cleansing in primary care to ensure all patients with HF are appropriately coded and on a disease register</w:t>
            </w:r>
          </w:p>
          <w:p w14:paraId="089B2B2D" w14:textId="77777777" w:rsidR="00AF2E19" w:rsidRDefault="00AF2E19" w:rsidP="00AF2E19">
            <w:pPr>
              <w:pStyle w:val="Tabletext"/>
            </w:pPr>
          </w:p>
          <w:p w14:paraId="64F000D8" w14:textId="0A34A700" w:rsidR="00AF2E19" w:rsidRPr="00427135" w:rsidRDefault="00AF2E19" w:rsidP="00AF2E19">
            <w:pPr>
              <w:pStyle w:val="Tabletext"/>
            </w:pPr>
            <w:r w:rsidRPr="00C03E10">
              <w:t>Patients who are not coded are often lost to follow-up.</w:t>
            </w:r>
          </w:p>
        </w:tc>
        <w:tc>
          <w:tcPr>
            <w:tcW w:w="3758" w:type="dxa"/>
          </w:tcPr>
          <w:p w14:paraId="665D3DB3" w14:textId="5ED720BF" w:rsidR="00AF2E19" w:rsidRPr="00427135" w:rsidRDefault="00AF2E19" w:rsidP="00AF2E19">
            <w:pPr>
              <w:pStyle w:val="Tabletext"/>
            </w:pPr>
            <w:r w:rsidRPr="00C03E10">
              <w:t>Work by Oxford AHSN in Bucks has shown circa 15% under-coding in HF</w:t>
            </w:r>
          </w:p>
        </w:tc>
      </w:tr>
    </w:tbl>
    <w:p w14:paraId="10532BC4" w14:textId="32EADF46" w:rsidR="00626943" w:rsidRDefault="00422931" w:rsidP="00626943">
      <w:pPr>
        <w:pStyle w:val="Paragraph"/>
      </w:pPr>
      <w:r w:rsidDel="00422931">
        <w:t xml:space="preserve"> </w:t>
      </w:r>
    </w:p>
    <w:sectPr w:rsidR="00626943"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BD436" w14:textId="77777777" w:rsidR="0056669A" w:rsidRDefault="0056669A" w:rsidP="00446BEE">
      <w:r>
        <w:separator/>
      </w:r>
    </w:p>
    <w:p w14:paraId="50C90783" w14:textId="77777777" w:rsidR="0056669A" w:rsidRDefault="0056669A"/>
  </w:endnote>
  <w:endnote w:type="continuationSeparator" w:id="0">
    <w:p w14:paraId="5C695663" w14:textId="77777777" w:rsidR="0056669A" w:rsidRDefault="0056669A" w:rsidP="00446BEE">
      <w:r>
        <w:continuationSeparator/>
      </w:r>
    </w:p>
    <w:p w14:paraId="5023EFC0" w14:textId="77777777" w:rsidR="0056669A" w:rsidRDefault="00566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1AC5"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35A0"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3BAEF01A"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34C01" w14:textId="77777777" w:rsidR="0056669A" w:rsidRDefault="0056669A" w:rsidP="00446BEE">
      <w:r>
        <w:separator/>
      </w:r>
    </w:p>
    <w:p w14:paraId="7D079F92" w14:textId="77777777" w:rsidR="0056669A" w:rsidRDefault="0056669A"/>
  </w:footnote>
  <w:footnote w:type="continuationSeparator" w:id="0">
    <w:p w14:paraId="104D32DC" w14:textId="77777777" w:rsidR="0056669A" w:rsidRDefault="0056669A" w:rsidP="00446BEE">
      <w:r>
        <w:continuationSeparator/>
      </w:r>
    </w:p>
    <w:p w14:paraId="7CA4E19C" w14:textId="77777777" w:rsidR="0056669A" w:rsidRDefault="005666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AC4"/>
    <w:multiLevelType w:val="multilevel"/>
    <w:tmpl w:val="1B248C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1593"/>
    <w:multiLevelType w:val="hybridMultilevel"/>
    <w:tmpl w:val="D18C7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B415D"/>
    <w:multiLevelType w:val="multilevel"/>
    <w:tmpl w:val="8CE265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648A4"/>
    <w:multiLevelType w:val="hybridMultilevel"/>
    <w:tmpl w:val="2488C8A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84CB2"/>
    <w:multiLevelType w:val="hybridMultilevel"/>
    <w:tmpl w:val="2D9A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72E65"/>
    <w:multiLevelType w:val="hybridMultilevel"/>
    <w:tmpl w:val="25E2C8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F26562"/>
    <w:multiLevelType w:val="hybridMultilevel"/>
    <w:tmpl w:val="76A8A7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E00A58"/>
    <w:multiLevelType w:val="hybridMultilevel"/>
    <w:tmpl w:val="3468EC0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8C67A73"/>
    <w:multiLevelType w:val="multilevel"/>
    <w:tmpl w:val="DDCC9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BDA79A9"/>
    <w:multiLevelType w:val="hybridMultilevel"/>
    <w:tmpl w:val="1C402A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104A8F"/>
    <w:multiLevelType w:val="multilevel"/>
    <w:tmpl w:val="1318E7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614D0"/>
    <w:multiLevelType w:val="hybridMultilevel"/>
    <w:tmpl w:val="569062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010323"/>
    <w:multiLevelType w:val="hybridMultilevel"/>
    <w:tmpl w:val="2924C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5D376E"/>
    <w:multiLevelType w:val="hybridMultilevel"/>
    <w:tmpl w:val="C94E6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4787520"/>
    <w:multiLevelType w:val="hybridMultilevel"/>
    <w:tmpl w:val="0368F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F8713A"/>
    <w:multiLevelType w:val="multilevel"/>
    <w:tmpl w:val="0E566F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E960F7"/>
    <w:multiLevelType w:val="hybridMultilevel"/>
    <w:tmpl w:val="129C4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3D2EBC"/>
    <w:multiLevelType w:val="multilevel"/>
    <w:tmpl w:val="18A85F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88399C"/>
    <w:multiLevelType w:val="hybridMultilevel"/>
    <w:tmpl w:val="BDC482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C97B43"/>
    <w:multiLevelType w:val="multilevel"/>
    <w:tmpl w:val="07F0D0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2367AC"/>
    <w:multiLevelType w:val="multilevel"/>
    <w:tmpl w:val="EC3EAC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F06FF"/>
    <w:multiLevelType w:val="hybridMultilevel"/>
    <w:tmpl w:val="3A1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7334C2F"/>
    <w:multiLevelType w:val="hybridMultilevel"/>
    <w:tmpl w:val="EDC2F1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29" w15:restartNumberingAfterBreak="0">
    <w:nsid w:val="69B62CBA"/>
    <w:multiLevelType w:val="multilevel"/>
    <w:tmpl w:val="4EB04B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2F07F1"/>
    <w:multiLevelType w:val="multilevel"/>
    <w:tmpl w:val="9C4C9E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6826BC"/>
    <w:multiLevelType w:val="multilevel"/>
    <w:tmpl w:val="68EE0B1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B53A49"/>
    <w:multiLevelType w:val="hybridMultilevel"/>
    <w:tmpl w:val="6494FC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E6797E"/>
    <w:multiLevelType w:val="multilevel"/>
    <w:tmpl w:val="5E3A67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174BC"/>
    <w:multiLevelType w:val="hybridMultilevel"/>
    <w:tmpl w:val="1F882C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201734"/>
    <w:multiLevelType w:val="hybridMultilevel"/>
    <w:tmpl w:val="B9EAF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BB822BA"/>
    <w:multiLevelType w:val="multilevel"/>
    <w:tmpl w:val="C31C98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424667"/>
    <w:multiLevelType w:val="hybridMultilevel"/>
    <w:tmpl w:val="301AA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44737028">
    <w:abstractNumId w:val="28"/>
  </w:num>
  <w:num w:numId="2" w16cid:durableId="11344356">
    <w:abstractNumId w:val="15"/>
  </w:num>
  <w:num w:numId="3" w16cid:durableId="706108049">
    <w:abstractNumId w:val="11"/>
  </w:num>
  <w:num w:numId="4" w16cid:durableId="1454903698">
    <w:abstractNumId w:val="4"/>
  </w:num>
  <w:num w:numId="5" w16cid:durableId="1869682608">
    <w:abstractNumId w:val="5"/>
  </w:num>
  <w:num w:numId="6" w16cid:durableId="1733190231">
    <w:abstractNumId w:val="22"/>
  </w:num>
  <w:num w:numId="7" w16cid:durableId="1354723439">
    <w:abstractNumId w:val="10"/>
  </w:num>
  <w:num w:numId="8" w16cid:durableId="149488049">
    <w:abstractNumId w:val="24"/>
  </w:num>
  <w:num w:numId="9" w16cid:durableId="1723746938">
    <w:abstractNumId w:val="0"/>
  </w:num>
  <w:num w:numId="10" w16cid:durableId="1191727948">
    <w:abstractNumId w:val="36"/>
  </w:num>
  <w:num w:numId="11" w16cid:durableId="1515221072">
    <w:abstractNumId w:val="33"/>
  </w:num>
  <w:num w:numId="12" w16cid:durableId="828787714">
    <w:abstractNumId w:val="19"/>
  </w:num>
  <w:num w:numId="13" w16cid:durableId="1302879269">
    <w:abstractNumId w:val="31"/>
  </w:num>
  <w:num w:numId="14" w16cid:durableId="1425300628">
    <w:abstractNumId w:val="29"/>
  </w:num>
  <w:num w:numId="15" w16cid:durableId="1974097538">
    <w:abstractNumId w:val="2"/>
  </w:num>
  <w:num w:numId="16" w16cid:durableId="385569349">
    <w:abstractNumId w:val="13"/>
  </w:num>
  <w:num w:numId="17" w16cid:durableId="1586455871">
    <w:abstractNumId w:val="25"/>
  </w:num>
  <w:num w:numId="18" w16cid:durableId="71391054">
    <w:abstractNumId w:val="6"/>
  </w:num>
  <w:num w:numId="19" w16cid:durableId="1027481914">
    <w:abstractNumId w:val="30"/>
  </w:num>
  <w:num w:numId="20" w16cid:durableId="447116722">
    <w:abstractNumId w:val="21"/>
  </w:num>
  <w:num w:numId="21" w16cid:durableId="1362434035">
    <w:abstractNumId w:val="37"/>
  </w:num>
  <w:num w:numId="22" w16cid:durableId="1735354296">
    <w:abstractNumId w:val="12"/>
  </w:num>
  <w:num w:numId="23" w16cid:durableId="1522087643">
    <w:abstractNumId w:val="18"/>
  </w:num>
  <w:num w:numId="24" w16cid:durableId="672535900">
    <w:abstractNumId w:val="16"/>
  </w:num>
  <w:num w:numId="25" w16cid:durableId="244152886">
    <w:abstractNumId w:val="26"/>
  </w:num>
  <w:num w:numId="26" w16cid:durableId="1063135481">
    <w:abstractNumId w:val="17"/>
  </w:num>
  <w:num w:numId="27" w16cid:durableId="62288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6037741">
    <w:abstractNumId w:val="9"/>
  </w:num>
  <w:num w:numId="29" w16cid:durableId="304505171">
    <w:abstractNumId w:val="34"/>
  </w:num>
  <w:num w:numId="30" w16cid:durableId="1889606444">
    <w:abstractNumId w:val="7"/>
  </w:num>
  <w:num w:numId="31" w16cid:durableId="363559565">
    <w:abstractNumId w:val="14"/>
  </w:num>
  <w:num w:numId="32" w16cid:durableId="172764956">
    <w:abstractNumId w:val="3"/>
  </w:num>
  <w:num w:numId="33" w16cid:durableId="474760408">
    <w:abstractNumId w:val="23"/>
  </w:num>
  <w:num w:numId="34" w16cid:durableId="612053309">
    <w:abstractNumId w:val="35"/>
  </w:num>
  <w:num w:numId="35" w16cid:durableId="1825661158">
    <w:abstractNumId w:val="1"/>
  </w:num>
  <w:num w:numId="36" w16cid:durableId="1556890657">
    <w:abstractNumId w:val="1"/>
  </w:num>
  <w:num w:numId="37" w16cid:durableId="1998803300">
    <w:abstractNumId w:val="8"/>
  </w:num>
  <w:num w:numId="38" w16cid:durableId="1786733016">
    <w:abstractNumId w:val="32"/>
  </w:num>
  <w:num w:numId="39" w16cid:durableId="1102456686">
    <w:abstractNumId w:val="27"/>
  </w:num>
  <w:num w:numId="40" w16cid:durableId="522939847">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56669A"/>
    <w:rsid w:val="0000352E"/>
    <w:rsid w:val="00004174"/>
    <w:rsid w:val="0000482A"/>
    <w:rsid w:val="00006509"/>
    <w:rsid w:val="0001067F"/>
    <w:rsid w:val="000109F1"/>
    <w:rsid w:val="00011EBF"/>
    <w:rsid w:val="00012958"/>
    <w:rsid w:val="0001392D"/>
    <w:rsid w:val="00014ECB"/>
    <w:rsid w:val="000158CB"/>
    <w:rsid w:val="00017116"/>
    <w:rsid w:val="00021BF3"/>
    <w:rsid w:val="000227E2"/>
    <w:rsid w:val="000241C3"/>
    <w:rsid w:val="0002445C"/>
    <w:rsid w:val="00024D0A"/>
    <w:rsid w:val="00026B56"/>
    <w:rsid w:val="000304D4"/>
    <w:rsid w:val="00031277"/>
    <w:rsid w:val="0003252C"/>
    <w:rsid w:val="00034DC6"/>
    <w:rsid w:val="0004009D"/>
    <w:rsid w:val="00040A87"/>
    <w:rsid w:val="00040B71"/>
    <w:rsid w:val="00040E52"/>
    <w:rsid w:val="00043F74"/>
    <w:rsid w:val="000447EC"/>
    <w:rsid w:val="00046804"/>
    <w:rsid w:val="000478F6"/>
    <w:rsid w:val="0005195E"/>
    <w:rsid w:val="00053CB8"/>
    <w:rsid w:val="000549EA"/>
    <w:rsid w:val="00055399"/>
    <w:rsid w:val="00056D75"/>
    <w:rsid w:val="000604CD"/>
    <w:rsid w:val="00060C31"/>
    <w:rsid w:val="0006134B"/>
    <w:rsid w:val="000638D2"/>
    <w:rsid w:val="00064819"/>
    <w:rsid w:val="00064E7D"/>
    <w:rsid w:val="00065914"/>
    <w:rsid w:val="00070065"/>
    <w:rsid w:val="00070F91"/>
    <w:rsid w:val="00072B85"/>
    <w:rsid w:val="000750FD"/>
    <w:rsid w:val="00075A7E"/>
    <w:rsid w:val="0007740A"/>
    <w:rsid w:val="000806D1"/>
    <w:rsid w:val="00080ED4"/>
    <w:rsid w:val="00081716"/>
    <w:rsid w:val="00081B14"/>
    <w:rsid w:val="00086C0D"/>
    <w:rsid w:val="00091BE3"/>
    <w:rsid w:val="00095B40"/>
    <w:rsid w:val="0009709D"/>
    <w:rsid w:val="000A007F"/>
    <w:rsid w:val="000A03CC"/>
    <w:rsid w:val="000A085C"/>
    <w:rsid w:val="000A1D82"/>
    <w:rsid w:val="000A1F76"/>
    <w:rsid w:val="000A2859"/>
    <w:rsid w:val="000A2F07"/>
    <w:rsid w:val="000A3191"/>
    <w:rsid w:val="000A45E0"/>
    <w:rsid w:val="000A4BDB"/>
    <w:rsid w:val="000A6728"/>
    <w:rsid w:val="000B4819"/>
    <w:rsid w:val="000B588C"/>
    <w:rsid w:val="000B5939"/>
    <w:rsid w:val="000B76F8"/>
    <w:rsid w:val="000C01C6"/>
    <w:rsid w:val="000C135B"/>
    <w:rsid w:val="000C1700"/>
    <w:rsid w:val="000C389A"/>
    <w:rsid w:val="000C3BD7"/>
    <w:rsid w:val="000C41B1"/>
    <w:rsid w:val="000C5484"/>
    <w:rsid w:val="000C6195"/>
    <w:rsid w:val="000D09A9"/>
    <w:rsid w:val="000D3561"/>
    <w:rsid w:val="000D4755"/>
    <w:rsid w:val="000D48CF"/>
    <w:rsid w:val="000D4FB5"/>
    <w:rsid w:val="000D6F9B"/>
    <w:rsid w:val="000D7F66"/>
    <w:rsid w:val="000E0B99"/>
    <w:rsid w:val="000E11B2"/>
    <w:rsid w:val="000E1203"/>
    <w:rsid w:val="000E34F7"/>
    <w:rsid w:val="000E401D"/>
    <w:rsid w:val="000E44DF"/>
    <w:rsid w:val="000E52DC"/>
    <w:rsid w:val="000E6AF0"/>
    <w:rsid w:val="000E7129"/>
    <w:rsid w:val="000F03DD"/>
    <w:rsid w:val="000F2919"/>
    <w:rsid w:val="000F2B40"/>
    <w:rsid w:val="000F2E75"/>
    <w:rsid w:val="000F32F7"/>
    <w:rsid w:val="000F5F84"/>
    <w:rsid w:val="000F77C9"/>
    <w:rsid w:val="000F7811"/>
    <w:rsid w:val="0010168A"/>
    <w:rsid w:val="0010218E"/>
    <w:rsid w:val="00104037"/>
    <w:rsid w:val="001044F8"/>
    <w:rsid w:val="001078C7"/>
    <w:rsid w:val="00111379"/>
    <w:rsid w:val="001134E7"/>
    <w:rsid w:val="00113D4E"/>
    <w:rsid w:val="00114F2A"/>
    <w:rsid w:val="00115402"/>
    <w:rsid w:val="00115C7C"/>
    <w:rsid w:val="00120936"/>
    <w:rsid w:val="0012302C"/>
    <w:rsid w:val="00123A4A"/>
    <w:rsid w:val="0012414A"/>
    <w:rsid w:val="00124A83"/>
    <w:rsid w:val="0012636D"/>
    <w:rsid w:val="001269DD"/>
    <w:rsid w:val="00127583"/>
    <w:rsid w:val="00127C4E"/>
    <w:rsid w:val="001304F2"/>
    <w:rsid w:val="00130DF7"/>
    <w:rsid w:val="0013205D"/>
    <w:rsid w:val="00132C51"/>
    <w:rsid w:val="0013437C"/>
    <w:rsid w:val="00134FDA"/>
    <w:rsid w:val="0013658C"/>
    <w:rsid w:val="00137DE8"/>
    <w:rsid w:val="00137F31"/>
    <w:rsid w:val="001406AD"/>
    <w:rsid w:val="00140C3A"/>
    <w:rsid w:val="00141CA0"/>
    <w:rsid w:val="00141D9C"/>
    <w:rsid w:val="001431DF"/>
    <w:rsid w:val="00145BDB"/>
    <w:rsid w:val="00152283"/>
    <w:rsid w:val="001524B1"/>
    <w:rsid w:val="00153B78"/>
    <w:rsid w:val="00153DAC"/>
    <w:rsid w:val="00154BEC"/>
    <w:rsid w:val="001552A2"/>
    <w:rsid w:val="00155CA1"/>
    <w:rsid w:val="0016506B"/>
    <w:rsid w:val="00165C83"/>
    <w:rsid w:val="00171399"/>
    <w:rsid w:val="0017169E"/>
    <w:rsid w:val="00171A41"/>
    <w:rsid w:val="00173911"/>
    <w:rsid w:val="00173C82"/>
    <w:rsid w:val="001753FE"/>
    <w:rsid w:val="00176CE5"/>
    <w:rsid w:val="00177167"/>
    <w:rsid w:val="00180E49"/>
    <w:rsid w:val="001826C9"/>
    <w:rsid w:val="00184409"/>
    <w:rsid w:val="00185BB8"/>
    <w:rsid w:val="00185C85"/>
    <w:rsid w:val="00187CB3"/>
    <w:rsid w:val="001901BB"/>
    <w:rsid w:val="001902D3"/>
    <w:rsid w:val="00190C0B"/>
    <w:rsid w:val="00194435"/>
    <w:rsid w:val="00197A02"/>
    <w:rsid w:val="001A0354"/>
    <w:rsid w:val="001A2072"/>
    <w:rsid w:val="001A230A"/>
    <w:rsid w:val="001A23E4"/>
    <w:rsid w:val="001A29B5"/>
    <w:rsid w:val="001A481C"/>
    <w:rsid w:val="001A528A"/>
    <w:rsid w:val="001A542E"/>
    <w:rsid w:val="001A5435"/>
    <w:rsid w:val="001A5D5D"/>
    <w:rsid w:val="001A5F04"/>
    <w:rsid w:val="001A6F0E"/>
    <w:rsid w:val="001A7E1A"/>
    <w:rsid w:val="001B0B96"/>
    <w:rsid w:val="001B10FA"/>
    <w:rsid w:val="001B4362"/>
    <w:rsid w:val="001B65B3"/>
    <w:rsid w:val="001B6602"/>
    <w:rsid w:val="001B69FF"/>
    <w:rsid w:val="001C0520"/>
    <w:rsid w:val="001C217D"/>
    <w:rsid w:val="001C7AC5"/>
    <w:rsid w:val="001D02E2"/>
    <w:rsid w:val="001D2208"/>
    <w:rsid w:val="001D256F"/>
    <w:rsid w:val="001D3BAE"/>
    <w:rsid w:val="001D510F"/>
    <w:rsid w:val="001D7170"/>
    <w:rsid w:val="001E3574"/>
    <w:rsid w:val="001E4E8C"/>
    <w:rsid w:val="001E5ED6"/>
    <w:rsid w:val="001E7267"/>
    <w:rsid w:val="001F060B"/>
    <w:rsid w:val="001F2FA2"/>
    <w:rsid w:val="001F3DAC"/>
    <w:rsid w:val="001F4FA4"/>
    <w:rsid w:val="001F50A4"/>
    <w:rsid w:val="001F5655"/>
    <w:rsid w:val="001F677F"/>
    <w:rsid w:val="001F7AE2"/>
    <w:rsid w:val="00202A49"/>
    <w:rsid w:val="00202B9D"/>
    <w:rsid w:val="00203B2D"/>
    <w:rsid w:val="00203D17"/>
    <w:rsid w:val="00204AD5"/>
    <w:rsid w:val="0020691A"/>
    <w:rsid w:val="00211174"/>
    <w:rsid w:val="00212957"/>
    <w:rsid w:val="00215A7F"/>
    <w:rsid w:val="00216965"/>
    <w:rsid w:val="00222636"/>
    <w:rsid w:val="00222D0F"/>
    <w:rsid w:val="002235F1"/>
    <w:rsid w:val="00223E15"/>
    <w:rsid w:val="00225730"/>
    <w:rsid w:val="00230249"/>
    <w:rsid w:val="002321B3"/>
    <w:rsid w:val="0023376A"/>
    <w:rsid w:val="00235927"/>
    <w:rsid w:val="00236D9D"/>
    <w:rsid w:val="00237E01"/>
    <w:rsid w:val="002408EA"/>
    <w:rsid w:val="00245B95"/>
    <w:rsid w:val="0025206D"/>
    <w:rsid w:val="00252C62"/>
    <w:rsid w:val="00254C0B"/>
    <w:rsid w:val="00255F77"/>
    <w:rsid w:val="002578E4"/>
    <w:rsid w:val="0026007A"/>
    <w:rsid w:val="00260CE4"/>
    <w:rsid w:val="0026302E"/>
    <w:rsid w:val="00263614"/>
    <w:rsid w:val="00263A98"/>
    <w:rsid w:val="002641FE"/>
    <w:rsid w:val="00265A34"/>
    <w:rsid w:val="00266AD4"/>
    <w:rsid w:val="00267D60"/>
    <w:rsid w:val="00270605"/>
    <w:rsid w:val="00270710"/>
    <w:rsid w:val="00270E94"/>
    <w:rsid w:val="0027103E"/>
    <w:rsid w:val="002719AD"/>
    <w:rsid w:val="00271B16"/>
    <w:rsid w:val="00274268"/>
    <w:rsid w:val="00276267"/>
    <w:rsid w:val="00276A95"/>
    <w:rsid w:val="00277952"/>
    <w:rsid w:val="00277A2D"/>
    <w:rsid w:val="00282250"/>
    <w:rsid w:val="00282C5B"/>
    <w:rsid w:val="00285183"/>
    <w:rsid w:val="00290B5B"/>
    <w:rsid w:val="0029335E"/>
    <w:rsid w:val="00293425"/>
    <w:rsid w:val="00293B5A"/>
    <w:rsid w:val="00296096"/>
    <w:rsid w:val="00296372"/>
    <w:rsid w:val="002A0E3E"/>
    <w:rsid w:val="002A2D00"/>
    <w:rsid w:val="002A511E"/>
    <w:rsid w:val="002A52EE"/>
    <w:rsid w:val="002A561C"/>
    <w:rsid w:val="002A5BF4"/>
    <w:rsid w:val="002A665B"/>
    <w:rsid w:val="002A6CFB"/>
    <w:rsid w:val="002A77D6"/>
    <w:rsid w:val="002B019F"/>
    <w:rsid w:val="002B0CA5"/>
    <w:rsid w:val="002B28FB"/>
    <w:rsid w:val="002B5A6E"/>
    <w:rsid w:val="002B6109"/>
    <w:rsid w:val="002B61C4"/>
    <w:rsid w:val="002B6862"/>
    <w:rsid w:val="002B6A12"/>
    <w:rsid w:val="002C0CCC"/>
    <w:rsid w:val="002C13B0"/>
    <w:rsid w:val="002C1A7E"/>
    <w:rsid w:val="002C2447"/>
    <w:rsid w:val="002C296A"/>
    <w:rsid w:val="002C3AFC"/>
    <w:rsid w:val="002C783B"/>
    <w:rsid w:val="002C7BF6"/>
    <w:rsid w:val="002D0382"/>
    <w:rsid w:val="002D06B9"/>
    <w:rsid w:val="002D09CC"/>
    <w:rsid w:val="002D0A3B"/>
    <w:rsid w:val="002D1A12"/>
    <w:rsid w:val="002D22B1"/>
    <w:rsid w:val="002D2A81"/>
    <w:rsid w:val="002D4EC5"/>
    <w:rsid w:val="002D6FAA"/>
    <w:rsid w:val="002E0F65"/>
    <w:rsid w:val="002E1493"/>
    <w:rsid w:val="002E2A94"/>
    <w:rsid w:val="002E4721"/>
    <w:rsid w:val="002E7460"/>
    <w:rsid w:val="002E74A3"/>
    <w:rsid w:val="002E763D"/>
    <w:rsid w:val="002F0519"/>
    <w:rsid w:val="002F23D3"/>
    <w:rsid w:val="002F2C5A"/>
    <w:rsid w:val="002F2EEF"/>
    <w:rsid w:val="002F3295"/>
    <w:rsid w:val="002F4E93"/>
    <w:rsid w:val="002F64BD"/>
    <w:rsid w:val="002F68C2"/>
    <w:rsid w:val="002F6C0D"/>
    <w:rsid w:val="002F6DF6"/>
    <w:rsid w:val="002F7E53"/>
    <w:rsid w:val="00302664"/>
    <w:rsid w:val="00302BE7"/>
    <w:rsid w:val="00304C30"/>
    <w:rsid w:val="0030560A"/>
    <w:rsid w:val="00305C6E"/>
    <w:rsid w:val="00306E17"/>
    <w:rsid w:val="00307736"/>
    <w:rsid w:val="00307AD6"/>
    <w:rsid w:val="003116A1"/>
    <w:rsid w:val="00311ED0"/>
    <w:rsid w:val="0031416A"/>
    <w:rsid w:val="003153EB"/>
    <w:rsid w:val="00315638"/>
    <w:rsid w:val="003167EB"/>
    <w:rsid w:val="00316DA1"/>
    <w:rsid w:val="00320158"/>
    <w:rsid w:val="00322631"/>
    <w:rsid w:val="0032263A"/>
    <w:rsid w:val="00322954"/>
    <w:rsid w:val="003240F0"/>
    <w:rsid w:val="00324607"/>
    <w:rsid w:val="00324CC5"/>
    <w:rsid w:val="00330692"/>
    <w:rsid w:val="00330A91"/>
    <w:rsid w:val="00333357"/>
    <w:rsid w:val="00334132"/>
    <w:rsid w:val="003341C8"/>
    <w:rsid w:val="003347DA"/>
    <w:rsid w:val="00334FF0"/>
    <w:rsid w:val="0034067D"/>
    <w:rsid w:val="003408D2"/>
    <w:rsid w:val="003441F7"/>
    <w:rsid w:val="003451B4"/>
    <w:rsid w:val="00346DBA"/>
    <w:rsid w:val="0034789B"/>
    <w:rsid w:val="00350446"/>
    <w:rsid w:val="00354C5D"/>
    <w:rsid w:val="0036152E"/>
    <w:rsid w:val="00362B70"/>
    <w:rsid w:val="00362D0C"/>
    <w:rsid w:val="00363872"/>
    <w:rsid w:val="00363F9C"/>
    <w:rsid w:val="003648BE"/>
    <w:rsid w:val="00364E15"/>
    <w:rsid w:val="00367A04"/>
    <w:rsid w:val="003708C8"/>
    <w:rsid w:val="00370B6D"/>
    <w:rsid w:val="003713FB"/>
    <w:rsid w:val="00371C16"/>
    <w:rsid w:val="0037224D"/>
    <w:rsid w:val="003722FA"/>
    <w:rsid w:val="0037339D"/>
    <w:rsid w:val="00374D17"/>
    <w:rsid w:val="00375903"/>
    <w:rsid w:val="00377277"/>
    <w:rsid w:val="00381592"/>
    <w:rsid w:val="003816D1"/>
    <w:rsid w:val="00382AFE"/>
    <w:rsid w:val="00384CFD"/>
    <w:rsid w:val="0038506C"/>
    <w:rsid w:val="003869B0"/>
    <w:rsid w:val="003902FC"/>
    <w:rsid w:val="003906D7"/>
    <w:rsid w:val="0039079F"/>
    <w:rsid w:val="00391E95"/>
    <w:rsid w:val="00391E9F"/>
    <w:rsid w:val="003926B7"/>
    <w:rsid w:val="00395ACE"/>
    <w:rsid w:val="003A093D"/>
    <w:rsid w:val="003A09D5"/>
    <w:rsid w:val="003A1825"/>
    <w:rsid w:val="003A27D7"/>
    <w:rsid w:val="003A57C1"/>
    <w:rsid w:val="003A6AA8"/>
    <w:rsid w:val="003A6FF6"/>
    <w:rsid w:val="003A746A"/>
    <w:rsid w:val="003B109E"/>
    <w:rsid w:val="003B1747"/>
    <w:rsid w:val="003B1C33"/>
    <w:rsid w:val="003B49F8"/>
    <w:rsid w:val="003B4B89"/>
    <w:rsid w:val="003B5177"/>
    <w:rsid w:val="003B6DDC"/>
    <w:rsid w:val="003B7567"/>
    <w:rsid w:val="003C2655"/>
    <w:rsid w:val="003C3446"/>
    <w:rsid w:val="003C50D4"/>
    <w:rsid w:val="003C527B"/>
    <w:rsid w:val="003C6E82"/>
    <w:rsid w:val="003C6FAD"/>
    <w:rsid w:val="003C7AAF"/>
    <w:rsid w:val="003D3532"/>
    <w:rsid w:val="003D6F5F"/>
    <w:rsid w:val="003E073D"/>
    <w:rsid w:val="003E12B1"/>
    <w:rsid w:val="003E1C13"/>
    <w:rsid w:val="003E1FE5"/>
    <w:rsid w:val="003E366A"/>
    <w:rsid w:val="003E4281"/>
    <w:rsid w:val="003E436E"/>
    <w:rsid w:val="003E4BA1"/>
    <w:rsid w:val="003E4C4B"/>
    <w:rsid w:val="003E575D"/>
    <w:rsid w:val="003E58F8"/>
    <w:rsid w:val="003F0523"/>
    <w:rsid w:val="003F0552"/>
    <w:rsid w:val="003F130E"/>
    <w:rsid w:val="003F14F7"/>
    <w:rsid w:val="003F18BC"/>
    <w:rsid w:val="003F2EC0"/>
    <w:rsid w:val="003F41A3"/>
    <w:rsid w:val="003F4508"/>
    <w:rsid w:val="003F542C"/>
    <w:rsid w:val="003F70B8"/>
    <w:rsid w:val="003F7F4C"/>
    <w:rsid w:val="00400EA8"/>
    <w:rsid w:val="00402A3A"/>
    <w:rsid w:val="00404F49"/>
    <w:rsid w:val="004054E0"/>
    <w:rsid w:val="004075B6"/>
    <w:rsid w:val="00407F41"/>
    <w:rsid w:val="00411201"/>
    <w:rsid w:val="00411F8A"/>
    <w:rsid w:val="004135B6"/>
    <w:rsid w:val="00414915"/>
    <w:rsid w:val="0041660E"/>
    <w:rsid w:val="0041736E"/>
    <w:rsid w:val="00420333"/>
    <w:rsid w:val="00420952"/>
    <w:rsid w:val="0042183E"/>
    <w:rsid w:val="00422931"/>
    <w:rsid w:val="004240BC"/>
    <w:rsid w:val="0042628F"/>
    <w:rsid w:val="00427135"/>
    <w:rsid w:val="00431DE3"/>
    <w:rsid w:val="0043294A"/>
    <w:rsid w:val="00432BBB"/>
    <w:rsid w:val="004330FF"/>
    <w:rsid w:val="004338C5"/>
    <w:rsid w:val="00435DD2"/>
    <w:rsid w:val="00435EA3"/>
    <w:rsid w:val="0044048C"/>
    <w:rsid w:val="004405D7"/>
    <w:rsid w:val="004408D8"/>
    <w:rsid w:val="004411A2"/>
    <w:rsid w:val="0044162A"/>
    <w:rsid w:val="00443AAE"/>
    <w:rsid w:val="00444032"/>
    <w:rsid w:val="00444EA6"/>
    <w:rsid w:val="0044519F"/>
    <w:rsid w:val="00445535"/>
    <w:rsid w:val="004455CA"/>
    <w:rsid w:val="00445784"/>
    <w:rsid w:val="004462F7"/>
    <w:rsid w:val="00446498"/>
    <w:rsid w:val="00446BEE"/>
    <w:rsid w:val="004472D0"/>
    <w:rsid w:val="00450090"/>
    <w:rsid w:val="004510E0"/>
    <w:rsid w:val="0045126F"/>
    <w:rsid w:val="00452DCA"/>
    <w:rsid w:val="00454048"/>
    <w:rsid w:val="004541A0"/>
    <w:rsid w:val="00454C7D"/>
    <w:rsid w:val="00456881"/>
    <w:rsid w:val="00460410"/>
    <w:rsid w:val="00462FAD"/>
    <w:rsid w:val="00463B94"/>
    <w:rsid w:val="00463BD8"/>
    <w:rsid w:val="00464586"/>
    <w:rsid w:val="00465C36"/>
    <w:rsid w:val="00466B16"/>
    <w:rsid w:val="00471920"/>
    <w:rsid w:val="004730BA"/>
    <w:rsid w:val="00473BB1"/>
    <w:rsid w:val="00474F01"/>
    <w:rsid w:val="00476394"/>
    <w:rsid w:val="004773EE"/>
    <w:rsid w:val="004817EB"/>
    <w:rsid w:val="00481D6C"/>
    <w:rsid w:val="00481E56"/>
    <w:rsid w:val="00483585"/>
    <w:rsid w:val="00483981"/>
    <w:rsid w:val="00485987"/>
    <w:rsid w:val="00491211"/>
    <w:rsid w:val="00491FE4"/>
    <w:rsid w:val="0049289D"/>
    <w:rsid w:val="00494C8B"/>
    <w:rsid w:val="00496BE3"/>
    <w:rsid w:val="00497DA0"/>
    <w:rsid w:val="004A2A32"/>
    <w:rsid w:val="004A325A"/>
    <w:rsid w:val="004A44A3"/>
    <w:rsid w:val="004A5F0D"/>
    <w:rsid w:val="004A6456"/>
    <w:rsid w:val="004A6513"/>
    <w:rsid w:val="004A6C8B"/>
    <w:rsid w:val="004A6FCF"/>
    <w:rsid w:val="004A75DC"/>
    <w:rsid w:val="004A7BD3"/>
    <w:rsid w:val="004B00AC"/>
    <w:rsid w:val="004B4112"/>
    <w:rsid w:val="004B5922"/>
    <w:rsid w:val="004B5954"/>
    <w:rsid w:val="004B62C1"/>
    <w:rsid w:val="004C14F4"/>
    <w:rsid w:val="004C1561"/>
    <w:rsid w:val="004C1AB9"/>
    <w:rsid w:val="004C26CA"/>
    <w:rsid w:val="004C3051"/>
    <w:rsid w:val="004C38A3"/>
    <w:rsid w:val="004C3F55"/>
    <w:rsid w:val="004C4168"/>
    <w:rsid w:val="004C60D9"/>
    <w:rsid w:val="004C7591"/>
    <w:rsid w:val="004D410E"/>
    <w:rsid w:val="004D472D"/>
    <w:rsid w:val="004D4FC4"/>
    <w:rsid w:val="004D7EF1"/>
    <w:rsid w:val="004E072F"/>
    <w:rsid w:val="004E1FD4"/>
    <w:rsid w:val="004E3A88"/>
    <w:rsid w:val="004E6D91"/>
    <w:rsid w:val="004E731F"/>
    <w:rsid w:val="004F30B9"/>
    <w:rsid w:val="004F457A"/>
    <w:rsid w:val="00500434"/>
    <w:rsid w:val="005025A1"/>
    <w:rsid w:val="00502C4B"/>
    <w:rsid w:val="005048FB"/>
    <w:rsid w:val="00504F90"/>
    <w:rsid w:val="005061F9"/>
    <w:rsid w:val="0051026C"/>
    <w:rsid w:val="0051111E"/>
    <w:rsid w:val="0051622C"/>
    <w:rsid w:val="00516718"/>
    <w:rsid w:val="00517CA6"/>
    <w:rsid w:val="005202DE"/>
    <w:rsid w:val="0052055D"/>
    <w:rsid w:val="0052161D"/>
    <w:rsid w:val="005263CF"/>
    <w:rsid w:val="00526CC1"/>
    <w:rsid w:val="00527EE4"/>
    <w:rsid w:val="00534339"/>
    <w:rsid w:val="00534AD1"/>
    <w:rsid w:val="005357B3"/>
    <w:rsid w:val="00541C9F"/>
    <w:rsid w:val="0054323C"/>
    <w:rsid w:val="00543FBB"/>
    <w:rsid w:val="005456D5"/>
    <w:rsid w:val="00545FF6"/>
    <w:rsid w:val="00546183"/>
    <w:rsid w:val="00547BC2"/>
    <w:rsid w:val="00547D49"/>
    <w:rsid w:val="005507C8"/>
    <w:rsid w:val="00553560"/>
    <w:rsid w:val="00554721"/>
    <w:rsid w:val="00556203"/>
    <w:rsid w:val="00557616"/>
    <w:rsid w:val="00557EBB"/>
    <w:rsid w:val="00560A84"/>
    <w:rsid w:val="00562D25"/>
    <w:rsid w:val="00565C8C"/>
    <w:rsid w:val="0056669A"/>
    <w:rsid w:val="00566CA5"/>
    <w:rsid w:val="005702EE"/>
    <w:rsid w:val="00574385"/>
    <w:rsid w:val="005760C5"/>
    <w:rsid w:val="00577E53"/>
    <w:rsid w:val="00580D6D"/>
    <w:rsid w:val="00581557"/>
    <w:rsid w:val="00582451"/>
    <w:rsid w:val="00582D94"/>
    <w:rsid w:val="00583D78"/>
    <w:rsid w:val="00584584"/>
    <w:rsid w:val="00586982"/>
    <w:rsid w:val="00587E96"/>
    <w:rsid w:val="005921BE"/>
    <w:rsid w:val="005929B1"/>
    <w:rsid w:val="00594085"/>
    <w:rsid w:val="00596195"/>
    <w:rsid w:val="005966BC"/>
    <w:rsid w:val="005A0C10"/>
    <w:rsid w:val="005A19AE"/>
    <w:rsid w:val="005A46AA"/>
    <w:rsid w:val="005A49EA"/>
    <w:rsid w:val="005A4F22"/>
    <w:rsid w:val="005A5841"/>
    <w:rsid w:val="005A596F"/>
    <w:rsid w:val="005A61AD"/>
    <w:rsid w:val="005B3093"/>
    <w:rsid w:val="005B4E96"/>
    <w:rsid w:val="005C0A82"/>
    <w:rsid w:val="005C0E53"/>
    <w:rsid w:val="005C179D"/>
    <w:rsid w:val="005C3003"/>
    <w:rsid w:val="005C43D4"/>
    <w:rsid w:val="005C6004"/>
    <w:rsid w:val="005C6281"/>
    <w:rsid w:val="005C6CEA"/>
    <w:rsid w:val="005C6F10"/>
    <w:rsid w:val="005D09B7"/>
    <w:rsid w:val="005D35D7"/>
    <w:rsid w:val="005D3CF1"/>
    <w:rsid w:val="005D3F1C"/>
    <w:rsid w:val="005D5F66"/>
    <w:rsid w:val="005D769A"/>
    <w:rsid w:val="005D78A9"/>
    <w:rsid w:val="005E2BA0"/>
    <w:rsid w:val="005E400B"/>
    <w:rsid w:val="005E4983"/>
    <w:rsid w:val="005E5B6D"/>
    <w:rsid w:val="005E5E3B"/>
    <w:rsid w:val="005E6F8F"/>
    <w:rsid w:val="005F3784"/>
    <w:rsid w:val="005F3A9F"/>
    <w:rsid w:val="005F5451"/>
    <w:rsid w:val="005F76B7"/>
    <w:rsid w:val="00600D6F"/>
    <w:rsid w:val="0060307C"/>
    <w:rsid w:val="00603263"/>
    <w:rsid w:val="00603361"/>
    <w:rsid w:val="00604500"/>
    <w:rsid w:val="00604751"/>
    <w:rsid w:val="006057FD"/>
    <w:rsid w:val="0060739E"/>
    <w:rsid w:val="00607B3D"/>
    <w:rsid w:val="006110B7"/>
    <w:rsid w:val="006144F6"/>
    <w:rsid w:val="00620648"/>
    <w:rsid w:val="0062116C"/>
    <w:rsid w:val="00621435"/>
    <w:rsid w:val="0062214D"/>
    <w:rsid w:val="00623619"/>
    <w:rsid w:val="00624810"/>
    <w:rsid w:val="00626943"/>
    <w:rsid w:val="00627895"/>
    <w:rsid w:val="00627E87"/>
    <w:rsid w:val="00627EAB"/>
    <w:rsid w:val="006316DB"/>
    <w:rsid w:val="006326D9"/>
    <w:rsid w:val="00632C95"/>
    <w:rsid w:val="006340F4"/>
    <w:rsid w:val="00634347"/>
    <w:rsid w:val="0064039D"/>
    <w:rsid w:val="00641033"/>
    <w:rsid w:val="006416C7"/>
    <w:rsid w:val="00643428"/>
    <w:rsid w:val="0064504B"/>
    <w:rsid w:val="006504BC"/>
    <w:rsid w:val="00650AE7"/>
    <w:rsid w:val="00652CCB"/>
    <w:rsid w:val="006541B3"/>
    <w:rsid w:val="00654347"/>
    <w:rsid w:val="006544D3"/>
    <w:rsid w:val="006557CF"/>
    <w:rsid w:val="00656917"/>
    <w:rsid w:val="00657E9B"/>
    <w:rsid w:val="00660953"/>
    <w:rsid w:val="00661C18"/>
    <w:rsid w:val="00665120"/>
    <w:rsid w:val="006700FC"/>
    <w:rsid w:val="006711C4"/>
    <w:rsid w:val="00671949"/>
    <w:rsid w:val="00671A65"/>
    <w:rsid w:val="00672367"/>
    <w:rsid w:val="00673ED1"/>
    <w:rsid w:val="0067426A"/>
    <w:rsid w:val="006744FF"/>
    <w:rsid w:val="0067455E"/>
    <w:rsid w:val="0067493D"/>
    <w:rsid w:val="00676FCC"/>
    <w:rsid w:val="00677032"/>
    <w:rsid w:val="00677B20"/>
    <w:rsid w:val="0068026C"/>
    <w:rsid w:val="006809E4"/>
    <w:rsid w:val="0068121A"/>
    <w:rsid w:val="00682E12"/>
    <w:rsid w:val="00683301"/>
    <w:rsid w:val="006844BA"/>
    <w:rsid w:val="006844CB"/>
    <w:rsid w:val="00685068"/>
    <w:rsid w:val="00685337"/>
    <w:rsid w:val="006854A8"/>
    <w:rsid w:val="00685A26"/>
    <w:rsid w:val="00691454"/>
    <w:rsid w:val="006921E1"/>
    <w:rsid w:val="006929A2"/>
    <w:rsid w:val="00693626"/>
    <w:rsid w:val="00695209"/>
    <w:rsid w:val="006A055D"/>
    <w:rsid w:val="006A0658"/>
    <w:rsid w:val="006A3820"/>
    <w:rsid w:val="006A548B"/>
    <w:rsid w:val="006A5EF3"/>
    <w:rsid w:val="006A710A"/>
    <w:rsid w:val="006A72B6"/>
    <w:rsid w:val="006B080F"/>
    <w:rsid w:val="006B0A77"/>
    <w:rsid w:val="006B2BBF"/>
    <w:rsid w:val="006B56CF"/>
    <w:rsid w:val="006B5842"/>
    <w:rsid w:val="006B5E3E"/>
    <w:rsid w:val="006C0F6B"/>
    <w:rsid w:val="006C3BE4"/>
    <w:rsid w:val="006C3D00"/>
    <w:rsid w:val="006C45F8"/>
    <w:rsid w:val="006C4FFC"/>
    <w:rsid w:val="006C6335"/>
    <w:rsid w:val="006D2029"/>
    <w:rsid w:val="006D3B0D"/>
    <w:rsid w:val="006D3F19"/>
    <w:rsid w:val="006D4113"/>
    <w:rsid w:val="006D50F4"/>
    <w:rsid w:val="006D55A6"/>
    <w:rsid w:val="006D5F03"/>
    <w:rsid w:val="006E1627"/>
    <w:rsid w:val="006E1B96"/>
    <w:rsid w:val="006E3831"/>
    <w:rsid w:val="006E608E"/>
    <w:rsid w:val="006E74CA"/>
    <w:rsid w:val="006E7A31"/>
    <w:rsid w:val="006F0D0C"/>
    <w:rsid w:val="006F0D9A"/>
    <w:rsid w:val="006F1C1B"/>
    <w:rsid w:val="006F21DF"/>
    <w:rsid w:val="006F298C"/>
    <w:rsid w:val="006F2E55"/>
    <w:rsid w:val="006F398A"/>
    <w:rsid w:val="006F4413"/>
    <w:rsid w:val="006F5EAB"/>
    <w:rsid w:val="006F7937"/>
    <w:rsid w:val="006F7D33"/>
    <w:rsid w:val="00702177"/>
    <w:rsid w:val="00707F29"/>
    <w:rsid w:val="00710A3E"/>
    <w:rsid w:val="00711385"/>
    <w:rsid w:val="007134DF"/>
    <w:rsid w:val="00713A26"/>
    <w:rsid w:val="00714A91"/>
    <w:rsid w:val="00714F6F"/>
    <w:rsid w:val="007179CF"/>
    <w:rsid w:val="007179D5"/>
    <w:rsid w:val="00717A3E"/>
    <w:rsid w:val="007203AD"/>
    <w:rsid w:val="00720DF9"/>
    <w:rsid w:val="007228AE"/>
    <w:rsid w:val="007232CC"/>
    <w:rsid w:val="007250E7"/>
    <w:rsid w:val="00726D27"/>
    <w:rsid w:val="00727A9D"/>
    <w:rsid w:val="00730CE3"/>
    <w:rsid w:val="007318B0"/>
    <w:rsid w:val="00734970"/>
    <w:rsid w:val="00734EB2"/>
    <w:rsid w:val="00736348"/>
    <w:rsid w:val="0073638F"/>
    <w:rsid w:val="00741501"/>
    <w:rsid w:val="007419FC"/>
    <w:rsid w:val="007438DF"/>
    <w:rsid w:val="007448A8"/>
    <w:rsid w:val="00744CBD"/>
    <w:rsid w:val="00744E23"/>
    <w:rsid w:val="007453FD"/>
    <w:rsid w:val="00746901"/>
    <w:rsid w:val="00750BD6"/>
    <w:rsid w:val="0075162E"/>
    <w:rsid w:val="00752671"/>
    <w:rsid w:val="00756656"/>
    <w:rsid w:val="00757102"/>
    <w:rsid w:val="007607C1"/>
    <w:rsid w:val="00761031"/>
    <w:rsid w:val="00763A4F"/>
    <w:rsid w:val="00764BB0"/>
    <w:rsid w:val="00766350"/>
    <w:rsid w:val="00766AE9"/>
    <w:rsid w:val="007671D6"/>
    <w:rsid w:val="00767ABA"/>
    <w:rsid w:val="00770B9A"/>
    <w:rsid w:val="00776773"/>
    <w:rsid w:val="00780D9B"/>
    <w:rsid w:val="007813F8"/>
    <w:rsid w:val="00781987"/>
    <w:rsid w:val="00781F53"/>
    <w:rsid w:val="00782AD8"/>
    <w:rsid w:val="00784333"/>
    <w:rsid w:val="00786120"/>
    <w:rsid w:val="00787A68"/>
    <w:rsid w:val="0079042A"/>
    <w:rsid w:val="0079179D"/>
    <w:rsid w:val="00791E62"/>
    <w:rsid w:val="0079479A"/>
    <w:rsid w:val="007972D5"/>
    <w:rsid w:val="007A00FC"/>
    <w:rsid w:val="007A1B0A"/>
    <w:rsid w:val="007A34BC"/>
    <w:rsid w:val="007A4E4B"/>
    <w:rsid w:val="007B0D6A"/>
    <w:rsid w:val="007B0F90"/>
    <w:rsid w:val="007B1BCD"/>
    <w:rsid w:val="007B1C0E"/>
    <w:rsid w:val="007B272A"/>
    <w:rsid w:val="007B4872"/>
    <w:rsid w:val="007B54CD"/>
    <w:rsid w:val="007B5F92"/>
    <w:rsid w:val="007B624F"/>
    <w:rsid w:val="007B6A17"/>
    <w:rsid w:val="007C2022"/>
    <w:rsid w:val="007C3BFB"/>
    <w:rsid w:val="007C5211"/>
    <w:rsid w:val="007C5853"/>
    <w:rsid w:val="007C6EB9"/>
    <w:rsid w:val="007D08FA"/>
    <w:rsid w:val="007D0A6D"/>
    <w:rsid w:val="007D3112"/>
    <w:rsid w:val="007D333F"/>
    <w:rsid w:val="007D3BBE"/>
    <w:rsid w:val="007D4749"/>
    <w:rsid w:val="007D4B1A"/>
    <w:rsid w:val="007D69CE"/>
    <w:rsid w:val="007D7479"/>
    <w:rsid w:val="007D7952"/>
    <w:rsid w:val="007E3429"/>
    <w:rsid w:val="007E37CB"/>
    <w:rsid w:val="007E4546"/>
    <w:rsid w:val="007E49A7"/>
    <w:rsid w:val="007E6875"/>
    <w:rsid w:val="007E724E"/>
    <w:rsid w:val="007F0645"/>
    <w:rsid w:val="007F0768"/>
    <w:rsid w:val="007F158B"/>
    <w:rsid w:val="007F182C"/>
    <w:rsid w:val="007F1B53"/>
    <w:rsid w:val="007F2999"/>
    <w:rsid w:val="0080003F"/>
    <w:rsid w:val="00800CD8"/>
    <w:rsid w:val="00801EA9"/>
    <w:rsid w:val="00802592"/>
    <w:rsid w:val="00804D70"/>
    <w:rsid w:val="00805042"/>
    <w:rsid w:val="00805EF0"/>
    <w:rsid w:val="00805FCF"/>
    <w:rsid w:val="008068ED"/>
    <w:rsid w:val="00810720"/>
    <w:rsid w:val="00810EAB"/>
    <w:rsid w:val="00811F99"/>
    <w:rsid w:val="00813410"/>
    <w:rsid w:val="00813821"/>
    <w:rsid w:val="00813E13"/>
    <w:rsid w:val="008148A2"/>
    <w:rsid w:val="00820719"/>
    <w:rsid w:val="008212B8"/>
    <w:rsid w:val="0082220F"/>
    <w:rsid w:val="00824B73"/>
    <w:rsid w:val="00825151"/>
    <w:rsid w:val="00825BBE"/>
    <w:rsid w:val="00825D3C"/>
    <w:rsid w:val="00825D5B"/>
    <w:rsid w:val="00826EB6"/>
    <w:rsid w:val="00831992"/>
    <w:rsid w:val="00832108"/>
    <w:rsid w:val="00833514"/>
    <w:rsid w:val="00834011"/>
    <w:rsid w:val="00835D8B"/>
    <w:rsid w:val="00837B47"/>
    <w:rsid w:val="008419F4"/>
    <w:rsid w:val="008434B1"/>
    <w:rsid w:val="0084433F"/>
    <w:rsid w:val="008461D4"/>
    <w:rsid w:val="00850647"/>
    <w:rsid w:val="00853304"/>
    <w:rsid w:val="00854ADE"/>
    <w:rsid w:val="0085513A"/>
    <w:rsid w:val="00857851"/>
    <w:rsid w:val="00862555"/>
    <w:rsid w:val="008637D6"/>
    <w:rsid w:val="008637EA"/>
    <w:rsid w:val="00863E38"/>
    <w:rsid w:val="008644F3"/>
    <w:rsid w:val="008666CB"/>
    <w:rsid w:val="00866C8E"/>
    <w:rsid w:val="008671B4"/>
    <w:rsid w:val="008706FF"/>
    <w:rsid w:val="00870D6C"/>
    <w:rsid w:val="00872097"/>
    <w:rsid w:val="00873000"/>
    <w:rsid w:val="00873312"/>
    <w:rsid w:val="00873605"/>
    <w:rsid w:val="00875376"/>
    <w:rsid w:val="00875B8D"/>
    <w:rsid w:val="0088008A"/>
    <w:rsid w:val="008804D8"/>
    <w:rsid w:val="00882F63"/>
    <w:rsid w:val="00884CF8"/>
    <w:rsid w:val="00884DA5"/>
    <w:rsid w:val="0088526E"/>
    <w:rsid w:val="0088696C"/>
    <w:rsid w:val="00887284"/>
    <w:rsid w:val="008922EB"/>
    <w:rsid w:val="00893AF1"/>
    <w:rsid w:val="00894225"/>
    <w:rsid w:val="00894C69"/>
    <w:rsid w:val="0089737A"/>
    <w:rsid w:val="00897382"/>
    <w:rsid w:val="008A009C"/>
    <w:rsid w:val="008A1E31"/>
    <w:rsid w:val="008A4B1B"/>
    <w:rsid w:val="008A4E56"/>
    <w:rsid w:val="008A5E6E"/>
    <w:rsid w:val="008A60D2"/>
    <w:rsid w:val="008A6367"/>
    <w:rsid w:val="008A6728"/>
    <w:rsid w:val="008B1A94"/>
    <w:rsid w:val="008B1C4C"/>
    <w:rsid w:val="008B2D89"/>
    <w:rsid w:val="008B402B"/>
    <w:rsid w:val="008C0762"/>
    <w:rsid w:val="008C17FA"/>
    <w:rsid w:val="008C4704"/>
    <w:rsid w:val="008C4998"/>
    <w:rsid w:val="008C5661"/>
    <w:rsid w:val="008C6A7E"/>
    <w:rsid w:val="008C743A"/>
    <w:rsid w:val="008C7C37"/>
    <w:rsid w:val="008D0068"/>
    <w:rsid w:val="008D2E0C"/>
    <w:rsid w:val="008D318F"/>
    <w:rsid w:val="008D3811"/>
    <w:rsid w:val="008D52FD"/>
    <w:rsid w:val="008D5584"/>
    <w:rsid w:val="008D578A"/>
    <w:rsid w:val="008D5869"/>
    <w:rsid w:val="008D5B3C"/>
    <w:rsid w:val="008E2D91"/>
    <w:rsid w:val="008E37F5"/>
    <w:rsid w:val="008E3962"/>
    <w:rsid w:val="008E658D"/>
    <w:rsid w:val="008F0E91"/>
    <w:rsid w:val="008F3881"/>
    <w:rsid w:val="008F3AF0"/>
    <w:rsid w:val="008F7740"/>
    <w:rsid w:val="009008F5"/>
    <w:rsid w:val="0090118F"/>
    <w:rsid w:val="00902E8A"/>
    <w:rsid w:val="0090418A"/>
    <w:rsid w:val="00905E96"/>
    <w:rsid w:val="00906005"/>
    <w:rsid w:val="00910C02"/>
    <w:rsid w:val="00910D5A"/>
    <w:rsid w:val="0091193E"/>
    <w:rsid w:val="00911DF5"/>
    <w:rsid w:val="0091423E"/>
    <w:rsid w:val="009142F4"/>
    <w:rsid w:val="00920194"/>
    <w:rsid w:val="00921011"/>
    <w:rsid w:val="009220E2"/>
    <w:rsid w:val="00925F15"/>
    <w:rsid w:val="009278DD"/>
    <w:rsid w:val="00930054"/>
    <w:rsid w:val="00930324"/>
    <w:rsid w:val="00933924"/>
    <w:rsid w:val="00933944"/>
    <w:rsid w:val="00936328"/>
    <w:rsid w:val="009372E7"/>
    <w:rsid w:val="0094289B"/>
    <w:rsid w:val="00947FEE"/>
    <w:rsid w:val="00951AE1"/>
    <w:rsid w:val="0095467B"/>
    <w:rsid w:val="009656CF"/>
    <w:rsid w:val="00965823"/>
    <w:rsid w:val="009716C3"/>
    <w:rsid w:val="0097347B"/>
    <w:rsid w:val="00974CAD"/>
    <w:rsid w:val="0097542C"/>
    <w:rsid w:val="00976FC3"/>
    <w:rsid w:val="0098213B"/>
    <w:rsid w:val="0098521B"/>
    <w:rsid w:val="0098542D"/>
    <w:rsid w:val="00986845"/>
    <w:rsid w:val="0098686E"/>
    <w:rsid w:val="00986940"/>
    <w:rsid w:val="00987796"/>
    <w:rsid w:val="00990B82"/>
    <w:rsid w:val="009916B0"/>
    <w:rsid w:val="009920D7"/>
    <w:rsid w:val="0099376B"/>
    <w:rsid w:val="00993F21"/>
    <w:rsid w:val="00996A73"/>
    <w:rsid w:val="00997BA0"/>
    <w:rsid w:val="009A32D7"/>
    <w:rsid w:val="009B3412"/>
    <w:rsid w:val="009B362C"/>
    <w:rsid w:val="009B7C78"/>
    <w:rsid w:val="009C1687"/>
    <w:rsid w:val="009C2E4C"/>
    <w:rsid w:val="009C32E3"/>
    <w:rsid w:val="009C64CF"/>
    <w:rsid w:val="009C7E6B"/>
    <w:rsid w:val="009D01F1"/>
    <w:rsid w:val="009D090E"/>
    <w:rsid w:val="009D16B0"/>
    <w:rsid w:val="009D22AB"/>
    <w:rsid w:val="009D48E3"/>
    <w:rsid w:val="009D4BF0"/>
    <w:rsid w:val="009D599B"/>
    <w:rsid w:val="009E0088"/>
    <w:rsid w:val="009E1291"/>
    <w:rsid w:val="009E156C"/>
    <w:rsid w:val="009E23E2"/>
    <w:rsid w:val="009E421D"/>
    <w:rsid w:val="009E470D"/>
    <w:rsid w:val="009E485C"/>
    <w:rsid w:val="009E6490"/>
    <w:rsid w:val="009E663E"/>
    <w:rsid w:val="009E680B"/>
    <w:rsid w:val="009E6DF0"/>
    <w:rsid w:val="009E7A4A"/>
    <w:rsid w:val="009F089D"/>
    <w:rsid w:val="009F0BB7"/>
    <w:rsid w:val="009F1457"/>
    <w:rsid w:val="009F1802"/>
    <w:rsid w:val="009F3D9C"/>
    <w:rsid w:val="009F4837"/>
    <w:rsid w:val="009F5C68"/>
    <w:rsid w:val="009F672A"/>
    <w:rsid w:val="009F7239"/>
    <w:rsid w:val="00A02CE9"/>
    <w:rsid w:val="00A04FA0"/>
    <w:rsid w:val="00A077E2"/>
    <w:rsid w:val="00A07A23"/>
    <w:rsid w:val="00A07F46"/>
    <w:rsid w:val="00A1559F"/>
    <w:rsid w:val="00A15A1F"/>
    <w:rsid w:val="00A160CE"/>
    <w:rsid w:val="00A16278"/>
    <w:rsid w:val="00A16DB5"/>
    <w:rsid w:val="00A16E20"/>
    <w:rsid w:val="00A203A3"/>
    <w:rsid w:val="00A22122"/>
    <w:rsid w:val="00A3325A"/>
    <w:rsid w:val="00A33FAA"/>
    <w:rsid w:val="00A37E21"/>
    <w:rsid w:val="00A40265"/>
    <w:rsid w:val="00A410DF"/>
    <w:rsid w:val="00A452C1"/>
    <w:rsid w:val="00A45F29"/>
    <w:rsid w:val="00A50C7A"/>
    <w:rsid w:val="00A51C09"/>
    <w:rsid w:val="00A52F43"/>
    <w:rsid w:val="00A53184"/>
    <w:rsid w:val="00A53A6F"/>
    <w:rsid w:val="00A53C67"/>
    <w:rsid w:val="00A54AAE"/>
    <w:rsid w:val="00A56E08"/>
    <w:rsid w:val="00A57108"/>
    <w:rsid w:val="00A61103"/>
    <w:rsid w:val="00A62B20"/>
    <w:rsid w:val="00A64E85"/>
    <w:rsid w:val="00A66004"/>
    <w:rsid w:val="00A66C8F"/>
    <w:rsid w:val="00A673EB"/>
    <w:rsid w:val="00A707F7"/>
    <w:rsid w:val="00A7163E"/>
    <w:rsid w:val="00A71F93"/>
    <w:rsid w:val="00A7294F"/>
    <w:rsid w:val="00A739AE"/>
    <w:rsid w:val="00A73D39"/>
    <w:rsid w:val="00A74C02"/>
    <w:rsid w:val="00A756BB"/>
    <w:rsid w:val="00A76F0E"/>
    <w:rsid w:val="00A80CFB"/>
    <w:rsid w:val="00A813F7"/>
    <w:rsid w:val="00A82B58"/>
    <w:rsid w:val="00A848C5"/>
    <w:rsid w:val="00A84F04"/>
    <w:rsid w:val="00A85E44"/>
    <w:rsid w:val="00A86C3F"/>
    <w:rsid w:val="00A917F1"/>
    <w:rsid w:val="00A91A1E"/>
    <w:rsid w:val="00A93478"/>
    <w:rsid w:val="00A941BE"/>
    <w:rsid w:val="00A9428D"/>
    <w:rsid w:val="00A973CD"/>
    <w:rsid w:val="00A9769A"/>
    <w:rsid w:val="00AA0B61"/>
    <w:rsid w:val="00AA283E"/>
    <w:rsid w:val="00AA367B"/>
    <w:rsid w:val="00AA3A48"/>
    <w:rsid w:val="00AA4379"/>
    <w:rsid w:val="00AA60BA"/>
    <w:rsid w:val="00AA77B8"/>
    <w:rsid w:val="00AA7AF0"/>
    <w:rsid w:val="00AB14D0"/>
    <w:rsid w:val="00AB16C8"/>
    <w:rsid w:val="00AB3347"/>
    <w:rsid w:val="00AB39FB"/>
    <w:rsid w:val="00AB415F"/>
    <w:rsid w:val="00AC0EC6"/>
    <w:rsid w:val="00AC1F93"/>
    <w:rsid w:val="00AC24CF"/>
    <w:rsid w:val="00AC3F23"/>
    <w:rsid w:val="00AC3FAC"/>
    <w:rsid w:val="00AC4E68"/>
    <w:rsid w:val="00AC7689"/>
    <w:rsid w:val="00AC793F"/>
    <w:rsid w:val="00AD0F7C"/>
    <w:rsid w:val="00AD1E86"/>
    <w:rsid w:val="00AD260E"/>
    <w:rsid w:val="00AD39C7"/>
    <w:rsid w:val="00AD3F91"/>
    <w:rsid w:val="00AD4815"/>
    <w:rsid w:val="00AD5959"/>
    <w:rsid w:val="00AD7675"/>
    <w:rsid w:val="00AD7CFC"/>
    <w:rsid w:val="00AE0BDD"/>
    <w:rsid w:val="00AE13B7"/>
    <w:rsid w:val="00AE15B1"/>
    <w:rsid w:val="00AE19AA"/>
    <w:rsid w:val="00AE42E7"/>
    <w:rsid w:val="00AE54E2"/>
    <w:rsid w:val="00AF05D2"/>
    <w:rsid w:val="00AF108A"/>
    <w:rsid w:val="00AF13BF"/>
    <w:rsid w:val="00AF1BE4"/>
    <w:rsid w:val="00AF2CC8"/>
    <w:rsid w:val="00AF2E19"/>
    <w:rsid w:val="00AF3364"/>
    <w:rsid w:val="00AF3886"/>
    <w:rsid w:val="00AF6728"/>
    <w:rsid w:val="00AF76D1"/>
    <w:rsid w:val="00AF7A0E"/>
    <w:rsid w:val="00B0030E"/>
    <w:rsid w:val="00B026B5"/>
    <w:rsid w:val="00B02E55"/>
    <w:rsid w:val="00B03B57"/>
    <w:rsid w:val="00B048D2"/>
    <w:rsid w:val="00B04F34"/>
    <w:rsid w:val="00B05B51"/>
    <w:rsid w:val="00B06307"/>
    <w:rsid w:val="00B11FB2"/>
    <w:rsid w:val="00B12A48"/>
    <w:rsid w:val="00B176A7"/>
    <w:rsid w:val="00B2002C"/>
    <w:rsid w:val="00B20FA1"/>
    <w:rsid w:val="00B24E25"/>
    <w:rsid w:val="00B25900"/>
    <w:rsid w:val="00B25C9D"/>
    <w:rsid w:val="00B27357"/>
    <w:rsid w:val="00B274E0"/>
    <w:rsid w:val="00B30BFA"/>
    <w:rsid w:val="00B32504"/>
    <w:rsid w:val="00B342A0"/>
    <w:rsid w:val="00B345AC"/>
    <w:rsid w:val="00B34674"/>
    <w:rsid w:val="00B41247"/>
    <w:rsid w:val="00B413F2"/>
    <w:rsid w:val="00B419E2"/>
    <w:rsid w:val="00B4266A"/>
    <w:rsid w:val="00B42A05"/>
    <w:rsid w:val="00B42E8E"/>
    <w:rsid w:val="00B441AA"/>
    <w:rsid w:val="00B45FE5"/>
    <w:rsid w:val="00B46013"/>
    <w:rsid w:val="00B47D3C"/>
    <w:rsid w:val="00B54904"/>
    <w:rsid w:val="00B55CC7"/>
    <w:rsid w:val="00B621C7"/>
    <w:rsid w:val="00B64536"/>
    <w:rsid w:val="00B64970"/>
    <w:rsid w:val="00B64B86"/>
    <w:rsid w:val="00B65D9F"/>
    <w:rsid w:val="00B672F4"/>
    <w:rsid w:val="00B676A4"/>
    <w:rsid w:val="00B73352"/>
    <w:rsid w:val="00B74A5B"/>
    <w:rsid w:val="00B76854"/>
    <w:rsid w:val="00B771F7"/>
    <w:rsid w:val="00B7780A"/>
    <w:rsid w:val="00B81DD9"/>
    <w:rsid w:val="00B8205D"/>
    <w:rsid w:val="00B835F0"/>
    <w:rsid w:val="00B86518"/>
    <w:rsid w:val="00B8676E"/>
    <w:rsid w:val="00B87A6F"/>
    <w:rsid w:val="00B87EC4"/>
    <w:rsid w:val="00B9081B"/>
    <w:rsid w:val="00B917FF"/>
    <w:rsid w:val="00B91B64"/>
    <w:rsid w:val="00B92D4F"/>
    <w:rsid w:val="00B9324E"/>
    <w:rsid w:val="00B93720"/>
    <w:rsid w:val="00B96992"/>
    <w:rsid w:val="00B96A88"/>
    <w:rsid w:val="00B97DE2"/>
    <w:rsid w:val="00BA005C"/>
    <w:rsid w:val="00BA420C"/>
    <w:rsid w:val="00BA6B0E"/>
    <w:rsid w:val="00BB0BC1"/>
    <w:rsid w:val="00BB1B86"/>
    <w:rsid w:val="00BB204D"/>
    <w:rsid w:val="00BB217E"/>
    <w:rsid w:val="00BB3CE1"/>
    <w:rsid w:val="00BB4634"/>
    <w:rsid w:val="00BB518B"/>
    <w:rsid w:val="00BB6D7B"/>
    <w:rsid w:val="00BB728C"/>
    <w:rsid w:val="00BB791B"/>
    <w:rsid w:val="00BC197D"/>
    <w:rsid w:val="00BC4A49"/>
    <w:rsid w:val="00BC6070"/>
    <w:rsid w:val="00BC6C14"/>
    <w:rsid w:val="00BC706B"/>
    <w:rsid w:val="00BC73C5"/>
    <w:rsid w:val="00BD1581"/>
    <w:rsid w:val="00BD2437"/>
    <w:rsid w:val="00BD66D9"/>
    <w:rsid w:val="00BD6C65"/>
    <w:rsid w:val="00BD74A7"/>
    <w:rsid w:val="00BE50DF"/>
    <w:rsid w:val="00BE564B"/>
    <w:rsid w:val="00BE56FE"/>
    <w:rsid w:val="00BE5835"/>
    <w:rsid w:val="00BE5C91"/>
    <w:rsid w:val="00BE68AE"/>
    <w:rsid w:val="00BE6E04"/>
    <w:rsid w:val="00BE75F0"/>
    <w:rsid w:val="00BE7ABA"/>
    <w:rsid w:val="00BF09F3"/>
    <w:rsid w:val="00BF0DA7"/>
    <w:rsid w:val="00BF3925"/>
    <w:rsid w:val="00BF5E39"/>
    <w:rsid w:val="00BF70EA"/>
    <w:rsid w:val="00BF7FE0"/>
    <w:rsid w:val="00C00132"/>
    <w:rsid w:val="00C00D7D"/>
    <w:rsid w:val="00C0331D"/>
    <w:rsid w:val="00C03E10"/>
    <w:rsid w:val="00C040A1"/>
    <w:rsid w:val="00C0457B"/>
    <w:rsid w:val="00C05404"/>
    <w:rsid w:val="00C06A7A"/>
    <w:rsid w:val="00C06E45"/>
    <w:rsid w:val="00C0714C"/>
    <w:rsid w:val="00C071D4"/>
    <w:rsid w:val="00C07439"/>
    <w:rsid w:val="00C10FA7"/>
    <w:rsid w:val="00C1148A"/>
    <w:rsid w:val="00C12669"/>
    <w:rsid w:val="00C12EF3"/>
    <w:rsid w:val="00C17EA4"/>
    <w:rsid w:val="00C20597"/>
    <w:rsid w:val="00C20724"/>
    <w:rsid w:val="00C20A28"/>
    <w:rsid w:val="00C213C7"/>
    <w:rsid w:val="00C21681"/>
    <w:rsid w:val="00C22DED"/>
    <w:rsid w:val="00C30037"/>
    <w:rsid w:val="00C32B9D"/>
    <w:rsid w:val="00C3385F"/>
    <w:rsid w:val="00C34175"/>
    <w:rsid w:val="00C34885"/>
    <w:rsid w:val="00C353C1"/>
    <w:rsid w:val="00C37F55"/>
    <w:rsid w:val="00C434B0"/>
    <w:rsid w:val="00C448DE"/>
    <w:rsid w:val="00C448E8"/>
    <w:rsid w:val="00C4562D"/>
    <w:rsid w:val="00C47409"/>
    <w:rsid w:val="00C478DE"/>
    <w:rsid w:val="00C47DDE"/>
    <w:rsid w:val="00C50031"/>
    <w:rsid w:val="00C5158D"/>
    <w:rsid w:val="00C51FA3"/>
    <w:rsid w:val="00C53BC4"/>
    <w:rsid w:val="00C54EE8"/>
    <w:rsid w:val="00C553BA"/>
    <w:rsid w:val="00C568D0"/>
    <w:rsid w:val="00C57A0B"/>
    <w:rsid w:val="00C57E99"/>
    <w:rsid w:val="00C57EA4"/>
    <w:rsid w:val="00C6011A"/>
    <w:rsid w:val="00C61380"/>
    <w:rsid w:val="00C63D16"/>
    <w:rsid w:val="00C64CB1"/>
    <w:rsid w:val="00C651C2"/>
    <w:rsid w:val="00C655DF"/>
    <w:rsid w:val="00C7005B"/>
    <w:rsid w:val="00C70657"/>
    <w:rsid w:val="00C7237C"/>
    <w:rsid w:val="00C74477"/>
    <w:rsid w:val="00C744BE"/>
    <w:rsid w:val="00C74BF8"/>
    <w:rsid w:val="00C80386"/>
    <w:rsid w:val="00C80FF0"/>
    <w:rsid w:val="00C84457"/>
    <w:rsid w:val="00C849D8"/>
    <w:rsid w:val="00C859C6"/>
    <w:rsid w:val="00C85B06"/>
    <w:rsid w:val="00C91574"/>
    <w:rsid w:val="00C91F5C"/>
    <w:rsid w:val="00C920C9"/>
    <w:rsid w:val="00C92D69"/>
    <w:rsid w:val="00C931DC"/>
    <w:rsid w:val="00C94C64"/>
    <w:rsid w:val="00C94C89"/>
    <w:rsid w:val="00C94F0D"/>
    <w:rsid w:val="00C952B4"/>
    <w:rsid w:val="00CA0360"/>
    <w:rsid w:val="00CA284C"/>
    <w:rsid w:val="00CA36CC"/>
    <w:rsid w:val="00CA6009"/>
    <w:rsid w:val="00CA7328"/>
    <w:rsid w:val="00CB1A41"/>
    <w:rsid w:val="00CB1B05"/>
    <w:rsid w:val="00CB31C7"/>
    <w:rsid w:val="00CB4083"/>
    <w:rsid w:val="00CB4151"/>
    <w:rsid w:val="00CC063E"/>
    <w:rsid w:val="00CC1517"/>
    <w:rsid w:val="00CC15D4"/>
    <w:rsid w:val="00CC4B4E"/>
    <w:rsid w:val="00CC7F77"/>
    <w:rsid w:val="00CD1691"/>
    <w:rsid w:val="00CD16AC"/>
    <w:rsid w:val="00CD3D03"/>
    <w:rsid w:val="00CD52D6"/>
    <w:rsid w:val="00CD60CE"/>
    <w:rsid w:val="00CD6AFA"/>
    <w:rsid w:val="00CE2F48"/>
    <w:rsid w:val="00CE34D0"/>
    <w:rsid w:val="00CE3CF7"/>
    <w:rsid w:val="00CE3E39"/>
    <w:rsid w:val="00CE3E45"/>
    <w:rsid w:val="00CE4759"/>
    <w:rsid w:val="00CE6D7B"/>
    <w:rsid w:val="00CF1546"/>
    <w:rsid w:val="00CF3B07"/>
    <w:rsid w:val="00CF3F08"/>
    <w:rsid w:val="00CF499F"/>
    <w:rsid w:val="00CF4DE0"/>
    <w:rsid w:val="00CF5207"/>
    <w:rsid w:val="00CF5800"/>
    <w:rsid w:val="00CF58B7"/>
    <w:rsid w:val="00CF6816"/>
    <w:rsid w:val="00CF7797"/>
    <w:rsid w:val="00CF7C35"/>
    <w:rsid w:val="00D0095E"/>
    <w:rsid w:val="00D01D55"/>
    <w:rsid w:val="00D022A5"/>
    <w:rsid w:val="00D027C1"/>
    <w:rsid w:val="00D04185"/>
    <w:rsid w:val="00D045FC"/>
    <w:rsid w:val="00D04B91"/>
    <w:rsid w:val="00D078F5"/>
    <w:rsid w:val="00D12A75"/>
    <w:rsid w:val="00D13854"/>
    <w:rsid w:val="00D13ABD"/>
    <w:rsid w:val="00D141F5"/>
    <w:rsid w:val="00D14392"/>
    <w:rsid w:val="00D14FE3"/>
    <w:rsid w:val="00D1606C"/>
    <w:rsid w:val="00D160E0"/>
    <w:rsid w:val="00D16399"/>
    <w:rsid w:val="00D163C0"/>
    <w:rsid w:val="00D16D6B"/>
    <w:rsid w:val="00D17E1B"/>
    <w:rsid w:val="00D2065C"/>
    <w:rsid w:val="00D2187A"/>
    <w:rsid w:val="00D21887"/>
    <w:rsid w:val="00D221DA"/>
    <w:rsid w:val="00D228EF"/>
    <w:rsid w:val="00D2295E"/>
    <w:rsid w:val="00D23536"/>
    <w:rsid w:val="00D2407B"/>
    <w:rsid w:val="00D24E89"/>
    <w:rsid w:val="00D26751"/>
    <w:rsid w:val="00D3146E"/>
    <w:rsid w:val="00D32AB5"/>
    <w:rsid w:val="00D33B5E"/>
    <w:rsid w:val="00D33DFA"/>
    <w:rsid w:val="00D3467D"/>
    <w:rsid w:val="00D351C1"/>
    <w:rsid w:val="00D35F14"/>
    <w:rsid w:val="00D36586"/>
    <w:rsid w:val="00D376BD"/>
    <w:rsid w:val="00D41D49"/>
    <w:rsid w:val="00D4396E"/>
    <w:rsid w:val="00D439AA"/>
    <w:rsid w:val="00D43D36"/>
    <w:rsid w:val="00D44D8A"/>
    <w:rsid w:val="00D471F0"/>
    <w:rsid w:val="00D47575"/>
    <w:rsid w:val="00D50532"/>
    <w:rsid w:val="00D50FCD"/>
    <w:rsid w:val="00D568DD"/>
    <w:rsid w:val="00D57CEB"/>
    <w:rsid w:val="00D612F3"/>
    <w:rsid w:val="00D6638A"/>
    <w:rsid w:val="00D66CC8"/>
    <w:rsid w:val="00D670D3"/>
    <w:rsid w:val="00D672F1"/>
    <w:rsid w:val="00D71678"/>
    <w:rsid w:val="00D71B5E"/>
    <w:rsid w:val="00D731A9"/>
    <w:rsid w:val="00D73371"/>
    <w:rsid w:val="00D74CA1"/>
    <w:rsid w:val="00D75EEC"/>
    <w:rsid w:val="00D80157"/>
    <w:rsid w:val="00D814B3"/>
    <w:rsid w:val="00D83CAF"/>
    <w:rsid w:val="00D84014"/>
    <w:rsid w:val="00D858B6"/>
    <w:rsid w:val="00D862D3"/>
    <w:rsid w:val="00D86BF0"/>
    <w:rsid w:val="00D8722D"/>
    <w:rsid w:val="00D923BF"/>
    <w:rsid w:val="00D94311"/>
    <w:rsid w:val="00D94834"/>
    <w:rsid w:val="00D95CC2"/>
    <w:rsid w:val="00D95FA4"/>
    <w:rsid w:val="00D97876"/>
    <w:rsid w:val="00DA3BE2"/>
    <w:rsid w:val="00DA5A53"/>
    <w:rsid w:val="00DB1960"/>
    <w:rsid w:val="00DB2828"/>
    <w:rsid w:val="00DB42C9"/>
    <w:rsid w:val="00DB4D4C"/>
    <w:rsid w:val="00DB523C"/>
    <w:rsid w:val="00DB5CAA"/>
    <w:rsid w:val="00DB5DB4"/>
    <w:rsid w:val="00DB792F"/>
    <w:rsid w:val="00DB7FA2"/>
    <w:rsid w:val="00DC23A9"/>
    <w:rsid w:val="00DC2522"/>
    <w:rsid w:val="00DD0BD8"/>
    <w:rsid w:val="00DD1198"/>
    <w:rsid w:val="00DD1BFE"/>
    <w:rsid w:val="00DD4810"/>
    <w:rsid w:val="00DD4CFF"/>
    <w:rsid w:val="00DD4DDA"/>
    <w:rsid w:val="00DD56F6"/>
    <w:rsid w:val="00DD610B"/>
    <w:rsid w:val="00DD6603"/>
    <w:rsid w:val="00DE05AF"/>
    <w:rsid w:val="00DE26B5"/>
    <w:rsid w:val="00DE5D03"/>
    <w:rsid w:val="00DF11E0"/>
    <w:rsid w:val="00DF1BE4"/>
    <w:rsid w:val="00DF2800"/>
    <w:rsid w:val="00DF2D9D"/>
    <w:rsid w:val="00DF479B"/>
    <w:rsid w:val="00DF54C4"/>
    <w:rsid w:val="00DF5593"/>
    <w:rsid w:val="00E002ED"/>
    <w:rsid w:val="00E01FA7"/>
    <w:rsid w:val="00E02F6D"/>
    <w:rsid w:val="00E03454"/>
    <w:rsid w:val="00E040A3"/>
    <w:rsid w:val="00E041A7"/>
    <w:rsid w:val="00E10156"/>
    <w:rsid w:val="00E10237"/>
    <w:rsid w:val="00E10769"/>
    <w:rsid w:val="00E10BDD"/>
    <w:rsid w:val="00E112A3"/>
    <w:rsid w:val="00E129AE"/>
    <w:rsid w:val="00E12A17"/>
    <w:rsid w:val="00E12D66"/>
    <w:rsid w:val="00E14EFB"/>
    <w:rsid w:val="00E1550C"/>
    <w:rsid w:val="00E15716"/>
    <w:rsid w:val="00E15955"/>
    <w:rsid w:val="00E15DA7"/>
    <w:rsid w:val="00E160E0"/>
    <w:rsid w:val="00E16843"/>
    <w:rsid w:val="00E16B24"/>
    <w:rsid w:val="00E21C70"/>
    <w:rsid w:val="00E23626"/>
    <w:rsid w:val="00E257A6"/>
    <w:rsid w:val="00E257B1"/>
    <w:rsid w:val="00E26018"/>
    <w:rsid w:val="00E30665"/>
    <w:rsid w:val="00E32B16"/>
    <w:rsid w:val="00E346B5"/>
    <w:rsid w:val="00E34FDE"/>
    <w:rsid w:val="00E354A2"/>
    <w:rsid w:val="00E36527"/>
    <w:rsid w:val="00E4022E"/>
    <w:rsid w:val="00E40480"/>
    <w:rsid w:val="00E418DC"/>
    <w:rsid w:val="00E42A7A"/>
    <w:rsid w:val="00E43595"/>
    <w:rsid w:val="00E46843"/>
    <w:rsid w:val="00E50B54"/>
    <w:rsid w:val="00E51920"/>
    <w:rsid w:val="00E53214"/>
    <w:rsid w:val="00E56515"/>
    <w:rsid w:val="00E578AE"/>
    <w:rsid w:val="00E61EF3"/>
    <w:rsid w:val="00E62925"/>
    <w:rsid w:val="00E62F68"/>
    <w:rsid w:val="00E63C49"/>
    <w:rsid w:val="00E64120"/>
    <w:rsid w:val="00E657DB"/>
    <w:rsid w:val="00E663A4"/>
    <w:rsid w:val="00E678D5"/>
    <w:rsid w:val="00E738D9"/>
    <w:rsid w:val="00E76E5F"/>
    <w:rsid w:val="00E81054"/>
    <w:rsid w:val="00E82A51"/>
    <w:rsid w:val="00E841F5"/>
    <w:rsid w:val="00E842B3"/>
    <w:rsid w:val="00E8444D"/>
    <w:rsid w:val="00E85E5B"/>
    <w:rsid w:val="00E875C2"/>
    <w:rsid w:val="00E87C6E"/>
    <w:rsid w:val="00E9062C"/>
    <w:rsid w:val="00E934D9"/>
    <w:rsid w:val="00E94EED"/>
    <w:rsid w:val="00E95619"/>
    <w:rsid w:val="00E96A3D"/>
    <w:rsid w:val="00E9717F"/>
    <w:rsid w:val="00E972D2"/>
    <w:rsid w:val="00E9784F"/>
    <w:rsid w:val="00EA1211"/>
    <w:rsid w:val="00EA29C8"/>
    <w:rsid w:val="00EA529C"/>
    <w:rsid w:val="00EA55DC"/>
    <w:rsid w:val="00EA5D1E"/>
    <w:rsid w:val="00EB05B1"/>
    <w:rsid w:val="00EB22DD"/>
    <w:rsid w:val="00EB4D61"/>
    <w:rsid w:val="00EB5C1B"/>
    <w:rsid w:val="00EB657D"/>
    <w:rsid w:val="00EB6A0B"/>
    <w:rsid w:val="00EB7EC0"/>
    <w:rsid w:val="00EC079E"/>
    <w:rsid w:val="00EC3567"/>
    <w:rsid w:val="00EC383E"/>
    <w:rsid w:val="00EC390E"/>
    <w:rsid w:val="00EC5082"/>
    <w:rsid w:val="00EC667E"/>
    <w:rsid w:val="00EC6922"/>
    <w:rsid w:val="00EC6E13"/>
    <w:rsid w:val="00EC7558"/>
    <w:rsid w:val="00EC7C1F"/>
    <w:rsid w:val="00ED41D4"/>
    <w:rsid w:val="00ED42B7"/>
    <w:rsid w:val="00EE4C3D"/>
    <w:rsid w:val="00EF078D"/>
    <w:rsid w:val="00EF2532"/>
    <w:rsid w:val="00EF3298"/>
    <w:rsid w:val="00EF5EC4"/>
    <w:rsid w:val="00F00DB5"/>
    <w:rsid w:val="00F02C53"/>
    <w:rsid w:val="00F04347"/>
    <w:rsid w:val="00F04826"/>
    <w:rsid w:val="00F055F1"/>
    <w:rsid w:val="00F05CD5"/>
    <w:rsid w:val="00F076C4"/>
    <w:rsid w:val="00F1031F"/>
    <w:rsid w:val="00F11229"/>
    <w:rsid w:val="00F11B51"/>
    <w:rsid w:val="00F11EE1"/>
    <w:rsid w:val="00F146BD"/>
    <w:rsid w:val="00F17DB3"/>
    <w:rsid w:val="00F20713"/>
    <w:rsid w:val="00F208DB"/>
    <w:rsid w:val="00F211AC"/>
    <w:rsid w:val="00F221EC"/>
    <w:rsid w:val="00F2333B"/>
    <w:rsid w:val="00F274AD"/>
    <w:rsid w:val="00F27622"/>
    <w:rsid w:val="00F31FAB"/>
    <w:rsid w:val="00F3288D"/>
    <w:rsid w:val="00F32D0F"/>
    <w:rsid w:val="00F333EC"/>
    <w:rsid w:val="00F359DA"/>
    <w:rsid w:val="00F35EE9"/>
    <w:rsid w:val="00F37AEA"/>
    <w:rsid w:val="00F40216"/>
    <w:rsid w:val="00F41978"/>
    <w:rsid w:val="00F42F2E"/>
    <w:rsid w:val="00F45BD5"/>
    <w:rsid w:val="00F45FBA"/>
    <w:rsid w:val="00F51445"/>
    <w:rsid w:val="00F5150D"/>
    <w:rsid w:val="00F52150"/>
    <w:rsid w:val="00F5305E"/>
    <w:rsid w:val="00F53FF6"/>
    <w:rsid w:val="00F543BA"/>
    <w:rsid w:val="00F558F6"/>
    <w:rsid w:val="00F56305"/>
    <w:rsid w:val="00F566ED"/>
    <w:rsid w:val="00F56DE9"/>
    <w:rsid w:val="00F570B9"/>
    <w:rsid w:val="00F5760D"/>
    <w:rsid w:val="00F603D8"/>
    <w:rsid w:val="00F606A4"/>
    <w:rsid w:val="00F6784F"/>
    <w:rsid w:val="00F731E3"/>
    <w:rsid w:val="00F76EDE"/>
    <w:rsid w:val="00F77391"/>
    <w:rsid w:val="00F77659"/>
    <w:rsid w:val="00F8088B"/>
    <w:rsid w:val="00F83776"/>
    <w:rsid w:val="00F83BC9"/>
    <w:rsid w:val="00F848CE"/>
    <w:rsid w:val="00F85BF7"/>
    <w:rsid w:val="00F86B2B"/>
    <w:rsid w:val="00F90A03"/>
    <w:rsid w:val="00F9187A"/>
    <w:rsid w:val="00F91DF8"/>
    <w:rsid w:val="00F93FDF"/>
    <w:rsid w:val="00F94538"/>
    <w:rsid w:val="00F95A57"/>
    <w:rsid w:val="00F96905"/>
    <w:rsid w:val="00F973E3"/>
    <w:rsid w:val="00FA0345"/>
    <w:rsid w:val="00FA102A"/>
    <w:rsid w:val="00FA1131"/>
    <w:rsid w:val="00FA127D"/>
    <w:rsid w:val="00FA1373"/>
    <w:rsid w:val="00FA414C"/>
    <w:rsid w:val="00FA61CA"/>
    <w:rsid w:val="00FA6360"/>
    <w:rsid w:val="00FA68D0"/>
    <w:rsid w:val="00FA6FCE"/>
    <w:rsid w:val="00FB0056"/>
    <w:rsid w:val="00FB03B6"/>
    <w:rsid w:val="00FB095F"/>
    <w:rsid w:val="00FB3BAF"/>
    <w:rsid w:val="00FB5CCC"/>
    <w:rsid w:val="00FB6682"/>
    <w:rsid w:val="00FB7901"/>
    <w:rsid w:val="00FB7A2C"/>
    <w:rsid w:val="00FC10ED"/>
    <w:rsid w:val="00FC11EC"/>
    <w:rsid w:val="00FC13C4"/>
    <w:rsid w:val="00FC2D11"/>
    <w:rsid w:val="00FC5901"/>
    <w:rsid w:val="00FC6099"/>
    <w:rsid w:val="00FC6230"/>
    <w:rsid w:val="00FD1A1D"/>
    <w:rsid w:val="00FD2318"/>
    <w:rsid w:val="00FD3EDC"/>
    <w:rsid w:val="00FD3FF6"/>
    <w:rsid w:val="00FD4E96"/>
    <w:rsid w:val="00FD55A4"/>
    <w:rsid w:val="00FD6009"/>
    <w:rsid w:val="00FE033C"/>
    <w:rsid w:val="00FE248C"/>
    <w:rsid w:val="00FE3CA5"/>
    <w:rsid w:val="00FE4584"/>
    <w:rsid w:val="00FE6933"/>
    <w:rsid w:val="00FF0361"/>
    <w:rsid w:val="00FF265C"/>
    <w:rsid w:val="00FF30C4"/>
    <w:rsid w:val="00FF35AF"/>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2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B413F2"/>
    <w:rPr>
      <w:sz w:val="24"/>
      <w:szCs w:val="24"/>
      <w:lang w:eastAsia="en-US"/>
    </w:rPr>
  </w:style>
  <w:style w:type="paragraph" w:styleId="Heading1">
    <w:name w:val="heading 1"/>
    <w:basedOn w:val="Normal"/>
    <w:next w:val="Normal"/>
    <w:link w:val="Heading1Char"/>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ICEnormal"/>
    <w:link w:val="Numberedheading1CharChar"/>
    <w:rsid w:val="00676FCC"/>
    <w:pPr>
      <w:numPr>
        <w:numId w:val="3"/>
      </w:numPr>
    </w:pPr>
    <w:rPr>
      <w:szCs w:val="24"/>
    </w:rPr>
  </w:style>
  <w:style w:type="paragraph" w:customStyle="1" w:styleId="Numberedheading2">
    <w:name w:val="Numbered heading 2"/>
    <w:basedOn w:val="Heading2"/>
    <w:next w:val="Normal"/>
    <w:qFormat/>
    <w:rsid w:val="00884CF8"/>
    <w:pPr>
      <w:numPr>
        <w:ilvl w:val="1"/>
        <w:numId w:val="3"/>
      </w:numPr>
      <w:spacing w:after="24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367A04"/>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2"/>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4"/>
      </w:numPr>
      <w:spacing w:after="0"/>
    </w:pPr>
  </w:style>
  <w:style w:type="paragraph" w:customStyle="1" w:styleId="Bulletleft1last">
    <w:name w:val="Bullet left 1 last"/>
    <w:basedOn w:val="NICEnormal"/>
    <w:link w:val="Bulletleft1lastChar"/>
    <w:rsid w:val="00204AD5"/>
    <w:pPr>
      <w:numPr>
        <w:numId w:val="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5723437">
      <w:bodyDiv w:val="1"/>
      <w:marLeft w:val="0"/>
      <w:marRight w:val="0"/>
      <w:marTop w:val="0"/>
      <w:marBottom w:val="0"/>
      <w:divBdr>
        <w:top w:val="none" w:sz="0" w:space="0" w:color="auto"/>
        <w:left w:val="none" w:sz="0" w:space="0" w:color="auto"/>
        <w:bottom w:val="none" w:sz="0" w:space="0" w:color="auto"/>
        <w:right w:val="none" w:sz="0" w:space="0" w:color="auto"/>
      </w:divBdr>
    </w:div>
    <w:div w:id="320043452">
      <w:bodyDiv w:val="1"/>
      <w:marLeft w:val="0"/>
      <w:marRight w:val="0"/>
      <w:marTop w:val="0"/>
      <w:marBottom w:val="0"/>
      <w:divBdr>
        <w:top w:val="none" w:sz="0" w:space="0" w:color="auto"/>
        <w:left w:val="none" w:sz="0" w:space="0" w:color="auto"/>
        <w:bottom w:val="none" w:sz="0" w:space="0" w:color="auto"/>
        <w:right w:val="none" w:sz="0" w:space="0" w:color="auto"/>
      </w:divBdr>
      <w:divsChild>
        <w:div w:id="17630502">
          <w:marLeft w:val="960"/>
          <w:marRight w:val="0"/>
          <w:marTop w:val="0"/>
          <w:marBottom w:val="0"/>
          <w:divBdr>
            <w:top w:val="none" w:sz="0" w:space="0" w:color="auto"/>
            <w:left w:val="none" w:sz="0" w:space="0" w:color="auto"/>
            <w:bottom w:val="none" w:sz="0" w:space="0" w:color="auto"/>
            <w:right w:val="none" w:sz="0" w:space="0" w:color="auto"/>
          </w:divBdr>
        </w:div>
      </w:divsChild>
    </w:div>
    <w:div w:id="383335109">
      <w:bodyDiv w:val="1"/>
      <w:marLeft w:val="0"/>
      <w:marRight w:val="0"/>
      <w:marTop w:val="0"/>
      <w:marBottom w:val="0"/>
      <w:divBdr>
        <w:top w:val="none" w:sz="0" w:space="0" w:color="auto"/>
        <w:left w:val="none" w:sz="0" w:space="0" w:color="auto"/>
        <w:bottom w:val="none" w:sz="0" w:space="0" w:color="auto"/>
        <w:right w:val="none" w:sz="0" w:space="0" w:color="auto"/>
      </w:divBdr>
      <w:divsChild>
        <w:div w:id="855079968">
          <w:marLeft w:val="960"/>
          <w:marRight w:val="0"/>
          <w:marTop w:val="0"/>
          <w:marBottom w:val="0"/>
          <w:divBdr>
            <w:top w:val="none" w:sz="0" w:space="0" w:color="auto"/>
            <w:left w:val="none" w:sz="0" w:space="0" w:color="auto"/>
            <w:bottom w:val="none" w:sz="0" w:space="0" w:color="auto"/>
            <w:right w:val="none" w:sz="0" w:space="0" w:color="auto"/>
          </w:divBdr>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1413308">
      <w:bodyDiv w:val="1"/>
      <w:marLeft w:val="0"/>
      <w:marRight w:val="0"/>
      <w:marTop w:val="0"/>
      <w:marBottom w:val="0"/>
      <w:divBdr>
        <w:top w:val="none" w:sz="0" w:space="0" w:color="auto"/>
        <w:left w:val="none" w:sz="0" w:space="0" w:color="auto"/>
        <w:bottom w:val="none" w:sz="0" w:space="0" w:color="auto"/>
        <w:right w:val="none" w:sz="0" w:space="0" w:color="auto"/>
      </w:divBdr>
      <w:divsChild>
        <w:div w:id="1291785435">
          <w:marLeft w:val="960"/>
          <w:marRight w:val="0"/>
          <w:marTop w:val="0"/>
          <w:marBottom w:val="0"/>
          <w:divBdr>
            <w:top w:val="none" w:sz="0" w:space="0" w:color="auto"/>
            <w:left w:val="none" w:sz="0" w:space="0" w:color="auto"/>
            <w:bottom w:val="none" w:sz="0" w:space="0" w:color="auto"/>
            <w:right w:val="none" w:sz="0" w:space="0" w:color="auto"/>
          </w:divBdr>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6752118">
      <w:bodyDiv w:val="1"/>
      <w:marLeft w:val="0"/>
      <w:marRight w:val="0"/>
      <w:marTop w:val="0"/>
      <w:marBottom w:val="0"/>
      <w:divBdr>
        <w:top w:val="none" w:sz="0" w:space="0" w:color="auto"/>
        <w:left w:val="none" w:sz="0" w:space="0" w:color="auto"/>
        <w:bottom w:val="none" w:sz="0" w:space="0" w:color="auto"/>
        <w:right w:val="none" w:sz="0" w:space="0" w:color="auto"/>
      </w:divBdr>
      <w:divsChild>
        <w:div w:id="1996570219">
          <w:marLeft w:val="960"/>
          <w:marRight w:val="0"/>
          <w:marTop w:val="0"/>
          <w:marBottom w:val="0"/>
          <w:divBdr>
            <w:top w:val="none" w:sz="0" w:space="0" w:color="auto"/>
            <w:left w:val="none" w:sz="0" w:space="0" w:color="auto"/>
            <w:bottom w:val="none" w:sz="0" w:space="0" w:color="auto"/>
            <w:right w:val="none" w:sz="0" w:space="0" w:color="auto"/>
          </w:divBdr>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216272">
      <w:bodyDiv w:val="1"/>
      <w:marLeft w:val="0"/>
      <w:marRight w:val="0"/>
      <w:marTop w:val="0"/>
      <w:marBottom w:val="0"/>
      <w:divBdr>
        <w:top w:val="none" w:sz="0" w:space="0" w:color="auto"/>
        <w:left w:val="none" w:sz="0" w:space="0" w:color="auto"/>
        <w:bottom w:val="none" w:sz="0" w:space="0" w:color="auto"/>
        <w:right w:val="none" w:sz="0" w:space="0" w:color="auto"/>
      </w:divBdr>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649708">
      <w:bodyDiv w:val="1"/>
      <w:marLeft w:val="0"/>
      <w:marRight w:val="0"/>
      <w:marTop w:val="0"/>
      <w:marBottom w:val="0"/>
      <w:divBdr>
        <w:top w:val="none" w:sz="0" w:space="0" w:color="auto"/>
        <w:left w:val="none" w:sz="0" w:space="0" w:color="auto"/>
        <w:bottom w:val="none" w:sz="0" w:space="0" w:color="auto"/>
        <w:right w:val="none" w:sz="0" w:space="0" w:color="auto"/>
      </w:divBdr>
      <w:divsChild>
        <w:div w:id="1193029957">
          <w:marLeft w:val="960"/>
          <w:marRight w:val="0"/>
          <w:marTop w:val="0"/>
          <w:marBottom w:val="0"/>
          <w:divBdr>
            <w:top w:val="none" w:sz="0" w:space="0" w:color="auto"/>
            <w:left w:val="none" w:sz="0" w:space="0" w:color="auto"/>
            <w:bottom w:val="none" w:sz="0" w:space="0" w:color="auto"/>
            <w:right w:val="none" w:sz="0" w:space="0" w:color="auto"/>
          </w:divBdr>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973409293">
      <w:bodyDiv w:val="1"/>
      <w:marLeft w:val="0"/>
      <w:marRight w:val="0"/>
      <w:marTop w:val="0"/>
      <w:marBottom w:val="0"/>
      <w:divBdr>
        <w:top w:val="none" w:sz="0" w:space="0" w:color="auto"/>
        <w:left w:val="none" w:sz="0" w:space="0" w:color="auto"/>
        <w:bottom w:val="none" w:sz="0" w:space="0" w:color="auto"/>
        <w:right w:val="none" w:sz="0" w:space="0" w:color="auto"/>
      </w:divBdr>
      <w:divsChild>
        <w:div w:id="675234192">
          <w:marLeft w:val="960"/>
          <w:marRight w:val="0"/>
          <w:marTop w:val="0"/>
          <w:marBottom w:val="0"/>
          <w:divBdr>
            <w:top w:val="none" w:sz="0" w:space="0" w:color="auto"/>
            <w:left w:val="none" w:sz="0" w:space="0" w:color="auto"/>
            <w:bottom w:val="none" w:sz="0" w:space="0" w:color="auto"/>
            <w:right w:val="none" w:sz="0" w:space="0" w:color="auto"/>
          </w:divBdr>
        </w:div>
      </w:divsChild>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4090171">
      <w:bodyDiv w:val="1"/>
      <w:marLeft w:val="0"/>
      <w:marRight w:val="0"/>
      <w:marTop w:val="0"/>
      <w:marBottom w:val="0"/>
      <w:divBdr>
        <w:top w:val="none" w:sz="0" w:space="0" w:color="auto"/>
        <w:left w:val="none" w:sz="0" w:space="0" w:color="auto"/>
        <w:bottom w:val="none" w:sz="0" w:space="0" w:color="auto"/>
        <w:right w:val="none" w:sz="0" w:space="0" w:color="auto"/>
      </w:divBdr>
      <w:divsChild>
        <w:div w:id="1424916123">
          <w:marLeft w:val="960"/>
          <w:marRight w:val="0"/>
          <w:marTop w:val="0"/>
          <w:marBottom w:val="0"/>
          <w:divBdr>
            <w:top w:val="none" w:sz="0" w:space="0" w:color="auto"/>
            <w:left w:val="none" w:sz="0" w:space="0" w:color="auto"/>
            <w:bottom w:val="none" w:sz="0" w:space="0" w:color="auto"/>
            <w:right w:val="none" w:sz="0" w:space="0" w:color="auto"/>
          </w:divBdr>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7968685">
      <w:bodyDiv w:val="1"/>
      <w:marLeft w:val="0"/>
      <w:marRight w:val="0"/>
      <w:marTop w:val="0"/>
      <w:marBottom w:val="0"/>
      <w:divBdr>
        <w:top w:val="none" w:sz="0" w:space="0" w:color="auto"/>
        <w:left w:val="none" w:sz="0" w:space="0" w:color="auto"/>
        <w:bottom w:val="none" w:sz="0" w:space="0" w:color="auto"/>
        <w:right w:val="none" w:sz="0" w:space="0" w:color="auto"/>
      </w:divBdr>
      <w:divsChild>
        <w:div w:id="1521503182">
          <w:marLeft w:val="960"/>
          <w:marRight w:val="0"/>
          <w:marTop w:val="0"/>
          <w:marBottom w:val="0"/>
          <w:divBdr>
            <w:top w:val="none" w:sz="0" w:space="0" w:color="auto"/>
            <w:left w:val="none" w:sz="0" w:space="0" w:color="auto"/>
            <w:bottom w:val="none" w:sz="0" w:space="0" w:color="auto"/>
            <w:right w:val="none" w:sz="0" w:space="0" w:color="auto"/>
          </w:divBdr>
        </w:div>
      </w:divsChild>
    </w:div>
    <w:div w:id="1149632553">
      <w:bodyDiv w:val="1"/>
      <w:marLeft w:val="0"/>
      <w:marRight w:val="0"/>
      <w:marTop w:val="0"/>
      <w:marBottom w:val="0"/>
      <w:divBdr>
        <w:top w:val="none" w:sz="0" w:space="0" w:color="auto"/>
        <w:left w:val="none" w:sz="0" w:space="0" w:color="auto"/>
        <w:bottom w:val="none" w:sz="0" w:space="0" w:color="auto"/>
        <w:right w:val="none" w:sz="0" w:space="0" w:color="auto"/>
      </w:divBdr>
      <w:divsChild>
        <w:div w:id="161631309">
          <w:marLeft w:val="960"/>
          <w:marRight w:val="0"/>
          <w:marTop w:val="0"/>
          <w:marBottom w:val="0"/>
          <w:divBdr>
            <w:top w:val="none" w:sz="0" w:space="0" w:color="auto"/>
            <w:left w:val="none" w:sz="0" w:space="0" w:color="auto"/>
            <w:bottom w:val="none" w:sz="0" w:space="0" w:color="auto"/>
            <w:right w:val="none" w:sz="0" w:space="0" w:color="auto"/>
          </w:divBdr>
        </w:div>
      </w:divsChild>
    </w:div>
    <w:div w:id="1150247863">
      <w:bodyDiv w:val="1"/>
      <w:marLeft w:val="0"/>
      <w:marRight w:val="0"/>
      <w:marTop w:val="0"/>
      <w:marBottom w:val="0"/>
      <w:divBdr>
        <w:top w:val="none" w:sz="0" w:space="0" w:color="auto"/>
        <w:left w:val="none" w:sz="0" w:space="0" w:color="auto"/>
        <w:bottom w:val="none" w:sz="0" w:space="0" w:color="auto"/>
        <w:right w:val="none" w:sz="0" w:space="0" w:color="auto"/>
      </w:divBdr>
    </w:div>
    <w:div w:id="1166942767">
      <w:bodyDiv w:val="1"/>
      <w:marLeft w:val="0"/>
      <w:marRight w:val="0"/>
      <w:marTop w:val="0"/>
      <w:marBottom w:val="0"/>
      <w:divBdr>
        <w:top w:val="none" w:sz="0" w:space="0" w:color="auto"/>
        <w:left w:val="none" w:sz="0" w:space="0" w:color="auto"/>
        <w:bottom w:val="none" w:sz="0" w:space="0" w:color="auto"/>
        <w:right w:val="none" w:sz="0" w:space="0" w:color="auto"/>
      </w:divBdr>
      <w:divsChild>
        <w:div w:id="1953584766">
          <w:marLeft w:val="960"/>
          <w:marRight w:val="0"/>
          <w:marTop w:val="0"/>
          <w:marBottom w:val="0"/>
          <w:divBdr>
            <w:top w:val="none" w:sz="0" w:space="0" w:color="auto"/>
            <w:left w:val="none" w:sz="0" w:space="0" w:color="auto"/>
            <w:bottom w:val="none" w:sz="0" w:space="0" w:color="auto"/>
            <w:right w:val="none" w:sz="0" w:space="0" w:color="auto"/>
          </w:divBdr>
          <w:divsChild>
            <w:div w:id="5571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77842650">
      <w:bodyDiv w:val="1"/>
      <w:marLeft w:val="0"/>
      <w:marRight w:val="0"/>
      <w:marTop w:val="0"/>
      <w:marBottom w:val="0"/>
      <w:divBdr>
        <w:top w:val="none" w:sz="0" w:space="0" w:color="auto"/>
        <w:left w:val="none" w:sz="0" w:space="0" w:color="auto"/>
        <w:bottom w:val="none" w:sz="0" w:space="0" w:color="auto"/>
        <w:right w:val="none" w:sz="0" w:space="0" w:color="auto"/>
      </w:divBdr>
      <w:divsChild>
        <w:div w:id="185943740">
          <w:marLeft w:val="960"/>
          <w:marRight w:val="0"/>
          <w:marTop w:val="0"/>
          <w:marBottom w:val="0"/>
          <w:divBdr>
            <w:top w:val="none" w:sz="0" w:space="0" w:color="auto"/>
            <w:left w:val="none" w:sz="0" w:space="0" w:color="auto"/>
            <w:bottom w:val="none" w:sz="0" w:space="0" w:color="auto"/>
            <w:right w:val="none" w:sz="0" w:space="0" w:color="auto"/>
          </w:divBdr>
          <w:divsChild>
            <w:div w:id="20711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832949">
      <w:bodyDiv w:val="1"/>
      <w:marLeft w:val="0"/>
      <w:marRight w:val="0"/>
      <w:marTop w:val="0"/>
      <w:marBottom w:val="0"/>
      <w:divBdr>
        <w:top w:val="none" w:sz="0" w:space="0" w:color="auto"/>
        <w:left w:val="none" w:sz="0" w:space="0" w:color="auto"/>
        <w:bottom w:val="none" w:sz="0" w:space="0" w:color="auto"/>
        <w:right w:val="none" w:sz="0" w:space="0" w:color="auto"/>
      </w:divBdr>
      <w:divsChild>
        <w:div w:id="651912041">
          <w:marLeft w:val="960"/>
          <w:marRight w:val="0"/>
          <w:marTop w:val="0"/>
          <w:marBottom w:val="0"/>
          <w:divBdr>
            <w:top w:val="none" w:sz="0" w:space="0" w:color="auto"/>
            <w:left w:val="none" w:sz="0" w:space="0" w:color="auto"/>
            <w:bottom w:val="none" w:sz="0" w:space="0" w:color="auto"/>
            <w:right w:val="none" w:sz="0" w:space="0" w:color="auto"/>
          </w:divBdr>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690062413">
      <w:bodyDiv w:val="1"/>
      <w:marLeft w:val="0"/>
      <w:marRight w:val="0"/>
      <w:marTop w:val="0"/>
      <w:marBottom w:val="0"/>
      <w:divBdr>
        <w:top w:val="none" w:sz="0" w:space="0" w:color="auto"/>
        <w:left w:val="none" w:sz="0" w:space="0" w:color="auto"/>
        <w:bottom w:val="none" w:sz="0" w:space="0" w:color="auto"/>
        <w:right w:val="none" w:sz="0" w:space="0" w:color="auto"/>
      </w:divBdr>
      <w:divsChild>
        <w:div w:id="1548839586">
          <w:marLeft w:val="960"/>
          <w:marRight w:val="0"/>
          <w:marTop w:val="0"/>
          <w:marBottom w:val="0"/>
          <w:divBdr>
            <w:top w:val="none" w:sz="0" w:space="0" w:color="auto"/>
            <w:left w:val="none" w:sz="0" w:space="0" w:color="auto"/>
            <w:bottom w:val="none" w:sz="0" w:space="0" w:color="auto"/>
            <w:right w:val="none" w:sz="0" w:space="0" w:color="auto"/>
          </w:divBdr>
        </w:div>
      </w:divsChild>
    </w:div>
    <w:div w:id="1697390291">
      <w:bodyDiv w:val="1"/>
      <w:marLeft w:val="0"/>
      <w:marRight w:val="0"/>
      <w:marTop w:val="0"/>
      <w:marBottom w:val="0"/>
      <w:divBdr>
        <w:top w:val="none" w:sz="0" w:space="0" w:color="auto"/>
        <w:left w:val="none" w:sz="0" w:space="0" w:color="auto"/>
        <w:bottom w:val="none" w:sz="0" w:space="0" w:color="auto"/>
        <w:right w:val="none" w:sz="0" w:space="0" w:color="auto"/>
      </w:divBdr>
      <w:divsChild>
        <w:div w:id="883062855">
          <w:marLeft w:val="960"/>
          <w:marRight w:val="0"/>
          <w:marTop w:val="0"/>
          <w:marBottom w:val="0"/>
          <w:divBdr>
            <w:top w:val="none" w:sz="0" w:space="0" w:color="auto"/>
            <w:left w:val="none" w:sz="0" w:space="0" w:color="auto"/>
            <w:bottom w:val="none" w:sz="0" w:space="0" w:color="auto"/>
            <w:right w:val="none" w:sz="0" w:space="0" w:color="auto"/>
          </w:divBdr>
        </w:div>
      </w:divsChild>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england.nhs.uk/wp-content/uploads/2020/09/C0713-202021-General-Medical-Services-GMS-contract-Quality-and-Outcomes-Framework-QOF-Guidance.pdf" TargetMode="External"/><Relationship Id="rId21" Type="http://schemas.openxmlformats.org/officeDocument/2006/relationships/hyperlink" Target="https://www.nice.org.uk/guidance/ng106" TargetMode="External"/><Relationship Id="rId42" Type="http://schemas.openxmlformats.org/officeDocument/2006/relationships/hyperlink" Target="https://www.nice.org.uk/guidance/ng106%20section%201.2" TargetMode="External"/><Relationship Id="rId47" Type="http://schemas.openxmlformats.org/officeDocument/2006/relationships/hyperlink" Target="https://www.longtermplan.nhs.uk/wp-content/uploads/2019/08/nhs-long-term-plan-version-1.2.pdf" TargetMode="External"/><Relationship Id="rId63" Type="http://schemas.openxmlformats.org/officeDocument/2006/relationships/hyperlink" Target="https://www.england.nhs.uk/wp-content/uploads/2022/03/B1357-Network-Contract-Directed-Enhanced-Service-contract-specification-2022-23-primary-care-network-requireme.pdf" TargetMode="External"/><Relationship Id="rId68" Type="http://schemas.openxmlformats.org/officeDocument/2006/relationships/hyperlink" Target="https://www.bsh.org.uk/wp-content/uploads/2020/10/Heart-Failure-A-Blueprint-For-Change-Oct-2020-3.pdf" TargetMode="External"/><Relationship Id="rId84" Type="http://schemas.openxmlformats.org/officeDocument/2006/relationships/hyperlink" Target="https://www.bmj.com/content/373/bmj.n1270" TargetMode="External"/><Relationship Id="rId89" Type="http://schemas.openxmlformats.org/officeDocument/2006/relationships/hyperlink" Target="https://www.nursingtimes.net/clinical-archive/cardiovascular-clinical-archive/call-for-trusts-to-urgently-increase-number-of-heart-failure-nurses-22-02-2021/" TargetMode="External"/><Relationship Id="rId112" Type="http://schemas.openxmlformats.org/officeDocument/2006/relationships/hyperlink" Target="https://www.sciencedirect.com/science/article/pii/S1885585720301869" TargetMode="External"/><Relationship Id="rId16" Type="http://schemas.openxmlformats.org/officeDocument/2006/relationships/hyperlink" Target="https://www.nicor.org.uk/wp-content/uploads/2019/09/Heart-Failure-2019-Report-final.pdf" TargetMode="External"/><Relationship Id="rId107" Type="http://schemas.openxmlformats.org/officeDocument/2006/relationships/hyperlink" Target="https://www.nice.org.uk/guidance/ta773/chapter/1-Recommendations" TargetMode="External"/><Relationship Id="rId11" Type="http://schemas.openxmlformats.org/officeDocument/2006/relationships/hyperlink" Target="https://www.bhf.org.uk/what-we-do/policy-and-public-affairs/transforming-healthcare/heart-failure-report" TargetMode="External"/><Relationship Id="rId32" Type="http://schemas.openxmlformats.org/officeDocument/2006/relationships/hyperlink" Target="https://www.nice.org.uk/guidance/ta679" TargetMode="External"/><Relationship Id="rId37" Type="http://schemas.openxmlformats.org/officeDocument/2006/relationships/hyperlink" Target="https://www.nice.org.uk/guidance/qs144" TargetMode="External"/><Relationship Id="rId53" Type="http://schemas.openxmlformats.org/officeDocument/2006/relationships/hyperlink" Target="https://www.longtermplan.nhs.uk/wp-content/uploads/2019/08/nhs-long-term-plan-version-1.2.pdf" TargetMode="External"/><Relationship Id="rId58" Type="http://schemas.openxmlformats.org/officeDocument/2006/relationships/hyperlink" Target="https://www.nice.org.uk/guidance/qs103/chapter/Quality-statement-1-Single-measurement-of-natriuretic-peptide" TargetMode="External"/><Relationship Id="rId74" Type="http://schemas.openxmlformats.org/officeDocument/2006/relationships/hyperlink" Target="https://www.bhf.org.uk/for-professionals/healthcare-professionals/data-and-statistics/cardiac-rehabilitation-the-big-picture" TargetMode="External"/><Relationship Id="rId79" Type="http://schemas.openxmlformats.org/officeDocument/2006/relationships/hyperlink" Target="https://www.bhf.org.uk/for-professionals/healthcare-professionals/data-and-statistics/cardiac-rehabilitation-the-big-picture" TargetMode="External"/><Relationship Id="rId102" Type="http://schemas.openxmlformats.org/officeDocument/2006/relationships/hyperlink" Target="https://www.nice.org.uk/guidance/ng5/chapter/introduction" TargetMode="External"/><Relationship Id="rId123" Type="http://schemas.openxmlformats.org/officeDocument/2006/relationships/image" Target="media/image2.png"/><Relationship Id="rId128" Type="http://schemas.openxmlformats.org/officeDocument/2006/relationships/hyperlink" Target="https://onlinelibrary.wiley.com/doi/10.1002/ehf2.13612" TargetMode="External"/><Relationship Id="rId5" Type="http://schemas.openxmlformats.org/officeDocument/2006/relationships/webSettings" Target="webSettings.xml"/><Relationship Id="rId90" Type="http://schemas.openxmlformats.org/officeDocument/2006/relationships/hyperlink" Target="https://doi.org/10.12968/bjca.2019.0109" TargetMode="External"/><Relationship Id="rId95" Type="http://schemas.openxmlformats.org/officeDocument/2006/relationships/hyperlink" Target="https://www.nice.org.uk/guidance/ng106/chapter/Recommendations" TargetMode="External"/><Relationship Id="rId22" Type="http://schemas.openxmlformats.org/officeDocument/2006/relationships/hyperlink" Target="https://www.nicor.org.uk/wp-content/uploads/2021/10/NHFA-Domain-Report_2021_FINAL.pdf" TargetMode="External"/><Relationship Id="rId27" Type="http://schemas.openxmlformats.org/officeDocument/2006/relationships/hyperlink" Target="https://www.nice.org.uk/guidance/ng106" TargetMode="External"/><Relationship Id="rId43" Type="http://schemas.openxmlformats.org/officeDocument/2006/relationships/hyperlink" Target="https://www.nice.org.uk/guidance/ng106/resources/resource-impact-report-pdf-6537494413" TargetMode="External"/><Relationship Id="rId48" Type="http://schemas.openxmlformats.org/officeDocument/2006/relationships/hyperlink" Target="https://www.nice.org.uk/Media/Default/About/what-we-do/Into-practice/measuring-uptake/NICE-impact-diagnostic-pathology.pdf" TargetMode="External"/><Relationship Id="rId64" Type="http://schemas.openxmlformats.org/officeDocument/2006/relationships/hyperlink" Target="https://doi.org/10.1093/eurheartj/ehab781" TargetMode="External"/><Relationship Id="rId69" Type="http://schemas.openxmlformats.org/officeDocument/2006/relationships/hyperlink" Target="https://www.nicor.org.uk/wp-content/uploads/2021/10/NHFA-Domain-Report_2021_FINAL.pdf" TargetMode="External"/><Relationship Id="rId113" Type="http://schemas.openxmlformats.org/officeDocument/2006/relationships/hyperlink" Target="https://www.nicor.org.uk/wp-content/uploads/2021/10/NHFA-Domain-Report_2021_FINAL.pdf" TargetMode="External"/><Relationship Id="rId118" Type="http://schemas.openxmlformats.org/officeDocument/2006/relationships/hyperlink" Target="https://www.britishcardiovascularsociety.org/resources/careme" TargetMode="External"/><Relationship Id="rId80" Type="http://schemas.openxmlformats.org/officeDocument/2006/relationships/hyperlink" Target="https://doi.org/10.1161/CIRCHEARTFAILURE.119.006798" TargetMode="External"/><Relationship Id="rId85" Type="http://schemas.openxmlformats.org/officeDocument/2006/relationships/hyperlink" Target="http://dx.doi.org/10.1136/bmj.n1270" TargetMode="External"/><Relationship Id="rId12" Type="http://schemas.openxmlformats.org/officeDocument/2006/relationships/hyperlink" Target="https://www.bhf.org.uk/what-we-do/policy-and-public-affairs/transforming-healthcare/heart-failure-report" TargetMode="External"/><Relationship Id="rId17" Type="http://schemas.openxmlformats.org/officeDocument/2006/relationships/hyperlink" Target="https://pubmed.ncbi.nlm.nih.gov/28982720/" TargetMode="External"/><Relationship Id="rId33" Type="http://schemas.openxmlformats.org/officeDocument/2006/relationships/hyperlink" Target="https://www.nicor.org.uk/wp-content/uploads/2021/10/NHFA-Domain-Report_2021_FINAL.pdf" TargetMode="External"/><Relationship Id="rId38" Type="http://schemas.openxmlformats.org/officeDocument/2006/relationships/hyperlink" Target="https://www.nice.org.uk/terms-and-conditions" TargetMode="External"/><Relationship Id="rId59" Type="http://schemas.openxmlformats.org/officeDocument/2006/relationships/hyperlink" Target="https://academic.oup.com/eurheartj/article/42/36/3599/6358045?login=false" TargetMode="External"/><Relationship Id="rId103" Type="http://schemas.openxmlformats.org/officeDocument/2006/relationships/hyperlink" Target="https://assets.publishing.service.gov.uk/government/uploads/system/uploads/attachment_data/file/877314/sfe-directions-2020.pdf" TargetMode="External"/><Relationship Id="rId108" Type="http://schemas.openxmlformats.org/officeDocument/2006/relationships/hyperlink" Target="https://doi.org/10.1093/eurheartj/ehab368" TargetMode="External"/><Relationship Id="rId124" Type="http://schemas.openxmlformats.org/officeDocument/2006/relationships/hyperlink" Target="https://www.nicor.org.uk/wp-content/uploads/2021/10/NHFA-Domain-Report_2021_FINAL.pdf" TargetMode="External"/><Relationship Id="rId129" Type="http://schemas.openxmlformats.org/officeDocument/2006/relationships/hyperlink" Target="https://www.nice.org.uk/guidance/ng106" TargetMode="External"/><Relationship Id="rId54" Type="http://schemas.openxmlformats.org/officeDocument/2006/relationships/hyperlink" Target="https://www.england.nhs.uk/coronavirus/wp-content/uploads/sites/52/2022/02/C1466-delivery-plan-for-tackling-the-covid-19-backlog-of-elective-care.pdf" TargetMode="External"/><Relationship Id="rId70" Type="http://schemas.openxmlformats.org/officeDocument/2006/relationships/hyperlink" Target="http://www.bhf.org.uk/informationsupport/publications/statistics/national-audit-of-cardiac-rehabilitation-quality-and-outcomes-report-2020" TargetMode="External"/><Relationship Id="rId75" Type="http://schemas.openxmlformats.org/officeDocument/2006/relationships/hyperlink" Target="file:///C:\Users\bc302\downloads\nacr-quality-and-outcomes-report-2019.pdf" TargetMode="External"/><Relationship Id="rId91" Type="http://schemas.openxmlformats.org/officeDocument/2006/relationships/hyperlink" Target="https://www.nice.org.uk/guidance/ng106/resources/chronic-heart-failure-in-adults-diagnosis-and-management-pdf-66141541311685" TargetMode="External"/><Relationship Id="rId96" Type="http://schemas.openxmlformats.org/officeDocument/2006/relationships/hyperlink" Target="https://doi.org/10.1136/heartjnl-2017-31218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ice.org.uk/guidance/ng106" TargetMode="External"/><Relationship Id="rId28" Type="http://schemas.openxmlformats.org/officeDocument/2006/relationships/hyperlink" Target="https://www.nice.org.uk/guidance/ng106/chapter/recommendations" TargetMode="External"/><Relationship Id="rId49" Type="http://schemas.openxmlformats.org/officeDocument/2006/relationships/hyperlink" Target="https://www.nice.org.uk/Media/Default/About/what-we-do/Into-practice/measuring-uptake/NICE-impact-diagnostic-pathology.pdf" TargetMode="External"/><Relationship Id="rId114" Type="http://schemas.openxmlformats.org/officeDocument/2006/relationships/hyperlink" Target="https://www.nice.org.uk/guidance/ta679" TargetMode="External"/><Relationship Id="rId119" Type="http://schemas.openxmlformats.org/officeDocument/2006/relationships/hyperlink" Target="https://www.britishcardiovascularsociety.org/resources/careme" TargetMode="External"/><Relationship Id="rId44" Type="http://schemas.openxmlformats.org/officeDocument/2006/relationships/hyperlink" Target="https://heart.bmj.com/content/104/7/600" TargetMode="External"/><Relationship Id="rId60" Type="http://schemas.openxmlformats.org/officeDocument/2006/relationships/hyperlink" Target="https://www.bsh.org.uk/wp-content/uploads/2020/05/Covid-HF-Provision-Final-REV-May-2020.pdf" TargetMode="External"/><Relationship Id="rId65" Type="http://schemas.openxmlformats.org/officeDocument/2006/relationships/hyperlink" Target="https://doi.org/10.1002/ehf2.13089" TargetMode="External"/><Relationship Id="rId81" Type="http://schemas.openxmlformats.org/officeDocument/2006/relationships/hyperlink" Target="https://www.nicor.org.uk/wp-content/uploads/2021/10/NHFA-Domain-Report_2021_FINAL.pdf" TargetMode="External"/><Relationship Id="rId86" Type="http://schemas.openxmlformats.org/officeDocument/2006/relationships/hyperlink" Target="https://www.nice.org.uk/guidance/ng106" TargetMode="External"/><Relationship Id="rId130" Type="http://schemas.openxmlformats.org/officeDocument/2006/relationships/hyperlink" Target="https://www.england.nhs.uk/wp-content/" TargetMode="External"/><Relationship Id="rId13" Type="http://schemas.openxmlformats.org/officeDocument/2006/relationships/hyperlink" Target="https://www.nicor.org.uk/wp-content/uploads/2019/09/Heart-Failure-2019-Report-final.pdf" TargetMode="External"/><Relationship Id="rId18" Type="http://schemas.openxmlformats.org/officeDocument/2006/relationships/hyperlink" Target="https://www.nice.org.uk/guidance/ng106/evidence" TargetMode="External"/><Relationship Id="rId39" Type="http://schemas.openxmlformats.org/officeDocument/2006/relationships/image" Target="media/image1.png"/><Relationship Id="rId109" Type="http://schemas.openxmlformats.org/officeDocument/2006/relationships/hyperlink" Target="https://www.nicor.org.uk/wp-content/uploads/2021/10/NHFA-Domain-Report_2021_FINAL.pdf" TargetMode="External"/><Relationship Id="rId34" Type="http://schemas.openxmlformats.org/officeDocument/2006/relationships/hyperlink" Target="https://www.nice.org.uk/guidance/ng106" TargetMode="External"/><Relationship Id="rId50" Type="http://schemas.openxmlformats.org/officeDocument/2006/relationships/hyperlink" Target="https://heart.bmj.com/content/104/7/600" TargetMode="External"/><Relationship Id="rId55" Type="http://schemas.openxmlformats.org/officeDocument/2006/relationships/hyperlink" Target="https://www.nice.org.uk/Media/Default/About/what-we-do/Into-practice/measuring-uptake/NICE-impact-diagnostic-pathology.pdf" TargetMode="External"/><Relationship Id="rId76" Type="http://schemas.openxmlformats.org/officeDocument/2006/relationships/hyperlink" Target="https://www.nicor.org.uk/wp-content/uploads/2021/10/NCAP-Aggregate_-Report_2021_FINAL.pdf" TargetMode="External"/><Relationship Id="rId97" Type="http://schemas.openxmlformats.org/officeDocument/2006/relationships/hyperlink" Target="https://www.nicor.org.uk/wp-content/uploads/2021/10/NHFA-Domain-Report_2021_FINAL.pdf" TargetMode="External"/><Relationship Id="rId104" Type="http://schemas.openxmlformats.org/officeDocument/2006/relationships/hyperlink" Target="https://www.nicor.org.uk/wp-content/uploads/2021/10/NHFA-Domain-Report_2021_FINAL.pdf" TargetMode="External"/><Relationship Id="rId120" Type="http://schemas.openxmlformats.org/officeDocument/2006/relationships/hyperlink" Target="https://academic.oup.com/eurheartj/article/42/36/3599/6358045?login=true" TargetMode="External"/><Relationship Id="rId125" Type="http://schemas.openxmlformats.org/officeDocument/2006/relationships/hyperlink" Target="https://doi.org/10.1016/j.jacbts.2021.10.018" TargetMode="External"/><Relationship Id="rId7" Type="http://schemas.openxmlformats.org/officeDocument/2006/relationships/endnotes" Target="endnotes.xml"/><Relationship Id="rId71" Type="http://schemas.openxmlformats.org/officeDocument/2006/relationships/hyperlink" Target="https://www.bhf.org.uk/informationsupport/publications/statistics/national-audit-of-cardiac-rehabilitation-quality-and-outcomes-report-2021" TargetMode="External"/><Relationship Id="rId92" Type="http://schemas.openxmlformats.org/officeDocument/2006/relationships/hyperlink" Target="https://cks.nice.org.uk/topics/heart-failure-chronic/goals-outcome-measures/qof-indicators/" TargetMode="External"/><Relationship Id="rId2" Type="http://schemas.openxmlformats.org/officeDocument/2006/relationships/numbering" Target="numbering.xml"/><Relationship Id="rId29" Type="http://schemas.openxmlformats.org/officeDocument/2006/relationships/hyperlink" Target="https://www.nice.org.uk/guidance/ng106/chapter/recommendations" TargetMode="External"/><Relationship Id="rId24" Type="http://schemas.openxmlformats.org/officeDocument/2006/relationships/hyperlink" Target="https://www.nice.org.uk/guidance/ng106/chapter/recommendations" TargetMode="External"/><Relationship Id="rId40" Type="http://schemas.openxmlformats.org/officeDocument/2006/relationships/footer" Target="footer1.xml"/><Relationship Id="rId45" Type="http://schemas.openxmlformats.org/officeDocument/2006/relationships/hyperlink" Target="https://www.bsh.org.uk/wp-content/uploads/2020/10/Heart-Failure-A-Blueprint-For-Change-Oct-2020-3.pdf" TargetMode="External"/><Relationship Id="rId66" Type="http://schemas.openxmlformats.org/officeDocument/2006/relationships/hyperlink" Target="https://doi.org/10.1161/CIRCHEARTFAILURE.121.008538" TargetMode="External"/><Relationship Id="rId87" Type="http://schemas.openxmlformats.org/officeDocument/2006/relationships/hyperlink" Target="https://www.bsh.org.uk/wp-content/uploads/2020/06/Guidance-for-discharging-from-HFSN-service-BSH-endorsed.pdf" TargetMode="External"/><Relationship Id="rId110" Type="http://schemas.openxmlformats.org/officeDocument/2006/relationships/hyperlink" Target="https://www.nice.org.uk/guidance/ta679" TargetMode="External"/><Relationship Id="rId115" Type="http://schemas.openxmlformats.org/officeDocument/2006/relationships/hyperlink" Target="https://doi.org/10.1093/eurheartj/ehab368" TargetMode="External"/><Relationship Id="rId131" Type="http://schemas.openxmlformats.org/officeDocument/2006/relationships/fontTable" Target="fontTable.xml"/><Relationship Id="rId61" Type="http://schemas.openxmlformats.org/officeDocument/2006/relationships/hyperlink" Target="https://academic.oup.com/eurheartj/article/42/36/3599/6358045?login=true" TargetMode="External"/><Relationship Id="rId82" Type="http://schemas.openxmlformats.org/officeDocument/2006/relationships/hyperlink" Target="https://doi.org/10.1016/j.jacc.2021.01.030" TargetMode="External"/><Relationship Id="rId19" Type="http://schemas.openxmlformats.org/officeDocument/2006/relationships/hyperlink" Target="https://www.bhf.org.uk/what-we-do/policy-and-public-affairs/transforming-healthcare/heart-failure-report" TargetMode="External"/><Relationship Id="rId14" Type="http://schemas.openxmlformats.org/officeDocument/2006/relationships/hyperlink" Target="https://www.nice.org.uk/guidance/ng106/evidence" TargetMode="External"/><Relationship Id="rId30" Type="http://schemas.openxmlformats.org/officeDocument/2006/relationships/hyperlink" Target="https://www.nice.org.uk/guidance/cg138/chapter/1-Guidance" TargetMode="External"/><Relationship Id="rId35" Type="http://schemas.openxmlformats.org/officeDocument/2006/relationships/hyperlink" Target="https://www.nice.org.uk/guidance/ng106/chapter/recommendations" TargetMode="External"/><Relationship Id="rId56" Type="http://schemas.openxmlformats.org/officeDocument/2006/relationships/hyperlink" Target="https://www.nice.org.uk/guidance/ng106/chapter/Recommendations" TargetMode="External"/><Relationship Id="rId77" Type="http://schemas.openxmlformats.org/officeDocument/2006/relationships/hyperlink" Target="https://www.bhf.org.uk/for-professionals/healthcare-professionals/data-and-statistics/cardiac-rehabilitation-the-big-picture" TargetMode="External"/><Relationship Id="rId100" Type="http://schemas.openxmlformats.org/officeDocument/2006/relationships/hyperlink" Target="https://doi.org/10.12968/bjca.2019.0109" TargetMode="External"/><Relationship Id="rId105" Type="http://schemas.openxmlformats.org/officeDocument/2006/relationships/hyperlink" Target="https://www.nice.org.uk/guidance/ta773/chapter/1-Recommendations" TargetMode="External"/><Relationship Id="rId126" Type="http://schemas.openxmlformats.org/officeDocument/2006/relationships/hyperlink" Target="https://www.sciencedirect.com/science/article/pii/S1885585720301869" TargetMode="External"/><Relationship Id="rId8" Type="http://schemas.openxmlformats.org/officeDocument/2006/relationships/hyperlink" Target="https://www.nice.org.uk/guidance/ng106" TargetMode="External"/><Relationship Id="rId51" Type="http://schemas.openxmlformats.org/officeDocument/2006/relationships/hyperlink" Target="https://www.bsh.org.uk/wp-content/uploads/2020/10/Heart-Failure-A-Blueprint-For-Change-Oct-2020-3.pdf" TargetMode="External"/><Relationship Id="rId72" Type="http://schemas.openxmlformats.org/officeDocument/2006/relationships/hyperlink" Target="https://doi.org/10.12968/bjca.2022.0023" TargetMode="External"/><Relationship Id="rId93" Type="http://schemas.openxmlformats.org/officeDocument/2006/relationships/hyperlink" Target="https://www.nice.org.uk/guidance/ng106/resources/chronic-heart-failure-in-adults-diagnosis-and-management-pdf-66141541311685" TargetMode="External"/><Relationship Id="rId98" Type="http://schemas.openxmlformats.org/officeDocument/2006/relationships/hyperlink" Target="https://cks.nice.org.uk/topics/heart-failure-chronic/goals-outcome-measures/qof-indicators/" TargetMode="External"/><Relationship Id="rId121" Type="http://schemas.openxmlformats.org/officeDocument/2006/relationships/hyperlink" Target="https://www.ahajournals.org/doi/epdf/10.1161/CIR.0000000000001063" TargetMode="External"/><Relationship Id="rId3" Type="http://schemas.openxmlformats.org/officeDocument/2006/relationships/styles" Target="styles.xml"/><Relationship Id="rId25" Type="http://schemas.openxmlformats.org/officeDocument/2006/relationships/hyperlink" Target="https://www.nice.org.uk/guidance/ng106" TargetMode="External"/><Relationship Id="rId46" Type="http://schemas.openxmlformats.org/officeDocument/2006/relationships/hyperlink" Target="https://www.nicor.org.uk/wp-content/uploads/2021/10/NHFA-Domain-Report_2021_FINAL.pdf" TargetMode="External"/><Relationship Id="rId67" Type="http://schemas.openxmlformats.org/officeDocument/2006/relationships/hyperlink" Target="http://dx.doi.org/10.1136/heartjnl-2019-316511" TargetMode="External"/><Relationship Id="rId116" Type="http://schemas.openxmlformats.org/officeDocument/2006/relationships/hyperlink" Target="https://www.bsh.org.uk/wp-content/uploads/2021/02/BSH-Position-Statement-Non-medical-prescribers-final-copy.pdf" TargetMode="External"/><Relationship Id="rId20" Type="http://schemas.openxmlformats.org/officeDocument/2006/relationships/hyperlink" Target="https://www.nice.org.uk/guidance/ng106" TargetMode="External"/><Relationship Id="rId41" Type="http://schemas.openxmlformats.org/officeDocument/2006/relationships/footer" Target="footer2.xml"/><Relationship Id="rId62" Type="http://schemas.openxmlformats.org/officeDocument/2006/relationships/hyperlink" Target="https://allianceforheartfailure.org/heart-failure-a-call-to-action/" TargetMode="External"/><Relationship Id="rId83" Type="http://schemas.openxmlformats.org/officeDocument/2006/relationships/hyperlink" Target="https://www.bhf.org.uk/for-professionals/healthcare-professionals/data-and-statistics/cardiac-rehabilitation-the-big-picture" TargetMode="External"/><Relationship Id="rId88" Type="http://schemas.openxmlformats.org/officeDocument/2006/relationships/hyperlink" Target="https://www.nicor.org.uk/wp-content/uploads/2021/10/NHFA-Key-Messages-2021.pdf" TargetMode="External"/><Relationship Id="rId111" Type="http://schemas.openxmlformats.org/officeDocument/2006/relationships/hyperlink" Target="https://www.bsh.org.uk/wp-content/uploads/2021/02/BSH-Position-Statement-Non-medical-prescribers-final-copy.pdf" TargetMode="External"/><Relationship Id="rId132" Type="http://schemas.openxmlformats.org/officeDocument/2006/relationships/theme" Target="theme/theme1.xml"/><Relationship Id="rId15" Type="http://schemas.openxmlformats.org/officeDocument/2006/relationships/hyperlink" Target="https://www.bmj.com/content/364/bmj.l223?msclkid=0cc675a2bc0511ecb1795d758f9d67fa" TargetMode="External"/><Relationship Id="rId36" Type="http://schemas.openxmlformats.org/officeDocument/2006/relationships/hyperlink" Target="https://www.nice.org.uk/guidance/qs13" TargetMode="External"/><Relationship Id="rId57" Type="http://schemas.openxmlformats.org/officeDocument/2006/relationships/hyperlink" Target="https://academic.oup.com/eurheartj/article/43/9/881/6437771" TargetMode="External"/><Relationship Id="rId106" Type="http://schemas.openxmlformats.org/officeDocument/2006/relationships/hyperlink" Target="https://www.nice.org.uk/guidance/TA679" TargetMode="External"/><Relationship Id="rId127" Type="http://schemas.openxmlformats.org/officeDocument/2006/relationships/hyperlink" Target="https://doi.org/10.1016/S2468-2667(19)30108-2" TargetMode="External"/><Relationship Id="rId10" Type="http://schemas.openxmlformats.org/officeDocument/2006/relationships/hyperlink" Target="https://www.nicor.org.uk/wp-content/uploads/2021/10/NHFA-Appendix-1-Introduction-to-Heart-Failure-and-its-Treatment-.pdf" TargetMode="External"/><Relationship Id="rId31" Type="http://schemas.openxmlformats.org/officeDocument/2006/relationships/hyperlink" Target="https://www.nice.org.uk/guidance/ta773" TargetMode="External"/><Relationship Id="rId52" Type="http://schemas.openxmlformats.org/officeDocument/2006/relationships/hyperlink" Target="https://www.nicor.org.uk/wp-content/uploads/2021/10/NHFA-Domain-Report_2021_FINAL.pdf" TargetMode="External"/><Relationship Id="rId73" Type="http://schemas.openxmlformats.org/officeDocument/2006/relationships/hyperlink" Target="https://www.nicor.org.uk/wp-content/uploads/2021/10/NCAP-Aggregate_-Report_2021_FINAL.pdf" TargetMode="External"/><Relationship Id="rId78" Type="http://schemas.openxmlformats.org/officeDocument/2006/relationships/hyperlink" Target="file:///C:\Users\bc302\downloads\nacr-quality-and-outcomes-report-2019.pdf" TargetMode="External"/><Relationship Id="rId94" Type="http://schemas.openxmlformats.org/officeDocument/2006/relationships/hyperlink" Target="https://cks.nice.org.uk/topics/heart-failure-chronic/goals-outcome-measures/qof-indicators/" TargetMode="External"/><Relationship Id="rId99" Type="http://schemas.openxmlformats.org/officeDocument/2006/relationships/hyperlink" Target="https://www.nursingtimes.net/clinical-archive/cardiovascular-clinical-archive/call-for-trusts-to-urgently-increase-number-of-heart-failure-nurses-22-02-2021/" TargetMode="External"/><Relationship Id="rId101" Type="http://schemas.openxmlformats.org/officeDocument/2006/relationships/hyperlink" Target="https://www.nicor.org.uk/wp-content/uploads/2021/10/NHFA-Domain-Report_2021_FINAL.pdf" TargetMode="External"/><Relationship Id="rId122" Type="http://schemas.openxmlformats.org/officeDocument/2006/relationships/hyperlink" Target="https://www.ahajournals.org/doi/epdf/10.1161/CIR.0000000000001063" TargetMode="External"/><Relationship Id="rId4" Type="http://schemas.openxmlformats.org/officeDocument/2006/relationships/settings" Target="settings.xml"/><Relationship Id="rId9" Type="http://schemas.openxmlformats.org/officeDocument/2006/relationships/hyperlink" Target="https://www.nice.org.uk/guidance/qs9" TargetMode="External"/><Relationship Id="rId26" Type="http://schemas.openxmlformats.org/officeDocument/2006/relationships/hyperlink" Target="https://www.nice.org.uk/guidance/ng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16223</Words>
  <Characters>106975</Characters>
  <Application>Microsoft Office Word</Application>
  <DocSecurity>0</DocSecurity>
  <Lines>891</Lines>
  <Paragraphs>245</Paragraphs>
  <ScaleCrop>false</ScaleCrop>
  <Company/>
  <LinksUpToDate>false</LinksUpToDate>
  <CharactersWithSpaces>122953</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2022-07-14T15:32:00Z</dcterms:created>
  <dcterms:modified xsi:type="dcterms:W3CDTF">2022-07-14T15:32:00Z</dcterms:modified>
</cp:coreProperties>
</file>