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3BAF" w14:textId="728A6277"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40861584"/>
      <w:bookmarkStart w:id="11" w:name="_Toc141178228"/>
      <w:bookmarkStart w:id="12" w:name="_Toc141346123"/>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p>
    <w:p w14:paraId="52186BB6" w14:textId="77777777" w:rsidR="002C296A" w:rsidRPr="0067455E" w:rsidRDefault="002C296A" w:rsidP="00CE4759">
      <w:pPr>
        <w:pStyle w:val="Title"/>
      </w:pPr>
      <w:bookmarkStart w:id="13" w:name="_Toc66781445"/>
      <w:bookmarkStart w:id="14" w:name="_Toc71289373"/>
      <w:bookmarkStart w:id="15" w:name="_Toc71289581"/>
      <w:bookmarkStart w:id="16" w:name="_Toc71289680"/>
      <w:bookmarkStart w:id="17" w:name="_Toc71290373"/>
      <w:bookmarkStart w:id="18" w:name="_Toc71542838"/>
      <w:bookmarkStart w:id="19" w:name="_Toc140861585"/>
      <w:bookmarkStart w:id="20" w:name="_Toc141178229"/>
      <w:bookmarkStart w:id="21" w:name="_Toc141346124"/>
      <w:bookmarkStart w:id="22" w:name="_Toc357694772"/>
      <w:bookmarkStart w:id="23" w:name="_Toc365024198"/>
      <w:bookmarkStart w:id="24" w:name="_Toc432164923"/>
      <w:bookmarkStart w:id="25" w:name="_Toc467141964"/>
      <w:r w:rsidRPr="0067455E">
        <w:t>Quality standards</w:t>
      </w:r>
      <w:bookmarkEnd w:id="13"/>
      <w:bookmarkEnd w:id="14"/>
      <w:bookmarkEnd w:id="15"/>
      <w:bookmarkEnd w:id="16"/>
      <w:bookmarkEnd w:id="17"/>
      <w:bookmarkEnd w:id="18"/>
      <w:bookmarkEnd w:id="19"/>
      <w:bookmarkEnd w:id="20"/>
      <w:bookmarkEnd w:id="21"/>
      <w:r w:rsidRPr="0067455E">
        <w:t xml:space="preserve"> </w:t>
      </w:r>
      <w:bookmarkEnd w:id="22"/>
      <w:bookmarkEnd w:id="23"/>
      <w:bookmarkEnd w:id="24"/>
      <w:bookmarkEnd w:id="25"/>
    </w:p>
    <w:p w14:paraId="0DE8F55E" w14:textId="37D47CB1" w:rsidR="002C296A" w:rsidRPr="0067455E" w:rsidRDefault="002C296A" w:rsidP="00CE4759">
      <w:pPr>
        <w:pStyle w:val="Title"/>
      </w:pPr>
      <w:bookmarkStart w:id="26" w:name="_Toc357694773"/>
      <w:bookmarkStart w:id="27" w:name="_Toc365024199"/>
      <w:bookmarkStart w:id="28" w:name="_Toc432164924"/>
      <w:bookmarkStart w:id="29" w:name="_Toc467141965"/>
      <w:bookmarkStart w:id="30" w:name="_Toc66781446"/>
      <w:bookmarkStart w:id="31" w:name="_Toc71289374"/>
      <w:bookmarkStart w:id="32" w:name="_Toc71289582"/>
      <w:bookmarkStart w:id="33" w:name="_Toc71289681"/>
      <w:bookmarkStart w:id="34" w:name="_Toc71290374"/>
      <w:bookmarkStart w:id="35" w:name="_Toc71542839"/>
      <w:bookmarkStart w:id="36" w:name="_Toc140861586"/>
      <w:bookmarkStart w:id="37" w:name="_Toc141178230"/>
      <w:bookmarkStart w:id="38" w:name="_Toc141346125"/>
      <w:r w:rsidRPr="0067455E">
        <w:t>Briefing paper</w:t>
      </w:r>
      <w:bookmarkEnd w:id="26"/>
      <w:bookmarkEnd w:id="27"/>
      <w:bookmarkEnd w:id="28"/>
      <w:bookmarkEnd w:id="29"/>
      <w:bookmarkEnd w:id="30"/>
      <w:r w:rsidR="008148A2">
        <w:t xml:space="preserve">: </w:t>
      </w:r>
      <w:bookmarkEnd w:id="31"/>
      <w:bookmarkEnd w:id="32"/>
      <w:bookmarkEnd w:id="33"/>
      <w:bookmarkEnd w:id="34"/>
      <w:bookmarkEnd w:id="35"/>
      <w:r w:rsidR="00FA19E8">
        <w:t>Acute respiratory infection</w:t>
      </w:r>
      <w:r w:rsidR="00622C5C">
        <w:t>s</w:t>
      </w:r>
      <w:r w:rsidR="00FA19E8">
        <w:t xml:space="preserve"> and virt</w:t>
      </w:r>
      <w:r w:rsidR="00622C5C">
        <w:t>ual wards</w:t>
      </w:r>
      <w:bookmarkEnd w:id="36"/>
      <w:bookmarkEnd w:id="37"/>
      <w:bookmarkEnd w:id="38"/>
    </w:p>
    <w:p w14:paraId="3D19DF3B" w14:textId="40ECC7D8" w:rsidR="008A6367" w:rsidRDefault="00622C5C" w:rsidP="00DD1BFE">
      <w:pPr>
        <w:pStyle w:val="Paragraph"/>
      </w:pPr>
      <w:r>
        <w:rPr>
          <w:b/>
          <w:bCs/>
        </w:rPr>
        <w:t>Working group</w:t>
      </w:r>
      <w:r w:rsidR="00DD1BFE" w:rsidRPr="00582451">
        <w:rPr>
          <w:b/>
          <w:bCs/>
        </w:rPr>
        <w:t xml:space="preserve"> meeting</w:t>
      </w:r>
      <w:r w:rsidR="00DD1BFE" w:rsidRPr="000D48CF">
        <w:rPr>
          <w:rStyle w:val="Addbold"/>
        </w:rPr>
        <w:t>:</w:t>
      </w:r>
      <w:r w:rsidR="00DD1BFE" w:rsidRPr="005A61AD">
        <w:t xml:space="preserve"> </w:t>
      </w:r>
      <w:r>
        <w:t>3</w:t>
      </w:r>
      <w:r w:rsidRPr="00622C5C">
        <w:rPr>
          <w:vertAlign w:val="superscript"/>
        </w:rPr>
        <w:t>rd</w:t>
      </w:r>
      <w:r>
        <w:t xml:space="preserve"> August 2023</w:t>
      </w:r>
      <w:r w:rsidR="00414915">
        <w:t xml:space="preserve"> </w:t>
      </w:r>
    </w:p>
    <w:p w14:paraId="6E0E58EB" w14:textId="77777777" w:rsidR="002D4A5D" w:rsidRDefault="002C296A" w:rsidP="00702177">
      <w:pPr>
        <w:pStyle w:val="Heading1"/>
        <w:rPr>
          <w:noProof/>
        </w:rPr>
      </w:pPr>
      <w:bookmarkStart w:id="39" w:name="_Toc365024200"/>
      <w:bookmarkStart w:id="40" w:name="_Toc432164925"/>
      <w:bookmarkStart w:id="41" w:name="_Toc467141966"/>
      <w:bookmarkStart w:id="42" w:name="_Toc66781447"/>
      <w:bookmarkStart w:id="43" w:name="_Toc71289375"/>
      <w:bookmarkStart w:id="44" w:name="_Toc71289583"/>
      <w:bookmarkStart w:id="45" w:name="_Toc71289682"/>
      <w:bookmarkStart w:id="46" w:name="_Toc71290375"/>
      <w:bookmarkStart w:id="47" w:name="_Toc71542840"/>
      <w:bookmarkStart w:id="48" w:name="_Toc140861587"/>
      <w:bookmarkStart w:id="49" w:name="_Toc141178231"/>
      <w:bookmarkStart w:id="50" w:name="_Toc141346126"/>
      <w:r w:rsidRPr="0067455E">
        <w:t>Contents</w:t>
      </w:r>
      <w:bookmarkEnd w:id="39"/>
      <w:bookmarkEnd w:id="40"/>
      <w:bookmarkEnd w:id="41"/>
      <w:bookmarkEnd w:id="42"/>
      <w:bookmarkEnd w:id="43"/>
      <w:bookmarkEnd w:id="44"/>
      <w:bookmarkEnd w:id="45"/>
      <w:bookmarkEnd w:id="46"/>
      <w:bookmarkEnd w:id="47"/>
      <w:bookmarkEnd w:id="48"/>
      <w:bookmarkEnd w:id="49"/>
      <w:bookmarkEnd w:id="50"/>
      <w:r w:rsidR="00702177">
        <w:fldChar w:fldCharType="begin"/>
      </w:r>
      <w:r w:rsidR="00702177">
        <w:instrText xml:space="preserve"> TOC \o "1-2" \h \z \u </w:instrText>
      </w:r>
      <w:r w:rsidR="00702177">
        <w:fldChar w:fldCharType="separate"/>
      </w:r>
    </w:p>
    <w:p w14:paraId="608F728C" w14:textId="27C061DA" w:rsidR="002D4A5D" w:rsidRDefault="002D4A5D">
      <w:pPr>
        <w:pStyle w:val="TOC1"/>
        <w:rPr>
          <w:rFonts w:asciiTheme="minorHAnsi" w:eastAsiaTheme="minorEastAsia" w:hAnsiTheme="minorHAnsi" w:cstheme="minorBidi"/>
          <w:kern w:val="2"/>
          <w:sz w:val="22"/>
          <w:szCs w:val="22"/>
          <w:lang w:eastAsia="en-GB"/>
          <w14:ligatures w14:val="standardContextual"/>
        </w:rPr>
      </w:pPr>
    </w:p>
    <w:p w14:paraId="7A2A5C4B" w14:textId="38F0AF28" w:rsidR="002D4A5D" w:rsidRDefault="001C2C97">
      <w:pPr>
        <w:pStyle w:val="TOC1"/>
        <w:rPr>
          <w:rFonts w:asciiTheme="minorHAnsi" w:eastAsiaTheme="minorEastAsia" w:hAnsiTheme="minorHAnsi" w:cstheme="minorBidi"/>
          <w:kern w:val="2"/>
          <w:sz w:val="22"/>
          <w:szCs w:val="22"/>
          <w:lang w:eastAsia="en-GB"/>
          <w14:ligatures w14:val="standardContextual"/>
        </w:rPr>
      </w:pPr>
      <w:hyperlink w:anchor="_Toc141346127" w:history="1">
        <w:r w:rsidR="002D4A5D" w:rsidRPr="00630BD8">
          <w:rPr>
            <w:rStyle w:val="Hyperlink"/>
          </w:rPr>
          <w:t>1</w:t>
        </w:r>
        <w:r w:rsidR="002D4A5D">
          <w:rPr>
            <w:rFonts w:asciiTheme="minorHAnsi" w:eastAsiaTheme="minorEastAsia" w:hAnsiTheme="minorHAnsi" w:cstheme="minorBidi"/>
            <w:kern w:val="2"/>
            <w:sz w:val="22"/>
            <w:szCs w:val="22"/>
            <w:lang w:eastAsia="en-GB"/>
            <w14:ligatures w14:val="standardContextual"/>
          </w:rPr>
          <w:tab/>
        </w:r>
        <w:r w:rsidR="002D4A5D" w:rsidRPr="00630BD8">
          <w:rPr>
            <w:rStyle w:val="Hyperlink"/>
          </w:rPr>
          <w:t>Introduction</w:t>
        </w:r>
        <w:r w:rsidR="002D4A5D">
          <w:rPr>
            <w:webHidden/>
          </w:rPr>
          <w:tab/>
        </w:r>
        <w:r w:rsidR="002D4A5D">
          <w:rPr>
            <w:webHidden/>
          </w:rPr>
          <w:fldChar w:fldCharType="begin"/>
        </w:r>
        <w:r w:rsidR="002D4A5D">
          <w:rPr>
            <w:webHidden/>
          </w:rPr>
          <w:instrText xml:space="preserve"> PAGEREF _Toc141346127 \h </w:instrText>
        </w:r>
        <w:r w:rsidR="002D4A5D">
          <w:rPr>
            <w:webHidden/>
          </w:rPr>
        </w:r>
        <w:r w:rsidR="002D4A5D">
          <w:rPr>
            <w:webHidden/>
          </w:rPr>
          <w:fldChar w:fldCharType="separate"/>
        </w:r>
        <w:r w:rsidR="002D4A5D">
          <w:rPr>
            <w:webHidden/>
          </w:rPr>
          <w:t>2</w:t>
        </w:r>
        <w:r w:rsidR="002D4A5D">
          <w:rPr>
            <w:webHidden/>
          </w:rPr>
          <w:fldChar w:fldCharType="end"/>
        </w:r>
      </w:hyperlink>
    </w:p>
    <w:p w14:paraId="5E7C514D" w14:textId="75D70EDD" w:rsidR="002D4A5D" w:rsidRDefault="001C2C97">
      <w:pPr>
        <w:pStyle w:val="TOC1"/>
        <w:rPr>
          <w:rFonts w:asciiTheme="minorHAnsi" w:eastAsiaTheme="minorEastAsia" w:hAnsiTheme="minorHAnsi" w:cstheme="minorBidi"/>
          <w:kern w:val="2"/>
          <w:sz w:val="22"/>
          <w:szCs w:val="22"/>
          <w:lang w:eastAsia="en-GB"/>
          <w14:ligatures w14:val="standardContextual"/>
        </w:rPr>
      </w:pPr>
      <w:hyperlink w:anchor="_Toc141346129" w:history="1">
        <w:r w:rsidR="002D4A5D" w:rsidRPr="00630BD8">
          <w:rPr>
            <w:rStyle w:val="Hyperlink"/>
          </w:rPr>
          <w:t>2</w:t>
        </w:r>
        <w:r w:rsidR="002D4A5D">
          <w:rPr>
            <w:rFonts w:asciiTheme="minorHAnsi" w:eastAsiaTheme="minorEastAsia" w:hAnsiTheme="minorHAnsi" w:cstheme="minorBidi"/>
            <w:kern w:val="2"/>
            <w:sz w:val="22"/>
            <w:szCs w:val="22"/>
            <w:lang w:eastAsia="en-GB"/>
            <w14:ligatures w14:val="standardContextual"/>
          </w:rPr>
          <w:tab/>
        </w:r>
        <w:r w:rsidR="002D4A5D" w:rsidRPr="00630BD8">
          <w:rPr>
            <w:rStyle w:val="Hyperlink"/>
          </w:rPr>
          <w:t>Overview</w:t>
        </w:r>
        <w:r w:rsidR="002D4A5D">
          <w:rPr>
            <w:webHidden/>
          </w:rPr>
          <w:tab/>
        </w:r>
        <w:r w:rsidR="002D4A5D">
          <w:rPr>
            <w:webHidden/>
          </w:rPr>
          <w:fldChar w:fldCharType="begin"/>
        </w:r>
        <w:r w:rsidR="002D4A5D">
          <w:rPr>
            <w:webHidden/>
          </w:rPr>
          <w:instrText xml:space="preserve"> PAGEREF _Toc141346129 \h </w:instrText>
        </w:r>
        <w:r w:rsidR="002D4A5D">
          <w:rPr>
            <w:webHidden/>
          </w:rPr>
        </w:r>
        <w:r w:rsidR="002D4A5D">
          <w:rPr>
            <w:webHidden/>
          </w:rPr>
          <w:fldChar w:fldCharType="separate"/>
        </w:r>
        <w:r w:rsidR="002D4A5D">
          <w:rPr>
            <w:webHidden/>
          </w:rPr>
          <w:t>3</w:t>
        </w:r>
        <w:r w:rsidR="002D4A5D">
          <w:rPr>
            <w:webHidden/>
          </w:rPr>
          <w:fldChar w:fldCharType="end"/>
        </w:r>
      </w:hyperlink>
    </w:p>
    <w:p w14:paraId="06DC625E" w14:textId="78AC904B" w:rsidR="002D4A5D" w:rsidRDefault="001C2C97">
      <w:pPr>
        <w:pStyle w:val="TOC1"/>
        <w:rPr>
          <w:rFonts w:asciiTheme="minorHAnsi" w:eastAsiaTheme="minorEastAsia" w:hAnsiTheme="minorHAnsi" w:cstheme="minorBidi"/>
          <w:kern w:val="2"/>
          <w:sz w:val="22"/>
          <w:szCs w:val="22"/>
          <w:lang w:eastAsia="en-GB"/>
          <w14:ligatures w14:val="standardContextual"/>
        </w:rPr>
      </w:pPr>
      <w:hyperlink w:anchor="_Toc141346134" w:history="1">
        <w:r w:rsidR="002D4A5D" w:rsidRPr="00630BD8">
          <w:rPr>
            <w:rStyle w:val="Hyperlink"/>
          </w:rPr>
          <w:t>3</w:t>
        </w:r>
        <w:r w:rsidR="002D4A5D">
          <w:rPr>
            <w:rFonts w:asciiTheme="minorHAnsi" w:eastAsiaTheme="minorEastAsia" w:hAnsiTheme="minorHAnsi" w:cstheme="minorBidi"/>
            <w:kern w:val="2"/>
            <w:sz w:val="22"/>
            <w:szCs w:val="22"/>
            <w:lang w:eastAsia="en-GB"/>
            <w14:ligatures w14:val="standardContextual"/>
          </w:rPr>
          <w:tab/>
        </w:r>
        <w:r w:rsidR="002D4A5D" w:rsidRPr="00630BD8">
          <w:rPr>
            <w:rStyle w:val="Hyperlink"/>
          </w:rPr>
          <w:t>Summary of suggestions</w:t>
        </w:r>
        <w:r w:rsidR="002D4A5D">
          <w:rPr>
            <w:webHidden/>
          </w:rPr>
          <w:tab/>
        </w:r>
        <w:r w:rsidR="002D4A5D">
          <w:rPr>
            <w:webHidden/>
          </w:rPr>
          <w:fldChar w:fldCharType="begin"/>
        </w:r>
        <w:r w:rsidR="002D4A5D">
          <w:rPr>
            <w:webHidden/>
          </w:rPr>
          <w:instrText xml:space="preserve"> PAGEREF _Toc141346134 \h </w:instrText>
        </w:r>
        <w:r w:rsidR="002D4A5D">
          <w:rPr>
            <w:webHidden/>
          </w:rPr>
        </w:r>
        <w:r w:rsidR="002D4A5D">
          <w:rPr>
            <w:webHidden/>
          </w:rPr>
          <w:fldChar w:fldCharType="separate"/>
        </w:r>
        <w:r w:rsidR="002D4A5D">
          <w:rPr>
            <w:webHidden/>
          </w:rPr>
          <w:t>6</w:t>
        </w:r>
        <w:r w:rsidR="002D4A5D">
          <w:rPr>
            <w:webHidden/>
          </w:rPr>
          <w:fldChar w:fldCharType="end"/>
        </w:r>
      </w:hyperlink>
    </w:p>
    <w:p w14:paraId="22B70732" w14:textId="6BD4C2B8" w:rsidR="002D4A5D" w:rsidRDefault="001C2C97">
      <w:pPr>
        <w:pStyle w:val="TOC1"/>
        <w:rPr>
          <w:rFonts w:asciiTheme="minorHAnsi" w:eastAsiaTheme="minorEastAsia" w:hAnsiTheme="minorHAnsi" w:cstheme="minorBidi"/>
          <w:kern w:val="2"/>
          <w:sz w:val="22"/>
          <w:szCs w:val="22"/>
          <w:lang w:eastAsia="en-GB"/>
          <w14:ligatures w14:val="standardContextual"/>
        </w:rPr>
      </w:pPr>
      <w:hyperlink w:anchor="_Toc141346136" w:history="1">
        <w:r w:rsidR="002D4A5D" w:rsidRPr="00630BD8">
          <w:rPr>
            <w:rStyle w:val="Hyperlink"/>
          </w:rPr>
          <w:t>4</w:t>
        </w:r>
        <w:r w:rsidR="002D4A5D">
          <w:rPr>
            <w:rFonts w:asciiTheme="minorHAnsi" w:eastAsiaTheme="minorEastAsia" w:hAnsiTheme="minorHAnsi" w:cstheme="minorBidi"/>
            <w:kern w:val="2"/>
            <w:sz w:val="22"/>
            <w:szCs w:val="22"/>
            <w:lang w:eastAsia="en-GB"/>
            <w14:ligatures w14:val="standardContextual"/>
          </w:rPr>
          <w:tab/>
        </w:r>
        <w:r w:rsidR="002D4A5D" w:rsidRPr="00630BD8">
          <w:rPr>
            <w:rStyle w:val="Hyperlink"/>
          </w:rPr>
          <w:t>Suggested improvement areas</w:t>
        </w:r>
        <w:r w:rsidR="002D4A5D">
          <w:rPr>
            <w:webHidden/>
          </w:rPr>
          <w:tab/>
        </w:r>
        <w:r w:rsidR="002D4A5D">
          <w:rPr>
            <w:webHidden/>
          </w:rPr>
          <w:fldChar w:fldCharType="begin"/>
        </w:r>
        <w:r w:rsidR="002D4A5D">
          <w:rPr>
            <w:webHidden/>
          </w:rPr>
          <w:instrText xml:space="preserve"> PAGEREF _Toc141346136 \h </w:instrText>
        </w:r>
        <w:r w:rsidR="002D4A5D">
          <w:rPr>
            <w:webHidden/>
          </w:rPr>
        </w:r>
        <w:r w:rsidR="002D4A5D">
          <w:rPr>
            <w:webHidden/>
          </w:rPr>
          <w:fldChar w:fldCharType="separate"/>
        </w:r>
        <w:r w:rsidR="002D4A5D">
          <w:rPr>
            <w:webHidden/>
          </w:rPr>
          <w:t>7</w:t>
        </w:r>
        <w:r w:rsidR="002D4A5D">
          <w:rPr>
            <w:webHidden/>
          </w:rPr>
          <w:fldChar w:fldCharType="end"/>
        </w:r>
      </w:hyperlink>
    </w:p>
    <w:p w14:paraId="629BD537" w14:textId="44BF3072" w:rsidR="002D4A5D" w:rsidRDefault="001C2C97">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41346137" w:history="1">
        <w:r w:rsidR="002D4A5D" w:rsidRPr="00630BD8">
          <w:rPr>
            <w:rStyle w:val="Hyperlink"/>
            <w:noProof/>
          </w:rPr>
          <w:t>4.1</w:t>
        </w:r>
        <w:r w:rsidR="002D4A5D">
          <w:rPr>
            <w:rFonts w:asciiTheme="minorHAnsi" w:eastAsiaTheme="minorEastAsia" w:hAnsiTheme="minorHAnsi" w:cstheme="minorBidi"/>
            <w:noProof/>
            <w:kern w:val="2"/>
            <w:sz w:val="22"/>
            <w:szCs w:val="22"/>
            <w14:ligatures w14:val="standardContextual"/>
          </w:rPr>
          <w:tab/>
        </w:r>
        <w:r w:rsidR="002D4A5D" w:rsidRPr="00630BD8">
          <w:rPr>
            <w:rStyle w:val="Hyperlink"/>
            <w:noProof/>
          </w:rPr>
          <w:t>Initial assessment</w:t>
        </w:r>
        <w:r w:rsidR="002D4A5D">
          <w:rPr>
            <w:noProof/>
            <w:webHidden/>
          </w:rPr>
          <w:tab/>
        </w:r>
        <w:r w:rsidR="002D4A5D">
          <w:rPr>
            <w:noProof/>
            <w:webHidden/>
          </w:rPr>
          <w:fldChar w:fldCharType="begin"/>
        </w:r>
        <w:r w:rsidR="002D4A5D">
          <w:rPr>
            <w:noProof/>
            <w:webHidden/>
          </w:rPr>
          <w:instrText xml:space="preserve"> PAGEREF _Toc141346137 \h </w:instrText>
        </w:r>
        <w:r w:rsidR="002D4A5D">
          <w:rPr>
            <w:noProof/>
            <w:webHidden/>
          </w:rPr>
        </w:r>
        <w:r w:rsidR="002D4A5D">
          <w:rPr>
            <w:noProof/>
            <w:webHidden/>
          </w:rPr>
          <w:fldChar w:fldCharType="separate"/>
        </w:r>
        <w:r w:rsidR="002D4A5D">
          <w:rPr>
            <w:noProof/>
            <w:webHidden/>
          </w:rPr>
          <w:t>7</w:t>
        </w:r>
        <w:r w:rsidR="002D4A5D">
          <w:rPr>
            <w:noProof/>
            <w:webHidden/>
          </w:rPr>
          <w:fldChar w:fldCharType="end"/>
        </w:r>
      </w:hyperlink>
    </w:p>
    <w:p w14:paraId="0F4F86D6" w14:textId="1EB099EE" w:rsidR="002D4A5D" w:rsidRDefault="001C2C97">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41346138" w:history="1">
        <w:r w:rsidR="002D4A5D" w:rsidRPr="00630BD8">
          <w:rPr>
            <w:rStyle w:val="Hyperlink"/>
            <w:noProof/>
          </w:rPr>
          <w:t>4.2</w:t>
        </w:r>
        <w:r w:rsidR="002D4A5D">
          <w:rPr>
            <w:rFonts w:asciiTheme="minorHAnsi" w:eastAsiaTheme="minorEastAsia" w:hAnsiTheme="minorHAnsi" w:cstheme="minorBidi"/>
            <w:noProof/>
            <w:kern w:val="2"/>
            <w:sz w:val="22"/>
            <w:szCs w:val="22"/>
            <w14:ligatures w14:val="standardContextual"/>
          </w:rPr>
          <w:tab/>
        </w:r>
        <w:r w:rsidR="002D4A5D" w:rsidRPr="00630BD8">
          <w:rPr>
            <w:rStyle w:val="Hyperlink"/>
            <w:noProof/>
          </w:rPr>
          <w:t>Prescribing antimicrobials</w:t>
        </w:r>
        <w:r w:rsidR="002D4A5D">
          <w:rPr>
            <w:noProof/>
            <w:webHidden/>
          </w:rPr>
          <w:tab/>
        </w:r>
        <w:r w:rsidR="002D4A5D">
          <w:rPr>
            <w:noProof/>
            <w:webHidden/>
          </w:rPr>
          <w:fldChar w:fldCharType="begin"/>
        </w:r>
        <w:r w:rsidR="002D4A5D">
          <w:rPr>
            <w:noProof/>
            <w:webHidden/>
          </w:rPr>
          <w:instrText xml:space="preserve"> PAGEREF _Toc141346138 \h </w:instrText>
        </w:r>
        <w:r w:rsidR="002D4A5D">
          <w:rPr>
            <w:noProof/>
            <w:webHidden/>
          </w:rPr>
        </w:r>
        <w:r w:rsidR="002D4A5D">
          <w:rPr>
            <w:noProof/>
            <w:webHidden/>
          </w:rPr>
          <w:fldChar w:fldCharType="separate"/>
        </w:r>
        <w:r w:rsidR="002D4A5D">
          <w:rPr>
            <w:noProof/>
            <w:webHidden/>
          </w:rPr>
          <w:t>10</w:t>
        </w:r>
        <w:r w:rsidR="002D4A5D">
          <w:rPr>
            <w:noProof/>
            <w:webHidden/>
          </w:rPr>
          <w:fldChar w:fldCharType="end"/>
        </w:r>
      </w:hyperlink>
    </w:p>
    <w:p w14:paraId="78F469C6" w14:textId="07543B60" w:rsidR="002D4A5D" w:rsidRDefault="001C2C97">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41346139" w:history="1">
        <w:r w:rsidR="002D4A5D" w:rsidRPr="00630BD8">
          <w:rPr>
            <w:rStyle w:val="Hyperlink"/>
            <w:noProof/>
          </w:rPr>
          <w:t>4.3</w:t>
        </w:r>
        <w:r w:rsidR="002D4A5D">
          <w:rPr>
            <w:rFonts w:asciiTheme="minorHAnsi" w:eastAsiaTheme="minorEastAsia" w:hAnsiTheme="minorHAnsi" w:cstheme="minorBidi"/>
            <w:noProof/>
            <w:kern w:val="2"/>
            <w:sz w:val="22"/>
            <w:szCs w:val="22"/>
            <w14:ligatures w14:val="standardContextual"/>
          </w:rPr>
          <w:tab/>
        </w:r>
        <w:r w:rsidR="002D4A5D" w:rsidRPr="00630BD8">
          <w:rPr>
            <w:rStyle w:val="Hyperlink"/>
            <w:noProof/>
          </w:rPr>
          <w:t>Referral criteria</w:t>
        </w:r>
        <w:r w:rsidR="002D4A5D">
          <w:rPr>
            <w:noProof/>
            <w:webHidden/>
          </w:rPr>
          <w:tab/>
        </w:r>
        <w:r w:rsidR="002D4A5D">
          <w:rPr>
            <w:noProof/>
            <w:webHidden/>
          </w:rPr>
          <w:fldChar w:fldCharType="begin"/>
        </w:r>
        <w:r w:rsidR="002D4A5D">
          <w:rPr>
            <w:noProof/>
            <w:webHidden/>
          </w:rPr>
          <w:instrText xml:space="preserve"> PAGEREF _Toc141346139 \h </w:instrText>
        </w:r>
        <w:r w:rsidR="002D4A5D">
          <w:rPr>
            <w:noProof/>
            <w:webHidden/>
          </w:rPr>
        </w:r>
        <w:r w:rsidR="002D4A5D">
          <w:rPr>
            <w:noProof/>
            <w:webHidden/>
          </w:rPr>
          <w:fldChar w:fldCharType="separate"/>
        </w:r>
        <w:r w:rsidR="002D4A5D">
          <w:rPr>
            <w:noProof/>
            <w:webHidden/>
          </w:rPr>
          <w:t>15</w:t>
        </w:r>
        <w:r w:rsidR="002D4A5D">
          <w:rPr>
            <w:noProof/>
            <w:webHidden/>
          </w:rPr>
          <w:fldChar w:fldCharType="end"/>
        </w:r>
      </w:hyperlink>
    </w:p>
    <w:p w14:paraId="538ACD4F" w14:textId="6112CD3F" w:rsidR="002D4A5D" w:rsidRDefault="001C2C97">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41346140" w:history="1">
        <w:r w:rsidR="002D4A5D" w:rsidRPr="00630BD8">
          <w:rPr>
            <w:rStyle w:val="Hyperlink"/>
            <w:noProof/>
          </w:rPr>
          <w:t>4.4</w:t>
        </w:r>
        <w:r w:rsidR="002D4A5D">
          <w:rPr>
            <w:rFonts w:asciiTheme="minorHAnsi" w:eastAsiaTheme="minorEastAsia" w:hAnsiTheme="minorHAnsi" w:cstheme="minorBidi"/>
            <w:noProof/>
            <w:kern w:val="2"/>
            <w:sz w:val="22"/>
            <w:szCs w:val="22"/>
            <w14:ligatures w14:val="standardContextual"/>
          </w:rPr>
          <w:tab/>
        </w:r>
        <w:r w:rsidR="002D4A5D" w:rsidRPr="00630BD8">
          <w:rPr>
            <w:rStyle w:val="Hyperlink"/>
            <w:noProof/>
          </w:rPr>
          <w:t>Virtual wards: care and support</w:t>
        </w:r>
        <w:r w:rsidR="002D4A5D">
          <w:rPr>
            <w:noProof/>
            <w:webHidden/>
          </w:rPr>
          <w:tab/>
        </w:r>
        <w:r w:rsidR="002D4A5D">
          <w:rPr>
            <w:noProof/>
            <w:webHidden/>
          </w:rPr>
          <w:fldChar w:fldCharType="begin"/>
        </w:r>
        <w:r w:rsidR="002D4A5D">
          <w:rPr>
            <w:noProof/>
            <w:webHidden/>
          </w:rPr>
          <w:instrText xml:space="preserve"> PAGEREF _Toc141346140 \h </w:instrText>
        </w:r>
        <w:r w:rsidR="002D4A5D">
          <w:rPr>
            <w:noProof/>
            <w:webHidden/>
          </w:rPr>
        </w:r>
        <w:r w:rsidR="002D4A5D">
          <w:rPr>
            <w:noProof/>
            <w:webHidden/>
          </w:rPr>
          <w:fldChar w:fldCharType="separate"/>
        </w:r>
        <w:r w:rsidR="002D4A5D">
          <w:rPr>
            <w:noProof/>
            <w:webHidden/>
          </w:rPr>
          <w:t>18</w:t>
        </w:r>
        <w:r w:rsidR="002D4A5D">
          <w:rPr>
            <w:noProof/>
            <w:webHidden/>
          </w:rPr>
          <w:fldChar w:fldCharType="end"/>
        </w:r>
      </w:hyperlink>
    </w:p>
    <w:p w14:paraId="0EF33D9F" w14:textId="4CD2002D" w:rsidR="002D4A5D" w:rsidRDefault="001C2C97">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41346141" w:history="1">
        <w:r w:rsidR="002D4A5D" w:rsidRPr="00630BD8">
          <w:rPr>
            <w:rStyle w:val="Hyperlink"/>
            <w:noProof/>
          </w:rPr>
          <w:t>4.5</w:t>
        </w:r>
        <w:r w:rsidR="002D4A5D">
          <w:rPr>
            <w:rFonts w:asciiTheme="minorHAnsi" w:eastAsiaTheme="minorEastAsia" w:hAnsiTheme="minorHAnsi" w:cstheme="minorBidi"/>
            <w:noProof/>
            <w:kern w:val="2"/>
            <w:sz w:val="22"/>
            <w:szCs w:val="22"/>
            <w14:ligatures w14:val="standardContextual"/>
          </w:rPr>
          <w:tab/>
        </w:r>
        <w:r w:rsidR="002D4A5D" w:rsidRPr="00630BD8">
          <w:rPr>
            <w:rStyle w:val="Hyperlink"/>
            <w:noProof/>
          </w:rPr>
          <w:t>Virtual wards: service provision</w:t>
        </w:r>
        <w:r w:rsidR="002D4A5D">
          <w:rPr>
            <w:noProof/>
            <w:webHidden/>
          </w:rPr>
          <w:tab/>
        </w:r>
        <w:r w:rsidR="002D4A5D">
          <w:rPr>
            <w:noProof/>
            <w:webHidden/>
          </w:rPr>
          <w:fldChar w:fldCharType="begin"/>
        </w:r>
        <w:r w:rsidR="002D4A5D">
          <w:rPr>
            <w:noProof/>
            <w:webHidden/>
          </w:rPr>
          <w:instrText xml:space="preserve"> PAGEREF _Toc141346141 \h </w:instrText>
        </w:r>
        <w:r w:rsidR="002D4A5D">
          <w:rPr>
            <w:noProof/>
            <w:webHidden/>
          </w:rPr>
        </w:r>
        <w:r w:rsidR="002D4A5D">
          <w:rPr>
            <w:noProof/>
            <w:webHidden/>
          </w:rPr>
          <w:fldChar w:fldCharType="separate"/>
        </w:r>
        <w:r w:rsidR="002D4A5D">
          <w:rPr>
            <w:noProof/>
            <w:webHidden/>
          </w:rPr>
          <w:t>22</w:t>
        </w:r>
        <w:r w:rsidR="002D4A5D">
          <w:rPr>
            <w:noProof/>
            <w:webHidden/>
          </w:rPr>
          <w:fldChar w:fldCharType="end"/>
        </w:r>
      </w:hyperlink>
    </w:p>
    <w:p w14:paraId="248FC226" w14:textId="367A4AC7" w:rsidR="002D4A5D" w:rsidRDefault="001C2C97">
      <w:pPr>
        <w:pStyle w:val="TOC2"/>
        <w:tabs>
          <w:tab w:val="left" w:pos="1276"/>
          <w:tab w:val="right" w:leader="dot" w:pos="9016"/>
        </w:tabs>
        <w:rPr>
          <w:rFonts w:asciiTheme="minorHAnsi" w:eastAsiaTheme="minorEastAsia" w:hAnsiTheme="minorHAnsi" w:cstheme="minorBidi"/>
          <w:noProof/>
          <w:kern w:val="2"/>
          <w:sz w:val="22"/>
          <w:szCs w:val="22"/>
          <w14:ligatures w14:val="standardContextual"/>
        </w:rPr>
      </w:pPr>
      <w:hyperlink w:anchor="_Toc141346142" w:history="1">
        <w:r w:rsidR="002D4A5D" w:rsidRPr="00630BD8">
          <w:rPr>
            <w:rStyle w:val="Hyperlink"/>
            <w:noProof/>
          </w:rPr>
          <w:t>4.6</w:t>
        </w:r>
        <w:r w:rsidR="002D4A5D">
          <w:rPr>
            <w:rFonts w:asciiTheme="minorHAnsi" w:eastAsiaTheme="minorEastAsia" w:hAnsiTheme="minorHAnsi" w:cstheme="minorBidi"/>
            <w:noProof/>
            <w:kern w:val="2"/>
            <w:sz w:val="22"/>
            <w:szCs w:val="22"/>
            <w14:ligatures w14:val="standardContextual"/>
          </w:rPr>
          <w:tab/>
        </w:r>
        <w:r w:rsidR="002D4A5D" w:rsidRPr="00630BD8">
          <w:rPr>
            <w:rStyle w:val="Hyperlink"/>
            <w:noProof/>
          </w:rPr>
          <w:t>Additional areas</w:t>
        </w:r>
        <w:r w:rsidR="002D4A5D">
          <w:rPr>
            <w:noProof/>
            <w:webHidden/>
          </w:rPr>
          <w:tab/>
        </w:r>
        <w:r w:rsidR="002D4A5D">
          <w:rPr>
            <w:noProof/>
            <w:webHidden/>
          </w:rPr>
          <w:fldChar w:fldCharType="begin"/>
        </w:r>
        <w:r w:rsidR="002D4A5D">
          <w:rPr>
            <w:noProof/>
            <w:webHidden/>
          </w:rPr>
          <w:instrText xml:space="preserve"> PAGEREF _Toc141346142 \h </w:instrText>
        </w:r>
        <w:r w:rsidR="002D4A5D">
          <w:rPr>
            <w:noProof/>
            <w:webHidden/>
          </w:rPr>
        </w:r>
        <w:r w:rsidR="002D4A5D">
          <w:rPr>
            <w:noProof/>
            <w:webHidden/>
          </w:rPr>
          <w:fldChar w:fldCharType="separate"/>
        </w:r>
        <w:r w:rsidR="002D4A5D">
          <w:rPr>
            <w:noProof/>
            <w:webHidden/>
          </w:rPr>
          <w:t>24</w:t>
        </w:r>
        <w:r w:rsidR="002D4A5D">
          <w:rPr>
            <w:noProof/>
            <w:webHidden/>
          </w:rPr>
          <w:fldChar w:fldCharType="end"/>
        </w:r>
      </w:hyperlink>
    </w:p>
    <w:p w14:paraId="3A17E6EC" w14:textId="76D3DB88" w:rsidR="002D4A5D" w:rsidRDefault="001C2C97">
      <w:pPr>
        <w:pStyle w:val="TOC1"/>
        <w:rPr>
          <w:rFonts w:asciiTheme="minorHAnsi" w:eastAsiaTheme="minorEastAsia" w:hAnsiTheme="minorHAnsi" w:cstheme="minorBidi"/>
          <w:kern w:val="2"/>
          <w:sz w:val="22"/>
          <w:szCs w:val="22"/>
          <w:lang w:eastAsia="en-GB"/>
          <w14:ligatures w14:val="standardContextual"/>
        </w:rPr>
      </w:pPr>
      <w:hyperlink w:anchor="_Toc141346143" w:history="1">
        <w:r w:rsidR="002D4A5D" w:rsidRPr="00630BD8">
          <w:rPr>
            <w:rStyle w:val="Hyperlink"/>
          </w:rPr>
          <w:t>Appendix 1: Additional information</w:t>
        </w:r>
        <w:r w:rsidR="002D4A5D">
          <w:rPr>
            <w:webHidden/>
          </w:rPr>
          <w:tab/>
        </w:r>
        <w:r w:rsidR="002D4A5D">
          <w:rPr>
            <w:webHidden/>
          </w:rPr>
          <w:fldChar w:fldCharType="begin"/>
        </w:r>
        <w:r w:rsidR="002D4A5D">
          <w:rPr>
            <w:webHidden/>
          </w:rPr>
          <w:instrText xml:space="preserve"> PAGEREF _Toc141346143 \h </w:instrText>
        </w:r>
        <w:r w:rsidR="002D4A5D">
          <w:rPr>
            <w:webHidden/>
          </w:rPr>
        </w:r>
        <w:r w:rsidR="002D4A5D">
          <w:rPr>
            <w:webHidden/>
          </w:rPr>
          <w:fldChar w:fldCharType="separate"/>
        </w:r>
        <w:r w:rsidR="002D4A5D">
          <w:rPr>
            <w:webHidden/>
          </w:rPr>
          <w:t>26</w:t>
        </w:r>
        <w:r w:rsidR="002D4A5D">
          <w:rPr>
            <w:webHidden/>
          </w:rPr>
          <w:fldChar w:fldCharType="end"/>
        </w:r>
      </w:hyperlink>
    </w:p>
    <w:p w14:paraId="4202D1A3" w14:textId="512719E2" w:rsidR="002D4A5D" w:rsidRDefault="001C2C97">
      <w:pPr>
        <w:pStyle w:val="TOC1"/>
        <w:rPr>
          <w:rFonts w:asciiTheme="minorHAnsi" w:eastAsiaTheme="minorEastAsia" w:hAnsiTheme="minorHAnsi" w:cstheme="minorBidi"/>
          <w:kern w:val="2"/>
          <w:sz w:val="22"/>
          <w:szCs w:val="22"/>
          <w:lang w:eastAsia="en-GB"/>
          <w14:ligatures w14:val="standardContextual"/>
        </w:rPr>
      </w:pPr>
      <w:hyperlink w:anchor="_Toc141346144" w:history="1">
        <w:r w:rsidR="002D4A5D" w:rsidRPr="00630BD8">
          <w:rPr>
            <w:rStyle w:val="Hyperlink"/>
          </w:rPr>
          <w:t>Appendix 2: Suggestions from stakeholders</w:t>
        </w:r>
        <w:r w:rsidR="002D4A5D">
          <w:rPr>
            <w:webHidden/>
          </w:rPr>
          <w:tab/>
        </w:r>
        <w:r w:rsidR="002D4A5D">
          <w:rPr>
            <w:webHidden/>
          </w:rPr>
          <w:fldChar w:fldCharType="begin"/>
        </w:r>
        <w:r w:rsidR="002D4A5D">
          <w:rPr>
            <w:webHidden/>
          </w:rPr>
          <w:instrText xml:space="preserve"> PAGEREF _Toc141346144 \h </w:instrText>
        </w:r>
        <w:r w:rsidR="002D4A5D">
          <w:rPr>
            <w:webHidden/>
          </w:rPr>
        </w:r>
        <w:r w:rsidR="002D4A5D">
          <w:rPr>
            <w:webHidden/>
          </w:rPr>
          <w:fldChar w:fldCharType="separate"/>
        </w:r>
        <w:r w:rsidR="002D4A5D">
          <w:rPr>
            <w:webHidden/>
          </w:rPr>
          <w:t>28</w:t>
        </w:r>
        <w:r w:rsidR="002D4A5D">
          <w:rPr>
            <w:webHidden/>
          </w:rPr>
          <w:fldChar w:fldCharType="end"/>
        </w:r>
      </w:hyperlink>
    </w:p>
    <w:p w14:paraId="1859272B" w14:textId="77777777" w:rsidR="00A673EB" w:rsidRDefault="00702177" w:rsidP="00A673EB">
      <w:pPr>
        <w:pStyle w:val="NICEnormal"/>
      </w:pPr>
      <w:r>
        <w:fldChar w:fldCharType="end"/>
      </w:r>
    </w:p>
    <w:p w14:paraId="2F40514C" w14:textId="77777777" w:rsidR="00A673EB" w:rsidRDefault="00A673EB">
      <w:pPr>
        <w:rPr>
          <w:rFonts w:ascii="Arial" w:hAnsi="Arial"/>
        </w:rPr>
      </w:pPr>
      <w:r>
        <w:br w:type="page"/>
      </w:r>
    </w:p>
    <w:p w14:paraId="517B9EAF" w14:textId="77777777" w:rsidR="002C296A" w:rsidRDefault="002C296A" w:rsidP="00A673EB">
      <w:pPr>
        <w:pStyle w:val="Numberedheading1"/>
      </w:pPr>
      <w:bookmarkStart w:id="51" w:name="_Toc141346127"/>
      <w:r w:rsidRPr="00A673EB">
        <w:lastRenderedPageBreak/>
        <w:t>Introduction</w:t>
      </w:r>
      <w:bookmarkEnd w:id="51"/>
    </w:p>
    <w:p w14:paraId="0E8383C2" w14:textId="4EE6D29D"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3656A5">
        <w:t>acute respiratory infections and virtual wards</w:t>
      </w:r>
      <w:r w:rsidRPr="00D16D6B">
        <w:t>.</w:t>
      </w:r>
      <w:r>
        <w:t xml:space="preserve"> </w:t>
      </w:r>
      <w:r w:rsidRPr="00E10156">
        <w:t xml:space="preserve">It provides the </w:t>
      </w:r>
      <w:r w:rsidR="00EB6463">
        <w:t xml:space="preserve">working group </w:t>
      </w:r>
      <w:r w:rsidRPr="00E10156">
        <w:t>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65BD3803" w14:textId="74A163FA"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r w:rsidR="002D4A5D">
        <w:t xml:space="preserve"> </w:t>
      </w:r>
      <w:r w:rsidR="006F5EAB">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EB6463">
        <w:t xml:space="preserve">group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271AA6A7" w14:textId="50B7E9CD" w:rsidR="00C22DED" w:rsidRPr="00D862D3" w:rsidRDefault="000750FD" w:rsidP="00D862D3">
      <w:pPr>
        <w:pStyle w:val="Numberedheading2"/>
      </w:pPr>
      <w:bookmarkStart w:id="52" w:name="_Toc71289585"/>
      <w:bookmarkStart w:id="53" w:name="_Toc71289684"/>
      <w:bookmarkStart w:id="54" w:name="_Toc71290377"/>
      <w:bookmarkStart w:id="55" w:name="_Toc71542842"/>
      <w:bookmarkStart w:id="56" w:name="_Toc140861589"/>
      <w:bookmarkStart w:id="57" w:name="_Toc141178233"/>
      <w:bookmarkStart w:id="58" w:name="_Toc141346128"/>
      <w:r w:rsidRPr="00D862D3">
        <w:t>D</w:t>
      </w:r>
      <w:r w:rsidR="00C22DED" w:rsidRPr="00D862D3">
        <w:t>evelopment source</w:t>
      </w:r>
      <w:bookmarkEnd w:id="52"/>
      <w:bookmarkEnd w:id="53"/>
      <w:bookmarkEnd w:id="54"/>
      <w:bookmarkEnd w:id="55"/>
      <w:r w:rsidR="00031A6B">
        <w:t>s</w:t>
      </w:r>
      <w:bookmarkEnd w:id="56"/>
      <w:bookmarkEnd w:id="57"/>
      <w:bookmarkEnd w:id="58"/>
    </w:p>
    <w:p w14:paraId="44782D29" w14:textId="50A37A4A" w:rsidR="00C22DED" w:rsidRPr="00E10156"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772991E5" w14:textId="2B3A1264" w:rsidR="007A0EC0" w:rsidRDefault="001C2C97" w:rsidP="00FB13D0">
      <w:pPr>
        <w:pStyle w:val="Bulletparagraph"/>
      </w:pPr>
      <w:hyperlink r:id="rId8" w:history="1">
        <w:r w:rsidR="007A0EC0">
          <w:rPr>
            <w:rStyle w:val="Hyperlink"/>
          </w:rPr>
          <w:t>A</w:t>
        </w:r>
        <w:r w:rsidR="007A0EC0" w:rsidRPr="002C6587">
          <w:rPr>
            <w:rStyle w:val="Hyperlink"/>
          </w:rPr>
          <w:t>cute respiratory infection in over 16s: initial assessment and management</w:t>
        </w:r>
      </w:hyperlink>
      <w:r w:rsidR="007A0EC0">
        <w:t xml:space="preserve"> (in development, publication expected October 2023)</w:t>
      </w:r>
    </w:p>
    <w:p w14:paraId="1F838EA9" w14:textId="24BA2080" w:rsidR="00E45FCF" w:rsidRDefault="001C2C97" w:rsidP="00FB13D0">
      <w:pPr>
        <w:pStyle w:val="Bulletparagraph"/>
      </w:pPr>
      <w:hyperlink r:id="rId9" w:history="1">
        <w:r w:rsidR="00E45FCF" w:rsidRPr="00801A6D">
          <w:rPr>
            <w:rStyle w:val="Hyperlink"/>
          </w:rPr>
          <w:t>Virtual wards platform technologies for acute respiratory infections</w:t>
        </w:r>
      </w:hyperlink>
      <w:r w:rsidR="00E45FCF">
        <w:t xml:space="preserve"> (in development, publication expected October 2023)</w:t>
      </w:r>
    </w:p>
    <w:p w14:paraId="4233C207" w14:textId="277B7511" w:rsidR="001F7561" w:rsidRDefault="001C2C97" w:rsidP="00FB13D0">
      <w:pPr>
        <w:pStyle w:val="Bulletparagraph"/>
      </w:pPr>
      <w:hyperlink r:id="rId10" w:history="1">
        <w:r w:rsidR="001F7561" w:rsidRPr="001F7561">
          <w:rPr>
            <w:rStyle w:val="Hyperlink"/>
          </w:rPr>
          <w:t>Pneumonia (community acquired): antimicrobial prescribing NICE guideline NG138</w:t>
        </w:r>
      </w:hyperlink>
      <w:r w:rsidR="001F7561">
        <w:t xml:space="preserve"> (2019)</w:t>
      </w:r>
      <w:r w:rsidR="000309C2">
        <w:t>. This guideline i</w:t>
      </w:r>
      <w:r w:rsidR="00431C31">
        <w:t>s</w:t>
      </w:r>
      <w:r w:rsidR="000309C2">
        <w:t xml:space="preserve"> being updated.</w:t>
      </w:r>
    </w:p>
    <w:p w14:paraId="66D87FE2" w14:textId="314E6B62" w:rsidR="005C78BB" w:rsidRDefault="001C2C97" w:rsidP="00FB13D0">
      <w:pPr>
        <w:pStyle w:val="Bulletparagraph"/>
      </w:pPr>
      <w:hyperlink r:id="rId11" w:history="1">
        <w:r w:rsidR="005C78BB" w:rsidRPr="005C78BB">
          <w:rPr>
            <w:rStyle w:val="Hyperlink"/>
          </w:rPr>
          <w:t>Cough (acute): antimicrobial prescribing NICE guideline NG120</w:t>
        </w:r>
      </w:hyperlink>
      <w:r w:rsidR="005C78BB">
        <w:t xml:space="preserve"> (2019)</w:t>
      </w:r>
    </w:p>
    <w:p w14:paraId="513F870B" w14:textId="055BC80D" w:rsidR="000309C2" w:rsidRDefault="001C2C97" w:rsidP="00FB13D0">
      <w:pPr>
        <w:pStyle w:val="Bulletparagraph"/>
      </w:pPr>
      <w:hyperlink r:id="rId12" w:history="1">
        <w:r w:rsidR="000309C2" w:rsidRPr="000309C2">
          <w:rPr>
            <w:rStyle w:val="Hyperlink"/>
          </w:rPr>
          <w:t>Chronic obstructive pulmonary disease in over 16s: diagnosis and management NICE guideline NG115</w:t>
        </w:r>
      </w:hyperlink>
      <w:r w:rsidR="000309C2">
        <w:t xml:space="preserve"> (2019). Reviewed in 2022 and no changes made.</w:t>
      </w:r>
    </w:p>
    <w:p w14:paraId="62F85A31" w14:textId="7B09A574" w:rsidR="00EA5694" w:rsidRDefault="001C2C97" w:rsidP="00FB13D0">
      <w:pPr>
        <w:pStyle w:val="Bulletparagraph"/>
      </w:pPr>
      <w:hyperlink r:id="rId13" w:history="1">
        <w:r w:rsidR="00EA5694">
          <w:rPr>
            <w:rStyle w:val="Hyperlink"/>
          </w:rPr>
          <w:t>C</w:t>
        </w:r>
        <w:r w:rsidR="00EA5694" w:rsidRPr="00044F18">
          <w:rPr>
            <w:rStyle w:val="Hyperlink"/>
          </w:rPr>
          <w:t>hronic obstructive pulmonary disease (acute exacerbation): antimicrobial prescribing</w:t>
        </w:r>
      </w:hyperlink>
      <w:r w:rsidR="00EA5694">
        <w:rPr>
          <w:rStyle w:val="Hyperlink"/>
        </w:rPr>
        <w:t xml:space="preserve"> NICE guideline</w:t>
      </w:r>
      <w:r w:rsidR="00EA5694">
        <w:t xml:space="preserve"> NG114 (2018). </w:t>
      </w:r>
      <w:r w:rsidR="00EA5694" w:rsidRPr="00EA5694">
        <w:t>Last reviewed in 2019 and no changes made.</w:t>
      </w:r>
    </w:p>
    <w:p w14:paraId="1FF2A562" w14:textId="287A582F" w:rsidR="00031A6B" w:rsidRDefault="001C2C97" w:rsidP="00FB13D0">
      <w:pPr>
        <w:pStyle w:val="Bulletparagraph"/>
      </w:pPr>
      <w:hyperlink r:id="rId14" w:history="1">
        <w:r w:rsidR="00031A6B" w:rsidRPr="00031A6B">
          <w:rPr>
            <w:rStyle w:val="Hyperlink"/>
          </w:rPr>
          <w:t>Emergency and acute medical care in over 16s: service delivery and organisation NICE guideline NG94</w:t>
        </w:r>
      </w:hyperlink>
      <w:r w:rsidR="00031A6B">
        <w:t xml:space="preserve"> (2018). </w:t>
      </w:r>
    </w:p>
    <w:p w14:paraId="151D7D87" w14:textId="7895C4C9" w:rsidR="00F42482" w:rsidRDefault="001C2C97" w:rsidP="00FB13D0">
      <w:pPr>
        <w:pStyle w:val="Bulletparagraph"/>
      </w:pPr>
      <w:hyperlink r:id="rId15" w:history="1">
        <w:r w:rsidR="00F42482" w:rsidRPr="00F42482">
          <w:rPr>
            <w:rStyle w:val="Hyperlink"/>
          </w:rPr>
          <w:t>Sore throat (acute): antimicrobial prescribing NICE guideline NG84</w:t>
        </w:r>
      </w:hyperlink>
      <w:r w:rsidR="00F42482">
        <w:t xml:space="preserve"> (2018). </w:t>
      </w:r>
      <w:r w:rsidR="00F42482" w:rsidRPr="00F42482">
        <w:t>Last reviewed in 2019 and no changes made.</w:t>
      </w:r>
    </w:p>
    <w:p w14:paraId="28C705B6" w14:textId="24AB3853" w:rsidR="007A0EC0" w:rsidRDefault="001C2C97" w:rsidP="00FB13D0">
      <w:pPr>
        <w:pStyle w:val="Bulletparagraph"/>
      </w:pPr>
      <w:hyperlink r:id="rId16" w:history="1">
        <w:r w:rsidR="007A0EC0" w:rsidRPr="00E33575">
          <w:rPr>
            <w:rStyle w:val="Hyperlink"/>
          </w:rPr>
          <w:t>Sinusitis (acute): antimicrobial prescribing NICE guideline NG79</w:t>
        </w:r>
      </w:hyperlink>
      <w:r w:rsidR="007A0EC0">
        <w:t xml:space="preserve"> (2017). </w:t>
      </w:r>
      <w:r w:rsidR="00E33575">
        <w:t>Last reviewed in 2019 and no changes made.</w:t>
      </w:r>
    </w:p>
    <w:p w14:paraId="2728B063" w14:textId="579C91CE" w:rsidR="001F7561" w:rsidRDefault="001C2C97" w:rsidP="00FB13D0">
      <w:pPr>
        <w:pStyle w:val="Bulletparagraph"/>
      </w:pPr>
      <w:hyperlink r:id="rId17" w:history="1">
        <w:r w:rsidR="001F7561" w:rsidRPr="001F7561">
          <w:rPr>
            <w:rStyle w:val="Hyperlink"/>
          </w:rPr>
          <w:t>Antimicrobial stewardship: changing risk-related behaviours in the general population NICE guideline NG63</w:t>
        </w:r>
      </w:hyperlink>
      <w:r w:rsidR="001F7561">
        <w:t xml:space="preserve"> (2017). </w:t>
      </w:r>
    </w:p>
    <w:p w14:paraId="0A7D17D9" w14:textId="71AE5357" w:rsidR="00031A6B" w:rsidRDefault="001C2C97" w:rsidP="00FB13D0">
      <w:pPr>
        <w:pStyle w:val="Bulletparagraph"/>
      </w:pPr>
      <w:hyperlink r:id="rId18" w:history="1">
        <w:r w:rsidR="00031A6B" w:rsidRPr="00031A6B">
          <w:rPr>
            <w:rStyle w:val="Hyperlink"/>
          </w:rPr>
          <w:t>Antimicrobial stewardship: systems and processes for effective antimicrobial medicine use. NICE guideline NG15</w:t>
        </w:r>
      </w:hyperlink>
      <w:r w:rsidR="00031A6B">
        <w:t xml:space="preserve"> (2015).</w:t>
      </w:r>
      <w:r w:rsidR="00031A6B" w:rsidRPr="00031A6B">
        <w:t xml:space="preserve"> Last reviewed in 201</w:t>
      </w:r>
      <w:r w:rsidR="00031A6B">
        <w:t>8</w:t>
      </w:r>
      <w:r w:rsidR="00031A6B" w:rsidRPr="00031A6B">
        <w:t xml:space="preserve"> and no changes made</w:t>
      </w:r>
      <w:r w:rsidR="005C78BB">
        <w:t>.</w:t>
      </w:r>
    </w:p>
    <w:p w14:paraId="6C72D910" w14:textId="3A302F4F" w:rsidR="00031A6B" w:rsidRDefault="001C2C97" w:rsidP="00FB13D0">
      <w:pPr>
        <w:pStyle w:val="Bulletparagraph"/>
      </w:pPr>
      <w:hyperlink r:id="rId19" w:history="1">
        <w:r w:rsidR="00031A6B" w:rsidRPr="001F7561">
          <w:rPr>
            <w:rStyle w:val="Hyperlink"/>
          </w:rPr>
          <w:t>Pneumonia in adults: diagnosis and management NICE guideline CG191</w:t>
        </w:r>
      </w:hyperlink>
      <w:r w:rsidR="00031A6B">
        <w:t xml:space="preserve"> (2014, updated 2022). This guideline is being updated.</w:t>
      </w:r>
    </w:p>
    <w:p w14:paraId="13856469" w14:textId="18B6FF36" w:rsidR="00EF06EE" w:rsidRDefault="001C2C97" w:rsidP="00FB13D0">
      <w:pPr>
        <w:pStyle w:val="Bulletparagraph"/>
      </w:pPr>
      <w:hyperlink r:id="rId20" w:history="1">
        <w:r w:rsidR="00EF06EE" w:rsidRPr="00EF06EE">
          <w:rPr>
            <w:rStyle w:val="Hyperlink"/>
          </w:rPr>
          <w:t>Patient experience in adult NHS services: improving the experience of care for people using adult NHS services NICE guideline CG138</w:t>
        </w:r>
      </w:hyperlink>
      <w:r w:rsidR="00EF06EE">
        <w:t xml:space="preserve"> (2012, updated 2021).</w:t>
      </w:r>
    </w:p>
    <w:p w14:paraId="2B197031" w14:textId="77777777" w:rsidR="002C296A" w:rsidRDefault="002C296A" w:rsidP="002C296A">
      <w:pPr>
        <w:pStyle w:val="Numberedheading1"/>
      </w:pPr>
      <w:bookmarkStart w:id="59" w:name="_Toc141346129"/>
      <w:r>
        <w:lastRenderedPageBreak/>
        <w:t>Overview</w:t>
      </w:r>
      <w:bookmarkEnd w:id="59"/>
    </w:p>
    <w:p w14:paraId="09F1C70B" w14:textId="77777777" w:rsidR="002C296A" w:rsidRDefault="002C296A" w:rsidP="002C296A">
      <w:pPr>
        <w:pStyle w:val="Numberedheading2"/>
      </w:pPr>
      <w:bookmarkStart w:id="60" w:name="_Toc71289587"/>
      <w:bookmarkStart w:id="61" w:name="_Toc71289686"/>
      <w:bookmarkStart w:id="62" w:name="_Toc71290379"/>
      <w:bookmarkStart w:id="63" w:name="_Toc71542844"/>
      <w:bookmarkStart w:id="64" w:name="_Toc140861591"/>
      <w:bookmarkStart w:id="65" w:name="_Toc141178235"/>
      <w:bookmarkStart w:id="66" w:name="_Toc141346130"/>
      <w:r>
        <w:t>Focus of quality standard</w:t>
      </w:r>
      <w:bookmarkEnd w:id="60"/>
      <w:bookmarkEnd w:id="61"/>
      <w:bookmarkEnd w:id="62"/>
      <w:bookmarkEnd w:id="63"/>
      <w:bookmarkEnd w:id="64"/>
      <w:bookmarkEnd w:id="65"/>
      <w:bookmarkEnd w:id="66"/>
    </w:p>
    <w:p w14:paraId="50D62717" w14:textId="77777777" w:rsidR="00B63E33" w:rsidRDefault="003656A5" w:rsidP="00B63E33">
      <w:pPr>
        <w:pStyle w:val="Paragraph"/>
      </w:pPr>
      <w:r w:rsidRPr="003656A5">
        <w:t xml:space="preserve">This quality standard covers the assessment and referral of adults </w:t>
      </w:r>
      <w:r w:rsidR="00236F90">
        <w:t xml:space="preserve">aged 16 and over </w:t>
      </w:r>
      <w:r w:rsidRPr="003656A5">
        <w:t>with acute respiratory infection and the provision of virtual wards for adults with acute respiratory infection</w:t>
      </w:r>
      <w:r>
        <w:t>.</w:t>
      </w:r>
      <w:r w:rsidR="00B63E33">
        <w:t xml:space="preserve"> It includes people with co-morbidities that may affect their risk such as chronic obstructive pulmonary disease. It does not include people with: </w:t>
      </w:r>
    </w:p>
    <w:p w14:paraId="036607D3" w14:textId="6B9F4A36" w:rsidR="00B63E33" w:rsidRDefault="00B63E33" w:rsidP="00FB13D0">
      <w:pPr>
        <w:pStyle w:val="Bulletparagraph"/>
      </w:pPr>
      <w:r>
        <w:t xml:space="preserve">known COVID-19 </w:t>
      </w:r>
    </w:p>
    <w:p w14:paraId="4492B8B0" w14:textId="60A5799F" w:rsidR="00B63E33" w:rsidRDefault="00B63E33" w:rsidP="00FB13D0">
      <w:pPr>
        <w:pStyle w:val="Bulletparagraph"/>
      </w:pPr>
      <w:r>
        <w:t xml:space="preserve">respiratory infections acquired while inpatients in </w:t>
      </w:r>
      <w:proofErr w:type="gramStart"/>
      <w:r>
        <w:t>hospital</w:t>
      </w:r>
      <w:proofErr w:type="gramEnd"/>
    </w:p>
    <w:p w14:paraId="3BCE1242" w14:textId="4737B0E9" w:rsidR="00B63E33" w:rsidRDefault="00B63E33" w:rsidP="00FB13D0">
      <w:pPr>
        <w:pStyle w:val="Bulletparagraph"/>
      </w:pPr>
      <w:r>
        <w:t xml:space="preserve">a respiratory infection during end-of-life care </w:t>
      </w:r>
    </w:p>
    <w:p w14:paraId="6CFDEAE7" w14:textId="11003582" w:rsidR="00B63E33" w:rsidRDefault="00B63E33" w:rsidP="00FB13D0">
      <w:pPr>
        <w:pStyle w:val="Bulletparagraph"/>
      </w:pPr>
      <w:r>
        <w:t>aspiration pneumonia</w:t>
      </w:r>
    </w:p>
    <w:p w14:paraId="1B6DB02A" w14:textId="4F8828F6" w:rsidR="00BF70EA" w:rsidRDefault="00B63E33" w:rsidP="00FB13D0">
      <w:pPr>
        <w:pStyle w:val="Bulletparagraph"/>
      </w:pPr>
      <w:r>
        <w:t>bronchiectasis or cystic fibrosis (</w:t>
      </w:r>
      <w:r w:rsidR="00243B3D">
        <w:t>as they should have plans in place to manage infections).</w:t>
      </w:r>
    </w:p>
    <w:p w14:paraId="68679155" w14:textId="77777777" w:rsidR="002C296A" w:rsidRDefault="002C296A" w:rsidP="00BF70EA">
      <w:pPr>
        <w:pStyle w:val="Numberedheading2"/>
      </w:pPr>
      <w:bookmarkStart w:id="67" w:name="_Toc71289588"/>
      <w:bookmarkStart w:id="68" w:name="_Toc71289687"/>
      <w:bookmarkStart w:id="69" w:name="_Toc71290380"/>
      <w:bookmarkStart w:id="70" w:name="_Toc71542845"/>
      <w:bookmarkStart w:id="71" w:name="_Toc140861592"/>
      <w:bookmarkStart w:id="72" w:name="_Toc141178236"/>
      <w:bookmarkStart w:id="73" w:name="_Toc141346131"/>
      <w:r>
        <w:t>Definition</w:t>
      </w:r>
      <w:bookmarkEnd w:id="67"/>
      <w:bookmarkEnd w:id="68"/>
      <w:bookmarkEnd w:id="69"/>
      <w:bookmarkEnd w:id="70"/>
      <w:bookmarkEnd w:id="71"/>
      <w:bookmarkEnd w:id="72"/>
      <w:bookmarkEnd w:id="73"/>
    </w:p>
    <w:p w14:paraId="15C3B248" w14:textId="36557006" w:rsidR="00CD6079" w:rsidRDefault="00237DA1" w:rsidP="00CD6079">
      <w:pPr>
        <w:pStyle w:val="Paragraph"/>
      </w:pPr>
      <w:r>
        <w:t>Acute r</w:t>
      </w:r>
      <w:r w:rsidR="00CD6079" w:rsidRPr="00D825CA">
        <w:t>espiratory infection</w:t>
      </w:r>
      <w:r w:rsidR="00D52478">
        <w:t>s</w:t>
      </w:r>
      <w:r w:rsidR="00CD6079" w:rsidRPr="00D825CA">
        <w:t xml:space="preserve"> </w:t>
      </w:r>
      <w:r w:rsidR="00CD6079" w:rsidRPr="00CD6079">
        <w:t>are a common cause of illness in adults caused by viruses or bacteria</w:t>
      </w:r>
      <w:r w:rsidR="00D52478">
        <w:t xml:space="preserve">. They are </w:t>
      </w:r>
      <w:r w:rsidR="00CD6079" w:rsidRPr="00CD6079">
        <w:t>often self-limiting and resolve without the need for treatment. However, people with more severe symptoms or those at risk of developing serious disease may require treatment. The treatment required depends on the nature of the infection.</w:t>
      </w:r>
    </w:p>
    <w:p w14:paraId="0AC504C8" w14:textId="1ACB9A46" w:rsidR="00556834" w:rsidRDefault="009571A4" w:rsidP="00CD6079">
      <w:pPr>
        <w:pStyle w:val="Paragraph"/>
      </w:pPr>
      <w:r>
        <w:t xml:space="preserve">Upper </w:t>
      </w:r>
      <w:r w:rsidR="00391FD8">
        <w:t xml:space="preserve">respiratory tract infections </w:t>
      </w:r>
      <w:r w:rsidR="00D52478">
        <w:t xml:space="preserve">of the </w:t>
      </w:r>
      <w:r w:rsidR="00391FD8">
        <w:t>sinuses and throat</w:t>
      </w:r>
      <w:r w:rsidR="00431C31">
        <w:t xml:space="preserve"> include the c</w:t>
      </w:r>
      <w:r w:rsidR="00391FD8">
        <w:t>ommon cold</w:t>
      </w:r>
      <w:r w:rsidR="00431C31">
        <w:t>, s</w:t>
      </w:r>
      <w:r w:rsidR="00391FD8">
        <w:t>inusiti</w:t>
      </w:r>
      <w:r w:rsidR="00431C31">
        <w:t>s, t</w:t>
      </w:r>
      <w:r w:rsidR="00391FD8">
        <w:t>onsilitis</w:t>
      </w:r>
      <w:r w:rsidR="00431C31">
        <w:t xml:space="preserve"> and l</w:t>
      </w:r>
      <w:r w:rsidR="00391FD8">
        <w:t>aryngitis</w:t>
      </w:r>
      <w:r w:rsidR="00431C31">
        <w:t xml:space="preserve">. </w:t>
      </w:r>
      <w:r w:rsidR="00391FD8">
        <w:t xml:space="preserve">Lower </w:t>
      </w:r>
      <w:r w:rsidR="00BB7453">
        <w:t>respiratory tract infections</w:t>
      </w:r>
      <w:r w:rsidR="00243B3D">
        <w:t xml:space="preserve"> </w:t>
      </w:r>
      <w:r w:rsidR="00D52478">
        <w:t xml:space="preserve">of the </w:t>
      </w:r>
      <w:r w:rsidR="00243B3D">
        <w:t>airways and lungs</w:t>
      </w:r>
      <w:r w:rsidR="00926C67">
        <w:t xml:space="preserve"> include b</w:t>
      </w:r>
      <w:r w:rsidR="00BB7453">
        <w:t>ronchitis</w:t>
      </w:r>
      <w:r w:rsidR="00926C67">
        <w:t>, c</w:t>
      </w:r>
      <w:r w:rsidR="00BB7453">
        <w:t>hest infection</w:t>
      </w:r>
      <w:r w:rsidR="00926C67">
        <w:t xml:space="preserve"> and p</w:t>
      </w:r>
      <w:r w:rsidR="00BB7453">
        <w:t>neumonia</w:t>
      </w:r>
      <w:r w:rsidR="00926C67">
        <w:t xml:space="preserve">. </w:t>
      </w:r>
      <w:r w:rsidR="00BB7453">
        <w:t xml:space="preserve">Flu can be </w:t>
      </w:r>
      <w:r w:rsidR="00556834">
        <w:t xml:space="preserve">an </w:t>
      </w:r>
      <w:r w:rsidR="00BB7453">
        <w:t xml:space="preserve">upper or lower respiratory tract infection. </w:t>
      </w:r>
    </w:p>
    <w:p w14:paraId="1967DD70" w14:textId="26D67299" w:rsidR="00EB71C9" w:rsidRDefault="00BB7453" w:rsidP="00CD6079">
      <w:pPr>
        <w:pStyle w:val="Paragraph"/>
      </w:pPr>
      <w:r>
        <w:t xml:space="preserve">Lower </w:t>
      </w:r>
      <w:r w:rsidR="00243B3D">
        <w:t>respiratory tract infections</w:t>
      </w:r>
      <w:r>
        <w:t xml:space="preserve"> tend to last longer and can be more serious</w:t>
      </w:r>
      <w:r w:rsidR="00EB71C9" w:rsidRPr="00EB71C9">
        <w:t>.</w:t>
      </w:r>
    </w:p>
    <w:p w14:paraId="4C889301" w14:textId="77777777" w:rsidR="002C296A" w:rsidRPr="00FF20A8" w:rsidRDefault="002C296A" w:rsidP="002C296A">
      <w:pPr>
        <w:pStyle w:val="Numberedheading2"/>
      </w:pPr>
      <w:bookmarkStart w:id="74" w:name="_Toc71289589"/>
      <w:bookmarkStart w:id="75" w:name="_Toc71289688"/>
      <w:bookmarkStart w:id="76" w:name="_Toc71290381"/>
      <w:bookmarkStart w:id="77" w:name="_Toc71542846"/>
      <w:bookmarkStart w:id="78" w:name="_Toc140861593"/>
      <w:bookmarkStart w:id="79" w:name="_Toc141178237"/>
      <w:bookmarkStart w:id="80" w:name="_Toc141346132"/>
      <w:r>
        <w:t>Incidence and prevalence</w:t>
      </w:r>
      <w:bookmarkEnd w:id="74"/>
      <w:bookmarkEnd w:id="75"/>
      <w:bookmarkEnd w:id="76"/>
      <w:bookmarkEnd w:id="77"/>
      <w:bookmarkEnd w:id="78"/>
      <w:bookmarkEnd w:id="79"/>
      <w:bookmarkEnd w:id="80"/>
    </w:p>
    <w:p w14:paraId="2C07CF1B" w14:textId="4662C3E4" w:rsidR="00243B3D" w:rsidRDefault="001C2C97" w:rsidP="00CF5A11">
      <w:pPr>
        <w:pStyle w:val="Paragraph"/>
      </w:pPr>
      <w:hyperlink r:id="rId21" w:history="1">
        <w:r w:rsidR="00CF5A11" w:rsidRPr="009E5290">
          <w:rPr>
            <w:rStyle w:val="Hyperlink"/>
          </w:rPr>
          <w:t>NHS England and UK Health Security Agency (UKHSA) Emergency Department Syndromic Surveillance reports</w:t>
        </w:r>
      </w:hyperlink>
      <w:r w:rsidR="00CF5A11">
        <w:t xml:space="preserve"> from 2020-2022 show that acute respiratory</w:t>
      </w:r>
      <w:r w:rsidR="00315977">
        <w:t xml:space="preserve"> </w:t>
      </w:r>
      <w:r w:rsidR="00CF5A11">
        <w:t xml:space="preserve">infections are one of the most common </w:t>
      </w:r>
      <w:r w:rsidR="00CF5A11" w:rsidRPr="00F925B2">
        <w:t>reasons</w:t>
      </w:r>
      <w:r w:rsidR="00CF5A11">
        <w:t xml:space="preserve"> for emergency attendance and admission.</w:t>
      </w:r>
    </w:p>
    <w:p w14:paraId="7BDCC9A0" w14:textId="76AF28BA" w:rsidR="00566F8F" w:rsidRPr="001551EE" w:rsidRDefault="001C2C97" w:rsidP="00CF5A11">
      <w:pPr>
        <w:pStyle w:val="Paragraph"/>
      </w:pPr>
      <w:hyperlink r:id="rId22" w:history="1">
        <w:r w:rsidR="00DE70A5">
          <w:rPr>
            <w:rStyle w:val="Hyperlink"/>
          </w:rPr>
          <w:t>HES data</w:t>
        </w:r>
      </w:hyperlink>
      <w:r w:rsidR="00032031">
        <w:t xml:space="preserve"> show 444,915 admissions for acute respiratory infection</w:t>
      </w:r>
      <w:r w:rsidR="00DE70A5">
        <w:t xml:space="preserve"> in 2021-22</w:t>
      </w:r>
      <w:r w:rsidR="00032031">
        <w:t xml:space="preserve"> (ICD</w:t>
      </w:r>
      <w:r w:rsidR="00032031">
        <w:noBreakHyphen/>
        <w:t>10 codes J00 to J22).</w:t>
      </w:r>
    </w:p>
    <w:p w14:paraId="1571E454" w14:textId="791DA719" w:rsidR="009D7D09" w:rsidRDefault="001C2C97" w:rsidP="009D7D09">
      <w:pPr>
        <w:pStyle w:val="Paragraph"/>
      </w:pPr>
      <w:hyperlink r:id="rId23" w:history="1">
        <w:r w:rsidR="000E4143" w:rsidRPr="001551EE">
          <w:rPr>
            <w:rStyle w:val="Hyperlink"/>
          </w:rPr>
          <w:t>Getting it Right First Time (GIRFT) specialty respiratory report</w:t>
        </w:r>
      </w:hyperlink>
      <w:r w:rsidR="000E4143">
        <w:t xml:space="preserve"> (March 2021)</w:t>
      </w:r>
      <w:r w:rsidR="00C964C8">
        <w:t xml:space="preserve"> </w:t>
      </w:r>
      <w:r w:rsidR="000E4143">
        <w:t xml:space="preserve">states that respiratory problems </w:t>
      </w:r>
      <w:r w:rsidR="001551EE">
        <w:t xml:space="preserve">in general </w:t>
      </w:r>
      <w:r w:rsidR="000E4143">
        <w:t>were among the most common reasons for</w:t>
      </w:r>
      <w:r w:rsidR="00315977">
        <w:t xml:space="preserve"> </w:t>
      </w:r>
      <w:r w:rsidR="00C964C8">
        <w:t>g</w:t>
      </w:r>
      <w:r w:rsidR="000E4143">
        <w:t xml:space="preserve">eneral </w:t>
      </w:r>
      <w:r w:rsidR="00C964C8">
        <w:t>p</w:t>
      </w:r>
      <w:r w:rsidR="000E4143">
        <w:t>ractice consultations and for acute hospital admissions even prior to</w:t>
      </w:r>
      <w:r w:rsidR="00315977">
        <w:t xml:space="preserve"> </w:t>
      </w:r>
      <w:r w:rsidR="000E4143">
        <w:lastRenderedPageBreak/>
        <w:t>COVID-19 and that admissions are growing at around 13% annually.</w:t>
      </w:r>
      <w:r w:rsidR="00C964C8">
        <w:t xml:space="preserve"> The report h</w:t>
      </w:r>
      <w:r w:rsidR="009D7D09">
        <w:t>ighlights that pneumonia is a common problem that affects between 0.5% and 1% of adults in the UK annually. It is a common reason for admission to hospital and for death, impacting on many trusts’ mortality figures.</w:t>
      </w:r>
      <w:r w:rsidR="0007266E">
        <w:t xml:space="preserve"> The number of admissions increases during the winter with an 80% variation between August and January. </w:t>
      </w:r>
    </w:p>
    <w:p w14:paraId="261F6234" w14:textId="0FF13F95" w:rsidR="004D679E" w:rsidRDefault="001C2C97" w:rsidP="009D7D09">
      <w:pPr>
        <w:pStyle w:val="Paragraph"/>
      </w:pPr>
      <w:hyperlink r:id="rId24" w:anchor="main-findings" w:history="1">
        <w:r w:rsidR="004D679E" w:rsidRPr="009E5290">
          <w:rPr>
            <w:rStyle w:val="Hyperlink"/>
          </w:rPr>
          <w:t>The UK Health Security Agency surveillance report for influenza and other seasonal respiratory viruses in the UK, winter 2022 to 2023</w:t>
        </w:r>
      </w:hyperlink>
      <w:r w:rsidR="004D679E">
        <w:t xml:space="preserve"> </w:t>
      </w:r>
      <w:r w:rsidR="009E5290">
        <w:t>highlighted that:</w:t>
      </w:r>
    </w:p>
    <w:p w14:paraId="2D4994A1" w14:textId="3105E390" w:rsidR="00A16A70" w:rsidRDefault="00A16A70" w:rsidP="00FB13D0">
      <w:pPr>
        <w:pStyle w:val="Bulletparagraph"/>
      </w:pPr>
      <w:r w:rsidRPr="00A16A70">
        <w:t>Across the UK, influenza activity was concentrated in a relatively short period</w:t>
      </w:r>
      <w:r>
        <w:t xml:space="preserve"> in the winter of 2022 to 2023</w:t>
      </w:r>
      <w:r w:rsidRPr="00A16A70">
        <w:t>, and relatively early within the typical seasonal range</w:t>
      </w:r>
      <w:r>
        <w:t xml:space="preserve"> (</w:t>
      </w:r>
      <w:r w:rsidRPr="00A16A70">
        <w:t>week 48 2022 to week 3 2023</w:t>
      </w:r>
      <w:r>
        <w:t>).</w:t>
      </w:r>
    </w:p>
    <w:p w14:paraId="4DA4001E" w14:textId="2657C4E9" w:rsidR="009E5290" w:rsidRDefault="00A16A70" w:rsidP="00FB13D0">
      <w:pPr>
        <w:pStyle w:val="Bulletparagraph"/>
      </w:pPr>
      <w:r w:rsidRPr="00A16A70">
        <w:t xml:space="preserve">In primary care, </w:t>
      </w:r>
      <w:r w:rsidR="00237DA1" w:rsidRPr="00A16A70">
        <w:t xml:space="preserve">consultation rates </w:t>
      </w:r>
      <w:r w:rsidR="00237DA1">
        <w:t xml:space="preserve">for </w:t>
      </w:r>
      <w:r w:rsidRPr="00A16A70">
        <w:t>influenza-like illness were above baseline intensity levels between week 51 2022 and week 1 2023</w:t>
      </w:r>
      <w:r w:rsidR="00237DA1">
        <w:t>;</w:t>
      </w:r>
      <w:r w:rsidRPr="00A16A70">
        <w:t xml:space="preserve"> the first time since the start of the COVID-19 pandemic.</w:t>
      </w:r>
      <w:r w:rsidR="00E75FC0">
        <w:t xml:space="preserve"> </w:t>
      </w:r>
    </w:p>
    <w:p w14:paraId="1228187C" w14:textId="62F10C82" w:rsidR="008945ED" w:rsidRDefault="008945ED" w:rsidP="00FB13D0">
      <w:pPr>
        <w:pStyle w:val="Bulletparagraph"/>
      </w:pPr>
      <w:r>
        <w:t>P</w:t>
      </w:r>
      <w:r w:rsidRPr="008945ED">
        <w:t xml:space="preserve">eak rates of 111 calls and emergency department attendances for </w:t>
      </w:r>
      <w:r w:rsidR="00616A07" w:rsidRPr="00616A07">
        <w:t xml:space="preserve">influenza-like illness </w:t>
      </w:r>
      <w:r w:rsidRPr="008945ED">
        <w:t>were higher than most previous seasons between weeks 49 of 2022 and week 1 2023</w:t>
      </w:r>
      <w:r>
        <w:t>.</w:t>
      </w:r>
    </w:p>
    <w:p w14:paraId="43C615DE" w14:textId="16B830D5" w:rsidR="00A16A70" w:rsidRDefault="00A16A70" w:rsidP="00FB13D0">
      <w:pPr>
        <w:pStyle w:val="Bulletparagraph"/>
      </w:pPr>
      <w:r w:rsidRPr="00A16A70">
        <w:t xml:space="preserve">Peak hospitalisation rates </w:t>
      </w:r>
      <w:r>
        <w:t xml:space="preserve">in England </w:t>
      </w:r>
      <w:r w:rsidRPr="00A16A70">
        <w:t>were higher than previous influenza seasons</w:t>
      </w:r>
      <w:r>
        <w:t xml:space="preserve"> and t</w:t>
      </w:r>
      <w:r w:rsidRPr="00A16A70">
        <w:t xml:space="preserve">otal hospitalisations in England were </w:t>
      </w:r>
      <w:r w:rsidR="008945ED">
        <w:t xml:space="preserve">also </w:t>
      </w:r>
      <w:r w:rsidRPr="00A16A70">
        <w:t>higher than previous influenza seasons.</w:t>
      </w:r>
    </w:p>
    <w:p w14:paraId="2DE2B8F0" w14:textId="77777777" w:rsidR="002C296A" w:rsidRDefault="00D44D8A" w:rsidP="002C296A">
      <w:pPr>
        <w:pStyle w:val="Numberedheading2"/>
      </w:pPr>
      <w:bookmarkStart w:id="81" w:name="_Toc71289590"/>
      <w:bookmarkStart w:id="82" w:name="_Toc71289689"/>
      <w:bookmarkStart w:id="83" w:name="_Toc71290382"/>
      <w:bookmarkStart w:id="84" w:name="_Toc71542847"/>
      <w:bookmarkStart w:id="85" w:name="_Toc140861594"/>
      <w:bookmarkStart w:id="86" w:name="_Toc141178238"/>
      <w:bookmarkStart w:id="87" w:name="_Toc141346133"/>
      <w:r>
        <w:t>Current service delivery and management</w:t>
      </w:r>
      <w:bookmarkEnd w:id="81"/>
      <w:bookmarkEnd w:id="82"/>
      <w:bookmarkEnd w:id="83"/>
      <w:bookmarkEnd w:id="84"/>
      <w:bookmarkEnd w:id="85"/>
      <w:bookmarkEnd w:id="86"/>
      <w:bookmarkEnd w:id="87"/>
    </w:p>
    <w:p w14:paraId="6CEB9C8A" w14:textId="13A8C1F4" w:rsidR="00315977" w:rsidRDefault="00315977" w:rsidP="00315977">
      <w:pPr>
        <w:pStyle w:val="Paragraph"/>
      </w:pPr>
      <w:r>
        <w:t xml:space="preserve">Since the </w:t>
      </w:r>
      <w:r w:rsidR="00616A07">
        <w:t xml:space="preserve">COVID-19 </w:t>
      </w:r>
      <w:r>
        <w:t>pandemic, the levels of ARI (particularly pneumonia caused by COVID-19 infection) have increased. In response</w:t>
      </w:r>
      <w:r w:rsidR="00616A07">
        <w:t xml:space="preserve">, </w:t>
      </w:r>
      <w:r>
        <w:t xml:space="preserve">the NHS has set up ARI hubs and ARI virtual wards to relieve pressure on other parts of the local healthcare system. </w:t>
      </w:r>
    </w:p>
    <w:p w14:paraId="58B01090" w14:textId="126B3EA4" w:rsidR="00315977" w:rsidRDefault="00315977" w:rsidP="00315977">
      <w:pPr>
        <w:pStyle w:val="Paragraph"/>
      </w:pPr>
      <w:r>
        <w:t xml:space="preserve">For people aged 16 and over with suspected ARI, initial consultations with the health system may occur remotely or face-to-face. Those with suspected ARI can be advised to remain at home for </w:t>
      </w:r>
      <w:r w:rsidR="003E6157">
        <w:t>self-monitoring</w:t>
      </w:r>
      <w:r w:rsidR="005753A8">
        <w:t xml:space="preserve"> </w:t>
      </w:r>
      <w:r>
        <w:t>(with or without being prescribed antibiotics or antivirals), referred to ARI virtual wards for further monitoring, or admitted to hospital.</w:t>
      </w:r>
    </w:p>
    <w:p w14:paraId="3636E188" w14:textId="1C9F6ABB" w:rsidR="0077764B" w:rsidRPr="0077764B" w:rsidRDefault="001C2C97" w:rsidP="00E26CC4">
      <w:pPr>
        <w:pStyle w:val="Paragraph"/>
      </w:pPr>
      <w:hyperlink r:id="rId25" w:history="1">
        <w:r w:rsidR="0077764B" w:rsidRPr="00902256">
          <w:rPr>
            <w:rStyle w:val="Hyperlink"/>
          </w:rPr>
          <w:t xml:space="preserve">NHS England’s </w:t>
        </w:r>
        <w:r w:rsidR="00350812" w:rsidRPr="00902256">
          <w:rPr>
            <w:rStyle w:val="Hyperlink"/>
          </w:rPr>
          <w:t>delivery plan for recovering urgent and emergency care services</w:t>
        </w:r>
      </w:hyperlink>
      <w:r w:rsidR="00350812">
        <w:t xml:space="preserve"> (Jan 2023)</w:t>
      </w:r>
      <w:r w:rsidR="00902256">
        <w:t xml:space="preserve"> </w:t>
      </w:r>
      <w:r w:rsidR="00846D79">
        <w:t>included</w:t>
      </w:r>
      <w:r w:rsidR="00902256">
        <w:t xml:space="preserve"> the roll out</w:t>
      </w:r>
      <w:r w:rsidR="00CE6887">
        <w:t xml:space="preserve"> of</w:t>
      </w:r>
      <w:r w:rsidR="00902256">
        <w:t xml:space="preserve"> adult and paediatric Acute Respiratory Infection (ARI) Hubs to provide timely access to same day urgent assessment, preventing hospital attendance and ambulance conveyances. Patients are identified through remote consultation as requiring face-to-face assessment but not requiring hospitalisation.</w:t>
      </w:r>
      <w:r w:rsidR="00FE79B8">
        <w:t xml:space="preserve"> Some people with more complex needs may still need to be seen by their GP to ensure continuity of care.</w:t>
      </w:r>
      <w:r w:rsidR="00E26CC4">
        <w:t xml:space="preserve"> Face-to-face assessment may include diagnostics where available such as Point of Care Testing (POCT), to support clinical decision making and avoidable hospital attendance. Referral to Same Day Emergency Care services may also be utilised to support further diagnostics where </w:t>
      </w:r>
      <w:r w:rsidR="00E26CC4">
        <w:lastRenderedPageBreak/>
        <w:t>required. This may be followed by advice, treatment, follow-up appointments or monitoring as required such as referral to an ARI virtual ward.</w:t>
      </w:r>
    </w:p>
    <w:p w14:paraId="655EF684" w14:textId="77777777" w:rsidR="00846D79" w:rsidRDefault="00AE6405" w:rsidP="006003EE">
      <w:pPr>
        <w:pStyle w:val="Paragraph"/>
      </w:pPr>
      <w:r>
        <w:t>Virtual wards provide acute clinical care at home for a short duration (up to 14 days) as an alternative to care in hospital. Patients have their care reviewed daily by a consultant practitioner (including a nurse or allied health professional (AHP) consultant) or suitably trained GP, via a digital platform that allows for the remote monitoring of a patient’s condition and escalation to a multidisciplinary team. Depending on patient need and the pathway to be supported, a virtual ward may also require in-person care.</w:t>
      </w:r>
    </w:p>
    <w:p w14:paraId="20B5D6B9" w14:textId="0E4A26F3" w:rsidR="00B152EF" w:rsidRDefault="00846D79" w:rsidP="006003EE">
      <w:pPr>
        <w:pStyle w:val="Paragraph"/>
      </w:pPr>
      <w:r>
        <w:t xml:space="preserve">The </w:t>
      </w:r>
      <w:hyperlink r:id="rId26" w:history="1">
        <w:r w:rsidRPr="006003EE">
          <w:rPr>
            <w:rStyle w:val="Hyperlink"/>
          </w:rPr>
          <w:t>2022/23 priorities and operational planning guidance</w:t>
        </w:r>
      </w:hyperlink>
      <w:r>
        <w:rPr>
          <w:rStyle w:val="Hyperlink"/>
        </w:rPr>
        <w:t xml:space="preserve"> </w:t>
      </w:r>
      <w:r w:rsidR="00A96A17" w:rsidRPr="00A96A17">
        <w:t>set a target of 40–50 virtual ward</w:t>
      </w:r>
      <w:r>
        <w:t xml:space="preserve"> beds</w:t>
      </w:r>
      <w:r w:rsidR="00A96A17" w:rsidRPr="00A96A17">
        <w:t xml:space="preserve"> per 100,000 people</w:t>
      </w:r>
      <w:r>
        <w:t xml:space="preserve"> by December 2023</w:t>
      </w:r>
      <w:r w:rsidR="002E6302">
        <w:t xml:space="preserve"> (not restricted to ARI)</w:t>
      </w:r>
      <w:r>
        <w:t>.</w:t>
      </w:r>
    </w:p>
    <w:p w14:paraId="20CBB79E" w14:textId="77777777" w:rsidR="00421563" w:rsidRDefault="001C217D" w:rsidP="00421563">
      <w:pPr>
        <w:pStyle w:val="Paragraph"/>
      </w:pPr>
      <w:r w:rsidRPr="007453FD">
        <w:t xml:space="preserve">See </w:t>
      </w:r>
      <w:hyperlink w:anchor="_Appendix_1:_Additional" w:history="1">
        <w:r w:rsidRPr="004817EB">
          <w:rPr>
            <w:rStyle w:val="Hyperlink"/>
          </w:rPr>
          <w:t>appendi</w:t>
        </w:r>
        <w:r w:rsidR="00421563">
          <w:rPr>
            <w:rStyle w:val="Hyperlink"/>
          </w:rPr>
          <w:t>x</w:t>
        </w:r>
        <w:r w:rsidR="007453FD" w:rsidRPr="004817EB">
          <w:rPr>
            <w:rStyle w:val="Hyperlink"/>
          </w:rPr>
          <w:t xml:space="preserve"> </w:t>
        </w:r>
        <w:r w:rsidR="004817EB" w:rsidRPr="004817EB">
          <w:rPr>
            <w:rStyle w:val="Hyperlink"/>
          </w:rPr>
          <w:t>1</w:t>
        </w:r>
      </w:hyperlink>
      <w:r w:rsidR="003B6DDC">
        <w:t xml:space="preserve"> for </w:t>
      </w:r>
      <w:r w:rsidR="0031416A">
        <w:t xml:space="preserve">the </w:t>
      </w:r>
      <w:r w:rsidR="003B6DDC">
        <w:t xml:space="preserve">associated </w:t>
      </w:r>
      <w:r w:rsidR="00AE15B1">
        <w:t xml:space="preserve">care </w:t>
      </w:r>
      <w:r w:rsidR="003B6DDC">
        <w:t>pathway</w:t>
      </w:r>
      <w:r w:rsidR="00421563">
        <w:t>s identified in NHSE guidance.</w:t>
      </w:r>
      <w:r w:rsidR="0029335E">
        <w:t xml:space="preserve"> </w:t>
      </w:r>
      <w:bookmarkStart w:id="88" w:name="_Toc340835232"/>
      <w:bookmarkEnd w:id="88"/>
    </w:p>
    <w:p w14:paraId="2BDAB4E5" w14:textId="00DFB267" w:rsidR="002C296A" w:rsidRDefault="00381592" w:rsidP="00421563">
      <w:pPr>
        <w:pStyle w:val="Numberedheading1"/>
      </w:pPr>
      <w:r>
        <w:br w:type="page"/>
      </w:r>
      <w:bookmarkStart w:id="89" w:name="_Toc141346134"/>
      <w:r w:rsidR="002C296A">
        <w:lastRenderedPageBreak/>
        <w:t>Summary of suggestions</w:t>
      </w:r>
      <w:bookmarkEnd w:id="89"/>
    </w:p>
    <w:p w14:paraId="005A867E" w14:textId="77777777" w:rsidR="002C296A" w:rsidRPr="007D4B1A" w:rsidRDefault="002C296A" w:rsidP="002C296A">
      <w:pPr>
        <w:pStyle w:val="Numberedheading2"/>
      </w:pPr>
      <w:bookmarkStart w:id="90" w:name="_Toc71289593"/>
      <w:bookmarkStart w:id="91" w:name="_Toc71289692"/>
      <w:bookmarkStart w:id="92" w:name="_Toc71290385"/>
      <w:bookmarkStart w:id="93" w:name="_Toc71542850"/>
      <w:bookmarkStart w:id="94" w:name="_Toc140861596"/>
      <w:bookmarkStart w:id="95" w:name="_Toc141178240"/>
      <w:bookmarkStart w:id="96" w:name="_Toc141346135"/>
      <w:r>
        <w:t>Responses</w:t>
      </w:r>
      <w:bookmarkEnd w:id="90"/>
      <w:bookmarkEnd w:id="91"/>
      <w:bookmarkEnd w:id="92"/>
      <w:bookmarkEnd w:id="93"/>
      <w:bookmarkEnd w:id="94"/>
      <w:bookmarkEnd w:id="95"/>
      <w:bookmarkEnd w:id="96"/>
    </w:p>
    <w:p w14:paraId="68F1DF15" w14:textId="41F07487" w:rsidR="00F6784F" w:rsidRDefault="00F6784F" w:rsidP="002E6302">
      <w:pPr>
        <w:pStyle w:val="Paragraph"/>
      </w:pPr>
      <w:r>
        <w:t xml:space="preserve">In total </w:t>
      </w:r>
      <w:r w:rsidR="00421563">
        <w:t xml:space="preserve">5 </w:t>
      </w:r>
      <w:r>
        <w:t>registered stakeholders</w:t>
      </w:r>
      <w:r w:rsidR="002E6302">
        <w:t xml:space="preserve"> and 3 expert members of the working group</w:t>
      </w:r>
      <w:r>
        <w:t xml:space="preserve"> responded to the 2-week engagement exercise.</w:t>
      </w:r>
      <w:r w:rsidR="002E6302">
        <w:t xml:space="preserve"> </w:t>
      </w:r>
      <w:r w:rsidRPr="00F6784F">
        <w:t xml:space="preserve">The responses have been summarised in table </w:t>
      </w:r>
      <w:r w:rsidR="00EC06D6">
        <w:t>1</w:t>
      </w:r>
      <w:r w:rsidRPr="00F6784F">
        <w:t xml:space="preserve"> for further consideration.</w:t>
      </w:r>
    </w:p>
    <w:p w14:paraId="2B27E6AD" w14:textId="2AA728B3" w:rsidR="005A61AD" w:rsidRPr="006E608E" w:rsidRDefault="005A61AD" w:rsidP="00B65D9F">
      <w:pPr>
        <w:pStyle w:val="Caption"/>
      </w:pPr>
      <w:r w:rsidRPr="006E608E">
        <w:t xml:space="preserve">Table </w:t>
      </w:r>
      <w:r w:rsidR="00EC06D6">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5806"/>
        <w:gridCol w:w="3210"/>
      </w:tblGrid>
      <w:tr w:rsidR="00F04826" w:rsidRPr="00DD0BD8" w14:paraId="73309BA7" w14:textId="77777777" w:rsidTr="00EC06D6">
        <w:trPr>
          <w:tblHeader/>
        </w:trPr>
        <w:tc>
          <w:tcPr>
            <w:tcW w:w="3220" w:type="pct"/>
            <w:shd w:val="clear" w:color="auto" w:fill="auto"/>
          </w:tcPr>
          <w:p w14:paraId="34C9518A" w14:textId="77777777" w:rsidR="00F04826" w:rsidRPr="00DD0BD8" w:rsidRDefault="00CE6D7B" w:rsidP="00DD0BD8">
            <w:pPr>
              <w:pStyle w:val="Tabletitle"/>
            </w:pPr>
            <w:r>
              <w:t>A</w:t>
            </w:r>
            <w:r w:rsidR="00F04826" w:rsidRPr="00DD0BD8">
              <w:t>rea for improvement</w:t>
            </w:r>
          </w:p>
        </w:tc>
        <w:tc>
          <w:tcPr>
            <w:tcW w:w="1780" w:type="pct"/>
            <w:shd w:val="clear" w:color="auto" w:fill="auto"/>
          </w:tcPr>
          <w:p w14:paraId="2A49FB0B"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73489259" w14:textId="77777777" w:rsidTr="00EC06D6">
        <w:trPr>
          <w:trHeight w:val="382"/>
        </w:trPr>
        <w:tc>
          <w:tcPr>
            <w:tcW w:w="3220" w:type="pct"/>
            <w:tcBorders>
              <w:top w:val="single" w:sz="4" w:space="0" w:color="auto"/>
              <w:left w:val="single" w:sz="4" w:space="0" w:color="auto"/>
              <w:right w:val="single" w:sz="4" w:space="0" w:color="auto"/>
            </w:tcBorders>
            <w:shd w:val="clear" w:color="auto" w:fill="auto"/>
          </w:tcPr>
          <w:p w14:paraId="74122230" w14:textId="77777777" w:rsidR="00C0457B" w:rsidRPr="00EC06D6" w:rsidRDefault="00EC06D6" w:rsidP="00EC06D6">
            <w:pPr>
              <w:pStyle w:val="Bulletstable"/>
              <w:numPr>
                <w:ilvl w:val="0"/>
                <w:numId w:val="0"/>
              </w:numPr>
              <w:ind w:left="284" w:hanging="284"/>
              <w:rPr>
                <w:b/>
                <w:bCs/>
              </w:rPr>
            </w:pPr>
            <w:r w:rsidRPr="00EC06D6">
              <w:rPr>
                <w:b/>
                <w:bCs/>
              </w:rPr>
              <w:t>Initial assessment</w:t>
            </w:r>
          </w:p>
          <w:p w14:paraId="6EF0A2BC" w14:textId="31E71D4B" w:rsidR="00556901" w:rsidRDefault="00CC2945" w:rsidP="00CB47D6">
            <w:pPr>
              <w:pStyle w:val="Bulletstable"/>
            </w:pPr>
            <w:r>
              <w:t xml:space="preserve">Signs, </w:t>
            </w:r>
            <w:proofErr w:type="gramStart"/>
            <w:r>
              <w:t>symptoms</w:t>
            </w:r>
            <w:proofErr w:type="gramEnd"/>
            <w:r>
              <w:t xml:space="preserve"> and s</w:t>
            </w:r>
            <w:r w:rsidR="00556901">
              <w:t>everity scoring</w:t>
            </w:r>
          </w:p>
          <w:p w14:paraId="0D9CB18F" w14:textId="3DB94437" w:rsidR="007F3EAA" w:rsidRPr="00EC06D6" w:rsidRDefault="007F3EAA" w:rsidP="00556901">
            <w:pPr>
              <w:pStyle w:val="Bulletstable"/>
            </w:pPr>
            <w:r>
              <w:t>Point of care testing</w:t>
            </w:r>
          </w:p>
        </w:tc>
        <w:tc>
          <w:tcPr>
            <w:tcW w:w="1780" w:type="pct"/>
            <w:tcBorders>
              <w:top w:val="single" w:sz="4" w:space="0" w:color="auto"/>
              <w:left w:val="single" w:sz="4" w:space="0" w:color="auto"/>
              <w:right w:val="single" w:sz="4" w:space="0" w:color="auto"/>
            </w:tcBorders>
          </w:tcPr>
          <w:p w14:paraId="4F831BFF" w14:textId="77777777" w:rsidR="00C0457B" w:rsidRPr="00EC06D6" w:rsidRDefault="00C0457B" w:rsidP="00EC06D6">
            <w:pPr>
              <w:pStyle w:val="Tabletext"/>
              <w:spacing w:after="0"/>
            </w:pPr>
          </w:p>
          <w:p w14:paraId="239590DF" w14:textId="0DAEE435" w:rsidR="00EC06D6" w:rsidRDefault="00EC06D6" w:rsidP="00EC06D6">
            <w:pPr>
              <w:pStyle w:val="Tabletext"/>
              <w:spacing w:after="0"/>
            </w:pPr>
            <w:r w:rsidRPr="00EC06D6">
              <w:t xml:space="preserve">BTS, </w:t>
            </w:r>
            <w:r w:rsidR="00CC2945">
              <w:t xml:space="preserve">NHSE, </w:t>
            </w:r>
            <w:r w:rsidRPr="00EC06D6">
              <w:t>expert</w:t>
            </w:r>
          </w:p>
          <w:p w14:paraId="4F546236" w14:textId="7C0E0B72" w:rsidR="007F3EAA" w:rsidRPr="00381592" w:rsidRDefault="00327937" w:rsidP="007F3EAA">
            <w:pPr>
              <w:pStyle w:val="Tabletext"/>
              <w:spacing w:after="0"/>
              <w:rPr>
                <w:highlight w:val="cyan"/>
              </w:rPr>
            </w:pPr>
            <w:r w:rsidRPr="00EC06D6">
              <w:t>BTS,</w:t>
            </w:r>
            <w:r>
              <w:t xml:space="preserve"> </w:t>
            </w:r>
            <w:r w:rsidR="007F3EAA" w:rsidRPr="00EC06D6">
              <w:t xml:space="preserve">NHSE, </w:t>
            </w:r>
            <w:r>
              <w:t>PCRS,</w:t>
            </w:r>
            <w:r w:rsidR="007F3EAA" w:rsidRPr="00EC06D6">
              <w:t xml:space="preserve"> experts</w:t>
            </w:r>
          </w:p>
        </w:tc>
      </w:tr>
      <w:tr w:rsidR="00556901" w:rsidRPr="00F04826" w14:paraId="72CE5606" w14:textId="77777777" w:rsidTr="00EC06D6">
        <w:trPr>
          <w:trHeight w:val="382"/>
        </w:trPr>
        <w:tc>
          <w:tcPr>
            <w:tcW w:w="3220" w:type="pct"/>
            <w:tcBorders>
              <w:top w:val="single" w:sz="4" w:space="0" w:color="auto"/>
              <w:left w:val="single" w:sz="4" w:space="0" w:color="auto"/>
              <w:right w:val="single" w:sz="4" w:space="0" w:color="auto"/>
            </w:tcBorders>
            <w:shd w:val="clear" w:color="auto" w:fill="auto"/>
          </w:tcPr>
          <w:p w14:paraId="1A042882" w14:textId="77777777" w:rsidR="00556901" w:rsidRPr="00495D5C" w:rsidRDefault="00556901" w:rsidP="00556901">
            <w:pPr>
              <w:pStyle w:val="Bulletstable"/>
              <w:numPr>
                <w:ilvl w:val="0"/>
                <w:numId w:val="0"/>
              </w:numPr>
              <w:ind w:left="284" w:hanging="284"/>
              <w:rPr>
                <w:b/>
                <w:bCs/>
              </w:rPr>
            </w:pPr>
            <w:r w:rsidRPr="00495D5C">
              <w:rPr>
                <w:b/>
                <w:bCs/>
              </w:rPr>
              <w:t>Prescribing antimicrobials</w:t>
            </w:r>
          </w:p>
          <w:p w14:paraId="2C92CCF5" w14:textId="77777777" w:rsidR="00556901" w:rsidRDefault="00556901" w:rsidP="00237DA1">
            <w:pPr>
              <w:pStyle w:val="Bulletstable"/>
              <w:numPr>
                <w:ilvl w:val="0"/>
                <w:numId w:val="7"/>
              </w:numPr>
            </w:pPr>
            <w:r>
              <w:t xml:space="preserve">Strategy to prevent </w:t>
            </w:r>
            <w:proofErr w:type="gramStart"/>
            <w:r w:rsidRPr="00C35A48">
              <w:t>overprescribing</w:t>
            </w:r>
            <w:proofErr w:type="gramEnd"/>
          </w:p>
          <w:p w14:paraId="2904B876" w14:textId="16CDA2A8" w:rsidR="00556901" w:rsidRPr="00EC06D6" w:rsidRDefault="00556901" w:rsidP="00556901">
            <w:pPr>
              <w:pStyle w:val="Bulletstable"/>
              <w:rPr>
                <w:b/>
                <w:bCs/>
              </w:rPr>
            </w:pPr>
            <w:r>
              <w:t>Antimicrobials for specific conditions</w:t>
            </w:r>
          </w:p>
        </w:tc>
        <w:tc>
          <w:tcPr>
            <w:tcW w:w="1780" w:type="pct"/>
            <w:tcBorders>
              <w:top w:val="single" w:sz="4" w:space="0" w:color="auto"/>
              <w:left w:val="single" w:sz="4" w:space="0" w:color="auto"/>
              <w:right w:val="single" w:sz="4" w:space="0" w:color="auto"/>
            </w:tcBorders>
          </w:tcPr>
          <w:p w14:paraId="69E5BDBA" w14:textId="77777777" w:rsidR="00556901" w:rsidRPr="001B75D1" w:rsidRDefault="00556901" w:rsidP="00556901">
            <w:pPr>
              <w:pStyle w:val="Tabletext"/>
              <w:spacing w:after="0"/>
              <w:rPr>
                <w:szCs w:val="22"/>
              </w:rPr>
            </w:pPr>
          </w:p>
          <w:p w14:paraId="2DAC7957" w14:textId="77777777" w:rsidR="00556901" w:rsidRPr="001B75D1" w:rsidRDefault="00556901" w:rsidP="00556901">
            <w:pPr>
              <w:pStyle w:val="Tabletext"/>
              <w:spacing w:after="0"/>
              <w:rPr>
                <w:szCs w:val="22"/>
              </w:rPr>
            </w:pPr>
            <w:r w:rsidRPr="001B75D1">
              <w:rPr>
                <w:szCs w:val="22"/>
              </w:rPr>
              <w:t>BTS</w:t>
            </w:r>
          </w:p>
          <w:p w14:paraId="35254B81" w14:textId="1C951AAE" w:rsidR="00556901" w:rsidRPr="00EC06D6" w:rsidRDefault="00556901" w:rsidP="00556901">
            <w:pPr>
              <w:pStyle w:val="Tabletext"/>
              <w:spacing w:after="0"/>
            </w:pPr>
            <w:r>
              <w:rPr>
                <w:szCs w:val="22"/>
              </w:rPr>
              <w:t>BTS,</w:t>
            </w:r>
            <w:r w:rsidRPr="001B75D1">
              <w:rPr>
                <w:szCs w:val="22"/>
              </w:rPr>
              <w:t xml:space="preserve"> NHSE</w:t>
            </w:r>
          </w:p>
        </w:tc>
      </w:tr>
      <w:tr w:rsidR="00556901" w:rsidRPr="00F04826" w14:paraId="39582836" w14:textId="77777777" w:rsidTr="00EC06D6">
        <w:trPr>
          <w:trHeight w:val="382"/>
        </w:trPr>
        <w:tc>
          <w:tcPr>
            <w:tcW w:w="3220" w:type="pct"/>
            <w:tcBorders>
              <w:top w:val="single" w:sz="4" w:space="0" w:color="auto"/>
              <w:left w:val="single" w:sz="4" w:space="0" w:color="auto"/>
              <w:right w:val="single" w:sz="4" w:space="0" w:color="auto"/>
            </w:tcBorders>
            <w:shd w:val="clear" w:color="auto" w:fill="auto"/>
          </w:tcPr>
          <w:p w14:paraId="3C068858" w14:textId="66A0ED15" w:rsidR="00556901" w:rsidRPr="00495D5C" w:rsidRDefault="00556901" w:rsidP="00AF06E8">
            <w:pPr>
              <w:pStyle w:val="Bulletstable"/>
              <w:numPr>
                <w:ilvl w:val="0"/>
                <w:numId w:val="0"/>
              </w:numPr>
              <w:ind w:left="284" w:hanging="284"/>
              <w:rPr>
                <w:b/>
                <w:bCs/>
              </w:rPr>
            </w:pPr>
            <w:r>
              <w:rPr>
                <w:b/>
                <w:bCs/>
              </w:rPr>
              <w:t>R</w:t>
            </w:r>
            <w:r w:rsidRPr="00495D5C">
              <w:rPr>
                <w:b/>
                <w:bCs/>
              </w:rPr>
              <w:t>eferral</w:t>
            </w:r>
            <w:r w:rsidR="00391FA4">
              <w:rPr>
                <w:b/>
                <w:bCs/>
              </w:rPr>
              <w:t xml:space="preserve"> criteria</w:t>
            </w:r>
          </w:p>
        </w:tc>
        <w:tc>
          <w:tcPr>
            <w:tcW w:w="1780" w:type="pct"/>
            <w:tcBorders>
              <w:top w:val="single" w:sz="4" w:space="0" w:color="auto"/>
              <w:left w:val="single" w:sz="4" w:space="0" w:color="auto"/>
              <w:right w:val="single" w:sz="4" w:space="0" w:color="auto"/>
            </w:tcBorders>
          </w:tcPr>
          <w:p w14:paraId="61A95CC0" w14:textId="57761837" w:rsidR="00556901" w:rsidRPr="001B75D1" w:rsidRDefault="00C35A48" w:rsidP="00556901">
            <w:pPr>
              <w:pStyle w:val="Tabletext"/>
              <w:spacing w:after="0"/>
              <w:rPr>
                <w:szCs w:val="22"/>
              </w:rPr>
            </w:pPr>
            <w:r>
              <w:t>E</w:t>
            </w:r>
            <w:r w:rsidR="00556901" w:rsidRPr="00495D5C">
              <w:t>xpert</w:t>
            </w:r>
            <w:r>
              <w:t>s</w:t>
            </w:r>
          </w:p>
        </w:tc>
      </w:tr>
      <w:tr w:rsidR="00556901" w:rsidRPr="00F04826" w14:paraId="741DD1F7" w14:textId="77777777" w:rsidTr="00EC06D6">
        <w:trPr>
          <w:trHeight w:val="382"/>
        </w:trPr>
        <w:tc>
          <w:tcPr>
            <w:tcW w:w="3220" w:type="pct"/>
            <w:tcBorders>
              <w:top w:val="single" w:sz="4" w:space="0" w:color="auto"/>
              <w:left w:val="single" w:sz="4" w:space="0" w:color="auto"/>
              <w:right w:val="single" w:sz="4" w:space="0" w:color="auto"/>
            </w:tcBorders>
            <w:shd w:val="clear" w:color="auto" w:fill="auto"/>
          </w:tcPr>
          <w:p w14:paraId="00D2907C" w14:textId="06130EF7" w:rsidR="00556901" w:rsidRDefault="00391FA4" w:rsidP="00556901">
            <w:pPr>
              <w:pStyle w:val="Bulletstable"/>
              <w:numPr>
                <w:ilvl w:val="0"/>
                <w:numId w:val="0"/>
              </w:numPr>
              <w:ind w:left="284" w:hanging="284"/>
              <w:rPr>
                <w:b/>
                <w:bCs/>
              </w:rPr>
            </w:pPr>
            <w:r>
              <w:rPr>
                <w:b/>
                <w:bCs/>
              </w:rPr>
              <w:t>V</w:t>
            </w:r>
            <w:r w:rsidR="00790779">
              <w:rPr>
                <w:b/>
                <w:bCs/>
              </w:rPr>
              <w:t>irtual ward</w:t>
            </w:r>
            <w:r>
              <w:rPr>
                <w:b/>
                <w:bCs/>
              </w:rPr>
              <w:t>s: care and support</w:t>
            </w:r>
          </w:p>
          <w:p w14:paraId="25CB19BB" w14:textId="5E8E2D09" w:rsidR="00391FA4" w:rsidRDefault="00391FA4" w:rsidP="00237DA1">
            <w:pPr>
              <w:pStyle w:val="Bulletstable"/>
              <w:numPr>
                <w:ilvl w:val="0"/>
                <w:numId w:val="8"/>
              </w:numPr>
            </w:pPr>
            <w:r>
              <w:t>Access to tests and treatment</w:t>
            </w:r>
          </w:p>
          <w:p w14:paraId="6304A849" w14:textId="2431CE7B" w:rsidR="00790779" w:rsidRDefault="00790779" w:rsidP="00237DA1">
            <w:pPr>
              <w:pStyle w:val="Bulletstable"/>
              <w:numPr>
                <w:ilvl w:val="0"/>
                <w:numId w:val="8"/>
              </w:numPr>
            </w:pPr>
            <w:r>
              <w:t xml:space="preserve">Supporting self-management </w:t>
            </w:r>
          </w:p>
          <w:p w14:paraId="7D51B9C1" w14:textId="241C9E85" w:rsidR="00556901" w:rsidRPr="008A285F" w:rsidRDefault="00790779" w:rsidP="00790779">
            <w:pPr>
              <w:pStyle w:val="Bulletstable"/>
              <w:numPr>
                <w:ilvl w:val="0"/>
                <w:numId w:val="8"/>
              </w:numPr>
            </w:pPr>
            <w:r>
              <w:t>Escalation of care</w:t>
            </w:r>
          </w:p>
        </w:tc>
        <w:tc>
          <w:tcPr>
            <w:tcW w:w="1780" w:type="pct"/>
            <w:tcBorders>
              <w:top w:val="single" w:sz="4" w:space="0" w:color="auto"/>
              <w:left w:val="single" w:sz="4" w:space="0" w:color="auto"/>
              <w:right w:val="single" w:sz="4" w:space="0" w:color="auto"/>
            </w:tcBorders>
          </w:tcPr>
          <w:p w14:paraId="13AF7C27" w14:textId="77777777" w:rsidR="00556901" w:rsidRDefault="00556901" w:rsidP="00556901">
            <w:pPr>
              <w:pStyle w:val="Tabletext"/>
              <w:spacing w:after="0"/>
              <w:rPr>
                <w:szCs w:val="22"/>
              </w:rPr>
            </w:pPr>
          </w:p>
          <w:p w14:paraId="436FDDCE" w14:textId="7A3D7DA6" w:rsidR="00391FA4" w:rsidRDefault="00391FA4" w:rsidP="00556901">
            <w:pPr>
              <w:pStyle w:val="Tabletext"/>
              <w:spacing w:after="0"/>
              <w:rPr>
                <w:szCs w:val="22"/>
              </w:rPr>
            </w:pPr>
            <w:r w:rsidRPr="00391FA4">
              <w:rPr>
                <w:szCs w:val="22"/>
              </w:rPr>
              <w:t>NHSE, expert</w:t>
            </w:r>
          </w:p>
          <w:p w14:paraId="0D35D00D" w14:textId="4882226F" w:rsidR="00790779" w:rsidRDefault="00790779" w:rsidP="00556901">
            <w:pPr>
              <w:pStyle w:val="Tabletext"/>
              <w:spacing w:after="0"/>
              <w:rPr>
                <w:szCs w:val="22"/>
              </w:rPr>
            </w:pPr>
            <w:r>
              <w:rPr>
                <w:szCs w:val="22"/>
              </w:rPr>
              <w:t xml:space="preserve">BTS </w:t>
            </w:r>
          </w:p>
          <w:p w14:paraId="43502164" w14:textId="6864B6F8" w:rsidR="00556901" w:rsidRPr="001B75D1" w:rsidRDefault="00790779" w:rsidP="00556901">
            <w:pPr>
              <w:pStyle w:val="Tabletext"/>
              <w:spacing w:after="0"/>
              <w:rPr>
                <w:szCs w:val="22"/>
              </w:rPr>
            </w:pPr>
            <w:r>
              <w:rPr>
                <w:szCs w:val="22"/>
              </w:rPr>
              <w:t>N</w:t>
            </w:r>
            <w:r w:rsidR="00556901">
              <w:rPr>
                <w:szCs w:val="22"/>
              </w:rPr>
              <w:t>HSE</w:t>
            </w:r>
            <w:r w:rsidR="00AF06E8">
              <w:rPr>
                <w:szCs w:val="22"/>
              </w:rPr>
              <w:t>, e</w:t>
            </w:r>
            <w:r w:rsidR="00556901">
              <w:rPr>
                <w:szCs w:val="22"/>
              </w:rPr>
              <w:t>xpert</w:t>
            </w:r>
          </w:p>
        </w:tc>
      </w:tr>
      <w:tr w:rsidR="00556901" w:rsidRPr="00F04826" w14:paraId="516481D4" w14:textId="77777777" w:rsidTr="00EC06D6">
        <w:trPr>
          <w:trHeight w:val="382"/>
        </w:trPr>
        <w:tc>
          <w:tcPr>
            <w:tcW w:w="3220" w:type="pct"/>
            <w:tcBorders>
              <w:top w:val="single" w:sz="4" w:space="0" w:color="auto"/>
              <w:left w:val="single" w:sz="4" w:space="0" w:color="auto"/>
              <w:right w:val="single" w:sz="4" w:space="0" w:color="auto"/>
            </w:tcBorders>
            <w:shd w:val="clear" w:color="auto" w:fill="auto"/>
          </w:tcPr>
          <w:p w14:paraId="3E0A8C92" w14:textId="240A4AB5" w:rsidR="00556901" w:rsidRDefault="00556901" w:rsidP="00556901">
            <w:pPr>
              <w:pStyle w:val="Bulletstable"/>
              <w:numPr>
                <w:ilvl w:val="0"/>
                <w:numId w:val="0"/>
              </w:numPr>
              <w:ind w:left="284" w:hanging="284"/>
              <w:rPr>
                <w:b/>
                <w:bCs/>
              </w:rPr>
            </w:pPr>
            <w:r>
              <w:rPr>
                <w:b/>
                <w:bCs/>
              </w:rPr>
              <w:t>Virtual wards</w:t>
            </w:r>
            <w:r w:rsidR="00391FA4">
              <w:rPr>
                <w:b/>
                <w:bCs/>
              </w:rPr>
              <w:t>:</w:t>
            </w:r>
            <w:r>
              <w:rPr>
                <w:b/>
                <w:bCs/>
              </w:rPr>
              <w:t xml:space="preserve"> service provision</w:t>
            </w:r>
          </w:p>
          <w:p w14:paraId="1A3D1014" w14:textId="77777777" w:rsidR="00556901" w:rsidRDefault="00556901" w:rsidP="00237DA1">
            <w:pPr>
              <w:pStyle w:val="Bulletstable"/>
              <w:numPr>
                <w:ilvl w:val="0"/>
                <w:numId w:val="9"/>
              </w:numPr>
              <w:rPr>
                <w:b/>
                <w:bCs/>
              </w:rPr>
            </w:pPr>
            <w:r w:rsidRPr="001A1285">
              <w:t>Technology</w:t>
            </w:r>
          </w:p>
          <w:p w14:paraId="05A38096" w14:textId="28337859" w:rsidR="00556901" w:rsidRDefault="00CC3452" w:rsidP="00237DA1">
            <w:pPr>
              <w:pStyle w:val="Bulletstable"/>
              <w:numPr>
                <w:ilvl w:val="0"/>
                <w:numId w:val="9"/>
              </w:numPr>
              <w:rPr>
                <w:b/>
                <w:bCs/>
              </w:rPr>
            </w:pPr>
            <w:r>
              <w:t>A</w:t>
            </w:r>
            <w:r w:rsidR="00556901">
              <w:t>ccessibility</w:t>
            </w:r>
          </w:p>
        </w:tc>
        <w:tc>
          <w:tcPr>
            <w:tcW w:w="1780" w:type="pct"/>
            <w:tcBorders>
              <w:top w:val="single" w:sz="4" w:space="0" w:color="auto"/>
              <w:left w:val="single" w:sz="4" w:space="0" w:color="auto"/>
              <w:right w:val="single" w:sz="4" w:space="0" w:color="auto"/>
            </w:tcBorders>
          </w:tcPr>
          <w:p w14:paraId="26A4A24B" w14:textId="77777777" w:rsidR="00556901" w:rsidRDefault="00556901" w:rsidP="00556901">
            <w:pPr>
              <w:pStyle w:val="Tabletext"/>
              <w:spacing w:after="0"/>
              <w:rPr>
                <w:szCs w:val="22"/>
              </w:rPr>
            </w:pPr>
          </w:p>
          <w:p w14:paraId="24F6C1B5" w14:textId="7F193F4B" w:rsidR="00556901" w:rsidRDefault="00790779" w:rsidP="00556901">
            <w:pPr>
              <w:pStyle w:val="Tabletext"/>
              <w:spacing w:after="0"/>
              <w:rPr>
                <w:szCs w:val="22"/>
              </w:rPr>
            </w:pPr>
            <w:r>
              <w:rPr>
                <w:szCs w:val="22"/>
              </w:rPr>
              <w:t>A</w:t>
            </w:r>
            <w:r w:rsidR="00AF06E8">
              <w:rPr>
                <w:szCs w:val="22"/>
              </w:rPr>
              <w:t>RN, e</w:t>
            </w:r>
            <w:r w:rsidR="00556901">
              <w:rPr>
                <w:szCs w:val="22"/>
              </w:rPr>
              <w:t>xperts</w:t>
            </w:r>
          </w:p>
          <w:p w14:paraId="6C88A666" w14:textId="0F36A846" w:rsidR="00556901" w:rsidRPr="001B75D1" w:rsidRDefault="00556901" w:rsidP="00556901">
            <w:pPr>
              <w:pStyle w:val="Tabletext"/>
              <w:spacing w:after="0"/>
              <w:rPr>
                <w:szCs w:val="22"/>
              </w:rPr>
            </w:pPr>
            <w:r>
              <w:rPr>
                <w:szCs w:val="22"/>
              </w:rPr>
              <w:t>ARN, PCRS, NHSE</w:t>
            </w:r>
            <w:r w:rsidR="00C35A48">
              <w:rPr>
                <w:szCs w:val="22"/>
              </w:rPr>
              <w:t>, expert</w:t>
            </w:r>
          </w:p>
        </w:tc>
      </w:tr>
      <w:tr w:rsidR="00556901" w:rsidRPr="00C35A48" w14:paraId="23CDFBB6" w14:textId="77777777" w:rsidTr="00EC06D6">
        <w:trPr>
          <w:trHeight w:val="382"/>
        </w:trPr>
        <w:tc>
          <w:tcPr>
            <w:tcW w:w="3220" w:type="pct"/>
            <w:tcBorders>
              <w:top w:val="single" w:sz="4" w:space="0" w:color="auto"/>
              <w:left w:val="single" w:sz="4" w:space="0" w:color="auto"/>
              <w:bottom w:val="single" w:sz="4" w:space="0" w:color="auto"/>
              <w:right w:val="single" w:sz="4" w:space="0" w:color="auto"/>
            </w:tcBorders>
            <w:shd w:val="clear" w:color="auto" w:fill="auto"/>
          </w:tcPr>
          <w:p w14:paraId="6E37570B" w14:textId="77777777" w:rsidR="00556901" w:rsidRPr="00C35A48" w:rsidRDefault="00556901" w:rsidP="00556901">
            <w:pPr>
              <w:pStyle w:val="Tabletext"/>
              <w:spacing w:after="0"/>
              <w:rPr>
                <w:bCs/>
              </w:rPr>
            </w:pPr>
            <w:r w:rsidRPr="00C35A48">
              <w:rPr>
                <w:b/>
                <w:bCs/>
              </w:rPr>
              <w:t>Additional areas</w:t>
            </w:r>
          </w:p>
          <w:p w14:paraId="5C13392E" w14:textId="6E479C9B" w:rsidR="00556901" w:rsidRPr="00C35A48" w:rsidRDefault="00556901" w:rsidP="00556901">
            <w:pPr>
              <w:pStyle w:val="Bulletstable"/>
            </w:pPr>
            <w:r w:rsidRPr="00C35A48">
              <w:t>Staffing</w:t>
            </w:r>
          </w:p>
          <w:p w14:paraId="29B7D034" w14:textId="56AC4A87" w:rsidR="00556901" w:rsidRPr="00C35A48" w:rsidRDefault="00556901" w:rsidP="00556901">
            <w:pPr>
              <w:pStyle w:val="Bulletstable"/>
            </w:pPr>
            <w:r w:rsidRPr="00C35A48">
              <w:t>Surveillance of circulating pathogens</w:t>
            </w:r>
          </w:p>
          <w:p w14:paraId="3BB58F9A" w14:textId="7D892EE8" w:rsidR="00556901" w:rsidRPr="00C35A48" w:rsidRDefault="00AF06E8" w:rsidP="00556901">
            <w:pPr>
              <w:pStyle w:val="Bulletstable"/>
            </w:pPr>
            <w:r w:rsidRPr="00C35A48">
              <w:t>D</w:t>
            </w:r>
            <w:r w:rsidR="00556901" w:rsidRPr="00C35A48">
              <w:t>eath on a virtual ward</w:t>
            </w:r>
          </w:p>
          <w:p w14:paraId="1D98B3AD" w14:textId="32FE363D" w:rsidR="00556901" w:rsidRPr="00C35A48" w:rsidRDefault="00556901" w:rsidP="00556901">
            <w:pPr>
              <w:pStyle w:val="Bulletstable"/>
            </w:pPr>
            <w:r w:rsidRPr="00C35A48">
              <w:t xml:space="preserve">Oxygen titration/weaning in the </w:t>
            </w:r>
            <w:proofErr w:type="gramStart"/>
            <w:r w:rsidRPr="00C35A48">
              <w:t>community</w:t>
            </w:r>
            <w:proofErr w:type="gramEnd"/>
          </w:p>
          <w:p w14:paraId="3D95FCD1" w14:textId="3EE24EA3" w:rsidR="00556901" w:rsidRPr="00C35A48" w:rsidRDefault="00556901" w:rsidP="00C35A48">
            <w:pPr>
              <w:pStyle w:val="Bulletstable"/>
            </w:pPr>
            <w:r w:rsidRPr="00C35A48">
              <w:t>COPD discharge care bundle</w:t>
            </w:r>
          </w:p>
        </w:tc>
        <w:tc>
          <w:tcPr>
            <w:tcW w:w="1780" w:type="pct"/>
            <w:tcBorders>
              <w:top w:val="single" w:sz="4" w:space="0" w:color="auto"/>
              <w:left w:val="single" w:sz="4" w:space="0" w:color="auto"/>
              <w:bottom w:val="single" w:sz="4" w:space="0" w:color="auto"/>
              <w:right w:val="single" w:sz="4" w:space="0" w:color="auto"/>
            </w:tcBorders>
          </w:tcPr>
          <w:p w14:paraId="79FC2244" w14:textId="77777777" w:rsidR="00556901" w:rsidRPr="00C35A48" w:rsidRDefault="00556901" w:rsidP="00556901">
            <w:pPr>
              <w:pStyle w:val="Tabletext"/>
              <w:spacing w:after="0"/>
            </w:pPr>
          </w:p>
          <w:p w14:paraId="5D599379" w14:textId="49BB196A" w:rsidR="00556901" w:rsidRPr="00C35A48" w:rsidRDefault="00556901" w:rsidP="00556901">
            <w:pPr>
              <w:pStyle w:val="Tabletext"/>
              <w:spacing w:after="0"/>
            </w:pPr>
            <w:r w:rsidRPr="00C35A48">
              <w:t>RCN, PCRS</w:t>
            </w:r>
          </w:p>
          <w:p w14:paraId="30A4F66A" w14:textId="77777777" w:rsidR="00556901" w:rsidRPr="00C35A48" w:rsidRDefault="00556901" w:rsidP="00556901">
            <w:pPr>
              <w:pStyle w:val="Tabletext"/>
              <w:spacing w:after="0"/>
            </w:pPr>
            <w:r w:rsidRPr="00C35A48">
              <w:t>Expert</w:t>
            </w:r>
          </w:p>
          <w:p w14:paraId="31051170" w14:textId="0F31B480" w:rsidR="00556901" w:rsidRPr="00C35A48" w:rsidRDefault="00556901" w:rsidP="00556901">
            <w:pPr>
              <w:pStyle w:val="Tabletext"/>
              <w:spacing w:after="0"/>
            </w:pPr>
            <w:r w:rsidRPr="00C35A48">
              <w:t>ARN</w:t>
            </w:r>
          </w:p>
          <w:p w14:paraId="37D5766E" w14:textId="62A9C75C" w:rsidR="00556901" w:rsidRPr="00C35A48" w:rsidRDefault="00556901" w:rsidP="00556901">
            <w:pPr>
              <w:pStyle w:val="Tabletext"/>
              <w:spacing w:after="0"/>
            </w:pPr>
            <w:r w:rsidRPr="00C35A48">
              <w:t>ARN</w:t>
            </w:r>
          </w:p>
          <w:p w14:paraId="3E10C122" w14:textId="6C163253" w:rsidR="00556901" w:rsidRPr="00C35A48" w:rsidRDefault="00556901" w:rsidP="00556901">
            <w:pPr>
              <w:pStyle w:val="Tabletext"/>
              <w:spacing w:after="0"/>
            </w:pPr>
            <w:r w:rsidRPr="00C35A48">
              <w:t>ARN</w:t>
            </w:r>
          </w:p>
        </w:tc>
      </w:tr>
    </w:tbl>
    <w:p w14:paraId="303E3E19" w14:textId="77777777" w:rsidR="00B65D9F" w:rsidRPr="00614FD4" w:rsidRDefault="00E87C6E" w:rsidP="00E87C6E">
      <w:pPr>
        <w:pStyle w:val="Paragraph"/>
      </w:pPr>
      <w:bookmarkStart w:id="97" w:name="_Toc340835234"/>
      <w:bookmarkEnd w:id="97"/>
      <w:r w:rsidRPr="00C35A48">
        <w:t>Abbreviations:</w:t>
      </w:r>
      <w:r w:rsidRPr="00614FD4">
        <w:t xml:space="preserve"> </w:t>
      </w:r>
    </w:p>
    <w:p w14:paraId="0E941209" w14:textId="7C3386A8" w:rsidR="00614FD4" w:rsidRPr="00614FD4" w:rsidRDefault="00614FD4" w:rsidP="00614FD4">
      <w:pPr>
        <w:pStyle w:val="Bulletleft1"/>
      </w:pPr>
      <w:r>
        <w:t>ARN, Association of Respiratory Nurses</w:t>
      </w:r>
    </w:p>
    <w:p w14:paraId="77908D55" w14:textId="7F8AE585" w:rsidR="00614FD4" w:rsidRDefault="00614FD4" w:rsidP="00614FD4">
      <w:pPr>
        <w:pStyle w:val="Bulletleft1"/>
      </w:pPr>
      <w:r>
        <w:t>BTS, British Thoracic Society</w:t>
      </w:r>
    </w:p>
    <w:p w14:paraId="67FC2BBC" w14:textId="01250FE4" w:rsidR="00327937" w:rsidRPr="00614FD4" w:rsidRDefault="00327937" w:rsidP="00614FD4">
      <w:pPr>
        <w:pStyle w:val="Bulletleft1"/>
      </w:pPr>
      <w:r>
        <w:t>PCRS, Primary Care Respiratory Society</w:t>
      </w:r>
    </w:p>
    <w:p w14:paraId="28583D53" w14:textId="292C593C" w:rsidR="00614FD4" w:rsidRPr="00614FD4" w:rsidRDefault="00614FD4" w:rsidP="00614FD4">
      <w:pPr>
        <w:pStyle w:val="Bulletleft1"/>
      </w:pPr>
      <w:r>
        <w:t>NHSE, NHS England</w:t>
      </w:r>
    </w:p>
    <w:p w14:paraId="2495A66E" w14:textId="292E1AD5" w:rsidR="00614FD4" w:rsidRDefault="00614FD4" w:rsidP="00614FD4">
      <w:pPr>
        <w:pStyle w:val="Bulletleft1"/>
      </w:pPr>
      <w:r>
        <w:t>RCN, Royal College of Nu</w:t>
      </w:r>
      <w:r w:rsidR="00E91559">
        <w:t>r</w:t>
      </w:r>
      <w:r>
        <w:t>sing</w:t>
      </w:r>
    </w:p>
    <w:p w14:paraId="28EAE63F" w14:textId="725B950D" w:rsidR="00F6784F" w:rsidRDefault="00F6784F" w:rsidP="00F6784F">
      <w:pPr>
        <w:pStyle w:val="Paragraph"/>
      </w:pPr>
      <w:r>
        <w:t>F</w:t>
      </w:r>
      <w:r w:rsidRPr="00E12A17">
        <w:t>ull detail</w:t>
      </w:r>
      <w:r>
        <w:t>s</w:t>
      </w:r>
      <w:r w:rsidRPr="00E12A17">
        <w:t xml:space="preserve"> o</w:t>
      </w:r>
      <w:r>
        <w:t>f all</w:t>
      </w:r>
      <w:r w:rsidRPr="00E12A17">
        <w:t xml:space="preserve"> the suggestions </w:t>
      </w:r>
      <w:r>
        <w:t xml:space="preserve">provided are given in </w:t>
      </w:r>
      <w:hyperlink w:anchor="_Appendix_2:_Suggestions" w:history="1">
        <w:r w:rsidRPr="002E6302">
          <w:rPr>
            <w:rStyle w:val="Hyperlink"/>
          </w:rPr>
          <w:t>appendix </w:t>
        </w:r>
        <w:r w:rsidR="00E91559" w:rsidRPr="002E6302">
          <w:rPr>
            <w:rStyle w:val="Hyperlink"/>
          </w:rPr>
          <w:t>2</w:t>
        </w:r>
      </w:hyperlink>
      <w:r w:rsidRPr="00E12A17">
        <w:t xml:space="preserve"> for information.</w:t>
      </w:r>
    </w:p>
    <w:p w14:paraId="1418C763" w14:textId="77777777" w:rsidR="003B6DDC" w:rsidRDefault="003B6DDC" w:rsidP="003116A1">
      <w:pPr>
        <w:pStyle w:val="Numberedheading1"/>
      </w:pPr>
      <w:r>
        <w:br w:type="page"/>
      </w:r>
      <w:bookmarkStart w:id="98" w:name="_Toc141346136"/>
      <w:r w:rsidR="002C296A">
        <w:lastRenderedPageBreak/>
        <w:t>Suggested improvement area</w:t>
      </w:r>
      <w:r>
        <w:t>s</w:t>
      </w:r>
      <w:bookmarkEnd w:id="98"/>
    </w:p>
    <w:p w14:paraId="15A5D3C5"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15B9E5E4" w14:textId="79F3C0A8" w:rsidR="002C296A" w:rsidRDefault="00866538" w:rsidP="003B6DDC">
      <w:pPr>
        <w:pStyle w:val="Numberedheading2"/>
      </w:pPr>
      <w:bookmarkStart w:id="99" w:name="_Toc141346137"/>
      <w:r>
        <w:t>Initial assessment</w:t>
      </w:r>
      <w:bookmarkEnd w:id="99"/>
      <w:r w:rsidR="00913BC8">
        <w:t xml:space="preserve"> </w:t>
      </w:r>
    </w:p>
    <w:p w14:paraId="70F05328" w14:textId="64B8540D" w:rsidR="00556901" w:rsidRDefault="00CC2945" w:rsidP="00556901">
      <w:pPr>
        <w:pStyle w:val="Heading3"/>
      </w:pPr>
      <w:r>
        <w:t xml:space="preserve">Signs, </w:t>
      </w:r>
      <w:proofErr w:type="gramStart"/>
      <w:r>
        <w:t>symptoms</w:t>
      </w:r>
      <w:proofErr w:type="gramEnd"/>
      <w:r>
        <w:t xml:space="preserve"> and s</w:t>
      </w:r>
      <w:r w:rsidR="00556901">
        <w:t>everity scoring</w:t>
      </w:r>
    </w:p>
    <w:p w14:paraId="224C1E94" w14:textId="77777777" w:rsidR="00CC2945" w:rsidRPr="006D2564" w:rsidRDefault="00CC2945" w:rsidP="00CC2945">
      <w:pPr>
        <w:pStyle w:val="Paragraph"/>
      </w:pPr>
      <w:r>
        <w:t xml:space="preserve">Stakeholders suggested that there is a need to improve the accurate recording of signs and symptoms to support diagnosis of acute respiratory infections, </w:t>
      </w:r>
      <w:proofErr w:type="gramStart"/>
      <w:r>
        <w:t>and in particular, upper</w:t>
      </w:r>
      <w:proofErr w:type="gramEnd"/>
      <w:r>
        <w:t xml:space="preserve"> respiratory tract infections.</w:t>
      </w:r>
    </w:p>
    <w:p w14:paraId="4EB31EB1" w14:textId="7EF71CE7" w:rsidR="00556901" w:rsidRDefault="00556901" w:rsidP="00556901">
      <w:pPr>
        <w:pStyle w:val="Paragraph"/>
      </w:pPr>
      <w:r>
        <w:t>A stakeholder suggested that severity scoring tools, such as National Early Warning Score (NEWS), Early Warning Score (EWS), mortality risk assessment using CRB65 or CURB65, and Pneumonia Severity Index (PSI), may be helpful for people with acute respiratory infection and it is important to clarify which should be used, with who</w:t>
      </w:r>
      <w:r w:rsidR="00913BC8">
        <w:t>m</w:t>
      </w:r>
      <w:r>
        <w:t xml:space="preserve"> and </w:t>
      </w:r>
      <w:r w:rsidR="00913BC8">
        <w:t>in which setting</w:t>
      </w:r>
      <w:r>
        <w:t xml:space="preserve">. </w:t>
      </w:r>
    </w:p>
    <w:p w14:paraId="38C4F7A2" w14:textId="2EA4E753" w:rsidR="00556901" w:rsidRPr="007B1C0E" w:rsidRDefault="002B32E2" w:rsidP="00556901">
      <w:pPr>
        <w:pStyle w:val="Heading4"/>
      </w:pPr>
      <w:r>
        <w:t>NICE guidance</w:t>
      </w:r>
    </w:p>
    <w:p w14:paraId="775CCF19" w14:textId="242A8FA7" w:rsidR="00556901" w:rsidRDefault="00556901" w:rsidP="00556901">
      <w:pPr>
        <w:pStyle w:val="Paragraph"/>
      </w:pPr>
      <w:r>
        <w:t xml:space="preserve">Initial assessment of adults with suspected acute respiratory infection </w:t>
      </w:r>
      <w:r w:rsidR="00CC2945">
        <w:t>will be</w:t>
      </w:r>
      <w:r>
        <w:t xml:space="preserve"> included in the new NICE guideline on </w:t>
      </w:r>
      <w:hyperlink r:id="rId27" w:history="1">
        <w:r w:rsidRPr="002C6587">
          <w:rPr>
            <w:rStyle w:val="Hyperlink"/>
          </w:rPr>
          <w:t>acute respiratory infection in over 16s: initial assessment and management</w:t>
        </w:r>
      </w:hyperlink>
      <w:r>
        <w:t xml:space="preserve"> (in development).</w:t>
      </w:r>
    </w:p>
    <w:p w14:paraId="3E81FCB3" w14:textId="317C60A9" w:rsidR="00556901" w:rsidRDefault="001C2C97" w:rsidP="00556901">
      <w:pPr>
        <w:pStyle w:val="Paragraph"/>
      </w:pPr>
      <w:hyperlink r:id="rId28" w:history="1">
        <w:r w:rsidR="00556901" w:rsidRPr="003E2BE2">
          <w:rPr>
            <w:rStyle w:val="Hyperlink"/>
          </w:rPr>
          <w:t>NICE’s guideline on pneumonia in adults: diagnosis and management</w:t>
        </w:r>
      </w:hyperlink>
      <w:r w:rsidR="00556901">
        <w:t xml:space="preserve"> (CG191)</w:t>
      </w:r>
    </w:p>
    <w:p w14:paraId="1BC83A5E" w14:textId="603F31F3" w:rsidR="00556901" w:rsidRDefault="00556901" w:rsidP="00556901">
      <w:pPr>
        <w:pStyle w:val="Paragraph"/>
      </w:pPr>
      <w:r>
        <w:t xml:space="preserve">1.2.1 </w:t>
      </w:r>
      <w:r w:rsidRPr="003E2BE2">
        <w:t xml:space="preserve">When a clinical diagnosis of community-acquired pneumonia is made in primary care, determine whether patients are at low, </w:t>
      </w:r>
      <w:proofErr w:type="gramStart"/>
      <w:r w:rsidRPr="003E2BE2">
        <w:t>intermediate</w:t>
      </w:r>
      <w:proofErr w:type="gramEnd"/>
      <w:r w:rsidRPr="003E2BE2">
        <w:t xml:space="preserve"> or high risk of death using the CRB65 scor</w:t>
      </w:r>
      <w:r w:rsidR="00CC2945">
        <w:t>e</w:t>
      </w:r>
      <w:r w:rsidRPr="003E2BE2">
        <w:t>.</w:t>
      </w:r>
    </w:p>
    <w:p w14:paraId="32EA9C3B" w14:textId="35A8B106" w:rsidR="0070287C" w:rsidRDefault="0070287C" w:rsidP="00556901">
      <w:pPr>
        <w:pStyle w:val="Paragraph"/>
      </w:pPr>
      <w:r>
        <w:t xml:space="preserve">1.2.3 </w:t>
      </w:r>
      <w:r w:rsidRPr="0070287C">
        <w:t xml:space="preserve">When a diagnosis of community-acquired pneumonia is made at presentation to hospital, determine whether patients are at low, </w:t>
      </w:r>
      <w:proofErr w:type="gramStart"/>
      <w:r w:rsidRPr="0070287C">
        <w:t>intermediate</w:t>
      </w:r>
      <w:proofErr w:type="gramEnd"/>
      <w:r w:rsidRPr="0070287C">
        <w:t xml:space="preserve"> or high risk of death using the CURB65 score</w:t>
      </w:r>
      <w:r>
        <w:t>.</w:t>
      </w:r>
    </w:p>
    <w:p w14:paraId="465C1057" w14:textId="77777777" w:rsidR="00913BC8" w:rsidRDefault="001C2C97" w:rsidP="00913BC8">
      <w:pPr>
        <w:pStyle w:val="Paragraph"/>
        <w:keepNext/>
      </w:pPr>
      <w:hyperlink r:id="rId29" w:history="1">
        <w:r w:rsidR="00556901" w:rsidRPr="00C4269B">
          <w:rPr>
            <w:rStyle w:val="Hyperlink"/>
          </w:rPr>
          <w:t>NICE’s quality standard on pneumonia in adults</w:t>
        </w:r>
      </w:hyperlink>
      <w:r w:rsidR="00556901">
        <w:t xml:space="preserve"> (QS110)</w:t>
      </w:r>
      <w:r w:rsidR="00CC2945">
        <w:t xml:space="preserve"> </w:t>
      </w:r>
    </w:p>
    <w:p w14:paraId="3AA3468C" w14:textId="0E6EA928" w:rsidR="00556901" w:rsidRDefault="00556901" w:rsidP="00556901">
      <w:pPr>
        <w:pStyle w:val="Paragraph"/>
      </w:pPr>
      <w:r>
        <w:t xml:space="preserve">Statement 1: </w:t>
      </w:r>
      <w:r w:rsidRPr="00C4269B">
        <w:t>Adults have a mortality risk assessment using the CRB65 score when they are diagnosed with community</w:t>
      </w:r>
      <w:r w:rsidRPr="00C4269B">
        <w:rPr>
          <w:rFonts w:ascii="Cambria Math" w:hAnsi="Cambria Math" w:cs="Cambria Math"/>
        </w:rPr>
        <w:t>‑</w:t>
      </w:r>
      <w:r w:rsidRPr="00C4269B">
        <w:t>acquired pneumonia in primary care.</w:t>
      </w:r>
    </w:p>
    <w:p w14:paraId="0F092F93" w14:textId="309A8E74" w:rsidR="00913BC8" w:rsidRDefault="00913BC8" w:rsidP="00556901">
      <w:pPr>
        <w:pStyle w:val="Paragraph"/>
      </w:pPr>
      <w:r>
        <w:t xml:space="preserve">Statement 4: </w:t>
      </w:r>
      <w:r w:rsidRPr="00913BC8">
        <w:t>Adults have a mortality risk assessment using the CURB65 score when they are diagnosed with community acquired pneumonia in hospital.</w:t>
      </w:r>
    </w:p>
    <w:p w14:paraId="22C62753" w14:textId="1D0EB9AE" w:rsidR="007F3EAA" w:rsidRDefault="007F3EAA" w:rsidP="007F3EAA">
      <w:pPr>
        <w:pStyle w:val="Heading3"/>
      </w:pPr>
      <w:r>
        <w:lastRenderedPageBreak/>
        <w:t>Point of care testing</w:t>
      </w:r>
    </w:p>
    <w:p w14:paraId="26DF5406" w14:textId="72B67C5D" w:rsidR="007F3EAA" w:rsidRPr="00866538" w:rsidRDefault="005D22A0" w:rsidP="005D22A0">
      <w:pPr>
        <w:pStyle w:val="Paragraph"/>
      </w:pPr>
      <w:r>
        <w:t xml:space="preserve">Stakeholders suggested that </w:t>
      </w:r>
      <w:r w:rsidR="00B47EFD">
        <w:t xml:space="preserve">there is wide variation in </w:t>
      </w:r>
      <w:r w:rsidR="00CC2945">
        <w:t xml:space="preserve">the use of </w:t>
      </w:r>
      <w:r w:rsidR="00B47EFD">
        <w:t>point of care testing for people with acute respiratory infection. There are a range of platforms and tests available for microbiological testing and biomarkers</w:t>
      </w:r>
      <w:r w:rsidR="00455788">
        <w:t xml:space="preserve"> that might inform</w:t>
      </w:r>
      <w:r w:rsidR="00E700D1">
        <w:t xml:space="preserve"> diagnosis and</w:t>
      </w:r>
      <w:r w:rsidR="00455788">
        <w:t xml:space="preserve"> severity</w:t>
      </w:r>
      <w:r w:rsidR="00B47EFD">
        <w:t>.</w:t>
      </w:r>
      <w:r w:rsidR="00455788">
        <w:t xml:space="preserve"> </w:t>
      </w:r>
      <w:r w:rsidR="00E700D1">
        <w:t>It needs to be clear which tests to use, including who should be tested, when and in which setting.</w:t>
      </w:r>
      <w:r w:rsidR="00455788">
        <w:t xml:space="preserve"> </w:t>
      </w:r>
    </w:p>
    <w:p w14:paraId="2A15606F" w14:textId="77777777" w:rsidR="002B32E2" w:rsidRDefault="002B32E2" w:rsidP="0054754F">
      <w:pPr>
        <w:pStyle w:val="Paragraph"/>
        <w:rPr>
          <w:b/>
          <w:bCs/>
          <w:iCs/>
          <w:szCs w:val="28"/>
        </w:rPr>
      </w:pPr>
      <w:r w:rsidRPr="002B32E2">
        <w:rPr>
          <w:b/>
          <w:bCs/>
          <w:iCs/>
          <w:szCs w:val="28"/>
        </w:rPr>
        <w:t>NICE guidance</w:t>
      </w:r>
    </w:p>
    <w:p w14:paraId="46C4468C" w14:textId="74C0F8CA" w:rsidR="0054754F" w:rsidRDefault="0054754F" w:rsidP="0054754F">
      <w:pPr>
        <w:pStyle w:val="Paragraph"/>
      </w:pPr>
      <w:r>
        <w:t xml:space="preserve">Near patient microbiological and biomarker tests </w:t>
      </w:r>
      <w:r w:rsidR="00CC2945">
        <w:t>will be</w:t>
      </w:r>
      <w:r>
        <w:t xml:space="preserve"> included in the new NICE guideline on </w:t>
      </w:r>
      <w:hyperlink r:id="rId30" w:history="1">
        <w:r w:rsidRPr="002C6587">
          <w:rPr>
            <w:rStyle w:val="Hyperlink"/>
          </w:rPr>
          <w:t>acute respiratory infection in over 16s: initial assessment and management</w:t>
        </w:r>
      </w:hyperlink>
      <w:r>
        <w:t xml:space="preserve"> (in development).</w:t>
      </w:r>
    </w:p>
    <w:p w14:paraId="5B74FC74" w14:textId="0B94FC27" w:rsidR="002C6587" w:rsidRDefault="001C2C97" w:rsidP="007F3EAA">
      <w:pPr>
        <w:pStyle w:val="Paragraph"/>
      </w:pPr>
      <w:hyperlink r:id="rId31" w:history="1">
        <w:r w:rsidR="00CC2945">
          <w:rPr>
            <w:rStyle w:val="Hyperlink"/>
          </w:rPr>
          <w:t>NICE’s guideline on emergency and acute medical care in over 16s</w:t>
        </w:r>
      </w:hyperlink>
      <w:r w:rsidR="00EF080A">
        <w:t xml:space="preserve"> (NG94)</w:t>
      </w:r>
    </w:p>
    <w:p w14:paraId="795737F8" w14:textId="2F3D2DD4" w:rsidR="00852615" w:rsidRDefault="00852615" w:rsidP="007F3EAA">
      <w:pPr>
        <w:pStyle w:val="Paragraph"/>
      </w:pPr>
      <w:r>
        <w:t xml:space="preserve">1.1.2 </w:t>
      </w:r>
      <w:r w:rsidRPr="00852615">
        <w:t>Provide point-of-care C-reactive protein testing for people with suspected lower respiratory tract infections.</w:t>
      </w:r>
    </w:p>
    <w:p w14:paraId="0928493B" w14:textId="6656D860" w:rsidR="009A7DA7" w:rsidRDefault="001C2C97" w:rsidP="007F3EAA">
      <w:pPr>
        <w:pStyle w:val="Paragraph"/>
      </w:pPr>
      <w:hyperlink r:id="rId32" w:history="1">
        <w:r w:rsidR="009A7DA7" w:rsidRPr="001E0264">
          <w:rPr>
            <w:rStyle w:val="Hyperlink"/>
          </w:rPr>
          <w:t xml:space="preserve">NICE’s guideline </w:t>
        </w:r>
        <w:r w:rsidR="001E0264" w:rsidRPr="001E0264">
          <w:rPr>
            <w:rStyle w:val="Hyperlink"/>
          </w:rPr>
          <w:t>on antimicrobial stewardship: systems and processes for effective antimicrobial medicine use</w:t>
        </w:r>
      </w:hyperlink>
      <w:r w:rsidR="001E0264">
        <w:t xml:space="preserve"> (NG15)</w:t>
      </w:r>
    </w:p>
    <w:p w14:paraId="0CFC2956" w14:textId="3986A976" w:rsidR="001E0264" w:rsidRDefault="001E0264" w:rsidP="007F3EAA">
      <w:pPr>
        <w:pStyle w:val="Paragraph"/>
      </w:pPr>
      <w:r>
        <w:t xml:space="preserve">1.1.30 </w:t>
      </w:r>
      <w:r w:rsidRPr="001E0264">
        <w:t>Consider point</w:t>
      </w:r>
      <w:r w:rsidRPr="001E0264">
        <w:rPr>
          <w:rFonts w:ascii="Cambria Math" w:hAnsi="Cambria Math" w:cs="Cambria Math"/>
        </w:rPr>
        <w:t>‑</w:t>
      </w:r>
      <w:r w:rsidRPr="001E0264">
        <w:t>of</w:t>
      </w:r>
      <w:r w:rsidRPr="001E0264">
        <w:rPr>
          <w:rFonts w:ascii="Cambria Math" w:hAnsi="Cambria Math" w:cs="Cambria Math"/>
        </w:rPr>
        <w:t>‑</w:t>
      </w:r>
      <w:r w:rsidRPr="001E0264">
        <w:t>care testing in primary care for patients with suspected lower respiratory tract infections as described in the NICE guideline on pneumonia in adults.</w:t>
      </w:r>
    </w:p>
    <w:p w14:paraId="6DC7E1D9" w14:textId="6D9A25F4" w:rsidR="00852615" w:rsidRDefault="001C2C97" w:rsidP="007F3EAA">
      <w:pPr>
        <w:pStyle w:val="Paragraph"/>
      </w:pPr>
      <w:hyperlink r:id="rId33" w:history="1">
        <w:r w:rsidR="00852615" w:rsidRPr="00852615">
          <w:rPr>
            <w:rStyle w:val="Hyperlink"/>
          </w:rPr>
          <w:t>NICE’s guideline on pneumonia in adults: diagnosis and management</w:t>
        </w:r>
      </w:hyperlink>
      <w:r w:rsidR="00852615">
        <w:t xml:space="preserve"> (CG191)</w:t>
      </w:r>
    </w:p>
    <w:p w14:paraId="7A90DF74" w14:textId="12A58FE0" w:rsidR="00700D54" w:rsidRDefault="00700D54" w:rsidP="00700D54">
      <w:pPr>
        <w:pStyle w:val="Paragraph"/>
      </w:pPr>
      <w:r>
        <w:t>1.1.1 For people presenting with symptoms of lower respiratory tract infection in primary care, consider a point of care C</w:t>
      </w:r>
      <w:r>
        <w:rPr>
          <w:rFonts w:ascii="Cambria Math" w:hAnsi="Cambria Math" w:cs="Cambria Math"/>
        </w:rPr>
        <w:t>‑</w:t>
      </w:r>
      <w:r>
        <w:t>reactive protein test if after clinical assessment a diagnosis of pneumonia has not been made and it is not clear whether antibiotics should be prescribed. Use the results of the C</w:t>
      </w:r>
      <w:r>
        <w:rPr>
          <w:rFonts w:ascii="Cambria Math" w:hAnsi="Cambria Math" w:cs="Cambria Math"/>
        </w:rPr>
        <w:t>‑</w:t>
      </w:r>
      <w:r>
        <w:t>reactive protein test to guide antibiotic prescribing in people without a clinical diagnosis of pneumonia as follows:</w:t>
      </w:r>
    </w:p>
    <w:p w14:paraId="09F7BF4D" w14:textId="77777777" w:rsidR="00700D54" w:rsidRDefault="00700D54" w:rsidP="00CC2945">
      <w:pPr>
        <w:pStyle w:val="Bulletparagraph"/>
      </w:pPr>
      <w:r>
        <w:t>Do not routinely offer antibiotic therapy if the C</w:t>
      </w:r>
      <w:r>
        <w:rPr>
          <w:rFonts w:ascii="Cambria Math" w:hAnsi="Cambria Math" w:cs="Cambria Math"/>
        </w:rPr>
        <w:t>‑</w:t>
      </w:r>
      <w:r>
        <w:t>reactive protein concentration is less than 20 mg/litre.</w:t>
      </w:r>
    </w:p>
    <w:p w14:paraId="496B02F9" w14:textId="77777777" w:rsidR="00700D54" w:rsidRDefault="00700D54" w:rsidP="00CC2945">
      <w:pPr>
        <w:pStyle w:val="Bulletparagraph"/>
      </w:pPr>
      <w:r>
        <w:t xml:space="preserve">Consider a delayed antibiotic prescription (a prescription for use </w:t>
      </w:r>
      <w:proofErr w:type="gramStart"/>
      <w:r>
        <w:t>at a later date</w:t>
      </w:r>
      <w:proofErr w:type="gramEnd"/>
      <w:r>
        <w:t xml:space="preserve"> if symptoms worsen) if the C</w:t>
      </w:r>
      <w:r>
        <w:rPr>
          <w:rFonts w:ascii="Cambria Math" w:hAnsi="Cambria Math" w:cs="Cambria Math"/>
        </w:rPr>
        <w:t>‑</w:t>
      </w:r>
      <w:r>
        <w:t>reactive protein concentration is between 20 mg/litre and 100 mg/litre.</w:t>
      </w:r>
    </w:p>
    <w:p w14:paraId="46FA6A9D" w14:textId="13B2A1BD" w:rsidR="00852615" w:rsidRDefault="00700D54" w:rsidP="00CC2945">
      <w:pPr>
        <w:pStyle w:val="Bulletparagraphlast"/>
      </w:pPr>
      <w:r>
        <w:t>Offer antibiotic therapy if the C</w:t>
      </w:r>
      <w:r>
        <w:rPr>
          <w:rFonts w:ascii="Cambria Math" w:hAnsi="Cambria Math" w:cs="Cambria Math"/>
        </w:rPr>
        <w:t>‑</w:t>
      </w:r>
      <w:r>
        <w:t>reactive protein concentration is greater than 100 mg/litre.</w:t>
      </w:r>
    </w:p>
    <w:p w14:paraId="2D7B83E0" w14:textId="591EF0C9" w:rsidR="00700D54" w:rsidRDefault="00700D54" w:rsidP="00700D54">
      <w:pPr>
        <w:pStyle w:val="Paragraph"/>
      </w:pPr>
      <w:r>
        <w:t>1.2.6 Do not routinely offer microbiological tests to patients with low</w:t>
      </w:r>
      <w:r>
        <w:rPr>
          <w:rFonts w:ascii="Cambria Math" w:hAnsi="Cambria Math" w:cs="Cambria Math"/>
        </w:rPr>
        <w:t>‑</w:t>
      </w:r>
      <w:r>
        <w:t>severity community</w:t>
      </w:r>
      <w:r>
        <w:rPr>
          <w:rFonts w:ascii="Cambria Math" w:hAnsi="Cambria Math" w:cs="Cambria Math"/>
        </w:rPr>
        <w:t>‑</w:t>
      </w:r>
      <w:r>
        <w:t>acquired pneumonia.</w:t>
      </w:r>
    </w:p>
    <w:p w14:paraId="00655697" w14:textId="130825DD" w:rsidR="00700D54" w:rsidRDefault="00700D54" w:rsidP="00700D54">
      <w:pPr>
        <w:pStyle w:val="Paragraph"/>
      </w:pPr>
      <w:r>
        <w:lastRenderedPageBreak/>
        <w:t>1.2.7 For patients with moderate</w:t>
      </w:r>
      <w:r>
        <w:rPr>
          <w:rFonts w:ascii="Cambria Math" w:hAnsi="Cambria Math" w:cs="Cambria Math"/>
        </w:rPr>
        <w:t>‑</w:t>
      </w:r>
      <w:r>
        <w:t xml:space="preserve"> or high</w:t>
      </w:r>
      <w:r>
        <w:rPr>
          <w:rFonts w:ascii="Cambria Math" w:hAnsi="Cambria Math" w:cs="Cambria Math"/>
        </w:rPr>
        <w:t>‑</w:t>
      </w:r>
      <w:r>
        <w:t>severity community</w:t>
      </w:r>
      <w:r>
        <w:rPr>
          <w:rFonts w:ascii="Cambria Math" w:hAnsi="Cambria Math" w:cs="Cambria Math"/>
        </w:rPr>
        <w:t>‑</w:t>
      </w:r>
      <w:r>
        <w:t>acquired pneumonia:</w:t>
      </w:r>
    </w:p>
    <w:p w14:paraId="7DEEAA23" w14:textId="77777777" w:rsidR="00700D54" w:rsidRDefault="00700D54" w:rsidP="00CC2945">
      <w:pPr>
        <w:pStyle w:val="Bulletparagraph"/>
      </w:pPr>
      <w:r>
        <w:t>take blood and sputum cultures and</w:t>
      </w:r>
    </w:p>
    <w:p w14:paraId="58683F11" w14:textId="0FC1CAEF" w:rsidR="00EF080A" w:rsidRDefault="00700D54" w:rsidP="00CC2945">
      <w:pPr>
        <w:pStyle w:val="Bulletparagraphlast"/>
      </w:pPr>
      <w:r>
        <w:t>consider pneumococcal and legionella urinary antigen tests.</w:t>
      </w:r>
    </w:p>
    <w:p w14:paraId="1AEBAAD6" w14:textId="77777777" w:rsidR="0067426A" w:rsidRDefault="0067426A" w:rsidP="00B65D9F">
      <w:pPr>
        <w:pStyle w:val="Heading3"/>
      </w:pPr>
      <w:bookmarkStart w:id="100" w:name="_Hlk61966644"/>
      <w:r w:rsidRPr="0067426A">
        <w:t>Issues for consideration</w:t>
      </w:r>
    </w:p>
    <w:bookmarkEnd w:id="100"/>
    <w:p w14:paraId="5E0590A8" w14:textId="77777777" w:rsidR="00414915" w:rsidRPr="00E91559" w:rsidRDefault="00414915" w:rsidP="00414915">
      <w:pPr>
        <w:pStyle w:val="Paragraph"/>
        <w:rPr>
          <w:b/>
          <w:bCs/>
        </w:rPr>
      </w:pPr>
      <w:r w:rsidRPr="00E91559">
        <w:rPr>
          <w:b/>
          <w:bCs/>
        </w:rPr>
        <w:t>For discussion:</w:t>
      </w:r>
    </w:p>
    <w:p w14:paraId="3DF86500" w14:textId="38C313DC" w:rsidR="00E91559" w:rsidRDefault="00E91559" w:rsidP="00CC2945">
      <w:pPr>
        <w:pStyle w:val="Bulletparagraph"/>
      </w:pPr>
      <w:r>
        <w:t>Is there significant variation in current practice?</w:t>
      </w:r>
    </w:p>
    <w:p w14:paraId="168B70B9" w14:textId="23DD84C4" w:rsidR="00414915" w:rsidRPr="00E91559" w:rsidRDefault="00414915" w:rsidP="00CC2945">
      <w:pPr>
        <w:pStyle w:val="Bulletparagraph"/>
      </w:pPr>
      <w:r w:rsidRPr="00E91559">
        <w:t xml:space="preserve">What </w:t>
      </w:r>
      <w:r w:rsidR="0095198E">
        <w:t>is</w:t>
      </w:r>
      <w:r w:rsidRPr="00E91559">
        <w:t xml:space="preserve"> the priorit</w:t>
      </w:r>
      <w:r w:rsidR="0095198E">
        <w:t>y</w:t>
      </w:r>
      <w:r w:rsidRPr="00E91559">
        <w:t xml:space="preserve"> for improvement?</w:t>
      </w:r>
    </w:p>
    <w:p w14:paraId="7E702E10" w14:textId="1CA6C5AB" w:rsidR="00414915" w:rsidRDefault="00414915" w:rsidP="00CC2945">
      <w:pPr>
        <w:pStyle w:val="Bulletparagraph"/>
      </w:pPr>
      <w:r w:rsidRPr="00E91559">
        <w:t xml:space="preserve">What </w:t>
      </w:r>
      <w:r w:rsidR="0095198E">
        <w:t>is</w:t>
      </w:r>
      <w:r w:rsidRPr="00E91559">
        <w:t xml:space="preserve"> the key action that will lead to improvement?</w:t>
      </w:r>
    </w:p>
    <w:p w14:paraId="30A4193E" w14:textId="0DA6A389" w:rsidR="00414915" w:rsidRDefault="00414915" w:rsidP="00CC2945">
      <w:pPr>
        <w:pStyle w:val="Bulletparagraph"/>
      </w:pPr>
      <w:r w:rsidRPr="00E91559">
        <w:t xml:space="preserve">Could we focus on a specific </w:t>
      </w:r>
      <w:r w:rsidR="00E91559">
        <w:t>population</w:t>
      </w:r>
      <w:r w:rsidRPr="00E91559">
        <w:t xml:space="preserve"> or setting?</w:t>
      </w:r>
    </w:p>
    <w:p w14:paraId="1E6C2017" w14:textId="2A66F66E" w:rsidR="0095198E" w:rsidRPr="00CC2945" w:rsidRDefault="00414915" w:rsidP="00CC2945">
      <w:pPr>
        <w:pStyle w:val="Bulletparagraphlast"/>
      </w:pPr>
      <w:r w:rsidRPr="00CC2945">
        <w:t>Can we develop a specific, measurable statement?</w:t>
      </w:r>
    </w:p>
    <w:p w14:paraId="3A31F1CD" w14:textId="77777777" w:rsidR="00414915" w:rsidRPr="00A6218A" w:rsidRDefault="00414915" w:rsidP="00414915">
      <w:pPr>
        <w:pStyle w:val="Paragraph"/>
        <w:rPr>
          <w:b/>
          <w:bCs/>
        </w:rPr>
      </w:pPr>
      <w:r w:rsidRPr="00A6218A">
        <w:rPr>
          <w:b/>
          <w:bCs/>
        </w:rPr>
        <w:t>For decision:</w:t>
      </w:r>
    </w:p>
    <w:p w14:paraId="63545DF1" w14:textId="31A93571" w:rsidR="00110102" w:rsidRDefault="00414915" w:rsidP="00CC2945">
      <w:pPr>
        <w:pStyle w:val="Bulletparagraph"/>
      </w:pPr>
      <w:r w:rsidRPr="00624810">
        <w:t>Should this area be prioritised for inclusion in the quality standard?</w:t>
      </w:r>
    </w:p>
    <w:p w14:paraId="1BE37A8C" w14:textId="2D2AF2B2" w:rsidR="00110102" w:rsidRDefault="00110102">
      <w:pPr>
        <w:rPr>
          <w:rFonts w:ascii="Arial" w:hAnsi="Arial"/>
        </w:rPr>
      </w:pPr>
      <w:r>
        <w:br w:type="page"/>
      </w:r>
    </w:p>
    <w:p w14:paraId="60337DDB" w14:textId="77777777" w:rsidR="00E9373C" w:rsidRDefault="00E9373C" w:rsidP="00E9373C">
      <w:pPr>
        <w:pStyle w:val="Numberedheading2"/>
      </w:pPr>
      <w:bookmarkStart w:id="101" w:name="_Toc141346138"/>
      <w:r>
        <w:lastRenderedPageBreak/>
        <w:t>Prescribing antimicrobials</w:t>
      </w:r>
      <w:bookmarkEnd w:id="101"/>
    </w:p>
    <w:p w14:paraId="32701586" w14:textId="77777777" w:rsidR="00E9373C" w:rsidRPr="007C551C" w:rsidRDefault="00E9373C" w:rsidP="00E9373C">
      <w:pPr>
        <w:pStyle w:val="Heading3"/>
      </w:pPr>
      <w:r>
        <w:t>P</w:t>
      </w:r>
      <w:r w:rsidRPr="007C551C">
        <w:t>revent</w:t>
      </w:r>
      <w:r>
        <w:t>ing</w:t>
      </w:r>
      <w:r w:rsidRPr="007C551C">
        <w:t xml:space="preserve"> </w:t>
      </w:r>
      <w:r>
        <w:t xml:space="preserve">antibiotic </w:t>
      </w:r>
      <w:r w:rsidRPr="007C551C">
        <w:t>overprescribing</w:t>
      </w:r>
    </w:p>
    <w:p w14:paraId="10F67CCA" w14:textId="77777777" w:rsidR="00E9373C" w:rsidRPr="00866538" w:rsidRDefault="00E9373C" w:rsidP="00E9373C">
      <w:pPr>
        <w:pStyle w:val="Paragraph"/>
      </w:pPr>
      <w:r>
        <w:t>A stakeholder suggested that it is important to have a strategy and approach to avoid unnecessary prescribing of antibiotics in people with acute respiratory infection with and without comorbid lung disease, in face to face and remote consultations. This will improve antimicrobial stewardship.</w:t>
      </w:r>
      <w:r w:rsidRPr="007C551C">
        <w:tab/>
      </w:r>
    </w:p>
    <w:p w14:paraId="3E7F7B07" w14:textId="77777777" w:rsidR="002B32E2" w:rsidRDefault="002B32E2" w:rsidP="00E9373C">
      <w:pPr>
        <w:pStyle w:val="Paragraph"/>
        <w:rPr>
          <w:b/>
          <w:bCs/>
          <w:iCs/>
          <w:szCs w:val="28"/>
        </w:rPr>
      </w:pPr>
      <w:r w:rsidRPr="002B32E2">
        <w:rPr>
          <w:b/>
          <w:bCs/>
          <w:iCs/>
          <w:szCs w:val="28"/>
        </w:rPr>
        <w:t>NICE guidance</w:t>
      </w:r>
    </w:p>
    <w:p w14:paraId="709251A7" w14:textId="5B0DE10C" w:rsidR="00E9373C" w:rsidRDefault="001C2C97" w:rsidP="00E9373C">
      <w:pPr>
        <w:pStyle w:val="Paragraph"/>
      </w:pPr>
      <w:hyperlink r:id="rId34" w:history="1">
        <w:r w:rsidR="00E9373C" w:rsidRPr="001E0264">
          <w:rPr>
            <w:rStyle w:val="Hyperlink"/>
          </w:rPr>
          <w:t>NICE’s guideline on antimicrobial stewardship: systems and processes for effective antimicrobial medicine use</w:t>
        </w:r>
      </w:hyperlink>
      <w:r w:rsidR="00E9373C">
        <w:t xml:space="preserve"> (NG15)</w:t>
      </w:r>
    </w:p>
    <w:p w14:paraId="38535BF8" w14:textId="77777777" w:rsidR="00E9373C" w:rsidRDefault="00E9373C" w:rsidP="00E9373C">
      <w:pPr>
        <w:pStyle w:val="Paragraph"/>
      </w:pPr>
      <w:r>
        <w:t>1.1.31 Prescribers should take time to discuss with the patient and/or their family members or carers (as appropriate):</w:t>
      </w:r>
    </w:p>
    <w:p w14:paraId="70FC0CF0" w14:textId="77777777" w:rsidR="00E9373C" w:rsidRDefault="00E9373C" w:rsidP="00F44038">
      <w:pPr>
        <w:pStyle w:val="Bulletparagraph"/>
      </w:pPr>
      <w:r>
        <w:t>the likely nature of the condition</w:t>
      </w:r>
    </w:p>
    <w:p w14:paraId="108936D8" w14:textId="77777777" w:rsidR="00E9373C" w:rsidRDefault="00E9373C" w:rsidP="00F44038">
      <w:pPr>
        <w:pStyle w:val="Bulletparagraph"/>
      </w:pPr>
      <w:r>
        <w:t xml:space="preserve">why prescribing an antimicrobial may not be the best </w:t>
      </w:r>
      <w:proofErr w:type="gramStart"/>
      <w:r>
        <w:t>option</w:t>
      </w:r>
      <w:proofErr w:type="gramEnd"/>
    </w:p>
    <w:p w14:paraId="7B09C66B" w14:textId="77777777" w:rsidR="00E9373C" w:rsidRDefault="00E9373C" w:rsidP="00F44038">
      <w:pPr>
        <w:pStyle w:val="Bulletparagraph"/>
      </w:pPr>
      <w:r>
        <w:t xml:space="preserve">alternative options to prescribing an </w:t>
      </w:r>
      <w:proofErr w:type="gramStart"/>
      <w:r>
        <w:t>antimicrobial</w:t>
      </w:r>
      <w:proofErr w:type="gramEnd"/>
    </w:p>
    <w:p w14:paraId="410E01CA" w14:textId="77777777" w:rsidR="00E9373C" w:rsidRDefault="00E9373C" w:rsidP="00F44038">
      <w:pPr>
        <w:pStyle w:val="Bulletparagraph"/>
      </w:pPr>
      <w:r>
        <w:t xml:space="preserve">their views on antimicrobials, taking into account their priorities or concerns for their current illness and whether they want or expect an </w:t>
      </w:r>
      <w:proofErr w:type="gramStart"/>
      <w:r>
        <w:t>antimicrobial</w:t>
      </w:r>
      <w:proofErr w:type="gramEnd"/>
    </w:p>
    <w:p w14:paraId="5167733B" w14:textId="77777777" w:rsidR="00E9373C" w:rsidRDefault="00E9373C" w:rsidP="00F44038">
      <w:pPr>
        <w:pStyle w:val="Bulletparagraph"/>
      </w:pPr>
      <w:r>
        <w:t>the benefits and harms of immediate antimicrobial prescribing</w:t>
      </w:r>
    </w:p>
    <w:p w14:paraId="08BC77E7" w14:textId="77777777" w:rsidR="00E9373C" w:rsidRDefault="00E9373C" w:rsidP="00F44038">
      <w:pPr>
        <w:pStyle w:val="Bulletparagraph"/>
      </w:pPr>
      <w:r>
        <w:t>what they should do if their condition deteriorates (safety netting advice</w:t>
      </w:r>
      <w:proofErr w:type="gramStart"/>
      <w:r>
        <w:t>)</w:t>
      </w:r>
      <w:proofErr w:type="gramEnd"/>
      <w:r>
        <w:t xml:space="preserve"> or they have problems as a result of treatment</w:t>
      </w:r>
    </w:p>
    <w:p w14:paraId="415087C0" w14:textId="77777777" w:rsidR="00E9373C" w:rsidRDefault="00E9373C" w:rsidP="00F44038">
      <w:pPr>
        <w:pStyle w:val="Bulletparagraphlast"/>
      </w:pPr>
      <w:r>
        <w:t>whether they need any written information about their medicines and any possible outcomes.</w:t>
      </w:r>
    </w:p>
    <w:p w14:paraId="49749862" w14:textId="77777777" w:rsidR="00E9373C" w:rsidRDefault="00E9373C" w:rsidP="00E9373C">
      <w:pPr>
        <w:pStyle w:val="Paragraph"/>
      </w:pPr>
      <w:r>
        <w:t xml:space="preserve">1.1.33 </w:t>
      </w:r>
      <w:r w:rsidRPr="00A35BAA">
        <w:t>Do not issue an immediate prescription for an antimicrobial to a patient who is likely to have a self</w:t>
      </w:r>
      <w:r w:rsidRPr="00A35BAA">
        <w:rPr>
          <w:rFonts w:ascii="Cambria Math" w:hAnsi="Cambria Math" w:cs="Cambria Math"/>
        </w:rPr>
        <w:t>‑</w:t>
      </w:r>
      <w:r w:rsidRPr="00A35BAA">
        <w:t>limiting condition.</w:t>
      </w:r>
    </w:p>
    <w:p w14:paraId="1906B3F5" w14:textId="77777777" w:rsidR="00E9373C" w:rsidRDefault="00E9373C" w:rsidP="00E9373C">
      <w:pPr>
        <w:pStyle w:val="Paragraph"/>
      </w:pPr>
      <w:r>
        <w:t>1.1.34 If immediate antimicrobial prescribing is not the most appropriate option, discuss with the patient and/or their family members or carers (as appropriate) other options such as:</w:t>
      </w:r>
    </w:p>
    <w:p w14:paraId="31327501" w14:textId="77777777" w:rsidR="00E9373C" w:rsidRDefault="00E9373C" w:rsidP="00F44038">
      <w:pPr>
        <w:pStyle w:val="Bulletparagraph"/>
      </w:pPr>
      <w:r>
        <w:t>self</w:t>
      </w:r>
      <w:r>
        <w:rPr>
          <w:rFonts w:ascii="Cambria Math" w:hAnsi="Cambria Math" w:cs="Cambria Math"/>
        </w:rPr>
        <w:t>‑</w:t>
      </w:r>
      <w:r>
        <w:t>care with over</w:t>
      </w:r>
      <w:r>
        <w:rPr>
          <w:rFonts w:ascii="Cambria Math" w:hAnsi="Cambria Math" w:cs="Cambria Math"/>
        </w:rPr>
        <w:t>‑</w:t>
      </w:r>
      <w:r>
        <w:t>the</w:t>
      </w:r>
      <w:r>
        <w:rPr>
          <w:rFonts w:ascii="Cambria Math" w:hAnsi="Cambria Math" w:cs="Cambria Math"/>
        </w:rPr>
        <w:t>‑</w:t>
      </w:r>
      <w:r>
        <w:t>counter preparations</w:t>
      </w:r>
    </w:p>
    <w:p w14:paraId="77BF6746" w14:textId="77777777" w:rsidR="00E9373C" w:rsidRDefault="00E9373C" w:rsidP="00F44038">
      <w:pPr>
        <w:pStyle w:val="Bulletparagraph"/>
      </w:pPr>
      <w:r>
        <w:t>back</w:t>
      </w:r>
      <w:r>
        <w:rPr>
          <w:rFonts w:ascii="Cambria Math" w:hAnsi="Cambria Math" w:cs="Cambria Math"/>
        </w:rPr>
        <w:t>‑</w:t>
      </w:r>
      <w:r>
        <w:t>up (delayed) prescribing</w:t>
      </w:r>
    </w:p>
    <w:p w14:paraId="04E9E650" w14:textId="77777777" w:rsidR="00E9373C" w:rsidRDefault="00E9373C" w:rsidP="00F44038">
      <w:pPr>
        <w:pStyle w:val="Bulletparagraph"/>
      </w:pPr>
      <w:r>
        <w:t>other non</w:t>
      </w:r>
      <w:r>
        <w:rPr>
          <w:rFonts w:ascii="Cambria Math" w:hAnsi="Cambria Math" w:cs="Cambria Math"/>
        </w:rPr>
        <w:t>‑</w:t>
      </w:r>
      <w:r>
        <w:t>pharmacological interventions, for example, draining the site of infection.</w:t>
      </w:r>
    </w:p>
    <w:p w14:paraId="1C354489" w14:textId="77777777" w:rsidR="00E9373C" w:rsidRDefault="00E9373C" w:rsidP="00E9373C">
      <w:pPr>
        <w:pStyle w:val="Heading4"/>
      </w:pPr>
      <w:r>
        <w:lastRenderedPageBreak/>
        <w:t>Current quality statements</w:t>
      </w:r>
    </w:p>
    <w:p w14:paraId="4292FB75" w14:textId="77777777" w:rsidR="00E9373C" w:rsidRDefault="001C2C97" w:rsidP="00F44038">
      <w:pPr>
        <w:pStyle w:val="Paragraph"/>
        <w:keepNext/>
      </w:pPr>
      <w:hyperlink r:id="rId35" w:history="1">
        <w:r w:rsidR="00E9373C" w:rsidRPr="002D6B8C">
          <w:rPr>
            <w:rStyle w:val="Hyperlink"/>
          </w:rPr>
          <w:t>NICE’s quality standard on antimicrobial stewardship</w:t>
        </w:r>
      </w:hyperlink>
      <w:r w:rsidR="00E9373C">
        <w:t xml:space="preserve"> (QS121)</w:t>
      </w:r>
    </w:p>
    <w:p w14:paraId="1BC5A07B" w14:textId="77777777" w:rsidR="00E9373C" w:rsidRDefault="00E9373C" w:rsidP="00E9373C">
      <w:pPr>
        <w:pStyle w:val="Paragraph"/>
      </w:pPr>
      <w:r>
        <w:t xml:space="preserve">Statement 1: </w:t>
      </w:r>
      <w:r w:rsidRPr="002D6B8C">
        <w:t>People with a self-limiting condition, as assessed by a primary care prescriber, receive advice about self</w:t>
      </w:r>
      <w:r w:rsidRPr="002D6B8C">
        <w:rPr>
          <w:rFonts w:ascii="Cambria Math" w:hAnsi="Cambria Math" w:cs="Cambria Math"/>
        </w:rPr>
        <w:t>‑</w:t>
      </w:r>
      <w:r w:rsidRPr="002D6B8C">
        <w:t>management and adverse consequences of overusing antimicrobials.</w:t>
      </w:r>
    </w:p>
    <w:p w14:paraId="07AA5485" w14:textId="77777777" w:rsidR="00E9373C" w:rsidRDefault="00E9373C" w:rsidP="00E9373C">
      <w:pPr>
        <w:pStyle w:val="Paragraph"/>
        <w:rPr>
          <w:highlight w:val="cyan"/>
        </w:rPr>
      </w:pPr>
      <w:r>
        <w:t xml:space="preserve">Statement 2: </w:t>
      </w:r>
      <w:r w:rsidRPr="00A97303">
        <w:t>Prescribers in primary care can use back</w:t>
      </w:r>
      <w:r w:rsidRPr="00A97303">
        <w:rPr>
          <w:rFonts w:ascii="Cambria Math" w:hAnsi="Cambria Math" w:cs="Cambria Math"/>
        </w:rPr>
        <w:t>‑</w:t>
      </w:r>
      <w:r w:rsidRPr="00A97303">
        <w:t>up (delayed) antimicrobial prescribing when there is clinical uncertainty about whether a condition is self</w:t>
      </w:r>
      <w:r w:rsidRPr="00A97303">
        <w:rPr>
          <w:rFonts w:ascii="Cambria Math" w:hAnsi="Cambria Math" w:cs="Cambria Math"/>
        </w:rPr>
        <w:t>‑</w:t>
      </w:r>
      <w:r w:rsidRPr="00A97303">
        <w:t>limiting or is likely to deteriorate.</w:t>
      </w:r>
    </w:p>
    <w:p w14:paraId="2C7930E2" w14:textId="77777777" w:rsidR="00E9373C" w:rsidRDefault="00E9373C" w:rsidP="00F44038">
      <w:pPr>
        <w:pStyle w:val="Heading3"/>
        <w:rPr>
          <w:iCs/>
        </w:rPr>
      </w:pPr>
      <w:r w:rsidRPr="007C551C">
        <w:t xml:space="preserve">Antimicrobials for specific conditions </w:t>
      </w:r>
    </w:p>
    <w:p w14:paraId="40551B47" w14:textId="77777777" w:rsidR="00E9373C" w:rsidRDefault="00E9373C" w:rsidP="00E9373C">
      <w:pPr>
        <w:pStyle w:val="Paragraph"/>
      </w:pPr>
      <w:r>
        <w:t>A stakeholder suggested that there is a need to improve the prescription of antivirals in the community for people diagnosed with influenza to avoid hospital admissions and further transmission of the infection.</w:t>
      </w:r>
    </w:p>
    <w:p w14:paraId="1C045015" w14:textId="77777777" w:rsidR="00E9373C" w:rsidRDefault="00E9373C" w:rsidP="00E9373C">
      <w:pPr>
        <w:pStyle w:val="Paragraph"/>
      </w:pPr>
      <w:r>
        <w:t>It was also suggested that there is a need to improve the prescription of antimicrobials based on test result and clinical assessment for upper respiratory tract infections.</w:t>
      </w:r>
    </w:p>
    <w:p w14:paraId="6C80EE92" w14:textId="782B6BB8" w:rsidR="00E9373C" w:rsidRDefault="00E9373C" w:rsidP="00E9373C">
      <w:pPr>
        <w:pStyle w:val="Paragraph"/>
      </w:pPr>
      <w:r w:rsidRPr="004A6375">
        <w:t>It was suggested that a cross reference to the current pneumonia quality standard (QS110) is needed, including statement</w:t>
      </w:r>
      <w:r>
        <w:t xml:space="preserve"> 2 on antibiotic therapy for diagnosed low-severity community-acquired pneumonia which will apply in ARI hubs. </w:t>
      </w:r>
    </w:p>
    <w:p w14:paraId="294D590B" w14:textId="773DC7CF" w:rsidR="00E9373C" w:rsidRDefault="002B32E2" w:rsidP="00E9373C">
      <w:pPr>
        <w:pStyle w:val="Heading4"/>
      </w:pPr>
      <w:r w:rsidRPr="002B32E2">
        <w:t>NICE guidance</w:t>
      </w:r>
    </w:p>
    <w:p w14:paraId="175DB42B" w14:textId="7DFD44C2" w:rsidR="00E9373C" w:rsidRDefault="00E9373C" w:rsidP="00E9373C">
      <w:pPr>
        <w:pStyle w:val="Paragraph"/>
      </w:pPr>
      <w:r>
        <w:t xml:space="preserve">Prescribing antimicrobials as part of the initial assessment for people with acute respiratory infection </w:t>
      </w:r>
      <w:r w:rsidR="00F44038">
        <w:t>will be</w:t>
      </w:r>
      <w:r>
        <w:t xml:space="preserve"> included in the new NICE guideline on </w:t>
      </w:r>
      <w:hyperlink r:id="rId36" w:history="1">
        <w:r w:rsidRPr="002C6587">
          <w:rPr>
            <w:rStyle w:val="Hyperlink"/>
          </w:rPr>
          <w:t>acute respiratory infection in over 16s: initial assessment and management</w:t>
        </w:r>
      </w:hyperlink>
      <w:r>
        <w:t xml:space="preserve"> (in development).</w:t>
      </w:r>
    </w:p>
    <w:p w14:paraId="00D59FCE" w14:textId="4DAEEDE9" w:rsidR="00E9373C" w:rsidRDefault="001C2C97" w:rsidP="00E9373C">
      <w:pPr>
        <w:pStyle w:val="Paragraph"/>
      </w:pPr>
      <w:hyperlink r:id="rId37" w:history="1">
        <w:r w:rsidR="00E9373C" w:rsidRPr="00C4269B">
          <w:rPr>
            <w:rStyle w:val="Hyperlink"/>
          </w:rPr>
          <w:t>NICE’s guideline on pneumonia (community acquired): antimicrobial prescribing</w:t>
        </w:r>
      </w:hyperlink>
      <w:r w:rsidR="00E9373C">
        <w:t xml:space="preserve"> (NG138)</w:t>
      </w:r>
    </w:p>
    <w:p w14:paraId="1E604E92" w14:textId="77777777" w:rsidR="00E9373C" w:rsidRDefault="00E9373C" w:rsidP="00E9373C">
      <w:pPr>
        <w:pStyle w:val="Paragraph"/>
      </w:pPr>
      <w:r>
        <w:t xml:space="preserve">1.1.1 Offer an antibiotic(s) for adults, young </w:t>
      </w:r>
      <w:proofErr w:type="gramStart"/>
      <w:r>
        <w:t>people</w:t>
      </w:r>
      <w:proofErr w:type="gramEnd"/>
      <w:r>
        <w:t xml:space="preserve"> and children with community-acquired pneumonia. When choosing an antibiotic (see the recommendations on choice of antibiotic), take account of:</w:t>
      </w:r>
    </w:p>
    <w:p w14:paraId="6FB2FB5F" w14:textId="77777777" w:rsidR="00E9373C" w:rsidRDefault="00E9373C" w:rsidP="00F44038">
      <w:pPr>
        <w:pStyle w:val="Bulletparagraph"/>
      </w:pPr>
      <w:r>
        <w:t>the severity assessment for adults, as set out in table 1 [amended 2021]</w:t>
      </w:r>
    </w:p>
    <w:p w14:paraId="40626A07" w14:textId="77777777" w:rsidR="00E9373C" w:rsidRDefault="00E9373C" w:rsidP="00F44038">
      <w:pPr>
        <w:pStyle w:val="Bulletparagraph"/>
      </w:pPr>
      <w:r>
        <w:t xml:space="preserve">the severity of symptoms or signs for children and young people, based on clinical </w:t>
      </w:r>
      <w:proofErr w:type="gramStart"/>
      <w:r>
        <w:t>judgement</w:t>
      </w:r>
      <w:proofErr w:type="gramEnd"/>
    </w:p>
    <w:p w14:paraId="1A8A702D" w14:textId="77777777" w:rsidR="00E9373C" w:rsidRDefault="00E9373C" w:rsidP="00F44038">
      <w:pPr>
        <w:pStyle w:val="Bulletparagraph"/>
      </w:pPr>
      <w:r>
        <w:t xml:space="preserve">the risk of developing complications, for example, if the person has relevant comorbidity such as severe lung disease or </w:t>
      </w:r>
      <w:proofErr w:type="gramStart"/>
      <w:r>
        <w:t>immunosuppression</w:t>
      </w:r>
      <w:proofErr w:type="gramEnd"/>
    </w:p>
    <w:p w14:paraId="4BFE3BD3" w14:textId="77777777" w:rsidR="00E9373C" w:rsidRDefault="00E9373C" w:rsidP="00F44038">
      <w:pPr>
        <w:pStyle w:val="Bulletparagraph"/>
      </w:pPr>
      <w:r>
        <w:lastRenderedPageBreak/>
        <w:t>local antimicrobial resistance and surveillance data (such as flu and Mycoplasma pneumoniae infection rates)</w:t>
      </w:r>
    </w:p>
    <w:p w14:paraId="7349E072" w14:textId="77777777" w:rsidR="00E9373C" w:rsidRDefault="00E9373C" w:rsidP="00F44038">
      <w:pPr>
        <w:pStyle w:val="Bulletparagraph"/>
      </w:pPr>
      <w:r>
        <w:t>recent antibiotic use</w:t>
      </w:r>
    </w:p>
    <w:p w14:paraId="74346A99" w14:textId="77777777" w:rsidR="00E9373C" w:rsidRDefault="00E9373C" w:rsidP="00F44038">
      <w:pPr>
        <w:pStyle w:val="Bulletparagraph"/>
      </w:pPr>
      <w:r>
        <w:t>recent microbiological results, including colonisation with multidrug-resistant bacteria.</w:t>
      </w:r>
    </w:p>
    <w:p w14:paraId="524DBE13" w14:textId="63A4A46B" w:rsidR="00E9373C" w:rsidRDefault="00E9373C" w:rsidP="00E9373C">
      <w:pPr>
        <w:pStyle w:val="Paragraph"/>
      </w:pPr>
      <w:r>
        <w:t xml:space="preserve">1.1.2 </w:t>
      </w:r>
      <w:r w:rsidRPr="00F90724">
        <w:t xml:space="preserve">Start antibiotic treatment as soon as possible after establishing a diagnosis of community-acquired pneumonia, and certainly within 4 hours (within 1 hour if the person has suspected sepsis and meets any of the </w:t>
      </w:r>
      <w:r w:rsidR="00000821" w:rsidRPr="00F90724">
        <w:t>high-risk</w:t>
      </w:r>
      <w:r w:rsidRPr="00F90724">
        <w:t xml:space="preserve"> criteria for this – see the NICE guideline on sepsis).</w:t>
      </w:r>
    </w:p>
    <w:p w14:paraId="0B81C9C1" w14:textId="4AE9EF9E" w:rsidR="00E9373C" w:rsidRDefault="001C2C97" w:rsidP="00E9373C">
      <w:pPr>
        <w:pStyle w:val="Paragraph"/>
      </w:pPr>
      <w:hyperlink r:id="rId38" w:history="1">
        <w:r w:rsidR="00E9373C" w:rsidRPr="00BD4434">
          <w:rPr>
            <w:rStyle w:val="Hyperlink"/>
          </w:rPr>
          <w:t>NICE’s guideline on cough (acute): antimicrobial prescribing</w:t>
        </w:r>
      </w:hyperlink>
      <w:r w:rsidR="00E9373C">
        <w:t xml:space="preserve"> (NG120)</w:t>
      </w:r>
    </w:p>
    <w:p w14:paraId="0D25A557" w14:textId="77777777" w:rsidR="00E9373C" w:rsidRDefault="00E9373C" w:rsidP="00E9373C">
      <w:pPr>
        <w:pStyle w:val="Paragraph"/>
      </w:pPr>
      <w:r>
        <w:t>1.1.14 For people with an acute cough who are identified as systemically very unwell (ideally at a face</w:t>
      </w:r>
      <w:r>
        <w:rPr>
          <w:rFonts w:ascii="Cambria Math" w:hAnsi="Cambria Math" w:cs="Cambria Math"/>
        </w:rPr>
        <w:t>‑</w:t>
      </w:r>
      <w:r>
        <w:t>to</w:t>
      </w:r>
      <w:r>
        <w:rPr>
          <w:rFonts w:ascii="Cambria Math" w:hAnsi="Cambria Math" w:cs="Cambria Math"/>
        </w:rPr>
        <w:t>‑</w:t>
      </w:r>
      <w:r>
        <w:t>face clinical examination), offer an immediate antibiotic prescription (for choice of antibiotic, see recommendation 1.3.1).</w:t>
      </w:r>
    </w:p>
    <w:p w14:paraId="7844C53B" w14:textId="77777777" w:rsidR="00E9373C" w:rsidRDefault="00E9373C" w:rsidP="00E9373C">
      <w:pPr>
        <w:pStyle w:val="Paragraph"/>
      </w:pPr>
      <w:r>
        <w:t>1.1.15 Be aware that people with an acute cough may be at higher risk of complications if they:</w:t>
      </w:r>
    </w:p>
    <w:p w14:paraId="014F6558" w14:textId="77777777" w:rsidR="00E9373C" w:rsidRDefault="00E9373C" w:rsidP="00F44038">
      <w:pPr>
        <w:pStyle w:val="Bulletparagraph"/>
      </w:pPr>
      <w:r>
        <w:t xml:space="preserve">have a pre-existing comorbidity, such as significant heart, lung, renal, liver or neuromuscular disease, immunosuppression or cystic </w:t>
      </w:r>
      <w:proofErr w:type="gramStart"/>
      <w:r>
        <w:t>fibrosis</w:t>
      </w:r>
      <w:proofErr w:type="gramEnd"/>
    </w:p>
    <w:p w14:paraId="49F3B889" w14:textId="77777777" w:rsidR="00E9373C" w:rsidRDefault="00E9373C" w:rsidP="00F44038">
      <w:pPr>
        <w:pStyle w:val="Bulletparagraph"/>
      </w:pPr>
      <w:r>
        <w:t>are older than 65 years with 2 or more of the following criteria, or older than 80 years with 1 or more of the following criteria:</w:t>
      </w:r>
    </w:p>
    <w:p w14:paraId="25FB4B38" w14:textId="77777777" w:rsidR="00E9373C" w:rsidRDefault="00E9373C" w:rsidP="00F44038">
      <w:pPr>
        <w:pStyle w:val="Bulletparagraph"/>
      </w:pPr>
      <w:r>
        <w:t>hospitalisation in previous year</w:t>
      </w:r>
    </w:p>
    <w:p w14:paraId="348168F4" w14:textId="77777777" w:rsidR="00E9373C" w:rsidRDefault="00E9373C" w:rsidP="00F44038">
      <w:pPr>
        <w:pStyle w:val="Bulletparagraph"/>
      </w:pPr>
      <w:r>
        <w:t>type 1 or type 2 diabetes</w:t>
      </w:r>
    </w:p>
    <w:p w14:paraId="63A428AA" w14:textId="77777777" w:rsidR="00E9373C" w:rsidRDefault="00E9373C" w:rsidP="00F44038">
      <w:pPr>
        <w:pStyle w:val="Bulletparagraph"/>
      </w:pPr>
      <w:r>
        <w:t>history of congestive heart failure</w:t>
      </w:r>
    </w:p>
    <w:p w14:paraId="2BB8DB4C" w14:textId="77777777" w:rsidR="00E9373C" w:rsidRDefault="00E9373C" w:rsidP="00F44038">
      <w:pPr>
        <w:pStyle w:val="Bulletparagraph"/>
      </w:pPr>
      <w:r>
        <w:t>current use of oral corticosteroids.</w:t>
      </w:r>
    </w:p>
    <w:p w14:paraId="6DC1CEC5" w14:textId="77777777" w:rsidR="00E9373C" w:rsidRDefault="00E9373C" w:rsidP="00E9373C">
      <w:pPr>
        <w:pStyle w:val="Paragraph"/>
      </w:pPr>
      <w:r>
        <w:t>1.1.16 For people with an acute cough who are identified as at higher risk of complications (ideally at a face</w:t>
      </w:r>
      <w:r>
        <w:rPr>
          <w:rFonts w:ascii="Cambria Math" w:hAnsi="Cambria Math" w:cs="Cambria Math"/>
        </w:rPr>
        <w:t>‑</w:t>
      </w:r>
      <w:r>
        <w:t>to</w:t>
      </w:r>
      <w:r>
        <w:rPr>
          <w:rFonts w:ascii="Cambria Math" w:hAnsi="Cambria Math" w:cs="Cambria Math"/>
        </w:rPr>
        <w:t>‑</w:t>
      </w:r>
      <w:r>
        <w:t>face clinical examination), consider:</w:t>
      </w:r>
    </w:p>
    <w:p w14:paraId="3F264571" w14:textId="77777777" w:rsidR="00E9373C" w:rsidRDefault="00E9373C" w:rsidP="00F44038">
      <w:pPr>
        <w:pStyle w:val="Bulletparagraph"/>
      </w:pPr>
      <w:r>
        <w:t>an immediate antibiotic prescription (for choice of antibiotic, see recommendation 1.3.1) or</w:t>
      </w:r>
    </w:p>
    <w:p w14:paraId="3A42CCDA" w14:textId="77777777" w:rsidR="00E9373C" w:rsidRDefault="00E9373C" w:rsidP="00F44038">
      <w:pPr>
        <w:pStyle w:val="Bulletparagraph"/>
      </w:pPr>
      <w:r>
        <w:t>a back-up antibiotic prescription.</w:t>
      </w:r>
    </w:p>
    <w:p w14:paraId="2FB9A801" w14:textId="0B9A506D" w:rsidR="00E9373C" w:rsidRDefault="001C2C97" w:rsidP="00E9373C">
      <w:pPr>
        <w:pStyle w:val="Paragraph"/>
      </w:pPr>
      <w:hyperlink r:id="rId39" w:history="1">
        <w:r w:rsidR="00E9373C" w:rsidRPr="007E00F1">
          <w:rPr>
            <w:rStyle w:val="Hyperlink"/>
          </w:rPr>
          <w:t>NICE’s guideline on sore throat (acute): antimicrobial prescribing</w:t>
        </w:r>
      </w:hyperlink>
      <w:r w:rsidR="00E9373C">
        <w:t xml:space="preserve"> (NG84)</w:t>
      </w:r>
    </w:p>
    <w:p w14:paraId="006EFBEB" w14:textId="77777777" w:rsidR="00E9373C" w:rsidRDefault="00E9373C" w:rsidP="00E9373C">
      <w:pPr>
        <w:pStyle w:val="Paragraph"/>
      </w:pPr>
      <w:r w:rsidRPr="008B5596">
        <w:t>People who are most likely to benefit from an antibiotic (</w:t>
      </w:r>
      <w:proofErr w:type="spellStart"/>
      <w:r w:rsidRPr="008B5596">
        <w:t>FeverPAIN</w:t>
      </w:r>
      <w:proofErr w:type="spellEnd"/>
      <w:r w:rsidRPr="008B5596">
        <w:t xml:space="preserve"> score of 4 or 5, or </w:t>
      </w:r>
      <w:proofErr w:type="spellStart"/>
      <w:r w:rsidRPr="008B5596">
        <w:t>Centor</w:t>
      </w:r>
      <w:proofErr w:type="spellEnd"/>
      <w:r w:rsidRPr="008B5596">
        <w:t xml:space="preserve"> score of 3 or 4)</w:t>
      </w:r>
    </w:p>
    <w:p w14:paraId="3CC319C6" w14:textId="77777777" w:rsidR="00E9373C" w:rsidRDefault="00E9373C" w:rsidP="00E9373C">
      <w:pPr>
        <w:pStyle w:val="Paragraph"/>
      </w:pPr>
      <w:r>
        <w:t>1.1.10 Consider an immediate antibiotic prescription (see recommendation 1.3.1 for choice of antibiotic), or a back-up antibiotic prescription with advice (see recommendation 1.1.9), taking account of:</w:t>
      </w:r>
    </w:p>
    <w:p w14:paraId="23C08BA3" w14:textId="77777777" w:rsidR="00E9373C" w:rsidRDefault="00E9373C" w:rsidP="00F44038">
      <w:pPr>
        <w:pStyle w:val="Bulletparagraph"/>
      </w:pPr>
      <w:r>
        <w:t xml:space="preserve">the unlikely event of complications if antibiotics are </w:t>
      </w:r>
      <w:proofErr w:type="gramStart"/>
      <w:r>
        <w:t>withheld</w:t>
      </w:r>
      <w:proofErr w:type="gramEnd"/>
    </w:p>
    <w:p w14:paraId="2CB9AED4" w14:textId="77777777" w:rsidR="00E9373C" w:rsidRDefault="00E9373C" w:rsidP="00F44038">
      <w:pPr>
        <w:pStyle w:val="Bulletparagraph"/>
      </w:pPr>
      <w:r>
        <w:lastRenderedPageBreak/>
        <w:t>possible adverse effects, particularly diarrhoea and nausea.</w:t>
      </w:r>
    </w:p>
    <w:p w14:paraId="6A74C0D9" w14:textId="77777777" w:rsidR="00E9373C" w:rsidRDefault="00E9373C" w:rsidP="00E9373C">
      <w:pPr>
        <w:pStyle w:val="Paragraph"/>
      </w:pPr>
      <w:r w:rsidRPr="008B5596">
        <w:t xml:space="preserve">People who are systemically very unwell, have symptoms and signs of a more serious illness or condition, or are at high-risk of </w:t>
      </w:r>
      <w:proofErr w:type="gramStart"/>
      <w:r w:rsidRPr="008B5596">
        <w:t>complications</w:t>
      </w:r>
      <w:proofErr w:type="gramEnd"/>
    </w:p>
    <w:p w14:paraId="1C1729C3" w14:textId="77777777" w:rsidR="00E9373C" w:rsidRDefault="00E9373C" w:rsidP="00E9373C">
      <w:pPr>
        <w:pStyle w:val="Paragraph"/>
      </w:pPr>
      <w:r>
        <w:t xml:space="preserve">1.1.12 </w:t>
      </w:r>
      <w:r w:rsidRPr="008B5596">
        <w:t>Offer an immediate antibiotic prescription (see recommendation 1.3.1 for choice of antibiotic) with advice (see recommendation 1.1.11).</w:t>
      </w:r>
    </w:p>
    <w:p w14:paraId="3FA9EB04" w14:textId="77777777" w:rsidR="00E9373C" w:rsidRDefault="001C2C97" w:rsidP="00E9373C">
      <w:pPr>
        <w:pStyle w:val="Paragraph"/>
      </w:pPr>
      <w:hyperlink r:id="rId40" w:history="1">
        <w:r w:rsidR="00E9373C" w:rsidRPr="008B6A03">
          <w:rPr>
            <w:rStyle w:val="Hyperlink"/>
          </w:rPr>
          <w:t>NICE’s guideline on sinusitis (acute): antimicrobial prescribing</w:t>
        </w:r>
      </w:hyperlink>
      <w:r w:rsidR="00E9373C">
        <w:t xml:space="preserve"> (NG79)</w:t>
      </w:r>
    </w:p>
    <w:p w14:paraId="74A9D5BC" w14:textId="77777777" w:rsidR="00E9373C" w:rsidRDefault="00E9373C" w:rsidP="00E9373C">
      <w:pPr>
        <w:pStyle w:val="Paragraph"/>
      </w:pPr>
      <w:r w:rsidRPr="009D1EAD">
        <w:t xml:space="preserve">People presenting at any time who are systemically very unwell, have symptoms and signs of a more serious illness or condition, or are at high risk of </w:t>
      </w:r>
      <w:proofErr w:type="gramStart"/>
      <w:r w:rsidRPr="009D1EAD">
        <w:t>complications</w:t>
      </w:r>
      <w:proofErr w:type="gramEnd"/>
    </w:p>
    <w:p w14:paraId="327992F8" w14:textId="77777777" w:rsidR="00E9373C" w:rsidRDefault="00E9373C" w:rsidP="00E9373C">
      <w:pPr>
        <w:pStyle w:val="Paragraph"/>
      </w:pPr>
      <w:r>
        <w:t xml:space="preserve">1.1.8 </w:t>
      </w:r>
      <w:r w:rsidRPr="009D1EAD">
        <w:t>Offer an immediate antibiotic prescription (see the recommendations on choice of antibiotic).</w:t>
      </w:r>
    </w:p>
    <w:bookmarkStart w:id="102" w:name="_Hlk140853522"/>
    <w:p w14:paraId="7D080FBA" w14:textId="77777777" w:rsidR="00E9373C" w:rsidRDefault="00E9373C" w:rsidP="00E9373C">
      <w:pPr>
        <w:pStyle w:val="Paragraph"/>
      </w:pPr>
      <w:r>
        <w:fldChar w:fldCharType="begin"/>
      </w:r>
      <w:r>
        <w:instrText>HYPERLINK "https://www.nice.org.uk/guidance/ta168"</w:instrText>
      </w:r>
      <w:r>
        <w:fldChar w:fldCharType="separate"/>
      </w:r>
      <w:r w:rsidRPr="00824995">
        <w:rPr>
          <w:rStyle w:val="Hyperlink"/>
        </w:rPr>
        <w:t>NICE’s technology appraisal on amantadine, oseltamivir and zanamivir for the treatment of influenza</w:t>
      </w:r>
      <w:r>
        <w:rPr>
          <w:rStyle w:val="Hyperlink"/>
        </w:rPr>
        <w:fldChar w:fldCharType="end"/>
      </w:r>
      <w:r>
        <w:t xml:space="preserve"> (TA168)</w:t>
      </w:r>
    </w:p>
    <w:bookmarkEnd w:id="102"/>
    <w:p w14:paraId="39505865" w14:textId="77777777" w:rsidR="00E9373C" w:rsidRDefault="00E9373C" w:rsidP="00E9373C">
      <w:pPr>
        <w:pStyle w:val="Paragraph"/>
      </w:pPr>
      <w:r w:rsidRPr="00824995">
        <w:t>This guidance does not cover the circumstances of a pandemic, impending pandemic, or a widespread epidemic of a new strain of influenza to which there is little or no community resistance.</w:t>
      </w:r>
    </w:p>
    <w:p w14:paraId="5A5BDE0D" w14:textId="77777777" w:rsidR="00E9373C" w:rsidRDefault="00E9373C" w:rsidP="00E9373C">
      <w:pPr>
        <w:pStyle w:val="Paragraph"/>
      </w:pPr>
      <w:r>
        <w:t>1.1 Oseltamivir and zanamivir are recommended, within their marketing authorisations, for the treatment of influenza in adults and children if all the following circumstances apply:</w:t>
      </w:r>
    </w:p>
    <w:p w14:paraId="11627DE1" w14:textId="346AC08F" w:rsidR="00E9373C" w:rsidRDefault="00E9373C" w:rsidP="00F44038">
      <w:pPr>
        <w:pStyle w:val="Bulletparagraph"/>
      </w:pPr>
      <w:r>
        <w:t xml:space="preserve">national surveillance schemes indicate that influenza virus A or B is </w:t>
      </w:r>
      <w:proofErr w:type="gramStart"/>
      <w:r>
        <w:t>circulatin</w:t>
      </w:r>
      <w:r w:rsidR="00000821">
        <w:t>g</w:t>
      </w:r>
      <w:proofErr w:type="gramEnd"/>
    </w:p>
    <w:p w14:paraId="0A83DC76" w14:textId="77777777" w:rsidR="00E9373C" w:rsidRDefault="00E9373C" w:rsidP="00F44038">
      <w:pPr>
        <w:pStyle w:val="Bulletparagraph"/>
      </w:pPr>
      <w:r>
        <w:t xml:space="preserve">the person is in an 'at-risk' group as defined in </w:t>
      </w:r>
      <w:proofErr w:type="gramStart"/>
      <w:r>
        <w:t>1.2</w:t>
      </w:r>
      <w:proofErr w:type="gramEnd"/>
    </w:p>
    <w:p w14:paraId="7FAD456C" w14:textId="77777777" w:rsidR="00E9373C" w:rsidRDefault="00E9373C" w:rsidP="00F44038">
      <w:pPr>
        <w:pStyle w:val="Bulletparagraph"/>
      </w:pPr>
      <w:r>
        <w:t>the person presents with an influenza-like illness and can start treatment within 48 hours (or within 36 hours for zanamivir treatment in children) of the onset of symptoms as per licensed indications.</w:t>
      </w:r>
    </w:p>
    <w:p w14:paraId="354D4708" w14:textId="77777777" w:rsidR="00E9373C" w:rsidRDefault="00E9373C" w:rsidP="00E9373C">
      <w:pPr>
        <w:pStyle w:val="Paragraph"/>
      </w:pPr>
      <w:r>
        <w:t>1.2 For the purpose of this guidance, people 'at risk' are defined as those who have one of more of the following:</w:t>
      </w:r>
    </w:p>
    <w:p w14:paraId="70AACF0D" w14:textId="77777777" w:rsidR="00E9373C" w:rsidRDefault="00E9373C" w:rsidP="00F44038">
      <w:pPr>
        <w:pStyle w:val="Bulletparagraph"/>
      </w:pPr>
      <w:r>
        <w:t>chronic respiratory disease (including asthma and chronic obstructive pulmonary disease)</w:t>
      </w:r>
    </w:p>
    <w:p w14:paraId="63D61B0F" w14:textId="77777777" w:rsidR="00E9373C" w:rsidRDefault="00E9373C" w:rsidP="00F44038">
      <w:pPr>
        <w:pStyle w:val="Bulletparagraph"/>
      </w:pPr>
      <w:r>
        <w:t>chronic heart disease</w:t>
      </w:r>
    </w:p>
    <w:p w14:paraId="27D8F9AC" w14:textId="77777777" w:rsidR="00E9373C" w:rsidRDefault="00E9373C" w:rsidP="00F44038">
      <w:pPr>
        <w:pStyle w:val="Bulletparagraph"/>
      </w:pPr>
      <w:r>
        <w:t>chronic renal disease</w:t>
      </w:r>
    </w:p>
    <w:p w14:paraId="49EF128D" w14:textId="77777777" w:rsidR="00E9373C" w:rsidRDefault="00E9373C" w:rsidP="00F44038">
      <w:pPr>
        <w:pStyle w:val="Bulletparagraph"/>
      </w:pPr>
      <w:r>
        <w:t>chronic liver disease</w:t>
      </w:r>
    </w:p>
    <w:p w14:paraId="73A7879B" w14:textId="77777777" w:rsidR="00E9373C" w:rsidRDefault="00E9373C" w:rsidP="00F44038">
      <w:pPr>
        <w:pStyle w:val="Bulletparagraph"/>
      </w:pPr>
      <w:r>
        <w:t>chronic neurological conditions</w:t>
      </w:r>
    </w:p>
    <w:p w14:paraId="7D0A4415" w14:textId="77777777" w:rsidR="00E9373C" w:rsidRDefault="00E9373C" w:rsidP="00F44038">
      <w:pPr>
        <w:pStyle w:val="Bulletparagraph"/>
      </w:pPr>
      <w:r>
        <w:t>diabetes mellitus.</w:t>
      </w:r>
    </w:p>
    <w:p w14:paraId="0DE2E6B9" w14:textId="77777777" w:rsidR="00E9373C" w:rsidRDefault="00E9373C" w:rsidP="00E9373C">
      <w:pPr>
        <w:pStyle w:val="Paragraph"/>
      </w:pPr>
      <w:r>
        <w:t>People who are aged 65 years or older and people who might be immunosuppressed are also defined as 'at-risk' for the purpose of this guidance.</w:t>
      </w:r>
    </w:p>
    <w:p w14:paraId="54B9FBE1" w14:textId="77777777" w:rsidR="00E9373C" w:rsidRDefault="00E9373C" w:rsidP="00E9373C">
      <w:pPr>
        <w:pStyle w:val="Paragraph"/>
      </w:pPr>
      <w:r>
        <w:lastRenderedPageBreak/>
        <w:t xml:space="preserve">1.4 </w:t>
      </w:r>
      <w:r w:rsidRPr="00824995">
        <w:t>During localised outbreaks of influenza-like illness (outside the periods when national surveillance indicates that influenza virus is circulating in the community), oseltamivir and zanamivir may be offered for the treatment of influenza in 'at-risk' people who live in long-term residential or nursing homes. However, these treatments should be offered only if there is a high level of certainty that the causative agent in a localised outbreak is influenza (usually based on virological evidence of influenza infection in the initial case).</w:t>
      </w:r>
    </w:p>
    <w:p w14:paraId="7E00DB2C" w14:textId="77777777" w:rsidR="00E9373C" w:rsidRDefault="00E9373C" w:rsidP="00E9373C">
      <w:pPr>
        <w:pStyle w:val="Heading4"/>
      </w:pPr>
      <w:r>
        <w:t>Current quality statements</w:t>
      </w:r>
    </w:p>
    <w:p w14:paraId="50A9DC56" w14:textId="6233CF96" w:rsidR="00E9373C" w:rsidRDefault="001C2C97" w:rsidP="00E9373C">
      <w:pPr>
        <w:pStyle w:val="Paragraph"/>
      </w:pPr>
      <w:hyperlink r:id="rId41" w:history="1">
        <w:r w:rsidR="00E9373C" w:rsidRPr="00C4269B">
          <w:rPr>
            <w:rStyle w:val="Hyperlink"/>
          </w:rPr>
          <w:t>NICE’s quality standard on pneumonia in adults</w:t>
        </w:r>
      </w:hyperlink>
      <w:r w:rsidR="00E9373C">
        <w:t xml:space="preserve"> (QS110)</w:t>
      </w:r>
      <w:r w:rsidR="00F44038">
        <w:t xml:space="preserve"> </w:t>
      </w:r>
      <w:r w:rsidR="00E9373C">
        <w:t xml:space="preserve">Statement 2: </w:t>
      </w:r>
      <w:r w:rsidR="00E9373C" w:rsidRPr="00646E7F">
        <w:t>Adults with low</w:t>
      </w:r>
      <w:r w:rsidR="00E9373C" w:rsidRPr="00646E7F">
        <w:rPr>
          <w:rFonts w:ascii="Cambria Math" w:hAnsi="Cambria Math" w:cs="Cambria Math"/>
        </w:rPr>
        <w:t>‑</w:t>
      </w:r>
      <w:r w:rsidR="00E9373C" w:rsidRPr="00646E7F">
        <w:t>severity community</w:t>
      </w:r>
      <w:r w:rsidR="00E9373C" w:rsidRPr="00646E7F">
        <w:rPr>
          <w:rFonts w:ascii="Cambria Math" w:hAnsi="Cambria Math" w:cs="Cambria Math"/>
        </w:rPr>
        <w:t>‑</w:t>
      </w:r>
      <w:r w:rsidR="00E9373C" w:rsidRPr="00646E7F">
        <w:t>acquired pneumonia are prescribed a 5</w:t>
      </w:r>
      <w:r w:rsidR="00E9373C" w:rsidRPr="00646E7F">
        <w:rPr>
          <w:rFonts w:ascii="Cambria Math" w:hAnsi="Cambria Math" w:cs="Cambria Math"/>
        </w:rPr>
        <w:t>‑</w:t>
      </w:r>
      <w:r w:rsidR="00E9373C" w:rsidRPr="00646E7F">
        <w:t>day course of a single antibiotic.</w:t>
      </w:r>
    </w:p>
    <w:p w14:paraId="283E3C6A" w14:textId="77777777" w:rsidR="00E9373C" w:rsidRDefault="00E9373C" w:rsidP="00E9373C">
      <w:pPr>
        <w:pStyle w:val="Heading3"/>
      </w:pPr>
      <w:r w:rsidRPr="0067426A">
        <w:t>Issues for consideration</w:t>
      </w:r>
    </w:p>
    <w:p w14:paraId="76A07E4E" w14:textId="77777777" w:rsidR="00E9373C" w:rsidRDefault="00E9373C" w:rsidP="00E9373C">
      <w:pPr>
        <w:pStyle w:val="Paragraph"/>
        <w:rPr>
          <w:b/>
          <w:bCs/>
        </w:rPr>
      </w:pPr>
      <w:r w:rsidRPr="00A6218A">
        <w:rPr>
          <w:b/>
          <w:bCs/>
        </w:rPr>
        <w:t>For discussion:</w:t>
      </w:r>
    </w:p>
    <w:p w14:paraId="6E656A33" w14:textId="77777777" w:rsidR="00000821" w:rsidRDefault="00000821" w:rsidP="00F44038">
      <w:pPr>
        <w:pStyle w:val="Bulletparagraph"/>
      </w:pPr>
      <w:r>
        <w:t>Is there significant variation in current practice?</w:t>
      </w:r>
    </w:p>
    <w:p w14:paraId="43A8212F" w14:textId="77777777" w:rsidR="00000821" w:rsidRPr="00E91559" w:rsidRDefault="00000821" w:rsidP="00F44038">
      <w:pPr>
        <w:pStyle w:val="Bulletparagraph"/>
      </w:pPr>
      <w:r w:rsidRPr="00E91559">
        <w:t xml:space="preserve">What </w:t>
      </w:r>
      <w:r>
        <w:t>is</w:t>
      </w:r>
      <w:r w:rsidRPr="00E91559">
        <w:t xml:space="preserve"> the priorit</w:t>
      </w:r>
      <w:r>
        <w:t>y</w:t>
      </w:r>
      <w:r w:rsidRPr="00E91559">
        <w:t xml:space="preserve"> for improvement?</w:t>
      </w:r>
    </w:p>
    <w:p w14:paraId="240DEF41" w14:textId="77777777" w:rsidR="00000821" w:rsidRDefault="00000821" w:rsidP="00F44038">
      <w:pPr>
        <w:pStyle w:val="Bulletparagraph"/>
      </w:pPr>
      <w:r w:rsidRPr="00E91559">
        <w:t xml:space="preserve">What </w:t>
      </w:r>
      <w:r>
        <w:t>is</w:t>
      </w:r>
      <w:r w:rsidRPr="00E91559">
        <w:t xml:space="preserve"> the key action that will lead to improvement?</w:t>
      </w:r>
    </w:p>
    <w:p w14:paraId="45A048A9" w14:textId="77777777" w:rsidR="00000821" w:rsidRDefault="00000821" w:rsidP="00F44038">
      <w:pPr>
        <w:pStyle w:val="Bulletparagraph"/>
      </w:pPr>
      <w:r w:rsidRPr="00E91559">
        <w:t xml:space="preserve">Could we focus on a specific </w:t>
      </w:r>
      <w:r>
        <w:t>population</w:t>
      </w:r>
      <w:r w:rsidRPr="00E91559">
        <w:t xml:space="preserve"> or setting?</w:t>
      </w:r>
    </w:p>
    <w:p w14:paraId="31105024" w14:textId="77777777" w:rsidR="00000821" w:rsidRPr="00E91559" w:rsidRDefault="00000821" w:rsidP="00F44038">
      <w:pPr>
        <w:pStyle w:val="Bulletparagraph"/>
      </w:pPr>
      <w:r w:rsidRPr="00E91559">
        <w:t>Can we develop a specific, measurable statement?</w:t>
      </w:r>
    </w:p>
    <w:p w14:paraId="741285EF" w14:textId="77777777" w:rsidR="00E9373C" w:rsidRPr="00A6218A" w:rsidRDefault="00E9373C" w:rsidP="00E9373C">
      <w:pPr>
        <w:pStyle w:val="Paragraph"/>
        <w:rPr>
          <w:b/>
          <w:bCs/>
        </w:rPr>
      </w:pPr>
      <w:r w:rsidRPr="00A6218A">
        <w:rPr>
          <w:b/>
          <w:bCs/>
        </w:rPr>
        <w:t>For decision:</w:t>
      </w:r>
    </w:p>
    <w:p w14:paraId="05A9143E" w14:textId="77777777" w:rsidR="00E9373C" w:rsidRDefault="00E9373C" w:rsidP="00F44038">
      <w:pPr>
        <w:pStyle w:val="Bulletparagraph"/>
      </w:pPr>
      <w:r w:rsidRPr="00624810">
        <w:t>Should this area be prioritised for inclusion in the quality standard?</w:t>
      </w:r>
    </w:p>
    <w:p w14:paraId="427A5016" w14:textId="695F335B" w:rsidR="00E9373C" w:rsidRDefault="00E9373C" w:rsidP="00E9373C">
      <w:pPr>
        <w:rPr>
          <w:rFonts w:ascii="Arial" w:hAnsi="Arial"/>
        </w:rPr>
      </w:pPr>
    </w:p>
    <w:p w14:paraId="3FB998BF" w14:textId="6F4D5948" w:rsidR="00E9373C" w:rsidRDefault="00E9373C">
      <w:pPr>
        <w:rPr>
          <w:rFonts w:ascii="Arial" w:hAnsi="Arial" w:cs="Arial"/>
          <w:b/>
          <w:bCs/>
          <w:sz w:val="28"/>
          <w:szCs w:val="28"/>
        </w:rPr>
      </w:pPr>
      <w:r>
        <w:br w:type="page"/>
      </w:r>
    </w:p>
    <w:p w14:paraId="0117D25C" w14:textId="213E1B10" w:rsidR="00AB2213" w:rsidRDefault="00082E97" w:rsidP="00AB2213">
      <w:pPr>
        <w:pStyle w:val="Numberedheading2"/>
      </w:pPr>
      <w:bookmarkStart w:id="103" w:name="_Toc141346139"/>
      <w:r>
        <w:lastRenderedPageBreak/>
        <w:t>R</w:t>
      </w:r>
      <w:r w:rsidR="00AB2213">
        <w:t>eferral</w:t>
      </w:r>
      <w:r w:rsidR="00A10B41">
        <w:t xml:space="preserve"> </w:t>
      </w:r>
      <w:r w:rsidR="00625E5D">
        <w:t>criteria</w:t>
      </w:r>
      <w:bookmarkEnd w:id="103"/>
    </w:p>
    <w:p w14:paraId="095EF161" w14:textId="77777777" w:rsidR="00AB2213" w:rsidRDefault="00AB2213" w:rsidP="00AB2213">
      <w:pPr>
        <w:pStyle w:val="Paragraph"/>
      </w:pPr>
      <w:r>
        <w:t>A stakeholder suggested that a variety of different criteria are currently used in ARI hubs to determine referral to secondary care leading to variation in care. Clarifying routes into the variety of treatment and recovery options at home, in hospital and other specialised units was also highlighted.</w:t>
      </w:r>
    </w:p>
    <w:p w14:paraId="24DF53C6" w14:textId="77777777" w:rsidR="000D5CDD" w:rsidRDefault="000D5CDD" w:rsidP="000D5CDD">
      <w:pPr>
        <w:pStyle w:val="Heading4"/>
      </w:pPr>
      <w:r>
        <w:t xml:space="preserve">NHS England guidance </w:t>
      </w:r>
    </w:p>
    <w:p w14:paraId="4EAEBD36" w14:textId="6EC55F20" w:rsidR="000D5CDD" w:rsidRDefault="001C2C97" w:rsidP="000D5CDD">
      <w:pPr>
        <w:pStyle w:val="Paragraph"/>
      </w:pPr>
      <w:hyperlink r:id="rId42" w:history="1">
        <w:r w:rsidR="000D5CDD" w:rsidRPr="00BE6F03">
          <w:rPr>
            <w:rStyle w:val="Hyperlink"/>
          </w:rPr>
          <w:t>NHSE Guidance note: Acute respiratory infection virtual ward</w:t>
        </w:r>
      </w:hyperlink>
    </w:p>
    <w:p w14:paraId="11956A63" w14:textId="709ECC54" w:rsidR="000D5CDD" w:rsidRDefault="000D5CDD" w:rsidP="000D5CDD">
      <w:pPr>
        <w:pStyle w:val="Paragraph"/>
      </w:pPr>
      <w:r>
        <w:t>The ARI virtual ward should be available as an option for registered professionals to refer adults (aged 16 or over) who have a primary diagnosis of suspected/confirmed respiratory infection (including COVID-19) and, are stable or have an improving clinical trajectory but require ongoing monitoring. Services may need to develop their own admission and discharge criteria for acute level care in line with their population needs, available workforce and competencies. Subject to a clinical judgement, the following criteria may support identification of patients suitable for admission to an ARI virtual ward.</w:t>
      </w:r>
    </w:p>
    <w:p w14:paraId="2C1F1BC7" w14:textId="77777777" w:rsidR="000D5CDD" w:rsidRPr="00BE6F03" w:rsidRDefault="000D5CDD" w:rsidP="000D5CDD">
      <w:pPr>
        <w:pStyle w:val="Paragraph"/>
        <w:rPr>
          <w:u w:val="single"/>
        </w:rPr>
      </w:pPr>
      <w:r w:rsidRPr="00BE6F03">
        <w:rPr>
          <w:u w:val="single"/>
        </w:rPr>
        <w:t>Inclusion criteria</w:t>
      </w:r>
    </w:p>
    <w:p w14:paraId="40796388" w14:textId="77777777" w:rsidR="000D5CDD" w:rsidRDefault="000D5CDD" w:rsidP="000D5CDD">
      <w:pPr>
        <w:pStyle w:val="Paragraph"/>
      </w:pPr>
      <w:r>
        <w:t>Patients with the following clinical features may be suitable:</w:t>
      </w:r>
    </w:p>
    <w:p w14:paraId="0BEC21C4" w14:textId="77777777" w:rsidR="000D5CDD" w:rsidRDefault="000D5CDD" w:rsidP="000D5CDD">
      <w:pPr>
        <w:pStyle w:val="Bulletparagraph"/>
      </w:pPr>
      <w:r>
        <w:t>suspected or confirmed respiratory infection including COVID-19</w:t>
      </w:r>
    </w:p>
    <w:p w14:paraId="7CD80902" w14:textId="77777777" w:rsidR="000D5CDD" w:rsidRDefault="000D5CDD" w:rsidP="000D5CDD">
      <w:pPr>
        <w:pStyle w:val="Bulletparagraph"/>
      </w:pPr>
      <w:r>
        <w:t>oxygen saturations of 95–100%, NEWS2 &lt;3, clinically stable and/or improving</w:t>
      </w:r>
    </w:p>
    <w:p w14:paraId="06DE8366" w14:textId="77777777" w:rsidR="000D5CDD" w:rsidRDefault="000D5CDD" w:rsidP="000D5CDD">
      <w:pPr>
        <w:pStyle w:val="Bulletparagraph"/>
      </w:pPr>
      <w:r>
        <w:t>no significant respiratory co-morbidities.</w:t>
      </w:r>
    </w:p>
    <w:p w14:paraId="2163824D" w14:textId="77777777" w:rsidR="000D5CDD" w:rsidRDefault="000D5CDD" w:rsidP="000D5CDD">
      <w:pPr>
        <w:pStyle w:val="Paragraph"/>
      </w:pPr>
      <w:r>
        <w:t>Patients with the following clinical features may also be considered, where clinically appropriate:</w:t>
      </w:r>
    </w:p>
    <w:p w14:paraId="018A77D4" w14:textId="77777777" w:rsidR="000D5CDD" w:rsidRDefault="000D5CDD" w:rsidP="000D5CDD">
      <w:pPr>
        <w:pStyle w:val="Bulletparagraph"/>
      </w:pPr>
      <w:r>
        <w:t>saturations of 93–94% and/or NEWS2 3 or 4 with improving clinical</w:t>
      </w:r>
    </w:p>
    <w:p w14:paraId="3823A7CE" w14:textId="77777777" w:rsidR="000D5CDD" w:rsidRDefault="000D5CDD" w:rsidP="000D5CDD">
      <w:pPr>
        <w:pStyle w:val="Bulletparagraph"/>
      </w:pPr>
      <w:r>
        <w:t>trajectories (in patients being discharged from hospital-based acute care)</w:t>
      </w:r>
    </w:p>
    <w:p w14:paraId="4AE94E9F" w14:textId="77777777" w:rsidR="000D5CDD" w:rsidRDefault="000D5CDD" w:rsidP="000D5CDD">
      <w:pPr>
        <w:pStyle w:val="Bulletparagraph"/>
      </w:pPr>
      <w:r>
        <w:t xml:space="preserve">saturations of 88–94% (or baseline) if known chronic hypoxia, </w:t>
      </w:r>
      <w:proofErr w:type="spellStart"/>
      <w:proofErr w:type="gramStart"/>
      <w:r>
        <w:t>eg</w:t>
      </w:r>
      <w:proofErr w:type="spellEnd"/>
      <w:proofErr w:type="gramEnd"/>
      <w:r>
        <w:t xml:space="preserve"> chronic obstructive pulmonary disease (COPD)</w:t>
      </w:r>
    </w:p>
    <w:p w14:paraId="737A0552" w14:textId="77777777" w:rsidR="000D5CDD" w:rsidRDefault="000D5CDD" w:rsidP="000D5CDD">
      <w:pPr>
        <w:pStyle w:val="Bulletparagraph"/>
      </w:pPr>
      <w:r>
        <w:t xml:space="preserve">frail patients should not be excluded but dedicated frailty services, </w:t>
      </w:r>
      <w:proofErr w:type="spellStart"/>
      <w:proofErr w:type="gramStart"/>
      <w:r>
        <w:t>eg</w:t>
      </w:r>
      <w:proofErr w:type="spellEnd"/>
      <w:proofErr w:type="gramEnd"/>
      <w:r>
        <w:t xml:space="preserve"> frailty virtual wards, may be more appropriate where these exist locally</w:t>
      </w:r>
    </w:p>
    <w:p w14:paraId="2B2B19A5" w14:textId="77777777" w:rsidR="000D5CDD" w:rsidRDefault="000D5CDD" w:rsidP="000D5CDD">
      <w:pPr>
        <w:pStyle w:val="Bulletparagraph"/>
      </w:pPr>
      <w:r>
        <w:t>pregnant women with saturations &gt;94% should not be excluded and early maternity involvement should be sought for specific advice around management of suspected ARI including COVID-19 in pregnancy.</w:t>
      </w:r>
    </w:p>
    <w:p w14:paraId="2F839659" w14:textId="77777777" w:rsidR="000D5CDD" w:rsidRPr="004E3D8B" w:rsidRDefault="000D5CDD" w:rsidP="000D5CDD">
      <w:pPr>
        <w:pStyle w:val="Paragraph"/>
        <w:rPr>
          <w:u w:val="single"/>
        </w:rPr>
      </w:pPr>
      <w:r w:rsidRPr="004E3D8B">
        <w:rPr>
          <w:u w:val="single"/>
        </w:rPr>
        <w:t>Exclusion criteria</w:t>
      </w:r>
    </w:p>
    <w:p w14:paraId="662BB224" w14:textId="77777777" w:rsidR="000D5CDD" w:rsidRDefault="000D5CDD" w:rsidP="000D5CDD">
      <w:pPr>
        <w:pStyle w:val="Paragraph"/>
      </w:pPr>
      <w:r>
        <w:t>Patients with the following clinical criteria should be excluded:</w:t>
      </w:r>
    </w:p>
    <w:p w14:paraId="355DF8CE" w14:textId="77777777" w:rsidR="000D5CDD" w:rsidRDefault="000D5CDD" w:rsidP="000D5CDD">
      <w:pPr>
        <w:pStyle w:val="Bulletparagraph"/>
      </w:pPr>
      <w:r>
        <w:lastRenderedPageBreak/>
        <w:t xml:space="preserve">unstable or worsening clinical trajectory, </w:t>
      </w:r>
      <w:proofErr w:type="spellStart"/>
      <w:proofErr w:type="gramStart"/>
      <w:r>
        <w:t>eg</w:t>
      </w:r>
      <w:proofErr w:type="spellEnd"/>
      <w:proofErr w:type="gramEnd"/>
      <w:r>
        <w:t xml:space="preserve"> saturations &lt;93% unless</w:t>
      </w:r>
    </w:p>
    <w:p w14:paraId="711EB5A0" w14:textId="77777777" w:rsidR="000D5CDD" w:rsidRDefault="000D5CDD" w:rsidP="000D5CDD">
      <w:pPr>
        <w:pStyle w:val="Bulletparagraph"/>
      </w:pPr>
      <w:r>
        <w:t>confirmed baseline and/or NEWS2 ≥</w:t>
      </w:r>
      <w:proofErr w:type="gramStart"/>
      <w:r>
        <w:t>5</w:t>
      </w:r>
      <w:proofErr w:type="gramEnd"/>
    </w:p>
    <w:p w14:paraId="422A9D35" w14:textId="77777777" w:rsidR="000D5CDD" w:rsidRDefault="000D5CDD" w:rsidP="000D5CDD">
      <w:pPr>
        <w:pStyle w:val="Bulletparagraph"/>
      </w:pPr>
      <w:r>
        <w:t xml:space="preserve">severe or life-threatening presentations of pneumonia, </w:t>
      </w:r>
      <w:proofErr w:type="gramStart"/>
      <w:r>
        <w:t>asthma</w:t>
      </w:r>
      <w:proofErr w:type="gramEnd"/>
      <w:r>
        <w:t xml:space="preserve"> or COPD</w:t>
      </w:r>
    </w:p>
    <w:p w14:paraId="77DDCB40" w14:textId="77777777" w:rsidR="000D5CDD" w:rsidRDefault="000D5CDD" w:rsidP="000D5CDD">
      <w:pPr>
        <w:pStyle w:val="Bulletparagraph"/>
      </w:pPr>
      <w:r>
        <w:t>suspected sepsis</w:t>
      </w:r>
    </w:p>
    <w:p w14:paraId="12CB3DA7" w14:textId="77777777" w:rsidR="000D5CDD" w:rsidRDefault="000D5CDD" w:rsidP="000D5CDD">
      <w:pPr>
        <w:pStyle w:val="Bulletparagraph"/>
      </w:pPr>
      <w:r>
        <w:t xml:space="preserve">chest pain that is concerning for a serious cause requiring immediate hospital transfer, </w:t>
      </w:r>
      <w:proofErr w:type="spellStart"/>
      <w:proofErr w:type="gramStart"/>
      <w:r>
        <w:t>eg</w:t>
      </w:r>
      <w:proofErr w:type="spellEnd"/>
      <w:proofErr w:type="gramEnd"/>
      <w:r>
        <w:t xml:space="preserve"> acute coronary syndrome</w:t>
      </w:r>
    </w:p>
    <w:p w14:paraId="1A08FC9F" w14:textId="77777777" w:rsidR="000D5CDD" w:rsidRDefault="000D5CDD" w:rsidP="000D5CDD">
      <w:pPr>
        <w:pStyle w:val="Bulletparagraph"/>
      </w:pPr>
      <w:r>
        <w:t>pregnant women with saturations of ≤94%.</w:t>
      </w:r>
    </w:p>
    <w:p w14:paraId="65D02824" w14:textId="77777777" w:rsidR="000D5CDD" w:rsidRPr="00BE6F03" w:rsidRDefault="000D5CDD" w:rsidP="000D5CDD">
      <w:pPr>
        <w:pStyle w:val="Paragraph"/>
      </w:pPr>
      <w:r>
        <w:t>Clinical judgement remains paramount for all assessments, particularly for patients at higher risk of serious illness, with a learning disability or living with serious mental illness.</w:t>
      </w:r>
    </w:p>
    <w:p w14:paraId="1A5EC991" w14:textId="11CDD4EA" w:rsidR="00AB2213" w:rsidRDefault="000D5CDD" w:rsidP="00AB2213">
      <w:pPr>
        <w:pStyle w:val="Heading4"/>
      </w:pPr>
      <w:r>
        <w:t xml:space="preserve">NICE </w:t>
      </w:r>
      <w:r w:rsidR="00577066">
        <w:t>guidance</w:t>
      </w:r>
    </w:p>
    <w:p w14:paraId="07440504" w14:textId="3425CF9A" w:rsidR="00201C7D" w:rsidRDefault="000D5CDD" w:rsidP="00CE2240">
      <w:pPr>
        <w:pStyle w:val="Paragraph"/>
        <w:rPr>
          <w:rFonts w:ascii="Times New Roman" w:hAnsi="Times New Roman"/>
        </w:rPr>
      </w:pPr>
      <w:bookmarkStart w:id="104" w:name="_Hlk140655385"/>
      <w:r>
        <w:t>C</w:t>
      </w:r>
      <w:r w:rsidR="00201C7D" w:rsidRPr="00201C7D">
        <w:t xml:space="preserve">urrent </w:t>
      </w:r>
      <w:r w:rsidR="00201C7D">
        <w:t xml:space="preserve">NICE </w:t>
      </w:r>
      <w:r w:rsidR="00201C7D" w:rsidRPr="00201C7D">
        <w:t>guidelines specifying criteria for hospital admission</w:t>
      </w:r>
      <w:r w:rsidR="00201C7D">
        <w:t xml:space="preserve"> are unlikely to be directly transferable </w:t>
      </w:r>
      <w:r>
        <w:t xml:space="preserve">as referral criteria for </w:t>
      </w:r>
      <w:r w:rsidR="00201C7D">
        <w:t xml:space="preserve">virtual wards </w:t>
      </w:r>
      <w:r w:rsidR="00CD629C">
        <w:t>due to variation in service characteristics</w:t>
      </w:r>
      <w:r w:rsidR="00201C7D" w:rsidRPr="00201C7D">
        <w:t>.</w:t>
      </w:r>
      <w:r w:rsidR="00201C7D" w:rsidRPr="00201C7D">
        <w:rPr>
          <w:rFonts w:ascii="Times New Roman" w:hAnsi="Times New Roman"/>
        </w:rPr>
        <w:t xml:space="preserve"> </w:t>
      </w:r>
    </w:p>
    <w:p w14:paraId="17FFBB2B" w14:textId="7AE5FF32" w:rsidR="000D5CDD" w:rsidRDefault="000D5CDD" w:rsidP="000D5CDD">
      <w:pPr>
        <w:pStyle w:val="Paragraph"/>
      </w:pPr>
      <w:r w:rsidRPr="000D5CDD">
        <w:t xml:space="preserve">Recommendations on referral to hospital when symptoms or signs suggest serious illness are </w:t>
      </w:r>
      <w:r w:rsidR="00577066">
        <w:t xml:space="preserve">included in NICE </w:t>
      </w:r>
      <w:r w:rsidRPr="000D5CDD">
        <w:t xml:space="preserve">antimicrobial prescribing guidelines on: </w:t>
      </w:r>
    </w:p>
    <w:bookmarkEnd w:id="104"/>
    <w:p w14:paraId="3131B82E" w14:textId="2818FDF4" w:rsidR="00A83EE1" w:rsidRDefault="00376F84" w:rsidP="00577066">
      <w:pPr>
        <w:pStyle w:val="Bulletparagraph"/>
      </w:pPr>
      <w:r>
        <w:fldChar w:fldCharType="begin"/>
      </w:r>
      <w:r w:rsidR="00577066">
        <w:instrText>HYPERLINK "https://www.nice.org.uk/guidance/ng138"</w:instrText>
      </w:r>
      <w:r>
        <w:fldChar w:fldCharType="separate"/>
      </w:r>
      <w:r w:rsidR="00577066">
        <w:rPr>
          <w:rStyle w:val="Hyperlink"/>
        </w:rPr>
        <w:t>Community acquired pneumonia</w:t>
      </w:r>
      <w:r>
        <w:rPr>
          <w:rStyle w:val="Hyperlink"/>
        </w:rPr>
        <w:fldChar w:fldCharType="end"/>
      </w:r>
      <w:r w:rsidR="00A83EE1">
        <w:t xml:space="preserve"> </w:t>
      </w:r>
    </w:p>
    <w:p w14:paraId="77FDEF5C" w14:textId="2024E243" w:rsidR="00AB2213" w:rsidRDefault="001C2C97" w:rsidP="00577066">
      <w:pPr>
        <w:pStyle w:val="Bulletparagraph"/>
      </w:pPr>
      <w:hyperlink r:id="rId43" w:history="1">
        <w:r w:rsidR="00577066">
          <w:rPr>
            <w:rStyle w:val="Hyperlink"/>
          </w:rPr>
          <w:t>Cough</w:t>
        </w:r>
      </w:hyperlink>
      <w:r w:rsidR="00AB2213">
        <w:t xml:space="preserve"> </w:t>
      </w:r>
    </w:p>
    <w:p w14:paraId="5A0D44F6" w14:textId="5B1789CA" w:rsidR="00577066" w:rsidRDefault="001C2C97" w:rsidP="00577066">
      <w:pPr>
        <w:pStyle w:val="Bulletparagraph"/>
        <w:rPr>
          <w:rStyle w:val="Hyperlink"/>
        </w:rPr>
      </w:pPr>
      <w:hyperlink r:id="rId44" w:history="1">
        <w:r w:rsidR="00577066">
          <w:rPr>
            <w:rStyle w:val="Hyperlink"/>
          </w:rPr>
          <w:t>Exacerbation of COPD</w:t>
        </w:r>
      </w:hyperlink>
    </w:p>
    <w:p w14:paraId="46BFC981" w14:textId="044548C7" w:rsidR="00577066" w:rsidRDefault="001C2C97" w:rsidP="00577066">
      <w:pPr>
        <w:pStyle w:val="Bulletparagraph"/>
        <w:rPr>
          <w:rStyle w:val="Hyperlink"/>
        </w:rPr>
      </w:pPr>
      <w:hyperlink r:id="rId45" w:history="1">
        <w:r w:rsidR="00577066">
          <w:rPr>
            <w:rStyle w:val="Hyperlink"/>
          </w:rPr>
          <w:t>Sore throat</w:t>
        </w:r>
      </w:hyperlink>
    </w:p>
    <w:p w14:paraId="6998B671" w14:textId="4037A1C7" w:rsidR="00577066" w:rsidRDefault="001C2C97" w:rsidP="00577066">
      <w:pPr>
        <w:pStyle w:val="Bulletparagraph"/>
      </w:pPr>
      <w:hyperlink r:id="rId46" w:history="1">
        <w:r w:rsidR="00577066">
          <w:rPr>
            <w:rStyle w:val="Hyperlink"/>
          </w:rPr>
          <w:t>Sinusitis</w:t>
        </w:r>
      </w:hyperlink>
    </w:p>
    <w:p w14:paraId="7CE84004" w14:textId="78FDB8F8" w:rsidR="00CF1E42" w:rsidRDefault="00577066" w:rsidP="00CF1E42">
      <w:pPr>
        <w:pStyle w:val="Paragraph"/>
      </w:pPr>
      <w:r>
        <w:t xml:space="preserve">Potential factors to consider when deciding where to treat people with COPD </w:t>
      </w:r>
      <w:r w:rsidR="0070287C">
        <w:t xml:space="preserve">are included on </w:t>
      </w:r>
      <w:hyperlink r:id="rId47" w:history="1">
        <w:r w:rsidR="0070287C">
          <w:rPr>
            <w:rStyle w:val="Hyperlink"/>
          </w:rPr>
          <w:t>NICE’s guideline on chronic obstructive pulmonary disease</w:t>
        </w:r>
      </w:hyperlink>
      <w:r w:rsidR="0070287C">
        <w:rPr>
          <w:rStyle w:val="Hyperlink"/>
        </w:rPr>
        <w:t>.</w:t>
      </w:r>
      <w:r w:rsidR="0070287C">
        <w:t xml:space="preserve"> It notes that t</w:t>
      </w:r>
      <w:r w:rsidR="00CF1E42">
        <w:t xml:space="preserve">here are currently insufficient data to make firm recommendations about which people with COPD with an exacerbation are most suitable for hospital-at-home or early discharge. Selection should depend on the resources </w:t>
      </w:r>
      <w:r w:rsidR="0070287C">
        <w:t>available,</w:t>
      </w:r>
      <w:r w:rsidR="00CF1E42">
        <w:t xml:space="preserve"> and absence of factors associated with a worse prognosis (for example, acidosis). </w:t>
      </w:r>
    </w:p>
    <w:bookmarkStart w:id="105" w:name="_Hlk140827585"/>
    <w:p w14:paraId="63D4919C" w14:textId="658CF96E" w:rsidR="00AB2213" w:rsidRDefault="00376F84" w:rsidP="00AB2213">
      <w:pPr>
        <w:pStyle w:val="Paragraph"/>
      </w:pPr>
      <w:r>
        <w:fldChar w:fldCharType="begin"/>
      </w:r>
      <w:r w:rsidR="0070287C">
        <w:instrText>HYPERLINK "https://www.nice.org.uk/guidance/cg191"</w:instrText>
      </w:r>
      <w:r>
        <w:fldChar w:fldCharType="separate"/>
      </w:r>
      <w:r w:rsidR="0070287C">
        <w:rPr>
          <w:rStyle w:val="Hyperlink"/>
        </w:rPr>
        <w:t>NICE’s guideline on pneumonia in adults</w:t>
      </w:r>
      <w:r>
        <w:rPr>
          <w:rStyle w:val="Hyperlink"/>
        </w:rPr>
        <w:fldChar w:fldCharType="end"/>
      </w:r>
      <w:r w:rsidR="0070287C" w:rsidRPr="0070287C">
        <w:rPr>
          <w:rStyle w:val="Hyperlink"/>
          <w:u w:val="none"/>
        </w:rPr>
        <w:t xml:space="preserve"> </w:t>
      </w:r>
      <w:r w:rsidR="0070287C" w:rsidRPr="0070287C">
        <w:t>recommends</w:t>
      </w:r>
      <w:r w:rsidR="00EC3DBE">
        <w:t>:</w:t>
      </w:r>
    </w:p>
    <w:bookmarkEnd w:id="105"/>
    <w:p w14:paraId="6CE2EACE" w14:textId="5BEBBA3A" w:rsidR="00AB2213" w:rsidRDefault="00AB2213" w:rsidP="00AB2213">
      <w:pPr>
        <w:pStyle w:val="Paragraph"/>
      </w:pPr>
      <w:r>
        <w:t xml:space="preserve">1.2.2 </w:t>
      </w:r>
      <w:r w:rsidR="0070287C">
        <w:t xml:space="preserve">[In primary care] </w:t>
      </w:r>
      <w:r>
        <w:t>Use clinical judgement in conjunction with the CRB65 score to inform decisions about whether patients need hospital assessment as follows:</w:t>
      </w:r>
    </w:p>
    <w:p w14:paraId="5856D892" w14:textId="77777777" w:rsidR="00AB2213" w:rsidRDefault="00AB2213" w:rsidP="00EC3DBE">
      <w:pPr>
        <w:pStyle w:val="Bulletparagraph"/>
      </w:pPr>
      <w:r>
        <w:t>consider home</w:t>
      </w:r>
      <w:r>
        <w:rPr>
          <w:rFonts w:ascii="Cambria Math" w:hAnsi="Cambria Math" w:cs="Cambria Math"/>
        </w:rPr>
        <w:t>‑</w:t>
      </w:r>
      <w:r>
        <w:t xml:space="preserve">based </w:t>
      </w:r>
      <w:r w:rsidRPr="00CF5E54">
        <w:t>care</w:t>
      </w:r>
      <w:r>
        <w:t xml:space="preserve"> for patients with a CRB65 score of </w:t>
      </w:r>
      <w:proofErr w:type="gramStart"/>
      <w:r>
        <w:t>0</w:t>
      </w:r>
      <w:proofErr w:type="gramEnd"/>
    </w:p>
    <w:p w14:paraId="16BF3D12" w14:textId="77777777" w:rsidR="00AB2213" w:rsidRDefault="00AB2213" w:rsidP="00EC3DBE">
      <w:pPr>
        <w:pStyle w:val="Bulletparagraph"/>
      </w:pPr>
      <w:r>
        <w:t>consider hospital assessment for all other patients, particularly those with a CRB65 score of 2 or more.</w:t>
      </w:r>
    </w:p>
    <w:p w14:paraId="4196A1D2" w14:textId="655D69EA" w:rsidR="00AB2213" w:rsidRDefault="00AB2213" w:rsidP="00AB2213">
      <w:pPr>
        <w:pStyle w:val="Paragraph"/>
      </w:pPr>
      <w:r>
        <w:t xml:space="preserve">1.2.4 </w:t>
      </w:r>
      <w:r w:rsidR="0070287C">
        <w:t xml:space="preserve">[In hospital] </w:t>
      </w:r>
      <w:r>
        <w:t>Use clinical judgement in conjunction with the CURB65 score to guide the management of community</w:t>
      </w:r>
      <w:r>
        <w:rPr>
          <w:rFonts w:ascii="Cambria Math" w:hAnsi="Cambria Math" w:cs="Cambria Math"/>
        </w:rPr>
        <w:t>‑</w:t>
      </w:r>
      <w:r>
        <w:t>acquired pneumonia, as follows:</w:t>
      </w:r>
    </w:p>
    <w:p w14:paraId="4ACADDAA" w14:textId="77777777" w:rsidR="00AB2213" w:rsidRDefault="00AB2213" w:rsidP="00EC3DBE">
      <w:pPr>
        <w:pStyle w:val="Bulletparagraph"/>
      </w:pPr>
      <w:r>
        <w:lastRenderedPageBreak/>
        <w:t>consider home</w:t>
      </w:r>
      <w:r>
        <w:rPr>
          <w:rFonts w:ascii="Cambria Math" w:hAnsi="Cambria Math" w:cs="Cambria Math"/>
        </w:rPr>
        <w:t>‑</w:t>
      </w:r>
      <w:r>
        <w:t xml:space="preserve">based care for patients with a CURB65 score of 0 or </w:t>
      </w:r>
      <w:proofErr w:type="gramStart"/>
      <w:r>
        <w:t>1</w:t>
      </w:r>
      <w:proofErr w:type="gramEnd"/>
    </w:p>
    <w:p w14:paraId="63A69D92" w14:textId="77777777" w:rsidR="00AB2213" w:rsidRDefault="00AB2213" w:rsidP="00EC3DBE">
      <w:pPr>
        <w:pStyle w:val="Bulletparagraph"/>
      </w:pPr>
      <w:r>
        <w:t>consider hospital</w:t>
      </w:r>
      <w:r>
        <w:rPr>
          <w:rFonts w:ascii="Cambria Math" w:hAnsi="Cambria Math" w:cs="Cambria Math"/>
        </w:rPr>
        <w:t>‑</w:t>
      </w:r>
      <w:r>
        <w:t xml:space="preserve">based care for patients with a CURB65 score of 2 or </w:t>
      </w:r>
      <w:proofErr w:type="gramStart"/>
      <w:r>
        <w:t>more</w:t>
      </w:r>
      <w:proofErr w:type="gramEnd"/>
    </w:p>
    <w:p w14:paraId="09F7C994" w14:textId="77777777" w:rsidR="00AB2213" w:rsidRDefault="00AB2213" w:rsidP="00EC3DBE">
      <w:pPr>
        <w:pStyle w:val="Bulletparagraph"/>
      </w:pPr>
      <w:r>
        <w:t xml:space="preserve">consider </w:t>
      </w:r>
      <w:r w:rsidRPr="00CF5E54">
        <w:t>intensive</w:t>
      </w:r>
      <w:r>
        <w:t xml:space="preserve"> care assessment for patients with a CURB65 score of 3 or more.</w:t>
      </w:r>
    </w:p>
    <w:p w14:paraId="1000D227" w14:textId="07957BEA" w:rsidR="00AB2213" w:rsidRDefault="00AB2213" w:rsidP="00AB2213">
      <w:pPr>
        <w:pStyle w:val="Heading3"/>
      </w:pPr>
      <w:r w:rsidRPr="0067426A">
        <w:t>Issues for consideration</w:t>
      </w:r>
    </w:p>
    <w:p w14:paraId="0A8AE861" w14:textId="77777777" w:rsidR="00AB2213" w:rsidRDefault="00AB2213" w:rsidP="00AB2213">
      <w:pPr>
        <w:pStyle w:val="Paragraph"/>
        <w:rPr>
          <w:b/>
          <w:bCs/>
        </w:rPr>
      </w:pPr>
      <w:r w:rsidRPr="00A6218A">
        <w:rPr>
          <w:b/>
          <w:bCs/>
        </w:rPr>
        <w:t>For discussion:</w:t>
      </w:r>
    </w:p>
    <w:p w14:paraId="57629326" w14:textId="77777777" w:rsidR="00737BA2" w:rsidRDefault="00737BA2" w:rsidP="00EC3DBE">
      <w:pPr>
        <w:pStyle w:val="Bulletparagraph"/>
      </w:pPr>
      <w:r>
        <w:t>Is there significant variation in current practice?</w:t>
      </w:r>
    </w:p>
    <w:p w14:paraId="7BB40A78" w14:textId="77777777" w:rsidR="00737BA2" w:rsidRPr="00E91559" w:rsidRDefault="00737BA2" w:rsidP="00EC3DBE">
      <w:pPr>
        <w:pStyle w:val="Bulletparagraph"/>
      </w:pPr>
      <w:r w:rsidRPr="00E91559">
        <w:t xml:space="preserve">What </w:t>
      </w:r>
      <w:r>
        <w:t>is</w:t>
      </w:r>
      <w:r w:rsidRPr="00E91559">
        <w:t xml:space="preserve"> the priorit</w:t>
      </w:r>
      <w:r>
        <w:t>y</w:t>
      </w:r>
      <w:r w:rsidRPr="00E91559">
        <w:t xml:space="preserve"> for improvement?</w:t>
      </w:r>
    </w:p>
    <w:p w14:paraId="45028C7D" w14:textId="77777777" w:rsidR="00737BA2" w:rsidRDefault="00737BA2" w:rsidP="00EC3DBE">
      <w:pPr>
        <w:pStyle w:val="Bulletparagraph"/>
      </w:pPr>
      <w:r w:rsidRPr="00E91559">
        <w:t xml:space="preserve">What </w:t>
      </w:r>
      <w:r>
        <w:t>is</w:t>
      </w:r>
      <w:r w:rsidRPr="00E91559">
        <w:t xml:space="preserve"> the key action that will lead to improvement?</w:t>
      </w:r>
    </w:p>
    <w:p w14:paraId="0DD46AA9" w14:textId="77777777" w:rsidR="00737BA2" w:rsidRDefault="00737BA2" w:rsidP="00EC3DBE">
      <w:pPr>
        <w:pStyle w:val="Bulletparagraph"/>
      </w:pPr>
      <w:r w:rsidRPr="00E91559">
        <w:t xml:space="preserve">Could we focus on a specific </w:t>
      </w:r>
      <w:r>
        <w:t>population</w:t>
      </w:r>
      <w:r w:rsidRPr="00E91559">
        <w:t xml:space="preserve"> or setting?</w:t>
      </w:r>
    </w:p>
    <w:p w14:paraId="290C814E" w14:textId="77777777" w:rsidR="00737BA2" w:rsidRPr="00E91559" w:rsidRDefault="00737BA2" w:rsidP="00EC3DBE">
      <w:pPr>
        <w:pStyle w:val="Bulletparagraph"/>
      </w:pPr>
      <w:r w:rsidRPr="00E91559">
        <w:t>Can we develop a specific, measurable statement?</w:t>
      </w:r>
    </w:p>
    <w:p w14:paraId="63D2011C" w14:textId="77777777" w:rsidR="00AB2213" w:rsidRPr="00A6218A" w:rsidRDefault="00AB2213" w:rsidP="00AB2213">
      <w:pPr>
        <w:pStyle w:val="Paragraph"/>
        <w:rPr>
          <w:b/>
          <w:bCs/>
        </w:rPr>
      </w:pPr>
      <w:r w:rsidRPr="00A6218A">
        <w:rPr>
          <w:b/>
          <w:bCs/>
        </w:rPr>
        <w:t>For decision:</w:t>
      </w:r>
    </w:p>
    <w:p w14:paraId="0A816FC2" w14:textId="77777777" w:rsidR="00AB2213" w:rsidRDefault="00AB2213" w:rsidP="00AB2213">
      <w:pPr>
        <w:pStyle w:val="Bulletleft1"/>
      </w:pPr>
      <w:r w:rsidRPr="00624810">
        <w:t>Should this area be prioritised for inclusion in the quality standard?</w:t>
      </w:r>
    </w:p>
    <w:p w14:paraId="22A91E20" w14:textId="77777777" w:rsidR="00AB2213" w:rsidRDefault="00AB2213" w:rsidP="00AB2213">
      <w:pPr>
        <w:rPr>
          <w:rFonts w:ascii="Arial" w:hAnsi="Arial"/>
        </w:rPr>
      </w:pPr>
      <w:r>
        <w:br w:type="page"/>
      </w:r>
    </w:p>
    <w:p w14:paraId="05B87AF2" w14:textId="7A1B67D8" w:rsidR="007C551C" w:rsidRDefault="00B952C1" w:rsidP="00BC5FB5">
      <w:pPr>
        <w:pStyle w:val="Numberedheading2"/>
      </w:pPr>
      <w:bookmarkStart w:id="106" w:name="_Toc141346140"/>
      <w:r>
        <w:lastRenderedPageBreak/>
        <w:t>V</w:t>
      </w:r>
      <w:r w:rsidR="00CD7C39">
        <w:t>irtual ward</w:t>
      </w:r>
      <w:r>
        <w:t>s: care and support</w:t>
      </w:r>
      <w:bookmarkEnd w:id="106"/>
    </w:p>
    <w:p w14:paraId="75FB5F3A" w14:textId="752481B2" w:rsidR="003A773E" w:rsidRDefault="00E40E6B" w:rsidP="003A773E">
      <w:pPr>
        <w:pStyle w:val="Heading3"/>
      </w:pPr>
      <w:r>
        <w:t>Access to tests and treatments</w:t>
      </w:r>
    </w:p>
    <w:p w14:paraId="47812630" w14:textId="40AFF91D" w:rsidR="003A773E" w:rsidRDefault="003A773E" w:rsidP="003A773E">
      <w:pPr>
        <w:pStyle w:val="Paragraph"/>
      </w:pPr>
      <w:r>
        <w:t xml:space="preserve">It was emphasised that people admitted to a virtual ward and their carers need to be reassured that they have access to treatment, </w:t>
      </w:r>
      <w:proofErr w:type="gramStart"/>
      <w:r>
        <w:t>tests</w:t>
      </w:r>
      <w:proofErr w:type="gramEnd"/>
      <w:r>
        <w:t xml:space="preserve"> or investigations quickly.</w:t>
      </w:r>
    </w:p>
    <w:p w14:paraId="1EB84A04" w14:textId="1F642762" w:rsidR="003A773E" w:rsidRDefault="003A773E" w:rsidP="003A773E">
      <w:pPr>
        <w:pStyle w:val="Paragraph"/>
      </w:pPr>
      <w:r w:rsidRPr="003A773E">
        <w:t>It was suggested that a cross reference to the current pneumonia quality standard (QS110) is needed, including statement 3 on chest x-ray and diagnosis within 4 hours of hospital presentation</w:t>
      </w:r>
      <w:r w:rsidR="002D4A5D">
        <w:t xml:space="preserve"> </w:t>
      </w:r>
      <w:r w:rsidRPr="003A773E">
        <w:t>and statement 5 on antibiotic therapy within 4 hours in hospital as these will apply in a virtual ward.</w:t>
      </w:r>
    </w:p>
    <w:p w14:paraId="25922C72" w14:textId="6F4E87A3" w:rsidR="003A773E" w:rsidRPr="007B1C0E" w:rsidRDefault="003A773E" w:rsidP="003A773E">
      <w:pPr>
        <w:pStyle w:val="Heading4"/>
      </w:pPr>
      <w:r>
        <w:t>NICE guidance</w:t>
      </w:r>
      <w:r w:rsidRPr="00CD3D03">
        <w:t xml:space="preserve"> </w:t>
      </w:r>
    </w:p>
    <w:p w14:paraId="73BFE568" w14:textId="77777777" w:rsidR="003A773E" w:rsidRDefault="003A773E" w:rsidP="003A773E">
      <w:pPr>
        <w:pStyle w:val="Paragraph"/>
      </w:pPr>
      <w:r>
        <w:t>Please note that d</w:t>
      </w:r>
      <w:r w:rsidRPr="00CD629C">
        <w:t xml:space="preserve">ue to different levels of monitoring and escalation, </w:t>
      </w:r>
      <w:r>
        <w:t xml:space="preserve">NICE </w:t>
      </w:r>
      <w:r w:rsidRPr="00CD629C">
        <w:t>recommendations made for a hospital setting may not be appropriate or feasible for virtual wards</w:t>
      </w:r>
      <w:r>
        <w:t>.</w:t>
      </w:r>
    </w:p>
    <w:p w14:paraId="23D0B860" w14:textId="77777777" w:rsidR="003A773E" w:rsidRDefault="003A773E" w:rsidP="003A773E">
      <w:pPr>
        <w:pStyle w:val="Paragraph"/>
      </w:pPr>
      <w:r>
        <w:t>There are no specific NICE recommendations on the management of people with acute respiratory infections in virtual wards.</w:t>
      </w:r>
    </w:p>
    <w:p w14:paraId="193DFC71" w14:textId="77777777" w:rsidR="003A773E" w:rsidRDefault="001C2C97" w:rsidP="003A773E">
      <w:pPr>
        <w:pStyle w:val="Paragraph"/>
      </w:pPr>
      <w:hyperlink r:id="rId48" w:history="1">
        <w:r w:rsidR="003A773E" w:rsidRPr="003E2BE2">
          <w:rPr>
            <w:rStyle w:val="Hyperlink"/>
          </w:rPr>
          <w:t>NICE’s guideline on pneumonia in adults: diagnosis and management</w:t>
        </w:r>
      </w:hyperlink>
      <w:r w:rsidR="003A773E">
        <w:t xml:space="preserve"> (CG191)</w:t>
      </w:r>
    </w:p>
    <w:p w14:paraId="7348E6FB" w14:textId="77777777" w:rsidR="003A773E" w:rsidRDefault="003A773E" w:rsidP="003A773E">
      <w:pPr>
        <w:pStyle w:val="Paragraph"/>
      </w:pPr>
      <w:r>
        <w:t xml:space="preserve">1.2.8 </w:t>
      </w:r>
      <w:r w:rsidRPr="000622A7">
        <w:t>Put in place processes to allow diagnosis (including X</w:t>
      </w:r>
      <w:r w:rsidRPr="000622A7">
        <w:rPr>
          <w:rFonts w:ascii="Cambria Math" w:hAnsi="Cambria Math" w:cs="Cambria Math"/>
        </w:rPr>
        <w:t>‑</w:t>
      </w:r>
      <w:r w:rsidRPr="000622A7">
        <w:t>rays) and treatment of community</w:t>
      </w:r>
      <w:r w:rsidRPr="000622A7">
        <w:rPr>
          <w:rFonts w:ascii="Cambria Math" w:hAnsi="Cambria Math" w:cs="Cambria Math"/>
        </w:rPr>
        <w:t>‑</w:t>
      </w:r>
      <w:r w:rsidRPr="000622A7">
        <w:t>acquired pneumonia within 4 hours of presentation to hospital.</w:t>
      </w:r>
    </w:p>
    <w:p w14:paraId="4ED2198D" w14:textId="77777777" w:rsidR="003A773E" w:rsidRDefault="001C2C97" w:rsidP="003A773E">
      <w:pPr>
        <w:pStyle w:val="Paragraph"/>
      </w:pPr>
      <w:hyperlink r:id="rId49" w:history="1">
        <w:r w:rsidR="003A773E" w:rsidRPr="00532C99">
          <w:rPr>
            <w:rStyle w:val="Hyperlink"/>
          </w:rPr>
          <w:t>NICE’s guideline on patient experience in adult NHS services</w:t>
        </w:r>
      </w:hyperlink>
      <w:r w:rsidR="003A773E">
        <w:t xml:space="preserve"> (CG138)</w:t>
      </w:r>
    </w:p>
    <w:p w14:paraId="6D2B257D" w14:textId="77777777" w:rsidR="003A773E" w:rsidRDefault="003A773E" w:rsidP="003A773E">
      <w:pPr>
        <w:pStyle w:val="Paragraph"/>
      </w:pPr>
      <w:r>
        <w:t xml:space="preserve">1.4.6 </w:t>
      </w:r>
      <w:r w:rsidRPr="00C32766">
        <w:t>Give the patient (and their family members and/or carers if appropriate) information about what to do and who to contact in different situations, such as 'out of hours' or in an emergency.</w:t>
      </w:r>
    </w:p>
    <w:p w14:paraId="2B4A2280" w14:textId="77777777" w:rsidR="003A773E" w:rsidRDefault="003A773E" w:rsidP="003A773E">
      <w:pPr>
        <w:pStyle w:val="Heading4"/>
      </w:pPr>
      <w:r>
        <w:t>Current quality statements</w:t>
      </w:r>
    </w:p>
    <w:p w14:paraId="561A462A" w14:textId="77777777" w:rsidR="003A773E" w:rsidRDefault="001C2C97" w:rsidP="003A773E">
      <w:pPr>
        <w:pStyle w:val="Paragraph"/>
      </w:pPr>
      <w:hyperlink r:id="rId50" w:history="1">
        <w:r w:rsidR="003A773E" w:rsidRPr="00C4269B">
          <w:rPr>
            <w:rStyle w:val="Hyperlink"/>
          </w:rPr>
          <w:t>NICE’s quality standard on pneumonia in adults</w:t>
        </w:r>
      </w:hyperlink>
      <w:r w:rsidR="003A773E">
        <w:t xml:space="preserve"> (QS110)</w:t>
      </w:r>
    </w:p>
    <w:p w14:paraId="4902A5E7" w14:textId="77777777" w:rsidR="003A773E" w:rsidRPr="00FB217F" w:rsidRDefault="003A773E" w:rsidP="003A773E">
      <w:pPr>
        <w:pStyle w:val="Paragraph"/>
      </w:pPr>
      <w:r w:rsidRPr="00FB217F">
        <w:t>Statement 3</w:t>
      </w:r>
      <w:r>
        <w:t xml:space="preserve">: </w:t>
      </w:r>
      <w:r w:rsidRPr="00FB217F">
        <w:t>Adults with suspected community</w:t>
      </w:r>
      <w:r w:rsidRPr="00FB217F">
        <w:rPr>
          <w:rFonts w:ascii="Cambria Math" w:hAnsi="Cambria Math" w:cs="Cambria Math"/>
        </w:rPr>
        <w:t>‑</w:t>
      </w:r>
      <w:r w:rsidRPr="00FB217F">
        <w:t>acquired pneumonia in hospital have a chest X</w:t>
      </w:r>
      <w:r w:rsidRPr="00FB217F">
        <w:rPr>
          <w:rFonts w:ascii="Cambria Math" w:hAnsi="Cambria Math" w:cs="Cambria Math"/>
        </w:rPr>
        <w:t>‑</w:t>
      </w:r>
      <w:r w:rsidRPr="00FB217F">
        <w:t>ray and receive a diagnosis within 4 hours of presentation.</w:t>
      </w:r>
    </w:p>
    <w:p w14:paraId="6B24530F" w14:textId="77777777" w:rsidR="003A773E" w:rsidRDefault="003A773E" w:rsidP="003A773E">
      <w:pPr>
        <w:pStyle w:val="Paragraphnonumbers"/>
      </w:pPr>
      <w:r w:rsidRPr="00FB217F">
        <w:t>Statement 5:</w:t>
      </w:r>
      <w:r>
        <w:t xml:space="preserve"> </w:t>
      </w:r>
      <w:r w:rsidRPr="00FB217F">
        <w:t>Adults with community</w:t>
      </w:r>
      <w:r w:rsidRPr="00FB217F">
        <w:rPr>
          <w:rFonts w:ascii="Cambria Math" w:hAnsi="Cambria Math" w:cs="Cambria Math"/>
        </w:rPr>
        <w:t>‑</w:t>
      </w:r>
      <w:r w:rsidRPr="00FB217F">
        <w:t>acquired pneumonia who are admitted to hospital start antibiotic therapy within 4 hours of presentation.</w:t>
      </w:r>
    </w:p>
    <w:p w14:paraId="47370A47" w14:textId="77777777" w:rsidR="003A773E" w:rsidRDefault="003A773E" w:rsidP="003A773E">
      <w:pPr>
        <w:pStyle w:val="Paragraph"/>
      </w:pPr>
    </w:p>
    <w:p w14:paraId="273BF806" w14:textId="77777777" w:rsidR="00CD7C39" w:rsidRDefault="00CD7C39" w:rsidP="00CD7C39">
      <w:pPr>
        <w:pStyle w:val="Heading3"/>
      </w:pPr>
      <w:r w:rsidRPr="007C551C">
        <w:lastRenderedPageBreak/>
        <w:t>Supporting self-management</w:t>
      </w:r>
    </w:p>
    <w:p w14:paraId="42A6C510" w14:textId="77777777" w:rsidR="00CD7C39" w:rsidRDefault="00CD7C39" w:rsidP="00CD7C39">
      <w:pPr>
        <w:pStyle w:val="Paragraph"/>
      </w:pPr>
      <w:r>
        <w:t>A stakeholder suggested that there is a need to improve education for people with exacerbations of chronic lung disease who are being managed on a virtual ward so that they can self-manage their condition. An example of advising people to only take steroids if they are wheezy and tight-chested was highlighted. It was also suggested that improving self-management on a virtual ward is important for all people admitted.</w:t>
      </w:r>
    </w:p>
    <w:p w14:paraId="12E2CA36" w14:textId="77777777" w:rsidR="00CD7C39" w:rsidRDefault="00CD7C39" w:rsidP="00CD7C39">
      <w:pPr>
        <w:pStyle w:val="Heading4"/>
      </w:pPr>
      <w:r w:rsidRPr="002B32E2">
        <w:t>NICE guidance</w:t>
      </w:r>
    </w:p>
    <w:p w14:paraId="21743377" w14:textId="77777777" w:rsidR="00CD7C39" w:rsidRDefault="00CD7C39" w:rsidP="00CD7C39">
      <w:pPr>
        <w:pStyle w:val="Paragraph"/>
      </w:pPr>
      <w:r w:rsidRPr="00064234">
        <w:t xml:space="preserve">There are no specific NICE recommendations on </w:t>
      </w:r>
      <w:r>
        <w:t>self-m</w:t>
      </w:r>
      <w:r w:rsidRPr="00064234">
        <w:t>anagement</w:t>
      </w:r>
      <w:r>
        <w:t xml:space="preserve"> on a virtual ward</w:t>
      </w:r>
      <w:r w:rsidRPr="00064234">
        <w:t xml:space="preserve"> </w:t>
      </w:r>
      <w:r>
        <w:t>for</w:t>
      </w:r>
      <w:r w:rsidRPr="00064234">
        <w:t xml:space="preserve"> people </w:t>
      </w:r>
      <w:r>
        <w:t xml:space="preserve">with exacerbations of chronic respiratory conditions associated </w:t>
      </w:r>
      <w:r w:rsidRPr="00064234">
        <w:t xml:space="preserve">with </w:t>
      </w:r>
      <w:r>
        <w:t xml:space="preserve">an </w:t>
      </w:r>
      <w:r w:rsidRPr="00064234">
        <w:t>acute respiratory infection</w:t>
      </w:r>
      <w:r>
        <w:t>.</w:t>
      </w:r>
    </w:p>
    <w:p w14:paraId="01E71867" w14:textId="77777777" w:rsidR="00CD7C39" w:rsidRDefault="001C2C97" w:rsidP="00CD7C39">
      <w:pPr>
        <w:pStyle w:val="Paragraph"/>
        <w:keepNext/>
      </w:pPr>
      <w:hyperlink r:id="rId51" w:history="1">
        <w:r w:rsidR="00CD7C39" w:rsidRPr="00532C99">
          <w:rPr>
            <w:rStyle w:val="Hyperlink"/>
          </w:rPr>
          <w:t>NICE’s guideline on patient experience in adult NHS services</w:t>
        </w:r>
      </w:hyperlink>
      <w:r w:rsidR="00CD7C39">
        <w:t xml:space="preserve"> (CG138)</w:t>
      </w:r>
    </w:p>
    <w:p w14:paraId="199FD56D" w14:textId="77777777" w:rsidR="00CD7C39" w:rsidRPr="007C551C" w:rsidRDefault="00CD7C39" w:rsidP="00CD7C39">
      <w:pPr>
        <w:pStyle w:val="Paragraph"/>
      </w:pPr>
      <w:r>
        <w:t xml:space="preserve">1.5.11 </w:t>
      </w:r>
      <w:r w:rsidRPr="00C32766">
        <w:t xml:space="preserve">Give the patient information, and the support they need to make use of the information, </w:t>
      </w:r>
      <w:proofErr w:type="gramStart"/>
      <w:r w:rsidRPr="00C32766">
        <w:t>in order to</w:t>
      </w:r>
      <w:proofErr w:type="gramEnd"/>
      <w:r w:rsidRPr="00C32766">
        <w:t xml:space="preserve"> promote their active participation in care and self-management.</w:t>
      </w:r>
    </w:p>
    <w:p w14:paraId="23CB7E4F" w14:textId="77777777" w:rsidR="00CD7C39" w:rsidRDefault="00CD7C39" w:rsidP="00CD7C39">
      <w:pPr>
        <w:pStyle w:val="Heading4"/>
      </w:pPr>
      <w:r>
        <w:t>Other guidance</w:t>
      </w:r>
    </w:p>
    <w:bookmarkStart w:id="107" w:name="_Hlk140848795"/>
    <w:p w14:paraId="50B960A9" w14:textId="77777777" w:rsidR="00CD7C39" w:rsidRDefault="00CD7C39" w:rsidP="00CD7C39">
      <w:pPr>
        <w:pStyle w:val="Paragraph"/>
        <w:rPr>
          <w:rFonts w:cs="Arial"/>
        </w:rPr>
      </w:pPr>
      <w:r>
        <w:rPr>
          <w:rFonts w:cs="Arial"/>
        </w:rPr>
        <w:fldChar w:fldCharType="begin"/>
      </w:r>
      <w:r>
        <w:rPr>
          <w:rFonts w:cs="Arial"/>
        </w:rPr>
        <w:instrText>HYPERLINK "https://gettingitrightfirsttime.co.uk/new-summary-guide-supports-nhs-ambition-to-increase-the-use-of-virtual-wards/"</w:instrText>
      </w:r>
      <w:r>
        <w:rPr>
          <w:rFonts w:cs="Arial"/>
        </w:rPr>
      </w:r>
      <w:r>
        <w:rPr>
          <w:rFonts w:cs="Arial"/>
        </w:rPr>
        <w:fldChar w:fldCharType="separate"/>
      </w:r>
      <w:r w:rsidRPr="00145244">
        <w:rPr>
          <w:rStyle w:val="Hyperlink"/>
          <w:rFonts w:cs="Arial"/>
        </w:rPr>
        <w:t>NHSE/GIRFT Making the most of virtual wards, including Hospital at Home: Practical guidance for clinicians to maximise use of virtual wards for the benefit of patients</w:t>
      </w:r>
      <w:r>
        <w:rPr>
          <w:rFonts w:cs="Arial"/>
        </w:rPr>
        <w:fldChar w:fldCharType="end"/>
      </w:r>
    </w:p>
    <w:bookmarkEnd w:id="107"/>
    <w:p w14:paraId="72BE0391" w14:textId="77777777" w:rsidR="00CD7C39" w:rsidRPr="00145244" w:rsidRDefault="00CD7C39" w:rsidP="00CD7C39">
      <w:pPr>
        <w:pStyle w:val="Paragraph"/>
        <w:rPr>
          <w:rFonts w:cs="Arial"/>
        </w:rPr>
      </w:pPr>
      <w:r w:rsidRPr="00145244">
        <w:rPr>
          <w:rFonts w:cs="Arial"/>
        </w:rPr>
        <w:t>After admission to virtual ward with COPD or asthma exacerbation, optimal</w:t>
      </w:r>
      <w:r>
        <w:rPr>
          <w:rFonts w:cs="Arial"/>
        </w:rPr>
        <w:t xml:space="preserve"> </w:t>
      </w:r>
      <w:r w:rsidRPr="00145244">
        <w:rPr>
          <w:rFonts w:cs="Arial"/>
        </w:rPr>
        <w:t>management includes:</w:t>
      </w:r>
    </w:p>
    <w:p w14:paraId="7E9BB926" w14:textId="77777777" w:rsidR="00CD7C39" w:rsidRPr="00145244" w:rsidRDefault="00CD7C39" w:rsidP="00CD7C39">
      <w:pPr>
        <w:pStyle w:val="Bulletparagraph"/>
      </w:pPr>
      <w:r w:rsidRPr="00145244">
        <w:t xml:space="preserve">Advice about smoking cessation, support, </w:t>
      </w:r>
      <w:proofErr w:type="gramStart"/>
      <w:r w:rsidRPr="00145244">
        <w:t>prescription</w:t>
      </w:r>
      <w:proofErr w:type="gramEnd"/>
      <w:r w:rsidRPr="00145244">
        <w:t xml:space="preserve"> and referral</w:t>
      </w:r>
    </w:p>
    <w:p w14:paraId="371AE12A" w14:textId="77777777" w:rsidR="00CD7C39" w:rsidRPr="00145244" w:rsidRDefault="00CD7C39" w:rsidP="00CD7C39">
      <w:pPr>
        <w:pStyle w:val="Bulletparagraph"/>
      </w:pPr>
      <w:r w:rsidRPr="00145244">
        <w:t xml:space="preserve">Ensuring inhaler technique is </w:t>
      </w:r>
      <w:proofErr w:type="gramStart"/>
      <w:r w:rsidRPr="00145244">
        <w:t>optimal</w:t>
      </w:r>
      <w:proofErr w:type="gramEnd"/>
    </w:p>
    <w:p w14:paraId="1D3CD390" w14:textId="77777777" w:rsidR="00CD7C39" w:rsidRPr="00145244" w:rsidRDefault="00CD7C39" w:rsidP="00CD7C39">
      <w:pPr>
        <w:pStyle w:val="Bulletparagraph"/>
      </w:pPr>
      <w:r w:rsidRPr="00145244">
        <w:t xml:space="preserve">Education about breathing techniques and chest </w:t>
      </w:r>
      <w:proofErr w:type="gramStart"/>
      <w:r w:rsidRPr="00145244">
        <w:t>clearance</w:t>
      </w:r>
      <w:proofErr w:type="gramEnd"/>
    </w:p>
    <w:p w14:paraId="418D03D8" w14:textId="77777777" w:rsidR="00CD7C39" w:rsidRPr="00145244" w:rsidRDefault="00CD7C39" w:rsidP="00CD7C39">
      <w:pPr>
        <w:pStyle w:val="Bulletparagraph"/>
      </w:pPr>
      <w:r w:rsidRPr="00145244">
        <w:t>Self-management education and use of rescue pack</w:t>
      </w:r>
    </w:p>
    <w:p w14:paraId="59D948B6" w14:textId="77777777" w:rsidR="00CD7C39" w:rsidRPr="00145244" w:rsidRDefault="00CD7C39" w:rsidP="00CD7C39">
      <w:pPr>
        <w:pStyle w:val="Bulletparagraph"/>
      </w:pPr>
      <w:r w:rsidRPr="00145244">
        <w:t xml:space="preserve">Advice where to source further written </w:t>
      </w:r>
      <w:proofErr w:type="gramStart"/>
      <w:r w:rsidRPr="00145244">
        <w:t>information</w:t>
      </w:r>
      <w:proofErr w:type="gramEnd"/>
    </w:p>
    <w:p w14:paraId="7FC766C0" w14:textId="77777777" w:rsidR="00CD7C39" w:rsidRPr="001A542E" w:rsidRDefault="00CD7C39" w:rsidP="00CD7C39">
      <w:pPr>
        <w:pStyle w:val="Bulletparagraph"/>
      </w:pPr>
      <w:r w:rsidRPr="00145244">
        <w:t>Referral to local self-help groups</w:t>
      </w:r>
      <w:r>
        <w:t>.</w:t>
      </w:r>
    </w:p>
    <w:p w14:paraId="29C6B59F" w14:textId="3A32FB75" w:rsidR="00DA20E4" w:rsidRDefault="00CD7C39" w:rsidP="007C551C">
      <w:pPr>
        <w:pStyle w:val="Heading3"/>
      </w:pPr>
      <w:bookmarkStart w:id="108" w:name="_Hlk141107624"/>
      <w:r>
        <w:t xml:space="preserve">Escalation of care </w:t>
      </w:r>
    </w:p>
    <w:p w14:paraId="0D1581D8" w14:textId="76689F6D" w:rsidR="00A10B41" w:rsidRDefault="00DA20E4" w:rsidP="00DA20E4">
      <w:pPr>
        <w:pStyle w:val="Paragraph"/>
      </w:pPr>
      <w:r>
        <w:t xml:space="preserve">It was suggested that it is important for virtual wards to have clear processes to ensure </w:t>
      </w:r>
      <w:r w:rsidR="00C322DA">
        <w:t xml:space="preserve">appropriate management, </w:t>
      </w:r>
      <w:r>
        <w:t xml:space="preserve">early recognition of </w:t>
      </w:r>
      <w:r w:rsidR="00612B6E">
        <w:t>deteriorating symptoms and appropriate escalation of care</w:t>
      </w:r>
      <w:r w:rsidR="00790779">
        <w:t xml:space="preserve"> (including out of hours)</w:t>
      </w:r>
      <w:r w:rsidR="00612B6E">
        <w:t xml:space="preserve">. </w:t>
      </w:r>
      <w:r w:rsidR="002C2FFE">
        <w:t xml:space="preserve">It was emphasised that people admitted to a virtual ward and their carers need to be </w:t>
      </w:r>
      <w:r w:rsidR="00737BA2">
        <w:t>re</w:t>
      </w:r>
      <w:r w:rsidR="002C2FFE">
        <w:t>assured that</w:t>
      </w:r>
      <w:r w:rsidR="00FE0680">
        <w:t xml:space="preserve"> any changes will be responded to quickly.</w:t>
      </w:r>
    </w:p>
    <w:bookmarkEnd w:id="108"/>
    <w:p w14:paraId="47657A5F" w14:textId="5AC12F67" w:rsidR="00167617" w:rsidRDefault="00167617" w:rsidP="00167617">
      <w:pPr>
        <w:pStyle w:val="Heading4"/>
      </w:pPr>
      <w:r>
        <w:lastRenderedPageBreak/>
        <w:t>NHS England guidance</w:t>
      </w:r>
    </w:p>
    <w:p w14:paraId="1B146BA6" w14:textId="77777777" w:rsidR="00167617" w:rsidRDefault="001C2C97" w:rsidP="00167617">
      <w:pPr>
        <w:pStyle w:val="Paragraph"/>
      </w:pPr>
      <w:hyperlink r:id="rId52" w:history="1">
        <w:r w:rsidR="00167617" w:rsidRPr="00BE6F03">
          <w:rPr>
            <w:rStyle w:val="Hyperlink"/>
          </w:rPr>
          <w:t>NHSE Guidance note: Acute respiratory infection virtual ward</w:t>
        </w:r>
      </w:hyperlink>
    </w:p>
    <w:p w14:paraId="797290AC" w14:textId="3ABA436E" w:rsidR="00167617" w:rsidRPr="006D56B9" w:rsidRDefault="00167617" w:rsidP="00167617">
      <w:pPr>
        <w:pStyle w:val="Paragraph"/>
      </w:pPr>
      <w:r w:rsidRPr="006D56B9">
        <w:t>To provide a safe and robust virtual ward staffing is required for a minimum of 12</w:t>
      </w:r>
      <w:r>
        <w:t xml:space="preserve"> </w:t>
      </w:r>
      <w:r w:rsidRPr="006D56B9">
        <w:t xml:space="preserve">hours a day (8am–8pm), seven days a week, with locally arranged provision for </w:t>
      </w:r>
      <w:r w:rsidR="002B32E2" w:rsidRPr="006D56B9">
        <w:t>out of</w:t>
      </w:r>
      <w:r>
        <w:t xml:space="preserve"> </w:t>
      </w:r>
      <w:r w:rsidRPr="006D56B9">
        <w:t>hours cover, enabling flexibility of service provision as determined by local need.</w:t>
      </w:r>
    </w:p>
    <w:p w14:paraId="3B2520BA" w14:textId="77777777" w:rsidR="00167617" w:rsidRPr="006D56B9" w:rsidRDefault="00167617" w:rsidP="00167617">
      <w:pPr>
        <w:pStyle w:val="Paragraph"/>
      </w:pPr>
      <w:r w:rsidRPr="006D56B9">
        <w:t>Clear pathways for referral and escalation should be developed collaboratively with</w:t>
      </w:r>
      <w:r>
        <w:t xml:space="preserve"> </w:t>
      </w:r>
      <w:r w:rsidRPr="006D56B9">
        <w:t>SDEC, emergency department (ED), primary care, community health services, NHS</w:t>
      </w:r>
      <w:r>
        <w:t xml:space="preserve"> </w:t>
      </w:r>
      <w:r w:rsidRPr="006D56B9">
        <w:t>111/999 and UCR.</w:t>
      </w:r>
    </w:p>
    <w:p w14:paraId="1A655E5B" w14:textId="77777777" w:rsidR="00167617" w:rsidRPr="00E651F7" w:rsidRDefault="00167617" w:rsidP="002B32E2">
      <w:pPr>
        <w:pStyle w:val="Heading40"/>
      </w:pPr>
      <w:r w:rsidRPr="00E651F7">
        <w:t>Stage 3: Admission</w:t>
      </w:r>
    </w:p>
    <w:p w14:paraId="3DE19A48" w14:textId="27EB6E6C" w:rsidR="00167617" w:rsidRDefault="00167617" w:rsidP="00790779">
      <w:pPr>
        <w:pStyle w:val="Bulletparagraph"/>
      </w:pPr>
      <w:r w:rsidRPr="00E651F7">
        <w:t>Patients being admitted to an ARI virtual ward will agree a patient-held personalised escalation and discharge plan, including monitoring arrangements</w:t>
      </w:r>
      <w:r>
        <w:t>.</w:t>
      </w:r>
    </w:p>
    <w:p w14:paraId="51A94A98" w14:textId="77777777" w:rsidR="00CD7C39" w:rsidRDefault="00CD7C39" w:rsidP="00790779">
      <w:pPr>
        <w:pStyle w:val="Bulletparagraph"/>
      </w:pPr>
      <w:r>
        <w:t>The patient should additionally be provided with, as a minimum:</w:t>
      </w:r>
    </w:p>
    <w:p w14:paraId="59C05CDD" w14:textId="77777777" w:rsidR="00CD7C39" w:rsidRDefault="00CD7C39" w:rsidP="00790779">
      <w:pPr>
        <w:pStyle w:val="Bulletparagraph"/>
        <w:numPr>
          <w:ilvl w:val="0"/>
          <w:numId w:val="0"/>
        </w:numPr>
        <w:ind w:left="360"/>
      </w:pPr>
      <w:r>
        <w:t>‒ a telephone number to call for advice or support between 8am and 8pm,</w:t>
      </w:r>
    </w:p>
    <w:p w14:paraId="43B77C67" w14:textId="77777777" w:rsidR="00CD7C39" w:rsidRDefault="00CD7C39" w:rsidP="00790779">
      <w:pPr>
        <w:pStyle w:val="Bulletparagraph"/>
        <w:numPr>
          <w:ilvl w:val="0"/>
          <w:numId w:val="0"/>
        </w:numPr>
        <w:ind w:left="360"/>
      </w:pPr>
      <w:r>
        <w:t>seven days a week</w:t>
      </w:r>
    </w:p>
    <w:p w14:paraId="54D1746A" w14:textId="712C4765" w:rsidR="00CD7C39" w:rsidRPr="00E651F7" w:rsidRDefault="00CD7C39" w:rsidP="00790779">
      <w:pPr>
        <w:pStyle w:val="Bulletparagraph"/>
        <w:numPr>
          <w:ilvl w:val="0"/>
          <w:numId w:val="0"/>
        </w:numPr>
        <w:ind w:left="360"/>
      </w:pPr>
      <w:r>
        <w:t>‒ instructions on who to contact outside these hours.</w:t>
      </w:r>
    </w:p>
    <w:p w14:paraId="12E8921A" w14:textId="77777777" w:rsidR="00167617" w:rsidRPr="00E651F7" w:rsidRDefault="00167617" w:rsidP="002B32E2">
      <w:pPr>
        <w:pStyle w:val="Heading40"/>
      </w:pPr>
      <w:r w:rsidRPr="00E651F7">
        <w:t>Stage 5: Self-escalation</w:t>
      </w:r>
    </w:p>
    <w:p w14:paraId="7F39B008" w14:textId="77777777" w:rsidR="00167617" w:rsidRDefault="00167617" w:rsidP="00790779">
      <w:pPr>
        <w:pStyle w:val="Bulletparagraph"/>
      </w:pPr>
      <w:r>
        <w:t>The patient should self-escalate according to the severity of their deterioration. Clear information around escalation should be provided at admission and in supporting patient information (see example patient information leaflet below). Escalation may include calling the ARI virtual ward telephone number provided, calling 999 or attending their nearest ED.</w:t>
      </w:r>
    </w:p>
    <w:p w14:paraId="20C84A6B" w14:textId="77777777" w:rsidR="002B32E2" w:rsidRPr="007B1C0E" w:rsidRDefault="002B32E2" w:rsidP="002B32E2">
      <w:pPr>
        <w:pStyle w:val="Heading4"/>
      </w:pPr>
      <w:r>
        <w:t>NICE guidance</w:t>
      </w:r>
    </w:p>
    <w:p w14:paraId="26D79D59" w14:textId="32078418" w:rsidR="00CD629C" w:rsidRDefault="00CD629C" w:rsidP="007C551C">
      <w:pPr>
        <w:pStyle w:val="Paragraph"/>
      </w:pPr>
      <w:r>
        <w:t>Please note that d</w:t>
      </w:r>
      <w:r w:rsidRPr="00CD629C">
        <w:t xml:space="preserve">ue to different levels of monitoring and escalation, </w:t>
      </w:r>
      <w:r w:rsidR="00DA20E4">
        <w:t xml:space="preserve">NICE </w:t>
      </w:r>
      <w:r w:rsidRPr="00CD629C">
        <w:t>recommendations made for a hospital setting may not be appropriate or feasible for virtual wards</w:t>
      </w:r>
      <w:r>
        <w:t>.</w:t>
      </w:r>
    </w:p>
    <w:p w14:paraId="68C58E4A" w14:textId="7D88EFA9" w:rsidR="004C7306" w:rsidRDefault="004C7306" w:rsidP="007C551C">
      <w:pPr>
        <w:pStyle w:val="Paragraph"/>
      </w:pPr>
      <w:r>
        <w:t xml:space="preserve">There are no specific NICE recommendations on </w:t>
      </w:r>
      <w:r w:rsidR="00CF5E54">
        <w:t xml:space="preserve">the </w:t>
      </w:r>
      <w:r>
        <w:t>management of people with acute respiratory infections in virtual wards.</w:t>
      </w:r>
    </w:p>
    <w:p w14:paraId="071BD0B7" w14:textId="7B784C02" w:rsidR="00532C99" w:rsidRDefault="001C2C97" w:rsidP="00790779">
      <w:pPr>
        <w:pStyle w:val="Paragraph"/>
        <w:keepNext/>
      </w:pPr>
      <w:hyperlink r:id="rId53" w:history="1">
        <w:r w:rsidR="00532C99" w:rsidRPr="00532C99">
          <w:rPr>
            <w:rStyle w:val="Hyperlink"/>
          </w:rPr>
          <w:t>NICE’s guideline on patient experience in adult NHS services</w:t>
        </w:r>
      </w:hyperlink>
      <w:r w:rsidR="00532C99">
        <w:t xml:space="preserve"> (CG138)</w:t>
      </w:r>
    </w:p>
    <w:p w14:paraId="5613F572" w14:textId="76881563" w:rsidR="00C32766" w:rsidRDefault="00C32766" w:rsidP="007C551C">
      <w:pPr>
        <w:pStyle w:val="Paragraph"/>
      </w:pPr>
      <w:r>
        <w:t xml:space="preserve">1.4.6 </w:t>
      </w:r>
      <w:r w:rsidRPr="00C32766">
        <w:t>Give the patient (and their family members and/or carers if appropriate) information about what to do and who to contact in different situations, such as 'out of hours' or in an emergency.</w:t>
      </w:r>
    </w:p>
    <w:p w14:paraId="3DB60FBC" w14:textId="77777777" w:rsidR="007C551C" w:rsidRDefault="007C551C" w:rsidP="007C551C">
      <w:pPr>
        <w:pStyle w:val="Heading3"/>
      </w:pPr>
      <w:r w:rsidRPr="0067426A">
        <w:lastRenderedPageBreak/>
        <w:t>Issues for consideration</w:t>
      </w:r>
    </w:p>
    <w:p w14:paraId="0C866EE0" w14:textId="77777777" w:rsidR="007C551C" w:rsidRDefault="007C551C" w:rsidP="007C551C">
      <w:pPr>
        <w:pStyle w:val="Paragraph"/>
        <w:rPr>
          <w:b/>
          <w:bCs/>
        </w:rPr>
      </w:pPr>
      <w:r w:rsidRPr="00A6218A">
        <w:rPr>
          <w:b/>
          <w:bCs/>
        </w:rPr>
        <w:t>For discussion:</w:t>
      </w:r>
    </w:p>
    <w:p w14:paraId="13E51772" w14:textId="007362B4" w:rsidR="00800640" w:rsidRDefault="00800640" w:rsidP="00167617">
      <w:pPr>
        <w:pStyle w:val="Bulletparagraph"/>
      </w:pPr>
      <w:r>
        <w:t>Do we have sufficient guidance to support a statement?</w:t>
      </w:r>
    </w:p>
    <w:p w14:paraId="236450A3" w14:textId="15D7D3CD" w:rsidR="00800640" w:rsidRDefault="00800640" w:rsidP="00167617">
      <w:pPr>
        <w:pStyle w:val="Bulletparagraph"/>
      </w:pPr>
      <w:r>
        <w:t>Is there significant variation in current practice?</w:t>
      </w:r>
    </w:p>
    <w:p w14:paraId="5A7650FC" w14:textId="77777777" w:rsidR="00800640" w:rsidRPr="00E91559" w:rsidRDefault="00800640" w:rsidP="00167617">
      <w:pPr>
        <w:pStyle w:val="Bulletparagraph"/>
      </w:pPr>
      <w:r w:rsidRPr="00E91559">
        <w:t xml:space="preserve">What </w:t>
      </w:r>
      <w:r>
        <w:t>is</w:t>
      </w:r>
      <w:r w:rsidRPr="00E91559">
        <w:t xml:space="preserve"> the priorit</w:t>
      </w:r>
      <w:r>
        <w:t>y</w:t>
      </w:r>
      <w:r w:rsidRPr="00E91559">
        <w:t xml:space="preserve"> for improvement?</w:t>
      </w:r>
    </w:p>
    <w:p w14:paraId="080DB03D" w14:textId="77777777" w:rsidR="00800640" w:rsidRDefault="00800640" w:rsidP="00167617">
      <w:pPr>
        <w:pStyle w:val="Bulletparagraph"/>
      </w:pPr>
      <w:r w:rsidRPr="00E91559">
        <w:t xml:space="preserve">What </w:t>
      </w:r>
      <w:r>
        <w:t>is</w:t>
      </w:r>
      <w:r w:rsidRPr="00E91559">
        <w:t xml:space="preserve"> the key action that will lead to improvement?</w:t>
      </w:r>
    </w:p>
    <w:p w14:paraId="5601A9B1" w14:textId="140EC63D" w:rsidR="00800640" w:rsidRDefault="00800640" w:rsidP="00167617">
      <w:pPr>
        <w:pStyle w:val="Bulletparagraph"/>
      </w:pPr>
      <w:r w:rsidRPr="00E91559">
        <w:t xml:space="preserve">Could we focus on a specific </w:t>
      </w:r>
      <w:r>
        <w:t>population</w:t>
      </w:r>
      <w:r w:rsidRPr="00E91559">
        <w:t xml:space="preserve"> or setting?</w:t>
      </w:r>
    </w:p>
    <w:p w14:paraId="6BE47E72" w14:textId="77777777" w:rsidR="00800640" w:rsidRPr="00E91559" w:rsidRDefault="00800640" w:rsidP="00167617">
      <w:pPr>
        <w:pStyle w:val="Bulletparagraph"/>
      </w:pPr>
      <w:r w:rsidRPr="00E91559">
        <w:t>Can we develop a specific, measurable statement?</w:t>
      </w:r>
    </w:p>
    <w:p w14:paraId="30E2E019" w14:textId="77777777" w:rsidR="007C551C" w:rsidRPr="00A6218A" w:rsidRDefault="007C551C" w:rsidP="007C551C">
      <w:pPr>
        <w:pStyle w:val="Paragraph"/>
        <w:rPr>
          <w:b/>
          <w:bCs/>
        </w:rPr>
      </w:pPr>
      <w:r w:rsidRPr="00A6218A">
        <w:rPr>
          <w:b/>
          <w:bCs/>
        </w:rPr>
        <w:t>For decision:</w:t>
      </w:r>
    </w:p>
    <w:p w14:paraId="0ABBE166" w14:textId="77777777" w:rsidR="007C551C" w:rsidRDefault="007C551C" w:rsidP="007C551C">
      <w:pPr>
        <w:pStyle w:val="Bulletleft1"/>
      </w:pPr>
      <w:r w:rsidRPr="00624810">
        <w:t>Should this area be prioritised for inclusion in the quality standard?</w:t>
      </w:r>
    </w:p>
    <w:p w14:paraId="5EF63F68" w14:textId="77777777" w:rsidR="00167617" w:rsidRDefault="00167617">
      <w:pPr>
        <w:rPr>
          <w:rFonts w:ascii="Arial" w:hAnsi="Arial" w:cs="Arial"/>
          <w:b/>
          <w:bCs/>
          <w:sz w:val="28"/>
          <w:szCs w:val="28"/>
        </w:rPr>
      </w:pPr>
      <w:r>
        <w:br w:type="page"/>
      </w:r>
    </w:p>
    <w:p w14:paraId="0F0ED7E9" w14:textId="47CE130C" w:rsidR="004510E0" w:rsidRPr="00433117" w:rsidRDefault="00BC5FB5" w:rsidP="00910C02">
      <w:pPr>
        <w:pStyle w:val="Numberedheading2"/>
      </w:pPr>
      <w:bookmarkStart w:id="109" w:name="_Toc141346141"/>
      <w:r w:rsidRPr="00BC5FB5">
        <w:lastRenderedPageBreak/>
        <w:t>Virtual war</w:t>
      </w:r>
      <w:r w:rsidR="00790779">
        <w:t>d</w:t>
      </w:r>
      <w:r w:rsidR="00B952C1">
        <w:t>s:</w:t>
      </w:r>
      <w:r w:rsidRPr="00BC5FB5">
        <w:t xml:space="preserve"> service provision</w:t>
      </w:r>
      <w:bookmarkEnd w:id="109"/>
      <w:r w:rsidRPr="00BC5FB5">
        <w:rPr>
          <w:rStyle w:val="CommentReference"/>
          <w:sz w:val="28"/>
          <w:szCs w:val="28"/>
        </w:rPr>
        <w:t xml:space="preserve"> </w:t>
      </w:r>
    </w:p>
    <w:p w14:paraId="76C7EB25" w14:textId="77777777" w:rsidR="00BC5FB5" w:rsidRDefault="00BC5FB5" w:rsidP="002B32E2">
      <w:pPr>
        <w:pStyle w:val="Heading3"/>
        <w:rPr>
          <w:highlight w:val="green"/>
        </w:rPr>
      </w:pPr>
      <w:r w:rsidRPr="00BC5FB5">
        <w:t>Technology</w:t>
      </w:r>
      <w:r w:rsidRPr="00BC5FB5">
        <w:rPr>
          <w:highlight w:val="green"/>
        </w:rPr>
        <w:t xml:space="preserve"> </w:t>
      </w:r>
    </w:p>
    <w:p w14:paraId="634C8F63" w14:textId="59E51B62" w:rsidR="00BC5FB5" w:rsidRDefault="00A1415B" w:rsidP="00BC5FB5">
      <w:pPr>
        <w:pStyle w:val="Paragraph"/>
      </w:pPr>
      <w:r w:rsidRPr="00A1415B">
        <w:t xml:space="preserve">A </w:t>
      </w:r>
      <w:r>
        <w:t xml:space="preserve">stakeholder suggested that as there are so many different platforms available for virtual wards it would be helpful to highlight requirements for the most </w:t>
      </w:r>
      <w:r w:rsidR="00C4794A">
        <w:t>cost-effective</w:t>
      </w:r>
      <w:r>
        <w:t xml:space="preserve"> physiological monitoring system for people on a virtual ward with acute respiratory infection.</w:t>
      </w:r>
    </w:p>
    <w:p w14:paraId="709444DD" w14:textId="083763A5" w:rsidR="00A1415B" w:rsidRDefault="0067189B" w:rsidP="00BC5FB5">
      <w:pPr>
        <w:pStyle w:val="Paragraph"/>
      </w:pPr>
      <w:r>
        <w:t xml:space="preserve">It was also suggested that digital technology should be used to support the wider use of remote consultations within virtual wards including video calls, messaging, </w:t>
      </w:r>
      <w:proofErr w:type="gramStart"/>
      <w:r>
        <w:t>email</w:t>
      </w:r>
      <w:proofErr w:type="gramEnd"/>
      <w:r>
        <w:t xml:space="preserve"> and telephone calls. This will help to reduce the carbon footprint in healthcare.</w:t>
      </w:r>
    </w:p>
    <w:p w14:paraId="6AAFA8E9" w14:textId="319EB2F9" w:rsidR="00D550D4" w:rsidRPr="00A1415B" w:rsidRDefault="00D550D4" w:rsidP="00BC5FB5">
      <w:pPr>
        <w:pStyle w:val="Paragraph"/>
      </w:pPr>
      <w:r>
        <w:t xml:space="preserve">The importance of ensuring that people admitted to a virtual ward and their </w:t>
      </w:r>
      <w:proofErr w:type="spellStart"/>
      <w:r>
        <w:t>carers</w:t>
      </w:r>
      <w:proofErr w:type="spellEnd"/>
      <w:r>
        <w:t xml:space="preserve"> are supported to use the technology was also highlighted. This should include what to do when th</w:t>
      </w:r>
      <w:r w:rsidR="0074489E">
        <w:t>ings go wrong, or the technology fails in some way.</w:t>
      </w:r>
    </w:p>
    <w:p w14:paraId="0B25C786" w14:textId="2913A74F" w:rsidR="00BC5FB5" w:rsidRDefault="002B32E2" w:rsidP="00BC5FB5">
      <w:pPr>
        <w:pStyle w:val="Heading4"/>
      </w:pPr>
      <w:r w:rsidRPr="002B32E2">
        <w:t>NICE guidance</w:t>
      </w:r>
      <w:r w:rsidR="00BC5FB5" w:rsidRPr="00CD3D03">
        <w:t xml:space="preserve"> </w:t>
      </w:r>
    </w:p>
    <w:p w14:paraId="381E6993" w14:textId="1E1F5337" w:rsidR="0067189B" w:rsidRDefault="001C2C97" w:rsidP="00722672">
      <w:pPr>
        <w:pStyle w:val="Paragraph"/>
      </w:pPr>
      <w:hyperlink r:id="rId54" w:history="1">
        <w:r w:rsidR="00790779">
          <w:rPr>
            <w:rStyle w:val="Hyperlink"/>
          </w:rPr>
          <w:t>NICE’s early value assessment of virtual wards platform technologies for acute respiratory infections</w:t>
        </w:r>
      </w:hyperlink>
      <w:r w:rsidR="00801A6D">
        <w:t xml:space="preserve"> (in development) will outline key considerations and characteristics of the digital platforms.</w:t>
      </w:r>
    </w:p>
    <w:p w14:paraId="06901D45" w14:textId="77777777" w:rsidR="00FE7C32" w:rsidRDefault="001C2C97" w:rsidP="00FE7C32">
      <w:pPr>
        <w:pStyle w:val="Paragraph"/>
      </w:pPr>
      <w:hyperlink r:id="rId55" w:history="1">
        <w:r w:rsidR="00FE7C32" w:rsidRPr="00532C99">
          <w:rPr>
            <w:rStyle w:val="Hyperlink"/>
          </w:rPr>
          <w:t>NICE’s guideline on patient experience in adult NHS services</w:t>
        </w:r>
      </w:hyperlink>
      <w:r w:rsidR="00FE7C32">
        <w:t xml:space="preserve"> (CG138)</w:t>
      </w:r>
    </w:p>
    <w:p w14:paraId="3F5C5104" w14:textId="415F766F" w:rsidR="00800640" w:rsidRDefault="00FE7C32" w:rsidP="00790779">
      <w:pPr>
        <w:pStyle w:val="Paragraph"/>
        <w:rPr>
          <w:rFonts w:cs="Arial"/>
          <w:b/>
          <w:bCs/>
          <w:sz w:val="26"/>
        </w:rPr>
      </w:pPr>
      <w:r>
        <w:t xml:space="preserve">1.5.17 </w:t>
      </w:r>
      <w:r w:rsidRPr="00FE7C32">
        <w:t xml:space="preserve">Give the patient (and/or their family members and carers) information to enable them to use any medicines and equipment correctly. Ensure that the patient and their family members and carers feel adequately informed, </w:t>
      </w:r>
      <w:proofErr w:type="gramStart"/>
      <w:r w:rsidRPr="00FE7C32">
        <w:t>prepared</w:t>
      </w:r>
      <w:proofErr w:type="gramEnd"/>
      <w:r w:rsidRPr="00FE7C32">
        <w:t xml:space="preserve"> and supported to use medicines and equipment and to carry out self-care and self-management.</w:t>
      </w:r>
    </w:p>
    <w:p w14:paraId="43C4C6DC" w14:textId="288632EC" w:rsidR="00BC5FB5" w:rsidRDefault="00BC5FB5" w:rsidP="002B32E2">
      <w:pPr>
        <w:pStyle w:val="Heading3"/>
      </w:pPr>
      <w:r w:rsidRPr="00BC5FB5">
        <w:t>Accessibility</w:t>
      </w:r>
    </w:p>
    <w:p w14:paraId="7FB88F6C" w14:textId="28723F09" w:rsidR="00C4794A" w:rsidRPr="009920D7" w:rsidRDefault="00C85781" w:rsidP="00C4794A">
      <w:pPr>
        <w:pStyle w:val="Paragraph"/>
      </w:pPr>
      <w:r>
        <w:t xml:space="preserve">Stakeholders highlighted the importance of ensuring that virtual wards are widely accessible to people regardless of their age, socioeconomic status, disability etc. There was a particular concern about people who are digitally excluded because they don’t have their own device such as a smartphone. It was suggested that devices and training should be provided so that people can benefit from the virtual ward. Additional support may also be needed to ensure people are not excluded from a virtual ward due to language, cultural </w:t>
      </w:r>
      <w:proofErr w:type="gramStart"/>
      <w:r>
        <w:t>issues</w:t>
      </w:r>
      <w:proofErr w:type="gramEnd"/>
      <w:r>
        <w:t xml:space="preserve"> or a disability such as a learning disability.</w:t>
      </w:r>
    </w:p>
    <w:p w14:paraId="2F81C4E5" w14:textId="16B33371" w:rsidR="00BC5FB5" w:rsidRPr="00B8277D" w:rsidRDefault="00B8277D" w:rsidP="00BC5FB5">
      <w:pPr>
        <w:pStyle w:val="Paragraph"/>
      </w:pPr>
      <w:r w:rsidRPr="00B8277D">
        <w:t>I</w:t>
      </w:r>
      <w:r>
        <w:t xml:space="preserve">t will also be important to ensure that mobile services are available in rural areas to avoid geographical inequalities. </w:t>
      </w:r>
    </w:p>
    <w:p w14:paraId="206B5E05" w14:textId="44BA7D01" w:rsidR="00BC5FB5" w:rsidRPr="00F45FBA" w:rsidRDefault="00790779" w:rsidP="00BC5FB5">
      <w:pPr>
        <w:pStyle w:val="Heading4"/>
      </w:pPr>
      <w:r>
        <w:lastRenderedPageBreak/>
        <w:t>NICE guidance</w:t>
      </w:r>
      <w:r w:rsidR="00BC5FB5" w:rsidRPr="00CD3D03">
        <w:t xml:space="preserve"> </w:t>
      </w:r>
    </w:p>
    <w:p w14:paraId="236AA267" w14:textId="77777777" w:rsidR="009C19FD" w:rsidRDefault="001C2C97" w:rsidP="009C19FD">
      <w:pPr>
        <w:pStyle w:val="Paragraph"/>
      </w:pPr>
      <w:hyperlink r:id="rId56" w:history="1">
        <w:r w:rsidR="009C19FD" w:rsidRPr="00532C99">
          <w:rPr>
            <w:rStyle w:val="Hyperlink"/>
          </w:rPr>
          <w:t>NICE’s guideline on patient experience in adult NHS services</w:t>
        </w:r>
      </w:hyperlink>
      <w:r w:rsidR="009C19FD">
        <w:t xml:space="preserve"> (CG138)</w:t>
      </w:r>
    </w:p>
    <w:p w14:paraId="7D236A8A" w14:textId="2622952F" w:rsidR="00BC5FB5" w:rsidRDefault="009C19FD" w:rsidP="00CE4759">
      <w:pPr>
        <w:pStyle w:val="Paragraph"/>
      </w:pPr>
      <w:r>
        <w:t xml:space="preserve">1.1.2 </w:t>
      </w:r>
      <w:r w:rsidRPr="009C19FD">
        <w:t xml:space="preserve">Ensure that factors such as physical or learning disabilities, sight, speech or hearing problems and difficulties with reading, </w:t>
      </w:r>
      <w:proofErr w:type="gramStart"/>
      <w:r w:rsidRPr="009C19FD">
        <w:t>understanding</w:t>
      </w:r>
      <w:proofErr w:type="gramEnd"/>
      <w:r w:rsidRPr="009C19FD">
        <w:t xml:space="preserve"> or speaking English are addressed so that the patient is able to participate as fully as possible in consultations and care.</w:t>
      </w:r>
    </w:p>
    <w:p w14:paraId="332B24F6" w14:textId="77777777" w:rsidR="00877AF4" w:rsidRDefault="00877AF4" w:rsidP="00877AF4">
      <w:pPr>
        <w:pStyle w:val="Heading4"/>
      </w:pPr>
      <w:r>
        <w:t>Other guidance</w:t>
      </w:r>
    </w:p>
    <w:p w14:paraId="1935B914" w14:textId="77777777" w:rsidR="00877AF4" w:rsidRDefault="001C2C97" w:rsidP="00877AF4">
      <w:pPr>
        <w:pStyle w:val="Paragraph"/>
      </w:pPr>
      <w:hyperlink r:id="rId57" w:history="1">
        <w:r w:rsidR="00877AF4" w:rsidRPr="00BE6F03">
          <w:rPr>
            <w:rStyle w:val="Hyperlink"/>
          </w:rPr>
          <w:t>NHSE Guidance note: Acute respiratory infection virtual ward</w:t>
        </w:r>
      </w:hyperlink>
    </w:p>
    <w:p w14:paraId="6509724E" w14:textId="77777777" w:rsidR="00877AF4" w:rsidRDefault="00877AF4" w:rsidP="00877AF4">
      <w:pPr>
        <w:pStyle w:val="Paragraph"/>
      </w:pPr>
      <w:r>
        <w:t>The patient should additionally be provided with, as a minimum:</w:t>
      </w:r>
    </w:p>
    <w:p w14:paraId="710F3270" w14:textId="39E0CFE8" w:rsidR="00BC5FB5" w:rsidRDefault="00877AF4" w:rsidP="00790779">
      <w:pPr>
        <w:pStyle w:val="Bulletparagraph"/>
      </w:pPr>
      <w:r>
        <w:t>loan of any remote monitoring devices/equipment (which meet relevant ISO and CE approvals), supported by relevant instructions on use</w:t>
      </w:r>
      <w:r w:rsidR="00391FA4">
        <w:t>.</w:t>
      </w:r>
    </w:p>
    <w:p w14:paraId="433F7433" w14:textId="77777777" w:rsidR="00877AF4" w:rsidRDefault="001C2C97" w:rsidP="00877AF4">
      <w:pPr>
        <w:pStyle w:val="Paragraph"/>
      </w:pPr>
      <w:hyperlink r:id="rId58" w:history="1">
        <w:r w:rsidR="00877AF4" w:rsidRPr="00145244">
          <w:rPr>
            <w:rStyle w:val="Hyperlink"/>
            <w:rFonts w:cs="Arial"/>
          </w:rPr>
          <w:t>NHSE/GIRFT Making the most of virtual wards, including Hospital at Home: Practical guidance for clinicians to maximise use of virtual wards for the benefit of patients</w:t>
        </w:r>
      </w:hyperlink>
    </w:p>
    <w:p w14:paraId="1885A82E" w14:textId="77777777" w:rsidR="00877AF4" w:rsidRDefault="00877AF4" w:rsidP="00877AF4">
      <w:pPr>
        <w:pStyle w:val="Paragraph"/>
      </w:pPr>
      <w:r>
        <w:t>Reducing health inequalities</w:t>
      </w:r>
    </w:p>
    <w:p w14:paraId="23335B26" w14:textId="6059862A" w:rsidR="00877AF4" w:rsidRDefault="00877AF4" w:rsidP="00790779">
      <w:pPr>
        <w:pStyle w:val="Bulletparagraph"/>
      </w:pPr>
      <w:r>
        <w:t>Despite COPD being more common in deprived communities COPD services are often less well utilised in these areas, resulting in healthcare and health inequalities.</w:t>
      </w:r>
    </w:p>
    <w:p w14:paraId="262DE781" w14:textId="22DAAE95" w:rsidR="00877AF4" w:rsidRDefault="00877AF4" w:rsidP="00790779">
      <w:pPr>
        <w:pStyle w:val="Bulletparagraph"/>
      </w:pPr>
      <w:r>
        <w:t>ARI VW Leads should promote equity of access to VW services, taking account of known inequalities and likely prevalence to monitor their ARI VW population to ensure it is representative of the local community.</w:t>
      </w:r>
    </w:p>
    <w:p w14:paraId="7E84F5BC" w14:textId="77777777" w:rsidR="00624810" w:rsidRPr="0067426A" w:rsidRDefault="00624810" w:rsidP="00624810">
      <w:pPr>
        <w:pStyle w:val="Numberedheading3"/>
      </w:pPr>
      <w:r w:rsidRPr="0067426A">
        <w:t>Issues for consideration</w:t>
      </w:r>
    </w:p>
    <w:p w14:paraId="4DD4251B" w14:textId="77777777" w:rsidR="00A673EB" w:rsidRDefault="00A673EB" w:rsidP="00A673EB">
      <w:pPr>
        <w:pStyle w:val="Paragraph"/>
        <w:rPr>
          <w:b/>
          <w:bCs/>
        </w:rPr>
      </w:pPr>
      <w:r w:rsidRPr="00A6218A">
        <w:rPr>
          <w:b/>
          <w:bCs/>
        </w:rPr>
        <w:t>For discussion:</w:t>
      </w:r>
    </w:p>
    <w:p w14:paraId="0E3EE87E" w14:textId="77777777" w:rsidR="00800640" w:rsidRDefault="00800640" w:rsidP="00790779">
      <w:pPr>
        <w:pStyle w:val="Bulletparagraph"/>
      </w:pPr>
      <w:r>
        <w:t>Do we have sufficient guidance to support a statement?</w:t>
      </w:r>
    </w:p>
    <w:p w14:paraId="1E69F05C" w14:textId="77777777" w:rsidR="00800640" w:rsidRDefault="00800640" w:rsidP="00790779">
      <w:pPr>
        <w:pStyle w:val="Bulletparagraph"/>
      </w:pPr>
      <w:r>
        <w:t>Is there significant variation in current practice?</w:t>
      </w:r>
    </w:p>
    <w:p w14:paraId="6136B0F1" w14:textId="77777777" w:rsidR="00800640" w:rsidRPr="00E91559" w:rsidRDefault="00800640" w:rsidP="00790779">
      <w:pPr>
        <w:pStyle w:val="Bulletparagraph"/>
      </w:pPr>
      <w:r w:rsidRPr="00E91559">
        <w:t xml:space="preserve">What </w:t>
      </w:r>
      <w:r>
        <w:t>is</w:t>
      </w:r>
      <w:r w:rsidRPr="00E91559">
        <w:t xml:space="preserve"> the priorit</w:t>
      </w:r>
      <w:r>
        <w:t>y</w:t>
      </w:r>
      <w:r w:rsidRPr="00E91559">
        <w:t xml:space="preserve"> for improvement?</w:t>
      </w:r>
    </w:p>
    <w:p w14:paraId="0A2EFE3F" w14:textId="77777777" w:rsidR="00800640" w:rsidRDefault="00800640" w:rsidP="00790779">
      <w:pPr>
        <w:pStyle w:val="Bulletparagraph"/>
      </w:pPr>
      <w:r w:rsidRPr="00E91559">
        <w:t xml:space="preserve">What </w:t>
      </w:r>
      <w:r>
        <w:t>is</w:t>
      </w:r>
      <w:r w:rsidRPr="00E91559">
        <w:t xml:space="preserve"> the key action that will lead to improvement?</w:t>
      </w:r>
    </w:p>
    <w:p w14:paraId="47DC718E" w14:textId="77777777" w:rsidR="00800640" w:rsidRDefault="00800640" w:rsidP="00790779">
      <w:pPr>
        <w:pStyle w:val="Bulletparagraph"/>
      </w:pPr>
      <w:r w:rsidRPr="00E91559">
        <w:t xml:space="preserve">Could we focus on a specific </w:t>
      </w:r>
      <w:r>
        <w:t>population</w:t>
      </w:r>
      <w:r w:rsidRPr="00E91559">
        <w:t xml:space="preserve"> or setting?</w:t>
      </w:r>
    </w:p>
    <w:p w14:paraId="6EFD370A" w14:textId="77777777" w:rsidR="00800640" w:rsidRPr="00E91559" w:rsidRDefault="00800640" w:rsidP="00790779">
      <w:pPr>
        <w:pStyle w:val="Bulletparagraph"/>
      </w:pPr>
      <w:r w:rsidRPr="00E91559">
        <w:t>Can we develop a specific, measurable statement?</w:t>
      </w:r>
    </w:p>
    <w:p w14:paraId="0317A65B" w14:textId="77777777" w:rsidR="00A673EB" w:rsidRPr="00A6218A" w:rsidRDefault="00A673EB" w:rsidP="00A673EB">
      <w:pPr>
        <w:pStyle w:val="Paragraph"/>
        <w:rPr>
          <w:b/>
          <w:bCs/>
        </w:rPr>
      </w:pPr>
      <w:r w:rsidRPr="00A6218A">
        <w:rPr>
          <w:b/>
          <w:bCs/>
        </w:rPr>
        <w:t>For decision:</w:t>
      </w:r>
    </w:p>
    <w:p w14:paraId="3D55AB5A" w14:textId="77777777" w:rsidR="00A673EB" w:rsidRDefault="00A673EB" w:rsidP="00A673EB">
      <w:pPr>
        <w:pStyle w:val="Bulletleft1"/>
      </w:pPr>
      <w:r w:rsidRPr="00624810">
        <w:t>Should this area be prioritised for inclusion in the quality standard?</w:t>
      </w:r>
    </w:p>
    <w:p w14:paraId="1A9B81AD" w14:textId="77777777" w:rsidR="00B86518" w:rsidRPr="00427135" w:rsidRDefault="00B86518" w:rsidP="00A813F7">
      <w:pPr>
        <w:pStyle w:val="Paragraph"/>
      </w:pPr>
      <w:r w:rsidRPr="00427135">
        <w:br w:type="page"/>
      </w:r>
    </w:p>
    <w:p w14:paraId="5ACA9C7E" w14:textId="3FFBD4FD" w:rsidR="00626943" w:rsidRPr="00427135" w:rsidRDefault="00626943" w:rsidP="00427135">
      <w:pPr>
        <w:pStyle w:val="Numberedheading2"/>
      </w:pPr>
      <w:bookmarkStart w:id="110" w:name="_Toc141346142"/>
      <w:r w:rsidRPr="00427135">
        <w:lastRenderedPageBreak/>
        <w:t>Additional areas</w:t>
      </w:r>
      <w:bookmarkEnd w:id="110"/>
      <w:r w:rsidRPr="00427135">
        <w:t xml:space="preserve"> </w:t>
      </w:r>
    </w:p>
    <w:p w14:paraId="29E27507" w14:textId="77777777" w:rsidR="00626943" w:rsidRPr="00E80EE3" w:rsidRDefault="00626943" w:rsidP="00427135">
      <w:pPr>
        <w:pStyle w:val="Heading3"/>
      </w:pPr>
      <w:r w:rsidRPr="00E80EE3">
        <w:t>Summary of suggestions</w:t>
      </w:r>
    </w:p>
    <w:p w14:paraId="6FB04C8E" w14:textId="40B33E4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to establish potential for statement development. </w:t>
      </w:r>
    </w:p>
    <w:p w14:paraId="5975DA92" w14:textId="3229A9B9" w:rsidR="00626943" w:rsidRDefault="00626943" w:rsidP="00427135">
      <w:pPr>
        <w:pStyle w:val="Paragraph"/>
      </w:pPr>
      <w:r w:rsidRPr="00E80EE3">
        <w:t xml:space="preserve">There will be an opportunity for to discuss these areas at the end of the </w:t>
      </w:r>
      <w:r w:rsidR="000F62C5">
        <w:t>working group</w:t>
      </w:r>
      <w:r w:rsidRPr="00E80EE3">
        <w:t>.</w:t>
      </w:r>
    </w:p>
    <w:p w14:paraId="194EFDF7" w14:textId="758AFF34" w:rsidR="00910D5A" w:rsidRDefault="00910D5A" w:rsidP="00F04347">
      <w:pPr>
        <w:pStyle w:val="Caption"/>
      </w:pPr>
      <w:r w:rsidRPr="002C7F94">
        <w:t xml:space="preserve">Table </w:t>
      </w:r>
      <w:r w:rsidR="002C7F94">
        <w:t>2</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3C813FD5" w14:textId="77777777" w:rsidTr="00FB7A2C">
        <w:trPr>
          <w:tblHeader/>
        </w:trPr>
        <w:tc>
          <w:tcPr>
            <w:tcW w:w="2089" w:type="pct"/>
            <w:shd w:val="clear" w:color="auto" w:fill="auto"/>
          </w:tcPr>
          <w:p w14:paraId="0671A7ED" w14:textId="77777777" w:rsidR="00910D5A" w:rsidRPr="00910B42" w:rsidRDefault="00910D5A" w:rsidP="00F04347">
            <w:pPr>
              <w:pStyle w:val="Tabletitle"/>
            </w:pPr>
            <w:r w:rsidRPr="5A137D12">
              <w:t>Suggested area for improvement</w:t>
            </w:r>
          </w:p>
        </w:tc>
        <w:tc>
          <w:tcPr>
            <w:tcW w:w="726" w:type="pct"/>
          </w:tcPr>
          <w:p w14:paraId="5143F59B" w14:textId="77777777" w:rsidR="00910D5A" w:rsidRPr="00910B42" w:rsidRDefault="00910D5A" w:rsidP="00F04347">
            <w:pPr>
              <w:pStyle w:val="Tabletitle"/>
            </w:pPr>
            <w:r>
              <w:t>Within remit of NICE QS</w:t>
            </w:r>
          </w:p>
        </w:tc>
        <w:tc>
          <w:tcPr>
            <w:tcW w:w="730" w:type="pct"/>
          </w:tcPr>
          <w:p w14:paraId="3732123A" w14:textId="77777777" w:rsidR="00910D5A" w:rsidRDefault="00910D5A" w:rsidP="00F04347">
            <w:pPr>
              <w:pStyle w:val="Tabletitle"/>
            </w:pPr>
            <w:r w:rsidRPr="00910B42">
              <w:t>In scope</w:t>
            </w:r>
          </w:p>
          <w:p w14:paraId="16F20986" w14:textId="77777777" w:rsidR="00910D5A" w:rsidRPr="00910B42" w:rsidRDefault="00910D5A" w:rsidP="00F04347">
            <w:pPr>
              <w:pStyle w:val="Tabletitle"/>
            </w:pPr>
          </w:p>
        </w:tc>
        <w:tc>
          <w:tcPr>
            <w:tcW w:w="726" w:type="pct"/>
          </w:tcPr>
          <w:p w14:paraId="5E6413F9" w14:textId="77777777" w:rsidR="00910D5A" w:rsidRPr="00910B42" w:rsidRDefault="00910D5A" w:rsidP="00F04347">
            <w:pPr>
              <w:pStyle w:val="Tabletitle"/>
            </w:pPr>
            <w:r w:rsidRPr="00910B42">
              <w:t>Guideline recs</w:t>
            </w:r>
          </w:p>
        </w:tc>
        <w:tc>
          <w:tcPr>
            <w:tcW w:w="730" w:type="pct"/>
          </w:tcPr>
          <w:p w14:paraId="405F1D6F" w14:textId="77777777" w:rsidR="00910D5A" w:rsidRDefault="00910D5A" w:rsidP="00F04347">
            <w:pPr>
              <w:pStyle w:val="Tabletitle"/>
            </w:pPr>
            <w:r>
              <w:t xml:space="preserve">Relevant </w:t>
            </w:r>
          </w:p>
          <w:p w14:paraId="1BF90D55" w14:textId="77777777" w:rsidR="00910D5A" w:rsidRPr="00910B42" w:rsidRDefault="00910D5A" w:rsidP="00F04347">
            <w:pPr>
              <w:pStyle w:val="Tabletitle"/>
            </w:pPr>
            <w:r>
              <w:t>e</w:t>
            </w:r>
            <w:r w:rsidRPr="00910B42">
              <w:t xml:space="preserve">xisting QS </w:t>
            </w:r>
          </w:p>
        </w:tc>
      </w:tr>
      <w:tr w:rsidR="00910D5A" w:rsidRPr="00910B42" w14:paraId="42A23078" w14:textId="77777777" w:rsidTr="00FB7A2C">
        <w:trPr>
          <w:trHeight w:val="382"/>
        </w:trPr>
        <w:tc>
          <w:tcPr>
            <w:tcW w:w="2089" w:type="pct"/>
            <w:tcBorders>
              <w:top w:val="single" w:sz="4" w:space="0" w:color="auto"/>
              <w:left w:val="single" w:sz="4" w:space="0" w:color="auto"/>
              <w:right w:val="single" w:sz="4" w:space="0" w:color="auto"/>
            </w:tcBorders>
            <w:shd w:val="clear" w:color="auto" w:fill="auto"/>
          </w:tcPr>
          <w:p w14:paraId="457AB2EF" w14:textId="3FD43D31" w:rsidR="00910D5A" w:rsidRPr="00910B42" w:rsidRDefault="0092389E" w:rsidP="00F04347">
            <w:pPr>
              <w:pStyle w:val="Tabletext"/>
            </w:pPr>
            <w:r>
              <w:t>Staffing and training</w:t>
            </w:r>
          </w:p>
        </w:tc>
        <w:tc>
          <w:tcPr>
            <w:tcW w:w="726" w:type="pct"/>
          </w:tcPr>
          <w:p w14:paraId="0F2F4B86" w14:textId="2C889F7A" w:rsidR="00910D5A" w:rsidRPr="0092389E" w:rsidRDefault="0092389E" w:rsidP="00F04347">
            <w:pPr>
              <w:pStyle w:val="Tabletext"/>
            </w:pPr>
            <w:r w:rsidRPr="0092389E">
              <w:t>No</w:t>
            </w:r>
          </w:p>
        </w:tc>
        <w:tc>
          <w:tcPr>
            <w:tcW w:w="730" w:type="pct"/>
          </w:tcPr>
          <w:p w14:paraId="24711F36" w14:textId="52CF915C" w:rsidR="00910D5A" w:rsidRPr="0092389E" w:rsidRDefault="0092389E" w:rsidP="00F04347">
            <w:pPr>
              <w:pStyle w:val="Tabletext"/>
            </w:pPr>
            <w:r>
              <w:t>No</w:t>
            </w:r>
          </w:p>
        </w:tc>
        <w:tc>
          <w:tcPr>
            <w:tcW w:w="726" w:type="pct"/>
          </w:tcPr>
          <w:p w14:paraId="22C711B1" w14:textId="3D2793CD" w:rsidR="00910D5A" w:rsidRPr="0092389E" w:rsidRDefault="0092389E" w:rsidP="00F04347">
            <w:pPr>
              <w:pStyle w:val="Tabletext"/>
            </w:pPr>
            <w:r>
              <w:t>No</w:t>
            </w:r>
          </w:p>
        </w:tc>
        <w:tc>
          <w:tcPr>
            <w:tcW w:w="730" w:type="pct"/>
          </w:tcPr>
          <w:p w14:paraId="49FE7A2F" w14:textId="14475473" w:rsidR="00910D5A" w:rsidRPr="0092389E" w:rsidRDefault="0092389E" w:rsidP="00F04347">
            <w:pPr>
              <w:pStyle w:val="Tabletext"/>
            </w:pPr>
            <w:r>
              <w:t>No</w:t>
            </w:r>
          </w:p>
        </w:tc>
      </w:tr>
      <w:tr w:rsidR="00910D5A" w:rsidRPr="00910B42" w14:paraId="20E4D7B0" w14:textId="77777777" w:rsidTr="00FB7A2C">
        <w:trPr>
          <w:trHeight w:val="382"/>
        </w:trPr>
        <w:tc>
          <w:tcPr>
            <w:tcW w:w="2089" w:type="pct"/>
            <w:tcBorders>
              <w:top w:val="single" w:sz="4" w:space="0" w:color="auto"/>
              <w:left w:val="single" w:sz="4" w:space="0" w:color="auto"/>
              <w:right w:val="single" w:sz="4" w:space="0" w:color="auto"/>
            </w:tcBorders>
            <w:shd w:val="clear" w:color="auto" w:fill="auto"/>
          </w:tcPr>
          <w:p w14:paraId="632A4BCD" w14:textId="32B5B0FA" w:rsidR="00910D5A" w:rsidRPr="00910B42" w:rsidRDefault="00074C86" w:rsidP="00F04347">
            <w:pPr>
              <w:pStyle w:val="Tabletext"/>
            </w:pPr>
            <w:r w:rsidRPr="00074C86">
              <w:t>Surveillance of circulating pathogens</w:t>
            </w:r>
          </w:p>
        </w:tc>
        <w:tc>
          <w:tcPr>
            <w:tcW w:w="726" w:type="pct"/>
          </w:tcPr>
          <w:p w14:paraId="68AADA00" w14:textId="46EF994E" w:rsidR="00910D5A" w:rsidRPr="00910B42" w:rsidRDefault="00074C86" w:rsidP="00F04347">
            <w:pPr>
              <w:pStyle w:val="Tabletext"/>
            </w:pPr>
            <w:r>
              <w:t>No</w:t>
            </w:r>
          </w:p>
        </w:tc>
        <w:tc>
          <w:tcPr>
            <w:tcW w:w="730" w:type="pct"/>
          </w:tcPr>
          <w:p w14:paraId="7D7A2CBB" w14:textId="7B4067BD" w:rsidR="00910D5A" w:rsidRPr="00910B42" w:rsidRDefault="00074C86" w:rsidP="00F04347">
            <w:pPr>
              <w:pStyle w:val="Tabletext"/>
            </w:pPr>
            <w:r>
              <w:t>Yes</w:t>
            </w:r>
          </w:p>
        </w:tc>
        <w:tc>
          <w:tcPr>
            <w:tcW w:w="726" w:type="pct"/>
          </w:tcPr>
          <w:p w14:paraId="5312F001" w14:textId="5489E8E6" w:rsidR="00910D5A" w:rsidRPr="00910B42" w:rsidRDefault="00074C86" w:rsidP="00F04347">
            <w:pPr>
              <w:pStyle w:val="Tabletext"/>
            </w:pPr>
            <w:r>
              <w:t>No</w:t>
            </w:r>
          </w:p>
        </w:tc>
        <w:tc>
          <w:tcPr>
            <w:tcW w:w="730" w:type="pct"/>
          </w:tcPr>
          <w:p w14:paraId="188E29C3" w14:textId="4C76AB9E" w:rsidR="00910D5A" w:rsidRPr="00910B42" w:rsidRDefault="00074C86" w:rsidP="00F04347">
            <w:pPr>
              <w:pStyle w:val="Tabletext"/>
            </w:pPr>
            <w:r>
              <w:t>No</w:t>
            </w:r>
          </w:p>
        </w:tc>
      </w:tr>
      <w:tr w:rsidR="00910D5A" w:rsidRPr="00910B42" w14:paraId="637C802C" w14:textId="77777777" w:rsidTr="00962AB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0633371C" w14:textId="4E297282" w:rsidR="00910D5A" w:rsidRPr="00962ABD" w:rsidRDefault="00074C86" w:rsidP="00F04347">
            <w:pPr>
              <w:pStyle w:val="Tabletext"/>
            </w:pPr>
            <w:r w:rsidRPr="00962ABD">
              <w:t>Death</w:t>
            </w:r>
            <w:r w:rsidR="00962ABD">
              <w:t xml:space="preserve"> on a virtual ward</w:t>
            </w:r>
            <w:r w:rsidRPr="00962ABD">
              <w:t xml:space="preserve"> </w:t>
            </w:r>
          </w:p>
        </w:tc>
        <w:tc>
          <w:tcPr>
            <w:tcW w:w="726" w:type="pct"/>
          </w:tcPr>
          <w:p w14:paraId="75D5DB2D" w14:textId="7E9D7DAE" w:rsidR="00910D5A" w:rsidRPr="00910B42" w:rsidRDefault="00962ABD" w:rsidP="00F04347">
            <w:pPr>
              <w:pStyle w:val="Tabletext"/>
            </w:pPr>
            <w:r>
              <w:t>Yes</w:t>
            </w:r>
          </w:p>
        </w:tc>
        <w:tc>
          <w:tcPr>
            <w:tcW w:w="730" w:type="pct"/>
          </w:tcPr>
          <w:p w14:paraId="28463B6B" w14:textId="0CE88E37" w:rsidR="00910D5A" w:rsidRPr="00910B42" w:rsidRDefault="00962ABD" w:rsidP="00F04347">
            <w:pPr>
              <w:pStyle w:val="Tabletext"/>
            </w:pPr>
            <w:r>
              <w:t>Yes</w:t>
            </w:r>
          </w:p>
        </w:tc>
        <w:tc>
          <w:tcPr>
            <w:tcW w:w="726" w:type="pct"/>
          </w:tcPr>
          <w:p w14:paraId="29624B45" w14:textId="5590E6C8" w:rsidR="00910D5A" w:rsidRPr="00910B42" w:rsidRDefault="00962ABD" w:rsidP="00F04347">
            <w:pPr>
              <w:pStyle w:val="Tabletext"/>
            </w:pPr>
            <w:r>
              <w:t>No</w:t>
            </w:r>
          </w:p>
        </w:tc>
        <w:tc>
          <w:tcPr>
            <w:tcW w:w="730" w:type="pct"/>
          </w:tcPr>
          <w:p w14:paraId="3AEE4FE9" w14:textId="1BB3E88A" w:rsidR="00910D5A" w:rsidRPr="00910B42" w:rsidRDefault="00962ABD" w:rsidP="00F04347">
            <w:pPr>
              <w:pStyle w:val="Tabletext"/>
            </w:pPr>
            <w:r>
              <w:t>No</w:t>
            </w:r>
          </w:p>
        </w:tc>
      </w:tr>
      <w:tr w:rsidR="00962ABD" w:rsidRPr="00910B42" w14:paraId="518BB703" w14:textId="77777777" w:rsidTr="00962AB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206DA487" w14:textId="6A7CF376" w:rsidR="00962ABD" w:rsidRPr="00962ABD" w:rsidRDefault="00962ABD" w:rsidP="00F04347">
            <w:pPr>
              <w:pStyle w:val="Tabletext"/>
            </w:pPr>
            <w:r w:rsidRPr="00962ABD">
              <w:t>Oxygen in the community</w:t>
            </w:r>
          </w:p>
        </w:tc>
        <w:tc>
          <w:tcPr>
            <w:tcW w:w="726" w:type="pct"/>
          </w:tcPr>
          <w:p w14:paraId="294D9D45" w14:textId="55F2E003" w:rsidR="00962ABD" w:rsidRDefault="00962ABD" w:rsidP="00F04347">
            <w:pPr>
              <w:pStyle w:val="Tabletext"/>
            </w:pPr>
            <w:r>
              <w:t>Yes</w:t>
            </w:r>
          </w:p>
        </w:tc>
        <w:tc>
          <w:tcPr>
            <w:tcW w:w="730" w:type="pct"/>
          </w:tcPr>
          <w:p w14:paraId="21972BD2" w14:textId="618A6DC7" w:rsidR="00962ABD" w:rsidRDefault="00962ABD" w:rsidP="00F04347">
            <w:pPr>
              <w:pStyle w:val="Tabletext"/>
            </w:pPr>
            <w:r>
              <w:t>Yes</w:t>
            </w:r>
          </w:p>
        </w:tc>
        <w:tc>
          <w:tcPr>
            <w:tcW w:w="726" w:type="pct"/>
          </w:tcPr>
          <w:p w14:paraId="3F78E344" w14:textId="6AF812E0" w:rsidR="00962ABD" w:rsidRDefault="00962ABD" w:rsidP="00F04347">
            <w:pPr>
              <w:pStyle w:val="Tabletext"/>
            </w:pPr>
            <w:r>
              <w:t>No</w:t>
            </w:r>
          </w:p>
        </w:tc>
        <w:tc>
          <w:tcPr>
            <w:tcW w:w="730" w:type="pct"/>
          </w:tcPr>
          <w:p w14:paraId="1BB38897" w14:textId="7028E209" w:rsidR="00962ABD" w:rsidRDefault="00962ABD" w:rsidP="00F04347">
            <w:pPr>
              <w:pStyle w:val="Tabletext"/>
            </w:pPr>
            <w:r>
              <w:t>No</w:t>
            </w:r>
          </w:p>
        </w:tc>
      </w:tr>
      <w:tr w:rsidR="00962ABD" w:rsidRPr="00910B42" w14:paraId="688CE8AA" w14:textId="77777777" w:rsidTr="00FB7A2C">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4A48010F" w14:textId="449DE2DB" w:rsidR="00962ABD" w:rsidRPr="00962ABD" w:rsidRDefault="00AF06E8" w:rsidP="00F04347">
            <w:pPr>
              <w:pStyle w:val="Tabletext"/>
            </w:pPr>
            <w:r w:rsidRPr="00AF06E8">
              <w:t>COPD hospital discharge care bundle</w:t>
            </w:r>
          </w:p>
        </w:tc>
        <w:tc>
          <w:tcPr>
            <w:tcW w:w="726" w:type="pct"/>
            <w:tcBorders>
              <w:bottom w:val="single" w:sz="4" w:space="0" w:color="auto"/>
            </w:tcBorders>
          </w:tcPr>
          <w:p w14:paraId="475D808E" w14:textId="1BB7CC5D" w:rsidR="00962ABD" w:rsidRDefault="00AF06E8" w:rsidP="00F04347">
            <w:pPr>
              <w:pStyle w:val="Tabletext"/>
            </w:pPr>
            <w:r>
              <w:t>Yes</w:t>
            </w:r>
          </w:p>
        </w:tc>
        <w:tc>
          <w:tcPr>
            <w:tcW w:w="730" w:type="pct"/>
            <w:tcBorders>
              <w:bottom w:val="single" w:sz="4" w:space="0" w:color="auto"/>
            </w:tcBorders>
          </w:tcPr>
          <w:p w14:paraId="691994D6" w14:textId="691237D6" w:rsidR="00962ABD" w:rsidRDefault="00032031" w:rsidP="00F04347">
            <w:pPr>
              <w:pStyle w:val="Tabletext"/>
            </w:pPr>
            <w:r>
              <w:t>Yes</w:t>
            </w:r>
          </w:p>
        </w:tc>
        <w:tc>
          <w:tcPr>
            <w:tcW w:w="726" w:type="pct"/>
            <w:tcBorders>
              <w:bottom w:val="single" w:sz="4" w:space="0" w:color="auto"/>
            </w:tcBorders>
          </w:tcPr>
          <w:p w14:paraId="156FBA00" w14:textId="30FCA42D" w:rsidR="00962ABD" w:rsidRDefault="00AF06E8" w:rsidP="00F04347">
            <w:pPr>
              <w:pStyle w:val="Tabletext"/>
            </w:pPr>
            <w:r>
              <w:t>Yes</w:t>
            </w:r>
          </w:p>
        </w:tc>
        <w:tc>
          <w:tcPr>
            <w:tcW w:w="730" w:type="pct"/>
            <w:tcBorders>
              <w:bottom w:val="single" w:sz="4" w:space="0" w:color="auto"/>
            </w:tcBorders>
          </w:tcPr>
          <w:p w14:paraId="7A3F46D2" w14:textId="124577DD" w:rsidR="00962ABD" w:rsidRDefault="00AF06E8" w:rsidP="00F04347">
            <w:pPr>
              <w:pStyle w:val="Tabletext"/>
            </w:pPr>
            <w:r>
              <w:t>Yes</w:t>
            </w:r>
          </w:p>
        </w:tc>
      </w:tr>
    </w:tbl>
    <w:p w14:paraId="5FF3F3F2" w14:textId="3917F4F6" w:rsidR="007C6EB9" w:rsidRPr="00440A71" w:rsidRDefault="00440A71" w:rsidP="00440A71">
      <w:pPr>
        <w:pStyle w:val="Heading3"/>
      </w:pPr>
      <w:bookmarkStart w:id="111" w:name="_Toc404063922"/>
      <w:bookmarkStart w:id="112" w:name="_Toc404587493"/>
      <w:bookmarkStart w:id="113" w:name="_Toc432164930"/>
      <w:bookmarkStart w:id="114" w:name="_Toc467141920"/>
      <w:bookmarkStart w:id="115" w:name="_Toc467141971"/>
      <w:r w:rsidRPr="00440A71">
        <w:t>Staff</w:t>
      </w:r>
      <w:r>
        <w:t>ing</w:t>
      </w:r>
      <w:r w:rsidRPr="00440A71">
        <w:t xml:space="preserve"> and training</w:t>
      </w:r>
    </w:p>
    <w:p w14:paraId="0806F53C" w14:textId="006941BF" w:rsidR="00440A71" w:rsidRPr="0092389E" w:rsidRDefault="0092389E" w:rsidP="00440A71">
      <w:pPr>
        <w:pStyle w:val="Paragraph"/>
      </w:pPr>
      <w:r w:rsidRPr="0092389E">
        <w:t>Stake</w:t>
      </w:r>
      <w:r>
        <w:t xml:space="preserve">holders highlighted that it is a priority to ensure that respiratory-experienced staff are involved in service design and delivery. This should include having a pneumonia lead and a trained workforce to support respiratory infections including pneumonia. It is important that staff who are triaging people to an ARI service are appropriately trained. </w:t>
      </w:r>
    </w:p>
    <w:p w14:paraId="6D5A8540" w14:textId="7D8F8AF2" w:rsidR="00440A71" w:rsidRDefault="0092389E" w:rsidP="00440A71">
      <w:pPr>
        <w:pStyle w:val="Paragraph"/>
      </w:pPr>
      <w:r w:rsidRPr="0092389E">
        <w:t xml:space="preserve">Quality statements focus on actions that demonstrate high quality care or support, not the training </w:t>
      </w:r>
      <w:r>
        <w:t xml:space="preserve">or staffing </w:t>
      </w:r>
      <w:r w:rsidRPr="0092389E">
        <w:t xml:space="preserve">that enables the actions to take place. The </w:t>
      </w:r>
      <w:r w:rsidR="000F62C5">
        <w:t>group</w:t>
      </w:r>
      <w:r w:rsidRPr="0092389E">
        <w:t xml:space="preserve"> should consider which </w:t>
      </w:r>
      <w:r w:rsidR="000F62C5">
        <w:t>elements</w:t>
      </w:r>
      <w:r w:rsidRPr="0092389E">
        <w:t xml:space="preserve"> of care and support would be improved </w:t>
      </w:r>
      <w:r w:rsidR="000F62C5">
        <w:t xml:space="preserve">through </w:t>
      </w:r>
      <w:r>
        <w:t>staffing and training.</w:t>
      </w:r>
    </w:p>
    <w:p w14:paraId="2B85E779" w14:textId="094C0300" w:rsidR="0092389E" w:rsidRDefault="0092389E" w:rsidP="0092389E">
      <w:pPr>
        <w:pStyle w:val="Heading3"/>
      </w:pPr>
      <w:r w:rsidRPr="0092389E">
        <w:t>Surveillance of circulating pathogens</w:t>
      </w:r>
    </w:p>
    <w:p w14:paraId="790124F9" w14:textId="67BE08E7" w:rsidR="0092389E" w:rsidRDefault="00D02147" w:rsidP="00D02147">
      <w:pPr>
        <w:pStyle w:val="Paragraph"/>
      </w:pPr>
      <w:r>
        <w:t>It was suggested that systems and processes are needed to support surveillance and clinician awareness of circulating pathogens. Currently a lack of awareness can lead to unnecessary treatment and escalation of care.</w:t>
      </w:r>
    </w:p>
    <w:p w14:paraId="41DE5977" w14:textId="1CD5747F" w:rsidR="00E9784F" w:rsidRDefault="00ED3276" w:rsidP="00A813F7">
      <w:pPr>
        <w:pStyle w:val="Paragraph"/>
      </w:pPr>
      <w:r>
        <w:lastRenderedPageBreak/>
        <w:t xml:space="preserve">Quality standards </w:t>
      </w:r>
      <w:bookmarkEnd w:id="111"/>
      <w:bookmarkEnd w:id="112"/>
      <w:bookmarkEnd w:id="113"/>
      <w:bookmarkEnd w:id="114"/>
      <w:bookmarkEnd w:id="115"/>
      <w:r w:rsidRPr="00ED3276">
        <w:t xml:space="preserve">focus on areas for quality improvement that can be addressed by local commissioners. </w:t>
      </w:r>
      <w:r w:rsidR="0059020C">
        <w:t>We assume surveillance would need to be across a larger area to be effective.</w:t>
      </w:r>
    </w:p>
    <w:p w14:paraId="1F6E3136" w14:textId="198B7059" w:rsidR="00074C86" w:rsidRDefault="00074C86" w:rsidP="00074C86">
      <w:pPr>
        <w:pStyle w:val="Heading3"/>
      </w:pPr>
      <w:r>
        <w:t>Death on a virtual ward</w:t>
      </w:r>
    </w:p>
    <w:p w14:paraId="6DB32BAD" w14:textId="6B19CE03" w:rsidR="00074C86" w:rsidRDefault="00074C86" w:rsidP="00A813F7">
      <w:pPr>
        <w:pStyle w:val="Paragraph"/>
      </w:pPr>
      <w:r>
        <w:t>It was suggested that national guidance on managing death on a virtual ward is needed, particularly in relation to certifying a death.</w:t>
      </w:r>
      <w:r w:rsidR="009B5C33">
        <w:t xml:space="preserve"> </w:t>
      </w:r>
      <w:r w:rsidRPr="00074C86">
        <w:t>This area has not been progressed because additional guidance is outside of the remit of quality standards. Suggestions for additional guidance will be passed on to the NICE centre for guidelines</w:t>
      </w:r>
      <w:r>
        <w:t>.</w:t>
      </w:r>
    </w:p>
    <w:p w14:paraId="66936BC2" w14:textId="21F15199" w:rsidR="00074C86" w:rsidRDefault="00074C86" w:rsidP="00074C86">
      <w:pPr>
        <w:pStyle w:val="Heading3"/>
      </w:pPr>
      <w:r>
        <w:t>Oxygen in the community</w:t>
      </w:r>
    </w:p>
    <w:p w14:paraId="589A6975" w14:textId="5F9FAF28" w:rsidR="00962ABD" w:rsidRDefault="00962ABD" w:rsidP="00A813F7">
      <w:pPr>
        <w:pStyle w:val="Paragraph"/>
      </w:pPr>
      <w:r>
        <w:t xml:space="preserve">Evidence </w:t>
      </w:r>
      <w:r w:rsidR="003A773E">
        <w:t xml:space="preserve">was provided </w:t>
      </w:r>
      <w:r>
        <w:t>from a small study on the provision of oxygen therapy at home.</w:t>
      </w:r>
      <w:r w:rsidR="003A773E">
        <w:t xml:space="preserve"> </w:t>
      </w:r>
      <w:r>
        <w:t>Quality standards do not evaluate new evidence. This information will be passed on to the NICE centre for guidelines.</w:t>
      </w:r>
    </w:p>
    <w:p w14:paraId="6D5B7B72" w14:textId="652C8CF5" w:rsidR="00962ABD" w:rsidRDefault="00962ABD" w:rsidP="00962ABD">
      <w:pPr>
        <w:pStyle w:val="Heading3"/>
      </w:pPr>
      <w:r>
        <w:t>COPD hospital discharge care bundle</w:t>
      </w:r>
    </w:p>
    <w:p w14:paraId="462C75E7" w14:textId="5067941A" w:rsidR="00074C86" w:rsidRDefault="00962ABD" w:rsidP="00A813F7">
      <w:pPr>
        <w:pStyle w:val="Paragraph"/>
      </w:pPr>
      <w:r>
        <w:t xml:space="preserve">It was suggested that the British Thoracic Society COPD hospital discharge bundle should be extended to include those people managed on a virtual ward. It was suggested that the national </w:t>
      </w:r>
      <w:r w:rsidR="006C3E21">
        <w:t xml:space="preserve">asthma and COPD </w:t>
      </w:r>
      <w:r>
        <w:t>audit</w:t>
      </w:r>
      <w:r w:rsidR="006C3E21">
        <w:t xml:space="preserve"> programme should be extended to include virtual wards to collect data on the discharge care bundle.</w:t>
      </w:r>
    </w:p>
    <w:p w14:paraId="75ECCD59" w14:textId="65652B98" w:rsidR="006C3E21" w:rsidRPr="00A813F7" w:rsidRDefault="006C3E21" w:rsidP="00A813F7">
      <w:pPr>
        <w:pStyle w:val="Paragraph"/>
      </w:pPr>
      <w:r>
        <w:t>NICE’s quality standard on chronic obstructive pulmonary disease (QS10) is currently being updated to include a new statement on hospital discharge care bundle. We have asked them to consider if virtual wards can be included.</w:t>
      </w:r>
    </w:p>
    <w:p w14:paraId="0A1B0CC4" w14:textId="63456012" w:rsidR="008D5584" w:rsidRPr="00E80EE3" w:rsidRDefault="008D5584" w:rsidP="00A813F7">
      <w:pPr>
        <w:pStyle w:val="Paragraph"/>
      </w:pPr>
      <w:r w:rsidRPr="00A813F7">
        <w:t xml:space="preserve">© NICE </w:t>
      </w:r>
      <w:r w:rsidR="00440A71">
        <w:t>2023</w:t>
      </w:r>
      <w:r w:rsidRPr="00A813F7">
        <w:t xml:space="preserve">. All rights reserved. </w:t>
      </w:r>
      <w:r w:rsidR="008A5E6E" w:rsidRPr="00A813F7">
        <w:t xml:space="preserve">Subject to </w:t>
      </w:r>
      <w:hyperlink r:id="rId59" w:anchor="notice-of-rights" w:history="1">
        <w:r w:rsidR="008A5E6E">
          <w:rPr>
            <w:rStyle w:val="Hyperlink"/>
            <w:rFonts w:cs="Arial"/>
          </w:rPr>
          <w:t>Notice of rights</w:t>
        </w:r>
      </w:hyperlink>
      <w:r w:rsidRPr="00A813F7">
        <w:t>.</w:t>
      </w:r>
    </w:p>
    <w:p w14:paraId="4AC56935" w14:textId="77777777" w:rsidR="00F20713" w:rsidRDefault="000E401D" w:rsidP="00993F21">
      <w:pPr>
        <w:pStyle w:val="Heading1"/>
      </w:pPr>
      <w:bookmarkStart w:id="116" w:name="_Appendix_1:_Additional"/>
      <w:bookmarkEnd w:id="116"/>
      <w:r>
        <w:br w:type="page"/>
      </w:r>
      <w:bookmarkStart w:id="117" w:name="_Toc141346143"/>
      <w:r w:rsidR="00F20713" w:rsidRPr="00F20713">
        <w:lastRenderedPageBreak/>
        <w:t>Appendix 1</w:t>
      </w:r>
      <w:r w:rsidR="0001392D">
        <w:t xml:space="preserve">: </w:t>
      </w:r>
      <w:r w:rsidR="00F77659" w:rsidRPr="00296096">
        <w:t>Additional</w:t>
      </w:r>
      <w:r w:rsidR="00F77659">
        <w:t xml:space="preserve"> information</w:t>
      </w:r>
      <w:bookmarkEnd w:id="117"/>
    </w:p>
    <w:p w14:paraId="0D16A533" w14:textId="34C8833B" w:rsidR="0077097B" w:rsidRDefault="00AA50F3" w:rsidP="003F1576">
      <w:pPr>
        <w:rPr>
          <w:rFonts w:ascii="Arial" w:hAnsi="Arial"/>
        </w:rPr>
      </w:pPr>
      <w:r>
        <w:rPr>
          <w:rFonts w:ascii="Arial" w:hAnsi="Arial"/>
        </w:rPr>
        <w:t>Figure 1: Illustrative example of acute respiratory infection pathway (</w:t>
      </w:r>
      <w:hyperlink r:id="rId60" w:history="1">
        <w:r w:rsidRPr="00AA50F3">
          <w:rPr>
            <w:rStyle w:val="Hyperlink"/>
            <w:rFonts w:ascii="Arial" w:hAnsi="Arial"/>
          </w:rPr>
          <w:t>NHSE combined adult and paediatric acute respiratory infection (ARI) hubs (previously RCAS hubs)</w:t>
        </w:r>
      </w:hyperlink>
      <w:r>
        <w:rPr>
          <w:rFonts w:ascii="Arial" w:hAnsi="Arial"/>
        </w:rPr>
        <w:t>)</w:t>
      </w:r>
    </w:p>
    <w:p w14:paraId="3BB91F53" w14:textId="77777777" w:rsidR="0077097B" w:rsidRDefault="0077097B" w:rsidP="003F1576">
      <w:pPr>
        <w:rPr>
          <w:rFonts w:ascii="Arial" w:hAnsi="Arial"/>
        </w:rPr>
      </w:pPr>
    </w:p>
    <w:p w14:paraId="1F638C2D" w14:textId="65B97654" w:rsidR="0077097B" w:rsidRDefault="00AA50F3" w:rsidP="003F1576">
      <w:pPr>
        <w:rPr>
          <w:rFonts w:ascii="Arial" w:hAnsi="Arial"/>
        </w:rPr>
      </w:pPr>
      <w:r w:rsidRPr="00AA50F3">
        <w:rPr>
          <w:rFonts w:ascii="Arial" w:hAnsi="Arial"/>
          <w:noProof/>
        </w:rPr>
        <w:drawing>
          <wp:inline distT="0" distB="0" distL="0" distR="0" wp14:anchorId="16FD6210" wp14:editId="11A7C8B9">
            <wp:extent cx="5068007" cy="3486637"/>
            <wp:effectExtent l="0" t="0" r="0" b="0"/>
            <wp:docPr id="3" name="Picture 3" descr="A flowchart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flowchart of a patient&#10;&#10;Description automatically generated"/>
                    <pic:cNvPicPr/>
                  </pic:nvPicPr>
                  <pic:blipFill>
                    <a:blip r:embed="rId61"/>
                    <a:stretch>
                      <a:fillRect/>
                    </a:stretch>
                  </pic:blipFill>
                  <pic:spPr>
                    <a:xfrm>
                      <a:off x="0" y="0"/>
                      <a:ext cx="5068007" cy="3486637"/>
                    </a:xfrm>
                    <a:prstGeom prst="rect">
                      <a:avLst/>
                    </a:prstGeom>
                  </pic:spPr>
                </pic:pic>
              </a:graphicData>
            </a:graphic>
          </wp:inline>
        </w:drawing>
      </w:r>
    </w:p>
    <w:p w14:paraId="6EC903D1" w14:textId="77777777" w:rsidR="0077097B" w:rsidRDefault="0077097B" w:rsidP="003F1576">
      <w:pPr>
        <w:rPr>
          <w:rFonts w:ascii="Arial" w:hAnsi="Arial"/>
        </w:rPr>
      </w:pPr>
    </w:p>
    <w:p w14:paraId="3D4667C9" w14:textId="77777777" w:rsidR="0077097B" w:rsidRDefault="0077097B" w:rsidP="003F1576">
      <w:pPr>
        <w:rPr>
          <w:rFonts w:ascii="Arial" w:hAnsi="Arial"/>
        </w:rPr>
      </w:pPr>
    </w:p>
    <w:p w14:paraId="7ABAC68B" w14:textId="5E98B74D" w:rsidR="003F1576" w:rsidRPr="003F1576" w:rsidRDefault="003F1576" w:rsidP="003F1576">
      <w:pPr>
        <w:rPr>
          <w:rFonts w:ascii="Arial" w:hAnsi="Arial"/>
        </w:rPr>
      </w:pPr>
      <w:r w:rsidRPr="003F1576">
        <w:rPr>
          <w:rFonts w:ascii="Arial" w:hAnsi="Arial"/>
        </w:rPr>
        <w:t>F</w:t>
      </w:r>
      <w:r>
        <w:rPr>
          <w:rFonts w:ascii="Arial" w:hAnsi="Arial"/>
        </w:rPr>
        <w:t xml:space="preserve">igure </w:t>
      </w:r>
      <w:r w:rsidR="00AA50F3">
        <w:rPr>
          <w:rFonts w:ascii="Arial" w:hAnsi="Arial"/>
        </w:rPr>
        <w:t>2</w:t>
      </w:r>
      <w:r>
        <w:rPr>
          <w:rFonts w:ascii="Arial" w:hAnsi="Arial"/>
        </w:rPr>
        <w:t>: Acute respiratory infection virtual ward pathway (</w:t>
      </w:r>
      <w:hyperlink r:id="rId62" w:history="1">
        <w:r w:rsidRPr="003F1576">
          <w:rPr>
            <w:rStyle w:val="Hyperlink"/>
            <w:rFonts w:ascii="Arial" w:hAnsi="Arial"/>
          </w:rPr>
          <w:t>NHSE guidance on acute respiratory infection virtual ward</w:t>
        </w:r>
      </w:hyperlink>
      <w:r>
        <w:rPr>
          <w:rFonts w:ascii="Arial" w:hAnsi="Arial"/>
        </w:rPr>
        <w:t>)</w:t>
      </w:r>
    </w:p>
    <w:p w14:paraId="6752181D" w14:textId="0098E819" w:rsidR="00292494" w:rsidRPr="00E87C9E" w:rsidRDefault="003F1576">
      <w:r w:rsidRPr="003F1576">
        <w:rPr>
          <w:noProof/>
        </w:rPr>
        <w:drawing>
          <wp:inline distT="0" distB="0" distL="0" distR="0" wp14:anchorId="4E486C96" wp14:editId="02A9DA73">
            <wp:extent cx="6343945" cy="3415862"/>
            <wp:effectExtent l="0" t="0" r="0" b="0"/>
            <wp:docPr id="1" name="Picture 1" descr="A diagram of a patient's cond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patient's condition&#10;&#10;Description automatically generated"/>
                    <pic:cNvPicPr/>
                  </pic:nvPicPr>
                  <pic:blipFill>
                    <a:blip r:embed="rId63"/>
                    <a:stretch>
                      <a:fillRect/>
                    </a:stretch>
                  </pic:blipFill>
                  <pic:spPr>
                    <a:xfrm>
                      <a:off x="0" y="0"/>
                      <a:ext cx="6353332" cy="3420916"/>
                    </a:xfrm>
                    <a:prstGeom prst="rect">
                      <a:avLst/>
                    </a:prstGeom>
                  </pic:spPr>
                </pic:pic>
              </a:graphicData>
            </a:graphic>
          </wp:inline>
        </w:drawing>
      </w:r>
    </w:p>
    <w:p w14:paraId="2A314918" w14:textId="55F79D84" w:rsidR="0001392D" w:rsidRPr="0001392D" w:rsidRDefault="0001392D" w:rsidP="0001392D">
      <w:pPr>
        <w:pStyle w:val="Paragraph"/>
        <w:sectPr w:rsidR="0001392D" w:rsidRPr="0001392D" w:rsidSect="00491FE4">
          <w:footerReference w:type="default" r:id="rId64"/>
          <w:footerReference w:type="first" r:id="rId65"/>
          <w:pgSz w:w="11906" w:h="16838"/>
          <w:pgMar w:top="1440" w:right="1440" w:bottom="1440" w:left="1440" w:header="708" w:footer="708" w:gutter="0"/>
          <w:cols w:space="708"/>
          <w:titlePg/>
          <w:docGrid w:linePitch="360"/>
        </w:sectPr>
      </w:pPr>
    </w:p>
    <w:p w14:paraId="3FCDEF8A" w14:textId="5F67DDB8" w:rsidR="002C296A" w:rsidRDefault="005C6F10" w:rsidP="00FC11EC">
      <w:pPr>
        <w:pStyle w:val="Heading1"/>
      </w:pPr>
      <w:bookmarkStart w:id="118" w:name="_Appendix_2:_Suggestions"/>
      <w:bookmarkStart w:id="119" w:name="_Toc141346144"/>
      <w:bookmarkEnd w:id="118"/>
      <w:r w:rsidRPr="00FC11EC">
        <w:lastRenderedPageBreak/>
        <w:t xml:space="preserve">Appendix </w:t>
      </w:r>
      <w:r w:rsidR="005753A8">
        <w:t>2</w:t>
      </w:r>
      <w:r w:rsidR="00603263">
        <w:t xml:space="preserve">: </w:t>
      </w:r>
      <w:r w:rsidR="002C296A" w:rsidRPr="00FC11EC">
        <w:t xml:space="preserve">Suggestions from </w:t>
      </w:r>
      <w:r w:rsidR="00626943">
        <w:t>stakeholders</w:t>
      </w:r>
      <w:bookmarkEnd w:id="119"/>
    </w:p>
    <w:tbl>
      <w:tblPr>
        <w:tblW w:w="1416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1697"/>
        <w:gridCol w:w="1560"/>
        <w:gridCol w:w="2976"/>
        <w:gridCol w:w="7225"/>
      </w:tblGrid>
      <w:tr w:rsidR="00E40E6B" w:rsidRPr="003A773E" w14:paraId="5B71A1F2" w14:textId="77777777" w:rsidTr="004E35A1">
        <w:trPr>
          <w:tblHeader/>
        </w:trPr>
        <w:tc>
          <w:tcPr>
            <w:tcW w:w="708" w:type="dxa"/>
            <w:shd w:val="clear" w:color="auto" w:fill="FFFFFF" w:themeFill="background1"/>
          </w:tcPr>
          <w:p w14:paraId="272B26DE" w14:textId="77777777" w:rsidR="00E40E6B" w:rsidRPr="003A773E" w:rsidRDefault="00E40E6B" w:rsidP="002C7F94">
            <w:pPr>
              <w:keepNext/>
              <w:outlineLvl w:val="3"/>
              <w:rPr>
                <w:rFonts w:ascii="Arial" w:hAnsi="Arial" w:cs="Arial"/>
                <w:b/>
                <w:bCs/>
                <w:sz w:val="22"/>
                <w:szCs w:val="22"/>
              </w:rPr>
            </w:pPr>
            <w:r w:rsidRPr="003A773E">
              <w:rPr>
                <w:rFonts w:ascii="Arial" w:hAnsi="Arial" w:cs="Arial"/>
                <w:b/>
                <w:bCs/>
                <w:sz w:val="22"/>
                <w:szCs w:val="22"/>
              </w:rPr>
              <w:t>ID</w:t>
            </w:r>
          </w:p>
        </w:tc>
        <w:tc>
          <w:tcPr>
            <w:tcW w:w="1697" w:type="dxa"/>
            <w:shd w:val="clear" w:color="auto" w:fill="FFFFFF" w:themeFill="background1"/>
          </w:tcPr>
          <w:p w14:paraId="63778B18" w14:textId="3B896188" w:rsidR="00E40E6B" w:rsidRPr="003A773E" w:rsidRDefault="00B952C1" w:rsidP="002C7F94">
            <w:pPr>
              <w:keepNext/>
              <w:outlineLvl w:val="3"/>
              <w:rPr>
                <w:rFonts w:ascii="Arial" w:hAnsi="Arial" w:cs="Arial"/>
                <w:b/>
                <w:bCs/>
                <w:sz w:val="22"/>
                <w:szCs w:val="22"/>
              </w:rPr>
            </w:pPr>
            <w:r>
              <w:rPr>
                <w:rFonts w:ascii="Arial" w:hAnsi="Arial" w:cs="Arial"/>
                <w:b/>
                <w:bCs/>
                <w:sz w:val="22"/>
                <w:szCs w:val="22"/>
              </w:rPr>
              <w:t>Theme</w:t>
            </w:r>
            <w:r w:rsidR="00E40E6B">
              <w:rPr>
                <w:rFonts w:ascii="Arial" w:hAnsi="Arial" w:cs="Arial"/>
                <w:b/>
                <w:bCs/>
                <w:sz w:val="22"/>
                <w:szCs w:val="22"/>
              </w:rPr>
              <w:t xml:space="preserve"> </w:t>
            </w:r>
          </w:p>
        </w:tc>
        <w:tc>
          <w:tcPr>
            <w:tcW w:w="1560" w:type="dxa"/>
            <w:shd w:val="clear" w:color="auto" w:fill="FFFFFF" w:themeFill="background1"/>
          </w:tcPr>
          <w:p w14:paraId="3D7EC992" w14:textId="283DBC8F" w:rsidR="00E40E6B" w:rsidRPr="003A773E" w:rsidRDefault="00E40E6B" w:rsidP="002C7F94">
            <w:pPr>
              <w:keepNext/>
              <w:outlineLvl w:val="3"/>
              <w:rPr>
                <w:rFonts w:ascii="Arial" w:hAnsi="Arial" w:cs="Arial"/>
                <w:b/>
                <w:bCs/>
                <w:sz w:val="22"/>
                <w:szCs w:val="22"/>
              </w:rPr>
            </w:pPr>
            <w:r w:rsidRPr="003A773E">
              <w:rPr>
                <w:rFonts w:ascii="Arial" w:hAnsi="Arial" w:cs="Arial"/>
                <w:b/>
                <w:bCs/>
                <w:sz w:val="22"/>
                <w:szCs w:val="22"/>
              </w:rPr>
              <w:t>Stakeholder</w:t>
            </w:r>
          </w:p>
        </w:tc>
        <w:tc>
          <w:tcPr>
            <w:tcW w:w="2976" w:type="dxa"/>
            <w:shd w:val="clear" w:color="auto" w:fill="FFFFFF" w:themeFill="background1"/>
          </w:tcPr>
          <w:p w14:paraId="4407C559" w14:textId="2D747D99" w:rsidR="00E40E6B" w:rsidRPr="00E40E6B" w:rsidRDefault="00E40E6B" w:rsidP="002C7F94">
            <w:pPr>
              <w:keepNext/>
              <w:outlineLvl w:val="3"/>
              <w:rPr>
                <w:rFonts w:ascii="Arial" w:hAnsi="Arial" w:cs="Arial"/>
                <w:b/>
                <w:bCs/>
                <w:sz w:val="22"/>
                <w:szCs w:val="22"/>
              </w:rPr>
            </w:pPr>
            <w:r w:rsidRPr="00E40E6B">
              <w:rPr>
                <w:rFonts w:ascii="Arial" w:hAnsi="Arial" w:cs="Arial"/>
                <w:b/>
                <w:bCs/>
                <w:sz w:val="22"/>
                <w:szCs w:val="22"/>
              </w:rPr>
              <w:t>Suggestion</w:t>
            </w:r>
          </w:p>
        </w:tc>
        <w:tc>
          <w:tcPr>
            <w:tcW w:w="7225" w:type="dxa"/>
            <w:shd w:val="clear" w:color="auto" w:fill="FFFFFF" w:themeFill="background1"/>
          </w:tcPr>
          <w:p w14:paraId="792AC2F7" w14:textId="77777777" w:rsidR="00E40E6B" w:rsidRPr="003A773E" w:rsidRDefault="00E40E6B" w:rsidP="00391FA4">
            <w:pPr>
              <w:keepNext/>
              <w:outlineLvl w:val="3"/>
              <w:rPr>
                <w:rFonts w:ascii="Arial" w:hAnsi="Arial" w:cs="Arial"/>
                <w:b/>
                <w:bCs/>
                <w:sz w:val="22"/>
                <w:szCs w:val="22"/>
              </w:rPr>
            </w:pPr>
            <w:bookmarkStart w:id="120" w:name="_Toc140861606"/>
            <w:bookmarkStart w:id="121" w:name="_Toc141178250"/>
            <w:r w:rsidRPr="003A773E">
              <w:rPr>
                <w:rFonts w:ascii="Arial" w:hAnsi="Arial" w:cs="Arial"/>
                <w:b/>
                <w:bCs/>
                <w:sz w:val="22"/>
                <w:szCs w:val="22"/>
              </w:rPr>
              <w:t>Why is this a key area for quality improvement?</w:t>
            </w:r>
            <w:bookmarkEnd w:id="120"/>
            <w:bookmarkEnd w:id="121"/>
          </w:p>
        </w:tc>
      </w:tr>
      <w:tr w:rsidR="00E40E6B" w:rsidRPr="003A773E" w14:paraId="387CAF76" w14:textId="77777777" w:rsidTr="004E35A1">
        <w:trPr>
          <w:trHeight w:val="282"/>
        </w:trPr>
        <w:tc>
          <w:tcPr>
            <w:tcW w:w="708" w:type="dxa"/>
            <w:tcBorders>
              <w:top w:val="single" w:sz="4" w:space="0" w:color="999999"/>
              <w:left w:val="single" w:sz="4" w:space="0" w:color="999999"/>
              <w:bottom w:val="single" w:sz="4" w:space="0" w:color="999999"/>
              <w:right w:val="single" w:sz="4" w:space="0" w:color="999999"/>
            </w:tcBorders>
          </w:tcPr>
          <w:p w14:paraId="315EA625" w14:textId="4DB3214B"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1</w:t>
            </w:r>
          </w:p>
        </w:tc>
        <w:tc>
          <w:tcPr>
            <w:tcW w:w="1697" w:type="dxa"/>
            <w:tcBorders>
              <w:top w:val="single" w:sz="4" w:space="0" w:color="999999"/>
              <w:left w:val="single" w:sz="4" w:space="0" w:color="999999"/>
              <w:bottom w:val="single" w:sz="4" w:space="0" w:color="999999"/>
              <w:right w:val="single" w:sz="4" w:space="0" w:color="999999"/>
            </w:tcBorders>
          </w:tcPr>
          <w:p w14:paraId="74A1BD28" w14:textId="6DFCEA1F" w:rsidR="00E40E6B" w:rsidRPr="003A773E" w:rsidRDefault="004E35A1" w:rsidP="002C7F94">
            <w:pPr>
              <w:rPr>
                <w:rFonts w:ascii="Arial" w:hAnsi="Arial" w:cs="Arial"/>
                <w:sz w:val="22"/>
                <w:szCs w:val="22"/>
                <w:lang w:eastAsia="en-GB"/>
              </w:rPr>
            </w:pPr>
            <w:r>
              <w:rPr>
                <w:rFonts w:ascii="Arial" w:hAnsi="Arial" w:cs="Arial"/>
                <w:sz w:val="22"/>
                <w:szCs w:val="22"/>
                <w:lang w:eastAsia="en-GB"/>
              </w:rPr>
              <w:t>Initial assessment</w:t>
            </w:r>
          </w:p>
        </w:tc>
        <w:tc>
          <w:tcPr>
            <w:tcW w:w="1560" w:type="dxa"/>
            <w:tcBorders>
              <w:top w:val="single" w:sz="4" w:space="0" w:color="999999"/>
              <w:left w:val="single" w:sz="4" w:space="0" w:color="999999"/>
              <w:bottom w:val="single" w:sz="4" w:space="0" w:color="999999"/>
              <w:right w:val="single" w:sz="4" w:space="0" w:color="999999"/>
            </w:tcBorders>
          </w:tcPr>
          <w:p w14:paraId="17189C21" w14:textId="7C200D0E"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British Thoracic Society</w:t>
            </w:r>
          </w:p>
        </w:tc>
        <w:tc>
          <w:tcPr>
            <w:tcW w:w="2976" w:type="dxa"/>
            <w:tcBorders>
              <w:top w:val="single" w:sz="4" w:space="0" w:color="999999"/>
              <w:left w:val="single" w:sz="4" w:space="0" w:color="999999"/>
              <w:bottom w:val="single" w:sz="4" w:space="0" w:color="999999"/>
              <w:right w:val="single" w:sz="4" w:space="0" w:color="999999"/>
            </w:tcBorders>
          </w:tcPr>
          <w:p w14:paraId="262A6ACB"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3</w:t>
            </w:r>
          </w:p>
        </w:tc>
        <w:tc>
          <w:tcPr>
            <w:tcW w:w="7225" w:type="dxa"/>
            <w:tcBorders>
              <w:top w:val="single" w:sz="4" w:space="0" w:color="999999"/>
              <w:left w:val="single" w:sz="4" w:space="0" w:color="999999"/>
              <w:bottom w:val="single" w:sz="4" w:space="0" w:color="999999"/>
              <w:right w:val="single" w:sz="4" w:space="0" w:color="999999"/>
            </w:tcBorders>
          </w:tcPr>
          <w:p w14:paraId="444FA831"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Better diagnosis of upper respiratory tract infections delivering the appropriate antimicrobials based on test result and clinical assessment.</w:t>
            </w:r>
          </w:p>
        </w:tc>
      </w:tr>
      <w:tr w:rsidR="004E35A1" w:rsidRPr="003A773E" w14:paraId="525BC7AF" w14:textId="77777777" w:rsidTr="004E35A1">
        <w:trPr>
          <w:trHeight w:val="282"/>
        </w:trPr>
        <w:tc>
          <w:tcPr>
            <w:tcW w:w="708" w:type="dxa"/>
          </w:tcPr>
          <w:p w14:paraId="22640C93" w14:textId="67A6915E"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2</w:t>
            </w:r>
          </w:p>
        </w:tc>
        <w:tc>
          <w:tcPr>
            <w:tcW w:w="1697" w:type="dxa"/>
          </w:tcPr>
          <w:p w14:paraId="3ECB85C1" w14:textId="4DB02D54" w:rsidR="004E35A1" w:rsidRPr="003A773E" w:rsidRDefault="004E35A1" w:rsidP="004E35A1">
            <w:pPr>
              <w:rPr>
                <w:rFonts w:ascii="Arial" w:hAnsi="Arial" w:cs="Arial"/>
                <w:sz w:val="22"/>
                <w:szCs w:val="22"/>
                <w:lang w:eastAsia="en-GB"/>
              </w:rPr>
            </w:pPr>
            <w:r w:rsidRPr="00EF55C8">
              <w:rPr>
                <w:rFonts w:ascii="Arial" w:hAnsi="Arial" w:cs="Arial"/>
                <w:sz w:val="22"/>
                <w:szCs w:val="22"/>
                <w:lang w:eastAsia="en-GB"/>
              </w:rPr>
              <w:t>Initial assessment</w:t>
            </w:r>
          </w:p>
        </w:tc>
        <w:tc>
          <w:tcPr>
            <w:tcW w:w="1560" w:type="dxa"/>
          </w:tcPr>
          <w:p w14:paraId="73431A8C" w14:textId="7BE29719"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Expert 1</w:t>
            </w:r>
          </w:p>
        </w:tc>
        <w:tc>
          <w:tcPr>
            <w:tcW w:w="2976" w:type="dxa"/>
          </w:tcPr>
          <w:p w14:paraId="705E6112"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Key area for quality improvement 1</w:t>
            </w:r>
          </w:p>
        </w:tc>
        <w:tc>
          <w:tcPr>
            <w:tcW w:w="7225" w:type="dxa"/>
          </w:tcPr>
          <w:p w14:paraId="6FBEE540"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Acute Respiratory Infection</w:t>
            </w:r>
          </w:p>
          <w:p w14:paraId="096DAFE1"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Accurate set of signs and symptoms for the diagnosis and treatment of </w:t>
            </w:r>
            <w:proofErr w:type="spellStart"/>
            <w:r w:rsidRPr="003A773E">
              <w:rPr>
                <w:rFonts w:ascii="Arial" w:hAnsi="Arial" w:cs="Arial"/>
                <w:sz w:val="22"/>
                <w:szCs w:val="22"/>
                <w:lang w:eastAsia="en-GB"/>
              </w:rPr>
              <w:t>aRI</w:t>
            </w:r>
            <w:proofErr w:type="spellEnd"/>
            <w:r w:rsidRPr="003A773E">
              <w:rPr>
                <w:rFonts w:ascii="Arial" w:hAnsi="Arial" w:cs="Arial"/>
                <w:sz w:val="22"/>
                <w:szCs w:val="22"/>
                <w:lang w:eastAsia="en-GB"/>
              </w:rPr>
              <w:t xml:space="preserve"> – needs to include infection prevention</w:t>
            </w:r>
          </w:p>
        </w:tc>
      </w:tr>
      <w:tr w:rsidR="004E35A1" w:rsidRPr="003A773E" w14:paraId="4D94F4B0" w14:textId="77777777" w:rsidTr="004E35A1">
        <w:trPr>
          <w:trHeight w:val="282"/>
        </w:trPr>
        <w:tc>
          <w:tcPr>
            <w:tcW w:w="708" w:type="dxa"/>
          </w:tcPr>
          <w:p w14:paraId="26086D40" w14:textId="533A6366"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3</w:t>
            </w:r>
          </w:p>
        </w:tc>
        <w:tc>
          <w:tcPr>
            <w:tcW w:w="1697" w:type="dxa"/>
          </w:tcPr>
          <w:p w14:paraId="76B51F04" w14:textId="7AC7CEBF" w:rsidR="004E35A1" w:rsidRPr="003A773E" w:rsidRDefault="004E35A1" w:rsidP="004E35A1">
            <w:pPr>
              <w:rPr>
                <w:rFonts w:ascii="Arial" w:hAnsi="Arial" w:cs="Arial"/>
                <w:sz w:val="22"/>
                <w:szCs w:val="22"/>
                <w:lang w:eastAsia="en-GB"/>
              </w:rPr>
            </w:pPr>
            <w:r w:rsidRPr="00EF55C8">
              <w:rPr>
                <w:rFonts w:ascii="Arial" w:hAnsi="Arial" w:cs="Arial"/>
                <w:sz w:val="22"/>
                <w:szCs w:val="22"/>
                <w:lang w:eastAsia="en-GB"/>
              </w:rPr>
              <w:t>Initial assessment</w:t>
            </w:r>
          </w:p>
        </w:tc>
        <w:tc>
          <w:tcPr>
            <w:tcW w:w="1560" w:type="dxa"/>
          </w:tcPr>
          <w:p w14:paraId="2C540093" w14:textId="20D717B4"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Expert 2 </w:t>
            </w:r>
          </w:p>
        </w:tc>
        <w:tc>
          <w:tcPr>
            <w:tcW w:w="2976" w:type="dxa"/>
          </w:tcPr>
          <w:p w14:paraId="2DA6D674"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Severity scoring for patients with acute respiratory infection</w:t>
            </w:r>
          </w:p>
        </w:tc>
        <w:tc>
          <w:tcPr>
            <w:tcW w:w="7225" w:type="dxa"/>
          </w:tcPr>
          <w:p w14:paraId="747DEBD1"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Scores such as NEWS, EWS, CURB65, PSI and PSI may all inform outcome. Do severity scores help in this setting, and which would be preferred </w:t>
            </w:r>
          </w:p>
        </w:tc>
      </w:tr>
      <w:tr w:rsidR="004E35A1" w:rsidRPr="003A773E" w14:paraId="401BD246" w14:textId="77777777" w:rsidTr="004E35A1">
        <w:trPr>
          <w:trHeight w:val="282"/>
        </w:trPr>
        <w:tc>
          <w:tcPr>
            <w:tcW w:w="708" w:type="dxa"/>
          </w:tcPr>
          <w:p w14:paraId="667BDF0C" w14:textId="741FC3D1" w:rsidR="004E35A1" w:rsidRPr="003A773E" w:rsidRDefault="004E35A1" w:rsidP="004E35A1">
            <w:pPr>
              <w:rPr>
                <w:rFonts w:ascii="Arial" w:hAnsi="Arial" w:cs="Arial"/>
                <w:sz w:val="22"/>
                <w:szCs w:val="22"/>
                <w:lang w:eastAsia="en-GB"/>
              </w:rPr>
            </w:pPr>
            <w:bookmarkStart w:id="122" w:name="_Hlk140763751"/>
            <w:r w:rsidRPr="003A773E">
              <w:rPr>
                <w:rFonts w:ascii="Arial" w:hAnsi="Arial" w:cs="Arial"/>
                <w:sz w:val="22"/>
                <w:szCs w:val="22"/>
                <w:lang w:eastAsia="en-GB"/>
              </w:rPr>
              <w:t>4</w:t>
            </w:r>
          </w:p>
        </w:tc>
        <w:tc>
          <w:tcPr>
            <w:tcW w:w="1697" w:type="dxa"/>
          </w:tcPr>
          <w:p w14:paraId="00667079" w14:textId="5E53706B" w:rsidR="004E35A1" w:rsidRPr="003A773E" w:rsidRDefault="004E35A1" w:rsidP="004E35A1">
            <w:pPr>
              <w:rPr>
                <w:rFonts w:ascii="Arial" w:hAnsi="Arial" w:cs="Arial"/>
                <w:sz w:val="22"/>
                <w:szCs w:val="22"/>
                <w:lang w:eastAsia="en-GB"/>
              </w:rPr>
            </w:pPr>
            <w:r w:rsidRPr="00EF55C8">
              <w:rPr>
                <w:rFonts w:ascii="Arial" w:hAnsi="Arial" w:cs="Arial"/>
                <w:sz w:val="22"/>
                <w:szCs w:val="22"/>
                <w:lang w:eastAsia="en-GB"/>
              </w:rPr>
              <w:t>Initial assessment</w:t>
            </w:r>
          </w:p>
        </w:tc>
        <w:tc>
          <w:tcPr>
            <w:tcW w:w="1560" w:type="dxa"/>
          </w:tcPr>
          <w:p w14:paraId="3928CAC4" w14:textId="1D73D95C"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6CF7A142"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We would suggest that such guidance cross references the existing pneumonia Quality Standard – Specifically statements 1-2 would apply to ARI hubs and 3-5 to virtual wards.</w:t>
            </w:r>
          </w:p>
        </w:tc>
        <w:tc>
          <w:tcPr>
            <w:tcW w:w="7225" w:type="dxa"/>
          </w:tcPr>
          <w:p w14:paraId="72F25BEE"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Statement 1 Adults have a mortality risk assessment using the CRB65 score when they are diagnosed with community acquired pneumonia in primary care. </w:t>
            </w:r>
          </w:p>
          <w:p w14:paraId="56BDBC82" w14:textId="77777777" w:rsidR="004E35A1" w:rsidRPr="003A773E" w:rsidRDefault="004E35A1" w:rsidP="004E35A1">
            <w:pPr>
              <w:rPr>
                <w:rFonts w:ascii="Arial" w:hAnsi="Arial" w:cs="Arial"/>
                <w:sz w:val="22"/>
                <w:szCs w:val="22"/>
                <w:lang w:eastAsia="en-GB"/>
              </w:rPr>
            </w:pPr>
          </w:p>
          <w:p w14:paraId="47F5BB97"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Statement 2 Adults with low severity community acquired pneumonia are prescribed a </w:t>
            </w:r>
            <w:proofErr w:type="gramStart"/>
            <w:r w:rsidRPr="003A773E">
              <w:rPr>
                <w:rFonts w:ascii="Arial" w:hAnsi="Arial" w:cs="Arial"/>
                <w:sz w:val="22"/>
                <w:szCs w:val="22"/>
                <w:lang w:eastAsia="en-GB"/>
              </w:rPr>
              <w:t>5 day</w:t>
            </w:r>
            <w:proofErr w:type="gramEnd"/>
            <w:r w:rsidRPr="003A773E">
              <w:rPr>
                <w:rFonts w:ascii="Arial" w:hAnsi="Arial" w:cs="Arial"/>
                <w:sz w:val="22"/>
                <w:szCs w:val="22"/>
                <w:lang w:eastAsia="en-GB"/>
              </w:rPr>
              <w:t xml:space="preserve"> course of a single antibiotic.</w:t>
            </w:r>
          </w:p>
          <w:p w14:paraId="392A6D11" w14:textId="77777777" w:rsidR="004E35A1" w:rsidRPr="003A773E" w:rsidRDefault="004E35A1" w:rsidP="004E35A1">
            <w:pPr>
              <w:rPr>
                <w:rFonts w:ascii="Arial" w:hAnsi="Arial" w:cs="Arial"/>
                <w:sz w:val="22"/>
                <w:szCs w:val="22"/>
                <w:lang w:eastAsia="en-GB"/>
              </w:rPr>
            </w:pPr>
          </w:p>
          <w:p w14:paraId="2BA6FD85"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Statement 3 Adults with suspected community acquired pneumonia in hospital have a chest X ray and receive a diagnosis within 4 hours of presentation.</w:t>
            </w:r>
          </w:p>
          <w:p w14:paraId="405890B6" w14:textId="77777777" w:rsidR="004E35A1" w:rsidRPr="003A773E" w:rsidRDefault="004E35A1" w:rsidP="004E35A1">
            <w:pPr>
              <w:rPr>
                <w:rFonts w:ascii="Arial" w:hAnsi="Arial" w:cs="Arial"/>
                <w:sz w:val="22"/>
                <w:szCs w:val="22"/>
                <w:lang w:eastAsia="en-GB"/>
              </w:rPr>
            </w:pPr>
          </w:p>
          <w:p w14:paraId="20B47534"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Statement 4 Adults have a mortality risk assessment using the CURB65 score when they are diagnosed with community acquired pneumonia in hospital.</w:t>
            </w:r>
          </w:p>
          <w:p w14:paraId="4601129F" w14:textId="77777777" w:rsidR="004E35A1" w:rsidRPr="003A773E" w:rsidRDefault="004E35A1" w:rsidP="004E35A1">
            <w:pPr>
              <w:rPr>
                <w:rFonts w:ascii="Arial" w:hAnsi="Arial" w:cs="Arial"/>
                <w:sz w:val="22"/>
                <w:szCs w:val="22"/>
                <w:lang w:eastAsia="en-GB"/>
              </w:rPr>
            </w:pPr>
          </w:p>
          <w:p w14:paraId="32344996" w14:textId="77777777" w:rsidR="004E35A1" w:rsidRDefault="004E35A1" w:rsidP="004E35A1">
            <w:pPr>
              <w:rPr>
                <w:rFonts w:ascii="Arial" w:hAnsi="Arial" w:cs="Arial"/>
                <w:sz w:val="22"/>
                <w:szCs w:val="22"/>
                <w:lang w:eastAsia="en-GB"/>
              </w:rPr>
            </w:pPr>
            <w:r w:rsidRPr="003A773E">
              <w:rPr>
                <w:rFonts w:ascii="Arial" w:hAnsi="Arial" w:cs="Arial"/>
                <w:sz w:val="22"/>
                <w:szCs w:val="22"/>
                <w:lang w:eastAsia="en-GB"/>
              </w:rPr>
              <w:t>Statement 5 Adults with community acquired pneumonia who are admitted to hospital start antibiotic therapy within 4 hours of presentation.</w:t>
            </w:r>
          </w:p>
          <w:p w14:paraId="2851E03D" w14:textId="77777777" w:rsidR="004E35A1" w:rsidRDefault="004E35A1" w:rsidP="004E35A1">
            <w:pPr>
              <w:rPr>
                <w:rFonts w:ascii="Arial" w:hAnsi="Arial" w:cs="Arial"/>
                <w:sz w:val="22"/>
                <w:szCs w:val="22"/>
                <w:lang w:eastAsia="en-GB"/>
              </w:rPr>
            </w:pPr>
          </w:p>
          <w:p w14:paraId="15839769" w14:textId="45CEC46A"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Supporting information: British Thoracic Society guidance on Community Acquired Pneumonia</w:t>
            </w:r>
          </w:p>
          <w:p w14:paraId="1AF7C195" w14:textId="77777777" w:rsidR="004E35A1" w:rsidRPr="003A773E" w:rsidRDefault="004E35A1" w:rsidP="004E35A1">
            <w:pPr>
              <w:rPr>
                <w:rFonts w:ascii="Arial" w:hAnsi="Arial" w:cs="Arial"/>
                <w:sz w:val="22"/>
                <w:szCs w:val="22"/>
                <w:lang w:eastAsia="en-GB"/>
              </w:rPr>
            </w:pPr>
          </w:p>
        </w:tc>
      </w:tr>
      <w:bookmarkEnd w:id="122"/>
      <w:tr w:rsidR="00E40E6B" w:rsidRPr="003A773E" w14:paraId="2017E6CF" w14:textId="77777777" w:rsidTr="004E35A1">
        <w:trPr>
          <w:trHeight w:val="282"/>
        </w:trPr>
        <w:tc>
          <w:tcPr>
            <w:tcW w:w="708" w:type="dxa"/>
          </w:tcPr>
          <w:p w14:paraId="065E91FD" w14:textId="27704B95"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5</w:t>
            </w:r>
          </w:p>
        </w:tc>
        <w:tc>
          <w:tcPr>
            <w:tcW w:w="1697" w:type="dxa"/>
          </w:tcPr>
          <w:p w14:paraId="09746BDB" w14:textId="3F708BF1" w:rsidR="00E40E6B" w:rsidRPr="003A773E" w:rsidRDefault="004E35A1" w:rsidP="002C7F94">
            <w:pPr>
              <w:rPr>
                <w:rFonts w:ascii="Arial" w:hAnsi="Arial" w:cs="Arial"/>
                <w:sz w:val="22"/>
                <w:szCs w:val="22"/>
                <w:lang w:eastAsia="en-GB"/>
              </w:rPr>
            </w:pPr>
            <w:r w:rsidRPr="004E35A1">
              <w:rPr>
                <w:rFonts w:ascii="Arial" w:hAnsi="Arial" w:cs="Arial"/>
                <w:sz w:val="22"/>
                <w:szCs w:val="22"/>
                <w:lang w:eastAsia="en-GB"/>
              </w:rPr>
              <w:t>Initial assessment</w:t>
            </w:r>
          </w:p>
        </w:tc>
        <w:tc>
          <w:tcPr>
            <w:tcW w:w="1560" w:type="dxa"/>
          </w:tcPr>
          <w:p w14:paraId="7513401E" w14:textId="74F58175"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British Thoracic Society</w:t>
            </w:r>
          </w:p>
        </w:tc>
        <w:tc>
          <w:tcPr>
            <w:tcW w:w="2976" w:type="dxa"/>
          </w:tcPr>
          <w:p w14:paraId="7E8FBB5A"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5</w:t>
            </w:r>
          </w:p>
        </w:tc>
        <w:tc>
          <w:tcPr>
            <w:tcW w:w="7225" w:type="dxa"/>
          </w:tcPr>
          <w:p w14:paraId="6B1360A8" w14:textId="77777777" w:rsidR="00E40E6B" w:rsidRPr="003A773E" w:rsidRDefault="00E40E6B" w:rsidP="002C7F94">
            <w:pPr>
              <w:spacing w:before="100" w:beforeAutospacing="1" w:after="100" w:afterAutospacing="1"/>
              <w:rPr>
                <w:rFonts w:ascii="Arial" w:hAnsi="Arial" w:cs="Arial"/>
                <w:sz w:val="22"/>
                <w:szCs w:val="22"/>
              </w:rPr>
            </w:pPr>
            <w:r w:rsidRPr="003A773E">
              <w:rPr>
                <w:rFonts w:ascii="Arial" w:hAnsi="Arial" w:cs="Arial"/>
                <w:color w:val="000000"/>
                <w:sz w:val="22"/>
                <w:szCs w:val="22"/>
              </w:rPr>
              <w:t xml:space="preserve">Important to ensure that the programme reaches out to different ethnic, </w:t>
            </w:r>
            <w:proofErr w:type="gramStart"/>
            <w:r w:rsidRPr="003A773E">
              <w:rPr>
                <w:rFonts w:ascii="Arial" w:hAnsi="Arial" w:cs="Arial"/>
                <w:color w:val="000000"/>
                <w:sz w:val="22"/>
                <w:szCs w:val="22"/>
              </w:rPr>
              <w:t>cultural</w:t>
            </w:r>
            <w:proofErr w:type="gramEnd"/>
            <w:r w:rsidRPr="003A773E">
              <w:rPr>
                <w:rFonts w:ascii="Arial" w:hAnsi="Arial" w:cs="Arial"/>
                <w:color w:val="000000"/>
                <w:sz w:val="22"/>
                <w:szCs w:val="22"/>
              </w:rPr>
              <w:t xml:space="preserve"> and socioeconomic backgrounds using translated documents and social prescribing. Near patient rapid testing employed in the pathway of care maybe more beneficial to this process.</w:t>
            </w:r>
          </w:p>
        </w:tc>
      </w:tr>
      <w:tr w:rsidR="004E35A1" w:rsidRPr="003A773E" w14:paraId="04F7777B" w14:textId="77777777" w:rsidTr="004E35A1">
        <w:trPr>
          <w:trHeight w:val="282"/>
        </w:trPr>
        <w:tc>
          <w:tcPr>
            <w:tcW w:w="708" w:type="dxa"/>
          </w:tcPr>
          <w:p w14:paraId="4FFE5270" w14:textId="7F740E54" w:rsidR="004E35A1" w:rsidRPr="003A773E" w:rsidRDefault="004E35A1" w:rsidP="004E35A1">
            <w:pPr>
              <w:rPr>
                <w:rFonts w:ascii="Arial" w:hAnsi="Arial" w:cs="Arial"/>
                <w:sz w:val="22"/>
                <w:szCs w:val="22"/>
                <w:lang w:eastAsia="en-GB"/>
              </w:rPr>
            </w:pPr>
            <w:bookmarkStart w:id="123" w:name="_Hlk140583459"/>
            <w:r w:rsidRPr="003A773E">
              <w:rPr>
                <w:rFonts w:ascii="Arial" w:hAnsi="Arial" w:cs="Arial"/>
                <w:sz w:val="22"/>
                <w:szCs w:val="22"/>
                <w:lang w:eastAsia="en-GB"/>
              </w:rPr>
              <w:t>6</w:t>
            </w:r>
          </w:p>
        </w:tc>
        <w:tc>
          <w:tcPr>
            <w:tcW w:w="1697" w:type="dxa"/>
          </w:tcPr>
          <w:p w14:paraId="7112BB0F" w14:textId="7BB6E611" w:rsidR="004E35A1" w:rsidRPr="003A773E" w:rsidRDefault="004E35A1" w:rsidP="004E35A1">
            <w:pPr>
              <w:rPr>
                <w:rFonts w:ascii="Arial" w:hAnsi="Arial" w:cs="Arial"/>
                <w:sz w:val="22"/>
                <w:szCs w:val="22"/>
                <w:lang w:eastAsia="en-GB"/>
              </w:rPr>
            </w:pPr>
            <w:r w:rsidRPr="00EB74DC">
              <w:rPr>
                <w:rFonts w:ascii="Arial" w:hAnsi="Arial" w:cs="Arial"/>
                <w:sz w:val="22"/>
                <w:szCs w:val="22"/>
                <w:lang w:eastAsia="en-GB"/>
              </w:rPr>
              <w:t>Initial assessment</w:t>
            </w:r>
          </w:p>
        </w:tc>
        <w:tc>
          <w:tcPr>
            <w:tcW w:w="1560" w:type="dxa"/>
          </w:tcPr>
          <w:p w14:paraId="6AAD7837" w14:textId="525A6648"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Expert 1</w:t>
            </w:r>
          </w:p>
        </w:tc>
        <w:tc>
          <w:tcPr>
            <w:tcW w:w="2976" w:type="dxa"/>
          </w:tcPr>
          <w:p w14:paraId="1BE9B48B"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Key area for quality improvement 2</w:t>
            </w:r>
          </w:p>
        </w:tc>
        <w:tc>
          <w:tcPr>
            <w:tcW w:w="7225" w:type="dxa"/>
          </w:tcPr>
          <w:p w14:paraId="6FBFF4D0"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Access to appropriate tests and treatment/treatment in a way that is of most benefit to the patient – includes receipt of medication, monitoring and evaluation, access if there are changes, etc.</w:t>
            </w:r>
          </w:p>
        </w:tc>
      </w:tr>
      <w:bookmarkEnd w:id="123"/>
      <w:tr w:rsidR="004E35A1" w:rsidRPr="003A773E" w14:paraId="103B302B" w14:textId="77777777" w:rsidTr="004E35A1">
        <w:trPr>
          <w:trHeight w:val="282"/>
        </w:trPr>
        <w:tc>
          <w:tcPr>
            <w:tcW w:w="708" w:type="dxa"/>
          </w:tcPr>
          <w:p w14:paraId="24AF5764" w14:textId="72FD472D"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7</w:t>
            </w:r>
          </w:p>
        </w:tc>
        <w:tc>
          <w:tcPr>
            <w:tcW w:w="1697" w:type="dxa"/>
          </w:tcPr>
          <w:p w14:paraId="52749DEF" w14:textId="32A50B05" w:rsidR="004E35A1" w:rsidRPr="003A773E" w:rsidRDefault="004E35A1" w:rsidP="004E35A1">
            <w:pPr>
              <w:rPr>
                <w:rFonts w:ascii="Arial" w:hAnsi="Arial" w:cs="Arial"/>
                <w:sz w:val="22"/>
                <w:szCs w:val="22"/>
                <w:lang w:eastAsia="en-GB"/>
              </w:rPr>
            </w:pPr>
            <w:r w:rsidRPr="00EB74DC">
              <w:rPr>
                <w:rFonts w:ascii="Arial" w:hAnsi="Arial" w:cs="Arial"/>
                <w:sz w:val="22"/>
                <w:szCs w:val="22"/>
                <w:lang w:eastAsia="en-GB"/>
              </w:rPr>
              <w:t>Initial assessment</w:t>
            </w:r>
          </w:p>
        </w:tc>
        <w:tc>
          <w:tcPr>
            <w:tcW w:w="1560" w:type="dxa"/>
          </w:tcPr>
          <w:p w14:paraId="75B86986" w14:textId="769F25A8"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Expert 2 </w:t>
            </w:r>
          </w:p>
        </w:tc>
        <w:tc>
          <w:tcPr>
            <w:tcW w:w="2976" w:type="dxa"/>
          </w:tcPr>
          <w:p w14:paraId="3EB51D7C"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Point of care testing in patients with ARI</w:t>
            </w:r>
          </w:p>
        </w:tc>
        <w:tc>
          <w:tcPr>
            <w:tcW w:w="7225" w:type="dxa"/>
          </w:tcPr>
          <w:p w14:paraId="4538F5CA"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Numerous platforms and tests are commercially available, for both microbiological testing and biomarkers that might inform severity. There is wide variation in platforms used.</w:t>
            </w:r>
          </w:p>
        </w:tc>
      </w:tr>
      <w:tr w:rsidR="004E35A1" w:rsidRPr="003A773E" w14:paraId="08CAEFCC" w14:textId="77777777" w:rsidTr="004E35A1">
        <w:trPr>
          <w:trHeight w:val="282"/>
        </w:trPr>
        <w:tc>
          <w:tcPr>
            <w:tcW w:w="708" w:type="dxa"/>
          </w:tcPr>
          <w:p w14:paraId="49B3A55B" w14:textId="1AB646D8"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8</w:t>
            </w:r>
          </w:p>
        </w:tc>
        <w:tc>
          <w:tcPr>
            <w:tcW w:w="1697" w:type="dxa"/>
          </w:tcPr>
          <w:p w14:paraId="2DE44E4B" w14:textId="29E426B8" w:rsidR="004E35A1" w:rsidRPr="003A773E" w:rsidRDefault="004E35A1" w:rsidP="004E35A1">
            <w:pPr>
              <w:rPr>
                <w:rFonts w:ascii="Arial" w:hAnsi="Arial" w:cs="Arial"/>
                <w:sz w:val="22"/>
                <w:szCs w:val="22"/>
                <w:lang w:eastAsia="en-GB"/>
              </w:rPr>
            </w:pPr>
            <w:r w:rsidRPr="00342877">
              <w:rPr>
                <w:rFonts w:ascii="Arial" w:hAnsi="Arial" w:cs="Arial"/>
                <w:sz w:val="22"/>
                <w:szCs w:val="22"/>
                <w:lang w:eastAsia="en-GB"/>
              </w:rPr>
              <w:t>Initial assessment</w:t>
            </w:r>
          </w:p>
        </w:tc>
        <w:tc>
          <w:tcPr>
            <w:tcW w:w="1560" w:type="dxa"/>
          </w:tcPr>
          <w:p w14:paraId="0BDB75B2" w14:textId="5EDBB60F"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Expert 3 </w:t>
            </w:r>
          </w:p>
        </w:tc>
        <w:tc>
          <w:tcPr>
            <w:tcW w:w="2976" w:type="dxa"/>
          </w:tcPr>
          <w:p w14:paraId="7D3ED4C6"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Key area for quality improvement 3</w:t>
            </w:r>
          </w:p>
        </w:tc>
        <w:tc>
          <w:tcPr>
            <w:tcW w:w="7225" w:type="dxa"/>
          </w:tcPr>
          <w:p w14:paraId="6E75A916"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QS relating to criteria for use of testing:  </w:t>
            </w:r>
            <w:proofErr w:type="spellStart"/>
            <w:r w:rsidRPr="003A773E">
              <w:rPr>
                <w:rFonts w:ascii="Arial" w:hAnsi="Arial" w:cs="Arial"/>
                <w:sz w:val="22"/>
                <w:szCs w:val="22"/>
                <w:lang w:eastAsia="en-GB"/>
              </w:rPr>
              <w:t>Infl</w:t>
            </w:r>
            <w:proofErr w:type="spellEnd"/>
            <w:r w:rsidRPr="003A773E">
              <w:rPr>
                <w:rFonts w:ascii="Arial" w:hAnsi="Arial" w:cs="Arial"/>
                <w:sz w:val="22"/>
                <w:szCs w:val="22"/>
                <w:lang w:eastAsia="en-GB"/>
              </w:rPr>
              <w:t xml:space="preserve"> A&amp;B &amp; multiplex testing (Patient criteria, setting).</w:t>
            </w:r>
          </w:p>
        </w:tc>
      </w:tr>
      <w:tr w:rsidR="004E35A1" w:rsidRPr="003A773E" w14:paraId="5217FFFB" w14:textId="77777777" w:rsidTr="004E35A1">
        <w:trPr>
          <w:trHeight w:val="282"/>
        </w:trPr>
        <w:tc>
          <w:tcPr>
            <w:tcW w:w="708" w:type="dxa"/>
          </w:tcPr>
          <w:p w14:paraId="6C5E12F7" w14:textId="6FCA399E"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9</w:t>
            </w:r>
          </w:p>
        </w:tc>
        <w:tc>
          <w:tcPr>
            <w:tcW w:w="1697" w:type="dxa"/>
          </w:tcPr>
          <w:p w14:paraId="4B7C9469" w14:textId="30AE2807" w:rsidR="004E35A1" w:rsidRPr="003A773E" w:rsidRDefault="004E35A1" w:rsidP="004E35A1">
            <w:pPr>
              <w:rPr>
                <w:rFonts w:ascii="Arial" w:hAnsi="Arial" w:cs="Arial"/>
                <w:sz w:val="22"/>
                <w:szCs w:val="22"/>
                <w:lang w:eastAsia="en-GB"/>
              </w:rPr>
            </w:pPr>
            <w:r w:rsidRPr="00342877">
              <w:rPr>
                <w:rFonts w:ascii="Arial" w:hAnsi="Arial" w:cs="Arial"/>
                <w:sz w:val="22"/>
                <w:szCs w:val="22"/>
                <w:lang w:eastAsia="en-GB"/>
              </w:rPr>
              <w:t>Initial assessment</w:t>
            </w:r>
          </w:p>
        </w:tc>
        <w:tc>
          <w:tcPr>
            <w:tcW w:w="1560" w:type="dxa"/>
          </w:tcPr>
          <w:p w14:paraId="700A6DDC" w14:textId="2A9C5BDA"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5B2592EC"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Point of care testing in ARI hubs</w:t>
            </w:r>
          </w:p>
        </w:tc>
        <w:tc>
          <w:tcPr>
            <w:tcW w:w="7225" w:type="dxa"/>
          </w:tcPr>
          <w:p w14:paraId="4B824744"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 xml:space="preserve">Suggestion that </w:t>
            </w:r>
            <w:proofErr w:type="gramStart"/>
            <w:r w:rsidRPr="003A773E">
              <w:rPr>
                <w:rFonts w:ascii="Arial" w:hAnsi="Arial" w:cs="Arial"/>
                <w:sz w:val="22"/>
                <w:szCs w:val="22"/>
                <w:lang w:eastAsia="en-GB"/>
              </w:rPr>
              <w:t>point</w:t>
            </w:r>
            <w:proofErr w:type="gramEnd"/>
            <w:r w:rsidRPr="003A773E">
              <w:rPr>
                <w:rFonts w:ascii="Arial" w:hAnsi="Arial" w:cs="Arial"/>
                <w:sz w:val="22"/>
                <w:szCs w:val="22"/>
                <w:lang w:eastAsia="en-GB"/>
              </w:rPr>
              <w:t xml:space="preserve"> of care testing is considered, potentially with a statement to ensure the reproducibility and reliability of any near patient test used in diagnosing acute respiratory infections.</w:t>
            </w:r>
          </w:p>
        </w:tc>
      </w:tr>
      <w:tr w:rsidR="004E35A1" w:rsidRPr="003A773E" w14:paraId="2A4592B7" w14:textId="77777777" w:rsidTr="004E35A1">
        <w:trPr>
          <w:trHeight w:val="282"/>
        </w:trPr>
        <w:tc>
          <w:tcPr>
            <w:tcW w:w="708" w:type="dxa"/>
          </w:tcPr>
          <w:p w14:paraId="7DC42AE1" w14:textId="4EBB4630"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10</w:t>
            </w:r>
          </w:p>
        </w:tc>
        <w:tc>
          <w:tcPr>
            <w:tcW w:w="1697" w:type="dxa"/>
          </w:tcPr>
          <w:p w14:paraId="5B067E64" w14:textId="24425D73" w:rsidR="004E35A1" w:rsidRPr="003A773E" w:rsidRDefault="004E35A1" w:rsidP="004E35A1">
            <w:pPr>
              <w:rPr>
                <w:rFonts w:ascii="Arial" w:hAnsi="Arial" w:cs="Arial"/>
                <w:sz w:val="22"/>
                <w:szCs w:val="22"/>
                <w:lang w:eastAsia="en-GB"/>
              </w:rPr>
            </w:pPr>
            <w:r w:rsidRPr="00342877">
              <w:rPr>
                <w:rFonts w:ascii="Arial" w:hAnsi="Arial" w:cs="Arial"/>
                <w:sz w:val="22"/>
                <w:szCs w:val="22"/>
                <w:lang w:eastAsia="en-GB"/>
              </w:rPr>
              <w:t>Initial assessment</w:t>
            </w:r>
          </w:p>
        </w:tc>
        <w:tc>
          <w:tcPr>
            <w:tcW w:w="1560" w:type="dxa"/>
          </w:tcPr>
          <w:p w14:paraId="69ADECC0" w14:textId="05564E4C"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Primary Care Respiratory Society</w:t>
            </w:r>
          </w:p>
        </w:tc>
        <w:tc>
          <w:tcPr>
            <w:tcW w:w="2976" w:type="dxa"/>
          </w:tcPr>
          <w:p w14:paraId="50607B0F"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Point of care testing availability</w:t>
            </w:r>
          </w:p>
        </w:tc>
        <w:tc>
          <w:tcPr>
            <w:tcW w:w="7225" w:type="dxa"/>
          </w:tcPr>
          <w:p w14:paraId="05578264" w14:textId="77777777" w:rsidR="004E35A1" w:rsidRDefault="004E35A1" w:rsidP="004E35A1">
            <w:pPr>
              <w:rPr>
                <w:rFonts w:ascii="Arial" w:hAnsi="Arial" w:cs="Arial"/>
                <w:sz w:val="22"/>
                <w:szCs w:val="22"/>
                <w:lang w:eastAsia="en-GB"/>
              </w:rPr>
            </w:pPr>
            <w:r w:rsidRPr="003A773E">
              <w:rPr>
                <w:rFonts w:ascii="Arial" w:hAnsi="Arial" w:cs="Arial"/>
                <w:sz w:val="22"/>
                <w:szCs w:val="22"/>
                <w:lang w:eastAsia="en-GB"/>
              </w:rPr>
              <w:t>To enable rapid identification of infecting pathogen (</w:t>
            </w:r>
            <w:proofErr w:type="gramStart"/>
            <w:r w:rsidRPr="003A773E">
              <w:rPr>
                <w:rFonts w:ascii="Arial" w:hAnsi="Arial" w:cs="Arial"/>
                <w:sz w:val="22"/>
                <w:szCs w:val="22"/>
                <w:lang w:eastAsia="en-GB"/>
              </w:rPr>
              <w:t>e.g.</w:t>
            </w:r>
            <w:proofErr w:type="gramEnd"/>
            <w:r w:rsidRPr="003A773E">
              <w:rPr>
                <w:rFonts w:ascii="Arial" w:hAnsi="Arial" w:cs="Arial"/>
                <w:sz w:val="22"/>
                <w:szCs w:val="22"/>
                <w:lang w:eastAsia="en-GB"/>
              </w:rPr>
              <w:t xml:space="preserve"> SARS-CoV-2 or influenza)</w:t>
            </w:r>
          </w:p>
          <w:p w14:paraId="58767CF0" w14:textId="77777777" w:rsidR="004E35A1" w:rsidRDefault="004E35A1" w:rsidP="004E35A1">
            <w:pPr>
              <w:rPr>
                <w:rFonts w:ascii="Arial" w:hAnsi="Arial" w:cs="Arial"/>
                <w:sz w:val="22"/>
                <w:szCs w:val="22"/>
                <w:lang w:eastAsia="en-GB"/>
              </w:rPr>
            </w:pPr>
          </w:p>
          <w:p w14:paraId="205DCB36" w14:textId="36CD26D1" w:rsidR="004E35A1" w:rsidRPr="003A773E" w:rsidRDefault="004E35A1" w:rsidP="004E35A1">
            <w:pPr>
              <w:rPr>
                <w:rFonts w:ascii="Arial" w:hAnsi="Arial" w:cs="Arial"/>
                <w:sz w:val="22"/>
                <w:szCs w:val="22"/>
                <w:lang w:eastAsia="en-GB"/>
              </w:rPr>
            </w:pPr>
            <w:r>
              <w:rPr>
                <w:rFonts w:ascii="Arial" w:hAnsi="Arial" w:cs="Arial"/>
                <w:sz w:val="22"/>
                <w:szCs w:val="22"/>
                <w:lang w:eastAsia="en-GB"/>
              </w:rPr>
              <w:t xml:space="preserve">Supporting information: </w:t>
            </w:r>
            <w:r w:rsidRPr="003A773E">
              <w:rPr>
                <w:rFonts w:ascii="Arial" w:hAnsi="Arial" w:cs="Arial"/>
                <w:sz w:val="22"/>
                <w:szCs w:val="22"/>
                <w:lang w:eastAsia="en-GB"/>
              </w:rPr>
              <w:t>Experience of setting up an ARI service in Norfolk and Waveney</w:t>
            </w:r>
          </w:p>
        </w:tc>
      </w:tr>
      <w:tr w:rsidR="00E40E6B" w:rsidRPr="003A773E" w14:paraId="37E52D14" w14:textId="77777777" w:rsidTr="004E35A1">
        <w:trPr>
          <w:trHeight w:val="282"/>
        </w:trPr>
        <w:tc>
          <w:tcPr>
            <w:tcW w:w="708" w:type="dxa"/>
          </w:tcPr>
          <w:p w14:paraId="4A1A2CF4" w14:textId="55B99674"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11</w:t>
            </w:r>
          </w:p>
        </w:tc>
        <w:tc>
          <w:tcPr>
            <w:tcW w:w="1697" w:type="dxa"/>
          </w:tcPr>
          <w:p w14:paraId="5F5CFDE4" w14:textId="14411314" w:rsidR="00E40E6B" w:rsidRPr="003A773E" w:rsidRDefault="004E35A1" w:rsidP="002C7F94">
            <w:pPr>
              <w:rPr>
                <w:rFonts w:ascii="Arial" w:hAnsi="Arial" w:cs="Arial"/>
                <w:sz w:val="22"/>
                <w:szCs w:val="22"/>
                <w:lang w:eastAsia="en-GB"/>
              </w:rPr>
            </w:pPr>
            <w:r>
              <w:rPr>
                <w:rFonts w:ascii="Arial" w:hAnsi="Arial" w:cs="Arial"/>
                <w:sz w:val="22"/>
                <w:szCs w:val="22"/>
                <w:lang w:eastAsia="en-GB"/>
              </w:rPr>
              <w:t>Prescribing antimicrobials</w:t>
            </w:r>
          </w:p>
        </w:tc>
        <w:tc>
          <w:tcPr>
            <w:tcW w:w="1560" w:type="dxa"/>
          </w:tcPr>
          <w:p w14:paraId="693B6880" w14:textId="232BB8CB"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British Thoracic Society</w:t>
            </w:r>
          </w:p>
        </w:tc>
        <w:tc>
          <w:tcPr>
            <w:tcW w:w="2976" w:type="dxa"/>
          </w:tcPr>
          <w:p w14:paraId="2724EADE"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2</w:t>
            </w:r>
          </w:p>
        </w:tc>
        <w:tc>
          <w:tcPr>
            <w:tcW w:w="7225" w:type="dxa"/>
          </w:tcPr>
          <w:p w14:paraId="4E52FD7F" w14:textId="4FBF0F61"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Having a strategy and approach to avoid unnecessary antibiotic prescriptions in both the healthy population and those with underlying lung disease when assessed either face to face </w:t>
            </w:r>
            <w:proofErr w:type="gramStart"/>
            <w:r w:rsidRPr="003A773E">
              <w:rPr>
                <w:rFonts w:ascii="Arial" w:hAnsi="Arial" w:cs="Arial"/>
                <w:sz w:val="22"/>
                <w:szCs w:val="22"/>
                <w:lang w:eastAsia="en-GB"/>
              </w:rPr>
              <w:t>and</w:t>
            </w:r>
            <w:proofErr w:type="gramEnd"/>
            <w:r w:rsidRPr="003A773E">
              <w:rPr>
                <w:rFonts w:ascii="Arial" w:hAnsi="Arial" w:cs="Arial"/>
                <w:sz w:val="22"/>
                <w:szCs w:val="22"/>
                <w:lang w:eastAsia="en-GB"/>
              </w:rPr>
              <w:t xml:space="preserve"> remotely. This will improve antimicrobial stewardship.</w:t>
            </w:r>
          </w:p>
        </w:tc>
      </w:tr>
      <w:tr w:rsidR="004E35A1" w:rsidRPr="003A773E" w14:paraId="3EFFE158" w14:textId="77777777" w:rsidTr="004E35A1">
        <w:trPr>
          <w:trHeight w:val="282"/>
        </w:trPr>
        <w:tc>
          <w:tcPr>
            <w:tcW w:w="708" w:type="dxa"/>
          </w:tcPr>
          <w:p w14:paraId="6DFF3759" w14:textId="0AAD60B3"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12</w:t>
            </w:r>
          </w:p>
        </w:tc>
        <w:tc>
          <w:tcPr>
            <w:tcW w:w="1697" w:type="dxa"/>
          </w:tcPr>
          <w:p w14:paraId="3F598DE6" w14:textId="5B792457" w:rsidR="004E35A1" w:rsidRPr="003A773E" w:rsidRDefault="004E35A1" w:rsidP="004E35A1">
            <w:pPr>
              <w:rPr>
                <w:rFonts w:ascii="Arial" w:hAnsi="Arial" w:cs="Arial"/>
                <w:sz w:val="22"/>
                <w:szCs w:val="22"/>
                <w:lang w:eastAsia="en-GB"/>
              </w:rPr>
            </w:pPr>
            <w:r w:rsidRPr="009F6DC9">
              <w:rPr>
                <w:rFonts w:ascii="Arial" w:hAnsi="Arial" w:cs="Arial"/>
                <w:sz w:val="22"/>
                <w:szCs w:val="22"/>
                <w:lang w:eastAsia="en-GB"/>
              </w:rPr>
              <w:t>Prescribing antimicrobials</w:t>
            </w:r>
          </w:p>
        </w:tc>
        <w:tc>
          <w:tcPr>
            <w:tcW w:w="1560" w:type="dxa"/>
          </w:tcPr>
          <w:p w14:paraId="72FB3E6D" w14:textId="0D84EBDF"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British Thoracic Society</w:t>
            </w:r>
          </w:p>
        </w:tc>
        <w:tc>
          <w:tcPr>
            <w:tcW w:w="2976" w:type="dxa"/>
          </w:tcPr>
          <w:p w14:paraId="2B96C76C"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Key area for quality improvement 1</w:t>
            </w:r>
          </w:p>
        </w:tc>
        <w:tc>
          <w:tcPr>
            <w:tcW w:w="7225" w:type="dxa"/>
          </w:tcPr>
          <w:p w14:paraId="526D3C65"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Improving prescription of antivirals in the community in those diagnosed positively with influenza and ensuring hospital admission avoided hence preventing further nosocomial infection transmission.</w:t>
            </w:r>
          </w:p>
        </w:tc>
      </w:tr>
      <w:tr w:rsidR="004E35A1" w:rsidRPr="003A773E" w14:paraId="7BF85489" w14:textId="77777777" w:rsidTr="004E35A1">
        <w:trPr>
          <w:trHeight w:val="282"/>
        </w:trPr>
        <w:tc>
          <w:tcPr>
            <w:tcW w:w="708" w:type="dxa"/>
          </w:tcPr>
          <w:p w14:paraId="7974B7E5" w14:textId="4A6749CA"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13</w:t>
            </w:r>
          </w:p>
        </w:tc>
        <w:tc>
          <w:tcPr>
            <w:tcW w:w="1697" w:type="dxa"/>
          </w:tcPr>
          <w:p w14:paraId="0C3CF314" w14:textId="51740E39" w:rsidR="004E35A1" w:rsidRPr="003A773E" w:rsidRDefault="004E35A1" w:rsidP="004E35A1">
            <w:pPr>
              <w:rPr>
                <w:rFonts w:ascii="Arial" w:hAnsi="Arial" w:cs="Arial"/>
                <w:sz w:val="22"/>
                <w:szCs w:val="22"/>
                <w:lang w:eastAsia="en-GB"/>
              </w:rPr>
            </w:pPr>
            <w:r w:rsidRPr="009F6DC9">
              <w:rPr>
                <w:rFonts w:ascii="Arial" w:hAnsi="Arial" w:cs="Arial"/>
                <w:sz w:val="22"/>
                <w:szCs w:val="22"/>
                <w:lang w:eastAsia="en-GB"/>
              </w:rPr>
              <w:t>Prescribing antimicrobials</w:t>
            </w:r>
          </w:p>
        </w:tc>
        <w:tc>
          <w:tcPr>
            <w:tcW w:w="1560" w:type="dxa"/>
          </w:tcPr>
          <w:p w14:paraId="0DBFBE9C" w14:textId="69A579C2"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British Thoracic Society</w:t>
            </w:r>
          </w:p>
        </w:tc>
        <w:tc>
          <w:tcPr>
            <w:tcW w:w="2976" w:type="dxa"/>
          </w:tcPr>
          <w:p w14:paraId="1000283D" w14:textId="77777777" w:rsidR="004E35A1" w:rsidRPr="00E40E6B" w:rsidRDefault="004E35A1" w:rsidP="004E35A1">
            <w:pPr>
              <w:rPr>
                <w:rFonts w:ascii="Arial" w:hAnsi="Arial" w:cs="Arial"/>
                <w:sz w:val="22"/>
                <w:szCs w:val="22"/>
                <w:lang w:eastAsia="en-GB"/>
              </w:rPr>
            </w:pPr>
            <w:r w:rsidRPr="00E40E6B">
              <w:rPr>
                <w:rFonts w:ascii="Arial" w:hAnsi="Arial" w:cs="Arial"/>
                <w:sz w:val="22"/>
                <w:szCs w:val="22"/>
                <w:lang w:eastAsia="en-GB"/>
              </w:rPr>
              <w:t>Key area for quality improvement 3</w:t>
            </w:r>
          </w:p>
        </w:tc>
        <w:tc>
          <w:tcPr>
            <w:tcW w:w="7225" w:type="dxa"/>
          </w:tcPr>
          <w:p w14:paraId="71145D29" w14:textId="77777777" w:rsidR="004E35A1" w:rsidRPr="003A773E" w:rsidRDefault="004E35A1" w:rsidP="004E35A1">
            <w:pPr>
              <w:rPr>
                <w:rFonts w:ascii="Arial" w:hAnsi="Arial" w:cs="Arial"/>
                <w:sz w:val="22"/>
                <w:szCs w:val="22"/>
                <w:lang w:eastAsia="en-GB"/>
              </w:rPr>
            </w:pPr>
            <w:r w:rsidRPr="003A773E">
              <w:rPr>
                <w:rFonts w:ascii="Arial" w:hAnsi="Arial" w:cs="Arial"/>
                <w:sz w:val="22"/>
                <w:szCs w:val="22"/>
                <w:lang w:eastAsia="en-GB"/>
              </w:rPr>
              <w:t>Better diagnosis of upper respiratory tract infections delivering the appropriate antimicrobials based on test result and clinical assessment.</w:t>
            </w:r>
          </w:p>
        </w:tc>
      </w:tr>
      <w:tr w:rsidR="00E40E6B" w:rsidRPr="003A773E" w14:paraId="26A228F3" w14:textId="77777777" w:rsidTr="004E35A1">
        <w:trPr>
          <w:trHeight w:val="282"/>
        </w:trPr>
        <w:tc>
          <w:tcPr>
            <w:tcW w:w="708" w:type="dxa"/>
          </w:tcPr>
          <w:p w14:paraId="00CFFAF8" w14:textId="66E1C4C6"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14</w:t>
            </w:r>
          </w:p>
        </w:tc>
        <w:tc>
          <w:tcPr>
            <w:tcW w:w="1697" w:type="dxa"/>
          </w:tcPr>
          <w:p w14:paraId="2B994A8F" w14:textId="3A6CE143" w:rsidR="00E40E6B" w:rsidRPr="003A773E" w:rsidRDefault="004E35A1" w:rsidP="002C7F94">
            <w:pPr>
              <w:rPr>
                <w:rFonts w:ascii="Arial" w:hAnsi="Arial" w:cs="Arial"/>
                <w:sz w:val="22"/>
                <w:szCs w:val="22"/>
                <w:lang w:eastAsia="en-GB"/>
              </w:rPr>
            </w:pPr>
            <w:r w:rsidRPr="004E35A1">
              <w:rPr>
                <w:rFonts w:ascii="Arial" w:hAnsi="Arial" w:cs="Arial"/>
                <w:sz w:val="22"/>
                <w:szCs w:val="22"/>
                <w:lang w:eastAsia="en-GB"/>
              </w:rPr>
              <w:t>Prescribing antimicrobials</w:t>
            </w:r>
          </w:p>
        </w:tc>
        <w:tc>
          <w:tcPr>
            <w:tcW w:w="1560" w:type="dxa"/>
          </w:tcPr>
          <w:p w14:paraId="45DB9E7C" w14:textId="1945F373"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155BE334"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 xml:space="preserve">We would suggest that such guidance cross references the existing pneumonia Quality Standard – </w:t>
            </w:r>
            <w:r w:rsidRPr="00E40E6B">
              <w:rPr>
                <w:rFonts w:ascii="Arial" w:hAnsi="Arial" w:cs="Arial"/>
                <w:sz w:val="22"/>
                <w:szCs w:val="22"/>
                <w:lang w:eastAsia="en-GB"/>
              </w:rPr>
              <w:lastRenderedPageBreak/>
              <w:t>Specifically statements 1-2 would apply to ARI hubs and 3-5 to virtual wards.</w:t>
            </w:r>
          </w:p>
        </w:tc>
        <w:tc>
          <w:tcPr>
            <w:tcW w:w="7225" w:type="dxa"/>
          </w:tcPr>
          <w:p w14:paraId="0127ECE7"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 xml:space="preserve">Statement 1 Adults have a mortality risk assessment using the CRB65 score when they are diagnosed with community acquired pneumonia in primary care. </w:t>
            </w:r>
          </w:p>
          <w:p w14:paraId="73B8176E" w14:textId="77777777" w:rsidR="00E40E6B" w:rsidRPr="003A773E" w:rsidRDefault="00E40E6B" w:rsidP="002C7F94">
            <w:pPr>
              <w:rPr>
                <w:rFonts w:ascii="Arial" w:hAnsi="Arial" w:cs="Arial"/>
                <w:sz w:val="22"/>
                <w:szCs w:val="22"/>
                <w:lang w:eastAsia="en-GB"/>
              </w:rPr>
            </w:pPr>
          </w:p>
          <w:p w14:paraId="7867DC08"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 xml:space="preserve">Statement 2 Adults with low severity community acquired pneumonia are prescribed a </w:t>
            </w:r>
            <w:proofErr w:type="gramStart"/>
            <w:r w:rsidRPr="003A773E">
              <w:rPr>
                <w:rFonts w:ascii="Arial" w:hAnsi="Arial" w:cs="Arial"/>
                <w:sz w:val="22"/>
                <w:szCs w:val="22"/>
                <w:lang w:eastAsia="en-GB"/>
              </w:rPr>
              <w:t>5 day</w:t>
            </w:r>
            <w:proofErr w:type="gramEnd"/>
            <w:r w:rsidRPr="003A773E">
              <w:rPr>
                <w:rFonts w:ascii="Arial" w:hAnsi="Arial" w:cs="Arial"/>
                <w:sz w:val="22"/>
                <w:szCs w:val="22"/>
                <w:lang w:eastAsia="en-GB"/>
              </w:rPr>
              <w:t xml:space="preserve"> course of a single antibiotic.</w:t>
            </w:r>
          </w:p>
          <w:p w14:paraId="43711B10" w14:textId="77777777" w:rsidR="00E40E6B" w:rsidRPr="003A773E" w:rsidRDefault="00E40E6B" w:rsidP="002C7F94">
            <w:pPr>
              <w:rPr>
                <w:rFonts w:ascii="Arial" w:hAnsi="Arial" w:cs="Arial"/>
                <w:sz w:val="22"/>
                <w:szCs w:val="22"/>
                <w:lang w:eastAsia="en-GB"/>
              </w:rPr>
            </w:pPr>
          </w:p>
          <w:p w14:paraId="65280DE6"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Statement 3 Adults with suspected community acquired pneumonia in hospital have a chest X ray and receive a diagnosis within 4 hours of presentation.</w:t>
            </w:r>
          </w:p>
          <w:p w14:paraId="4CAA2FA2" w14:textId="77777777" w:rsidR="00E40E6B" w:rsidRPr="003A773E" w:rsidRDefault="00E40E6B" w:rsidP="002C7F94">
            <w:pPr>
              <w:rPr>
                <w:rFonts w:ascii="Arial" w:hAnsi="Arial" w:cs="Arial"/>
                <w:sz w:val="22"/>
                <w:szCs w:val="22"/>
                <w:lang w:eastAsia="en-GB"/>
              </w:rPr>
            </w:pPr>
          </w:p>
          <w:p w14:paraId="37F23617"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Statement 4 Adults have a mortality risk assessment using the CURB65 score when they are diagnosed with community acquired pneumonia in hospital.</w:t>
            </w:r>
          </w:p>
          <w:p w14:paraId="6211DAD5" w14:textId="77777777" w:rsidR="00E40E6B" w:rsidRPr="003A773E" w:rsidRDefault="00E40E6B" w:rsidP="002C7F94">
            <w:pPr>
              <w:rPr>
                <w:rFonts w:ascii="Arial" w:hAnsi="Arial" w:cs="Arial"/>
                <w:sz w:val="22"/>
                <w:szCs w:val="22"/>
                <w:lang w:eastAsia="en-GB"/>
              </w:rPr>
            </w:pPr>
          </w:p>
          <w:p w14:paraId="62050C59"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Statement 5 Adults with community acquired pneumonia who are admitted to hospital start antibiotic therapy within 4 hours of presentation.</w:t>
            </w:r>
          </w:p>
          <w:p w14:paraId="5BE72656" w14:textId="77777777" w:rsidR="00E40E6B" w:rsidRDefault="00E40E6B" w:rsidP="002C7F94">
            <w:pPr>
              <w:rPr>
                <w:rFonts w:ascii="Arial" w:hAnsi="Arial" w:cs="Arial"/>
                <w:sz w:val="22"/>
                <w:szCs w:val="22"/>
                <w:lang w:eastAsia="en-GB"/>
              </w:rPr>
            </w:pPr>
          </w:p>
          <w:p w14:paraId="76B78C8B" w14:textId="48FDA708" w:rsidR="00E40E6B" w:rsidRPr="003A773E" w:rsidRDefault="00E40E6B" w:rsidP="002C7F94">
            <w:pPr>
              <w:rPr>
                <w:rFonts w:ascii="Arial" w:hAnsi="Arial" w:cs="Arial"/>
                <w:sz w:val="22"/>
                <w:szCs w:val="22"/>
                <w:lang w:eastAsia="en-GB"/>
              </w:rPr>
            </w:pPr>
            <w:r>
              <w:rPr>
                <w:rFonts w:ascii="Arial" w:hAnsi="Arial" w:cs="Arial"/>
                <w:sz w:val="22"/>
                <w:szCs w:val="22"/>
                <w:lang w:eastAsia="en-GB"/>
              </w:rPr>
              <w:t xml:space="preserve">Supporting information: </w:t>
            </w:r>
            <w:r w:rsidRPr="003A773E">
              <w:rPr>
                <w:rFonts w:ascii="Arial" w:hAnsi="Arial" w:cs="Arial"/>
                <w:sz w:val="22"/>
                <w:szCs w:val="22"/>
                <w:lang w:eastAsia="en-GB"/>
              </w:rPr>
              <w:t>British Thoracic Society guidance on Community Acquired Pneumonia</w:t>
            </w:r>
            <w:r>
              <w:rPr>
                <w:rFonts w:ascii="Arial" w:hAnsi="Arial" w:cs="Arial"/>
                <w:sz w:val="22"/>
                <w:szCs w:val="22"/>
                <w:lang w:eastAsia="en-GB"/>
              </w:rPr>
              <w:t>.</w:t>
            </w:r>
          </w:p>
        </w:tc>
      </w:tr>
      <w:tr w:rsidR="00E40E6B" w:rsidRPr="003A773E" w14:paraId="42568C25" w14:textId="77777777" w:rsidTr="004E35A1">
        <w:trPr>
          <w:trHeight w:val="282"/>
        </w:trPr>
        <w:tc>
          <w:tcPr>
            <w:tcW w:w="708" w:type="dxa"/>
          </w:tcPr>
          <w:p w14:paraId="3609C96B" w14:textId="71603706" w:rsidR="00E40E6B" w:rsidRPr="003A773E" w:rsidRDefault="00E40E6B" w:rsidP="002C7F94">
            <w:pPr>
              <w:rPr>
                <w:rFonts w:ascii="Arial" w:hAnsi="Arial" w:cs="Arial"/>
                <w:sz w:val="22"/>
                <w:szCs w:val="22"/>
                <w:lang w:eastAsia="en-GB"/>
              </w:rPr>
            </w:pPr>
            <w:bookmarkStart w:id="124" w:name="_Hlk140570317"/>
            <w:r w:rsidRPr="003A773E">
              <w:rPr>
                <w:rFonts w:ascii="Arial" w:hAnsi="Arial" w:cs="Arial"/>
                <w:sz w:val="22"/>
                <w:szCs w:val="22"/>
                <w:lang w:eastAsia="en-GB"/>
              </w:rPr>
              <w:lastRenderedPageBreak/>
              <w:t>15</w:t>
            </w:r>
          </w:p>
        </w:tc>
        <w:tc>
          <w:tcPr>
            <w:tcW w:w="1697" w:type="dxa"/>
          </w:tcPr>
          <w:p w14:paraId="2A373B48" w14:textId="46B42847" w:rsidR="00E40E6B" w:rsidRPr="003A773E" w:rsidRDefault="004E35A1" w:rsidP="002C7F94">
            <w:pPr>
              <w:rPr>
                <w:rFonts w:ascii="Arial" w:hAnsi="Arial" w:cs="Arial"/>
                <w:sz w:val="22"/>
                <w:szCs w:val="22"/>
                <w:lang w:eastAsia="en-GB"/>
              </w:rPr>
            </w:pPr>
            <w:r>
              <w:rPr>
                <w:rFonts w:ascii="Arial" w:hAnsi="Arial" w:cs="Arial"/>
                <w:sz w:val="22"/>
                <w:szCs w:val="22"/>
                <w:lang w:eastAsia="en-GB"/>
              </w:rPr>
              <w:t>Referral criteria</w:t>
            </w:r>
          </w:p>
        </w:tc>
        <w:tc>
          <w:tcPr>
            <w:tcW w:w="1560" w:type="dxa"/>
          </w:tcPr>
          <w:p w14:paraId="3080F13A" w14:textId="32CE2A3D"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Expert 1 </w:t>
            </w:r>
          </w:p>
        </w:tc>
        <w:tc>
          <w:tcPr>
            <w:tcW w:w="2976" w:type="dxa"/>
          </w:tcPr>
          <w:p w14:paraId="5DB3125D"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3</w:t>
            </w:r>
          </w:p>
        </w:tc>
        <w:tc>
          <w:tcPr>
            <w:tcW w:w="7225" w:type="dxa"/>
          </w:tcPr>
          <w:p w14:paraId="39D460E3"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Treatment and Recovery options depending upon the setting. For example, at home (supported physically or virtually), in a specialised unit, as an in-patient, etc.</w:t>
            </w:r>
          </w:p>
        </w:tc>
      </w:tr>
      <w:tr w:rsidR="00E40E6B" w:rsidRPr="003A773E" w14:paraId="3DFD3E44" w14:textId="77777777" w:rsidTr="004E35A1">
        <w:trPr>
          <w:trHeight w:val="282"/>
        </w:trPr>
        <w:tc>
          <w:tcPr>
            <w:tcW w:w="708" w:type="dxa"/>
          </w:tcPr>
          <w:p w14:paraId="0D4B519E" w14:textId="12018031"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16</w:t>
            </w:r>
          </w:p>
        </w:tc>
        <w:tc>
          <w:tcPr>
            <w:tcW w:w="1697" w:type="dxa"/>
          </w:tcPr>
          <w:p w14:paraId="6221BDC3" w14:textId="6D9D90BA" w:rsidR="00E40E6B" w:rsidRPr="003A773E" w:rsidRDefault="004E35A1" w:rsidP="002C7F94">
            <w:pPr>
              <w:rPr>
                <w:rFonts w:ascii="Arial" w:hAnsi="Arial" w:cs="Arial"/>
                <w:sz w:val="22"/>
                <w:szCs w:val="22"/>
                <w:lang w:eastAsia="en-GB"/>
              </w:rPr>
            </w:pPr>
            <w:r w:rsidRPr="004E35A1">
              <w:rPr>
                <w:rFonts w:ascii="Arial" w:hAnsi="Arial" w:cs="Arial"/>
                <w:sz w:val="22"/>
                <w:szCs w:val="22"/>
                <w:lang w:eastAsia="en-GB"/>
              </w:rPr>
              <w:t>Referral criteria</w:t>
            </w:r>
          </w:p>
        </w:tc>
        <w:tc>
          <w:tcPr>
            <w:tcW w:w="1560" w:type="dxa"/>
          </w:tcPr>
          <w:p w14:paraId="1D86DCA3" w14:textId="23E9F9D2"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Expert 2 </w:t>
            </w:r>
          </w:p>
        </w:tc>
        <w:tc>
          <w:tcPr>
            <w:tcW w:w="2976" w:type="dxa"/>
          </w:tcPr>
          <w:p w14:paraId="59CB2292"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Criteria for referral to secondary care</w:t>
            </w:r>
          </w:p>
        </w:tc>
        <w:tc>
          <w:tcPr>
            <w:tcW w:w="7225" w:type="dxa"/>
          </w:tcPr>
          <w:p w14:paraId="60FA0E35" w14:textId="77777777" w:rsidR="00E40E6B" w:rsidRPr="003A773E" w:rsidRDefault="00E40E6B" w:rsidP="002C7F94">
            <w:pPr>
              <w:rPr>
                <w:rFonts w:ascii="Arial" w:hAnsi="Arial" w:cs="Arial"/>
                <w:b/>
                <w:sz w:val="22"/>
                <w:szCs w:val="22"/>
                <w:lang w:eastAsia="en-GB"/>
              </w:rPr>
            </w:pPr>
            <w:r w:rsidRPr="003A773E">
              <w:rPr>
                <w:rFonts w:ascii="Arial" w:hAnsi="Arial" w:cs="Arial"/>
                <w:sz w:val="22"/>
                <w:szCs w:val="22"/>
                <w:lang w:eastAsia="en-GB"/>
              </w:rPr>
              <w:t xml:space="preserve">In patients on VW or reviewed in ARI hubs, a variety of different criteria are used to determine referral to ED / hot clinics. </w:t>
            </w:r>
          </w:p>
        </w:tc>
      </w:tr>
      <w:bookmarkEnd w:id="124"/>
      <w:tr w:rsidR="00E40E6B" w:rsidRPr="003A773E" w14:paraId="1F4A909B" w14:textId="77777777" w:rsidTr="004E35A1">
        <w:trPr>
          <w:trHeight w:val="282"/>
        </w:trPr>
        <w:tc>
          <w:tcPr>
            <w:tcW w:w="708" w:type="dxa"/>
          </w:tcPr>
          <w:p w14:paraId="374A89F3" w14:textId="62F40F18"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17</w:t>
            </w:r>
          </w:p>
        </w:tc>
        <w:tc>
          <w:tcPr>
            <w:tcW w:w="1697" w:type="dxa"/>
          </w:tcPr>
          <w:p w14:paraId="6C22BF83" w14:textId="77777777" w:rsidR="00B952C1" w:rsidRPr="00B952C1" w:rsidRDefault="00B952C1" w:rsidP="00B952C1">
            <w:pPr>
              <w:rPr>
                <w:rFonts w:ascii="Arial" w:hAnsi="Arial" w:cs="Arial"/>
                <w:sz w:val="22"/>
                <w:szCs w:val="22"/>
                <w:lang w:eastAsia="en-GB"/>
              </w:rPr>
            </w:pPr>
            <w:r w:rsidRPr="00B952C1">
              <w:rPr>
                <w:rFonts w:ascii="Arial" w:hAnsi="Arial" w:cs="Arial"/>
                <w:sz w:val="22"/>
                <w:szCs w:val="22"/>
                <w:lang w:eastAsia="en-GB"/>
              </w:rPr>
              <w:t>Virtual wards: care and support</w:t>
            </w:r>
          </w:p>
          <w:p w14:paraId="309A8E74" w14:textId="77777777" w:rsidR="00E40E6B" w:rsidRPr="003A773E" w:rsidRDefault="00E40E6B" w:rsidP="002C7F94">
            <w:pPr>
              <w:rPr>
                <w:rFonts w:ascii="Arial" w:hAnsi="Arial" w:cs="Arial"/>
                <w:sz w:val="22"/>
                <w:szCs w:val="22"/>
                <w:lang w:eastAsia="en-GB"/>
              </w:rPr>
            </w:pPr>
          </w:p>
        </w:tc>
        <w:tc>
          <w:tcPr>
            <w:tcW w:w="1560" w:type="dxa"/>
          </w:tcPr>
          <w:p w14:paraId="419B018D" w14:textId="4379BED3"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Expert 1</w:t>
            </w:r>
          </w:p>
        </w:tc>
        <w:tc>
          <w:tcPr>
            <w:tcW w:w="2976" w:type="dxa"/>
          </w:tcPr>
          <w:p w14:paraId="729742A1"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4</w:t>
            </w:r>
          </w:p>
        </w:tc>
        <w:tc>
          <w:tcPr>
            <w:tcW w:w="7225" w:type="dxa"/>
          </w:tcPr>
          <w:p w14:paraId="2FE41479"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Virtual wards:</w:t>
            </w:r>
          </w:p>
          <w:p w14:paraId="5BF234B5"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Clinical governance is essential:</w:t>
            </w:r>
          </w:p>
          <w:p w14:paraId="75DCD9EB"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t>Formalised pathways to ensure early recognition of deteriorating symptoms supported by a process to manage in/out of hours requirements</w:t>
            </w:r>
          </w:p>
          <w:p w14:paraId="34A1083B"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t>Appropriate escalation processes</w:t>
            </w:r>
          </w:p>
          <w:p w14:paraId="20C57CA7"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t>A process to ensure patients are safe and the process is effective if the virtual ward is being provided by more than one provider, is being provided to anyone where protected or defined characteristics are involved, etc.</w:t>
            </w:r>
          </w:p>
        </w:tc>
      </w:tr>
      <w:tr w:rsidR="00E40E6B" w:rsidRPr="003A773E" w14:paraId="628143FD" w14:textId="77777777" w:rsidTr="004E35A1">
        <w:trPr>
          <w:trHeight w:val="282"/>
        </w:trPr>
        <w:tc>
          <w:tcPr>
            <w:tcW w:w="708" w:type="dxa"/>
          </w:tcPr>
          <w:p w14:paraId="0A9A3C84" w14:textId="7B532672"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18</w:t>
            </w:r>
          </w:p>
        </w:tc>
        <w:tc>
          <w:tcPr>
            <w:tcW w:w="1697" w:type="dxa"/>
          </w:tcPr>
          <w:p w14:paraId="251CFE84" w14:textId="272762F1"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care and support</w:t>
            </w:r>
          </w:p>
        </w:tc>
        <w:tc>
          <w:tcPr>
            <w:tcW w:w="1560" w:type="dxa"/>
          </w:tcPr>
          <w:p w14:paraId="5A103BE3" w14:textId="3457BDE6"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Expert 1</w:t>
            </w:r>
          </w:p>
        </w:tc>
        <w:tc>
          <w:tcPr>
            <w:tcW w:w="2976" w:type="dxa"/>
          </w:tcPr>
          <w:p w14:paraId="3BD66C8D"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2</w:t>
            </w:r>
          </w:p>
        </w:tc>
        <w:tc>
          <w:tcPr>
            <w:tcW w:w="7225" w:type="dxa"/>
          </w:tcPr>
          <w:p w14:paraId="2C0F2515"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Virtual wards:</w:t>
            </w:r>
          </w:p>
          <w:p w14:paraId="5C0E5185"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Patients and their carers (along with staff) need to trust the technology/system/process:</w:t>
            </w:r>
          </w:p>
          <w:p w14:paraId="2C5A52AE" w14:textId="77777777" w:rsidR="00E40E6B" w:rsidRPr="003A773E" w:rsidRDefault="00E40E6B" w:rsidP="002C7F94">
            <w:pPr>
              <w:rPr>
                <w:rFonts w:ascii="Arial" w:hAnsi="Arial" w:cs="Arial"/>
                <w:sz w:val="22"/>
                <w:szCs w:val="22"/>
                <w:lang w:eastAsia="en-GB"/>
              </w:rPr>
            </w:pPr>
          </w:p>
          <w:p w14:paraId="20229E40"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t xml:space="preserve">That the data is getting through and is being reviewed regularly and that there </w:t>
            </w:r>
            <w:proofErr w:type="gramStart"/>
            <w:r w:rsidRPr="003A773E">
              <w:rPr>
                <w:rFonts w:ascii="Arial" w:hAnsi="Arial" w:cs="Arial"/>
                <w:sz w:val="22"/>
                <w:szCs w:val="22"/>
                <w:lang w:eastAsia="en-GB"/>
              </w:rPr>
              <w:t>are</w:t>
            </w:r>
            <w:proofErr w:type="gramEnd"/>
            <w:r w:rsidRPr="003A773E">
              <w:rPr>
                <w:rFonts w:ascii="Arial" w:hAnsi="Arial" w:cs="Arial"/>
                <w:sz w:val="22"/>
                <w:szCs w:val="22"/>
                <w:lang w:eastAsia="en-GB"/>
              </w:rPr>
              <w:t xml:space="preserve"> mechanism to ensure any changes are picked up quickly, patients will have access to treatment</w:t>
            </w:r>
          </w:p>
          <w:p w14:paraId="6B1DCA33"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t>That there is the option for a chat/face-to-face discussion when it is needed or when patients feel they need support</w:t>
            </w:r>
          </w:p>
          <w:p w14:paraId="70E2F545"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t xml:space="preserve">That they can access the medication, treatment, tests etc, that they need quickly for example if things change, if they feel worse/better, </w:t>
            </w:r>
            <w:proofErr w:type="gramStart"/>
            <w:r w:rsidRPr="003A773E">
              <w:rPr>
                <w:rFonts w:ascii="Arial" w:hAnsi="Arial" w:cs="Arial"/>
                <w:sz w:val="22"/>
                <w:szCs w:val="22"/>
                <w:lang w:eastAsia="en-GB"/>
              </w:rPr>
              <w:t>etc.</w:t>
            </w:r>
            <w:proofErr w:type="gramEnd"/>
            <w:r w:rsidRPr="003A773E">
              <w:rPr>
                <w:rFonts w:ascii="Arial" w:hAnsi="Arial" w:cs="Arial"/>
                <w:sz w:val="22"/>
                <w:szCs w:val="22"/>
                <w:lang w:eastAsia="en-GB"/>
              </w:rPr>
              <w:t xml:space="preserve"> and that they will not be disadvantaged by being treated virtually</w:t>
            </w:r>
          </w:p>
        </w:tc>
      </w:tr>
      <w:tr w:rsidR="00E40E6B" w:rsidRPr="003A773E" w14:paraId="287D6433" w14:textId="77777777" w:rsidTr="004E35A1">
        <w:trPr>
          <w:trHeight w:val="282"/>
        </w:trPr>
        <w:tc>
          <w:tcPr>
            <w:tcW w:w="708" w:type="dxa"/>
          </w:tcPr>
          <w:p w14:paraId="141A29AA" w14:textId="161E9B3E"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19</w:t>
            </w:r>
          </w:p>
        </w:tc>
        <w:tc>
          <w:tcPr>
            <w:tcW w:w="1697" w:type="dxa"/>
          </w:tcPr>
          <w:p w14:paraId="59ED7729" w14:textId="7EDDA9D6"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care and support</w:t>
            </w:r>
          </w:p>
        </w:tc>
        <w:tc>
          <w:tcPr>
            <w:tcW w:w="1560" w:type="dxa"/>
          </w:tcPr>
          <w:p w14:paraId="4ABD0FB0" w14:textId="645CDF40"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520F9DDD"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We would suggest that such guidance cross references the existing pneumonia Quality Standard – Specifically statements 1-2 would apply to ARI hubs and 3-5 to virtual wards.</w:t>
            </w:r>
          </w:p>
        </w:tc>
        <w:tc>
          <w:tcPr>
            <w:tcW w:w="7225" w:type="dxa"/>
          </w:tcPr>
          <w:p w14:paraId="3C2819B4"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Statement 1 Adults have a mortality risk assessment using the CRB65 score when they are diagnosed with community acquired pneumonia in primary care. </w:t>
            </w:r>
          </w:p>
          <w:p w14:paraId="696ECFE0" w14:textId="77777777" w:rsidR="00E40E6B" w:rsidRPr="003A773E" w:rsidRDefault="00E40E6B" w:rsidP="002C7F94">
            <w:pPr>
              <w:rPr>
                <w:rFonts w:ascii="Arial" w:hAnsi="Arial" w:cs="Arial"/>
                <w:sz w:val="22"/>
                <w:szCs w:val="22"/>
                <w:lang w:eastAsia="en-GB"/>
              </w:rPr>
            </w:pPr>
          </w:p>
          <w:p w14:paraId="5B29BB23"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Statement 2 Adults with low severity community acquired pneumonia are prescribed a </w:t>
            </w:r>
            <w:proofErr w:type="gramStart"/>
            <w:r w:rsidRPr="003A773E">
              <w:rPr>
                <w:rFonts w:ascii="Arial" w:hAnsi="Arial" w:cs="Arial"/>
                <w:sz w:val="22"/>
                <w:szCs w:val="22"/>
                <w:lang w:eastAsia="en-GB"/>
              </w:rPr>
              <w:t>5 day</w:t>
            </w:r>
            <w:proofErr w:type="gramEnd"/>
            <w:r w:rsidRPr="003A773E">
              <w:rPr>
                <w:rFonts w:ascii="Arial" w:hAnsi="Arial" w:cs="Arial"/>
                <w:sz w:val="22"/>
                <w:szCs w:val="22"/>
                <w:lang w:eastAsia="en-GB"/>
              </w:rPr>
              <w:t xml:space="preserve"> course of a single antibiotic.</w:t>
            </w:r>
          </w:p>
          <w:p w14:paraId="6AFD03BB" w14:textId="77777777" w:rsidR="00E40E6B" w:rsidRPr="003A773E" w:rsidRDefault="00E40E6B" w:rsidP="002C7F94">
            <w:pPr>
              <w:rPr>
                <w:rFonts w:ascii="Arial" w:hAnsi="Arial" w:cs="Arial"/>
                <w:sz w:val="22"/>
                <w:szCs w:val="22"/>
                <w:lang w:eastAsia="en-GB"/>
              </w:rPr>
            </w:pPr>
          </w:p>
          <w:p w14:paraId="07850ADB"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Statement 3 Adults with suspected community acquired pneumonia in hospital have a chest X ray and receive a diagnosis within 4 hours of presentation.</w:t>
            </w:r>
          </w:p>
          <w:p w14:paraId="15FE3905" w14:textId="77777777" w:rsidR="00E40E6B" w:rsidRPr="003A773E" w:rsidRDefault="00E40E6B" w:rsidP="002C7F94">
            <w:pPr>
              <w:rPr>
                <w:rFonts w:ascii="Arial" w:hAnsi="Arial" w:cs="Arial"/>
                <w:sz w:val="22"/>
                <w:szCs w:val="22"/>
                <w:lang w:eastAsia="en-GB"/>
              </w:rPr>
            </w:pPr>
          </w:p>
          <w:p w14:paraId="54DE36E7"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Statement 4 Adults have a mortality risk assessment using the CURB65 score when they are diagnosed with community acquired pneumonia in hospital.</w:t>
            </w:r>
          </w:p>
          <w:p w14:paraId="6BED1DB2" w14:textId="77777777" w:rsidR="00E40E6B" w:rsidRPr="003A773E" w:rsidRDefault="00E40E6B" w:rsidP="002C7F94">
            <w:pPr>
              <w:rPr>
                <w:rFonts w:ascii="Arial" w:hAnsi="Arial" w:cs="Arial"/>
                <w:sz w:val="22"/>
                <w:szCs w:val="22"/>
                <w:lang w:eastAsia="en-GB"/>
              </w:rPr>
            </w:pPr>
          </w:p>
          <w:p w14:paraId="02993772"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Statement 5 Adults with community acquired pneumonia who are admitted to hospital start antibiotic therapy within 4 hours of presentation.</w:t>
            </w:r>
          </w:p>
          <w:p w14:paraId="416969B9" w14:textId="77777777" w:rsidR="00E40E6B" w:rsidRDefault="00E40E6B" w:rsidP="002C7F94">
            <w:pPr>
              <w:rPr>
                <w:rFonts w:ascii="Arial" w:hAnsi="Arial" w:cs="Arial"/>
                <w:sz w:val="22"/>
                <w:szCs w:val="22"/>
                <w:lang w:eastAsia="en-GB"/>
              </w:rPr>
            </w:pPr>
          </w:p>
          <w:p w14:paraId="4AF0B49B" w14:textId="392B18B4" w:rsidR="00E40E6B" w:rsidRPr="003A773E" w:rsidRDefault="00E40E6B" w:rsidP="002C7F94">
            <w:pPr>
              <w:rPr>
                <w:rFonts w:ascii="Arial" w:hAnsi="Arial" w:cs="Arial"/>
                <w:sz w:val="22"/>
                <w:szCs w:val="22"/>
                <w:lang w:eastAsia="en-GB"/>
              </w:rPr>
            </w:pPr>
            <w:r>
              <w:rPr>
                <w:rFonts w:ascii="Arial" w:hAnsi="Arial" w:cs="Arial"/>
                <w:sz w:val="22"/>
                <w:szCs w:val="22"/>
                <w:lang w:eastAsia="en-GB"/>
              </w:rPr>
              <w:t xml:space="preserve">Supporting information: </w:t>
            </w:r>
            <w:r w:rsidRPr="00E40E6B">
              <w:rPr>
                <w:rFonts w:ascii="Arial" w:hAnsi="Arial" w:cs="Arial"/>
                <w:sz w:val="22"/>
                <w:szCs w:val="22"/>
                <w:lang w:eastAsia="en-GB"/>
              </w:rPr>
              <w:t>British Thoracic Society guidance on Community Acquired Pneumonia</w:t>
            </w:r>
          </w:p>
        </w:tc>
      </w:tr>
      <w:tr w:rsidR="00E40E6B" w:rsidRPr="003A773E" w14:paraId="55028818" w14:textId="77777777" w:rsidTr="004E35A1">
        <w:trPr>
          <w:trHeight w:val="282"/>
        </w:trPr>
        <w:tc>
          <w:tcPr>
            <w:tcW w:w="708" w:type="dxa"/>
          </w:tcPr>
          <w:p w14:paraId="6D79BDFC" w14:textId="129E0FD1"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20</w:t>
            </w:r>
          </w:p>
        </w:tc>
        <w:tc>
          <w:tcPr>
            <w:tcW w:w="1697" w:type="dxa"/>
          </w:tcPr>
          <w:p w14:paraId="7969A372" w14:textId="27503601"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care and support</w:t>
            </w:r>
          </w:p>
        </w:tc>
        <w:tc>
          <w:tcPr>
            <w:tcW w:w="1560" w:type="dxa"/>
          </w:tcPr>
          <w:p w14:paraId="727A54FF" w14:textId="060142BB"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British Thoracic Society</w:t>
            </w:r>
          </w:p>
        </w:tc>
        <w:tc>
          <w:tcPr>
            <w:tcW w:w="2976" w:type="dxa"/>
          </w:tcPr>
          <w:p w14:paraId="5A1B9C91"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4</w:t>
            </w:r>
          </w:p>
        </w:tc>
        <w:tc>
          <w:tcPr>
            <w:tcW w:w="7225" w:type="dxa"/>
          </w:tcPr>
          <w:p w14:paraId="20D7BEBA" w14:textId="049A03EF" w:rsidR="00E40E6B" w:rsidRPr="009B5C33" w:rsidRDefault="00E40E6B" w:rsidP="009B5C33">
            <w:pPr>
              <w:spacing w:before="100" w:beforeAutospacing="1" w:after="100" w:afterAutospacing="1"/>
              <w:rPr>
                <w:rFonts w:ascii="Arial" w:hAnsi="Arial" w:cs="Arial"/>
                <w:color w:val="000000"/>
                <w:sz w:val="22"/>
                <w:szCs w:val="22"/>
              </w:rPr>
            </w:pPr>
            <w:r w:rsidRPr="003A773E">
              <w:rPr>
                <w:rFonts w:ascii="Arial" w:hAnsi="Arial" w:cs="Arial"/>
                <w:color w:val="000000"/>
                <w:sz w:val="22"/>
                <w:szCs w:val="22"/>
              </w:rPr>
              <w:t xml:space="preserve">Improving education for patients with exacerbations of chronic lung diseases so they are reassured when managed in a virtual ward setting and can engage </w:t>
            </w:r>
            <w:proofErr w:type="spellStart"/>
            <w:r w:rsidRPr="003A773E">
              <w:rPr>
                <w:rFonts w:ascii="Arial" w:hAnsi="Arial" w:cs="Arial"/>
                <w:color w:val="000000"/>
                <w:sz w:val="22"/>
                <w:szCs w:val="22"/>
              </w:rPr>
              <w:t>self management</w:t>
            </w:r>
            <w:proofErr w:type="spellEnd"/>
            <w:r w:rsidRPr="003A773E">
              <w:rPr>
                <w:rFonts w:ascii="Arial" w:hAnsi="Arial" w:cs="Arial"/>
                <w:color w:val="000000"/>
                <w:sz w:val="22"/>
                <w:szCs w:val="22"/>
              </w:rPr>
              <w:t xml:space="preserve"> accordingly. Steroids should be only taken if wheezy and tight-chested</w:t>
            </w:r>
            <w:r w:rsidR="009B5C33">
              <w:rPr>
                <w:rFonts w:ascii="Arial" w:hAnsi="Arial" w:cs="Arial"/>
                <w:color w:val="000000"/>
                <w:sz w:val="22"/>
                <w:szCs w:val="22"/>
              </w:rPr>
              <w:t>.</w:t>
            </w:r>
          </w:p>
        </w:tc>
      </w:tr>
      <w:tr w:rsidR="00E40E6B" w:rsidRPr="003A773E" w14:paraId="6859106E" w14:textId="77777777" w:rsidTr="004E35A1">
        <w:trPr>
          <w:trHeight w:val="282"/>
        </w:trPr>
        <w:tc>
          <w:tcPr>
            <w:tcW w:w="708" w:type="dxa"/>
          </w:tcPr>
          <w:p w14:paraId="5D2BE6FF" w14:textId="4DED4966"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21</w:t>
            </w:r>
          </w:p>
        </w:tc>
        <w:tc>
          <w:tcPr>
            <w:tcW w:w="1697" w:type="dxa"/>
          </w:tcPr>
          <w:p w14:paraId="5B07D4AD" w14:textId="733113BB"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care and support</w:t>
            </w:r>
          </w:p>
        </w:tc>
        <w:tc>
          <w:tcPr>
            <w:tcW w:w="1560" w:type="dxa"/>
          </w:tcPr>
          <w:p w14:paraId="78499C26" w14:textId="64B0505C"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Association of Respiratory Nurses</w:t>
            </w:r>
          </w:p>
        </w:tc>
        <w:tc>
          <w:tcPr>
            <w:tcW w:w="2976" w:type="dxa"/>
          </w:tcPr>
          <w:p w14:paraId="3AF86400"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Visibility of Virtual Wards within systems - partnership working.</w:t>
            </w:r>
          </w:p>
        </w:tc>
        <w:tc>
          <w:tcPr>
            <w:tcW w:w="7225" w:type="dxa"/>
          </w:tcPr>
          <w:p w14:paraId="66213A20"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Effective communication and information sharing across the primary and secondary care interface can be poor. </w:t>
            </w:r>
          </w:p>
          <w:p w14:paraId="23BFCD92" w14:textId="77777777" w:rsidR="00E40E6B" w:rsidRPr="003A773E" w:rsidRDefault="00E40E6B" w:rsidP="002C7F94">
            <w:pPr>
              <w:rPr>
                <w:rFonts w:ascii="Arial" w:hAnsi="Arial" w:cs="Arial"/>
                <w:sz w:val="22"/>
                <w:szCs w:val="22"/>
                <w:lang w:eastAsia="en-GB"/>
              </w:rPr>
            </w:pPr>
          </w:p>
          <w:p w14:paraId="2714C9C7" w14:textId="77777777" w:rsidR="00E40E6B" w:rsidRDefault="00E40E6B" w:rsidP="00E40E6B">
            <w:pPr>
              <w:rPr>
                <w:rFonts w:ascii="Arial" w:hAnsi="Arial" w:cs="Arial"/>
                <w:sz w:val="22"/>
                <w:szCs w:val="22"/>
                <w:lang w:eastAsia="en-GB"/>
              </w:rPr>
            </w:pPr>
            <w:r w:rsidRPr="003A773E">
              <w:rPr>
                <w:rFonts w:ascii="Arial" w:hAnsi="Arial" w:cs="Arial"/>
                <w:sz w:val="22"/>
                <w:szCs w:val="22"/>
                <w:lang w:eastAsia="en-GB"/>
              </w:rPr>
              <w:t xml:space="preserve">Collaboration and integration of access to electronic patient records across primary and secondary care improves two-way sharing of information, adding value to clinical decision-making, </w:t>
            </w:r>
            <w:proofErr w:type="gramStart"/>
            <w:r w:rsidRPr="003A773E">
              <w:rPr>
                <w:rFonts w:ascii="Arial" w:hAnsi="Arial" w:cs="Arial"/>
                <w:sz w:val="22"/>
                <w:szCs w:val="22"/>
                <w:lang w:eastAsia="en-GB"/>
              </w:rPr>
              <w:t>safety</w:t>
            </w:r>
            <w:proofErr w:type="gramEnd"/>
            <w:r w:rsidRPr="003A773E">
              <w:rPr>
                <w:rFonts w:ascii="Arial" w:hAnsi="Arial" w:cs="Arial"/>
                <w:sz w:val="22"/>
                <w:szCs w:val="22"/>
                <w:lang w:eastAsia="en-GB"/>
              </w:rPr>
              <w:t xml:space="preserve"> and patient experience. </w:t>
            </w:r>
          </w:p>
          <w:p w14:paraId="4B4D53FE" w14:textId="77777777" w:rsidR="00E40E6B" w:rsidRDefault="00E40E6B" w:rsidP="00E40E6B">
            <w:pPr>
              <w:rPr>
                <w:rFonts w:ascii="Arial" w:hAnsi="Arial" w:cs="Arial"/>
                <w:sz w:val="22"/>
                <w:szCs w:val="22"/>
                <w:lang w:eastAsia="en-GB"/>
              </w:rPr>
            </w:pPr>
          </w:p>
          <w:p w14:paraId="4391C123" w14:textId="638DA059" w:rsidR="00E40E6B" w:rsidRPr="003A773E" w:rsidRDefault="00E40E6B" w:rsidP="00E40E6B">
            <w:pPr>
              <w:rPr>
                <w:rFonts w:ascii="Arial" w:hAnsi="Arial" w:cs="Arial"/>
                <w:sz w:val="22"/>
                <w:szCs w:val="22"/>
                <w:lang w:eastAsia="en-GB"/>
              </w:rPr>
            </w:pPr>
            <w:r w:rsidRPr="003A773E">
              <w:rPr>
                <w:rFonts w:ascii="Arial" w:hAnsi="Arial" w:cs="Arial"/>
                <w:sz w:val="22"/>
                <w:szCs w:val="22"/>
                <w:lang w:eastAsia="en-GB"/>
              </w:rPr>
              <w:t xml:space="preserve">See Royal College of Physicians Case Study demonstrating integrated care can reduce duplication, supports medicine reconciliation and care pathways. Reducing time spent on administration, whilst improving communication and patient safety. </w:t>
            </w:r>
            <w:hyperlink r:id="rId66" w:history="1">
              <w:r w:rsidRPr="003A773E">
                <w:rPr>
                  <w:rFonts w:ascii="Arial" w:hAnsi="Arial" w:cs="Arial"/>
                  <w:color w:val="0000FF"/>
                  <w:sz w:val="22"/>
                  <w:szCs w:val="22"/>
                  <w:u w:val="single"/>
                  <w:lang w:eastAsia="en-GB"/>
                </w:rPr>
                <w:t>https://www.rcplondon.ac.uk/file/5580/download</w:t>
              </w:r>
            </w:hyperlink>
          </w:p>
          <w:p w14:paraId="49AB41D8" w14:textId="77777777" w:rsidR="00E40E6B" w:rsidRPr="003A773E" w:rsidRDefault="00E40E6B" w:rsidP="00E40E6B">
            <w:pPr>
              <w:rPr>
                <w:rFonts w:ascii="Arial" w:hAnsi="Arial" w:cs="Arial"/>
                <w:sz w:val="22"/>
                <w:szCs w:val="22"/>
                <w:lang w:eastAsia="en-GB"/>
              </w:rPr>
            </w:pPr>
            <w:r w:rsidRPr="003A773E">
              <w:rPr>
                <w:rFonts w:ascii="Arial" w:hAnsi="Arial" w:cs="Arial"/>
                <w:sz w:val="22"/>
                <w:szCs w:val="22"/>
                <w:lang w:eastAsia="en-GB"/>
              </w:rPr>
              <w:t xml:space="preserve"> </w:t>
            </w:r>
          </w:p>
          <w:p w14:paraId="4A09C50C" w14:textId="77777777" w:rsidR="00E40E6B" w:rsidRPr="003A773E" w:rsidRDefault="00E40E6B" w:rsidP="00E40E6B">
            <w:pPr>
              <w:rPr>
                <w:rFonts w:ascii="Arial" w:hAnsi="Arial" w:cs="Arial"/>
                <w:sz w:val="22"/>
                <w:szCs w:val="22"/>
                <w:lang w:eastAsia="en-GB"/>
              </w:rPr>
            </w:pPr>
            <w:r w:rsidRPr="003A773E">
              <w:rPr>
                <w:rFonts w:ascii="Arial" w:hAnsi="Arial" w:cs="Arial"/>
                <w:sz w:val="22"/>
                <w:szCs w:val="22"/>
                <w:lang w:eastAsia="en-GB"/>
              </w:rPr>
              <w:t xml:space="preserve">See NICE Chapter 33 Integrated patient information systems supporting collaboration and integrations or EPRs. </w:t>
            </w:r>
            <w:hyperlink r:id="rId67" w:history="1">
              <w:r w:rsidRPr="003A773E">
                <w:rPr>
                  <w:rFonts w:ascii="Arial" w:hAnsi="Arial" w:cs="Arial"/>
                  <w:color w:val="0000FF"/>
                  <w:sz w:val="22"/>
                  <w:szCs w:val="22"/>
                  <w:u w:val="single"/>
                  <w:lang w:eastAsia="en-GB"/>
                </w:rPr>
                <w:t>https://www.nice.org.uk/guidance/ng94/evidence/33.integrated-patient-information-systems-pdf-172397464672</w:t>
              </w:r>
            </w:hyperlink>
          </w:p>
          <w:p w14:paraId="103E1BC1" w14:textId="73D9456F" w:rsidR="00E40E6B" w:rsidRPr="003A773E" w:rsidRDefault="00E40E6B" w:rsidP="002C7F94">
            <w:pPr>
              <w:rPr>
                <w:rFonts w:ascii="Arial" w:hAnsi="Arial" w:cs="Arial"/>
                <w:sz w:val="22"/>
                <w:szCs w:val="22"/>
                <w:lang w:eastAsia="en-GB"/>
              </w:rPr>
            </w:pPr>
          </w:p>
        </w:tc>
      </w:tr>
      <w:tr w:rsidR="00E40E6B" w:rsidRPr="003A773E" w14:paraId="6B1B9799" w14:textId="77777777" w:rsidTr="004E35A1">
        <w:trPr>
          <w:trHeight w:val="282"/>
        </w:trPr>
        <w:tc>
          <w:tcPr>
            <w:tcW w:w="708" w:type="dxa"/>
          </w:tcPr>
          <w:p w14:paraId="3BD8377C" w14:textId="768BC6D2"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22 </w:t>
            </w:r>
          </w:p>
        </w:tc>
        <w:tc>
          <w:tcPr>
            <w:tcW w:w="1697" w:type="dxa"/>
          </w:tcPr>
          <w:p w14:paraId="2AE23EB7" w14:textId="207EC917" w:rsidR="00E40E6B" w:rsidRPr="003A773E" w:rsidRDefault="00B952C1" w:rsidP="002C7F94">
            <w:pPr>
              <w:rPr>
                <w:rFonts w:ascii="Arial" w:hAnsi="Arial" w:cs="Arial"/>
                <w:sz w:val="22"/>
                <w:szCs w:val="22"/>
                <w:lang w:eastAsia="en-GB"/>
              </w:rPr>
            </w:pPr>
            <w:r>
              <w:rPr>
                <w:rFonts w:ascii="Arial" w:hAnsi="Arial" w:cs="Arial"/>
                <w:sz w:val="22"/>
                <w:szCs w:val="22"/>
                <w:lang w:eastAsia="en-GB"/>
              </w:rPr>
              <w:t>Virtual wards: service provision</w:t>
            </w:r>
          </w:p>
        </w:tc>
        <w:tc>
          <w:tcPr>
            <w:tcW w:w="1560" w:type="dxa"/>
          </w:tcPr>
          <w:p w14:paraId="70D55C9F" w14:textId="5676E955"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Primary Care Respiratory service</w:t>
            </w:r>
          </w:p>
        </w:tc>
        <w:tc>
          <w:tcPr>
            <w:tcW w:w="2976" w:type="dxa"/>
          </w:tcPr>
          <w:p w14:paraId="444F3207"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Integration into overall respiratory service provision</w:t>
            </w:r>
          </w:p>
        </w:tc>
        <w:tc>
          <w:tcPr>
            <w:tcW w:w="7225" w:type="dxa"/>
          </w:tcPr>
          <w:p w14:paraId="2D3F1089" w14:textId="65C8B898" w:rsidR="00E40E6B" w:rsidRPr="003A773E" w:rsidRDefault="00E40E6B" w:rsidP="002C7F94">
            <w:pPr>
              <w:rPr>
                <w:rFonts w:ascii="Arial" w:hAnsi="Arial" w:cs="Arial"/>
                <w:sz w:val="22"/>
                <w:szCs w:val="22"/>
                <w:lang w:eastAsia="en-GB"/>
              </w:rPr>
            </w:pPr>
            <w:r w:rsidRPr="003A773E">
              <w:rPr>
                <w:rFonts w:ascii="Arial" w:hAnsi="Arial" w:cs="Arial"/>
                <w:sz w:val="22"/>
                <w:szCs w:val="22"/>
              </w:rPr>
              <w:t>Experience of setting up an ARI service in Norfolk and Waveney</w:t>
            </w:r>
          </w:p>
        </w:tc>
      </w:tr>
      <w:tr w:rsidR="00E40E6B" w:rsidRPr="003A773E" w14:paraId="667643B2" w14:textId="77777777" w:rsidTr="004E35A1">
        <w:trPr>
          <w:trHeight w:val="282"/>
        </w:trPr>
        <w:tc>
          <w:tcPr>
            <w:tcW w:w="708" w:type="dxa"/>
          </w:tcPr>
          <w:p w14:paraId="1C93BDEC" w14:textId="4D247760"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23</w:t>
            </w:r>
          </w:p>
        </w:tc>
        <w:tc>
          <w:tcPr>
            <w:tcW w:w="1697" w:type="dxa"/>
          </w:tcPr>
          <w:p w14:paraId="68D4D3F8" w14:textId="245A284F" w:rsidR="00E40E6B" w:rsidRPr="003A773E" w:rsidRDefault="00B952C1" w:rsidP="002C7F94">
            <w:pPr>
              <w:rPr>
                <w:rFonts w:ascii="Arial" w:hAnsi="Arial" w:cs="Arial"/>
                <w:bCs/>
                <w:sz w:val="22"/>
                <w:szCs w:val="22"/>
                <w:lang w:eastAsia="en-GB"/>
              </w:rPr>
            </w:pPr>
            <w:r w:rsidRPr="00B952C1">
              <w:rPr>
                <w:rFonts w:ascii="Arial" w:hAnsi="Arial" w:cs="Arial"/>
                <w:bCs/>
                <w:sz w:val="22"/>
                <w:szCs w:val="22"/>
                <w:lang w:eastAsia="en-GB"/>
              </w:rPr>
              <w:t>Virtual wards: service provision</w:t>
            </w:r>
          </w:p>
        </w:tc>
        <w:tc>
          <w:tcPr>
            <w:tcW w:w="1560" w:type="dxa"/>
          </w:tcPr>
          <w:p w14:paraId="6AE9CB97" w14:textId="448CCE58" w:rsidR="00E40E6B" w:rsidRPr="003A773E" w:rsidRDefault="00E40E6B" w:rsidP="002C7F94">
            <w:pPr>
              <w:rPr>
                <w:rFonts w:ascii="Arial" w:hAnsi="Arial" w:cs="Arial"/>
                <w:sz w:val="22"/>
                <w:szCs w:val="22"/>
                <w:lang w:eastAsia="en-GB"/>
              </w:rPr>
            </w:pPr>
            <w:r w:rsidRPr="003A773E">
              <w:rPr>
                <w:rFonts w:ascii="Arial" w:hAnsi="Arial" w:cs="Arial"/>
                <w:bCs/>
                <w:sz w:val="22"/>
                <w:szCs w:val="22"/>
                <w:lang w:eastAsia="en-GB"/>
              </w:rPr>
              <w:t>Royal college of nursing</w:t>
            </w:r>
          </w:p>
        </w:tc>
        <w:tc>
          <w:tcPr>
            <w:tcW w:w="2976" w:type="dxa"/>
          </w:tcPr>
          <w:p w14:paraId="26345D4A" w14:textId="77777777" w:rsidR="00E40E6B" w:rsidRPr="00E40E6B" w:rsidRDefault="00E40E6B" w:rsidP="00E40E6B">
            <w:pPr>
              <w:spacing w:after="120" w:line="276" w:lineRule="auto"/>
              <w:rPr>
                <w:rFonts w:ascii="Arial" w:hAnsi="Arial" w:cs="Arial"/>
                <w:sz w:val="22"/>
                <w:szCs w:val="22"/>
                <w:lang w:eastAsia="en-GB"/>
              </w:rPr>
            </w:pPr>
            <w:r w:rsidRPr="00E40E6B">
              <w:rPr>
                <w:rFonts w:ascii="Arial" w:hAnsi="Arial" w:cs="Arial"/>
                <w:sz w:val="22"/>
                <w:szCs w:val="22"/>
                <w:lang w:eastAsia="en-GB"/>
              </w:rPr>
              <w:t>Key area for quality improvement 2</w:t>
            </w:r>
          </w:p>
          <w:p w14:paraId="41EB960E" w14:textId="77777777" w:rsidR="00E40E6B" w:rsidRPr="00E40E6B" w:rsidRDefault="001C2C97" w:rsidP="002C7F94">
            <w:pPr>
              <w:rPr>
                <w:rFonts w:ascii="Arial" w:hAnsi="Arial" w:cs="Arial"/>
                <w:sz w:val="22"/>
                <w:szCs w:val="22"/>
                <w:lang w:eastAsia="en-GB"/>
              </w:rPr>
            </w:pPr>
            <w:hyperlink r:id="rId68" w:history="1">
              <w:r w:rsidR="00E40E6B" w:rsidRPr="00E40E6B">
                <w:rPr>
                  <w:rFonts w:ascii="Arial" w:hAnsi="Arial" w:cs="Arial"/>
                  <w:color w:val="0000FF"/>
                  <w:sz w:val="22"/>
                  <w:szCs w:val="22"/>
                  <w:u w:val="single"/>
                </w:rPr>
                <w:t>Virtual Ward Platform Technologies for acute respiratory infections</w:t>
              </w:r>
            </w:hyperlink>
          </w:p>
        </w:tc>
        <w:tc>
          <w:tcPr>
            <w:tcW w:w="7225" w:type="dxa"/>
          </w:tcPr>
          <w:p w14:paraId="27143B0F" w14:textId="77777777" w:rsidR="00E40E6B" w:rsidRDefault="00E40E6B" w:rsidP="002C7F94">
            <w:pPr>
              <w:rPr>
                <w:rFonts w:ascii="Arial" w:hAnsi="Arial" w:cs="Arial"/>
                <w:sz w:val="22"/>
                <w:szCs w:val="22"/>
                <w:lang w:eastAsia="en-GB"/>
              </w:rPr>
            </w:pPr>
            <w:r w:rsidRPr="003A773E">
              <w:rPr>
                <w:rFonts w:ascii="Arial" w:hAnsi="Arial" w:cs="Arial"/>
                <w:sz w:val="22"/>
                <w:szCs w:val="22"/>
                <w:lang w:eastAsia="en-GB"/>
              </w:rPr>
              <w:t xml:space="preserve">We hear from our members that there is a need for virtual services and there needs to be investment in both the workforce, the education as well as technology. A </w:t>
            </w:r>
            <w:proofErr w:type="gramStart"/>
            <w:r w:rsidRPr="003A773E">
              <w:rPr>
                <w:rFonts w:ascii="Arial" w:hAnsi="Arial" w:cs="Arial"/>
                <w:sz w:val="22"/>
                <w:szCs w:val="22"/>
                <w:lang w:eastAsia="en-GB"/>
              </w:rPr>
              <w:t>joined up</w:t>
            </w:r>
            <w:proofErr w:type="gramEnd"/>
            <w:r w:rsidRPr="003A773E">
              <w:rPr>
                <w:rFonts w:ascii="Arial" w:hAnsi="Arial" w:cs="Arial"/>
                <w:sz w:val="22"/>
                <w:szCs w:val="22"/>
                <w:lang w:eastAsia="en-GB"/>
              </w:rPr>
              <w:t xml:space="preserve"> approach is essential with existing services across health and social care. There also is a need to be an inclusive approach as many respiratory services already have ‘virtual’ elements and this needs recognising.  </w:t>
            </w:r>
          </w:p>
          <w:p w14:paraId="4C3AA46A" w14:textId="39902DC7" w:rsidR="00E40E6B"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 xml:space="preserve">An example of this is Same day emergency care pathways for respiratory infections </w:t>
            </w:r>
            <w:proofErr w:type="gramStart"/>
            <w:r w:rsidRPr="003A773E">
              <w:rPr>
                <w:rFonts w:ascii="Arial" w:hAnsi="Arial" w:cs="Arial"/>
                <w:sz w:val="22"/>
                <w:szCs w:val="22"/>
                <w:lang w:eastAsia="en-GB"/>
              </w:rPr>
              <w:t>and also</w:t>
            </w:r>
            <w:proofErr w:type="gramEnd"/>
            <w:r w:rsidRPr="003A773E">
              <w:rPr>
                <w:rFonts w:ascii="Arial" w:hAnsi="Arial" w:cs="Arial"/>
                <w:sz w:val="22"/>
                <w:szCs w:val="22"/>
                <w:lang w:eastAsia="en-GB"/>
              </w:rPr>
              <w:t xml:space="preserve"> Respiratory early discharge services. There will be learning from these services that will be transferable.</w:t>
            </w:r>
          </w:p>
          <w:p w14:paraId="05E87D71" w14:textId="77777777" w:rsidR="00E40E6B" w:rsidRPr="003A773E" w:rsidRDefault="00E40E6B" w:rsidP="002C7F94">
            <w:pPr>
              <w:rPr>
                <w:rFonts w:ascii="Arial" w:hAnsi="Arial" w:cs="Arial"/>
                <w:sz w:val="22"/>
                <w:szCs w:val="22"/>
                <w:lang w:eastAsia="en-GB"/>
              </w:rPr>
            </w:pPr>
          </w:p>
        </w:tc>
      </w:tr>
      <w:tr w:rsidR="00B952C1" w:rsidRPr="003A773E" w14:paraId="0C4C72AF" w14:textId="77777777" w:rsidTr="004E35A1">
        <w:trPr>
          <w:trHeight w:val="282"/>
        </w:trPr>
        <w:tc>
          <w:tcPr>
            <w:tcW w:w="708" w:type="dxa"/>
          </w:tcPr>
          <w:p w14:paraId="620FEA17" w14:textId="6E15FB7B"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lastRenderedPageBreak/>
              <w:t>24</w:t>
            </w:r>
          </w:p>
        </w:tc>
        <w:tc>
          <w:tcPr>
            <w:tcW w:w="1697" w:type="dxa"/>
          </w:tcPr>
          <w:p w14:paraId="452FBEAD" w14:textId="7BB720A8" w:rsidR="00B952C1" w:rsidRPr="003A773E" w:rsidRDefault="00B952C1" w:rsidP="00B952C1">
            <w:pPr>
              <w:rPr>
                <w:rFonts w:ascii="Arial" w:hAnsi="Arial" w:cs="Arial"/>
                <w:sz w:val="22"/>
                <w:szCs w:val="22"/>
                <w:lang w:eastAsia="en-GB"/>
              </w:rPr>
            </w:pPr>
            <w:r w:rsidRPr="000F07FF">
              <w:rPr>
                <w:rFonts w:ascii="Arial" w:hAnsi="Arial" w:cs="Arial"/>
                <w:sz w:val="22"/>
                <w:szCs w:val="22"/>
                <w:lang w:eastAsia="en-GB"/>
              </w:rPr>
              <w:t>Virtual wards: service provision</w:t>
            </w:r>
          </w:p>
        </w:tc>
        <w:tc>
          <w:tcPr>
            <w:tcW w:w="1560" w:type="dxa"/>
          </w:tcPr>
          <w:p w14:paraId="179459D0" w14:textId="47D4AE4E"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Association of Respiratory Nurses</w:t>
            </w:r>
          </w:p>
        </w:tc>
        <w:tc>
          <w:tcPr>
            <w:tcW w:w="2976" w:type="dxa"/>
          </w:tcPr>
          <w:p w14:paraId="314631CB"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Reducing the carbon footprint – remoted consultations within virtual wards</w:t>
            </w:r>
          </w:p>
        </w:tc>
        <w:tc>
          <w:tcPr>
            <w:tcW w:w="7225" w:type="dxa"/>
          </w:tcPr>
          <w:p w14:paraId="6CF0F92F"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 xml:space="preserve">Encourage, whilst considering safety, the wider use of remote consultations within virtual </w:t>
            </w:r>
            <w:proofErr w:type="gramStart"/>
            <w:r w:rsidRPr="003A773E">
              <w:rPr>
                <w:rFonts w:ascii="Arial" w:hAnsi="Arial" w:cs="Arial"/>
                <w:sz w:val="22"/>
                <w:szCs w:val="22"/>
                <w:lang w:eastAsia="en-GB"/>
              </w:rPr>
              <w:t>wards;</w:t>
            </w:r>
            <w:proofErr w:type="gramEnd"/>
            <w:r w:rsidRPr="003A773E">
              <w:rPr>
                <w:rFonts w:ascii="Arial" w:hAnsi="Arial" w:cs="Arial"/>
                <w:sz w:val="22"/>
                <w:szCs w:val="22"/>
                <w:lang w:eastAsia="en-GB"/>
              </w:rPr>
              <w:t xml:space="preserve"> video calling, messaging services, email and telephone calls. </w:t>
            </w:r>
          </w:p>
          <w:p w14:paraId="73946201"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 xml:space="preserve">Remote consultations can reduce travelling to </w:t>
            </w:r>
            <w:proofErr w:type="gramStart"/>
            <w:r w:rsidRPr="003A773E">
              <w:rPr>
                <w:rFonts w:ascii="Arial" w:hAnsi="Arial" w:cs="Arial"/>
                <w:sz w:val="22"/>
                <w:szCs w:val="22"/>
                <w:lang w:eastAsia="en-GB"/>
              </w:rPr>
              <w:t>patients</w:t>
            </w:r>
            <w:proofErr w:type="gramEnd"/>
            <w:r w:rsidRPr="003A773E">
              <w:rPr>
                <w:rFonts w:ascii="Arial" w:hAnsi="Arial" w:cs="Arial"/>
                <w:sz w:val="22"/>
                <w:szCs w:val="22"/>
                <w:lang w:eastAsia="en-GB"/>
              </w:rPr>
              <w:t xml:space="preserve"> homes, hence car emissions. </w:t>
            </w:r>
          </w:p>
          <w:p w14:paraId="4A7BB3B8" w14:textId="77777777" w:rsidR="00B952C1" w:rsidRDefault="00B952C1" w:rsidP="00B952C1">
            <w:pPr>
              <w:rPr>
                <w:rFonts w:ascii="Arial" w:hAnsi="Arial" w:cs="Arial"/>
                <w:sz w:val="22"/>
                <w:szCs w:val="22"/>
                <w:lang w:eastAsia="en-GB"/>
              </w:rPr>
            </w:pPr>
            <w:r w:rsidRPr="003A773E">
              <w:rPr>
                <w:rFonts w:ascii="Arial" w:hAnsi="Arial" w:cs="Arial"/>
                <w:sz w:val="22"/>
                <w:szCs w:val="22"/>
                <w:lang w:eastAsia="en-GB"/>
              </w:rPr>
              <w:t>Improving digital technology can aid reducing the carbon footprint in healthcare whilst also supporting delivery of a Net Zero NHS.</w:t>
            </w:r>
          </w:p>
          <w:p w14:paraId="51FFCAF2" w14:textId="77777777" w:rsidR="00B952C1" w:rsidRDefault="00B952C1" w:rsidP="00B952C1">
            <w:pPr>
              <w:rPr>
                <w:rFonts w:ascii="Arial" w:hAnsi="Arial" w:cs="Arial"/>
                <w:sz w:val="22"/>
                <w:szCs w:val="22"/>
                <w:lang w:eastAsia="en-GB"/>
              </w:rPr>
            </w:pPr>
          </w:p>
          <w:p w14:paraId="3AE7F0AA" w14:textId="3EFE917C"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 xml:space="preserve">See </w:t>
            </w:r>
            <w:hyperlink r:id="rId69" w:history="1">
              <w:r w:rsidRPr="00E40E6B">
                <w:rPr>
                  <w:rStyle w:val="Hyperlink"/>
                  <w:rFonts w:ascii="Arial" w:hAnsi="Arial" w:cs="Arial"/>
                  <w:sz w:val="22"/>
                  <w:szCs w:val="22"/>
                  <w:lang w:eastAsia="en-GB"/>
                </w:rPr>
                <w:t>Delivering a ‘Net Zero’ National Health Service</w:t>
              </w:r>
            </w:hyperlink>
            <w:r w:rsidRPr="00E40E6B">
              <w:rPr>
                <w:rFonts w:ascii="Arial" w:hAnsi="Arial" w:cs="Arial"/>
                <w:sz w:val="22"/>
                <w:szCs w:val="22"/>
                <w:lang w:eastAsia="en-GB"/>
              </w:rPr>
              <w:t xml:space="preserve"> </w:t>
            </w:r>
          </w:p>
          <w:p w14:paraId="1E80A9CA" w14:textId="2395A8A4" w:rsidR="00B952C1" w:rsidRPr="003A773E" w:rsidRDefault="001C2C97" w:rsidP="00B952C1">
            <w:pPr>
              <w:rPr>
                <w:rFonts w:ascii="Arial" w:hAnsi="Arial" w:cs="Arial"/>
                <w:sz w:val="22"/>
                <w:szCs w:val="22"/>
                <w:lang w:eastAsia="en-GB"/>
              </w:rPr>
            </w:pPr>
            <w:hyperlink r:id="rId70" w:history="1">
              <w:r w:rsidR="00B952C1" w:rsidRPr="00E40E6B">
                <w:rPr>
                  <w:rStyle w:val="Hyperlink"/>
                  <w:rFonts w:ascii="Arial" w:hAnsi="Arial" w:cs="Arial"/>
                  <w:sz w:val="22"/>
                  <w:szCs w:val="22"/>
                  <w:lang w:eastAsia="en-GB"/>
                </w:rPr>
                <w:t>NHSE Video Consultations in Secondary care – the benefits</w:t>
              </w:r>
            </w:hyperlink>
            <w:r w:rsidR="00B952C1" w:rsidRPr="00E40E6B">
              <w:rPr>
                <w:rFonts w:ascii="Arial" w:hAnsi="Arial" w:cs="Arial"/>
                <w:sz w:val="22"/>
                <w:szCs w:val="22"/>
                <w:lang w:eastAsia="en-GB"/>
              </w:rPr>
              <w:t xml:space="preserve"> </w:t>
            </w:r>
          </w:p>
        </w:tc>
      </w:tr>
      <w:tr w:rsidR="00B952C1" w:rsidRPr="003A773E" w14:paraId="758009B7" w14:textId="77777777" w:rsidTr="004E35A1">
        <w:trPr>
          <w:trHeight w:val="282"/>
        </w:trPr>
        <w:tc>
          <w:tcPr>
            <w:tcW w:w="708" w:type="dxa"/>
          </w:tcPr>
          <w:p w14:paraId="6BD86C1A" w14:textId="26F5BE88"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25</w:t>
            </w:r>
          </w:p>
        </w:tc>
        <w:tc>
          <w:tcPr>
            <w:tcW w:w="1697" w:type="dxa"/>
          </w:tcPr>
          <w:p w14:paraId="0E466365" w14:textId="3B6CD03B" w:rsidR="00B952C1" w:rsidRPr="003A773E" w:rsidRDefault="00B952C1" w:rsidP="00B952C1">
            <w:pPr>
              <w:rPr>
                <w:rFonts w:ascii="Arial" w:hAnsi="Arial" w:cs="Arial"/>
                <w:sz w:val="22"/>
                <w:szCs w:val="22"/>
                <w:lang w:eastAsia="en-GB"/>
              </w:rPr>
            </w:pPr>
            <w:r w:rsidRPr="000F07FF">
              <w:rPr>
                <w:rFonts w:ascii="Arial" w:hAnsi="Arial" w:cs="Arial"/>
                <w:sz w:val="22"/>
                <w:szCs w:val="22"/>
                <w:lang w:eastAsia="en-GB"/>
              </w:rPr>
              <w:t>Virtual wards: service provision</w:t>
            </w:r>
          </w:p>
        </w:tc>
        <w:tc>
          <w:tcPr>
            <w:tcW w:w="1560" w:type="dxa"/>
          </w:tcPr>
          <w:p w14:paraId="68B81B0D" w14:textId="53B2D29B"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Expert 1</w:t>
            </w:r>
          </w:p>
        </w:tc>
        <w:tc>
          <w:tcPr>
            <w:tcW w:w="2976" w:type="dxa"/>
          </w:tcPr>
          <w:p w14:paraId="79F2BA6E"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Key area for quality improvement 1</w:t>
            </w:r>
          </w:p>
        </w:tc>
        <w:tc>
          <w:tcPr>
            <w:tcW w:w="7225" w:type="dxa"/>
          </w:tcPr>
          <w:p w14:paraId="6FE6FFB3"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Virtual wards:</w:t>
            </w:r>
          </w:p>
          <w:p w14:paraId="0BEC6C0B"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 xml:space="preserve">It is essential for both patients and staff that there are support mechanisms in </w:t>
            </w:r>
            <w:proofErr w:type="gramStart"/>
            <w:r w:rsidRPr="003A773E">
              <w:rPr>
                <w:rFonts w:ascii="Arial" w:hAnsi="Arial" w:cs="Arial"/>
                <w:sz w:val="22"/>
                <w:szCs w:val="22"/>
                <w:lang w:eastAsia="en-GB"/>
              </w:rPr>
              <w:t>place  which</w:t>
            </w:r>
            <w:proofErr w:type="gramEnd"/>
            <w:r w:rsidRPr="003A773E">
              <w:rPr>
                <w:rFonts w:ascii="Arial" w:hAnsi="Arial" w:cs="Arial"/>
                <w:sz w:val="22"/>
                <w:szCs w:val="22"/>
                <w:lang w:eastAsia="en-GB"/>
              </w:rPr>
              <w:t xml:space="preserve"> includes physical and emotional support and understanding.  Patients and staff will need to be trained in both the process and the use of the technology.  </w:t>
            </w:r>
            <w:proofErr w:type="gramStart"/>
            <w:r w:rsidRPr="003A773E">
              <w:rPr>
                <w:rFonts w:ascii="Arial" w:hAnsi="Arial" w:cs="Arial"/>
                <w:sz w:val="22"/>
                <w:szCs w:val="22"/>
                <w:lang w:eastAsia="en-GB"/>
              </w:rPr>
              <w:t>Particular support</w:t>
            </w:r>
            <w:proofErr w:type="gramEnd"/>
            <w:r w:rsidRPr="003A773E">
              <w:rPr>
                <w:rFonts w:ascii="Arial" w:hAnsi="Arial" w:cs="Arial"/>
                <w:sz w:val="22"/>
                <w:szCs w:val="22"/>
                <w:lang w:eastAsia="en-GB"/>
              </w:rPr>
              <w:t xml:space="preserve"> may be needed for those living alone or those caring for patients using virtual wards.  This support may differ between paid/professional </w:t>
            </w:r>
            <w:proofErr w:type="spellStart"/>
            <w:r w:rsidRPr="003A773E">
              <w:rPr>
                <w:rFonts w:ascii="Arial" w:hAnsi="Arial" w:cs="Arial"/>
                <w:sz w:val="22"/>
                <w:szCs w:val="22"/>
                <w:lang w:eastAsia="en-GB"/>
              </w:rPr>
              <w:t>carers</w:t>
            </w:r>
            <w:proofErr w:type="spellEnd"/>
            <w:r w:rsidRPr="003A773E">
              <w:rPr>
                <w:rFonts w:ascii="Arial" w:hAnsi="Arial" w:cs="Arial"/>
                <w:sz w:val="22"/>
                <w:szCs w:val="22"/>
                <w:lang w:eastAsia="en-GB"/>
              </w:rPr>
              <w:t xml:space="preserve"> and unpaid carers and family members.</w:t>
            </w:r>
          </w:p>
          <w:p w14:paraId="07F998C6" w14:textId="77777777" w:rsidR="00B952C1" w:rsidRPr="003A773E" w:rsidRDefault="00B952C1" w:rsidP="00B952C1">
            <w:pPr>
              <w:rPr>
                <w:rFonts w:ascii="Arial" w:hAnsi="Arial" w:cs="Arial"/>
                <w:sz w:val="22"/>
                <w:szCs w:val="22"/>
                <w:lang w:eastAsia="en-GB"/>
              </w:rPr>
            </w:pPr>
          </w:p>
          <w:p w14:paraId="32867111" w14:textId="3F7353A0"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Staff and patients will need not only to understand how the technology works but also what to do when things go wrong/the technology fails or is compromised in some way.</w:t>
            </w:r>
          </w:p>
        </w:tc>
      </w:tr>
      <w:tr w:rsidR="00E40E6B" w:rsidRPr="003A773E" w14:paraId="705D4341" w14:textId="77777777" w:rsidTr="004E35A1">
        <w:trPr>
          <w:trHeight w:val="282"/>
        </w:trPr>
        <w:tc>
          <w:tcPr>
            <w:tcW w:w="708" w:type="dxa"/>
          </w:tcPr>
          <w:p w14:paraId="4C01B1E8" w14:textId="553ACF1A"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26</w:t>
            </w:r>
          </w:p>
        </w:tc>
        <w:tc>
          <w:tcPr>
            <w:tcW w:w="1697" w:type="dxa"/>
          </w:tcPr>
          <w:p w14:paraId="22317B0F" w14:textId="38EA3D75"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service provision</w:t>
            </w:r>
          </w:p>
        </w:tc>
        <w:tc>
          <w:tcPr>
            <w:tcW w:w="1560" w:type="dxa"/>
          </w:tcPr>
          <w:p w14:paraId="7812F801" w14:textId="3D5FE06D"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Expert 2 </w:t>
            </w:r>
          </w:p>
        </w:tc>
        <w:tc>
          <w:tcPr>
            <w:tcW w:w="2976" w:type="dxa"/>
          </w:tcPr>
          <w:p w14:paraId="0AC13FB1"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 xml:space="preserve">Most </w:t>
            </w:r>
            <w:proofErr w:type="gramStart"/>
            <w:r w:rsidRPr="00E40E6B">
              <w:rPr>
                <w:rFonts w:ascii="Arial" w:hAnsi="Arial" w:cs="Arial"/>
                <w:sz w:val="22"/>
                <w:szCs w:val="22"/>
                <w:lang w:eastAsia="en-GB"/>
              </w:rPr>
              <w:t>cost effective</w:t>
            </w:r>
            <w:proofErr w:type="gramEnd"/>
            <w:r w:rsidRPr="00E40E6B">
              <w:rPr>
                <w:rFonts w:ascii="Arial" w:hAnsi="Arial" w:cs="Arial"/>
                <w:sz w:val="22"/>
                <w:szCs w:val="22"/>
                <w:lang w:eastAsia="en-GB"/>
              </w:rPr>
              <w:t xml:space="preserve"> physiological monitoring system for patients on VW</w:t>
            </w:r>
          </w:p>
        </w:tc>
        <w:tc>
          <w:tcPr>
            <w:tcW w:w="7225" w:type="dxa"/>
          </w:tcPr>
          <w:p w14:paraId="32B5308F"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Organisations are individually commissioning a variety of different platforms for this use. A recommendation on the most effective suite of monitoring for VW would be preferred.</w:t>
            </w:r>
          </w:p>
        </w:tc>
      </w:tr>
      <w:tr w:rsidR="00E40E6B" w:rsidRPr="003A773E" w14:paraId="2D14EBE9" w14:textId="77777777" w:rsidTr="004E35A1">
        <w:trPr>
          <w:trHeight w:val="4113"/>
        </w:trPr>
        <w:tc>
          <w:tcPr>
            <w:tcW w:w="708" w:type="dxa"/>
          </w:tcPr>
          <w:p w14:paraId="44E9F918" w14:textId="32AB100F"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27</w:t>
            </w:r>
          </w:p>
        </w:tc>
        <w:tc>
          <w:tcPr>
            <w:tcW w:w="1697" w:type="dxa"/>
          </w:tcPr>
          <w:p w14:paraId="4F63598D" w14:textId="77777777" w:rsidR="00E40E6B" w:rsidRPr="003A773E" w:rsidRDefault="00E40E6B" w:rsidP="002C7F94">
            <w:pPr>
              <w:rPr>
                <w:rFonts w:ascii="Arial" w:hAnsi="Arial" w:cs="Arial"/>
                <w:sz w:val="22"/>
                <w:szCs w:val="22"/>
                <w:lang w:eastAsia="en-GB"/>
              </w:rPr>
            </w:pPr>
          </w:p>
        </w:tc>
        <w:tc>
          <w:tcPr>
            <w:tcW w:w="1560" w:type="dxa"/>
          </w:tcPr>
          <w:p w14:paraId="5F05D786" w14:textId="5F4AB089"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Association of Respiratory Nurses</w:t>
            </w:r>
          </w:p>
        </w:tc>
        <w:tc>
          <w:tcPr>
            <w:tcW w:w="2976" w:type="dxa"/>
          </w:tcPr>
          <w:p w14:paraId="7E2A064B"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Technology enablement for virtual ward users - reducing inequalities and barriers for service users.</w:t>
            </w:r>
          </w:p>
        </w:tc>
        <w:tc>
          <w:tcPr>
            <w:tcW w:w="7225" w:type="dxa"/>
          </w:tcPr>
          <w:p w14:paraId="2D406A8D"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Access to online and digital solutions for users vary, often having no digital access or </w:t>
            </w:r>
            <w:proofErr w:type="gramStart"/>
            <w:r w:rsidRPr="003A773E">
              <w:rPr>
                <w:rFonts w:ascii="Arial" w:hAnsi="Arial" w:cs="Arial"/>
                <w:sz w:val="22"/>
                <w:szCs w:val="22"/>
                <w:lang w:eastAsia="en-GB"/>
              </w:rPr>
              <w:t>device,.</w:t>
            </w:r>
            <w:proofErr w:type="gramEnd"/>
            <w:r w:rsidRPr="003A773E">
              <w:rPr>
                <w:rFonts w:ascii="Arial" w:hAnsi="Arial" w:cs="Arial"/>
                <w:sz w:val="22"/>
                <w:szCs w:val="22"/>
                <w:lang w:eastAsia="en-GB"/>
              </w:rPr>
              <w:t xml:space="preserve"> </w:t>
            </w:r>
            <w:proofErr w:type="gramStart"/>
            <w:r w:rsidRPr="003A773E">
              <w:rPr>
                <w:rFonts w:ascii="Arial" w:hAnsi="Arial" w:cs="Arial"/>
                <w:sz w:val="22"/>
                <w:szCs w:val="22"/>
                <w:lang w:eastAsia="en-GB"/>
              </w:rPr>
              <w:t>e.g.</w:t>
            </w:r>
            <w:proofErr w:type="gramEnd"/>
            <w:r w:rsidRPr="003A773E">
              <w:rPr>
                <w:rFonts w:ascii="Arial" w:hAnsi="Arial" w:cs="Arial"/>
                <w:sz w:val="22"/>
                <w:szCs w:val="22"/>
                <w:lang w:eastAsia="en-GB"/>
              </w:rPr>
              <w:t xml:space="preserve"> smart phones / digital solution for all service users eligible for virtual ward care. </w:t>
            </w:r>
          </w:p>
          <w:p w14:paraId="1B446E14" w14:textId="77777777" w:rsidR="00E40E6B" w:rsidRPr="003A773E" w:rsidRDefault="00E40E6B" w:rsidP="002C7F94">
            <w:pPr>
              <w:rPr>
                <w:rFonts w:ascii="Arial" w:hAnsi="Arial" w:cs="Arial"/>
                <w:sz w:val="22"/>
                <w:szCs w:val="22"/>
                <w:lang w:eastAsia="en-GB"/>
              </w:rPr>
            </w:pPr>
          </w:p>
          <w:p w14:paraId="2B3FBA5A"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Access to digital enablement regardless of age / socioeconomic status.  </w:t>
            </w:r>
          </w:p>
          <w:p w14:paraId="46DCD44E" w14:textId="77777777" w:rsidR="00E40E6B" w:rsidRPr="003A773E" w:rsidRDefault="00E40E6B" w:rsidP="002C7F94">
            <w:pPr>
              <w:rPr>
                <w:rFonts w:ascii="Arial" w:hAnsi="Arial" w:cs="Arial"/>
                <w:sz w:val="22"/>
                <w:szCs w:val="22"/>
                <w:lang w:eastAsia="en-GB"/>
              </w:rPr>
            </w:pPr>
          </w:p>
          <w:p w14:paraId="20C9845D"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Equitable technology access including remote monitoring on Virtual Wards. </w:t>
            </w:r>
          </w:p>
          <w:p w14:paraId="6DE796F5"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Empower patient engagement with technology and improve self-management / patient satisfaction.</w:t>
            </w:r>
          </w:p>
          <w:p w14:paraId="37E15C08" w14:textId="77777777" w:rsidR="00E40E6B" w:rsidRDefault="00E40E6B" w:rsidP="00E40E6B">
            <w:pPr>
              <w:rPr>
                <w:rFonts w:ascii="Arial" w:hAnsi="Arial" w:cs="Arial"/>
                <w:sz w:val="22"/>
                <w:szCs w:val="22"/>
                <w:lang w:eastAsia="en-GB"/>
              </w:rPr>
            </w:pPr>
          </w:p>
          <w:p w14:paraId="0E885B57" w14:textId="2FBDBEA7" w:rsidR="00E40E6B" w:rsidRPr="003A773E" w:rsidRDefault="00E40E6B" w:rsidP="00E40E6B">
            <w:pPr>
              <w:rPr>
                <w:rFonts w:ascii="Arial" w:hAnsi="Arial" w:cs="Arial"/>
                <w:sz w:val="22"/>
                <w:szCs w:val="22"/>
                <w:lang w:eastAsia="en-GB"/>
              </w:rPr>
            </w:pPr>
            <w:r w:rsidRPr="003A773E">
              <w:rPr>
                <w:rFonts w:ascii="Arial" w:hAnsi="Arial" w:cs="Arial"/>
                <w:sz w:val="22"/>
                <w:szCs w:val="22"/>
                <w:lang w:eastAsia="en-GB"/>
              </w:rPr>
              <w:t xml:space="preserve">See </w:t>
            </w:r>
            <w:hyperlink r:id="rId71" w:history="1">
              <w:r w:rsidRPr="00625E5D">
                <w:rPr>
                  <w:rStyle w:val="Hyperlink"/>
                  <w:rFonts w:ascii="Arial" w:hAnsi="Arial" w:cs="Arial"/>
                  <w:sz w:val="22"/>
                  <w:szCs w:val="22"/>
                  <w:lang w:eastAsia="en-GB"/>
                </w:rPr>
                <w:t>GIRFT Principles for virtual wards</w:t>
              </w:r>
            </w:hyperlink>
            <w:r w:rsidRPr="003A773E">
              <w:rPr>
                <w:rFonts w:ascii="Arial" w:hAnsi="Arial" w:cs="Arial"/>
                <w:sz w:val="22"/>
                <w:szCs w:val="22"/>
                <w:lang w:eastAsia="en-GB"/>
              </w:rPr>
              <w:t xml:space="preserve">. </w:t>
            </w:r>
          </w:p>
          <w:p w14:paraId="2024E243" w14:textId="6DB65E3B" w:rsidR="00E40E6B" w:rsidRPr="003A773E" w:rsidRDefault="00E40E6B" w:rsidP="00E40E6B">
            <w:pPr>
              <w:rPr>
                <w:rFonts w:ascii="Arial" w:hAnsi="Arial" w:cs="Arial"/>
                <w:sz w:val="22"/>
                <w:szCs w:val="22"/>
                <w:lang w:eastAsia="en-GB"/>
              </w:rPr>
            </w:pPr>
            <w:r w:rsidRPr="003A773E">
              <w:rPr>
                <w:rFonts w:ascii="Arial" w:hAnsi="Arial" w:cs="Arial"/>
                <w:sz w:val="22"/>
                <w:szCs w:val="22"/>
                <w:lang w:eastAsia="en-GB"/>
              </w:rPr>
              <w:t xml:space="preserve">See </w:t>
            </w:r>
            <w:hyperlink r:id="rId72" w:history="1">
              <w:r w:rsidRPr="00625E5D">
                <w:rPr>
                  <w:rStyle w:val="Hyperlink"/>
                  <w:rFonts w:ascii="Arial" w:hAnsi="Arial" w:cs="Arial"/>
                  <w:sz w:val="22"/>
                  <w:szCs w:val="22"/>
                  <w:lang w:eastAsia="en-GB"/>
                </w:rPr>
                <w:t>The</w:t>
              </w:r>
              <w:r w:rsidR="00625E5D" w:rsidRPr="00625E5D">
                <w:rPr>
                  <w:rStyle w:val="Hyperlink"/>
                  <w:rFonts w:ascii="Arial" w:hAnsi="Arial" w:cs="Arial"/>
                  <w:sz w:val="22"/>
                  <w:szCs w:val="22"/>
                  <w:lang w:eastAsia="en-GB"/>
                </w:rPr>
                <w:t xml:space="preserve"> </w:t>
              </w:r>
              <w:r w:rsidRPr="00625E5D">
                <w:rPr>
                  <w:rStyle w:val="Hyperlink"/>
                  <w:rFonts w:ascii="Arial" w:hAnsi="Arial" w:cs="Arial"/>
                  <w:sz w:val="22"/>
                  <w:szCs w:val="22"/>
                  <w:lang w:eastAsia="en-GB"/>
                </w:rPr>
                <w:t>King’s</w:t>
              </w:r>
              <w:r w:rsidR="00625E5D" w:rsidRPr="00625E5D">
                <w:rPr>
                  <w:rStyle w:val="Hyperlink"/>
                  <w:rFonts w:ascii="Arial" w:hAnsi="Arial" w:cs="Arial"/>
                  <w:sz w:val="22"/>
                  <w:szCs w:val="22"/>
                  <w:lang w:eastAsia="en-GB"/>
                </w:rPr>
                <w:t xml:space="preserve"> </w:t>
              </w:r>
              <w:r w:rsidRPr="00625E5D">
                <w:rPr>
                  <w:rStyle w:val="Hyperlink"/>
                  <w:rFonts w:ascii="Arial" w:hAnsi="Arial" w:cs="Arial"/>
                  <w:sz w:val="22"/>
                  <w:szCs w:val="22"/>
                  <w:lang w:eastAsia="en-GB"/>
                </w:rPr>
                <w:t>Fund Policy Brief – Ensuring digitally enabled health care is equitable and effective for all.</w:t>
              </w:r>
            </w:hyperlink>
            <w:r w:rsidRPr="003A773E">
              <w:rPr>
                <w:rFonts w:ascii="Arial" w:hAnsi="Arial" w:cs="Arial"/>
                <w:sz w:val="22"/>
                <w:szCs w:val="22"/>
                <w:lang w:eastAsia="en-GB"/>
              </w:rPr>
              <w:t xml:space="preserve"> </w:t>
            </w:r>
          </w:p>
          <w:p w14:paraId="68973787" w14:textId="465BF5DE"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See Equality Act 2010 – Age Discrimination. https://www.legislation.gov.uk/ukpga/2010/15/pdfs/ukpga_20100015_en.pdf </w:t>
            </w:r>
          </w:p>
        </w:tc>
      </w:tr>
      <w:tr w:rsidR="00B952C1" w:rsidRPr="003A773E" w14:paraId="11AF766E" w14:textId="77777777" w:rsidTr="004E35A1">
        <w:trPr>
          <w:trHeight w:val="282"/>
        </w:trPr>
        <w:tc>
          <w:tcPr>
            <w:tcW w:w="708" w:type="dxa"/>
          </w:tcPr>
          <w:p w14:paraId="16AB1506" w14:textId="68CA9B36"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28</w:t>
            </w:r>
          </w:p>
        </w:tc>
        <w:tc>
          <w:tcPr>
            <w:tcW w:w="1697" w:type="dxa"/>
          </w:tcPr>
          <w:p w14:paraId="169BA4C5" w14:textId="0DB16C75" w:rsidR="00B952C1" w:rsidRPr="003A773E" w:rsidRDefault="00B952C1" w:rsidP="00B952C1">
            <w:pPr>
              <w:rPr>
                <w:rFonts w:ascii="Arial" w:hAnsi="Arial" w:cs="Arial"/>
                <w:sz w:val="22"/>
                <w:szCs w:val="22"/>
                <w:lang w:eastAsia="en-GB"/>
              </w:rPr>
            </w:pPr>
            <w:r w:rsidRPr="00FF1D07">
              <w:rPr>
                <w:rFonts w:ascii="Arial" w:hAnsi="Arial" w:cs="Arial"/>
                <w:sz w:val="22"/>
                <w:szCs w:val="22"/>
                <w:lang w:eastAsia="en-GB"/>
              </w:rPr>
              <w:t>Virtual wards: service provision</w:t>
            </w:r>
          </w:p>
        </w:tc>
        <w:tc>
          <w:tcPr>
            <w:tcW w:w="1560" w:type="dxa"/>
          </w:tcPr>
          <w:p w14:paraId="3C5256AE" w14:textId="316F51A3"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Expert 1</w:t>
            </w:r>
          </w:p>
        </w:tc>
        <w:tc>
          <w:tcPr>
            <w:tcW w:w="2976" w:type="dxa"/>
          </w:tcPr>
          <w:p w14:paraId="3DD42056"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Key area for quality improvement 3</w:t>
            </w:r>
          </w:p>
        </w:tc>
        <w:tc>
          <w:tcPr>
            <w:tcW w:w="7225" w:type="dxa"/>
          </w:tcPr>
          <w:p w14:paraId="0DE955E4"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Virtual wards:</w:t>
            </w:r>
          </w:p>
          <w:p w14:paraId="4B90CCB7"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Equality will be key:</w:t>
            </w:r>
          </w:p>
          <w:p w14:paraId="0D0A6DDD"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t>Equality issues such as language or cultural differences will play a key role in selecting who is able to be treated using a virtual ward, what additional support may be required</w:t>
            </w:r>
          </w:p>
          <w:p w14:paraId="6425618B"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w:t>
            </w:r>
            <w:r w:rsidRPr="003A773E">
              <w:rPr>
                <w:rFonts w:ascii="Arial" w:hAnsi="Arial" w:cs="Arial"/>
                <w:sz w:val="22"/>
                <w:szCs w:val="22"/>
                <w:lang w:eastAsia="en-GB"/>
              </w:rPr>
              <w:tab/>
            </w:r>
            <w:proofErr w:type="gramStart"/>
            <w:r w:rsidRPr="003A773E">
              <w:rPr>
                <w:rFonts w:ascii="Arial" w:hAnsi="Arial" w:cs="Arial"/>
                <w:sz w:val="22"/>
                <w:szCs w:val="22"/>
                <w:lang w:eastAsia="en-GB"/>
              </w:rPr>
              <w:t>Similarly</w:t>
            </w:r>
            <w:proofErr w:type="gramEnd"/>
            <w:r w:rsidRPr="003A773E">
              <w:rPr>
                <w:rFonts w:ascii="Arial" w:hAnsi="Arial" w:cs="Arial"/>
                <w:sz w:val="22"/>
                <w:szCs w:val="22"/>
                <w:lang w:eastAsia="en-GB"/>
              </w:rPr>
              <w:t xml:space="preserve"> how will those who are digitally excluded be involved – will they be trained/supported or will they be excluded from the virtual ward process – how will this disadvantage or advantage them.  This must be considered. </w:t>
            </w:r>
          </w:p>
        </w:tc>
      </w:tr>
      <w:tr w:rsidR="00B952C1" w:rsidRPr="003A773E" w14:paraId="799A715F" w14:textId="77777777" w:rsidTr="004E35A1">
        <w:trPr>
          <w:trHeight w:val="282"/>
        </w:trPr>
        <w:tc>
          <w:tcPr>
            <w:tcW w:w="708" w:type="dxa"/>
          </w:tcPr>
          <w:p w14:paraId="135F2079" w14:textId="4179D2F4"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29</w:t>
            </w:r>
          </w:p>
        </w:tc>
        <w:tc>
          <w:tcPr>
            <w:tcW w:w="1697" w:type="dxa"/>
          </w:tcPr>
          <w:p w14:paraId="4658E02C" w14:textId="6A9A73B5" w:rsidR="00B952C1" w:rsidRPr="003A773E" w:rsidRDefault="00B952C1" w:rsidP="00B952C1">
            <w:pPr>
              <w:rPr>
                <w:rFonts w:ascii="Arial" w:hAnsi="Arial" w:cs="Arial"/>
                <w:sz w:val="22"/>
                <w:szCs w:val="22"/>
                <w:lang w:eastAsia="en-GB"/>
              </w:rPr>
            </w:pPr>
            <w:r w:rsidRPr="00FF1D07">
              <w:rPr>
                <w:rFonts w:ascii="Arial" w:hAnsi="Arial" w:cs="Arial"/>
                <w:sz w:val="22"/>
                <w:szCs w:val="22"/>
                <w:lang w:eastAsia="en-GB"/>
              </w:rPr>
              <w:t>Virtual wards: service provision</w:t>
            </w:r>
          </w:p>
        </w:tc>
        <w:tc>
          <w:tcPr>
            <w:tcW w:w="1560" w:type="dxa"/>
          </w:tcPr>
          <w:p w14:paraId="436D7283" w14:textId="6C0CE923"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58CEDA0A"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Key area for quality improvement 1</w:t>
            </w:r>
          </w:p>
        </w:tc>
        <w:tc>
          <w:tcPr>
            <w:tcW w:w="7225" w:type="dxa"/>
          </w:tcPr>
          <w:p w14:paraId="57A509E3" w14:textId="77777777" w:rsidR="00B952C1" w:rsidRDefault="00B952C1" w:rsidP="00B952C1">
            <w:pPr>
              <w:rPr>
                <w:rFonts w:ascii="Arial" w:hAnsi="Arial" w:cs="Arial"/>
                <w:sz w:val="22"/>
                <w:szCs w:val="22"/>
                <w:lang w:eastAsia="en-GB"/>
              </w:rPr>
            </w:pPr>
            <w:r w:rsidRPr="003A773E">
              <w:rPr>
                <w:rFonts w:ascii="Arial" w:hAnsi="Arial" w:cs="Arial"/>
                <w:sz w:val="22"/>
                <w:szCs w:val="22"/>
                <w:lang w:eastAsia="en-GB"/>
              </w:rPr>
              <w:t>We strongly suggest that learning disability should be a group of focus in the quality standard. Rationale includes:</w:t>
            </w:r>
          </w:p>
          <w:p w14:paraId="4EE79D89" w14:textId="77777777" w:rsidR="00B952C1" w:rsidRDefault="00B952C1" w:rsidP="00B952C1">
            <w:pPr>
              <w:rPr>
                <w:rFonts w:ascii="Arial" w:hAnsi="Arial" w:cs="Arial"/>
                <w:sz w:val="22"/>
                <w:szCs w:val="22"/>
                <w:lang w:eastAsia="en-GB"/>
              </w:rPr>
            </w:pPr>
          </w:p>
          <w:p w14:paraId="08FB1E41"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 xml:space="preserve">Of the people in the 2021 </w:t>
            </w:r>
            <w:proofErr w:type="spellStart"/>
            <w:r w:rsidRPr="00E40E6B">
              <w:rPr>
                <w:rFonts w:ascii="Arial" w:hAnsi="Arial" w:cs="Arial"/>
                <w:sz w:val="22"/>
                <w:szCs w:val="22"/>
                <w:lang w:eastAsia="en-GB"/>
              </w:rPr>
              <w:t>LeDeR</w:t>
            </w:r>
            <w:proofErr w:type="spellEnd"/>
            <w:r w:rsidRPr="00E40E6B">
              <w:rPr>
                <w:rFonts w:ascii="Arial" w:hAnsi="Arial" w:cs="Arial"/>
                <w:sz w:val="22"/>
                <w:szCs w:val="22"/>
                <w:lang w:eastAsia="en-GB"/>
              </w:rPr>
              <w:t xml:space="preserve"> </w:t>
            </w:r>
            <w:proofErr w:type="spellStart"/>
            <w:r w:rsidRPr="00E40E6B">
              <w:rPr>
                <w:rFonts w:ascii="Arial" w:hAnsi="Arial" w:cs="Arial"/>
                <w:sz w:val="22"/>
                <w:szCs w:val="22"/>
                <w:lang w:eastAsia="en-GB"/>
              </w:rPr>
              <w:t>dateset</w:t>
            </w:r>
            <w:proofErr w:type="spellEnd"/>
            <w:r w:rsidRPr="00E40E6B">
              <w:rPr>
                <w:rFonts w:ascii="Arial" w:hAnsi="Arial" w:cs="Arial"/>
                <w:sz w:val="22"/>
                <w:szCs w:val="22"/>
                <w:lang w:eastAsia="en-GB"/>
              </w:rPr>
              <w:t xml:space="preserve"> who had respiratory illnesses listed as a </w:t>
            </w:r>
            <w:proofErr w:type="gramStart"/>
            <w:r w:rsidRPr="00E40E6B">
              <w:rPr>
                <w:rFonts w:ascii="Arial" w:hAnsi="Arial" w:cs="Arial"/>
                <w:sz w:val="22"/>
                <w:szCs w:val="22"/>
                <w:lang w:eastAsia="en-GB"/>
              </w:rPr>
              <w:t>long term</w:t>
            </w:r>
            <w:proofErr w:type="gramEnd"/>
            <w:r w:rsidRPr="00E40E6B">
              <w:rPr>
                <w:rFonts w:ascii="Arial" w:hAnsi="Arial" w:cs="Arial"/>
                <w:sz w:val="22"/>
                <w:szCs w:val="22"/>
                <w:lang w:eastAsia="en-GB"/>
              </w:rPr>
              <w:t xml:space="preserve"> condition, 17% of their deaths were ‘avoidable’.</w:t>
            </w:r>
          </w:p>
          <w:p w14:paraId="24C468A0"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 xml:space="preserve">from </w:t>
            </w:r>
            <w:proofErr w:type="spellStart"/>
            <w:r w:rsidRPr="00E40E6B">
              <w:rPr>
                <w:rFonts w:ascii="Arial" w:hAnsi="Arial" w:cs="Arial"/>
                <w:sz w:val="22"/>
                <w:szCs w:val="22"/>
                <w:lang w:eastAsia="en-GB"/>
              </w:rPr>
              <w:t>LeDeR</w:t>
            </w:r>
            <w:proofErr w:type="spellEnd"/>
            <w:r w:rsidRPr="00E40E6B">
              <w:rPr>
                <w:rFonts w:ascii="Arial" w:hAnsi="Arial" w:cs="Arial"/>
                <w:sz w:val="22"/>
                <w:szCs w:val="22"/>
                <w:lang w:eastAsia="en-GB"/>
              </w:rPr>
              <w:t xml:space="preserve">: people with a learning </w:t>
            </w:r>
            <w:proofErr w:type="gramStart"/>
            <w:r w:rsidRPr="00E40E6B">
              <w:rPr>
                <w:rFonts w:ascii="Arial" w:hAnsi="Arial" w:cs="Arial"/>
                <w:sz w:val="22"/>
                <w:szCs w:val="22"/>
                <w:lang w:eastAsia="en-GB"/>
              </w:rPr>
              <w:t>disability  disability</w:t>
            </w:r>
            <w:proofErr w:type="gramEnd"/>
            <w:r w:rsidRPr="00E40E6B">
              <w:rPr>
                <w:rFonts w:ascii="Arial" w:hAnsi="Arial" w:cs="Arial"/>
                <w:sz w:val="22"/>
                <w:szCs w:val="22"/>
                <w:lang w:eastAsia="en-GB"/>
              </w:rPr>
              <w:t xml:space="preserve"> die, on average, over 20 years younger than the general population</w:t>
            </w:r>
          </w:p>
          <w:p w14:paraId="1DEE80C4"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lastRenderedPageBreak/>
              <w:t>-</w:t>
            </w:r>
            <w:r w:rsidRPr="00E40E6B">
              <w:rPr>
                <w:rFonts w:ascii="Arial" w:hAnsi="Arial" w:cs="Arial"/>
                <w:sz w:val="22"/>
                <w:szCs w:val="22"/>
                <w:lang w:eastAsia="en-GB"/>
              </w:rPr>
              <w:tab/>
              <w:t>49% of deaths of people with an intellectual disability are due to avoidable causes compared with 22% in the general population.</w:t>
            </w:r>
          </w:p>
          <w:p w14:paraId="61CEB359"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 xml:space="preserve">Of the avoidable deaths of people with an intellectual disability, 17% are due to respiratory conditions. </w:t>
            </w:r>
          </w:p>
          <w:p w14:paraId="51C3367F"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People with an intellectual disability from minority ethnic groups are more likely to die at a younger age than white people with an intellectual disability.</w:t>
            </w:r>
          </w:p>
          <w:p w14:paraId="490E85D2"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Suggest it is made clear that some people with an intellectual disability and autistic people may not report respiratory symptoms as quickly (or at all), therefore extra support and monitoring should be considered and made for this group of people.</w:t>
            </w:r>
          </w:p>
          <w:p w14:paraId="128F924B" w14:textId="4D30A167" w:rsidR="00B952C1" w:rsidRPr="003A773E" w:rsidRDefault="00B952C1" w:rsidP="00B952C1">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 xml:space="preserve">Attention to soft signs of deterioration, including changes in behaviour, communication, </w:t>
            </w:r>
            <w:proofErr w:type="gramStart"/>
            <w:r w:rsidRPr="00E40E6B">
              <w:rPr>
                <w:rFonts w:ascii="Arial" w:hAnsi="Arial" w:cs="Arial"/>
                <w:sz w:val="22"/>
                <w:szCs w:val="22"/>
                <w:lang w:eastAsia="en-GB"/>
              </w:rPr>
              <w:t>mood</w:t>
            </w:r>
            <w:proofErr w:type="gramEnd"/>
            <w:r w:rsidRPr="00E40E6B">
              <w:rPr>
                <w:rFonts w:ascii="Arial" w:hAnsi="Arial" w:cs="Arial"/>
                <w:sz w:val="22"/>
                <w:szCs w:val="22"/>
                <w:lang w:eastAsia="en-GB"/>
              </w:rPr>
              <w:t xml:space="preserve"> and engagement can support the opportunity for early detection of illness and supports early intervention</w:t>
            </w:r>
          </w:p>
        </w:tc>
      </w:tr>
      <w:tr w:rsidR="00E40E6B" w:rsidRPr="003A773E" w14:paraId="02A7AF9B" w14:textId="77777777" w:rsidTr="004E35A1">
        <w:trPr>
          <w:trHeight w:val="282"/>
        </w:trPr>
        <w:tc>
          <w:tcPr>
            <w:tcW w:w="708" w:type="dxa"/>
          </w:tcPr>
          <w:p w14:paraId="34FC3C4E" w14:textId="0150096D"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30</w:t>
            </w:r>
          </w:p>
        </w:tc>
        <w:tc>
          <w:tcPr>
            <w:tcW w:w="1697" w:type="dxa"/>
          </w:tcPr>
          <w:p w14:paraId="4B7B30B9" w14:textId="01B42BF0"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service provision</w:t>
            </w:r>
          </w:p>
        </w:tc>
        <w:tc>
          <w:tcPr>
            <w:tcW w:w="1560" w:type="dxa"/>
          </w:tcPr>
          <w:p w14:paraId="4BA23A4D" w14:textId="5A9CC695"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29A37E21"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2</w:t>
            </w:r>
          </w:p>
        </w:tc>
        <w:tc>
          <w:tcPr>
            <w:tcW w:w="7225" w:type="dxa"/>
          </w:tcPr>
          <w:p w14:paraId="3B2534DB" w14:textId="77777777" w:rsidR="00E40E6B" w:rsidRDefault="00E40E6B" w:rsidP="002C7F94">
            <w:pPr>
              <w:rPr>
                <w:rFonts w:ascii="Arial" w:hAnsi="Arial" w:cs="Arial"/>
                <w:sz w:val="22"/>
                <w:szCs w:val="22"/>
                <w:lang w:eastAsia="en-GB"/>
              </w:rPr>
            </w:pPr>
            <w:r w:rsidRPr="003A773E">
              <w:rPr>
                <w:rFonts w:ascii="Arial" w:hAnsi="Arial" w:cs="Arial"/>
                <w:sz w:val="22"/>
                <w:szCs w:val="22"/>
                <w:lang w:eastAsia="en-GB"/>
              </w:rPr>
              <w:t>Rationale based on need for reasonable adjustments and appropriate communication standards:</w:t>
            </w:r>
          </w:p>
          <w:p w14:paraId="35D50A9C" w14:textId="77777777" w:rsidR="00E40E6B" w:rsidRPr="00E40E6B" w:rsidRDefault="00E40E6B" w:rsidP="00E40E6B">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Specific communication needs and understanding by professionals with expertise in learning disability</w:t>
            </w:r>
          </w:p>
          <w:p w14:paraId="4904D5B1" w14:textId="77777777" w:rsidR="00E40E6B" w:rsidRPr="00E40E6B" w:rsidRDefault="00E40E6B" w:rsidP="00E40E6B">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Need for good recording, understanding, implementation and sharing of reasonable adjustments: Adjustments aim to remove barriers, do things in a different way, or to provide something additional to enable a person to receive the assessment and treatment they need.</w:t>
            </w:r>
          </w:p>
          <w:p w14:paraId="5986CB07" w14:textId="77777777" w:rsidR="00E40E6B" w:rsidRPr="00E40E6B" w:rsidRDefault="00E40E6B" w:rsidP="00E40E6B">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 xml:space="preserve">Availability and use of specific educational material to inform joint decision making </w:t>
            </w:r>
          </w:p>
          <w:p w14:paraId="002A8FE2" w14:textId="2327C2AE" w:rsidR="00E40E6B" w:rsidRPr="003A773E" w:rsidRDefault="00E40E6B" w:rsidP="00E40E6B">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We strongly suggest reference to the consideration for existing multidisciplinary input into the care of the person. Consideration should also be given to the role of an organisation’s learning disability team or liaison nurse on issues of communication, reasonable adjustments, pain assessment etc</w:t>
            </w:r>
          </w:p>
        </w:tc>
      </w:tr>
      <w:tr w:rsidR="00E40E6B" w:rsidRPr="003A773E" w14:paraId="1D40E240" w14:textId="77777777" w:rsidTr="004E35A1">
        <w:trPr>
          <w:trHeight w:val="282"/>
        </w:trPr>
        <w:tc>
          <w:tcPr>
            <w:tcW w:w="708" w:type="dxa"/>
          </w:tcPr>
          <w:p w14:paraId="76087910" w14:textId="2F18BD86"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31</w:t>
            </w:r>
          </w:p>
        </w:tc>
        <w:tc>
          <w:tcPr>
            <w:tcW w:w="1697" w:type="dxa"/>
          </w:tcPr>
          <w:p w14:paraId="055C2E4F" w14:textId="72CC52F2"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service provision</w:t>
            </w:r>
          </w:p>
        </w:tc>
        <w:tc>
          <w:tcPr>
            <w:tcW w:w="1560" w:type="dxa"/>
          </w:tcPr>
          <w:p w14:paraId="3E195E04" w14:textId="500906F1"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6E388BF4"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Key area for quality improvement 3</w:t>
            </w:r>
          </w:p>
        </w:tc>
        <w:tc>
          <w:tcPr>
            <w:tcW w:w="7225" w:type="dxa"/>
          </w:tcPr>
          <w:p w14:paraId="71C0B357" w14:textId="77777777" w:rsidR="00E40E6B" w:rsidRDefault="00E40E6B" w:rsidP="002C7F94">
            <w:pPr>
              <w:rPr>
                <w:rFonts w:ascii="Arial" w:hAnsi="Arial" w:cs="Arial"/>
                <w:sz w:val="22"/>
                <w:szCs w:val="22"/>
                <w:lang w:eastAsia="en-GB"/>
              </w:rPr>
            </w:pPr>
            <w:r w:rsidRPr="003A773E">
              <w:rPr>
                <w:rFonts w:ascii="Arial" w:hAnsi="Arial" w:cs="Arial"/>
                <w:sz w:val="22"/>
                <w:szCs w:val="22"/>
                <w:lang w:eastAsia="en-GB"/>
              </w:rPr>
              <w:t>Virtual ward platform</w:t>
            </w:r>
          </w:p>
          <w:p w14:paraId="41482AED" w14:textId="77777777" w:rsidR="00E40E6B" w:rsidRPr="00E40E6B" w:rsidRDefault="00E40E6B" w:rsidP="00E40E6B">
            <w:pPr>
              <w:rPr>
                <w:rFonts w:ascii="Arial" w:hAnsi="Arial" w:cs="Arial"/>
                <w:sz w:val="22"/>
                <w:szCs w:val="22"/>
                <w:lang w:eastAsia="en-GB"/>
              </w:rPr>
            </w:pPr>
            <w:r w:rsidRPr="00E40E6B">
              <w:rPr>
                <w:rFonts w:ascii="Arial" w:hAnsi="Arial" w:cs="Arial"/>
                <w:sz w:val="22"/>
                <w:szCs w:val="22"/>
                <w:lang w:eastAsia="en-GB"/>
              </w:rPr>
              <w:t>-</w:t>
            </w:r>
            <w:r w:rsidRPr="00E40E6B">
              <w:rPr>
                <w:rFonts w:ascii="Arial" w:hAnsi="Arial" w:cs="Arial"/>
                <w:sz w:val="22"/>
                <w:szCs w:val="22"/>
                <w:lang w:eastAsia="en-GB"/>
              </w:rPr>
              <w:tab/>
              <w:t xml:space="preserve">We strongly suggest that technology should be suitable and accessible for people with a </w:t>
            </w:r>
            <w:proofErr w:type="gramStart"/>
            <w:r w:rsidRPr="00E40E6B">
              <w:rPr>
                <w:rFonts w:ascii="Arial" w:hAnsi="Arial" w:cs="Arial"/>
                <w:sz w:val="22"/>
                <w:szCs w:val="22"/>
                <w:lang w:eastAsia="en-GB"/>
              </w:rPr>
              <w:t>learning  disability</w:t>
            </w:r>
            <w:proofErr w:type="gramEnd"/>
            <w:r w:rsidRPr="00E40E6B">
              <w:rPr>
                <w:rFonts w:ascii="Arial" w:hAnsi="Arial" w:cs="Arial"/>
                <w:sz w:val="22"/>
                <w:szCs w:val="22"/>
                <w:lang w:eastAsia="en-GB"/>
              </w:rPr>
              <w:t xml:space="preserve"> and their carers</w:t>
            </w:r>
          </w:p>
          <w:p w14:paraId="0A5DFAF1" w14:textId="08A39620" w:rsidR="00E40E6B" w:rsidRPr="003A773E" w:rsidRDefault="00E40E6B" w:rsidP="00E40E6B">
            <w:pPr>
              <w:rPr>
                <w:rFonts w:ascii="Arial" w:hAnsi="Arial" w:cs="Arial"/>
                <w:sz w:val="22"/>
                <w:szCs w:val="22"/>
                <w:lang w:eastAsia="en-GB"/>
              </w:rPr>
            </w:pPr>
            <w:r w:rsidRPr="00E40E6B">
              <w:rPr>
                <w:rFonts w:ascii="Arial" w:hAnsi="Arial" w:cs="Arial"/>
                <w:sz w:val="22"/>
                <w:szCs w:val="22"/>
                <w:lang w:eastAsia="en-GB"/>
              </w:rPr>
              <w:lastRenderedPageBreak/>
              <w:t>-</w:t>
            </w:r>
            <w:r w:rsidRPr="00E40E6B">
              <w:rPr>
                <w:rFonts w:ascii="Arial" w:hAnsi="Arial" w:cs="Arial"/>
                <w:sz w:val="22"/>
                <w:szCs w:val="22"/>
                <w:lang w:eastAsia="en-GB"/>
              </w:rPr>
              <w:tab/>
              <w:t xml:space="preserve">There should be recognition that baseline scores for some people with </w:t>
            </w:r>
            <w:proofErr w:type="gramStart"/>
            <w:r w:rsidRPr="00E40E6B">
              <w:rPr>
                <w:rFonts w:ascii="Arial" w:hAnsi="Arial" w:cs="Arial"/>
                <w:sz w:val="22"/>
                <w:szCs w:val="22"/>
                <w:lang w:eastAsia="en-GB"/>
              </w:rPr>
              <w:t>an</w:t>
            </w:r>
            <w:proofErr w:type="gramEnd"/>
            <w:r w:rsidRPr="00E40E6B">
              <w:rPr>
                <w:rFonts w:ascii="Arial" w:hAnsi="Arial" w:cs="Arial"/>
                <w:sz w:val="22"/>
                <w:szCs w:val="22"/>
                <w:lang w:eastAsia="en-GB"/>
              </w:rPr>
              <w:t xml:space="preserve"> learning disability may differ from average baselines in the general population.</w:t>
            </w:r>
          </w:p>
        </w:tc>
      </w:tr>
      <w:tr w:rsidR="00B952C1" w:rsidRPr="003A773E" w14:paraId="2B307882" w14:textId="77777777" w:rsidTr="004E35A1">
        <w:trPr>
          <w:trHeight w:val="282"/>
        </w:trPr>
        <w:tc>
          <w:tcPr>
            <w:tcW w:w="708" w:type="dxa"/>
          </w:tcPr>
          <w:p w14:paraId="5D346E17" w14:textId="58886AE9"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lastRenderedPageBreak/>
              <w:t>32</w:t>
            </w:r>
          </w:p>
        </w:tc>
        <w:tc>
          <w:tcPr>
            <w:tcW w:w="1697" w:type="dxa"/>
          </w:tcPr>
          <w:p w14:paraId="2F1FF561" w14:textId="77FEDD0D" w:rsidR="00B952C1" w:rsidRPr="003A773E" w:rsidRDefault="00B952C1" w:rsidP="00B952C1">
            <w:pPr>
              <w:rPr>
                <w:rFonts w:ascii="Arial" w:hAnsi="Arial" w:cs="Arial"/>
                <w:sz w:val="22"/>
                <w:szCs w:val="22"/>
                <w:lang w:eastAsia="en-GB"/>
              </w:rPr>
            </w:pPr>
            <w:r w:rsidRPr="00A43113">
              <w:rPr>
                <w:rFonts w:ascii="Arial" w:hAnsi="Arial" w:cs="Arial"/>
                <w:sz w:val="22"/>
                <w:szCs w:val="22"/>
                <w:lang w:eastAsia="en-GB"/>
              </w:rPr>
              <w:t>Virtual wards: service provision</w:t>
            </w:r>
          </w:p>
        </w:tc>
        <w:tc>
          <w:tcPr>
            <w:tcW w:w="1560" w:type="dxa"/>
          </w:tcPr>
          <w:p w14:paraId="3F705514" w14:textId="3C694F9C"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537CA93F"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General Comment</w:t>
            </w:r>
          </w:p>
        </w:tc>
        <w:tc>
          <w:tcPr>
            <w:tcW w:w="7225" w:type="dxa"/>
          </w:tcPr>
          <w:p w14:paraId="7075AC93"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 xml:space="preserve">We strongly suggest reference to making reasonable adjustments: This is a legal requirement set out in the Equality Act 2010 and is important to support the right diagnostic and treatment decisions for an individual. made. Adjustments aim to remove barriers, do things in a different way, or to provide something additional to enable a person to receive the assessment and treatment they need. Possible examples </w:t>
            </w:r>
            <w:proofErr w:type="gramStart"/>
            <w:r w:rsidRPr="003A773E">
              <w:rPr>
                <w:rFonts w:ascii="Arial" w:hAnsi="Arial" w:cs="Arial"/>
                <w:sz w:val="22"/>
                <w:szCs w:val="22"/>
                <w:lang w:eastAsia="en-GB"/>
              </w:rPr>
              <w:t>include;</w:t>
            </w:r>
            <w:proofErr w:type="gramEnd"/>
            <w:r w:rsidRPr="003A773E">
              <w:rPr>
                <w:rFonts w:ascii="Arial" w:hAnsi="Arial" w:cs="Arial"/>
                <w:sz w:val="22"/>
                <w:szCs w:val="22"/>
                <w:lang w:eastAsia="en-GB"/>
              </w:rPr>
              <w:t xml:space="preserve"> allocating a clinician by gender, taking blood samples by thumb prick rather than needle, providing a quiet space to see the patient away from excess noise and activity.</w:t>
            </w:r>
          </w:p>
        </w:tc>
      </w:tr>
      <w:tr w:rsidR="00B952C1" w:rsidRPr="003A773E" w14:paraId="5004D218" w14:textId="77777777" w:rsidTr="004E35A1">
        <w:trPr>
          <w:trHeight w:val="282"/>
        </w:trPr>
        <w:tc>
          <w:tcPr>
            <w:tcW w:w="708" w:type="dxa"/>
          </w:tcPr>
          <w:p w14:paraId="7D8BD1CA" w14:textId="27F8FF52"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33</w:t>
            </w:r>
          </w:p>
        </w:tc>
        <w:tc>
          <w:tcPr>
            <w:tcW w:w="1697" w:type="dxa"/>
          </w:tcPr>
          <w:p w14:paraId="66DE2E3F" w14:textId="07733C3A" w:rsidR="00B952C1" w:rsidRPr="003A773E" w:rsidRDefault="00B952C1" w:rsidP="00B952C1">
            <w:pPr>
              <w:rPr>
                <w:rFonts w:ascii="Arial" w:hAnsi="Arial" w:cs="Arial"/>
                <w:sz w:val="22"/>
                <w:szCs w:val="22"/>
                <w:lang w:eastAsia="en-GB"/>
              </w:rPr>
            </w:pPr>
            <w:r w:rsidRPr="00A43113">
              <w:rPr>
                <w:rFonts w:ascii="Arial" w:hAnsi="Arial" w:cs="Arial"/>
                <w:sz w:val="22"/>
                <w:szCs w:val="22"/>
                <w:lang w:eastAsia="en-GB"/>
              </w:rPr>
              <w:t>Virtual wards: service provision</w:t>
            </w:r>
          </w:p>
        </w:tc>
        <w:tc>
          <w:tcPr>
            <w:tcW w:w="1560" w:type="dxa"/>
          </w:tcPr>
          <w:p w14:paraId="77FC25EB" w14:textId="78155EAE"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1F47AC2C"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General Comment</w:t>
            </w:r>
          </w:p>
        </w:tc>
        <w:tc>
          <w:tcPr>
            <w:tcW w:w="7225" w:type="dxa"/>
          </w:tcPr>
          <w:p w14:paraId="1BA4DAF2"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We recommend including reference to the importance of Communication: Communicate with and try to understand the person you are caring for. Check with the person themselves, their family member or carer or their hospital or communication passport for the best way to achieve this. Use simple, clear language, avoiding medical terms and ‘jargon’ wherever possible. Some people may be non-verbal and unable to tell you how they feel. Pictures may be a useful way of communicating with some people, but not all.</w:t>
            </w:r>
          </w:p>
        </w:tc>
      </w:tr>
      <w:tr w:rsidR="00E40E6B" w:rsidRPr="003A773E" w14:paraId="15E3FCDB" w14:textId="77777777" w:rsidTr="004E35A1">
        <w:trPr>
          <w:trHeight w:val="282"/>
        </w:trPr>
        <w:tc>
          <w:tcPr>
            <w:tcW w:w="708" w:type="dxa"/>
          </w:tcPr>
          <w:p w14:paraId="63FCC59F" w14:textId="1FB57C9E"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34</w:t>
            </w:r>
          </w:p>
        </w:tc>
        <w:tc>
          <w:tcPr>
            <w:tcW w:w="1697" w:type="dxa"/>
          </w:tcPr>
          <w:p w14:paraId="63D30122" w14:textId="385F578B"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service provision</w:t>
            </w:r>
          </w:p>
        </w:tc>
        <w:tc>
          <w:tcPr>
            <w:tcW w:w="1560" w:type="dxa"/>
          </w:tcPr>
          <w:p w14:paraId="73365BF8" w14:textId="74A11C99"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077338ED"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General Comment</w:t>
            </w:r>
          </w:p>
        </w:tc>
        <w:tc>
          <w:tcPr>
            <w:tcW w:w="7225" w:type="dxa"/>
          </w:tcPr>
          <w:p w14:paraId="6A5B8B13" w14:textId="77777777" w:rsidR="00E40E6B" w:rsidRPr="003A773E" w:rsidRDefault="00E40E6B" w:rsidP="00625E5D">
            <w:pPr>
              <w:rPr>
                <w:rFonts w:ascii="Arial" w:hAnsi="Arial" w:cs="Arial"/>
                <w:sz w:val="22"/>
                <w:szCs w:val="22"/>
                <w:lang w:eastAsia="en-GB"/>
              </w:rPr>
            </w:pPr>
            <w:r w:rsidRPr="003A773E">
              <w:rPr>
                <w:rFonts w:ascii="Arial" w:hAnsi="Arial" w:cs="Arial"/>
                <w:sz w:val="22"/>
                <w:szCs w:val="22"/>
              </w:rPr>
              <w:t>A person with a learning disability and some autistic people may not be able to articulate their response to pain in the expected way: for example, they may say that they have a pain in their stomach when the pain is not there; may say the pain is less acute than you would anticipate; or not say they are in pain when they are. Some may feel pain in a different way or respond to it differently: for example, by displaying challenging behaviour; laughing or crying; trying to hurt themselves; or equally may become withdrawn or quiet. People who use a wheelchair may have chronic pain. Understanding what is ‘normal’ for that person by talking to</w:t>
            </w:r>
          </w:p>
        </w:tc>
      </w:tr>
      <w:tr w:rsidR="00E40E6B" w:rsidRPr="003A773E" w14:paraId="14195303" w14:textId="77777777" w:rsidTr="004E35A1">
        <w:trPr>
          <w:trHeight w:val="282"/>
        </w:trPr>
        <w:tc>
          <w:tcPr>
            <w:tcW w:w="708" w:type="dxa"/>
          </w:tcPr>
          <w:p w14:paraId="6668154E" w14:textId="664D036E"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35</w:t>
            </w:r>
          </w:p>
        </w:tc>
        <w:tc>
          <w:tcPr>
            <w:tcW w:w="1697" w:type="dxa"/>
          </w:tcPr>
          <w:p w14:paraId="021BDA68" w14:textId="3E0C5E04"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Virtual wards: service provision</w:t>
            </w:r>
          </w:p>
        </w:tc>
        <w:tc>
          <w:tcPr>
            <w:tcW w:w="1560" w:type="dxa"/>
          </w:tcPr>
          <w:p w14:paraId="42063092" w14:textId="30DF5064"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028225B6"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General Comment</w:t>
            </w:r>
          </w:p>
        </w:tc>
        <w:tc>
          <w:tcPr>
            <w:tcW w:w="7225" w:type="dxa"/>
          </w:tcPr>
          <w:p w14:paraId="55ED7455" w14:textId="7777777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Be aware of diagnostic overshadowing: This occurs when the symptoms of physical ill health are mistakenly either attributed to a mental health or behavioural problem or considered inherent to the person’s learning disability or autism diagnosis. People with a learning </w:t>
            </w:r>
            <w:r w:rsidRPr="003A773E">
              <w:rPr>
                <w:rFonts w:ascii="Arial" w:hAnsi="Arial" w:cs="Arial"/>
                <w:sz w:val="22"/>
                <w:szCs w:val="22"/>
                <w:lang w:eastAsia="en-GB"/>
              </w:rPr>
              <w:lastRenderedPageBreak/>
              <w:t>disability or autism have the same illnesses as everyone else, but the way they respond to or communicate their symptoms may be different and not obvious. Their presentation with COVID-19 may be different from that for people without a learning disability or autism.</w:t>
            </w:r>
          </w:p>
        </w:tc>
      </w:tr>
      <w:tr w:rsidR="00B952C1" w:rsidRPr="003A773E" w14:paraId="3A322F3B" w14:textId="77777777" w:rsidTr="004E35A1">
        <w:trPr>
          <w:trHeight w:val="282"/>
        </w:trPr>
        <w:tc>
          <w:tcPr>
            <w:tcW w:w="708" w:type="dxa"/>
          </w:tcPr>
          <w:p w14:paraId="2A92433A" w14:textId="3FEDAB29"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lastRenderedPageBreak/>
              <w:t>36</w:t>
            </w:r>
          </w:p>
        </w:tc>
        <w:tc>
          <w:tcPr>
            <w:tcW w:w="1697" w:type="dxa"/>
          </w:tcPr>
          <w:p w14:paraId="069012CF" w14:textId="016D8DD2" w:rsidR="00B952C1" w:rsidRPr="003A773E" w:rsidRDefault="00B952C1" w:rsidP="00B952C1">
            <w:pPr>
              <w:rPr>
                <w:rFonts w:ascii="Arial" w:hAnsi="Arial" w:cs="Arial"/>
                <w:sz w:val="22"/>
                <w:szCs w:val="22"/>
                <w:lang w:eastAsia="en-GB"/>
              </w:rPr>
            </w:pPr>
            <w:r w:rsidRPr="00B87B0D">
              <w:rPr>
                <w:rFonts w:ascii="Arial" w:hAnsi="Arial" w:cs="Arial"/>
                <w:sz w:val="22"/>
                <w:szCs w:val="22"/>
                <w:lang w:eastAsia="en-GB"/>
              </w:rPr>
              <w:t>Virtual wards: service provision</w:t>
            </w:r>
          </w:p>
        </w:tc>
        <w:tc>
          <w:tcPr>
            <w:tcW w:w="1560" w:type="dxa"/>
          </w:tcPr>
          <w:p w14:paraId="4829D732" w14:textId="0196859A"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NHSE</w:t>
            </w:r>
          </w:p>
        </w:tc>
        <w:tc>
          <w:tcPr>
            <w:tcW w:w="2976" w:type="dxa"/>
          </w:tcPr>
          <w:p w14:paraId="08316BD0"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General Comment</w:t>
            </w:r>
          </w:p>
        </w:tc>
        <w:tc>
          <w:tcPr>
            <w:tcW w:w="7225" w:type="dxa"/>
          </w:tcPr>
          <w:p w14:paraId="6B01CB73"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Pay attention to healthcare passports: Some people with a learning disability and some autistic people may have a healthcare passport giving information about the person and their health needs, preferred method of communication and other preferences. Ask the person or their accompanying carer if they have one of these.</w:t>
            </w:r>
          </w:p>
        </w:tc>
      </w:tr>
      <w:tr w:rsidR="00B952C1" w:rsidRPr="003A773E" w14:paraId="5A8BFA76" w14:textId="77777777" w:rsidTr="004E35A1">
        <w:trPr>
          <w:trHeight w:val="282"/>
        </w:trPr>
        <w:tc>
          <w:tcPr>
            <w:tcW w:w="708" w:type="dxa"/>
          </w:tcPr>
          <w:p w14:paraId="324AB5F6" w14:textId="4DFC2DFF"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37</w:t>
            </w:r>
          </w:p>
        </w:tc>
        <w:tc>
          <w:tcPr>
            <w:tcW w:w="1697" w:type="dxa"/>
          </w:tcPr>
          <w:p w14:paraId="6864AEAD" w14:textId="62E654F2" w:rsidR="00B952C1" w:rsidRPr="003A773E" w:rsidRDefault="00B952C1" w:rsidP="00B952C1">
            <w:pPr>
              <w:rPr>
                <w:rFonts w:ascii="Arial" w:hAnsi="Arial" w:cs="Arial"/>
                <w:bCs/>
                <w:sz w:val="22"/>
                <w:szCs w:val="22"/>
                <w:lang w:eastAsia="en-GB"/>
              </w:rPr>
            </w:pPr>
            <w:r w:rsidRPr="00B87B0D">
              <w:rPr>
                <w:rFonts w:ascii="Arial" w:hAnsi="Arial" w:cs="Arial"/>
                <w:sz w:val="22"/>
                <w:szCs w:val="22"/>
                <w:lang w:eastAsia="en-GB"/>
              </w:rPr>
              <w:t>Virtual wards: service provision</w:t>
            </w:r>
          </w:p>
        </w:tc>
        <w:tc>
          <w:tcPr>
            <w:tcW w:w="1560" w:type="dxa"/>
          </w:tcPr>
          <w:p w14:paraId="77337BCD" w14:textId="602E399A" w:rsidR="00B952C1" w:rsidRPr="003A773E" w:rsidRDefault="00B952C1" w:rsidP="00B952C1">
            <w:pPr>
              <w:rPr>
                <w:rFonts w:ascii="Arial" w:hAnsi="Arial" w:cs="Arial"/>
                <w:bCs/>
                <w:sz w:val="22"/>
                <w:szCs w:val="22"/>
                <w:lang w:eastAsia="en-GB"/>
              </w:rPr>
            </w:pPr>
            <w:r w:rsidRPr="003A773E">
              <w:rPr>
                <w:rFonts w:ascii="Arial" w:hAnsi="Arial" w:cs="Arial"/>
                <w:bCs/>
                <w:sz w:val="22"/>
                <w:szCs w:val="22"/>
                <w:lang w:eastAsia="en-GB"/>
              </w:rPr>
              <w:t>Primary Care Respiratory Society</w:t>
            </w:r>
          </w:p>
        </w:tc>
        <w:tc>
          <w:tcPr>
            <w:tcW w:w="2976" w:type="dxa"/>
          </w:tcPr>
          <w:p w14:paraId="0D2154B9" w14:textId="77777777" w:rsidR="00B952C1" w:rsidRPr="00E40E6B" w:rsidRDefault="00B952C1" w:rsidP="00B952C1">
            <w:pPr>
              <w:spacing w:after="120" w:line="276" w:lineRule="auto"/>
              <w:rPr>
                <w:rFonts w:ascii="Arial" w:hAnsi="Arial" w:cs="Arial"/>
                <w:sz w:val="22"/>
                <w:szCs w:val="22"/>
                <w:lang w:eastAsia="en-GB"/>
              </w:rPr>
            </w:pPr>
            <w:r w:rsidRPr="00E40E6B">
              <w:rPr>
                <w:rFonts w:ascii="Arial" w:hAnsi="Arial" w:cs="Arial"/>
                <w:sz w:val="22"/>
                <w:szCs w:val="22"/>
                <w:lang w:eastAsia="en-GB"/>
              </w:rPr>
              <w:t>Mobile service for rural areas</w:t>
            </w:r>
          </w:p>
        </w:tc>
        <w:tc>
          <w:tcPr>
            <w:tcW w:w="7225" w:type="dxa"/>
          </w:tcPr>
          <w:p w14:paraId="52BBEA63"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Centralised services in rural areas and contribute to geographical health inequalities</w:t>
            </w:r>
          </w:p>
        </w:tc>
      </w:tr>
      <w:tr w:rsidR="00E40E6B" w:rsidRPr="003A773E" w14:paraId="4539373F" w14:textId="77777777" w:rsidTr="004E35A1">
        <w:trPr>
          <w:trHeight w:val="282"/>
        </w:trPr>
        <w:tc>
          <w:tcPr>
            <w:tcW w:w="708" w:type="dxa"/>
          </w:tcPr>
          <w:p w14:paraId="471455FC" w14:textId="71E9705F"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 xml:space="preserve">38 </w:t>
            </w:r>
          </w:p>
        </w:tc>
        <w:tc>
          <w:tcPr>
            <w:tcW w:w="1697" w:type="dxa"/>
          </w:tcPr>
          <w:p w14:paraId="5C28A3CD" w14:textId="6ABE92BF" w:rsidR="00E40E6B" w:rsidRPr="003A773E" w:rsidRDefault="00B952C1" w:rsidP="002C7F94">
            <w:pPr>
              <w:rPr>
                <w:rFonts w:ascii="Arial" w:hAnsi="Arial" w:cs="Arial"/>
                <w:sz w:val="22"/>
                <w:szCs w:val="22"/>
                <w:lang w:eastAsia="en-GB"/>
              </w:rPr>
            </w:pPr>
            <w:r>
              <w:rPr>
                <w:rFonts w:ascii="Arial" w:hAnsi="Arial" w:cs="Arial"/>
                <w:sz w:val="22"/>
                <w:szCs w:val="22"/>
                <w:lang w:eastAsia="en-GB"/>
              </w:rPr>
              <w:t>Additional area</w:t>
            </w:r>
          </w:p>
        </w:tc>
        <w:tc>
          <w:tcPr>
            <w:tcW w:w="1560" w:type="dxa"/>
          </w:tcPr>
          <w:p w14:paraId="72338B92" w14:textId="798E1E2D"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Primary Care Respiratory Society</w:t>
            </w:r>
          </w:p>
        </w:tc>
        <w:tc>
          <w:tcPr>
            <w:tcW w:w="2976" w:type="dxa"/>
          </w:tcPr>
          <w:p w14:paraId="3E7E56E0"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Workforce should include respiratory-experienced staff</w:t>
            </w:r>
          </w:p>
        </w:tc>
        <w:tc>
          <w:tcPr>
            <w:tcW w:w="7225" w:type="dxa"/>
          </w:tcPr>
          <w:p w14:paraId="0FD7AC84" w14:textId="77777777" w:rsidR="00E40E6B" w:rsidRPr="003A773E" w:rsidRDefault="00E40E6B" w:rsidP="00E40E6B">
            <w:pPr>
              <w:spacing w:after="240" w:line="276" w:lineRule="auto"/>
              <w:rPr>
                <w:rFonts w:ascii="Arial" w:hAnsi="Arial" w:cs="Arial"/>
                <w:i/>
                <w:iCs/>
                <w:sz w:val="22"/>
                <w:szCs w:val="22"/>
                <w:lang w:eastAsia="en-GB"/>
              </w:rPr>
            </w:pPr>
            <w:r w:rsidRPr="003A773E">
              <w:rPr>
                <w:rFonts w:ascii="Arial" w:hAnsi="Arial" w:cs="Arial"/>
                <w:sz w:val="22"/>
                <w:szCs w:val="22"/>
                <w:lang w:eastAsia="en-GB"/>
              </w:rPr>
              <w:t>Need to ensure appropriate respiratory-relevant care and service design (</w:t>
            </w:r>
            <w:proofErr w:type="spellStart"/>
            <w:r w:rsidRPr="003A773E">
              <w:rPr>
                <w:rFonts w:ascii="Arial" w:hAnsi="Arial" w:cs="Arial"/>
                <w:sz w:val="22"/>
                <w:szCs w:val="22"/>
                <w:lang w:eastAsia="en-GB"/>
              </w:rPr>
              <w:t>e.g</w:t>
            </w:r>
            <w:proofErr w:type="spellEnd"/>
            <w:r w:rsidRPr="003A773E">
              <w:rPr>
                <w:rFonts w:ascii="Arial" w:hAnsi="Arial" w:cs="Arial"/>
                <w:sz w:val="22"/>
                <w:szCs w:val="22"/>
                <w:lang w:eastAsia="en-GB"/>
              </w:rPr>
              <w:t xml:space="preserve"> mandatory mask wearing, isolation of patients with suspected SARS-CoV-2 infection)</w:t>
            </w:r>
          </w:p>
        </w:tc>
      </w:tr>
      <w:tr w:rsidR="00B952C1" w:rsidRPr="003A773E" w14:paraId="0889171F" w14:textId="77777777" w:rsidTr="004E35A1">
        <w:trPr>
          <w:trHeight w:val="282"/>
        </w:trPr>
        <w:tc>
          <w:tcPr>
            <w:tcW w:w="708" w:type="dxa"/>
          </w:tcPr>
          <w:p w14:paraId="3F094A99" w14:textId="052AB8E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39</w:t>
            </w:r>
          </w:p>
        </w:tc>
        <w:tc>
          <w:tcPr>
            <w:tcW w:w="1697" w:type="dxa"/>
          </w:tcPr>
          <w:p w14:paraId="6AAF958B" w14:textId="7CA1766B" w:rsidR="00B952C1" w:rsidRPr="003A773E" w:rsidRDefault="00B952C1" w:rsidP="00B952C1">
            <w:pPr>
              <w:rPr>
                <w:rFonts w:ascii="Arial" w:hAnsi="Arial" w:cs="Arial"/>
                <w:sz w:val="22"/>
                <w:szCs w:val="22"/>
                <w:lang w:eastAsia="en-GB"/>
              </w:rPr>
            </w:pPr>
            <w:r w:rsidRPr="00412CF6">
              <w:rPr>
                <w:rFonts w:ascii="Arial" w:hAnsi="Arial" w:cs="Arial"/>
                <w:sz w:val="22"/>
                <w:szCs w:val="22"/>
                <w:lang w:eastAsia="en-GB"/>
              </w:rPr>
              <w:t>Additional area</w:t>
            </w:r>
          </w:p>
        </w:tc>
        <w:tc>
          <w:tcPr>
            <w:tcW w:w="1560" w:type="dxa"/>
          </w:tcPr>
          <w:p w14:paraId="627F99D6" w14:textId="1E20C844"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Primary Care Respiratory Society</w:t>
            </w:r>
          </w:p>
        </w:tc>
        <w:tc>
          <w:tcPr>
            <w:tcW w:w="2976" w:type="dxa"/>
          </w:tcPr>
          <w:p w14:paraId="543D80CE"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Appropriate training for staff expected to triage patients for referral to an ARI service</w:t>
            </w:r>
          </w:p>
        </w:tc>
        <w:tc>
          <w:tcPr>
            <w:tcW w:w="7225" w:type="dxa"/>
          </w:tcPr>
          <w:p w14:paraId="56834569" w14:textId="77777777" w:rsidR="00B952C1" w:rsidRPr="003A773E" w:rsidRDefault="00B952C1" w:rsidP="00B952C1">
            <w:pPr>
              <w:spacing w:after="240" w:line="276" w:lineRule="auto"/>
              <w:rPr>
                <w:rFonts w:ascii="Arial" w:hAnsi="Arial" w:cs="Arial"/>
                <w:sz w:val="22"/>
                <w:szCs w:val="22"/>
                <w:lang w:eastAsia="en-GB"/>
              </w:rPr>
            </w:pPr>
            <w:r w:rsidRPr="003A773E">
              <w:rPr>
                <w:rFonts w:ascii="Arial" w:hAnsi="Arial" w:cs="Arial"/>
                <w:sz w:val="22"/>
                <w:szCs w:val="22"/>
                <w:lang w:eastAsia="en-GB"/>
              </w:rPr>
              <w:t>Appropriate training to ensure only acutely unwell patients with respiratory infections are referred to an ARI. Patients not acutely unwell should be directed to appropriate services such as pharmacy</w:t>
            </w:r>
          </w:p>
        </w:tc>
      </w:tr>
      <w:tr w:rsidR="00B952C1" w:rsidRPr="003A773E" w14:paraId="4112DBD7" w14:textId="77777777" w:rsidTr="004E35A1">
        <w:trPr>
          <w:trHeight w:val="282"/>
        </w:trPr>
        <w:tc>
          <w:tcPr>
            <w:tcW w:w="708" w:type="dxa"/>
          </w:tcPr>
          <w:p w14:paraId="0E48C174" w14:textId="7E27A532"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40</w:t>
            </w:r>
          </w:p>
        </w:tc>
        <w:tc>
          <w:tcPr>
            <w:tcW w:w="1697" w:type="dxa"/>
          </w:tcPr>
          <w:p w14:paraId="08DB4754" w14:textId="5948D76A" w:rsidR="00B952C1" w:rsidRPr="003A773E" w:rsidRDefault="00B952C1" w:rsidP="00B952C1">
            <w:pPr>
              <w:rPr>
                <w:rFonts w:ascii="Arial" w:hAnsi="Arial" w:cs="Arial"/>
                <w:bCs/>
                <w:sz w:val="22"/>
                <w:szCs w:val="22"/>
                <w:lang w:eastAsia="en-GB"/>
              </w:rPr>
            </w:pPr>
            <w:r w:rsidRPr="00412CF6">
              <w:rPr>
                <w:rFonts w:ascii="Arial" w:hAnsi="Arial" w:cs="Arial"/>
                <w:sz w:val="22"/>
                <w:szCs w:val="22"/>
                <w:lang w:eastAsia="en-GB"/>
              </w:rPr>
              <w:t>Additional area</w:t>
            </w:r>
          </w:p>
        </w:tc>
        <w:tc>
          <w:tcPr>
            <w:tcW w:w="1560" w:type="dxa"/>
          </w:tcPr>
          <w:p w14:paraId="183233AB" w14:textId="6D08E237" w:rsidR="00B952C1" w:rsidRPr="003A773E" w:rsidRDefault="00B952C1" w:rsidP="00B952C1">
            <w:pPr>
              <w:rPr>
                <w:rFonts w:ascii="Arial" w:hAnsi="Arial" w:cs="Arial"/>
                <w:bCs/>
                <w:sz w:val="22"/>
                <w:szCs w:val="22"/>
                <w:lang w:eastAsia="en-GB"/>
              </w:rPr>
            </w:pPr>
            <w:r w:rsidRPr="003A773E">
              <w:rPr>
                <w:rFonts w:ascii="Arial" w:hAnsi="Arial" w:cs="Arial"/>
                <w:bCs/>
                <w:sz w:val="22"/>
                <w:szCs w:val="22"/>
                <w:lang w:eastAsia="en-GB"/>
              </w:rPr>
              <w:t>Royal college of nursing</w:t>
            </w:r>
          </w:p>
        </w:tc>
        <w:tc>
          <w:tcPr>
            <w:tcW w:w="2976" w:type="dxa"/>
          </w:tcPr>
          <w:p w14:paraId="58F4E742" w14:textId="77777777" w:rsidR="00B952C1" w:rsidRPr="00E40E6B" w:rsidRDefault="00B952C1" w:rsidP="00B952C1">
            <w:pPr>
              <w:spacing w:after="120" w:line="276" w:lineRule="auto"/>
              <w:rPr>
                <w:rFonts w:ascii="Arial" w:hAnsi="Arial" w:cs="Arial"/>
                <w:sz w:val="22"/>
                <w:szCs w:val="22"/>
                <w:lang w:eastAsia="en-GB"/>
              </w:rPr>
            </w:pPr>
            <w:r w:rsidRPr="00E40E6B">
              <w:rPr>
                <w:rFonts w:ascii="Arial" w:hAnsi="Arial" w:cs="Arial"/>
                <w:sz w:val="22"/>
                <w:szCs w:val="22"/>
                <w:lang w:eastAsia="en-GB"/>
              </w:rPr>
              <w:t>Key area for quality improvement 1</w:t>
            </w:r>
          </w:p>
          <w:p w14:paraId="4658BB66" w14:textId="77777777" w:rsidR="00B952C1" w:rsidRPr="00E40E6B" w:rsidRDefault="001C2C97" w:rsidP="00B952C1">
            <w:pPr>
              <w:rPr>
                <w:rFonts w:ascii="Arial" w:hAnsi="Arial" w:cs="Arial"/>
                <w:sz w:val="22"/>
                <w:szCs w:val="22"/>
                <w:lang w:eastAsia="en-GB"/>
              </w:rPr>
            </w:pPr>
            <w:hyperlink r:id="rId73" w:history="1">
              <w:r w:rsidR="00B952C1" w:rsidRPr="00E40E6B">
                <w:rPr>
                  <w:rFonts w:ascii="Arial" w:hAnsi="Arial" w:cs="Arial"/>
                  <w:color w:val="0000FF"/>
                  <w:sz w:val="22"/>
                  <w:szCs w:val="22"/>
                  <w:u w:val="single"/>
                </w:rPr>
                <w:t>Acute Respiratory Infection in over 16s: Initial assessment and management</w:t>
              </w:r>
            </w:hyperlink>
          </w:p>
        </w:tc>
        <w:tc>
          <w:tcPr>
            <w:tcW w:w="7225" w:type="dxa"/>
          </w:tcPr>
          <w:p w14:paraId="5995ED44" w14:textId="77777777" w:rsidR="00B952C1" w:rsidRDefault="00B952C1" w:rsidP="00B952C1">
            <w:pPr>
              <w:spacing w:after="240" w:line="276" w:lineRule="auto"/>
              <w:rPr>
                <w:rFonts w:ascii="Arial" w:hAnsi="Arial" w:cs="Arial"/>
                <w:sz w:val="22"/>
                <w:szCs w:val="22"/>
                <w:lang w:eastAsia="en-GB"/>
              </w:rPr>
            </w:pPr>
            <w:r w:rsidRPr="003A773E">
              <w:rPr>
                <w:rFonts w:ascii="Arial" w:hAnsi="Arial" w:cs="Arial"/>
                <w:sz w:val="22"/>
                <w:szCs w:val="22"/>
                <w:lang w:eastAsia="en-GB"/>
              </w:rPr>
              <w:t xml:space="preserve">In England the Getting it right </w:t>
            </w:r>
            <w:proofErr w:type="gramStart"/>
            <w:r w:rsidRPr="003A773E">
              <w:rPr>
                <w:rFonts w:ascii="Arial" w:hAnsi="Arial" w:cs="Arial"/>
                <w:sz w:val="22"/>
                <w:szCs w:val="22"/>
                <w:lang w:eastAsia="en-GB"/>
              </w:rPr>
              <w:t>first time</w:t>
            </w:r>
            <w:proofErr w:type="gramEnd"/>
            <w:r w:rsidRPr="003A773E">
              <w:rPr>
                <w:rFonts w:ascii="Arial" w:hAnsi="Arial" w:cs="Arial"/>
                <w:sz w:val="22"/>
                <w:szCs w:val="22"/>
                <w:lang w:eastAsia="en-GB"/>
              </w:rPr>
              <w:t xml:space="preserve"> guidance recommends that all organisations (specifically hospitals) have a pneumonia lead and workforce to support respiratory infections which includes pneumonia. </w:t>
            </w:r>
          </w:p>
          <w:p w14:paraId="5C2F927E" w14:textId="10FADB64" w:rsidR="00B952C1" w:rsidRPr="003A773E" w:rsidRDefault="001C2C97" w:rsidP="00B952C1">
            <w:pPr>
              <w:spacing w:after="240" w:line="276" w:lineRule="auto"/>
              <w:rPr>
                <w:rFonts w:ascii="Arial" w:hAnsi="Arial" w:cs="Arial"/>
                <w:sz w:val="22"/>
                <w:szCs w:val="22"/>
                <w:lang w:eastAsia="en-GB"/>
              </w:rPr>
            </w:pPr>
            <w:hyperlink r:id="rId74" w:history="1">
              <w:r w:rsidR="00B952C1" w:rsidRPr="005229E5">
                <w:rPr>
                  <w:rStyle w:val="Hyperlink"/>
                  <w:rFonts w:ascii="Arial" w:hAnsi="Arial" w:cs="Arial"/>
                  <w:sz w:val="22"/>
                  <w:szCs w:val="22"/>
                  <w:lang w:eastAsia="en-GB"/>
                </w:rPr>
                <w:t>www.gettingitrightfirsttime.co.uk/wp-content/uploads/2021/03/Respiratory-Medicine-06-04i-Embargo.pdf</w:t>
              </w:r>
            </w:hyperlink>
            <w:r w:rsidR="00B952C1" w:rsidRPr="003A773E">
              <w:rPr>
                <w:rFonts w:ascii="Arial" w:hAnsi="Arial" w:cs="Arial"/>
                <w:sz w:val="22"/>
                <w:szCs w:val="22"/>
                <w:lang w:eastAsia="en-GB"/>
              </w:rPr>
              <w:t xml:space="preserve"> </w:t>
            </w:r>
          </w:p>
          <w:p w14:paraId="551A0B86" w14:textId="2813C63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Recommendation 13: one specialist nurse per 400 admissions</w:t>
            </w:r>
          </w:p>
        </w:tc>
      </w:tr>
      <w:tr w:rsidR="00E40E6B" w:rsidRPr="003A773E" w14:paraId="3806C10C" w14:textId="77777777" w:rsidTr="004E35A1">
        <w:trPr>
          <w:trHeight w:val="282"/>
        </w:trPr>
        <w:tc>
          <w:tcPr>
            <w:tcW w:w="708" w:type="dxa"/>
          </w:tcPr>
          <w:p w14:paraId="0B888B4B" w14:textId="58C6B987"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41</w:t>
            </w:r>
          </w:p>
        </w:tc>
        <w:tc>
          <w:tcPr>
            <w:tcW w:w="1697" w:type="dxa"/>
          </w:tcPr>
          <w:p w14:paraId="045B2B1F" w14:textId="6D771889" w:rsidR="00E40E6B" w:rsidRPr="003A773E" w:rsidRDefault="00B952C1" w:rsidP="002C7F94">
            <w:pPr>
              <w:rPr>
                <w:rFonts w:ascii="Arial" w:hAnsi="Arial" w:cs="Arial"/>
                <w:bCs/>
                <w:sz w:val="22"/>
                <w:szCs w:val="22"/>
                <w:lang w:eastAsia="en-GB"/>
              </w:rPr>
            </w:pPr>
            <w:r w:rsidRPr="00B952C1">
              <w:rPr>
                <w:rFonts w:ascii="Arial" w:hAnsi="Arial" w:cs="Arial"/>
                <w:bCs/>
                <w:sz w:val="22"/>
                <w:szCs w:val="22"/>
                <w:lang w:eastAsia="en-GB"/>
              </w:rPr>
              <w:t>Additional area</w:t>
            </w:r>
          </w:p>
        </w:tc>
        <w:tc>
          <w:tcPr>
            <w:tcW w:w="1560" w:type="dxa"/>
          </w:tcPr>
          <w:p w14:paraId="10547AF7" w14:textId="5F4C11FE" w:rsidR="00E40E6B" w:rsidRPr="003A773E" w:rsidRDefault="00E40E6B" w:rsidP="002C7F94">
            <w:pPr>
              <w:rPr>
                <w:rFonts w:ascii="Arial" w:hAnsi="Arial" w:cs="Arial"/>
                <w:sz w:val="22"/>
                <w:szCs w:val="22"/>
                <w:lang w:eastAsia="en-GB"/>
              </w:rPr>
            </w:pPr>
            <w:r w:rsidRPr="003A773E">
              <w:rPr>
                <w:rFonts w:ascii="Arial" w:hAnsi="Arial" w:cs="Arial"/>
                <w:bCs/>
                <w:sz w:val="22"/>
                <w:szCs w:val="22"/>
                <w:lang w:eastAsia="en-GB"/>
              </w:rPr>
              <w:t>Royal college of nursing</w:t>
            </w:r>
          </w:p>
        </w:tc>
        <w:tc>
          <w:tcPr>
            <w:tcW w:w="2976" w:type="dxa"/>
          </w:tcPr>
          <w:p w14:paraId="13FE0A7C" w14:textId="77777777" w:rsidR="00E40E6B" w:rsidRPr="00E40E6B" w:rsidRDefault="00E40E6B" w:rsidP="00E40E6B">
            <w:pPr>
              <w:spacing w:after="120" w:line="276" w:lineRule="auto"/>
              <w:rPr>
                <w:rFonts w:ascii="Arial" w:hAnsi="Arial" w:cs="Arial"/>
                <w:sz w:val="22"/>
                <w:szCs w:val="22"/>
                <w:lang w:eastAsia="en-GB"/>
              </w:rPr>
            </w:pPr>
            <w:r w:rsidRPr="00E40E6B">
              <w:rPr>
                <w:rFonts w:ascii="Arial" w:hAnsi="Arial" w:cs="Arial"/>
                <w:sz w:val="22"/>
                <w:szCs w:val="22"/>
                <w:lang w:eastAsia="en-GB"/>
              </w:rPr>
              <w:t>Key area for quality improvement 3</w:t>
            </w:r>
          </w:p>
          <w:p w14:paraId="13E4E5BB" w14:textId="77777777" w:rsidR="00E40E6B" w:rsidRPr="00E40E6B" w:rsidRDefault="001C2C97" w:rsidP="00E40E6B">
            <w:pPr>
              <w:spacing w:after="120" w:line="276" w:lineRule="auto"/>
              <w:rPr>
                <w:rFonts w:ascii="Arial" w:hAnsi="Arial" w:cs="Arial"/>
                <w:color w:val="0000FF"/>
                <w:sz w:val="22"/>
                <w:szCs w:val="22"/>
                <w:u w:val="single"/>
              </w:rPr>
            </w:pPr>
            <w:hyperlink r:id="rId75" w:history="1">
              <w:r w:rsidR="00E40E6B" w:rsidRPr="00E40E6B">
                <w:rPr>
                  <w:rFonts w:ascii="Arial" w:hAnsi="Arial" w:cs="Arial"/>
                  <w:color w:val="0000FF"/>
                  <w:sz w:val="22"/>
                  <w:szCs w:val="22"/>
                  <w:u w:val="single"/>
                </w:rPr>
                <w:t>Acute Respiratory Infection in over 16s: Initial assessment and management</w:t>
              </w:r>
            </w:hyperlink>
          </w:p>
          <w:p w14:paraId="4F4DF0A1" w14:textId="77777777" w:rsidR="00E40E6B" w:rsidRPr="00E40E6B" w:rsidRDefault="001C2C97" w:rsidP="002C7F94">
            <w:pPr>
              <w:rPr>
                <w:rFonts w:ascii="Arial" w:hAnsi="Arial" w:cs="Arial"/>
                <w:sz w:val="22"/>
                <w:szCs w:val="22"/>
                <w:lang w:eastAsia="en-GB"/>
              </w:rPr>
            </w:pPr>
            <w:hyperlink r:id="rId76" w:history="1">
              <w:r w:rsidR="00E40E6B" w:rsidRPr="00E40E6B">
                <w:rPr>
                  <w:rFonts w:ascii="Arial" w:hAnsi="Arial" w:cs="Arial"/>
                  <w:color w:val="0000FF"/>
                  <w:sz w:val="22"/>
                  <w:szCs w:val="22"/>
                  <w:u w:val="single"/>
                </w:rPr>
                <w:t>Virtual Ward Platform Technologies for acute respiratory infections</w:t>
              </w:r>
            </w:hyperlink>
          </w:p>
        </w:tc>
        <w:tc>
          <w:tcPr>
            <w:tcW w:w="7225" w:type="dxa"/>
          </w:tcPr>
          <w:p w14:paraId="384D7ABA" w14:textId="77777777" w:rsidR="00E40E6B" w:rsidRDefault="00E40E6B" w:rsidP="002C7F94">
            <w:pPr>
              <w:rPr>
                <w:rFonts w:ascii="Arial" w:hAnsi="Arial" w:cs="Arial"/>
                <w:sz w:val="22"/>
                <w:szCs w:val="22"/>
                <w:lang w:eastAsia="en-GB"/>
              </w:rPr>
            </w:pPr>
            <w:r w:rsidRPr="003A773E">
              <w:rPr>
                <w:rFonts w:ascii="Arial" w:hAnsi="Arial" w:cs="Arial"/>
                <w:sz w:val="22"/>
                <w:szCs w:val="22"/>
                <w:lang w:eastAsia="en-GB"/>
              </w:rPr>
              <w:lastRenderedPageBreak/>
              <w:t>We know it is essential that the nursing workforce is funded and recruited as well as retained in these services. A lack of the nursing workforce leads to increased mortality.</w:t>
            </w:r>
          </w:p>
          <w:p w14:paraId="2916982C" w14:textId="77777777" w:rsidR="00E40E6B" w:rsidRDefault="00E40E6B" w:rsidP="002C7F94">
            <w:pPr>
              <w:rPr>
                <w:rFonts w:ascii="Arial" w:hAnsi="Arial" w:cs="Arial"/>
                <w:sz w:val="22"/>
                <w:szCs w:val="22"/>
                <w:lang w:eastAsia="en-GB"/>
              </w:rPr>
            </w:pPr>
          </w:p>
          <w:p w14:paraId="04CBA04D" w14:textId="77777777" w:rsidR="00E40E6B" w:rsidRPr="003A773E" w:rsidRDefault="001C2C97" w:rsidP="00E40E6B">
            <w:pPr>
              <w:spacing w:after="240" w:line="276" w:lineRule="auto"/>
              <w:rPr>
                <w:rFonts w:ascii="Arial" w:hAnsi="Arial" w:cs="Arial"/>
                <w:sz w:val="22"/>
                <w:szCs w:val="22"/>
                <w:lang w:eastAsia="en-GB"/>
              </w:rPr>
            </w:pPr>
            <w:hyperlink r:id="rId77" w:history="1">
              <w:r w:rsidR="00E40E6B" w:rsidRPr="003A773E">
                <w:rPr>
                  <w:rFonts w:ascii="Arial" w:hAnsi="Arial" w:cs="Arial"/>
                  <w:color w:val="0000FF"/>
                  <w:sz w:val="22"/>
                  <w:szCs w:val="22"/>
                  <w:u w:val="single"/>
                  <w:lang w:eastAsia="en-GB"/>
                </w:rPr>
                <w:t>Nursing Workforce Standards | Professional Development | Royal College of Nursing (rcn.org.uk)</w:t>
              </w:r>
            </w:hyperlink>
          </w:p>
          <w:p w14:paraId="732D6257" w14:textId="12D16C11" w:rsidR="00E40E6B" w:rsidRDefault="001C2C97" w:rsidP="00E40E6B">
            <w:pPr>
              <w:rPr>
                <w:rFonts w:ascii="Arial" w:hAnsi="Arial" w:cs="Arial"/>
                <w:sz w:val="22"/>
                <w:szCs w:val="22"/>
                <w:lang w:eastAsia="en-GB"/>
              </w:rPr>
            </w:pPr>
            <w:hyperlink r:id="rId78" w:history="1">
              <w:r w:rsidR="00E40E6B" w:rsidRPr="003A773E">
                <w:rPr>
                  <w:rFonts w:ascii="Arial" w:hAnsi="Arial" w:cs="Arial"/>
                  <w:color w:val="0000FF"/>
                  <w:sz w:val="22"/>
                  <w:szCs w:val="22"/>
                  <w:u w:val="single"/>
                  <w:lang w:eastAsia="en-GB"/>
                </w:rPr>
                <w:t>https://www.rcn.org.uk/-/media/Royal-College-Of-Nursing/Documents/Policies-and-briefings/UK-Wide/Policies/2021/BR-0521.pdf</w:t>
              </w:r>
            </w:hyperlink>
          </w:p>
          <w:p w14:paraId="7C152514" w14:textId="77777777" w:rsidR="00E40E6B" w:rsidRPr="003A773E" w:rsidRDefault="00E40E6B" w:rsidP="002C7F94">
            <w:pPr>
              <w:rPr>
                <w:rFonts w:ascii="Arial" w:hAnsi="Arial" w:cs="Arial"/>
                <w:sz w:val="22"/>
                <w:szCs w:val="22"/>
                <w:lang w:eastAsia="en-GB"/>
              </w:rPr>
            </w:pPr>
          </w:p>
        </w:tc>
      </w:tr>
      <w:tr w:rsidR="00B952C1" w:rsidRPr="003A773E" w14:paraId="51C03BE8" w14:textId="77777777" w:rsidTr="004E35A1">
        <w:trPr>
          <w:trHeight w:val="282"/>
        </w:trPr>
        <w:tc>
          <w:tcPr>
            <w:tcW w:w="708" w:type="dxa"/>
          </w:tcPr>
          <w:p w14:paraId="7628C598" w14:textId="43D082DC"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lastRenderedPageBreak/>
              <w:t>42</w:t>
            </w:r>
          </w:p>
        </w:tc>
        <w:tc>
          <w:tcPr>
            <w:tcW w:w="1697" w:type="dxa"/>
          </w:tcPr>
          <w:p w14:paraId="547D8C73" w14:textId="0C0B3B7B" w:rsidR="00B952C1" w:rsidRPr="003A773E" w:rsidRDefault="00B952C1" w:rsidP="00B952C1">
            <w:pPr>
              <w:rPr>
                <w:rFonts w:ascii="Arial" w:hAnsi="Arial" w:cs="Arial"/>
                <w:sz w:val="22"/>
                <w:szCs w:val="22"/>
                <w:lang w:eastAsia="en-GB"/>
              </w:rPr>
            </w:pPr>
            <w:r w:rsidRPr="00746C77">
              <w:rPr>
                <w:rFonts w:ascii="Arial" w:hAnsi="Arial" w:cs="Arial"/>
                <w:sz w:val="22"/>
                <w:szCs w:val="22"/>
                <w:lang w:eastAsia="en-GB"/>
              </w:rPr>
              <w:t>Additional area</w:t>
            </w:r>
          </w:p>
        </w:tc>
        <w:tc>
          <w:tcPr>
            <w:tcW w:w="1560" w:type="dxa"/>
          </w:tcPr>
          <w:p w14:paraId="15314910" w14:textId="389202AE"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 xml:space="preserve">Expert 3 </w:t>
            </w:r>
          </w:p>
        </w:tc>
        <w:tc>
          <w:tcPr>
            <w:tcW w:w="2976" w:type="dxa"/>
          </w:tcPr>
          <w:p w14:paraId="1ECCB392"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Key area for quality improvement 2</w:t>
            </w:r>
          </w:p>
        </w:tc>
        <w:tc>
          <w:tcPr>
            <w:tcW w:w="7225" w:type="dxa"/>
          </w:tcPr>
          <w:p w14:paraId="2E11A9D4" w14:textId="600935CB" w:rsidR="00B952C1" w:rsidRPr="003A773E" w:rsidRDefault="00B952C1" w:rsidP="00B952C1">
            <w:pPr>
              <w:spacing w:after="240" w:line="276" w:lineRule="auto"/>
              <w:rPr>
                <w:rFonts w:ascii="Arial" w:hAnsi="Arial" w:cs="Arial"/>
                <w:sz w:val="22"/>
                <w:szCs w:val="22"/>
                <w:lang w:eastAsia="en-GB"/>
              </w:rPr>
            </w:pPr>
            <w:r w:rsidRPr="003A773E">
              <w:rPr>
                <w:rFonts w:ascii="Arial" w:hAnsi="Arial" w:cs="Arial"/>
                <w:i/>
                <w:iCs/>
                <w:sz w:val="22"/>
                <w:szCs w:val="22"/>
                <w:lang w:eastAsia="en-GB"/>
              </w:rPr>
              <w:t>Systems and processes to support Surveillance &amp; clinician awareness of circulating pathogens</w:t>
            </w:r>
            <w:r w:rsidRPr="003A773E">
              <w:rPr>
                <w:rFonts w:ascii="Arial" w:hAnsi="Arial" w:cs="Arial"/>
                <w:sz w:val="22"/>
                <w:szCs w:val="22"/>
                <w:lang w:eastAsia="en-GB"/>
              </w:rPr>
              <w:t xml:space="preserve">. </w:t>
            </w:r>
          </w:p>
          <w:p w14:paraId="76ACEFEC"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 xml:space="preserve">If people aren’t testing for COVID or flu, then they risk being issued with repeated courses of antibiotics &amp; escalation of care (admission, investigations). This was evident in GP </w:t>
            </w:r>
            <w:proofErr w:type="gramStart"/>
            <w:r w:rsidRPr="003A773E">
              <w:rPr>
                <w:rFonts w:ascii="Arial" w:hAnsi="Arial" w:cs="Arial"/>
                <w:sz w:val="22"/>
                <w:szCs w:val="22"/>
                <w:lang w:eastAsia="en-GB"/>
              </w:rPr>
              <w:t>in  Dec</w:t>
            </w:r>
            <w:proofErr w:type="gramEnd"/>
            <w:r w:rsidRPr="003A773E">
              <w:rPr>
                <w:rFonts w:ascii="Arial" w:hAnsi="Arial" w:cs="Arial"/>
                <w:sz w:val="22"/>
                <w:szCs w:val="22"/>
                <w:lang w:eastAsia="en-GB"/>
              </w:rPr>
              <w:t xml:space="preserve">22/Jan 23 when non-COVID respiratory infections were high, and also in Spring 2023  where COVID levels were high but not widely recognised by patients, care homes or clinicians,  due to national testing policy.  </w:t>
            </w:r>
          </w:p>
        </w:tc>
      </w:tr>
      <w:tr w:rsidR="00B952C1" w:rsidRPr="003A773E" w14:paraId="17B73316" w14:textId="77777777" w:rsidTr="004E35A1">
        <w:trPr>
          <w:trHeight w:val="282"/>
        </w:trPr>
        <w:tc>
          <w:tcPr>
            <w:tcW w:w="708" w:type="dxa"/>
          </w:tcPr>
          <w:p w14:paraId="56C710F1" w14:textId="09519298"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43</w:t>
            </w:r>
          </w:p>
        </w:tc>
        <w:tc>
          <w:tcPr>
            <w:tcW w:w="1697" w:type="dxa"/>
          </w:tcPr>
          <w:p w14:paraId="68DF77E5" w14:textId="25F58B18" w:rsidR="00B952C1" w:rsidRPr="003A773E" w:rsidRDefault="00B952C1" w:rsidP="00B952C1">
            <w:pPr>
              <w:rPr>
                <w:rFonts w:ascii="Arial" w:hAnsi="Arial" w:cs="Arial"/>
                <w:sz w:val="22"/>
                <w:szCs w:val="22"/>
                <w:lang w:eastAsia="en-GB"/>
              </w:rPr>
            </w:pPr>
            <w:r w:rsidRPr="00746C77">
              <w:rPr>
                <w:rFonts w:ascii="Arial" w:hAnsi="Arial" w:cs="Arial"/>
                <w:sz w:val="22"/>
                <w:szCs w:val="22"/>
                <w:lang w:eastAsia="en-GB"/>
              </w:rPr>
              <w:t>Additional area</w:t>
            </w:r>
          </w:p>
        </w:tc>
        <w:tc>
          <w:tcPr>
            <w:tcW w:w="1560" w:type="dxa"/>
          </w:tcPr>
          <w:p w14:paraId="2DE1C957" w14:textId="6F81FD4D"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Association of Respiratory Nurses</w:t>
            </w:r>
          </w:p>
        </w:tc>
        <w:tc>
          <w:tcPr>
            <w:tcW w:w="2976" w:type="dxa"/>
          </w:tcPr>
          <w:p w14:paraId="49F5D5A3"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national guidance for is – death on VW, particularly around certifying</w:t>
            </w:r>
          </w:p>
        </w:tc>
        <w:tc>
          <w:tcPr>
            <w:tcW w:w="7225" w:type="dxa"/>
          </w:tcPr>
          <w:p w14:paraId="7711AF8B"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No evidence</w:t>
            </w:r>
          </w:p>
        </w:tc>
      </w:tr>
      <w:tr w:rsidR="00B952C1" w:rsidRPr="003A773E" w14:paraId="17A8CC3B" w14:textId="77777777" w:rsidTr="004E35A1">
        <w:trPr>
          <w:trHeight w:val="282"/>
        </w:trPr>
        <w:tc>
          <w:tcPr>
            <w:tcW w:w="708" w:type="dxa"/>
          </w:tcPr>
          <w:p w14:paraId="6A2F87F7" w14:textId="19BB26A2"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44</w:t>
            </w:r>
          </w:p>
        </w:tc>
        <w:tc>
          <w:tcPr>
            <w:tcW w:w="1697" w:type="dxa"/>
          </w:tcPr>
          <w:p w14:paraId="183B0310" w14:textId="57E5CE0A" w:rsidR="00B952C1" w:rsidRPr="003A773E" w:rsidRDefault="00B952C1" w:rsidP="00B952C1">
            <w:pPr>
              <w:rPr>
                <w:rFonts w:ascii="Arial" w:hAnsi="Arial" w:cs="Arial"/>
                <w:sz w:val="22"/>
                <w:szCs w:val="22"/>
                <w:lang w:eastAsia="en-GB"/>
              </w:rPr>
            </w:pPr>
            <w:r w:rsidRPr="00746C77">
              <w:rPr>
                <w:rFonts w:ascii="Arial" w:hAnsi="Arial" w:cs="Arial"/>
                <w:sz w:val="22"/>
                <w:szCs w:val="22"/>
                <w:lang w:eastAsia="en-GB"/>
              </w:rPr>
              <w:t>Additional area</w:t>
            </w:r>
          </w:p>
        </w:tc>
        <w:tc>
          <w:tcPr>
            <w:tcW w:w="1560" w:type="dxa"/>
          </w:tcPr>
          <w:p w14:paraId="3C7FF8AE" w14:textId="60076F05"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Association of Respiratory Nurses</w:t>
            </w:r>
          </w:p>
        </w:tc>
        <w:tc>
          <w:tcPr>
            <w:tcW w:w="2976" w:type="dxa"/>
          </w:tcPr>
          <w:p w14:paraId="1473FEE9"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 xml:space="preserve">Oxygen titration/weaning in the community </w:t>
            </w:r>
          </w:p>
        </w:tc>
        <w:tc>
          <w:tcPr>
            <w:tcW w:w="7225" w:type="dxa"/>
          </w:tcPr>
          <w:p w14:paraId="4106E000" w14:textId="77777777"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Independent audit from Liverpool Heart and chest attached</w:t>
            </w:r>
          </w:p>
        </w:tc>
      </w:tr>
      <w:tr w:rsidR="00E40E6B" w:rsidRPr="003A773E" w14:paraId="48F8C9B2" w14:textId="77777777" w:rsidTr="004E35A1">
        <w:trPr>
          <w:trHeight w:val="282"/>
        </w:trPr>
        <w:tc>
          <w:tcPr>
            <w:tcW w:w="708" w:type="dxa"/>
          </w:tcPr>
          <w:p w14:paraId="41AFAD0E" w14:textId="2BE285CC"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45</w:t>
            </w:r>
          </w:p>
        </w:tc>
        <w:tc>
          <w:tcPr>
            <w:tcW w:w="1697" w:type="dxa"/>
          </w:tcPr>
          <w:p w14:paraId="02661218" w14:textId="4E745DAF" w:rsidR="00E40E6B" w:rsidRPr="003A773E" w:rsidRDefault="00B952C1" w:rsidP="002C7F94">
            <w:pPr>
              <w:rPr>
                <w:rFonts w:ascii="Arial" w:hAnsi="Arial" w:cs="Arial"/>
                <w:sz w:val="22"/>
                <w:szCs w:val="22"/>
                <w:lang w:eastAsia="en-GB"/>
              </w:rPr>
            </w:pPr>
            <w:r w:rsidRPr="00B952C1">
              <w:rPr>
                <w:rFonts w:ascii="Arial" w:hAnsi="Arial" w:cs="Arial"/>
                <w:sz w:val="22"/>
                <w:szCs w:val="22"/>
                <w:lang w:eastAsia="en-GB"/>
              </w:rPr>
              <w:t>Additional area</w:t>
            </w:r>
          </w:p>
        </w:tc>
        <w:tc>
          <w:tcPr>
            <w:tcW w:w="1560" w:type="dxa"/>
          </w:tcPr>
          <w:p w14:paraId="0B8EBFB7" w14:textId="2AF13409" w:rsidR="00E40E6B" w:rsidRPr="003A773E" w:rsidRDefault="00E40E6B" w:rsidP="002C7F94">
            <w:pPr>
              <w:rPr>
                <w:rFonts w:ascii="Arial" w:hAnsi="Arial" w:cs="Arial"/>
                <w:sz w:val="22"/>
                <w:szCs w:val="22"/>
                <w:lang w:eastAsia="en-GB"/>
              </w:rPr>
            </w:pPr>
            <w:r w:rsidRPr="003A773E">
              <w:rPr>
                <w:rFonts w:ascii="Arial" w:hAnsi="Arial" w:cs="Arial"/>
                <w:sz w:val="22"/>
                <w:szCs w:val="22"/>
                <w:lang w:eastAsia="en-GB"/>
              </w:rPr>
              <w:t>Association of Respiratory Nurses</w:t>
            </w:r>
          </w:p>
        </w:tc>
        <w:tc>
          <w:tcPr>
            <w:tcW w:w="2976" w:type="dxa"/>
          </w:tcPr>
          <w:p w14:paraId="7E5D89D9" w14:textId="77777777" w:rsidR="00E40E6B" w:rsidRPr="00E40E6B" w:rsidRDefault="00E40E6B" w:rsidP="002C7F94">
            <w:pPr>
              <w:rPr>
                <w:rFonts w:ascii="Arial" w:hAnsi="Arial" w:cs="Arial"/>
                <w:sz w:val="22"/>
                <w:szCs w:val="22"/>
                <w:lang w:eastAsia="en-GB"/>
              </w:rPr>
            </w:pPr>
            <w:r w:rsidRPr="00E40E6B">
              <w:rPr>
                <w:rFonts w:ascii="Arial" w:hAnsi="Arial" w:cs="Arial"/>
                <w:sz w:val="22"/>
                <w:szCs w:val="22"/>
                <w:lang w:eastAsia="en-GB"/>
              </w:rPr>
              <w:t>Incorporation of discharge bundles as standard for step ups/downs to VW for relevant conditions - COPD</w:t>
            </w:r>
          </w:p>
        </w:tc>
        <w:tc>
          <w:tcPr>
            <w:tcW w:w="7225" w:type="dxa"/>
          </w:tcPr>
          <w:p w14:paraId="28225D00" w14:textId="77777777" w:rsidR="00E40E6B" w:rsidRDefault="00E40E6B" w:rsidP="002C7F94">
            <w:pPr>
              <w:rPr>
                <w:rFonts w:ascii="Arial" w:hAnsi="Arial" w:cs="Arial"/>
                <w:sz w:val="22"/>
                <w:szCs w:val="22"/>
                <w:lang w:eastAsia="en-GB"/>
              </w:rPr>
            </w:pPr>
            <w:r w:rsidRPr="003A773E">
              <w:rPr>
                <w:rFonts w:ascii="Arial" w:hAnsi="Arial" w:cs="Arial"/>
                <w:sz w:val="22"/>
                <w:szCs w:val="22"/>
                <w:lang w:eastAsia="en-GB"/>
              </w:rPr>
              <w:t>The care bundle being adopted nationally was developed by the British Thoracic Society and NHS Improvement.</w:t>
            </w:r>
          </w:p>
          <w:p w14:paraId="1A28157F" w14:textId="77777777" w:rsidR="00E40E6B" w:rsidRDefault="00E40E6B" w:rsidP="002C7F94">
            <w:pPr>
              <w:rPr>
                <w:rFonts w:ascii="Arial" w:hAnsi="Arial" w:cs="Arial"/>
                <w:sz w:val="22"/>
                <w:szCs w:val="22"/>
                <w:lang w:eastAsia="en-GB"/>
              </w:rPr>
            </w:pPr>
          </w:p>
          <w:p w14:paraId="412A4A3C" w14:textId="77777777" w:rsidR="00E40E6B" w:rsidRPr="003A773E" w:rsidRDefault="00E40E6B" w:rsidP="00E40E6B">
            <w:pPr>
              <w:rPr>
                <w:rFonts w:ascii="Arial" w:hAnsi="Arial" w:cs="Arial"/>
                <w:sz w:val="22"/>
                <w:szCs w:val="22"/>
                <w:lang w:eastAsia="en-GB"/>
              </w:rPr>
            </w:pPr>
            <w:r w:rsidRPr="003A773E">
              <w:rPr>
                <w:rFonts w:ascii="Arial" w:hAnsi="Arial" w:cs="Arial"/>
                <w:sz w:val="22"/>
                <w:szCs w:val="22"/>
                <w:lang w:eastAsia="en-GB"/>
              </w:rPr>
              <w:t>Evidence:</w:t>
            </w:r>
          </w:p>
          <w:p w14:paraId="0E6EA928" w14:textId="77777777" w:rsidR="00E40E6B" w:rsidRPr="003A773E" w:rsidRDefault="001C2C97" w:rsidP="00E40E6B">
            <w:pPr>
              <w:spacing w:after="240" w:line="276" w:lineRule="auto"/>
              <w:rPr>
                <w:rFonts w:ascii="Arial" w:hAnsi="Arial" w:cs="Arial"/>
                <w:sz w:val="22"/>
                <w:szCs w:val="22"/>
                <w:lang w:eastAsia="en-GB"/>
              </w:rPr>
            </w:pPr>
            <w:hyperlink r:id="rId79" w:history="1">
              <w:r w:rsidR="00E40E6B" w:rsidRPr="003A773E">
                <w:rPr>
                  <w:rFonts w:ascii="Arial" w:hAnsi="Arial" w:cs="Arial"/>
                  <w:color w:val="0000FF"/>
                  <w:sz w:val="22"/>
                  <w:szCs w:val="22"/>
                  <w:u w:val="single"/>
                  <w:lang w:eastAsia="en-GB"/>
                </w:rPr>
                <w:t>Designing and implementing a COPD discharge care bundle | Thorax (bmj.com)</w:t>
              </w:r>
            </w:hyperlink>
          </w:p>
          <w:p w14:paraId="657E36C7" w14:textId="465C1057" w:rsidR="00E40E6B" w:rsidRPr="003A773E" w:rsidRDefault="001C2C97" w:rsidP="00E40E6B">
            <w:pPr>
              <w:rPr>
                <w:rFonts w:ascii="Arial" w:hAnsi="Arial" w:cs="Arial"/>
                <w:sz w:val="22"/>
                <w:szCs w:val="22"/>
                <w:lang w:eastAsia="en-GB"/>
              </w:rPr>
            </w:pPr>
            <w:hyperlink r:id="rId80" w:history="1">
              <w:r w:rsidR="00E40E6B" w:rsidRPr="003A773E">
                <w:rPr>
                  <w:rFonts w:ascii="Arial" w:hAnsi="Arial" w:cs="Arial"/>
                  <w:color w:val="0000FF"/>
                  <w:sz w:val="22"/>
                  <w:szCs w:val="22"/>
                  <w:u w:val="single"/>
                  <w:lang w:eastAsia="en-GB"/>
                </w:rPr>
                <w:t>Quality statement 8 (placeholder): Hospital discharge care bundle | Chronic obstructive pulmonary disease in adults | Quality standards | NICE</w:t>
              </w:r>
            </w:hyperlink>
          </w:p>
        </w:tc>
      </w:tr>
      <w:tr w:rsidR="00B952C1" w:rsidRPr="003A773E" w14:paraId="33144CD4" w14:textId="77777777" w:rsidTr="004E35A1">
        <w:trPr>
          <w:trHeight w:val="282"/>
        </w:trPr>
        <w:tc>
          <w:tcPr>
            <w:tcW w:w="708" w:type="dxa"/>
          </w:tcPr>
          <w:p w14:paraId="0B5E7F12" w14:textId="6647685E"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lastRenderedPageBreak/>
              <w:t>46</w:t>
            </w:r>
          </w:p>
        </w:tc>
        <w:tc>
          <w:tcPr>
            <w:tcW w:w="1697" w:type="dxa"/>
          </w:tcPr>
          <w:p w14:paraId="0482A731" w14:textId="11211508" w:rsidR="00B952C1" w:rsidRPr="003A773E" w:rsidRDefault="00B952C1" w:rsidP="00B952C1">
            <w:pPr>
              <w:rPr>
                <w:rFonts w:ascii="Arial" w:hAnsi="Arial" w:cs="Arial"/>
                <w:sz w:val="22"/>
                <w:szCs w:val="22"/>
                <w:lang w:eastAsia="en-GB"/>
              </w:rPr>
            </w:pPr>
            <w:r w:rsidRPr="00C35A77">
              <w:rPr>
                <w:rFonts w:ascii="Arial" w:hAnsi="Arial" w:cs="Arial"/>
                <w:sz w:val="22"/>
                <w:szCs w:val="22"/>
                <w:lang w:eastAsia="en-GB"/>
              </w:rPr>
              <w:t>Additional area</w:t>
            </w:r>
          </w:p>
        </w:tc>
        <w:tc>
          <w:tcPr>
            <w:tcW w:w="1560" w:type="dxa"/>
          </w:tcPr>
          <w:p w14:paraId="433D7B01" w14:textId="20D0C783"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Association of Respiratory Nurses</w:t>
            </w:r>
          </w:p>
        </w:tc>
        <w:tc>
          <w:tcPr>
            <w:tcW w:w="2976" w:type="dxa"/>
          </w:tcPr>
          <w:p w14:paraId="28A4A850" w14:textId="77777777" w:rsidR="00B952C1" w:rsidRPr="00E40E6B" w:rsidRDefault="00B952C1" w:rsidP="00B952C1">
            <w:pPr>
              <w:rPr>
                <w:rFonts w:ascii="Arial" w:hAnsi="Arial" w:cs="Arial"/>
                <w:sz w:val="22"/>
                <w:szCs w:val="22"/>
                <w:lang w:eastAsia="en-GB"/>
              </w:rPr>
            </w:pPr>
            <w:r w:rsidRPr="00E40E6B">
              <w:rPr>
                <w:rFonts w:ascii="Arial" w:hAnsi="Arial" w:cs="Arial"/>
                <w:sz w:val="22"/>
                <w:szCs w:val="22"/>
                <w:lang w:eastAsia="en-GB"/>
              </w:rPr>
              <w:t>Virtual Ward users with COPD have a BTS COPD discharge bundle completed.</w:t>
            </w:r>
          </w:p>
        </w:tc>
        <w:tc>
          <w:tcPr>
            <w:tcW w:w="7225" w:type="dxa"/>
          </w:tcPr>
          <w:p w14:paraId="6F22472C" w14:textId="77777777" w:rsidR="00B952C1" w:rsidRDefault="00B952C1" w:rsidP="00B952C1">
            <w:pPr>
              <w:rPr>
                <w:rFonts w:ascii="Arial" w:hAnsi="Arial" w:cs="Arial"/>
                <w:sz w:val="22"/>
                <w:szCs w:val="22"/>
                <w:lang w:eastAsia="en-GB"/>
              </w:rPr>
            </w:pPr>
            <w:r w:rsidRPr="003A773E">
              <w:rPr>
                <w:rFonts w:ascii="Arial" w:hAnsi="Arial" w:cs="Arial"/>
                <w:sz w:val="22"/>
                <w:szCs w:val="22"/>
                <w:lang w:eastAsia="en-GB"/>
              </w:rPr>
              <w:t xml:space="preserve">The NACAP audit excludes Virtual Wards use of the BTS COPD discharge bundle form the National Asthma and COPD Audit Programme dataset. Hence, excluding 5 high impact actions to ensure best clinical outcome for patients admitted to virtual wards with an acute exacerbation of COPD. </w:t>
            </w:r>
          </w:p>
          <w:p w14:paraId="621A0590" w14:textId="77777777" w:rsidR="00B952C1" w:rsidRDefault="00B952C1" w:rsidP="00B952C1">
            <w:pPr>
              <w:rPr>
                <w:rFonts w:ascii="Arial" w:hAnsi="Arial" w:cs="Arial"/>
                <w:sz w:val="22"/>
                <w:szCs w:val="22"/>
                <w:lang w:eastAsia="en-GB"/>
              </w:rPr>
            </w:pPr>
          </w:p>
          <w:p w14:paraId="60BD27F7" w14:textId="55D621E4" w:rsidR="00B952C1" w:rsidRPr="003A773E" w:rsidRDefault="00B952C1" w:rsidP="00B952C1">
            <w:pPr>
              <w:rPr>
                <w:rFonts w:ascii="Arial" w:hAnsi="Arial" w:cs="Arial"/>
                <w:sz w:val="22"/>
                <w:szCs w:val="22"/>
                <w:lang w:eastAsia="en-GB"/>
              </w:rPr>
            </w:pPr>
            <w:r w:rsidRPr="003A773E">
              <w:rPr>
                <w:rFonts w:ascii="Arial" w:hAnsi="Arial" w:cs="Arial"/>
                <w:sz w:val="22"/>
                <w:szCs w:val="22"/>
                <w:lang w:eastAsia="en-GB"/>
              </w:rPr>
              <w:t xml:space="preserve">See </w:t>
            </w:r>
            <w:hyperlink r:id="rId81" w:history="1">
              <w:r w:rsidRPr="00625E5D">
                <w:rPr>
                  <w:rStyle w:val="Hyperlink"/>
                  <w:rFonts w:ascii="Arial" w:hAnsi="Arial" w:cs="Arial"/>
                  <w:sz w:val="22"/>
                  <w:szCs w:val="22"/>
                  <w:lang w:eastAsia="en-GB"/>
                </w:rPr>
                <w:t>RightCare Pathway: COPD – Hospital admissions in patient care according to national standard</w:t>
              </w:r>
            </w:hyperlink>
            <w:r w:rsidRPr="003A773E">
              <w:rPr>
                <w:rFonts w:ascii="Arial" w:hAnsi="Arial" w:cs="Arial"/>
                <w:sz w:val="22"/>
                <w:szCs w:val="22"/>
                <w:lang w:eastAsia="en-GB"/>
              </w:rPr>
              <w:t xml:space="preserve"> </w:t>
            </w:r>
          </w:p>
          <w:p w14:paraId="53B32BEF" w14:textId="517891FC" w:rsidR="00B952C1" w:rsidRPr="003A773E" w:rsidRDefault="001C2C97" w:rsidP="00B952C1">
            <w:pPr>
              <w:rPr>
                <w:rFonts w:ascii="Arial" w:hAnsi="Arial" w:cs="Arial"/>
                <w:sz w:val="22"/>
                <w:szCs w:val="22"/>
                <w:lang w:eastAsia="en-GB"/>
              </w:rPr>
            </w:pPr>
            <w:hyperlink r:id="rId82" w:history="1">
              <w:r w:rsidR="00B952C1" w:rsidRPr="00625E5D">
                <w:rPr>
                  <w:rStyle w:val="Hyperlink"/>
                  <w:rFonts w:ascii="Arial" w:hAnsi="Arial" w:cs="Arial"/>
                  <w:sz w:val="22"/>
                  <w:szCs w:val="22"/>
                  <w:lang w:eastAsia="en-GB"/>
                </w:rPr>
                <w:t>British Thoracic Society COPD Quality Improvement</w:t>
              </w:r>
            </w:hyperlink>
            <w:r w:rsidR="00B952C1" w:rsidRPr="003A773E">
              <w:rPr>
                <w:rFonts w:ascii="Arial" w:hAnsi="Arial" w:cs="Arial"/>
                <w:sz w:val="22"/>
                <w:szCs w:val="22"/>
                <w:lang w:eastAsia="en-GB"/>
              </w:rPr>
              <w:t xml:space="preserve"> </w:t>
            </w:r>
          </w:p>
          <w:p w14:paraId="4FD9BB76" w14:textId="77777777" w:rsidR="00B952C1" w:rsidRPr="003A773E" w:rsidRDefault="00B952C1" w:rsidP="00B952C1">
            <w:pPr>
              <w:rPr>
                <w:rFonts w:ascii="Arial" w:hAnsi="Arial" w:cs="Arial"/>
                <w:sz w:val="22"/>
                <w:szCs w:val="22"/>
                <w:lang w:eastAsia="en-GB"/>
              </w:rPr>
            </w:pPr>
          </w:p>
        </w:tc>
      </w:tr>
      <w:tr w:rsidR="009B5C33" w:rsidRPr="003A773E" w14:paraId="7DA02437" w14:textId="77777777" w:rsidTr="004E35A1">
        <w:trPr>
          <w:trHeight w:val="282"/>
        </w:trPr>
        <w:tc>
          <w:tcPr>
            <w:tcW w:w="708" w:type="dxa"/>
          </w:tcPr>
          <w:p w14:paraId="4B872FDD" w14:textId="4B76C9D1" w:rsidR="009B5C33" w:rsidRPr="003A773E" w:rsidRDefault="009B5C33" w:rsidP="009B5C33">
            <w:pPr>
              <w:rPr>
                <w:rFonts w:ascii="Arial" w:hAnsi="Arial" w:cs="Arial"/>
                <w:sz w:val="22"/>
                <w:szCs w:val="22"/>
                <w:lang w:eastAsia="en-GB"/>
              </w:rPr>
            </w:pPr>
            <w:r w:rsidRPr="003A773E">
              <w:rPr>
                <w:rFonts w:ascii="Arial" w:hAnsi="Arial" w:cs="Arial"/>
                <w:sz w:val="22"/>
                <w:szCs w:val="22"/>
                <w:lang w:eastAsia="en-GB"/>
              </w:rPr>
              <w:t>4</w:t>
            </w:r>
            <w:r>
              <w:rPr>
                <w:rFonts w:ascii="Arial" w:hAnsi="Arial" w:cs="Arial"/>
                <w:sz w:val="22"/>
                <w:szCs w:val="22"/>
                <w:lang w:eastAsia="en-GB"/>
              </w:rPr>
              <w:t>7</w:t>
            </w:r>
          </w:p>
        </w:tc>
        <w:tc>
          <w:tcPr>
            <w:tcW w:w="1697" w:type="dxa"/>
          </w:tcPr>
          <w:p w14:paraId="1C440DE6" w14:textId="1E82CEA4" w:rsidR="009B5C33" w:rsidRPr="00C35A77" w:rsidRDefault="009B5C33" w:rsidP="009B5C33">
            <w:pPr>
              <w:rPr>
                <w:rFonts w:ascii="Arial" w:hAnsi="Arial" w:cs="Arial"/>
                <w:sz w:val="22"/>
                <w:szCs w:val="22"/>
                <w:lang w:eastAsia="en-GB"/>
              </w:rPr>
            </w:pPr>
            <w:r w:rsidRPr="00C35A77">
              <w:rPr>
                <w:rFonts w:ascii="Arial" w:hAnsi="Arial" w:cs="Arial"/>
                <w:sz w:val="22"/>
                <w:szCs w:val="22"/>
                <w:lang w:eastAsia="en-GB"/>
              </w:rPr>
              <w:t>Additional area</w:t>
            </w:r>
          </w:p>
        </w:tc>
        <w:tc>
          <w:tcPr>
            <w:tcW w:w="1560" w:type="dxa"/>
          </w:tcPr>
          <w:p w14:paraId="79D5F782" w14:textId="1B3E27B2" w:rsidR="009B5C33" w:rsidRPr="003A773E" w:rsidRDefault="009B5C33" w:rsidP="009B5C33">
            <w:pPr>
              <w:rPr>
                <w:rFonts w:ascii="Arial" w:hAnsi="Arial" w:cs="Arial"/>
                <w:sz w:val="22"/>
                <w:szCs w:val="22"/>
                <w:lang w:eastAsia="en-GB"/>
              </w:rPr>
            </w:pPr>
            <w:r w:rsidRPr="003A773E">
              <w:rPr>
                <w:rFonts w:ascii="Arial" w:hAnsi="Arial" w:cs="Arial"/>
                <w:sz w:val="22"/>
                <w:szCs w:val="22"/>
                <w:lang w:eastAsia="en-GB"/>
              </w:rPr>
              <w:t>NICE patient safety team</w:t>
            </w:r>
          </w:p>
        </w:tc>
        <w:tc>
          <w:tcPr>
            <w:tcW w:w="2976" w:type="dxa"/>
          </w:tcPr>
          <w:p w14:paraId="208536F5" w14:textId="3A85A165" w:rsidR="009B5C33" w:rsidRPr="00E40E6B" w:rsidRDefault="009B5C33" w:rsidP="009B5C33">
            <w:pPr>
              <w:rPr>
                <w:rFonts w:ascii="Arial" w:hAnsi="Arial" w:cs="Arial"/>
                <w:sz w:val="22"/>
                <w:szCs w:val="22"/>
                <w:lang w:eastAsia="en-GB"/>
              </w:rPr>
            </w:pPr>
            <w:r w:rsidRPr="00E40E6B">
              <w:rPr>
                <w:rFonts w:ascii="Arial" w:hAnsi="Arial" w:cs="Arial"/>
                <w:sz w:val="22"/>
                <w:szCs w:val="22"/>
                <w:lang w:eastAsia="en-GB"/>
              </w:rPr>
              <w:t>General</w:t>
            </w:r>
          </w:p>
        </w:tc>
        <w:tc>
          <w:tcPr>
            <w:tcW w:w="7225" w:type="dxa"/>
          </w:tcPr>
          <w:p w14:paraId="338D6F57" w14:textId="77777777" w:rsidR="009B5C33" w:rsidRPr="003A773E" w:rsidRDefault="009B5C33" w:rsidP="009B5C33">
            <w:pPr>
              <w:rPr>
                <w:rFonts w:ascii="Arial" w:hAnsi="Arial" w:cs="Arial"/>
                <w:sz w:val="22"/>
                <w:szCs w:val="22"/>
                <w:lang w:eastAsia="en-GB"/>
              </w:rPr>
            </w:pPr>
            <w:r w:rsidRPr="003A773E">
              <w:rPr>
                <w:rFonts w:ascii="Arial" w:hAnsi="Arial" w:cs="Arial"/>
                <w:sz w:val="22"/>
                <w:szCs w:val="22"/>
                <w:lang w:eastAsia="en-GB"/>
              </w:rPr>
              <w:t>A search of our records has included looking at Regulation 28 reports from HM Coroner received by NICE, any related investigations by the Healthcare Safety Investigation Branch (HSIB) that NICE has been involved in, and other ad hoc intelligence we may have received from other sources.</w:t>
            </w:r>
          </w:p>
          <w:p w14:paraId="53F539AA" w14:textId="77777777" w:rsidR="009B5C33" w:rsidRPr="003A773E" w:rsidRDefault="009B5C33" w:rsidP="009B5C33">
            <w:pPr>
              <w:rPr>
                <w:rFonts w:ascii="Arial" w:hAnsi="Arial" w:cs="Arial"/>
                <w:sz w:val="22"/>
                <w:szCs w:val="22"/>
                <w:lang w:eastAsia="en-GB"/>
              </w:rPr>
            </w:pPr>
          </w:p>
          <w:p w14:paraId="01B21F87" w14:textId="77777777" w:rsidR="009B5C33" w:rsidRPr="003A773E" w:rsidRDefault="009B5C33" w:rsidP="009B5C33">
            <w:pPr>
              <w:rPr>
                <w:rFonts w:ascii="Arial" w:hAnsi="Arial" w:cs="Arial"/>
                <w:sz w:val="22"/>
                <w:szCs w:val="22"/>
                <w:lang w:eastAsia="en-GB"/>
              </w:rPr>
            </w:pPr>
            <w:r w:rsidRPr="003A773E">
              <w:rPr>
                <w:rFonts w:ascii="Arial" w:hAnsi="Arial" w:cs="Arial"/>
                <w:sz w:val="22"/>
                <w:szCs w:val="22"/>
                <w:lang w:eastAsia="en-GB"/>
              </w:rPr>
              <w:t xml:space="preserve">In line with the scope, we have specifically considered cases with co-morbidities that will affect their risk, for example chronic obstructive pulmonary disease or where pneumonia has been a feature of the case. </w:t>
            </w:r>
          </w:p>
          <w:p w14:paraId="29703FAF" w14:textId="77777777" w:rsidR="009B5C33" w:rsidRPr="003A773E" w:rsidRDefault="009B5C33" w:rsidP="009B5C33">
            <w:pPr>
              <w:rPr>
                <w:rFonts w:ascii="Arial" w:hAnsi="Arial" w:cs="Arial"/>
                <w:sz w:val="22"/>
                <w:szCs w:val="22"/>
                <w:lang w:eastAsia="en-GB"/>
              </w:rPr>
            </w:pPr>
          </w:p>
          <w:p w14:paraId="319A0AE1" w14:textId="5247D48C" w:rsidR="009B5C33" w:rsidRPr="003A773E" w:rsidRDefault="009B5C33" w:rsidP="009B5C33">
            <w:pPr>
              <w:rPr>
                <w:rFonts w:ascii="Arial" w:hAnsi="Arial" w:cs="Arial"/>
                <w:sz w:val="22"/>
                <w:szCs w:val="22"/>
                <w:lang w:eastAsia="en-GB"/>
              </w:rPr>
            </w:pPr>
            <w:r w:rsidRPr="003A773E">
              <w:rPr>
                <w:rFonts w:ascii="Arial" w:hAnsi="Arial" w:cs="Arial"/>
                <w:sz w:val="22"/>
                <w:szCs w:val="22"/>
                <w:lang w:eastAsia="en-GB"/>
              </w:rPr>
              <w:t xml:space="preserve">From this search we have not identified any relevant </w:t>
            </w:r>
            <w:proofErr w:type="gramStart"/>
            <w:r w:rsidRPr="003A773E">
              <w:rPr>
                <w:rFonts w:ascii="Arial" w:hAnsi="Arial" w:cs="Arial"/>
                <w:sz w:val="22"/>
                <w:szCs w:val="22"/>
                <w:lang w:eastAsia="en-GB"/>
              </w:rPr>
              <w:t>coroners</w:t>
            </w:r>
            <w:proofErr w:type="gramEnd"/>
            <w:r w:rsidRPr="003A773E">
              <w:rPr>
                <w:rFonts w:ascii="Arial" w:hAnsi="Arial" w:cs="Arial"/>
                <w:sz w:val="22"/>
                <w:szCs w:val="22"/>
                <w:lang w:eastAsia="en-GB"/>
              </w:rPr>
              <w:t xml:space="preserve"> reports, general enquiries or HSIB reports that would fall into the scope of this topic.</w:t>
            </w:r>
          </w:p>
        </w:tc>
      </w:tr>
      <w:tr w:rsidR="009B5C33" w:rsidRPr="003A773E" w14:paraId="72F248FB" w14:textId="77777777" w:rsidTr="004E35A1">
        <w:trPr>
          <w:trHeight w:val="282"/>
        </w:trPr>
        <w:tc>
          <w:tcPr>
            <w:tcW w:w="708" w:type="dxa"/>
          </w:tcPr>
          <w:p w14:paraId="2CD435FC" w14:textId="74010CB3" w:rsidR="009B5C33" w:rsidRPr="003A773E" w:rsidRDefault="009B5C33" w:rsidP="009B5C33">
            <w:pPr>
              <w:rPr>
                <w:rFonts w:ascii="Arial" w:hAnsi="Arial" w:cs="Arial"/>
                <w:sz w:val="22"/>
                <w:szCs w:val="22"/>
                <w:lang w:eastAsia="en-GB"/>
              </w:rPr>
            </w:pPr>
            <w:r w:rsidRPr="003A773E">
              <w:rPr>
                <w:rFonts w:ascii="Arial" w:hAnsi="Arial" w:cs="Arial"/>
                <w:sz w:val="22"/>
                <w:szCs w:val="22"/>
                <w:lang w:eastAsia="en-GB"/>
              </w:rPr>
              <w:t>4</w:t>
            </w:r>
            <w:r>
              <w:rPr>
                <w:rFonts w:ascii="Arial" w:hAnsi="Arial" w:cs="Arial"/>
                <w:sz w:val="22"/>
                <w:szCs w:val="22"/>
                <w:lang w:eastAsia="en-GB"/>
              </w:rPr>
              <w:t>8</w:t>
            </w:r>
          </w:p>
        </w:tc>
        <w:tc>
          <w:tcPr>
            <w:tcW w:w="1697" w:type="dxa"/>
          </w:tcPr>
          <w:p w14:paraId="01D38B23" w14:textId="2C212F23" w:rsidR="009B5C33" w:rsidRPr="003A773E" w:rsidRDefault="009B5C33" w:rsidP="009B5C33">
            <w:pPr>
              <w:rPr>
                <w:rFonts w:ascii="Arial" w:hAnsi="Arial" w:cs="Arial"/>
                <w:sz w:val="22"/>
                <w:szCs w:val="22"/>
                <w:lang w:eastAsia="en-GB"/>
              </w:rPr>
            </w:pPr>
            <w:r>
              <w:rPr>
                <w:rFonts w:ascii="Arial" w:hAnsi="Arial" w:cs="Arial"/>
                <w:sz w:val="22"/>
                <w:szCs w:val="22"/>
                <w:lang w:eastAsia="en-GB"/>
              </w:rPr>
              <w:t>-</w:t>
            </w:r>
          </w:p>
        </w:tc>
        <w:tc>
          <w:tcPr>
            <w:tcW w:w="1560" w:type="dxa"/>
          </w:tcPr>
          <w:p w14:paraId="6427DDA2" w14:textId="2354A891" w:rsidR="009B5C33" w:rsidRPr="003A773E" w:rsidRDefault="009B5C33" w:rsidP="009B5C33">
            <w:pPr>
              <w:rPr>
                <w:rFonts w:ascii="Arial" w:hAnsi="Arial" w:cs="Arial"/>
                <w:sz w:val="22"/>
                <w:szCs w:val="22"/>
                <w:lang w:eastAsia="en-GB"/>
              </w:rPr>
            </w:pPr>
            <w:r w:rsidRPr="003A773E">
              <w:rPr>
                <w:rFonts w:ascii="Arial" w:hAnsi="Arial" w:cs="Arial"/>
                <w:sz w:val="22"/>
                <w:szCs w:val="22"/>
                <w:lang w:eastAsia="en-GB"/>
              </w:rPr>
              <w:t xml:space="preserve">Expert 3 </w:t>
            </w:r>
          </w:p>
        </w:tc>
        <w:tc>
          <w:tcPr>
            <w:tcW w:w="2976" w:type="dxa"/>
          </w:tcPr>
          <w:p w14:paraId="686E8EEE" w14:textId="77777777" w:rsidR="009B5C33" w:rsidRPr="00E40E6B" w:rsidRDefault="009B5C33" w:rsidP="009B5C33">
            <w:pPr>
              <w:rPr>
                <w:rFonts w:ascii="Arial" w:hAnsi="Arial" w:cs="Arial"/>
                <w:color w:val="000000" w:themeColor="text1"/>
                <w:sz w:val="22"/>
                <w:szCs w:val="22"/>
                <w:lang w:eastAsia="en-GB"/>
              </w:rPr>
            </w:pPr>
            <w:r w:rsidRPr="00E40E6B">
              <w:rPr>
                <w:rFonts w:ascii="Arial" w:hAnsi="Arial" w:cs="Arial"/>
                <w:color w:val="000000" w:themeColor="text1"/>
                <w:sz w:val="22"/>
                <w:szCs w:val="22"/>
                <w:lang w:eastAsia="en-GB"/>
              </w:rPr>
              <w:t>Key area for quality improvement 1</w:t>
            </w:r>
          </w:p>
        </w:tc>
        <w:tc>
          <w:tcPr>
            <w:tcW w:w="7225" w:type="dxa"/>
          </w:tcPr>
          <w:p w14:paraId="746E1CB2" w14:textId="77777777" w:rsidR="009B5C33" w:rsidRPr="00E40E6B" w:rsidRDefault="009B5C33" w:rsidP="009B5C33">
            <w:pPr>
              <w:rPr>
                <w:rFonts w:ascii="Arial" w:hAnsi="Arial" w:cs="Arial"/>
                <w:color w:val="000000" w:themeColor="text1"/>
                <w:sz w:val="22"/>
                <w:szCs w:val="22"/>
                <w:lang w:eastAsia="en-GB"/>
              </w:rPr>
            </w:pPr>
            <w:r w:rsidRPr="00E40E6B">
              <w:rPr>
                <w:rFonts w:ascii="Arial" w:hAnsi="Arial" w:cs="Arial"/>
                <w:color w:val="000000" w:themeColor="text1"/>
                <w:sz w:val="22"/>
                <w:szCs w:val="22"/>
                <w:lang w:eastAsia="en-GB"/>
              </w:rPr>
              <w:t xml:space="preserve">This is very early in the process for identifying priorities: we have not seen the virtual ward evidence and not had a meeting to discuss the ARI evidence. Please consider a further opportunity to identify key areas. </w:t>
            </w:r>
          </w:p>
        </w:tc>
      </w:tr>
    </w:tbl>
    <w:p w14:paraId="37C104AB" w14:textId="702AECAF" w:rsidR="00F27622" w:rsidRDefault="00F27622" w:rsidP="00EB71C9">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CF27" w14:textId="77777777" w:rsidR="00D976CF" w:rsidRDefault="00D976CF" w:rsidP="00446BEE">
      <w:r>
        <w:separator/>
      </w:r>
    </w:p>
    <w:p w14:paraId="6054E754" w14:textId="77777777" w:rsidR="00D976CF" w:rsidRDefault="00D976CF"/>
  </w:endnote>
  <w:endnote w:type="continuationSeparator" w:id="0">
    <w:p w14:paraId="6693A80D" w14:textId="77777777" w:rsidR="00D976CF" w:rsidRDefault="00D976CF" w:rsidP="00446BEE">
      <w:r>
        <w:continuationSeparator/>
      </w:r>
    </w:p>
    <w:p w14:paraId="49A2FAED" w14:textId="77777777" w:rsidR="00D976CF" w:rsidRDefault="00D9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89F5"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852F"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739A4E69"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4D31" w14:textId="77777777" w:rsidR="00D976CF" w:rsidRDefault="00D976CF" w:rsidP="00446BEE">
      <w:r>
        <w:separator/>
      </w:r>
    </w:p>
    <w:p w14:paraId="64751D9A" w14:textId="77777777" w:rsidR="00D976CF" w:rsidRDefault="00D976CF"/>
  </w:footnote>
  <w:footnote w:type="continuationSeparator" w:id="0">
    <w:p w14:paraId="46CE22AA" w14:textId="77777777" w:rsidR="00D976CF" w:rsidRDefault="00D976CF" w:rsidP="00446BEE">
      <w:r>
        <w:continuationSeparator/>
      </w:r>
    </w:p>
    <w:p w14:paraId="6D14AD98" w14:textId="77777777" w:rsidR="00D976CF" w:rsidRDefault="00D976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15:restartNumberingAfterBreak="0">
    <w:nsid w:val="15AC1390"/>
    <w:multiLevelType w:val="hybridMultilevel"/>
    <w:tmpl w:val="70304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3E0E26"/>
    <w:multiLevelType w:val="hybridMultilevel"/>
    <w:tmpl w:val="F1864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D9016A6"/>
    <w:multiLevelType w:val="hybridMultilevel"/>
    <w:tmpl w:val="3050B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B80E89"/>
    <w:multiLevelType w:val="hybridMultilevel"/>
    <w:tmpl w:val="904655F4"/>
    <w:lvl w:ilvl="0" w:tplc="CBD2D12A">
      <w:start w:val="1"/>
      <w:numFmt w:val="bullet"/>
      <w:pStyle w:val="Bulletparagraph"/>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617E6F"/>
    <w:multiLevelType w:val="hybridMultilevel"/>
    <w:tmpl w:val="B3A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num w:numId="1" w16cid:durableId="1657956686">
    <w:abstractNumId w:val="9"/>
  </w:num>
  <w:num w:numId="2" w16cid:durableId="131097718">
    <w:abstractNumId w:val="6"/>
  </w:num>
  <w:num w:numId="3" w16cid:durableId="1293559298">
    <w:abstractNumId w:val="4"/>
  </w:num>
  <w:num w:numId="4" w16cid:durableId="1376928630">
    <w:abstractNumId w:val="0"/>
  </w:num>
  <w:num w:numId="5" w16cid:durableId="886989606">
    <w:abstractNumId w:val="3"/>
  </w:num>
  <w:num w:numId="6" w16cid:durableId="1939482047">
    <w:abstractNumId w:val="8"/>
  </w:num>
  <w:num w:numId="7" w16cid:durableId="23143986">
    <w:abstractNumId w:val="1"/>
  </w:num>
  <w:num w:numId="8" w16cid:durableId="641039291">
    <w:abstractNumId w:val="2"/>
  </w:num>
  <w:num w:numId="9" w16cid:durableId="2072538814">
    <w:abstractNumId w:val="5"/>
  </w:num>
  <w:num w:numId="10" w16cid:durableId="45379108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D976CF"/>
    <w:rsid w:val="00000821"/>
    <w:rsid w:val="00004174"/>
    <w:rsid w:val="0000482A"/>
    <w:rsid w:val="00006509"/>
    <w:rsid w:val="0001067F"/>
    <w:rsid w:val="000109F1"/>
    <w:rsid w:val="00011EBF"/>
    <w:rsid w:val="00012958"/>
    <w:rsid w:val="0001392D"/>
    <w:rsid w:val="00014ECB"/>
    <w:rsid w:val="000158CB"/>
    <w:rsid w:val="00021BF3"/>
    <w:rsid w:val="00021DF9"/>
    <w:rsid w:val="000227E2"/>
    <w:rsid w:val="000241C3"/>
    <w:rsid w:val="0002445C"/>
    <w:rsid w:val="00024AE7"/>
    <w:rsid w:val="00024D0A"/>
    <w:rsid w:val="00026B56"/>
    <w:rsid w:val="000304D4"/>
    <w:rsid w:val="000309C2"/>
    <w:rsid w:val="00031277"/>
    <w:rsid w:val="00031A6B"/>
    <w:rsid w:val="00032031"/>
    <w:rsid w:val="0003252C"/>
    <w:rsid w:val="00034DC6"/>
    <w:rsid w:val="0004009D"/>
    <w:rsid w:val="00040A87"/>
    <w:rsid w:val="00040B71"/>
    <w:rsid w:val="00040E52"/>
    <w:rsid w:val="000410C0"/>
    <w:rsid w:val="00043F74"/>
    <w:rsid w:val="000447EC"/>
    <w:rsid w:val="00044F18"/>
    <w:rsid w:val="00046804"/>
    <w:rsid w:val="000478F6"/>
    <w:rsid w:val="0005195E"/>
    <w:rsid w:val="00053CB8"/>
    <w:rsid w:val="000549EA"/>
    <w:rsid w:val="00055399"/>
    <w:rsid w:val="00056D75"/>
    <w:rsid w:val="000604CD"/>
    <w:rsid w:val="00060C31"/>
    <w:rsid w:val="0006134B"/>
    <w:rsid w:val="000622A7"/>
    <w:rsid w:val="000638D2"/>
    <w:rsid w:val="00064234"/>
    <w:rsid w:val="00064819"/>
    <w:rsid w:val="00064E7D"/>
    <w:rsid w:val="00065914"/>
    <w:rsid w:val="00070065"/>
    <w:rsid w:val="00070F91"/>
    <w:rsid w:val="0007266E"/>
    <w:rsid w:val="00074C86"/>
    <w:rsid w:val="000750FD"/>
    <w:rsid w:val="00075A7E"/>
    <w:rsid w:val="0007740A"/>
    <w:rsid w:val="000806D1"/>
    <w:rsid w:val="00080ED4"/>
    <w:rsid w:val="00081716"/>
    <w:rsid w:val="00081B14"/>
    <w:rsid w:val="00082E97"/>
    <w:rsid w:val="00086C0D"/>
    <w:rsid w:val="00091BE3"/>
    <w:rsid w:val="00095B40"/>
    <w:rsid w:val="0009709D"/>
    <w:rsid w:val="000A007F"/>
    <w:rsid w:val="000A03CC"/>
    <w:rsid w:val="000A085C"/>
    <w:rsid w:val="000A1D82"/>
    <w:rsid w:val="000A1F76"/>
    <w:rsid w:val="000A2859"/>
    <w:rsid w:val="000A2F07"/>
    <w:rsid w:val="000A4BDB"/>
    <w:rsid w:val="000A6728"/>
    <w:rsid w:val="000B588C"/>
    <w:rsid w:val="000B5939"/>
    <w:rsid w:val="000B76F8"/>
    <w:rsid w:val="000B7A57"/>
    <w:rsid w:val="000C01C6"/>
    <w:rsid w:val="000C135B"/>
    <w:rsid w:val="000C389A"/>
    <w:rsid w:val="000C3BD7"/>
    <w:rsid w:val="000C5484"/>
    <w:rsid w:val="000C6195"/>
    <w:rsid w:val="000C7AF6"/>
    <w:rsid w:val="000D09A9"/>
    <w:rsid w:val="000D3561"/>
    <w:rsid w:val="000D48CF"/>
    <w:rsid w:val="000D5CDD"/>
    <w:rsid w:val="000D6F9B"/>
    <w:rsid w:val="000D7F66"/>
    <w:rsid w:val="000E0B99"/>
    <w:rsid w:val="000E11B2"/>
    <w:rsid w:val="000E1203"/>
    <w:rsid w:val="000E34F7"/>
    <w:rsid w:val="000E401D"/>
    <w:rsid w:val="000E4143"/>
    <w:rsid w:val="000E44DF"/>
    <w:rsid w:val="000E4A1A"/>
    <w:rsid w:val="000E52DC"/>
    <w:rsid w:val="000E6AF0"/>
    <w:rsid w:val="000E6D01"/>
    <w:rsid w:val="000E7129"/>
    <w:rsid w:val="000F03DD"/>
    <w:rsid w:val="000F2919"/>
    <w:rsid w:val="000F2B40"/>
    <w:rsid w:val="000F2E75"/>
    <w:rsid w:val="000F32F7"/>
    <w:rsid w:val="000F62C5"/>
    <w:rsid w:val="000F77C9"/>
    <w:rsid w:val="000F7811"/>
    <w:rsid w:val="0010168A"/>
    <w:rsid w:val="0010218E"/>
    <w:rsid w:val="001044F8"/>
    <w:rsid w:val="001078C7"/>
    <w:rsid w:val="00110102"/>
    <w:rsid w:val="00111379"/>
    <w:rsid w:val="001134E7"/>
    <w:rsid w:val="00113D4E"/>
    <w:rsid w:val="00114F2A"/>
    <w:rsid w:val="00120936"/>
    <w:rsid w:val="0012302C"/>
    <w:rsid w:val="00123A4A"/>
    <w:rsid w:val="0012414A"/>
    <w:rsid w:val="00124A83"/>
    <w:rsid w:val="0012636D"/>
    <w:rsid w:val="001269DD"/>
    <w:rsid w:val="00127583"/>
    <w:rsid w:val="001304F2"/>
    <w:rsid w:val="00130DF7"/>
    <w:rsid w:val="0013205D"/>
    <w:rsid w:val="00132C51"/>
    <w:rsid w:val="0013437C"/>
    <w:rsid w:val="00134FDA"/>
    <w:rsid w:val="0013658C"/>
    <w:rsid w:val="00137DE8"/>
    <w:rsid w:val="00137F31"/>
    <w:rsid w:val="001406AD"/>
    <w:rsid w:val="00140C3A"/>
    <w:rsid w:val="00141CA0"/>
    <w:rsid w:val="00141D9C"/>
    <w:rsid w:val="001431DF"/>
    <w:rsid w:val="00145244"/>
    <w:rsid w:val="00145BDB"/>
    <w:rsid w:val="001524B1"/>
    <w:rsid w:val="00153DAC"/>
    <w:rsid w:val="00154BEC"/>
    <w:rsid w:val="001551EE"/>
    <w:rsid w:val="00155CA1"/>
    <w:rsid w:val="0016506B"/>
    <w:rsid w:val="00165C83"/>
    <w:rsid w:val="00167617"/>
    <w:rsid w:val="00171399"/>
    <w:rsid w:val="0017169E"/>
    <w:rsid w:val="00171A41"/>
    <w:rsid w:val="00173911"/>
    <w:rsid w:val="00173C82"/>
    <w:rsid w:val="001753FE"/>
    <w:rsid w:val="00180E49"/>
    <w:rsid w:val="001826C9"/>
    <w:rsid w:val="00184409"/>
    <w:rsid w:val="00185BB8"/>
    <w:rsid w:val="00185C85"/>
    <w:rsid w:val="001901BB"/>
    <w:rsid w:val="001902D3"/>
    <w:rsid w:val="00190C0B"/>
    <w:rsid w:val="00194435"/>
    <w:rsid w:val="001A0354"/>
    <w:rsid w:val="001A1285"/>
    <w:rsid w:val="001A2072"/>
    <w:rsid w:val="001A230A"/>
    <w:rsid w:val="001A23E4"/>
    <w:rsid w:val="001A29B5"/>
    <w:rsid w:val="001A481C"/>
    <w:rsid w:val="001A528A"/>
    <w:rsid w:val="001A542E"/>
    <w:rsid w:val="001A5435"/>
    <w:rsid w:val="001A5F04"/>
    <w:rsid w:val="001A6F0E"/>
    <w:rsid w:val="001A7E1A"/>
    <w:rsid w:val="001B0B96"/>
    <w:rsid w:val="001B10FA"/>
    <w:rsid w:val="001B17B6"/>
    <w:rsid w:val="001B4362"/>
    <w:rsid w:val="001B5DE6"/>
    <w:rsid w:val="001B65B3"/>
    <w:rsid w:val="001B6602"/>
    <w:rsid w:val="001B69FF"/>
    <w:rsid w:val="001B75D1"/>
    <w:rsid w:val="001C0520"/>
    <w:rsid w:val="001C217D"/>
    <w:rsid w:val="001C2C97"/>
    <w:rsid w:val="001C7AC5"/>
    <w:rsid w:val="001D2208"/>
    <w:rsid w:val="001D256F"/>
    <w:rsid w:val="001D3BAE"/>
    <w:rsid w:val="001D48BF"/>
    <w:rsid w:val="001D510F"/>
    <w:rsid w:val="001D7170"/>
    <w:rsid w:val="001E0264"/>
    <w:rsid w:val="001E3574"/>
    <w:rsid w:val="001E7267"/>
    <w:rsid w:val="001F060B"/>
    <w:rsid w:val="001F2FA2"/>
    <w:rsid w:val="001F3DAC"/>
    <w:rsid w:val="001F4FA4"/>
    <w:rsid w:val="001F50A4"/>
    <w:rsid w:val="001F5655"/>
    <w:rsid w:val="001F677F"/>
    <w:rsid w:val="001F7561"/>
    <w:rsid w:val="00201C7D"/>
    <w:rsid w:val="00202A49"/>
    <w:rsid w:val="00202B9D"/>
    <w:rsid w:val="00203B2D"/>
    <w:rsid w:val="00203D17"/>
    <w:rsid w:val="00204AD5"/>
    <w:rsid w:val="0020691A"/>
    <w:rsid w:val="00211174"/>
    <w:rsid w:val="002131FC"/>
    <w:rsid w:val="00215A7F"/>
    <w:rsid w:val="00216965"/>
    <w:rsid w:val="00222D0F"/>
    <w:rsid w:val="002235F1"/>
    <w:rsid w:val="00223E15"/>
    <w:rsid w:val="00225730"/>
    <w:rsid w:val="00230249"/>
    <w:rsid w:val="002321B3"/>
    <w:rsid w:val="0023376A"/>
    <w:rsid w:val="00235927"/>
    <w:rsid w:val="00236F90"/>
    <w:rsid w:val="00237DA1"/>
    <w:rsid w:val="00237E01"/>
    <w:rsid w:val="002408EA"/>
    <w:rsid w:val="00243B3D"/>
    <w:rsid w:val="00245008"/>
    <w:rsid w:val="0025206D"/>
    <w:rsid w:val="00252C62"/>
    <w:rsid w:val="00254C0B"/>
    <w:rsid w:val="00255A23"/>
    <w:rsid w:val="00255F77"/>
    <w:rsid w:val="002578E4"/>
    <w:rsid w:val="00260CE4"/>
    <w:rsid w:val="0026302E"/>
    <w:rsid w:val="00263614"/>
    <w:rsid w:val="00263A98"/>
    <w:rsid w:val="002641FE"/>
    <w:rsid w:val="00265A34"/>
    <w:rsid w:val="00266AD4"/>
    <w:rsid w:val="00267D60"/>
    <w:rsid w:val="00270605"/>
    <w:rsid w:val="00270E94"/>
    <w:rsid w:val="0027103E"/>
    <w:rsid w:val="002719AD"/>
    <w:rsid w:val="00276267"/>
    <w:rsid w:val="00276A95"/>
    <w:rsid w:val="00277952"/>
    <w:rsid w:val="00277A2D"/>
    <w:rsid w:val="00282250"/>
    <w:rsid w:val="00282C5B"/>
    <w:rsid w:val="00285183"/>
    <w:rsid w:val="00290B5B"/>
    <w:rsid w:val="00292494"/>
    <w:rsid w:val="0029335E"/>
    <w:rsid w:val="00293B5A"/>
    <w:rsid w:val="00296096"/>
    <w:rsid w:val="00296372"/>
    <w:rsid w:val="002A0E3E"/>
    <w:rsid w:val="002A2D00"/>
    <w:rsid w:val="002A511E"/>
    <w:rsid w:val="002A52EE"/>
    <w:rsid w:val="002A5BF4"/>
    <w:rsid w:val="002A665B"/>
    <w:rsid w:val="002A6CFB"/>
    <w:rsid w:val="002A77D6"/>
    <w:rsid w:val="002B019F"/>
    <w:rsid w:val="002B0CA5"/>
    <w:rsid w:val="002B28FB"/>
    <w:rsid w:val="002B32E2"/>
    <w:rsid w:val="002B5A6E"/>
    <w:rsid w:val="002B6109"/>
    <w:rsid w:val="002B61C4"/>
    <w:rsid w:val="002B6862"/>
    <w:rsid w:val="002B6A12"/>
    <w:rsid w:val="002C0CCC"/>
    <w:rsid w:val="002C13B0"/>
    <w:rsid w:val="002C1A7E"/>
    <w:rsid w:val="002C2447"/>
    <w:rsid w:val="002C296A"/>
    <w:rsid w:val="002C2FFE"/>
    <w:rsid w:val="002C3AFC"/>
    <w:rsid w:val="002C6587"/>
    <w:rsid w:val="002C783B"/>
    <w:rsid w:val="002C7BF6"/>
    <w:rsid w:val="002C7F94"/>
    <w:rsid w:val="002D0382"/>
    <w:rsid w:val="002D06B9"/>
    <w:rsid w:val="002D0A3B"/>
    <w:rsid w:val="002D1A12"/>
    <w:rsid w:val="002D22B1"/>
    <w:rsid w:val="002D2A81"/>
    <w:rsid w:val="002D4A5D"/>
    <w:rsid w:val="002D6B8C"/>
    <w:rsid w:val="002D6FAA"/>
    <w:rsid w:val="002E0F65"/>
    <w:rsid w:val="002E1493"/>
    <w:rsid w:val="002E2813"/>
    <w:rsid w:val="002E4721"/>
    <w:rsid w:val="002E61BE"/>
    <w:rsid w:val="002E6302"/>
    <w:rsid w:val="002E7460"/>
    <w:rsid w:val="002E74A3"/>
    <w:rsid w:val="002F0519"/>
    <w:rsid w:val="002F2EEF"/>
    <w:rsid w:val="002F3295"/>
    <w:rsid w:val="002F4E93"/>
    <w:rsid w:val="002F64BD"/>
    <w:rsid w:val="002F68C2"/>
    <w:rsid w:val="002F6C0D"/>
    <w:rsid w:val="002F6DF6"/>
    <w:rsid w:val="002F7E53"/>
    <w:rsid w:val="00302664"/>
    <w:rsid w:val="00302BE7"/>
    <w:rsid w:val="003043E3"/>
    <w:rsid w:val="00304C30"/>
    <w:rsid w:val="0030560A"/>
    <w:rsid w:val="00305C6E"/>
    <w:rsid w:val="00306E17"/>
    <w:rsid w:val="00307736"/>
    <w:rsid w:val="00307AD6"/>
    <w:rsid w:val="003116A1"/>
    <w:rsid w:val="00311ED0"/>
    <w:rsid w:val="0031416A"/>
    <w:rsid w:val="003153EB"/>
    <w:rsid w:val="00315638"/>
    <w:rsid w:val="00315977"/>
    <w:rsid w:val="003167EB"/>
    <w:rsid w:val="00320158"/>
    <w:rsid w:val="00322631"/>
    <w:rsid w:val="0032263A"/>
    <w:rsid w:val="00322954"/>
    <w:rsid w:val="003240F0"/>
    <w:rsid w:val="00324607"/>
    <w:rsid w:val="00324CC5"/>
    <w:rsid w:val="00327937"/>
    <w:rsid w:val="00330692"/>
    <w:rsid w:val="00330A91"/>
    <w:rsid w:val="00333357"/>
    <w:rsid w:val="00334132"/>
    <w:rsid w:val="003341C8"/>
    <w:rsid w:val="003347DA"/>
    <w:rsid w:val="00334FF0"/>
    <w:rsid w:val="00336FEC"/>
    <w:rsid w:val="0034067D"/>
    <w:rsid w:val="003408D2"/>
    <w:rsid w:val="003441F7"/>
    <w:rsid w:val="00346DBA"/>
    <w:rsid w:val="003478C1"/>
    <w:rsid w:val="00350812"/>
    <w:rsid w:val="00352BAB"/>
    <w:rsid w:val="003544E5"/>
    <w:rsid w:val="00354C5D"/>
    <w:rsid w:val="0036152E"/>
    <w:rsid w:val="00362D0C"/>
    <w:rsid w:val="00363872"/>
    <w:rsid w:val="00363F9C"/>
    <w:rsid w:val="003648BE"/>
    <w:rsid w:val="00364E15"/>
    <w:rsid w:val="003656A5"/>
    <w:rsid w:val="00367A04"/>
    <w:rsid w:val="003708C8"/>
    <w:rsid w:val="00370B6D"/>
    <w:rsid w:val="003713FB"/>
    <w:rsid w:val="00371C16"/>
    <w:rsid w:val="0037224D"/>
    <w:rsid w:val="003722FA"/>
    <w:rsid w:val="0037339D"/>
    <w:rsid w:val="00375903"/>
    <w:rsid w:val="00376F84"/>
    <w:rsid w:val="00377277"/>
    <w:rsid w:val="00381592"/>
    <w:rsid w:val="003816D1"/>
    <w:rsid w:val="00382AFE"/>
    <w:rsid w:val="00384CFD"/>
    <w:rsid w:val="0038506C"/>
    <w:rsid w:val="003869B0"/>
    <w:rsid w:val="003906D7"/>
    <w:rsid w:val="0039079F"/>
    <w:rsid w:val="00391E95"/>
    <w:rsid w:val="00391E9F"/>
    <w:rsid w:val="00391FA4"/>
    <w:rsid w:val="00391FD8"/>
    <w:rsid w:val="003926B7"/>
    <w:rsid w:val="00395ACE"/>
    <w:rsid w:val="003A093D"/>
    <w:rsid w:val="003A09D5"/>
    <w:rsid w:val="003A1825"/>
    <w:rsid w:val="003A27D7"/>
    <w:rsid w:val="003A57C1"/>
    <w:rsid w:val="003A6AA8"/>
    <w:rsid w:val="003A6FF6"/>
    <w:rsid w:val="003A746A"/>
    <w:rsid w:val="003A773E"/>
    <w:rsid w:val="003B109E"/>
    <w:rsid w:val="003B1747"/>
    <w:rsid w:val="003B1C33"/>
    <w:rsid w:val="003B49F8"/>
    <w:rsid w:val="003B5177"/>
    <w:rsid w:val="003B6DDC"/>
    <w:rsid w:val="003B7567"/>
    <w:rsid w:val="003C36F7"/>
    <w:rsid w:val="003C50D4"/>
    <w:rsid w:val="003C527B"/>
    <w:rsid w:val="003C6E82"/>
    <w:rsid w:val="003C6FAD"/>
    <w:rsid w:val="003C7AAF"/>
    <w:rsid w:val="003D3532"/>
    <w:rsid w:val="003D508B"/>
    <w:rsid w:val="003D6F5F"/>
    <w:rsid w:val="003E073D"/>
    <w:rsid w:val="003E12B1"/>
    <w:rsid w:val="003E1C13"/>
    <w:rsid w:val="003E1FE5"/>
    <w:rsid w:val="003E2BE2"/>
    <w:rsid w:val="003E366A"/>
    <w:rsid w:val="003E4281"/>
    <w:rsid w:val="003E436E"/>
    <w:rsid w:val="003E4BA1"/>
    <w:rsid w:val="003E4C4B"/>
    <w:rsid w:val="003E575D"/>
    <w:rsid w:val="003E58F8"/>
    <w:rsid w:val="003E6157"/>
    <w:rsid w:val="003F0523"/>
    <w:rsid w:val="003F0552"/>
    <w:rsid w:val="003F130E"/>
    <w:rsid w:val="003F14F7"/>
    <w:rsid w:val="003F1576"/>
    <w:rsid w:val="003F18BC"/>
    <w:rsid w:val="003F2EC0"/>
    <w:rsid w:val="003F41A3"/>
    <w:rsid w:val="003F4508"/>
    <w:rsid w:val="003F542C"/>
    <w:rsid w:val="003F587D"/>
    <w:rsid w:val="003F70B8"/>
    <w:rsid w:val="003F7F4C"/>
    <w:rsid w:val="00400EA8"/>
    <w:rsid w:val="00402A3A"/>
    <w:rsid w:val="00404F49"/>
    <w:rsid w:val="004075B6"/>
    <w:rsid w:val="00410817"/>
    <w:rsid w:val="00411201"/>
    <w:rsid w:val="00414915"/>
    <w:rsid w:val="0041660E"/>
    <w:rsid w:val="0041736E"/>
    <w:rsid w:val="00420333"/>
    <w:rsid w:val="00420952"/>
    <w:rsid w:val="00421563"/>
    <w:rsid w:val="0042183E"/>
    <w:rsid w:val="004240BC"/>
    <w:rsid w:val="0042628F"/>
    <w:rsid w:val="00427135"/>
    <w:rsid w:val="00431C31"/>
    <w:rsid w:val="00431DE3"/>
    <w:rsid w:val="0043294A"/>
    <w:rsid w:val="00432BBB"/>
    <w:rsid w:val="004330FF"/>
    <w:rsid w:val="004338C5"/>
    <w:rsid w:val="00433965"/>
    <w:rsid w:val="00435DD2"/>
    <w:rsid w:val="00435EA3"/>
    <w:rsid w:val="0044048C"/>
    <w:rsid w:val="004405D7"/>
    <w:rsid w:val="004408D8"/>
    <w:rsid w:val="00440A71"/>
    <w:rsid w:val="00443879"/>
    <w:rsid w:val="00444032"/>
    <w:rsid w:val="00444EA6"/>
    <w:rsid w:val="0044519F"/>
    <w:rsid w:val="004455CA"/>
    <w:rsid w:val="00445784"/>
    <w:rsid w:val="004462F7"/>
    <w:rsid w:val="00446498"/>
    <w:rsid w:val="00446BEE"/>
    <w:rsid w:val="00450090"/>
    <w:rsid w:val="00450AD8"/>
    <w:rsid w:val="004510E0"/>
    <w:rsid w:val="0045126F"/>
    <w:rsid w:val="004526C5"/>
    <w:rsid w:val="00454048"/>
    <w:rsid w:val="004541A0"/>
    <w:rsid w:val="0045556B"/>
    <w:rsid w:val="00455788"/>
    <w:rsid w:val="00456881"/>
    <w:rsid w:val="00460410"/>
    <w:rsid w:val="00462FAD"/>
    <w:rsid w:val="00463B94"/>
    <w:rsid w:val="00463BD8"/>
    <w:rsid w:val="00464586"/>
    <w:rsid w:val="00465B9C"/>
    <w:rsid w:val="00465C36"/>
    <w:rsid w:val="00466B16"/>
    <w:rsid w:val="00471920"/>
    <w:rsid w:val="004730BA"/>
    <w:rsid w:val="00473BB1"/>
    <w:rsid w:val="00474F01"/>
    <w:rsid w:val="00476394"/>
    <w:rsid w:val="004773EE"/>
    <w:rsid w:val="004817EB"/>
    <w:rsid w:val="00481E56"/>
    <w:rsid w:val="004834ED"/>
    <w:rsid w:val="00483981"/>
    <w:rsid w:val="00485987"/>
    <w:rsid w:val="00491211"/>
    <w:rsid w:val="00491FE4"/>
    <w:rsid w:val="0049289D"/>
    <w:rsid w:val="00494C8B"/>
    <w:rsid w:val="00495D5C"/>
    <w:rsid w:val="00496BE3"/>
    <w:rsid w:val="00497DA0"/>
    <w:rsid w:val="004A0124"/>
    <w:rsid w:val="004A2A32"/>
    <w:rsid w:val="004A325A"/>
    <w:rsid w:val="004A44A3"/>
    <w:rsid w:val="004A5F0D"/>
    <w:rsid w:val="004A6375"/>
    <w:rsid w:val="004A6456"/>
    <w:rsid w:val="004A6C8B"/>
    <w:rsid w:val="004A6FCF"/>
    <w:rsid w:val="004A75DC"/>
    <w:rsid w:val="004A7BD3"/>
    <w:rsid w:val="004B00AC"/>
    <w:rsid w:val="004B4112"/>
    <w:rsid w:val="004B5922"/>
    <w:rsid w:val="004B62C1"/>
    <w:rsid w:val="004C14F4"/>
    <w:rsid w:val="004C1561"/>
    <w:rsid w:val="004C1AB9"/>
    <w:rsid w:val="004C3051"/>
    <w:rsid w:val="004C38A3"/>
    <w:rsid w:val="004C3F55"/>
    <w:rsid w:val="004C4168"/>
    <w:rsid w:val="004C7306"/>
    <w:rsid w:val="004C7591"/>
    <w:rsid w:val="004D410E"/>
    <w:rsid w:val="004D472D"/>
    <w:rsid w:val="004D4FC4"/>
    <w:rsid w:val="004D679E"/>
    <w:rsid w:val="004D7EF1"/>
    <w:rsid w:val="004E072F"/>
    <w:rsid w:val="004E1FD4"/>
    <w:rsid w:val="004E35A1"/>
    <w:rsid w:val="004E3A88"/>
    <w:rsid w:val="004E3D8B"/>
    <w:rsid w:val="004E6D91"/>
    <w:rsid w:val="004E731F"/>
    <w:rsid w:val="004F457A"/>
    <w:rsid w:val="00500434"/>
    <w:rsid w:val="005025A1"/>
    <w:rsid w:val="00502C4B"/>
    <w:rsid w:val="005048FB"/>
    <w:rsid w:val="00504F90"/>
    <w:rsid w:val="005061F9"/>
    <w:rsid w:val="0051026C"/>
    <w:rsid w:val="0051111E"/>
    <w:rsid w:val="0051622C"/>
    <w:rsid w:val="00516718"/>
    <w:rsid w:val="00517CA6"/>
    <w:rsid w:val="0052055D"/>
    <w:rsid w:val="0052161D"/>
    <w:rsid w:val="00525CF8"/>
    <w:rsid w:val="00526CC1"/>
    <w:rsid w:val="00527EE4"/>
    <w:rsid w:val="00532C99"/>
    <w:rsid w:val="00534339"/>
    <w:rsid w:val="00534AD1"/>
    <w:rsid w:val="005357B3"/>
    <w:rsid w:val="0054323C"/>
    <w:rsid w:val="00543FBB"/>
    <w:rsid w:val="005456D5"/>
    <w:rsid w:val="00545FF6"/>
    <w:rsid w:val="00546183"/>
    <w:rsid w:val="0054754F"/>
    <w:rsid w:val="00547BC2"/>
    <w:rsid w:val="00547D49"/>
    <w:rsid w:val="005507C8"/>
    <w:rsid w:val="00553560"/>
    <w:rsid w:val="00554721"/>
    <w:rsid w:val="00556203"/>
    <w:rsid w:val="00556834"/>
    <w:rsid w:val="00556901"/>
    <w:rsid w:val="00557616"/>
    <w:rsid w:val="00557EBB"/>
    <w:rsid w:val="00560A84"/>
    <w:rsid w:val="00562D25"/>
    <w:rsid w:val="00565C8C"/>
    <w:rsid w:val="00566CA5"/>
    <w:rsid w:val="00566F8F"/>
    <w:rsid w:val="005702EE"/>
    <w:rsid w:val="00574385"/>
    <w:rsid w:val="005753A8"/>
    <w:rsid w:val="005760C5"/>
    <w:rsid w:val="00577066"/>
    <w:rsid w:val="00580D6D"/>
    <w:rsid w:val="00581557"/>
    <w:rsid w:val="00582451"/>
    <w:rsid w:val="00582D94"/>
    <w:rsid w:val="00583D78"/>
    <w:rsid w:val="00586982"/>
    <w:rsid w:val="00587E96"/>
    <w:rsid w:val="0059020C"/>
    <w:rsid w:val="005921BE"/>
    <w:rsid w:val="005929B1"/>
    <w:rsid w:val="00594085"/>
    <w:rsid w:val="00596195"/>
    <w:rsid w:val="005966BC"/>
    <w:rsid w:val="005A0C10"/>
    <w:rsid w:val="005A19AE"/>
    <w:rsid w:val="005A46AA"/>
    <w:rsid w:val="005A49EA"/>
    <w:rsid w:val="005A4F22"/>
    <w:rsid w:val="005A5841"/>
    <w:rsid w:val="005A61AD"/>
    <w:rsid w:val="005B4E96"/>
    <w:rsid w:val="005C0A82"/>
    <w:rsid w:val="005C0B54"/>
    <w:rsid w:val="005C0E53"/>
    <w:rsid w:val="005C179D"/>
    <w:rsid w:val="005C6004"/>
    <w:rsid w:val="005C6281"/>
    <w:rsid w:val="005C6F10"/>
    <w:rsid w:val="005C78BB"/>
    <w:rsid w:val="005D09B7"/>
    <w:rsid w:val="005D22A0"/>
    <w:rsid w:val="005D35D7"/>
    <w:rsid w:val="005D3CF1"/>
    <w:rsid w:val="005D3F1C"/>
    <w:rsid w:val="005D5F66"/>
    <w:rsid w:val="005D769A"/>
    <w:rsid w:val="005D78A9"/>
    <w:rsid w:val="005E2BA0"/>
    <w:rsid w:val="005E400B"/>
    <w:rsid w:val="005E4983"/>
    <w:rsid w:val="005E5E3B"/>
    <w:rsid w:val="005E6F8F"/>
    <w:rsid w:val="005F3784"/>
    <w:rsid w:val="005F76B7"/>
    <w:rsid w:val="006003EE"/>
    <w:rsid w:val="00600D6F"/>
    <w:rsid w:val="0060307C"/>
    <w:rsid w:val="00603263"/>
    <w:rsid w:val="00604500"/>
    <w:rsid w:val="00604751"/>
    <w:rsid w:val="006057FD"/>
    <w:rsid w:val="00607B3D"/>
    <w:rsid w:val="00610FA0"/>
    <w:rsid w:val="006110B7"/>
    <w:rsid w:val="00612B6E"/>
    <w:rsid w:val="006144F6"/>
    <w:rsid w:val="00614509"/>
    <w:rsid w:val="00614FD4"/>
    <w:rsid w:val="00616A07"/>
    <w:rsid w:val="00620648"/>
    <w:rsid w:val="0062116C"/>
    <w:rsid w:val="00621435"/>
    <w:rsid w:val="0062214D"/>
    <w:rsid w:val="00622C5C"/>
    <w:rsid w:val="00623619"/>
    <w:rsid w:val="00624810"/>
    <w:rsid w:val="00625E5D"/>
    <w:rsid w:val="00626943"/>
    <w:rsid w:val="00627840"/>
    <w:rsid w:val="00627895"/>
    <w:rsid w:val="00627E87"/>
    <w:rsid w:val="00627EAB"/>
    <w:rsid w:val="006316DB"/>
    <w:rsid w:val="00632C95"/>
    <w:rsid w:val="006340F4"/>
    <w:rsid w:val="00634347"/>
    <w:rsid w:val="0064039D"/>
    <w:rsid w:val="00641033"/>
    <w:rsid w:val="0064504B"/>
    <w:rsid w:val="00646E7F"/>
    <w:rsid w:val="006504BC"/>
    <w:rsid w:val="00650AE7"/>
    <w:rsid w:val="00652CCB"/>
    <w:rsid w:val="006541B3"/>
    <w:rsid w:val="00654467"/>
    <w:rsid w:val="006544D3"/>
    <w:rsid w:val="006557CF"/>
    <w:rsid w:val="00660953"/>
    <w:rsid w:val="00660FE2"/>
    <w:rsid w:val="00661C18"/>
    <w:rsid w:val="00665120"/>
    <w:rsid w:val="006700FC"/>
    <w:rsid w:val="006711C4"/>
    <w:rsid w:val="0067189B"/>
    <w:rsid w:val="00671949"/>
    <w:rsid w:val="00671A65"/>
    <w:rsid w:val="00672367"/>
    <w:rsid w:val="00673ED1"/>
    <w:rsid w:val="0067426A"/>
    <w:rsid w:val="006744FF"/>
    <w:rsid w:val="0067455E"/>
    <w:rsid w:val="0067493D"/>
    <w:rsid w:val="00676FCC"/>
    <w:rsid w:val="00677032"/>
    <w:rsid w:val="0068026C"/>
    <w:rsid w:val="006809E4"/>
    <w:rsid w:val="0068121A"/>
    <w:rsid w:val="00683301"/>
    <w:rsid w:val="006844BA"/>
    <w:rsid w:val="006844CB"/>
    <w:rsid w:val="006854A8"/>
    <w:rsid w:val="00685A26"/>
    <w:rsid w:val="0068697E"/>
    <w:rsid w:val="00691454"/>
    <w:rsid w:val="006921E1"/>
    <w:rsid w:val="006929A2"/>
    <w:rsid w:val="00695209"/>
    <w:rsid w:val="00697C58"/>
    <w:rsid w:val="006A055D"/>
    <w:rsid w:val="006A0658"/>
    <w:rsid w:val="006A3AF6"/>
    <w:rsid w:val="006A548B"/>
    <w:rsid w:val="006A5EF3"/>
    <w:rsid w:val="006A710A"/>
    <w:rsid w:val="006A72B6"/>
    <w:rsid w:val="006B080F"/>
    <w:rsid w:val="006B2BBF"/>
    <w:rsid w:val="006B56CF"/>
    <w:rsid w:val="006B5842"/>
    <w:rsid w:val="006B5E3E"/>
    <w:rsid w:val="006C0F6B"/>
    <w:rsid w:val="006C3BE4"/>
    <w:rsid w:val="006C3E21"/>
    <w:rsid w:val="006C45F8"/>
    <w:rsid w:val="006C6335"/>
    <w:rsid w:val="006D2029"/>
    <w:rsid w:val="006D2564"/>
    <w:rsid w:val="006D3B0D"/>
    <w:rsid w:val="006D3F19"/>
    <w:rsid w:val="006D4113"/>
    <w:rsid w:val="006D50F4"/>
    <w:rsid w:val="006D55A6"/>
    <w:rsid w:val="006D56B9"/>
    <w:rsid w:val="006D5F03"/>
    <w:rsid w:val="006E1B96"/>
    <w:rsid w:val="006E3831"/>
    <w:rsid w:val="006E608E"/>
    <w:rsid w:val="006E74CA"/>
    <w:rsid w:val="006E7A31"/>
    <w:rsid w:val="006F07CA"/>
    <w:rsid w:val="006F0D0C"/>
    <w:rsid w:val="006F0D9A"/>
    <w:rsid w:val="006F1C1B"/>
    <w:rsid w:val="006F21DF"/>
    <w:rsid w:val="006F298C"/>
    <w:rsid w:val="006F398A"/>
    <w:rsid w:val="006F5EAB"/>
    <w:rsid w:val="006F6B6E"/>
    <w:rsid w:val="006F7937"/>
    <w:rsid w:val="006F7D33"/>
    <w:rsid w:val="00700D54"/>
    <w:rsid w:val="00702177"/>
    <w:rsid w:val="0070287C"/>
    <w:rsid w:val="00707F29"/>
    <w:rsid w:val="00710A3E"/>
    <w:rsid w:val="00711385"/>
    <w:rsid w:val="007134DF"/>
    <w:rsid w:val="00714F6F"/>
    <w:rsid w:val="0071685D"/>
    <w:rsid w:val="007179D5"/>
    <w:rsid w:val="00717A3E"/>
    <w:rsid w:val="007203AD"/>
    <w:rsid w:val="00720DF9"/>
    <w:rsid w:val="00722672"/>
    <w:rsid w:val="007228AE"/>
    <w:rsid w:val="007232CC"/>
    <w:rsid w:val="007250E7"/>
    <w:rsid w:val="00726D27"/>
    <w:rsid w:val="00727A9D"/>
    <w:rsid w:val="00730CE3"/>
    <w:rsid w:val="007318B0"/>
    <w:rsid w:val="00734970"/>
    <w:rsid w:val="00734EB2"/>
    <w:rsid w:val="00736348"/>
    <w:rsid w:val="0073638F"/>
    <w:rsid w:val="00737BA2"/>
    <w:rsid w:val="00741501"/>
    <w:rsid w:val="007419FC"/>
    <w:rsid w:val="007438DF"/>
    <w:rsid w:val="0074489E"/>
    <w:rsid w:val="00744CBD"/>
    <w:rsid w:val="00744E23"/>
    <w:rsid w:val="007453FD"/>
    <w:rsid w:val="00746901"/>
    <w:rsid w:val="00750BD6"/>
    <w:rsid w:val="0075162E"/>
    <w:rsid w:val="00752671"/>
    <w:rsid w:val="00756656"/>
    <w:rsid w:val="00757102"/>
    <w:rsid w:val="00757CE8"/>
    <w:rsid w:val="00761031"/>
    <w:rsid w:val="00764BB0"/>
    <w:rsid w:val="00766AE9"/>
    <w:rsid w:val="00767ABA"/>
    <w:rsid w:val="0077097B"/>
    <w:rsid w:val="00770B9A"/>
    <w:rsid w:val="0077670D"/>
    <w:rsid w:val="00776773"/>
    <w:rsid w:val="0077764B"/>
    <w:rsid w:val="00780D9B"/>
    <w:rsid w:val="007813F8"/>
    <w:rsid w:val="00781987"/>
    <w:rsid w:val="00781F53"/>
    <w:rsid w:val="00782AD8"/>
    <w:rsid w:val="00784333"/>
    <w:rsid w:val="00786120"/>
    <w:rsid w:val="0079042A"/>
    <w:rsid w:val="00790779"/>
    <w:rsid w:val="0079179D"/>
    <w:rsid w:val="00791E62"/>
    <w:rsid w:val="0079479A"/>
    <w:rsid w:val="00794EBC"/>
    <w:rsid w:val="007972D5"/>
    <w:rsid w:val="007A00FC"/>
    <w:rsid w:val="007A0EC0"/>
    <w:rsid w:val="007A1B0A"/>
    <w:rsid w:val="007A32C1"/>
    <w:rsid w:val="007A34BC"/>
    <w:rsid w:val="007A4E4B"/>
    <w:rsid w:val="007B0D6A"/>
    <w:rsid w:val="007B1BCD"/>
    <w:rsid w:val="007B1C0E"/>
    <w:rsid w:val="007B272A"/>
    <w:rsid w:val="007B30AB"/>
    <w:rsid w:val="007B4872"/>
    <w:rsid w:val="007B54CD"/>
    <w:rsid w:val="007B5F92"/>
    <w:rsid w:val="007B624F"/>
    <w:rsid w:val="007B6A17"/>
    <w:rsid w:val="007C2022"/>
    <w:rsid w:val="007C3BFB"/>
    <w:rsid w:val="007C5211"/>
    <w:rsid w:val="007C551C"/>
    <w:rsid w:val="007C5853"/>
    <w:rsid w:val="007C6EB9"/>
    <w:rsid w:val="007D08FA"/>
    <w:rsid w:val="007D0A6D"/>
    <w:rsid w:val="007D3112"/>
    <w:rsid w:val="007D333F"/>
    <w:rsid w:val="007D3BBE"/>
    <w:rsid w:val="007D4B1A"/>
    <w:rsid w:val="007D69CE"/>
    <w:rsid w:val="007D7479"/>
    <w:rsid w:val="007D7952"/>
    <w:rsid w:val="007E00F1"/>
    <w:rsid w:val="007E4546"/>
    <w:rsid w:val="007E6875"/>
    <w:rsid w:val="007F0768"/>
    <w:rsid w:val="007F158B"/>
    <w:rsid w:val="007F182C"/>
    <w:rsid w:val="007F1B53"/>
    <w:rsid w:val="007F2478"/>
    <w:rsid w:val="007F2999"/>
    <w:rsid w:val="007F3EAA"/>
    <w:rsid w:val="007F6A0B"/>
    <w:rsid w:val="0080003F"/>
    <w:rsid w:val="00800279"/>
    <w:rsid w:val="00800640"/>
    <w:rsid w:val="00800CD8"/>
    <w:rsid w:val="00801A6D"/>
    <w:rsid w:val="00801EA9"/>
    <w:rsid w:val="00802592"/>
    <w:rsid w:val="00804D70"/>
    <w:rsid w:val="00805042"/>
    <w:rsid w:val="008057C1"/>
    <w:rsid w:val="00805EF0"/>
    <w:rsid w:val="008068ED"/>
    <w:rsid w:val="00810720"/>
    <w:rsid w:val="00810EAB"/>
    <w:rsid w:val="00811F99"/>
    <w:rsid w:val="00813821"/>
    <w:rsid w:val="00813E13"/>
    <w:rsid w:val="008145BC"/>
    <w:rsid w:val="008148A2"/>
    <w:rsid w:val="00820719"/>
    <w:rsid w:val="0082220F"/>
    <w:rsid w:val="00823E60"/>
    <w:rsid w:val="00824995"/>
    <w:rsid w:val="00824B73"/>
    <w:rsid w:val="00825151"/>
    <w:rsid w:val="00825BBE"/>
    <w:rsid w:val="00825D3C"/>
    <w:rsid w:val="00825D5B"/>
    <w:rsid w:val="00826EB6"/>
    <w:rsid w:val="00833514"/>
    <w:rsid w:val="00834011"/>
    <w:rsid w:val="0083558A"/>
    <w:rsid w:val="00835D8B"/>
    <w:rsid w:val="00837B47"/>
    <w:rsid w:val="008419F4"/>
    <w:rsid w:val="008434B1"/>
    <w:rsid w:val="0084433F"/>
    <w:rsid w:val="008461D4"/>
    <w:rsid w:val="00846D79"/>
    <w:rsid w:val="00850647"/>
    <w:rsid w:val="00852615"/>
    <w:rsid w:val="00853304"/>
    <w:rsid w:val="00854ADE"/>
    <w:rsid w:val="0085513A"/>
    <w:rsid w:val="00857851"/>
    <w:rsid w:val="0086079C"/>
    <w:rsid w:val="00862555"/>
    <w:rsid w:val="008637D6"/>
    <w:rsid w:val="008637EA"/>
    <w:rsid w:val="00863E38"/>
    <w:rsid w:val="00866538"/>
    <w:rsid w:val="008666CB"/>
    <w:rsid w:val="00866C8E"/>
    <w:rsid w:val="008671B4"/>
    <w:rsid w:val="008706FF"/>
    <w:rsid w:val="00870D6C"/>
    <w:rsid w:val="00872097"/>
    <w:rsid w:val="00873000"/>
    <w:rsid w:val="00873312"/>
    <w:rsid w:val="00875376"/>
    <w:rsid w:val="00875B8D"/>
    <w:rsid w:val="00877AF4"/>
    <w:rsid w:val="0088008A"/>
    <w:rsid w:val="008804D8"/>
    <w:rsid w:val="00882F63"/>
    <w:rsid w:val="008840BC"/>
    <w:rsid w:val="00884CF8"/>
    <w:rsid w:val="00884DA5"/>
    <w:rsid w:val="0088526E"/>
    <w:rsid w:val="0088696C"/>
    <w:rsid w:val="00887284"/>
    <w:rsid w:val="008922EB"/>
    <w:rsid w:val="00893A4D"/>
    <w:rsid w:val="00893AF1"/>
    <w:rsid w:val="00894225"/>
    <w:rsid w:val="008945ED"/>
    <w:rsid w:val="0089737A"/>
    <w:rsid w:val="00897382"/>
    <w:rsid w:val="008A009C"/>
    <w:rsid w:val="008A285F"/>
    <w:rsid w:val="008A4B1B"/>
    <w:rsid w:val="008A4E56"/>
    <w:rsid w:val="008A5E6E"/>
    <w:rsid w:val="008A60D2"/>
    <w:rsid w:val="008A6367"/>
    <w:rsid w:val="008A6728"/>
    <w:rsid w:val="008B1A94"/>
    <w:rsid w:val="008B1C4C"/>
    <w:rsid w:val="008B2D89"/>
    <w:rsid w:val="008B5596"/>
    <w:rsid w:val="008B6A03"/>
    <w:rsid w:val="008C0762"/>
    <w:rsid w:val="008C17FA"/>
    <w:rsid w:val="008C1F62"/>
    <w:rsid w:val="008C4704"/>
    <w:rsid w:val="008C4998"/>
    <w:rsid w:val="008C5661"/>
    <w:rsid w:val="008C6A7E"/>
    <w:rsid w:val="008C743A"/>
    <w:rsid w:val="008C7C37"/>
    <w:rsid w:val="008D0068"/>
    <w:rsid w:val="008D318F"/>
    <w:rsid w:val="008D52FD"/>
    <w:rsid w:val="008D5584"/>
    <w:rsid w:val="008D578A"/>
    <w:rsid w:val="008D5869"/>
    <w:rsid w:val="008D5B3C"/>
    <w:rsid w:val="008E2D91"/>
    <w:rsid w:val="008E37F5"/>
    <w:rsid w:val="008E3962"/>
    <w:rsid w:val="008E658D"/>
    <w:rsid w:val="008F3881"/>
    <w:rsid w:val="008F3AF0"/>
    <w:rsid w:val="008F4079"/>
    <w:rsid w:val="008F7740"/>
    <w:rsid w:val="009008F5"/>
    <w:rsid w:val="0090118F"/>
    <w:rsid w:val="00902256"/>
    <w:rsid w:val="00902798"/>
    <w:rsid w:val="00902E8A"/>
    <w:rsid w:val="0090418A"/>
    <w:rsid w:val="0090422F"/>
    <w:rsid w:val="00905E96"/>
    <w:rsid w:val="00906005"/>
    <w:rsid w:val="009064CC"/>
    <w:rsid w:val="009106E1"/>
    <w:rsid w:val="00910C02"/>
    <w:rsid w:val="00910D5A"/>
    <w:rsid w:val="0091193E"/>
    <w:rsid w:val="00911DF5"/>
    <w:rsid w:val="00913BC8"/>
    <w:rsid w:val="0091423E"/>
    <w:rsid w:val="009142F4"/>
    <w:rsid w:val="00915E29"/>
    <w:rsid w:val="00920194"/>
    <w:rsid w:val="00921011"/>
    <w:rsid w:val="009220E2"/>
    <w:rsid w:val="0092389E"/>
    <w:rsid w:val="00925F15"/>
    <w:rsid w:val="00926C67"/>
    <w:rsid w:val="00930054"/>
    <w:rsid w:val="00933924"/>
    <w:rsid w:val="00933944"/>
    <w:rsid w:val="00935FA5"/>
    <w:rsid w:val="00936328"/>
    <w:rsid w:val="0094289B"/>
    <w:rsid w:val="00943D74"/>
    <w:rsid w:val="00943E1B"/>
    <w:rsid w:val="00947FEE"/>
    <w:rsid w:val="0095198E"/>
    <w:rsid w:val="00951AE1"/>
    <w:rsid w:val="00951F99"/>
    <w:rsid w:val="0095467B"/>
    <w:rsid w:val="009571A4"/>
    <w:rsid w:val="00957E00"/>
    <w:rsid w:val="00962ABD"/>
    <w:rsid w:val="009656CF"/>
    <w:rsid w:val="00965823"/>
    <w:rsid w:val="009716C3"/>
    <w:rsid w:val="0097347B"/>
    <w:rsid w:val="00974CAD"/>
    <w:rsid w:val="0097542C"/>
    <w:rsid w:val="00976FC3"/>
    <w:rsid w:val="0098213B"/>
    <w:rsid w:val="0098521B"/>
    <w:rsid w:val="0098542D"/>
    <w:rsid w:val="00986845"/>
    <w:rsid w:val="0098686E"/>
    <w:rsid w:val="00986940"/>
    <w:rsid w:val="00987796"/>
    <w:rsid w:val="00990B82"/>
    <w:rsid w:val="009916B0"/>
    <w:rsid w:val="009920D7"/>
    <w:rsid w:val="0099376B"/>
    <w:rsid w:val="00993F21"/>
    <w:rsid w:val="00994E34"/>
    <w:rsid w:val="00996A73"/>
    <w:rsid w:val="00997BA0"/>
    <w:rsid w:val="009A7DA7"/>
    <w:rsid w:val="009B3412"/>
    <w:rsid w:val="009B362C"/>
    <w:rsid w:val="009B5C33"/>
    <w:rsid w:val="009B7C78"/>
    <w:rsid w:val="009C1687"/>
    <w:rsid w:val="009C19FD"/>
    <w:rsid w:val="009C2E4C"/>
    <w:rsid w:val="009C32E3"/>
    <w:rsid w:val="009C64CF"/>
    <w:rsid w:val="009C7E6B"/>
    <w:rsid w:val="009D090E"/>
    <w:rsid w:val="009D1EAD"/>
    <w:rsid w:val="009D22AB"/>
    <w:rsid w:val="009D48E3"/>
    <w:rsid w:val="009D4BF0"/>
    <w:rsid w:val="009D599B"/>
    <w:rsid w:val="009D7D09"/>
    <w:rsid w:val="009E1291"/>
    <w:rsid w:val="009E156C"/>
    <w:rsid w:val="009E23E2"/>
    <w:rsid w:val="009E470D"/>
    <w:rsid w:val="009E485C"/>
    <w:rsid w:val="009E5290"/>
    <w:rsid w:val="009E663E"/>
    <w:rsid w:val="009E680B"/>
    <w:rsid w:val="009E6DF0"/>
    <w:rsid w:val="009E7A4A"/>
    <w:rsid w:val="009F089D"/>
    <w:rsid w:val="009F0BB7"/>
    <w:rsid w:val="009F1802"/>
    <w:rsid w:val="009F3D9C"/>
    <w:rsid w:val="009F4837"/>
    <w:rsid w:val="009F5C68"/>
    <w:rsid w:val="009F672A"/>
    <w:rsid w:val="009F7239"/>
    <w:rsid w:val="00A01C50"/>
    <w:rsid w:val="00A02CE9"/>
    <w:rsid w:val="00A04FA0"/>
    <w:rsid w:val="00A077E2"/>
    <w:rsid w:val="00A07A23"/>
    <w:rsid w:val="00A07F46"/>
    <w:rsid w:val="00A10B41"/>
    <w:rsid w:val="00A1415B"/>
    <w:rsid w:val="00A1559F"/>
    <w:rsid w:val="00A15A1F"/>
    <w:rsid w:val="00A160CE"/>
    <w:rsid w:val="00A16278"/>
    <w:rsid w:val="00A16A70"/>
    <w:rsid w:val="00A16DB5"/>
    <w:rsid w:val="00A16E20"/>
    <w:rsid w:val="00A203A3"/>
    <w:rsid w:val="00A22122"/>
    <w:rsid w:val="00A3325A"/>
    <w:rsid w:val="00A33FAA"/>
    <w:rsid w:val="00A35BAA"/>
    <w:rsid w:val="00A37E21"/>
    <w:rsid w:val="00A410DF"/>
    <w:rsid w:val="00A452C1"/>
    <w:rsid w:val="00A45F29"/>
    <w:rsid w:val="00A51C09"/>
    <w:rsid w:val="00A52F43"/>
    <w:rsid w:val="00A53184"/>
    <w:rsid w:val="00A53A6F"/>
    <w:rsid w:val="00A54AAE"/>
    <w:rsid w:val="00A56E08"/>
    <w:rsid w:val="00A57108"/>
    <w:rsid w:val="00A60A23"/>
    <w:rsid w:val="00A60F5A"/>
    <w:rsid w:val="00A61103"/>
    <w:rsid w:val="00A64E85"/>
    <w:rsid w:val="00A66C8F"/>
    <w:rsid w:val="00A673EB"/>
    <w:rsid w:val="00A707F7"/>
    <w:rsid w:val="00A7163E"/>
    <w:rsid w:val="00A71F93"/>
    <w:rsid w:val="00A7294F"/>
    <w:rsid w:val="00A739AE"/>
    <w:rsid w:val="00A73D39"/>
    <w:rsid w:val="00A74C02"/>
    <w:rsid w:val="00A756BB"/>
    <w:rsid w:val="00A76F0E"/>
    <w:rsid w:val="00A80CFB"/>
    <w:rsid w:val="00A813F7"/>
    <w:rsid w:val="00A82B58"/>
    <w:rsid w:val="00A835DF"/>
    <w:rsid w:val="00A83EE1"/>
    <w:rsid w:val="00A84F04"/>
    <w:rsid w:val="00A85E44"/>
    <w:rsid w:val="00A917F1"/>
    <w:rsid w:val="00A91A1E"/>
    <w:rsid w:val="00A93478"/>
    <w:rsid w:val="00A96A17"/>
    <w:rsid w:val="00A97303"/>
    <w:rsid w:val="00A973CD"/>
    <w:rsid w:val="00AA0B61"/>
    <w:rsid w:val="00AA283E"/>
    <w:rsid w:val="00AA367B"/>
    <w:rsid w:val="00AA3A48"/>
    <w:rsid w:val="00AA4379"/>
    <w:rsid w:val="00AA50F3"/>
    <w:rsid w:val="00AA60BA"/>
    <w:rsid w:val="00AA77B8"/>
    <w:rsid w:val="00AA7AF0"/>
    <w:rsid w:val="00AB14D0"/>
    <w:rsid w:val="00AB16C8"/>
    <w:rsid w:val="00AB2213"/>
    <w:rsid w:val="00AB39FB"/>
    <w:rsid w:val="00AB415F"/>
    <w:rsid w:val="00AC0EC6"/>
    <w:rsid w:val="00AC1F93"/>
    <w:rsid w:val="00AC24CF"/>
    <w:rsid w:val="00AC3F23"/>
    <w:rsid w:val="00AC3FAC"/>
    <w:rsid w:val="00AC4E68"/>
    <w:rsid w:val="00AC7689"/>
    <w:rsid w:val="00AC793F"/>
    <w:rsid w:val="00AD0152"/>
    <w:rsid w:val="00AD0F7C"/>
    <w:rsid w:val="00AD1E86"/>
    <w:rsid w:val="00AD260E"/>
    <w:rsid w:val="00AD39C7"/>
    <w:rsid w:val="00AD3F91"/>
    <w:rsid w:val="00AD4815"/>
    <w:rsid w:val="00AD5959"/>
    <w:rsid w:val="00AD7675"/>
    <w:rsid w:val="00AD7CFC"/>
    <w:rsid w:val="00AE0BDD"/>
    <w:rsid w:val="00AE13B7"/>
    <w:rsid w:val="00AE15B1"/>
    <w:rsid w:val="00AE19AA"/>
    <w:rsid w:val="00AE42E7"/>
    <w:rsid w:val="00AE54E2"/>
    <w:rsid w:val="00AE6405"/>
    <w:rsid w:val="00AF05D2"/>
    <w:rsid w:val="00AF06E8"/>
    <w:rsid w:val="00AF108A"/>
    <w:rsid w:val="00AF13BF"/>
    <w:rsid w:val="00AF1BE4"/>
    <w:rsid w:val="00AF3364"/>
    <w:rsid w:val="00AF3886"/>
    <w:rsid w:val="00AF6728"/>
    <w:rsid w:val="00AF76D1"/>
    <w:rsid w:val="00B0030E"/>
    <w:rsid w:val="00B02E55"/>
    <w:rsid w:val="00B03B57"/>
    <w:rsid w:val="00B048D2"/>
    <w:rsid w:val="00B04F34"/>
    <w:rsid w:val="00B05B51"/>
    <w:rsid w:val="00B103B9"/>
    <w:rsid w:val="00B1045D"/>
    <w:rsid w:val="00B11FB2"/>
    <w:rsid w:val="00B12A48"/>
    <w:rsid w:val="00B152EF"/>
    <w:rsid w:val="00B17332"/>
    <w:rsid w:val="00B176A7"/>
    <w:rsid w:val="00B2002C"/>
    <w:rsid w:val="00B20FA1"/>
    <w:rsid w:val="00B22196"/>
    <w:rsid w:val="00B24E25"/>
    <w:rsid w:val="00B25C9D"/>
    <w:rsid w:val="00B27357"/>
    <w:rsid w:val="00B274E0"/>
    <w:rsid w:val="00B30BFA"/>
    <w:rsid w:val="00B342A0"/>
    <w:rsid w:val="00B345AC"/>
    <w:rsid w:val="00B34674"/>
    <w:rsid w:val="00B36E3A"/>
    <w:rsid w:val="00B41247"/>
    <w:rsid w:val="00B413F2"/>
    <w:rsid w:val="00B419E2"/>
    <w:rsid w:val="00B42A05"/>
    <w:rsid w:val="00B42E8E"/>
    <w:rsid w:val="00B43412"/>
    <w:rsid w:val="00B441AA"/>
    <w:rsid w:val="00B45FE5"/>
    <w:rsid w:val="00B46013"/>
    <w:rsid w:val="00B47D3C"/>
    <w:rsid w:val="00B47EFD"/>
    <w:rsid w:val="00B539B6"/>
    <w:rsid w:val="00B54904"/>
    <w:rsid w:val="00B55CC7"/>
    <w:rsid w:val="00B621C7"/>
    <w:rsid w:val="00B63E33"/>
    <w:rsid w:val="00B64536"/>
    <w:rsid w:val="00B64970"/>
    <w:rsid w:val="00B64B86"/>
    <w:rsid w:val="00B65D9F"/>
    <w:rsid w:val="00B672F4"/>
    <w:rsid w:val="00B676A4"/>
    <w:rsid w:val="00B73352"/>
    <w:rsid w:val="00B74A5B"/>
    <w:rsid w:val="00B771F7"/>
    <w:rsid w:val="00B7780A"/>
    <w:rsid w:val="00B81DD9"/>
    <w:rsid w:val="00B8205D"/>
    <w:rsid w:val="00B8277D"/>
    <w:rsid w:val="00B835F0"/>
    <w:rsid w:val="00B86518"/>
    <w:rsid w:val="00B8676E"/>
    <w:rsid w:val="00B87A6F"/>
    <w:rsid w:val="00B9081B"/>
    <w:rsid w:val="00B917FF"/>
    <w:rsid w:val="00B91B64"/>
    <w:rsid w:val="00B92D4F"/>
    <w:rsid w:val="00B9324E"/>
    <w:rsid w:val="00B93720"/>
    <w:rsid w:val="00B952C1"/>
    <w:rsid w:val="00B95F9D"/>
    <w:rsid w:val="00B96992"/>
    <w:rsid w:val="00B96A88"/>
    <w:rsid w:val="00BA005C"/>
    <w:rsid w:val="00BA420C"/>
    <w:rsid w:val="00BA6B0E"/>
    <w:rsid w:val="00BA72BC"/>
    <w:rsid w:val="00BB0BC1"/>
    <w:rsid w:val="00BB1B86"/>
    <w:rsid w:val="00BB204D"/>
    <w:rsid w:val="00BB217E"/>
    <w:rsid w:val="00BB3CE1"/>
    <w:rsid w:val="00BB4634"/>
    <w:rsid w:val="00BB4DE6"/>
    <w:rsid w:val="00BB518B"/>
    <w:rsid w:val="00BB67B1"/>
    <w:rsid w:val="00BB6D7B"/>
    <w:rsid w:val="00BB728C"/>
    <w:rsid w:val="00BB7453"/>
    <w:rsid w:val="00BB791B"/>
    <w:rsid w:val="00BC197D"/>
    <w:rsid w:val="00BC4A49"/>
    <w:rsid w:val="00BC5FB5"/>
    <w:rsid w:val="00BC6C14"/>
    <w:rsid w:val="00BD1581"/>
    <w:rsid w:val="00BD2437"/>
    <w:rsid w:val="00BD4434"/>
    <w:rsid w:val="00BD66D9"/>
    <w:rsid w:val="00BD6C65"/>
    <w:rsid w:val="00BD74A7"/>
    <w:rsid w:val="00BE046C"/>
    <w:rsid w:val="00BE50DF"/>
    <w:rsid w:val="00BE564B"/>
    <w:rsid w:val="00BE5835"/>
    <w:rsid w:val="00BE68AE"/>
    <w:rsid w:val="00BE6E04"/>
    <w:rsid w:val="00BE6F03"/>
    <w:rsid w:val="00BE75F0"/>
    <w:rsid w:val="00BE783C"/>
    <w:rsid w:val="00BE7ABA"/>
    <w:rsid w:val="00BF09F3"/>
    <w:rsid w:val="00BF0DA7"/>
    <w:rsid w:val="00BF3925"/>
    <w:rsid w:val="00BF5E39"/>
    <w:rsid w:val="00BF70EA"/>
    <w:rsid w:val="00BF7FE0"/>
    <w:rsid w:val="00C00132"/>
    <w:rsid w:val="00C00D7D"/>
    <w:rsid w:val="00C01BF3"/>
    <w:rsid w:val="00C0331D"/>
    <w:rsid w:val="00C040A1"/>
    <w:rsid w:val="00C0457B"/>
    <w:rsid w:val="00C05404"/>
    <w:rsid w:val="00C06A7A"/>
    <w:rsid w:val="00C06E45"/>
    <w:rsid w:val="00C0714C"/>
    <w:rsid w:val="00C071D4"/>
    <w:rsid w:val="00C12669"/>
    <w:rsid w:val="00C12EF3"/>
    <w:rsid w:val="00C14626"/>
    <w:rsid w:val="00C17EA4"/>
    <w:rsid w:val="00C20597"/>
    <w:rsid w:val="00C20A28"/>
    <w:rsid w:val="00C22DED"/>
    <w:rsid w:val="00C30037"/>
    <w:rsid w:val="00C322DA"/>
    <w:rsid w:val="00C32766"/>
    <w:rsid w:val="00C32B9D"/>
    <w:rsid w:val="00C3385F"/>
    <w:rsid w:val="00C353C1"/>
    <w:rsid w:val="00C35A48"/>
    <w:rsid w:val="00C36C3D"/>
    <w:rsid w:val="00C37F55"/>
    <w:rsid w:val="00C4269B"/>
    <w:rsid w:val="00C448E8"/>
    <w:rsid w:val="00C4562D"/>
    <w:rsid w:val="00C47409"/>
    <w:rsid w:val="00C478DE"/>
    <w:rsid w:val="00C4794A"/>
    <w:rsid w:val="00C47DDE"/>
    <w:rsid w:val="00C50031"/>
    <w:rsid w:val="00C53BC4"/>
    <w:rsid w:val="00C54EE8"/>
    <w:rsid w:val="00C553BA"/>
    <w:rsid w:val="00C568D0"/>
    <w:rsid w:val="00C57A0B"/>
    <w:rsid w:val="00C57E99"/>
    <w:rsid w:val="00C57EA4"/>
    <w:rsid w:val="00C6011A"/>
    <w:rsid w:val="00C61380"/>
    <w:rsid w:val="00C63D16"/>
    <w:rsid w:val="00C64CB1"/>
    <w:rsid w:val="00C651C2"/>
    <w:rsid w:val="00C655DF"/>
    <w:rsid w:val="00C7005B"/>
    <w:rsid w:val="00C70657"/>
    <w:rsid w:val="00C7237C"/>
    <w:rsid w:val="00C74477"/>
    <w:rsid w:val="00C744BE"/>
    <w:rsid w:val="00C74BF8"/>
    <w:rsid w:val="00C77464"/>
    <w:rsid w:val="00C80386"/>
    <w:rsid w:val="00C80CB7"/>
    <w:rsid w:val="00C80FF0"/>
    <w:rsid w:val="00C84457"/>
    <w:rsid w:val="00C849D8"/>
    <w:rsid w:val="00C85781"/>
    <w:rsid w:val="00C859C6"/>
    <w:rsid w:val="00C85B06"/>
    <w:rsid w:val="00C87FC0"/>
    <w:rsid w:val="00C920C9"/>
    <w:rsid w:val="00C92D69"/>
    <w:rsid w:val="00C931DC"/>
    <w:rsid w:val="00C94B83"/>
    <w:rsid w:val="00C94C89"/>
    <w:rsid w:val="00C94F0D"/>
    <w:rsid w:val="00C952B4"/>
    <w:rsid w:val="00C964C8"/>
    <w:rsid w:val="00CA0360"/>
    <w:rsid w:val="00CA284C"/>
    <w:rsid w:val="00CA36CC"/>
    <w:rsid w:val="00CA6009"/>
    <w:rsid w:val="00CB1A41"/>
    <w:rsid w:val="00CB1B05"/>
    <w:rsid w:val="00CB4083"/>
    <w:rsid w:val="00CC1517"/>
    <w:rsid w:val="00CC15D4"/>
    <w:rsid w:val="00CC2945"/>
    <w:rsid w:val="00CC3452"/>
    <w:rsid w:val="00CC4B4E"/>
    <w:rsid w:val="00CC7F77"/>
    <w:rsid w:val="00CD0414"/>
    <w:rsid w:val="00CD1691"/>
    <w:rsid w:val="00CD16AC"/>
    <w:rsid w:val="00CD3D03"/>
    <w:rsid w:val="00CD52D6"/>
    <w:rsid w:val="00CD6079"/>
    <w:rsid w:val="00CD60CE"/>
    <w:rsid w:val="00CD629C"/>
    <w:rsid w:val="00CD6AFA"/>
    <w:rsid w:val="00CD7C39"/>
    <w:rsid w:val="00CE2240"/>
    <w:rsid w:val="00CE2F48"/>
    <w:rsid w:val="00CE3CF7"/>
    <w:rsid w:val="00CE3E45"/>
    <w:rsid w:val="00CE4759"/>
    <w:rsid w:val="00CE6887"/>
    <w:rsid w:val="00CE6D7B"/>
    <w:rsid w:val="00CF1546"/>
    <w:rsid w:val="00CF1E42"/>
    <w:rsid w:val="00CF3B07"/>
    <w:rsid w:val="00CF499F"/>
    <w:rsid w:val="00CF4DE0"/>
    <w:rsid w:val="00CF5207"/>
    <w:rsid w:val="00CF58B7"/>
    <w:rsid w:val="00CF5A11"/>
    <w:rsid w:val="00CF5E54"/>
    <w:rsid w:val="00CF6816"/>
    <w:rsid w:val="00CF7797"/>
    <w:rsid w:val="00CF7C35"/>
    <w:rsid w:val="00D0095E"/>
    <w:rsid w:val="00D01D55"/>
    <w:rsid w:val="00D02147"/>
    <w:rsid w:val="00D022A5"/>
    <w:rsid w:val="00D027C1"/>
    <w:rsid w:val="00D04185"/>
    <w:rsid w:val="00D04401"/>
    <w:rsid w:val="00D048C9"/>
    <w:rsid w:val="00D04B91"/>
    <w:rsid w:val="00D078F5"/>
    <w:rsid w:val="00D12A75"/>
    <w:rsid w:val="00D13854"/>
    <w:rsid w:val="00D13ABD"/>
    <w:rsid w:val="00D141F5"/>
    <w:rsid w:val="00D14392"/>
    <w:rsid w:val="00D14FE3"/>
    <w:rsid w:val="00D160E0"/>
    <w:rsid w:val="00D16399"/>
    <w:rsid w:val="00D163C0"/>
    <w:rsid w:val="00D16D6B"/>
    <w:rsid w:val="00D2012B"/>
    <w:rsid w:val="00D2065C"/>
    <w:rsid w:val="00D2187A"/>
    <w:rsid w:val="00D21887"/>
    <w:rsid w:val="00D221DA"/>
    <w:rsid w:val="00D228EF"/>
    <w:rsid w:val="00D2295E"/>
    <w:rsid w:val="00D23536"/>
    <w:rsid w:val="00D2407B"/>
    <w:rsid w:val="00D24E89"/>
    <w:rsid w:val="00D26751"/>
    <w:rsid w:val="00D278BA"/>
    <w:rsid w:val="00D3146E"/>
    <w:rsid w:val="00D33B5E"/>
    <w:rsid w:val="00D3467D"/>
    <w:rsid w:val="00D351C1"/>
    <w:rsid w:val="00D35F14"/>
    <w:rsid w:val="00D36586"/>
    <w:rsid w:val="00D376BD"/>
    <w:rsid w:val="00D41D49"/>
    <w:rsid w:val="00D4396E"/>
    <w:rsid w:val="00D439AA"/>
    <w:rsid w:val="00D43D36"/>
    <w:rsid w:val="00D44D8A"/>
    <w:rsid w:val="00D45D28"/>
    <w:rsid w:val="00D47575"/>
    <w:rsid w:val="00D50532"/>
    <w:rsid w:val="00D50FCD"/>
    <w:rsid w:val="00D52478"/>
    <w:rsid w:val="00D550D4"/>
    <w:rsid w:val="00D568DD"/>
    <w:rsid w:val="00D57CEB"/>
    <w:rsid w:val="00D612F3"/>
    <w:rsid w:val="00D6638A"/>
    <w:rsid w:val="00D66CC8"/>
    <w:rsid w:val="00D670D3"/>
    <w:rsid w:val="00D672F1"/>
    <w:rsid w:val="00D71678"/>
    <w:rsid w:val="00D71B5E"/>
    <w:rsid w:val="00D731A9"/>
    <w:rsid w:val="00D73371"/>
    <w:rsid w:val="00D74CA1"/>
    <w:rsid w:val="00D75EEC"/>
    <w:rsid w:val="00D80157"/>
    <w:rsid w:val="00D814B3"/>
    <w:rsid w:val="00D825CA"/>
    <w:rsid w:val="00D83CAF"/>
    <w:rsid w:val="00D84014"/>
    <w:rsid w:val="00D858B6"/>
    <w:rsid w:val="00D862D3"/>
    <w:rsid w:val="00D86BF0"/>
    <w:rsid w:val="00D923BF"/>
    <w:rsid w:val="00D94311"/>
    <w:rsid w:val="00D94834"/>
    <w:rsid w:val="00D95CC2"/>
    <w:rsid w:val="00D95FA4"/>
    <w:rsid w:val="00D976CF"/>
    <w:rsid w:val="00D97876"/>
    <w:rsid w:val="00DA20E4"/>
    <w:rsid w:val="00DA3BE2"/>
    <w:rsid w:val="00DA5A53"/>
    <w:rsid w:val="00DB2828"/>
    <w:rsid w:val="00DB42C9"/>
    <w:rsid w:val="00DB4D4C"/>
    <w:rsid w:val="00DB523C"/>
    <w:rsid w:val="00DB5DB4"/>
    <w:rsid w:val="00DB792F"/>
    <w:rsid w:val="00DB7FA2"/>
    <w:rsid w:val="00DC16A6"/>
    <w:rsid w:val="00DC23A9"/>
    <w:rsid w:val="00DC2522"/>
    <w:rsid w:val="00DD0BD8"/>
    <w:rsid w:val="00DD1198"/>
    <w:rsid w:val="00DD1BFE"/>
    <w:rsid w:val="00DD3C41"/>
    <w:rsid w:val="00DD4DDA"/>
    <w:rsid w:val="00DD56F6"/>
    <w:rsid w:val="00DD610B"/>
    <w:rsid w:val="00DD6603"/>
    <w:rsid w:val="00DE05AF"/>
    <w:rsid w:val="00DE2428"/>
    <w:rsid w:val="00DE26B5"/>
    <w:rsid w:val="00DE70A5"/>
    <w:rsid w:val="00DF11E0"/>
    <w:rsid w:val="00DF1BE4"/>
    <w:rsid w:val="00DF2D9D"/>
    <w:rsid w:val="00DF479B"/>
    <w:rsid w:val="00DF54C4"/>
    <w:rsid w:val="00E01FA7"/>
    <w:rsid w:val="00E02F6D"/>
    <w:rsid w:val="00E03454"/>
    <w:rsid w:val="00E10156"/>
    <w:rsid w:val="00E10237"/>
    <w:rsid w:val="00E10769"/>
    <w:rsid w:val="00E10BDD"/>
    <w:rsid w:val="00E112A3"/>
    <w:rsid w:val="00E12A17"/>
    <w:rsid w:val="00E12D66"/>
    <w:rsid w:val="00E1300C"/>
    <w:rsid w:val="00E14EFB"/>
    <w:rsid w:val="00E1550C"/>
    <w:rsid w:val="00E15716"/>
    <w:rsid w:val="00E15955"/>
    <w:rsid w:val="00E160E0"/>
    <w:rsid w:val="00E21C70"/>
    <w:rsid w:val="00E23626"/>
    <w:rsid w:val="00E257A6"/>
    <w:rsid w:val="00E257B1"/>
    <w:rsid w:val="00E26CC4"/>
    <w:rsid w:val="00E30665"/>
    <w:rsid w:val="00E32B16"/>
    <w:rsid w:val="00E33575"/>
    <w:rsid w:val="00E344F8"/>
    <w:rsid w:val="00E346B5"/>
    <w:rsid w:val="00E354A2"/>
    <w:rsid w:val="00E36527"/>
    <w:rsid w:val="00E4022E"/>
    <w:rsid w:val="00E40480"/>
    <w:rsid w:val="00E40E6B"/>
    <w:rsid w:val="00E418DC"/>
    <w:rsid w:val="00E42A7A"/>
    <w:rsid w:val="00E43595"/>
    <w:rsid w:val="00E45FCF"/>
    <w:rsid w:val="00E50B54"/>
    <w:rsid w:val="00E51920"/>
    <w:rsid w:val="00E53214"/>
    <w:rsid w:val="00E56515"/>
    <w:rsid w:val="00E56F82"/>
    <w:rsid w:val="00E57393"/>
    <w:rsid w:val="00E578AE"/>
    <w:rsid w:val="00E61EF3"/>
    <w:rsid w:val="00E62F68"/>
    <w:rsid w:val="00E63C49"/>
    <w:rsid w:val="00E64120"/>
    <w:rsid w:val="00E651F7"/>
    <w:rsid w:val="00E657DB"/>
    <w:rsid w:val="00E663A4"/>
    <w:rsid w:val="00E678D5"/>
    <w:rsid w:val="00E700D1"/>
    <w:rsid w:val="00E738D9"/>
    <w:rsid w:val="00E75FC0"/>
    <w:rsid w:val="00E81054"/>
    <w:rsid w:val="00E82641"/>
    <w:rsid w:val="00E82A51"/>
    <w:rsid w:val="00E841F5"/>
    <w:rsid w:val="00E842B3"/>
    <w:rsid w:val="00E87C6E"/>
    <w:rsid w:val="00E87C9E"/>
    <w:rsid w:val="00E87FDE"/>
    <w:rsid w:val="00E9062C"/>
    <w:rsid w:val="00E90F80"/>
    <w:rsid w:val="00E91559"/>
    <w:rsid w:val="00E91711"/>
    <w:rsid w:val="00E934D9"/>
    <w:rsid w:val="00E9373C"/>
    <w:rsid w:val="00E94EED"/>
    <w:rsid w:val="00E94F8B"/>
    <w:rsid w:val="00E95619"/>
    <w:rsid w:val="00E96A3D"/>
    <w:rsid w:val="00E9717F"/>
    <w:rsid w:val="00E972D2"/>
    <w:rsid w:val="00E9784F"/>
    <w:rsid w:val="00EA1211"/>
    <w:rsid w:val="00EA29C8"/>
    <w:rsid w:val="00EA529C"/>
    <w:rsid w:val="00EA55DC"/>
    <w:rsid w:val="00EA5694"/>
    <w:rsid w:val="00EA5D1E"/>
    <w:rsid w:val="00EB05B1"/>
    <w:rsid w:val="00EB22DD"/>
    <w:rsid w:val="00EB4D61"/>
    <w:rsid w:val="00EB5C1B"/>
    <w:rsid w:val="00EB6463"/>
    <w:rsid w:val="00EB71C9"/>
    <w:rsid w:val="00EB7EC0"/>
    <w:rsid w:val="00EC06D6"/>
    <w:rsid w:val="00EC079E"/>
    <w:rsid w:val="00EC3567"/>
    <w:rsid w:val="00EC383E"/>
    <w:rsid w:val="00EC3DBE"/>
    <w:rsid w:val="00EC5082"/>
    <w:rsid w:val="00EC667E"/>
    <w:rsid w:val="00EC6922"/>
    <w:rsid w:val="00EC6E13"/>
    <w:rsid w:val="00EC7558"/>
    <w:rsid w:val="00EC7C1F"/>
    <w:rsid w:val="00EC7EA9"/>
    <w:rsid w:val="00ED3276"/>
    <w:rsid w:val="00ED41D4"/>
    <w:rsid w:val="00ED42B7"/>
    <w:rsid w:val="00EE4C3D"/>
    <w:rsid w:val="00EE5E2A"/>
    <w:rsid w:val="00EF06EE"/>
    <w:rsid w:val="00EF078D"/>
    <w:rsid w:val="00EF080A"/>
    <w:rsid w:val="00EF2532"/>
    <w:rsid w:val="00EF3298"/>
    <w:rsid w:val="00F02C53"/>
    <w:rsid w:val="00F04347"/>
    <w:rsid w:val="00F04826"/>
    <w:rsid w:val="00F055F1"/>
    <w:rsid w:val="00F05CD5"/>
    <w:rsid w:val="00F076C4"/>
    <w:rsid w:val="00F1031F"/>
    <w:rsid w:val="00F11229"/>
    <w:rsid w:val="00F11B51"/>
    <w:rsid w:val="00F11EE1"/>
    <w:rsid w:val="00F17DB3"/>
    <w:rsid w:val="00F20713"/>
    <w:rsid w:val="00F208DB"/>
    <w:rsid w:val="00F211AC"/>
    <w:rsid w:val="00F2333B"/>
    <w:rsid w:val="00F26D28"/>
    <w:rsid w:val="00F27622"/>
    <w:rsid w:val="00F31FAB"/>
    <w:rsid w:val="00F32D0F"/>
    <w:rsid w:val="00F333EC"/>
    <w:rsid w:val="00F359DA"/>
    <w:rsid w:val="00F35EE9"/>
    <w:rsid w:val="00F37AEA"/>
    <w:rsid w:val="00F40216"/>
    <w:rsid w:val="00F41978"/>
    <w:rsid w:val="00F42482"/>
    <w:rsid w:val="00F42F2E"/>
    <w:rsid w:val="00F44038"/>
    <w:rsid w:val="00F45BD5"/>
    <w:rsid w:val="00F45FBA"/>
    <w:rsid w:val="00F5150D"/>
    <w:rsid w:val="00F52150"/>
    <w:rsid w:val="00F5305E"/>
    <w:rsid w:val="00F53FF6"/>
    <w:rsid w:val="00F543BA"/>
    <w:rsid w:val="00F558F6"/>
    <w:rsid w:val="00F566ED"/>
    <w:rsid w:val="00F56DE9"/>
    <w:rsid w:val="00F570B9"/>
    <w:rsid w:val="00F5760D"/>
    <w:rsid w:val="00F603D8"/>
    <w:rsid w:val="00F606A4"/>
    <w:rsid w:val="00F6784F"/>
    <w:rsid w:val="00F76EDE"/>
    <w:rsid w:val="00F77391"/>
    <w:rsid w:val="00F77659"/>
    <w:rsid w:val="00F8088B"/>
    <w:rsid w:val="00F83776"/>
    <w:rsid w:val="00F83BC9"/>
    <w:rsid w:val="00F848CE"/>
    <w:rsid w:val="00F85BF7"/>
    <w:rsid w:val="00F86B2B"/>
    <w:rsid w:val="00F90724"/>
    <w:rsid w:val="00F90A03"/>
    <w:rsid w:val="00F9187A"/>
    <w:rsid w:val="00F91DF8"/>
    <w:rsid w:val="00F925B2"/>
    <w:rsid w:val="00F92C04"/>
    <w:rsid w:val="00F93FDF"/>
    <w:rsid w:val="00F94538"/>
    <w:rsid w:val="00F95A57"/>
    <w:rsid w:val="00F96905"/>
    <w:rsid w:val="00F973E3"/>
    <w:rsid w:val="00FA0345"/>
    <w:rsid w:val="00FA102A"/>
    <w:rsid w:val="00FA1131"/>
    <w:rsid w:val="00FA127D"/>
    <w:rsid w:val="00FA1373"/>
    <w:rsid w:val="00FA19E8"/>
    <w:rsid w:val="00FA27FE"/>
    <w:rsid w:val="00FA414C"/>
    <w:rsid w:val="00FA61CA"/>
    <w:rsid w:val="00FA6360"/>
    <w:rsid w:val="00FA68D0"/>
    <w:rsid w:val="00FA6FCE"/>
    <w:rsid w:val="00FB0056"/>
    <w:rsid w:val="00FB03B6"/>
    <w:rsid w:val="00FB13D0"/>
    <w:rsid w:val="00FB217F"/>
    <w:rsid w:val="00FB3BAF"/>
    <w:rsid w:val="00FB5CCC"/>
    <w:rsid w:val="00FB6682"/>
    <w:rsid w:val="00FB7A2C"/>
    <w:rsid w:val="00FC10ED"/>
    <w:rsid w:val="00FC11EC"/>
    <w:rsid w:val="00FC14E8"/>
    <w:rsid w:val="00FC2D11"/>
    <w:rsid w:val="00FC5901"/>
    <w:rsid w:val="00FC6099"/>
    <w:rsid w:val="00FC6230"/>
    <w:rsid w:val="00FD1A1D"/>
    <w:rsid w:val="00FD2318"/>
    <w:rsid w:val="00FD3EDC"/>
    <w:rsid w:val="00FD3FF6"/>
    <w:rsid w:val="00FD4E96"/>
    <w:rsid w:val="00FD55A4"/>
    <w:rsid w:val="00FE033C"/>
    <w:rsid w:val="00FE0680"/>
    <w:rsid w:val="00FE248C"/>
    <w:rsid w:val="00FE3CA5"/>
    <w:rsid w:val="00FE4584"/>
    <w:rsid w:val="00FE4E67"/>
    <w:rsid w:val="00FE6933"/>
    <w:rsid w:val="00FE79B8"/>
    <w:rsid w:val="00FE7C32"/>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3FAB7"/>
  <w15:docId w15:val="{FD24EFCE-CCC5-412F-9359-4CBF10CA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customStyle="1" w:styleId="TableText1">
    <w:name w:val="Table Text 1"/>
    <w:basedOn w:val="Normal"/>
    <w:qFormat/>
    <w:rsid w:val="002C7F94"/>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539488">
      <w:bodyDiv w:val="1"/>
      <w:marLeft w:val="0"/>
      <w:marRight w:val="0"/>
      <w:marTop w:val="0"/>
      <w:marBottom w:val="0"/>
      <w:divBdr>
        <w:top w:val="none" w:sz="0" w:space="0" w:color="auto"/>
        <w:left w:val="none" w:sz="0" w:space="0" w:color="auto"/>
        <w:bottom w:val="none" w:sz="0" w:space="0" w:color="auto"/>
        <w:right w:val="none" w:sz="0" w:space="0" w:color="auto"/>
      </w:divBdr>
      <w:divsChild>
        <w:div w:id="1242986310">
          <w:marLeft w:val="960"/>
          <w:marRight w:val="0"/>
          <w:marTop w:val="0"/>
          <w:marBottom w:val="0"/>
          <w:divBdr>
            <w:top w:val="none" w:sz="0" w:space="0" w:color="auto"/>
            <w:left w:val="none" w:sz="0" w:space="0" w:color="auto"/>
            <w:bottom w:val="none" w:sz="0" w:space="0" w:color="auto"/>
            <w:right w:val="none" w:sz="0" w:space="0" w:color="auto"/>
          </w:divBdr>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ngland.nhs.uk/publication/2022-23-priorities-and-operational-planning-guidance/" TargetMode="External"/><Relationship Id="rId21" Type="http://schemas.openxmlformats.org/officeDocument/2006/relationships/hyperlink" Target="https://www.gov.uk/government/collections/syndromic-surveillance-systems-and-analyses" TargetMode="External"/><Relationship Id="rId42" Type="http://schemas.openxmlformats.org/officeDocument/2006/relationships/hyperlink" Target="https://www.england.nhs.uk/publication/guidance-note-acute-respiratory-infection-virtual-ward/" TargetMode="External"/><Relationship Id="rId47" Type="http://schemas.openxmlformats.org/officeDocument/2006/relationships/hyperlink" Target="https://www.nice.org.uk/guidance/ng115" TargetMode="External"/><Relationship Id="rId63" Type="http://schemas.openxmlformats.org/officeDocument/2006/relationships/image" Target="media/image2.png"/><Relationship Id="rId68" Type="http://schemas.openxmlformats.org/officeDocument/2006/relationships/hyperlink" Target="https://www.nice.org.uk/guidance/indevelopment/gid-hte10006" TargetMode="External"/><Relationship Id="rId84" Type="http://schemas.openxmlformats.org/officeDocument/2006/relationships/theme" Target="theme/theme1.xml"/><Relationship Id="rId16" Type="http://schemas.openxmlformats.org/officeDocument/2006/relationships/hyperlink" Target="https://www.nice.org.uk/guidance/ng79" TargetMode="External"/><Relationship Id="rId11" Type="http://schemas.openxmlformats.org/officeDocument/2006/relationships/hyperlink" Target="https://www.nice.org.uk/guidance/ng120" TargetMode="External"/><Relationship Id="rId32" Type="http://schemas.openxmlformats.org/officeDocument/2006/relationships/hyperlink" Target="https://www.nice.org.uk/guidance/ng15" TargetMode="External"/><Relationship Id="rId37" Type="http://schemas.openxmlformats.org/officeDocument/2006/relationships/hyperlink" Target="https://www.nice.org.uk/guidance/ng138" TargetMode="External"/><Relationship Id="rId53" Type="http://schemas.openxmlformats.org/officeDocument/2006/relationships/hyperlink" Target="https://www.nice.org.uk/guidance/cg138" TargetMode="External"/><Relationship Id="rId58" Type="http://schemas.openxmlformats.org/officeDocument/2006/relationships/hyperlink" Target="https://gettingitrightfirsttime.co.uk/new-summary-guide-supports-nhs-ambition-to-increase-the-use-of-virtual-wards/" TargetMode="External"/><Relationship Id="rId74" Type="http://schemas.openxmlformats.org/officeDocument/2006/relationships/hyperlink" Target="http://www.gettingitrightfirsttime.co.uk/wp-content/uploads/2021/03/Respiratory-Medicine-06-04i-Embargo.pdf" TargetMode="External"/><Relationship Id="rId79" Type="http://schemas.openxmlformats.org/officeDocument/2006/relationships/hyperlink" Target="https://thorax.bmj.com/content/67/1/90" TargetMode="External"/><Relationship Id="rId5" Type="http://schemas.openxmlformats.org/officeDocument/2006/relationships/webSettings" Target="webSettings.xml"/><Relationship Id="rId61" Type="http://schemas.openxmlformats.org/officeDocument/2006/relationships/image" Target="media/image1.png"/><Relationship Id="rId82" Type="http://schemas.openxmlformats.org/officeDocument/2006/relationships/hyperlink" Target="https://www.brit-thoracic.org.uk/quality-improvement/clinical-resources/copd-spirometry/" TargetMode="External"/><Relationship Id="rId19" Type="http://schemas.openxmlformats.org/officeDocument/2006/relationships/hyperlink" Target="https://www.nice.org.uk/guidance/cg191" TargetMode="External"/><Relationship Id="rId14" Type="http://schemas.openxmlformats.org/officeDocument/2006/relationships/hyperlink" Target="https://www.nice.org.uk/guidance/ng94" TargetMode="External"/><Relationship Id="rId22" Type="http://schemas.openxmlformats.org/officeDocument/2006/relationships/hyperlink" Target="https://digital.nhs.uk/data-and-information/publications/statistical/hospital-admitted-patient-care-activity/2021-22" TargetMode="External"/><Relationship Id="rId27" Type="http://schemas.openxmlformats.org/officeDocument/2006/relationships/hyperlink" Target="https://www.nice.org.uk/guidance/indevelopment/gid-ng10376/documents" TargetMode="External"/><Relationship Id="rId30" Type="http://schemas.openxmlformats.org/officeDocument/2006/relationships/hyperlink" Target="https://www.nice.org.uk/guidance/indevelopment/gid-ng10376/documents" TargetMode="External"/><Relationship Id="rId35" Type="http://schemas.openxmlformats.org/officeDocument/2006/relationships/hyperlink" Target="https://www.nice.org.uk/guidance/qs121" TargetMode="External"/><Relationship Id="rId43" Type="http://schemas.openxmlformats.org/officeDocument/2006/relationships/hyperlink" Target="https://www.nice.org.uk/guidance/ng120" TargetMode="External"/><Relationship Id="rId48" Type="http://schemas.openxmlformats.org/officeDocument/2006/relationships/hyperlink" Target="https://www.nice.org.uk/guidance/cg191" TargetMode="External"/><Relationship Id="rId56" Type="http://schemas.openxmlformats.org/officeDocument/2006/relationships/hyperlink" Target="https://www.nice.org.uk/guidance/cg138" TargetMode="External"/><Relationship Id="rId64" Type="http://schemas.openxmlformats.org/officeDocument/2006/relationships/footer" Target="footer1.xml"/><Relationship Id="rId69" Type="http://schemas.openxmlformats.org/officeDocument/2006/relationships/hyperlink" Target="https://www.england.nhs.uk/greenernhs/a-net-zero-nhs/" TargetMode="External"/><Relationship Id="rId77" Type="http://schemas.openxmlformats.org/officeDocument/2006/relationships/hyperlink" Target="https://www.rcn.org.uk/Professional-Development/Nursing-Workforce-Standards" TargetMode="External"/><Relationship Id="rId8" Type="http://schemas.openxmlformats.org/officeDocument/2006/relationships/hyperlink" Target="https://www.nice.org.uk/guidance/indevelopment/gid-ng10376/documents" TargetMode="External"/><Relationship Id="rId51" Type="http://schemas.openxmlformats.org/officeDocument/2006/relationships/hyperlink" Target="https://www.nice.org.uk/guidance/cg138" TargetMode="External"/><Relationship Id="rId72" Type="http://schemas.openxmlformats.org/officeDocument/2006/relationships/hyperlink" Target="https://www.kingsfund.org.uk/publications/ensuring-digitally-enabled-health-care-equitable-effective-for-all" TargetMode="External"/><Relationship Id="rId80" Type="http://schemas.openxmlformats.org/officeDocument/2006/relationships/hyperlink" Target="https://www.nice.org.uk/guidance/qs10/chapter/quality-statement-8-placeholder-hospital-discharge-care-bundle" TargetMode="External"/><Relationship Id="rId3" Type="http://schemas.openxmlformats.org/officeDocument/2006/relationships/styles" Target="styles.xml"/><Relationship Id="rId12" Type="http://schemas.openxmlformats.org/officeDocument/2006/relationships/hyperlink" Target="https://www.nice.org.uk/guidance/ng115" TargetMode="External"/><Relationship Id="rId17" Type="http://schemas.openxmlformats.org/officeDocument/2006/relationships/hyperlink" Target="https://www.nice.org.uk/guidance/ng63" TargetMode="External"/><Relationship Id="rId25" Type="http://schemas.openxmlformats.org/officeDocument/2006/relationships/hyperlink" Target="https://www.england.nhs.uk/publication/delivery-plan-for-recovering-urgent-and-emergency-care-services/" TargetMode="External"/><Relationship Id="rId33" Type="http://schemas.openxmlformats.org/officeDocument/2006/relationships/hyperlink" Target="https://www.nice.org.uk/guidance/cg191" TargetMode="External"/><Relationship Id="rId38" Type="http://schemas.openxmlformats.org/officeDocument/2006/relationships/hyperlink" Target="https://www.nice.org.uk/guidance/ng120" TargetMode="External"/><Relationship Id="rId46" Type="http://schemas.openxmlformats.org/officeDocument/2006/relationships/hyperlink" Target="https://www.nice.org.uk/guidance/ng79" TargetMode="External"/><Relationship Id="rId59" Type="http://schemas.openxmlformats.org/officeDocument/2006/relationships/hyperlink" Target="https://www.nice.org.uk/terms-and-conditions" TargetMode="External"/><Relationship Id="rId67" Type="http://schemas.openxmlformats.org/officeDocument/2006/relationships/hyperlink" Target="https://www.nice.org.uk/guidance/ng94/evidence/33.integrated-patient-information-systems-pdf-172397464672" TargetMode="External"/><Relationship Id="rId20" Type="http://schemas.openxmlformats.org/officeDocument/2006/relationships/hyperlink" Target="https://www.nice.org.uk/guidance/cg138" TargetMode="External"/><Relationship Id="rId41" Type="http://schemas.openxmlformats.org/officeDocument/2006/relationships/hyperlink" Target="https://www.nice.org.uk/guidance/qs110" TargetMode="External"/><Relationship Id="rId54" Type="http://schemas.openxmlformats.org/officeDocument/2006/relationships/hyperlink" Target="https://www.nice.org.uk/guidance/indevelopment/gid-hte10006" TargetMode="External"/><Relationship Id="rId62" Type="http://schemas.openxmlformats.org/officeDocument/2006/relationships/hyperlink" Target="https://www.england.nhs.uk/publication/guidance-note-acute-respiratory-infection-virtual-ward/" TargetMode="External"/><Relationship Id="rId70" Type="http://schemas.openxmlformats.org/officeDocument/2006/relationships/hyperlink" Target="https://www.england.nhs.uk/outpatient-transformation-programme/video-consultations-in-secondary-care/" TargetMode="External"/><Relationship Id="rId75" Type="http://schemas.openxmlformats.org/officeDocument/2006/relationships/hyperlink" Target="https://www.nice.org.uk/guidance/indevelopment/gid-ng10376"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84" TargetMode="External"/><Relationship Id="rId23" Type="http://schemas.openxmlformats.org/officeDocument/2006/relationships/hyperlink" Target="https://gettingitrightfirsttime.co.uk/medical_specialties/respiratory/" TargetMode="External"/><Relationship Id="rId28" Type="http://schemas.openxmlformats.org/officeDocument/2006/relationships/hyperlink" Target="https://www.nice.org.uk/guidance/cg191" TargetMode="External"/><Relationship Id="rId36" Type="http://schemas.openxmlformats.org/officeDocument/2006/relationships/hyperlink" Target="https://www.nice.org.uk/guidance/indevelopment/gid-ng10376/documents" TargetMode="External"/><Relationship Id="rId49" Type="http://schemas.openxmlformats.org/officeDocument/2006/relationships/hyperlink" Target="https://www.nice.org.uk/guidance/cg138" TargetMode="External"/><Relationship Id="rId57" Type="http://schemas.openxmlformats.org/officeDocument/2006/relationships/hyperlink" Target="https://www.england.nhs.uk/publication/guidance-note-acute-respiratory-infection-virtual-ward/" TargetMode="External"/><Relationship Id="rId10" Type="http://schemas.openxmlformats.org/officeDocument/2006/relationships/hyperlink" Target="https://www.nice.org.uk/guidance/ng138" TargetMode="External"/><Relationship Id="rId31" Type="http://schemas.openxmlformats.org/officeDocument/2006/relationships/hyperlink" Target="https://www.nice.org.uk/guidance/ng94" TargetMode="External"/><Relationship Id="rId44" Type="http://schemas.openxmlformats.org/officeDocument/2006/relationships/hyperlink" Target="https://www.nice.org.uk/guidance/ng114" TargetMode="External"/><Relationship Id="rId52" Type="http://schemas.openxmlformats.org/officeDocument/2006/relationships/hyperlink" Target="https://www.england.nhs.uk/publication/guidance-note-acute-respiratory-infection-virtual-ward/" TargetMode="External"/><Relationship Id="rId60" Type="http://schemas.openxmlformats.org/officeDocument/2006/relationships/hyperlink" Target="https://www.england.nhs.uk/publication/going-further-on-our-winter-resilience-plans/" TargetMode="External"/><Relationship Id="rId65" Type="http://schemas.openxmlformats.org/officeDocument/2006/relationships/footer" Target="footer2.xml"/><Relationship Id="rId73" Type="http://schemas.openxmlformats.org/officeDocument/2006/relationships/hyperlink" Target="https://www.nice.org.uk/guidance/indevelopment/gid-ng10376" TargetMode="External"/><Relationship Id="rId78" Type="http://schemas.openxmlformats.org/officeDocument/2006/relationships/hyperlink" Target="https://www.rcn.org.uk/-/media/Royal-College-Of-Nursing/Documents/Policies-and-briefings/UK-Wide/Policies/2021/BR-0521.pdf" TargetMode="External"/><Relationship Id="rId81" Type="http://schemas.openxmlformats.org/officeDocument/2006/relationships/hyperlink" Target="https://www.england.nhs.uk/rightcare/wp-content/uploads/sites/40/2017/12/nhs-rightcare-copd-pathway-v18.pdf" TargetMode="External"/><Relationship Id="rId4" Type="http://schemas.openxmlformats.org/officeDocument/2006/relationships/settings" Target="settings.xml"/><Relationship Id="rId9" Type="http://schemas.openxmlformats.org/officeDocument/2006/relationships/hyperlink" Target="https://www.nice.org.uk/guidance/indevelopment/gid-hte10006" TargetMode="External"/><Relationship Id="rId13" Type="http://schemas.openxmlformats.org/officeDocument/2006/relationships/hyperlink" Target="https://www.nice.org.uk/guidance/ng114" TargetMode="External"/><Relationship Id="rId18" Type="http://schemas.openxmlformats.org/officeDocument/2006/relationships/hyperlink" Target="https://www.nice.org.uk/guidance/ng15" TargetMode="External"/><Relationship Id="rId39" Type="http://schemas.openxmlformats.org/officeDocument/2006/relationships/hyperlink" Target="https://www.nice.org.uk/guidance/ng84" TargetMode="External"/><Relationship Id="rId34" Type="http://schemas.openxmlformats.org/officeDocument/2006/relationships/hyperlink" Target="https://www.nice.org.uk/guidance/ng15" TargetMode="External"/><Relationship Id="rId50" Type="http://schemas.openxmlformats.org/officeDocument/2006/relationships/hyperlink" Target="https://www.nice.org.uk/guidance/qs110" TargetMode="External"/><Relationship Id="rId55" Type="http://schemas.openxmlformats.org/officeDocument/2006/relationships/hyperlink" Target="https://www.nice.org.uk/guidance/cg138" TargetMode="External"/><Relationship Id="rId76" Type="http://schemas.openxmlformats.org/officeDocument/2006/relationships/hyperlink" Target="https://www.nice.org.uk/guidance/indevelopment/gid-hte10006" TargetMode="External"/><Relationship Id="rId7" Type="http://schemas.openxmlformats.org/officeDocument/2006/relationships/endnotes" Target="endnotes.xml"/><Relationship Id="rId71" Type="http://schemas.openxmlformats.org/officeDocument/2006/relationships/hyperlink" Target="https://gettingitrightfirsttime.co.uk/new-summary-guide-supports-nhs-ambition-to-increase-the-use-of-virtual-wards/" TargetMode="External"/><Relationship Id="rId2" Type="http://schemas.openxmlformats.org/officeDocument/2006/relationships/numbering" Target="numbering.xml"/><Relationship Id="rId29" Type="http://schemas.openxmlformats.org/officeDocument/2006/relationships/hyperlink" Target="https://www.nice.org.uk/guidance/qs110" TargetMode="External"/><Relationship Id="rId24" Type="http://schemas.openxmlformats.org/officeDocument/2006/relationships/hyperlink" Target="https://www.gov.uk/government/statistics/annual-flu-reports/surveillance-of-influenza-and-other-seasonal-respiratory-viruses-in-the-uk-winter-2022-to-2023" TargetMode="External"/><Relationship Id="rId40" Type="http://schemas.openxmlformats.org/officeDocument/2006/relationships/hyperlink" Target="https://www.nice.org.uk/guidance/ng79" TargetMode="External"/><Relationship Id="rId45" Type="http://schemas.openxmlformats.org/officeDocument/2006/relationships/hyperlink" Target="https://www.nice.org.uk/guidance/ng84" TargetMode="External"/><Relationship Id="rId66" Type="http://schemas.openxmlformats.org/officeDocument/2006/relationships/hyperlink" Target="https://www.rcplondon.ac.uk/file/5580/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Quality%20standards%20(QS)\QS%20briefing%20paper%20Apr%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briefing paper Apr 23</Template>
  <TotalTime>1</TotalTime>
  <Pages>38</Pages>
  <Words>9461</Words>
  <Characters>61379</Characters>
  <Application>Microsoft Office Word</Application>
  <DocSecurity>0</DocSecurity>
  <Lines>511</Lines>
  <Paragraphs>141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70699</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Carr</dc:creator>
  <cp:lastModifiedBy>Jamie Jason</cp:lastModifiedBy>
  <cp:revision>2</cp:revision>
  <cp:lastPrinted>2012-12-05T11:58:00Z</cp:lastPrinted>
  <dcterms:created xsi:type="dcterms:W3CDTF">2023-09-15T13:19:00Z</dcterms:created>
  <dcterms:modified xsi:type="dcterms:W3CDTF">2023-09-15T13:19:00Z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2023-04-28T09:56:55Z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07434e9b-fc2d-41c7-8e5d-cd4c96c55f92</vt:lpwstr>
  </property>
  <property fmtid="{D5CDD505-2E9C-101B-9397-08002B2CF9AE}" pid="8" name="MSIP_Label_37c1caf1-e4f0-4b5d-9415-ebd897024cb8_ContentBits">
    <vt:lpwstr>0</vt:lpwstr>
  </property>
</Properties>
</file>