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ECCF" w14:textId="77777777" w:rsidR="00AC6A2B" w:rsidRPr="009C60B5" w:rsidRDefault="000528AA" w:rsidP="009C60B5">
      <w:pPr>
        <w:pStyle w:val="Paragraph"/>
        <w:jc w:val="center"/>
        <w:rPr>
          <w:b/>
          <w:bCs/>
          <w:sz w:val="40"/>
          <w:szCs w:val="40"/>
        </w:rPr>
      </w:pPr>
      <w:bookmarkStart w:id="0" w:name="_Hlk161153965"/>
      <w:r w:rsidRPr="009C60B5">
        <w:rPr>
          <w:b/>
          <w:bCs/>
          <w:sz w:val="40"/>
          <w:szCs w:val="40"/>
        </w:rPr>
        <w:t>NATIONAL INSTITUTE FOR HEALTH AND CARE EXCELLENCE</w:t>
      </w:r>
    </w:p>
    <w:p w14:paraId="7DE48DD9" w14:textId="77777777" w:rsidR="00AC6A2B" w:rsidRDefault="00AC6A2B" w:rsidP="00AC6A2B">
      <w:pPr>
        <w:pStyle w:val="Paragraphnonumbers"/>
        <w:jc w:val="center"/>
        <w:rPr>
          <w:b/>
          <w:bCs/>
          <w:sz w:val="40"/>
          <w:szCs w:val="40"/>
        </w:rPr>
      </w:pPr>
    </w:p>
    <w:p w14:paraId="4332245B" w14:textId="77777777" w:rsidR="004264C8" w:rsidRDefault="00AC6A2B" w:rsidP="004264C8">
      <w:pPr>
        <w:pStyle w:val="Paragraph"/>
        <w:jc w:val="center"/>
        <w:rPr>
          <w:b/>
          <w:bCs/>
          <w:sz w:val="32"/>
          <w:szCs w:val="32"/>
        </w:rPr>
      </w:pPr>
      <w:r w:rsidRPr="009C60B5">
        <w:rPr>
          <w:b/>
          <w:bCs/>
          <w:sz w:val="32"/>
          <w:szCs w:val="32"/>
        </w:rPr>
        <w:t>E</w:t>
      </w:r>
      <w:r w:rsidR="0045211E" w:rsidRPr="009C60B5">
        <w:rPr>
          <w:b/>
          <w:bCs/>
          <w:sz w:val="32"/>
          <w:szCs w:val="32"/>
        </w:rPr>
        <w:t>quality</w:t>
      </w:r>
      <w:r w:rsidRPr="009C60B5">
        <w:rPr>
          <w:b/>
          <w:bCs/>
          <w:sz w:val="32"/>
          <w:szCs w:val="32"/>
        </w:rPr>
        <w:t xml:space="preserve"> </w:t>
      </w:r>
      <w:r w:rsidR="0045211E" w:rsidRPr="009C60B5">
        <w:rPr>
          <w:b/>
          <w:bCs/>
          <w:sz w:val="32"/>
          <w:szCs w:val="32"/>
        </w:rPr>
        <w:t>and</w:t>
      </w:r>
      <w:r w:rsidRPr="009C60B5">
        <w:rPr>
          <w:b/>
          <w:bCs/>
          <w:sz w:val="32"/>
          <w:szCs w:val="32"/>
        </w:rPr>
        <w:t xml:space="preserve"> </w:t>
      </w:r>
      <w:r w:rsidR="0045211E" w:rsidRPr="009C60B5">
        <w:rPr>
          <w:b/>
          <w:bCs/>
          <w:sz w:val="32"/>
          <w:szCs w:val="32"/>
        </w:rPr>
        <w:t>health</w:t>
      </w:r>
      <w:r w:rsidRPr="009C60B5">
        <w:rPr>
          <w:b/>
          <w:bCs/>
          <w:sz w:val="32"/>
          <w:szCs w:val="32"/>
        </w:rPr>
        <w:t xml:space="preserve"> </w:t>
      </w:r>
      <w:r w:rsidR="0045211E" w:rsidRPr="009C60B5">
        <w:rPr>
          <w:b/>
          <w:bCs/>
          <w:sz w:val="32"/>
          <w:szCs w:val="32"/>
        </w:rPr>
        <w:t>inequalities</w:t>
      </w:r>
      <w:r w:rsidR="006248D8" w:rsidRPr="009C60B5">
        <w:rPr>
          <w:b/>
          <w:bCs/>
          <w:sz w:val="32"/>
          <w:szCs w:val="32"/>
        </w:rPr>
        <w:t xml:space="preserve"> </w:t>
      </w:r>
      <w:r w:rsidR="0045211E" w:rsidRPr="009C60B5">
        <w:rPr>
          <w:b/>
          <w:bCs/>
          <w:sz w:val="32"/>
          <w:szCs w:val="32"/>
        </w:rPr>
        <w:t>assessment</w:t>
      </w:r>
      <w:r w:rsidR="006248D8" w:rsidRPr="009C60B5">
        <w:rPr>
          <w:b/>
          <w:bCs/>
          <w:sz w:val="32"/>
          <w:szCs w:val="32"/>
        </w:rPr>
        <w:t xml:space="preserve"> (EHIA)</w:t>
      </w:r>
      <w:r w:rsidRPr="009C60B5">
        <w:rPr>
          <w:b/>
          <w:bCs/>
        </w:rPr>
        <w:br/>
      </w:r>
    </w:p>
    <w:p w14:paraId="0125D68F" w14:textId="35957EE7" w:rsidR="005640F6" w:rsidRPr="00310467" w:rsidRDefault="00112BEA" w:rsidP="004264C8">
      <w:pPr>
        <w:pStyle w:val="Paragraph"/>
        <w:jc w:val="center"/>
        <w:rPr>
          <w:b/>
          <w:bCs/>
          <w:sz w:val="32"/>
          <w:szCs w:val="32"/>
        </w:rPr>
      </w:pPr>
      <w:r>
        <w:rPr>
          <w:b/>
          <w:bCs/>
          <w:sz w:val="32"/>
          <w:szCs w:val="32"/>
        </w:rPr>
        <w:t>Osteoporosis</w:t>
      </w:r>
      <w:r w:rsidR="00AD672F">
        <w:rPr>
          <w:b/>
          <w:bCs/>
          <w:sz w:val="32"/>
          <w:szCs w:val="32"/>
        </w:rPr>
        <w:t xml:space="preserve"> (update)</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9"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37E13E1C" w14:textId="14DE18C3" w:rsidR="006210D3" w:rsidRPr="006210D3" w:rsidRDefault="003778FE" w:rsidP="00112BEA">
      <w:pPr>
        <w:pStyle w:val="Heading1"/>
      </w:pPr>
      <w:bookmarkStart w:id="2" w:name="_Toc201671894"/>
      <w:bookmarkEnd w:id="0"/>
      <w:r>
        <w:lastRenderedPageBreak/>
        <w:t xml:space="preserve">STAGE </w:t>
      </w:r>
      <w:r w:rsidR="006320D4">
        <w:t>1</w:t>
      </w:r>
      <w:r w:rsidR="009C60B5">
        <w:t>.</w:t>
      </w:r>
      <w:r w:rsidR="00840E51">
        <w:t xml:space="preserve"> </w:t>
      </w:r>
      <w:r w:rsidR="006320D4">
        <w:t>Topic engagement</w:t>
      </w:r>
      <w:bookmarkEnd w:id="2"/>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36FE4FBC"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 xml:space="preserve">topic engagement </w:t>
            </w:r>
            <w:r w:rsidR="00BE00B9">
              <w:t xml:space="preserve">comments </w:t>
            </w:r>
            <w:proofErr w:type="spellStart"/>
            <w:r w:rsidR="00BE00B9">
              <w:t>form</w:t>
            </w:r>
            <w:proofErr w:type="spellEnd"/>
            <w:r w:rsidR="00EB653E">
              <w:t>?</w:t>
            </w:r>
            <w:bookmarkEnd w:id="3"/>
          </w:p>
        </w:tc>
      </w:tr>
      <w:tr w:rsidR="00EB653E" w:rsidRPr="0078563E" w14:paraId="0F41CE24" w14:textId="77777777" w:rsidTr="001553E9">
        <w:trPr>
          <w:trHeight w:val="4732"/>
        </w:trPr>
        <w:tc>
          <w:tcPr>
            <w:tcW w:w="9721" w:type="dxa"/>
            <w:shd w:val="clear" w:color="auto" w:fill="auto"/>
          </w:tcPr>
          <w:p w14:paraId="3D7348BE" w14:textId="77777777" w:rsidR="00602543" w:rsidRDefault="00602543" w:rsidP="00D20EB1">
            <w:pPr>
              <w:pStyle w:val="Paragraphnonumbers"/>
            </w:pPr>
            <w:r w:rsidRPr="00602543">
              <w:t>Review of the following sources has been used to identify potential equality and health inequalities issues</w:t>
            </w:r>
            <w:r>
              <w:t>:</w:t>
            </w:r>
          </w:p>
          <w:p w14:paraId="15E552FD" w14:textId="788A7DE8" w:rsidR="00602543" w:rsidRDefault="00602543" w:rsidP="00D20EB1">
            <w:pPr>
              <w:pStyle w:val="Paragraphnonumbers"/>
            </w:pPr>
            <w:hyperlink r:id="rId10" w:history="1">
              <w:r w:rsidRPr="00602543">
                <w:rPr>
                  <w:rStyle w:val="Hyperlink"/>
                </w:rPr>
                <w:t>Osteoporosis: risk assessment, treatment, and fragility fracture prevention (update)  [GID-NG10216]  Equality impact assessment 1</w:t>
              </w:r>
            </w:hyperlink>
          </w:p>
          <w:p w14:paraId="6E2B0DA2" w14:textId="77777777" w:rsidR="00602543" w:rsidRDefault="00602543" w:rsidP="00D20EB1">
            <w:pPr>
              <w:pStyle w:val="Paragraphnonumbers"/>
            </w:pPr>
            <w:hyperlink r:id="rId11" w:history="1">
              <w:r w:rsidRPr="00602543">
                <w:rPr>
                  <w:rStyle w:val="Hyperlink"/>
                </w:rPr>
                <w:t>Osteoporosis: risk assessment, treatment, and fragility fracture prevention (update)  [GID-NG10216]  Equality impact assessment 2</w:t>
              </w:r>
            </w:hyperlink>
          </w:p>
          <w:p w14:paraId="25B30336" w14:textId="77777777" w:rsidR="00602543" w:rsidRDefault="00602543" w:rsidP="00D20EB1">
            <w:pPr>
              <w:pStyle w:val="Paragraphnonumbers"/>
            </w:pPr>
            <w:hyperlink r:id="rId12" w:history="1">
              <w:r w:rsidRPr="00602543">
                <w:rPr>
                  <w:rStyle w:val="Hyperlink"/>
                </w:rPr>
                <w:t>Osteoporosis: assessing the risk of fragility fracture CG146 -  Osteoporosis fragility fracture risk: EIA recommendations</w:t>
              </w:r>
            </w:hyperlink>
          </w:p>
          <w:p w14:paraId="16A34E89" w14:textId="77777777" w:rsidR="00602543" w:rsidRDefault="00F217B6" w:rsidP="00D20EB1">
            <w:pPr>
              <w:pStyle w:val="Paragraphnonumbers"/>
            </w:pPr>
            <w:hyperlink r:id="rId13" w:history="1">
              <w:r w:rsidRPr="00F217B6">
                <w:rPr>
                  <w:rStyle w:val="Hyperlink"/>
                </w:rPr>
                <w:t>Osteoporosis QS149  Equality impact assessment</w:t>
              </w:r>
            </w:hyperlink>
          </w:p>
          <w:p w14:paraId="678ECAB3" w14:textId="01134871" w:rsidR="00F217B6" w:rsidRPr="00F217B6" w:rsidRDefault="00F217B6" w:rsidP="00D20EB1">
            <w:pPr>
              <w:pStyle w:val="Paragraphnonumbers"/>
              <w:rPr>
                <w:bCs/>
              </w:rPr>
            </w:pPr>
            <w:r w:rsidRPr="00F217B6">
              <w:rPr>
                <w:bCs/>
              </w:rPr>
              <w:t xml:space="preserve">Clinical Knowledge Summaries (2025) </w:t>
            </w:r>
            <w:hyperlink r:id="rId14" w:history="1">
              <w:r w:rsidRPr="00F217B6">
                <w:rPr>
                  <w:rStyle w:val="Hyperlink"/>
                  <w:bCs/>
                </w:rPr>
                <w:t>Osteoporosis - prevention of fragility fractures</w:t>
              </w:r>
            </w:hyperlink>
          </w:p>
          <w:p w14:paraId="54D425AC" w14:textId="77777777" w:rsidR="00F217B6" w:rsidRPr="00F217B6" w:rsidRDefault="00F217B6" w:rsidP="00F217B6">
            <w:pPr>
              <w:pStyle w:val="Paragraphnonumbers"/>
            </w:pPr>
            <w:r w:rsidRPr="00F217B6">
              <w:t xml:space="preserve">Chief Medical Officer’s Annual Report (2023) </w:t>
            </w:r>
            <w:hyperlink r:id="rId15" w:history="1">
              <w:r w:rsidRPr="00F217B6">
                <w:rPr>
                  <w:rStyle w:val="Hyperlink"/>
                </w:rPr>
                <w:t>Health in an Ageing Society</w:t>
              </w:r>
            </w:hyperlink>
          </w:p>
          <w:p w14:paraId="1DEF69B9" w14:textId="77777777" w:rsidR="00F217B6" w:rsidRPr="00F217B6" w:rsidRDefault="00F217B6" w:rsidP="00F217B6">
            <w:pPr>
              <w:pStyle w:val="Paragraphnonumbers"/>
              <w:rPr>
                <w:b/>
                <w:bCs/>
              </w:rPr>
            </w:pPr>
            <w:r w:rsidRPr="00F217B6">
              <w:rPr>
                <w:lang w:val="x-none"/>
              </w:rPr>
              <w:t xml:space="preserve">Department of Health and Social Care (2023) </w:t>
            </w:r>
            <w:hyperlink r:id="rId16" w:history="1">
              <w:r w:rsidRPr="00F217B6">
                <w:rPr>
                  <w:rStyle w:val="Hyperlink"/>
                  <w:lang w:val="x-none"/>
                </w:rPr>
                <w:t>Major conditions strategy: case for change and our strategic framework</w:t>
              </w:r>
            </w:hyperlink>
          </w:p>
          <w:p w14:paraId="04B79D4D" w14:textId="77777777" w:rsidR="00F217B6" w:rsidRPr="00F217B6" w:rsidRDefault="00F217B6" w:rsidP="00F217B6">
            <w:pPr>
              <w:pStyle w:val="Paragraphnonumbers"/>
              <w:rPr>
                <w:lang w:val="x-none"/>
              </w:rPr>
            </w:pPr>
            <w:r w:rsidRPr="00F217B6">
              <w:rPr>
                <w:lang w:val="x-none"/>
              </w:rPr>
              <w:t xml:space="preserve">Department of Health and Social Care (2022) </w:t>
            </w:r>
            <w:hyperlink r:id="rId17" w:history="1">
              <w:r w:rsidRPr="00F217B6">
                <w:rPr>
                  <w:rStyle w:val="Hyperlink"/>
                  <w:lang w:val="x-none"/>
                </w:rPr>
                <w:t>Women's Health Strategy for England</w:t>
              </w:r>
            </w:hyperlink>
          </w:p>
          <w:p w14:paraId="243CF13F" w14:textId="77777777" w:rsidR="00F217B6" w:rsidRPr="00F217B6" w:rsidRDefault="00F217B6" w:rsidP="00F217B6">
            <w:pPr>
              <w:pStyle w:val="Paragraphnonumbers"/>
              <w:rPr>
                <w:bCs/>
              </w:rPr>
            </w:pPr>
            <w:r w:rsidRPr="00F217B6">
              <w:rPr>
                <w:bCs/>
              </w:rPr>
              <w:t>National Osteoporosis Guideline Group UK (2024)</w:t>
            </w:r>
            <w:r w:rsidRPr="00F217B6">
              <w:t xml:space="preserve"> </w:t>
            </w:r>
            <w:hyperlink r:id="rId18" w:history="1">
              <w:r w:rsidRPr="00F217B6">
                <w:rPr>
                  <w:rStyle w:val="Hyperlink"/>
                  <w:bCs/>
                </w:rPr>
                <w:t>Clinical guideline for the prevention and treatment of osteoporosis</w:t>
              </w:r>
            </w:hyperlink>
          </w:p>
          <w:p w14:paraId="657C2F3F" w14:textId="77777777" w:rsidR="00F217B6" w:rsidRPr="00F217B6" w:rsidRDefault="00F217B6" w:rsidP="00F217B6">
            <w:pPr>
              <w:pStyle w:val="Paragraphnonumbers"/>
              <w:rPr>
                <w:bCs/>
              </w:rPr>
            </w:pPr>
            <w:r w:rsidRPr="00F217B6">
              <w:rPr>
                <w:bCs/>
              </w:rPr>
              <w:t xml:space="preserve">Royal College of Physicians (2025) </w:t>
            </w:r>
            <w:hyperlink r:id="rId19" w:history="1">
              <w:r w:rsidRPr="00F217B6">
                <w:rPr>
                  <w:rStyle w:val="Hyperlink"/>
                  <w:bCs/>
                </w:rPr>
                <w:t>Fracture Liaison Service Database Annual Report You’ve had a fracture; how can we prevent another? Data from 1 January 2023 – 31 December 2023</w:t>
              </w:r>
            </w:hyperlink>
          </w:p>
          <w:p w14:paraId="028B75D9" w14:textId="77777777" w:rsidR="00F217B6" w:rsidRPr="00F217B6" w:rsidRDefault="00F217B6" w:rsidP="00F217B6">
            <w:pPr>
              <w:pStyle w:val="Paragraphnonumbers"/>
              <w:rPr>
                <w:bCs/>
              </w:rPr>
            </w:pPr>
            <w:r w:rsidRPr="00F217B6">
              <w:rPr>
                <w:bCs/>
              </w:rPr>
              <w:t xml:space="preserve">HQIP (2023) </w:t>
            </w:r>
            <w:hyperlink r:id="rId20" w:history="1">
              <w:r w:rsidRPr="00F217B6">
                <w:rPr>
                  <w:rStyle w:val="Hyperlink"/>
                  <w:bCs/>
                </w:rPr>
                <w:t>In -Focus Impact Report 2023</w:t>
              </w:r>
            </w:hyperlink>
            <w:r w:rsidRPr="00F217B6">
              <w:rPr>
                <w:bCs/>
              </w:rPr>
              <w:t xml:space="preserve"> (covers Falls and Fragility Fracture Audit Programme)</w:t>
            </w:r>
          </w:p>
          <w:p w14:paraId="75350D07" w14:textId="4C49D64F" w:rsidR="00583DD9" w:rsidRPr="00583DD9" w:rsidRDefault="00F217B6" w:rsidP="00583DD9">
            <w:pPr>
              <w:pStyle w:val="Paragraphnonumbers"/>
            </w:pPr>
            <w:r w:rsidRPr="00F217B6">
              <w:rPr>
                <w:bCs/>
              </w:rPr>
              <w:t>International Osteoporosis Foundation (2022)</w:t>
            </w:r>
            <w:r w:rsidRPr="00F217B6">
              <w:t xml:space="preserve"> </w:t>
            </w:r>
            <w:hyperlink r:id="rId21" w:history="1">
              <w:r w:rsidRPr="00F217B6">
                <w:rPr>
                  <w:rStyle w:val="Hyperlink"/>
                  <w:bCs/>
                </w:rPr>
                <w:t>Epidemiology, Burden, and Treatment of Osteoporosis in the United Kingdom</w:t>
              </w:r>
            </w:hyperlink>
          </w:p>
        </w:tc>
      </w:tr>
    </w:tbl>
    <w:p w14:paraId="6A8DF3A6" w14:textId="251E89A3" w:rsidR="002E5867" w:rsidRDefault="002E5867" w:rsidP="00C14F15">
      <w:pPr>
        <w:pStyle w:val="Paragraphnonumbers"/>
        <w:rPr>
          <w:rFonts w:cs="Arial"/>
        </w:rPr>
      </w:pPr>
    </w:p>
    <w:p w14:paraId="7D724DC5" w14:textId="623A80B2" w:rsidR="008A6492" w:rsidRPr="002E5867" w:rsidRDefault="002E5867" w:rsidP="002E5867">
      <w:pPr>
        <w:rPr>
          <w:rFonts w:ascii="Arial" w:hAnsi="Arial" w:cs="Arial"/>
        </w:rPr>
      </w:pPr>
      <w:r>
        <w:rPr>
          <w:rFonts w:cs="Arial"/>
        </w:rPr>
        <w:br w:type="page"/>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shd w:val="clear" w:color="auto" w:fill="auto"/>
          </w:tcPr>
          <w:p w14:paraId="38E008E3" w14:textId="5E2449DC" w:rsidR="001553E9" w:rsidRDefault="00242ABB" w:rsidP="00242ABB">
            <w:pPr>
              <w:pStyle w:val="Paragraph"/>
              <w:numPr>
                <w:ilvl w:val="1"/>
                <w:numId w:val="35"/>
              </w:numPr>
            </w:pPr>
            <w:bookmarkStart w:id="4" w:name="_Hlk110604289"/>
            <w:r>
              <w:lastRenderedPageBreak/>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 xml:space="preserve">topic engagement </w:t>
            </w:r>
            <w:r w:rsidR="00BE00B9">
              <w:t>c</w:t>
            </w:r>
            <w:r w:rsidR="006320D4">
              <w:t>o</w:t>
            </w:r>
            <w:r w:rsidR="00BE00B9">
              <w:t xml:space="preserve">mments </w:t>
            </w:r>
            <w:proofErr w:type="spellStart"/>
            <w:r w:rsidR="00BE00B9">
              <w:t>form</w:t>
            </w:r>
            <w:proofErr w:type="spellEnd"/>
            <w:r w:rsidR="0096171A" w:rsidRPr="0078563E">
              <w:t>?</w:t>
            </w:r>
            <w:bookmarkEnd w:id="4"/>
          </w:p>
        </w:tc>
      </w:tr>
      <w:tr w:rsidR="00694918" w:rsidRPr="00094590" w14:paraId="2B9FDC2E" w14:textId="77777777" w:rsidTr="001553E9">
        <w:tc>
          <w:tcPr>
            <w:tcW w:w="9704" w:type="dxa"/>
            <w:shd w:val="clear" w:color="auto" w:fill="auto"/>
          </w:tcPr>
          <w:p w14:paraId="70681D6A" w14:textId="5C3057AD" w:rsidR="00A32D00" w:rsidRPr="00A005B0" w:rsidRDefault="00A32D00" w:rsidP="00E41397">
            <w:pPr>
              <w:pStyle w:val="Paragraph"/>
              <w:tabs>
                <w:tab w:val="clear" w:pos="567"/>
                <w:tab w:val="left" w:pos="2830"/>
              </w:tabs>
              <w:spacing w:after="0"/>
              <w:rPr>
                <w:highlight w:val="lightGray"/>
              </w:rPr>
            </w:pPr>
          </w:p>
          <w:p w14:paraId="61B6873D" w14:textId="77777777" w:rsidR="002E0A2C" w:rsidRPr="00A005B0" w:rsidRDefault="00A32D00" w:rsidP="00A32D00">
            <w:pPr>
              <w:pStyle w:val="Paragraph"/>
              <w:numPr>
                <w:ilvl w:val="0"/>
                <w:numId w:val="21"/>
              </w:numPr>
              <w:spacing w:after="0"/>
            </w:pPr>
            <w:r w:rsidRPr="00A005B0">
              <w:t xml:space="preserve">Protected characteristics outlined in the Equality Act 2010 </w:t>
            </w:r>
          </w:p>
          <w:p w14:paraId="367A2528" w14:textId="77777777" w:rsidR="00A005B0" w:rsidRDefault="002E0A2C" w:rsidP="00A005B0">
            <w:pPr>
              <w:pStyle w:val="Paragraph"/>
              <w:ind w:left="360"/>
            </w:pPr>
            <w:r w:rsidRPr="00A005B0">
              <w:t>A</w:t>
            </w:r>
            <w:r w:rsidR="00A32D00" w:rsidRPr="00A005B0">
              <w:t>ge</w:t>
            </w:r>
            <w:r w:rsidRPr="00A005B0">
              <w:t>:</w:t>
            </w:r>
            <w:r w:rsidR="00A005B0">
              <w:t xml:space="preserve"> </w:t>
            </w:r>
          </w:p>
          <w:p w14:paraId="6EADD1B9" w14:textId="04B62505" w:rsidR="00E41397" w:rsidRDefault="00A005B0" w:rsidP="00A005B0">
            <w:pPr>
              <w:pStyle w:val="Paragraph"/>
              <w:ind w:left="360"/>
            </w:pPr>
            <w:r>
              <w:t xml:space="preserve">Osteoporosis is more prevalent in older people and </w:t>
            </w:r>
            <w:r w:rsidR="00E41397">
              <w:t>may be seen</w:t>
            </w:r>
            <w:r>
              <w:t xml:space="preserve"> as an inevitable part of the ag</w:t>
            </w:r>
            <w:r w:rsidR="00B62A4B">
              <w:t>e</w:t>
            </w:r>
            <w:r>
              <w:t xml:space="preserve">ing process </w:t>
            </w:r>
            <w:r w:rsidR="00263BEE">
              <w:t xml:space="preserve">potentially </w:t>
            </w:r>
            <w:r>
              <w:t xml:space="preserve">resulting in under-diagnosis and under-treatment. </w:t>
            </w:r>
          </w:p>
          <w:p w14:paraId="1368715A" w14:textId="4BB08610" w:rsidR="002E0A2C" w:rsidRDefault="00E41397" w:rsidP="00A005B0">
            <w:pPr>
              <w:pStyle w:val="Paragraph"/>
              <w:ind w:left="360"/>
            </w:pPr>
            <w:r>
              <w:t>D</w:t>
            </w:r>
            <w:r w:rsidR="00A005B0">
              <w:t xml:space="preserve">iagnosis is commonly delayed or not considered in young people presenting with osteoporosis because </w:t>
            </w:r>
            <w:r w:rsidR="00A005B0" w:rsidRPr="00A005B0">
              <w:t>of the well-recognised link to ag</w:t>
            </w:r>
            <w:r w:rsidR="00B62A4B">
              <w:t>e</w:t>
            </w:r>
            <w:r w:rsidR="00A005B0" w:rsidRPr="00A005B0">
              <w:t>ing.</w:t>
            </w:r>
          </w:p>
          <w:p w14:paraId="48C8EF60" w14:textId="0586E37D" w:rsidR="00A005B0" w:rsidRDefault="00A005B0" w:rsidP="00A005B0">
            <w:pPr>
              <w:pStyle w:val="Paragraph"/>
              <w:ind w:left="360"/>
            </w:pPr>
            <w:r>
              <w:t>Very old age is associated with low</w:t>
            </w:r>
            <w:r w:rsidR="00952934">
              <w:t>er</w:t>
            </w:r>
            <w:r>
              <w:t xml:space="preserve"> level</w:t>
            </w:r>
            <w:r w:rsidR="00952934">
              <w:t>s</w:t>
            </w:r>
            <w:r>
              <w:t xml:space="preserve"> of physical activity which increases the risk of fracture.</w:t>
            </w:r>
          </w:p>
          <w:p w14:paraId="44A6AE1A" w14:textId="21F679E1" w:rsidR="002E0A2C" w:rsidRDefault="002E0A2C" w:rsidP="002E0A2C">
            <w:pPr>
              <w:pStyle w:val="Paragraph"/>
              <w:spacing w:after="0"/>
              <w:ind w:left="360"/>
            </w:pPr>
            <w:r w:rsidRPr="00A005B0">
              <w:t>D</w:t>
            </w:r>
            <w:r w:rsidR="00A32D00" w:rsidRPr="00A005B0">
              <w:t>isability</w:t>
            </w:r>
            <w:r w:rsidRPr="00A005B0">
              <w:t>:</w:t>
            </w:r>
          </w:p>
          <w:p w14:paraId="49DE766F" w14:textId="77777777" w:rsidR="00A005B0" w:rsidRDefault="00A005B0" w:rsidP="002E0A2C">
            <w:pPr>
              <w:pStyle w:val="Paragraph"/>
              <w:spacing w:after="0"/>
              <w:ind w:left="360"/>
            </w:pPr>
          </w:p>
          <w:p w14:paraId="1C362C37" w14:textId="4D43A845" w:rsidR="00A005B0" w:rsidRDefault="00A005B0" w:rsidP="00A005B0">
            <w:pPr>
              <w:pStyle w:val="Paragraph"/>
              <w:ind w:left="360"/>
            </w:pPr>
            <w:r>
              <w:t xml:space="preserve">There could be difficulty adhering to complex instructions for taking bisphosphonates for </w:t>
            </w:r>
            <w:r w:rsidR="00E41397">
              <w:t>people with</w:t>
            </w:r>
            <w:r>
              <w:t xml:space="preserve"> learning disabilities, those unable to remain upright for the specified </w:t>
            </w:r>
            <w:proofErr w:type="gramStart"/>
            <w:r>
              <w:t>time period</w:t>
            </w:r>
            <w:proofErr w:type="gramEnd"/>
            <w:r w:rsidR="00E41397">
              <w:t>,</w:t>
            </w:r>
            <w:r>
              <w:t xml:space="preserve"> and patients in whom oral bisphosphonates might be contraindicated such as those with oesophageal stricture. There is evidence showing higher risk of osteoporosis in learning disability.</w:t>
            </w:r>
          </w:p>
          <w:p w14:paraId="61181F35" w14:textId="1F915964" w:rsidR="00A005B0" w:rsidRDefault="00A005B0" w:rsidP="00A005B0">
            <w:pPr>
              <w:pStyle w:val="Paragraph"/>
              <w:ind w:left="360"/>
            </w:pPr>
            <w:r>
              <w:t xml:space="preserve">People with disabilities </w:t>
            </w:r>
            <w:r w:rsidR="00E41397">
              <w:t>may have</w:t>
            </w:r>
            <w:r>
              <w:t xml:space="preserve"> low</w:t>
            </w:r>
            <w:r w:rsidR="00E41397">
              <w:t>er</w:t>
            </w:r>
            <w:r>
              <w:t xml:space="preserve"> levels of physical activity which is associated with increased risk of fracture.</w:t>
            </w:r>
          </w:p>
          <w:p w14:paraId="6B6E9DFF" w14:textId="6B96C631" w:rsidR="00A005B0" w:rsidRDefault="00E41397" w:rsidP="00A005B0">
            <w:pPr>
              <w:pStyle w:val="Paragraph"/>
              <w:ind w:left="360"/>
            </w:pPr>
            <w:r>
              <w:t>F</w:t>
            </w:r>
            <w:r w:rsidR="00A005B0">
              <w:t xml:space="preserve">racture rates are higher in people with </w:t>
            </w:r>
            <w:r>
              <w:t>learning</w:t>
            </w:r>
            <w:r w:rsidR="00A005B0">
              <w:t xml:space="preserve"> disability than those without.</w:t>
            </w:r>
          </w:p>
          <w:p w14:paraId="0ABD428E" w14:textId="77777777" w:rsidR="00A005B0" w:rsidRPr="00A005B0" w:rsidRDefault="00A005B0" w:rsidP="002E0A2C">
            <w:pPr>
              <w:pStyle w:val="Paragraph"/>
              <w:spacing w:after="0"/>
              <w:ind w:left="360"/>
            </w:pPr>
          </w:p>
          <w:p w14:paraId="45C356F9" w14:textId="77777777" w:rsidR="002E0A2C" w:rsidRDefault="002E0A2C" w:rsidP="002E0A2C">
            <w:pPr>
              <w:pStyle w:val="Paragraph"/>
              <w:spacing w:after="0"/>
              <w:ind w:left="360"/>
            </w:pPr>
            <w:r w:rsidRPr="00A005B0">
              <w:t>G</w:t>
            </w:r>
            <w:r w:rsidR="00A32D00" w:rsidRPr="00A005B0">
              <w:t>ender reassignment</w:t>
            </w:r>
            <w:r w:rsidRPr="00A005B0">
              <w:t>:</w:t>
            </w:r>
          </w:p>
          <w:p w14:paraId="3FC6E3AD" w14:textId="77777777" w:rsidR="00A005B0" w:rsidRDefault="00A005B0" w:rsidP="002E0A2C">
            <w:pPr>
              <w:pStyle w:val="Paragraph"/>
              <w:spacing w:after="0"/>
              <w:ind w:left="360"/>
            </w:pPr>
          </w:p>
          <w:p w14:paraId="53AB0928" w14:textId="0A85F7D7" w:rsidR="00A005B0" w:rsidRPr="00A005B0" w:rsidRDefault="00A005B0" w:rsidP="00A005B0">
            <w:pPr>
              <w:pStyle w:val="Paragraph"/>
              <w:ind w:left="360"/>
            </w:pPr>
            <w:r>
              <w:t xml:space="preserve">Hormone blockers used in gender reassignment are associated with bone loss. This can be counteracted by use of hormone replacement. </w:t>
            </w:r>
            <w:r w:rsidR="00AC0413">
              <w:t>Risk of osteoporosis may be overlooked in t</w:t>
            </w:r>
            <w:r>
              <w:t>rans men.</w:t>
            </w:r>
          </w:p>
          <w:p w14:paraId="60CB513F" w14:textId="77777777" w:rsidR="002E0A2C" w:rsidRDefault="002E0A2C" w:rsidP="002E0A2C">
            <w:pPr>
              <w:pStyle w:val="Paragraph"/>
              <w:spacing w:after="0"/>
              <w:ind w:left="360"/>
            </w:pPr>
            <w:r w:rsidRPr="00A005B0">
              <w:t>P</w:t>
            </w:r>
            <w:r w:rsidR="00A32D00" w:rsidRPr="00A005B0">
              <w:t>regnancy and maternity</w:t>
            </w:r>
            <w:r w:rsidRPr="00A005B0">
              <w:t>:</w:t>
            </w:r>
          </w:p>
          <w:p w14:paraId="0B201C89" w14:textId="77777777" w:rsidR="00A005B0" w:rsidRDefault="00A005B0" w:rsidP="002E0A2C">
            <w:pPr>
              <w:pStyle w:val="Paragraph"/>
              <w:spacing w:after="0"/>
              <w:ind w:left="360"/>
            </w:pPr>
          </w:p>
          <w:p w14:paraId="37EF8307" w14:textId="21E74FE2" w:rsidR="00A005B0" w:rsidRDefault="00A005B0" w:rsidP="00A005B0">
            <w:pPr>
              <w:pStyle w:val="Paragraph"/>
              <w:ind w:left="360"/>
            </w:pPr>
            <w:r>
              <w:t xml:space="preserve">Pregnancy and lactation associated osteoporosis </w:t>
            </w:r>
            <w:r w:rsidR="002E5867">
              <w:t>may</w:t>
            </w:r>
            <w:r>
              <w:t xml:space="preserve"> be diagnosed very late and therefore may be overlooked.</w:t>
            </w:r>
          </w:p>
          <w:p w14:paraId="7A08762B" w14:textId="77777777" w:rsidR="00A005B0" w:rsidRPr="00A005B0" w:rsidRDefault="00A005B0" w:rsidP="002E0A2C">
            <w:pPr>
              <w:pStyle w:val="Paragraph"/>
              <w:spacing w:after="0"/>
              <w:ind w:left="360"/>
            </w:pPr>
          </w:p>
          <w:p w14:paraId="3557CF2F" w14:textId="49257DEC" w:rsidR="002E0A2C" w:rsidRDefault="002E0A2C" w:rsidP="002E0A2C">
            <w:pPr>
              <w:pStyle w:val="Paragraph"/>
              <w:spacing w:after="0"/>
              <w:ind w:left="360"/>
            </w:pPr>
            <w:r w:rsidRPr="00A005B0">
              <w:t>Ra</w:t>
            </w:r>
            <w:r w:rsidR="00A32D00" w:rsidRPr="00A005B0">
              <w:t>ce</w:t>
            </w:r>
            <w:r w:rsidRPr="00A005B0">
              <w:t>:</w:t>
            </w:r>
          </w:p>
          <w:p w14:paraId="044964E7" w14:textId="77777777" w:rsidR="00A005B0" w:rsidRDefault="00A005B0" w:rsidP="002E0A2C">
            <w:pPr>
              <w:pStyle w:val="Paragraph"/>
              <w:spacing w:after="0"/>
              <w:ind w:left="360"/>
            </w:pPr>
          </w:p>
          <w:p w14:paraId="31D988A5" w14:textId="192EFA66" w:rsidR="00AF486E" w:rsidRDefault="00A005B0" w:rsidP="00AF486E">
            <w:pPr>
              <w:pStyle w:val="Paragraph"/>
              <w:ind w:left="360"/>
            </w:pPr>
            <w:r>
              <w:lastRenderedPageBreak/>
              <w:t xml:space="preserve">Women of Asian or </w:t>
            </w:r>
            <w:r w:rsidR="006C5F9D">
              <w:t xml:space="preserve">White </w:t>
            </w:r>
            <w:r>
              <w:t xml:space="preserve">European </w:t>
            </w:r>
            <w:r w:rsidR="002E5867">
              <w:t>background</w:t>
            </w:r>
            <w:r>
              <w:t xml:space="preserve"> are at higher risk for osteoporosis than those of other </w:t>
            </w:r>
            <w:r w:rsidR="0053415C">
              <w:t>backgrounds</w:t>
            </w:r>
            <w:r>
              <w:t xml:space="preserve">. Although osteoporosis is less common in other </w:t>
            </w:r>
            <w:r w:rsidR="0053415C">
              <w:t>groups</w:t>
            </w:r>
            <w:r>
              <w:t xml:space="preserve">, it </w:t>
            </w:r>
            <w:r w:rsidR="002E5867">
              <w:t>still occurs</w:t>
            </w:r>
            <w:r>
              <w:t xml:space="preserve"> and could be </w:t>
            </w:r>
            <w:proofErr w:type="gramStart"/>
            <w:r>
              <w:t>overlooked..</w:t>
            </w:r>
            <w:proofErr w:type="gramEnd"/>
          </w:p>
          <w:p w14:paraId="34435680" w14:textId="77777777" w:rsidR="00A005B0" w:rsidRPr="00A005B0" w:rsidRDefault="00A005B0" w:rsidP="002E0A2C">
            <w:pPr>
              <w:pStyle w:val="Paragraph"/>
              <w:spacing w:after="0"/>
              <w:ind w:left="360"/>
            </w:pPr>
          </w:p>
          <w:p w14:paraId="60653C0E" w14:textId="77777777" w:rsidR="002E0A2C" w:rsidRDefault="002E0A2C" w:rsidP="002E0A2C">
            <w:pPr>
              <w:pStyle w:val="Paragraph"/>
              <w:spacing w:after="0"/>
              <w:ind w:left="360"/>
            </w:pPr>
            <w:r w:rsidRPr="00A005B0">
              <w:t>R</w:t>
            </w:r>
            <w:r w:rsidR="00A32D00" w:rsidRPr="00A005B0">
              <w:t>eligion or belief</w:t>
            </w:r>
            <w:r w:rsidRPr="00A005B0">
              <w:t>:</w:t>
            </w:r>
          </w:p>
          <w:p w14:paraId="319186AB" w14:textId="77777777" w:rsidR="00A005B0" w:rsidRDefault="00A005B0" w:rsidP="002E0A2C">
            <w:pPr>
              <w:pStyle w:val="Paragraph"/>
              <w:spacing w:after="0"/>
              <w:ind w:left="360"/>
            </w:pPr>
          </w:p>
          <w:p w14:paraId="01F8E990" w14:textId="74D8C3D3" w:rsidR="00A005B0" w:rsidRDefault="002E5867" w:rsidP="002E0A2C">
            <w:pPr>
              <w:pStyle w:val="Paragraph"/>
              <w:spacing w:after="0"/>
              <w:ind w:left="360"/>
            </w:pPr>
            <w:r>
              <w:t>None.</w:t>
            </w:r>
          </w:p>
          <w:p w14:paraId="33EA9B14" w14:textId="77777777" w:rsidR="00A005B0" w:rsidRPr="00A005B0" w:rsidRDefault="00A005B0" w:rsidP="002E0A2C">
            <w:pPr>
              <w:pStyle w:val="Paragraph"/>
              <w:spacing w:after="0"/>
              <w:ind w:left="360"/>
            </w:pPr>
          </w:p>
          <w:p w14:paraId="1B9A3635" w14:textId="5BE0CF22" w:rsidR="002E0A2C" w:rsidRDefault="002E0A2C" w:rsidP="002E0A2C">
            <w:pPr>
              <w:pStyle w:val="Paragraph"/>
              <w:spacing w:after="0"/>
              <w:ind w:left="360"/>
            </w:pPr>
            <w:r w:rsidRPr="00A005B0">
              <w:t>Se</w:t>
            </w:r>
            <w:r w:rsidR="00A32D00" w:rsidRPr="00A005B0">
              <w:t>x</w:t>
            </w:r>
            <w:r w:rsidRPr="00A005B0">
              <w:t>:</w:t>
            </w:r>
          </w:p>
          <w:p w14:paraId="7879180E" w14:textId="77777777" w:rsidR="00583DD9" w:rsidRDefault="00583DD9" w:rsidP="002E0A2C">
            <w:pPr>
              <w:pStyle w:val="Paragraph"/>
              <w:spacing w:after="0"/>
              <w:ind w:left="360"/>
            </w:pPr>
          </w:p>
          <w:p w14:paraId="142F88F5" w14:textId="740A84C6" w:rsidR="00583DD9" w:rsidRDefault="00583DD9" w:rsidP="00583DD9">
            <w:pPr>
              <w:pStyle w:val="Paragraph"/>
              <w:ind w:left="360"/>
            </w:pPr>
            <w:r>
              <w:t>In 2019 around 22% of women and 7% of men aged 50 years or older were estimated to have osteoporosis</w:t>
            </w:r>
            <w:r w:rsidR="0053415C">
              <w:t xml:space="preserve"> in the UK</w:t>
            </w:r>
            <w:r>
              <w:t>.</w:t>
            </w:r>
          </w:p>
          <w:p w14:paraId="0B0DF180" w14:textId="77777777" w:rsidR="0053415C" w:rsidRDefault="0053415C" w:rsidP="0053415C">
            <w:pPr>
              <w:pStyle w:val="Paragraph"/>
              <w:ind w:left="360"/>
            </w:pPr>
            <w:r>
              <w:t xml:space="preserve">Women are at higher risk than men of developing osteoporosis, and particularly women who are older and post-menopausal </w:t>
            </w:r>
            <w:r w:rsidRPr="00AF1C88">
              <w:t>due to the decrease in oestrogen production</w:t>
            </w:r>
            <w:r>
              <w:t xml:space="preserve"> </w:t>
            </w:r>
            <w:r w:rsidRPr="00AF1C88">
              <w:t>which accelerates bone loss</w:t>
            </w:r>
            <w:r>
              <w:t xml:space="preserve">. </w:t>
            </w:r>
          </w:p>
          <w:p w14:paraId="6691897F" w14:textId="42E567C3" w:rsidR="00A005B0" w:rsidRDefault="0053415C" w:rsidP="00E41397">
            <w:pPr>
              <w:pStyle w:val="Paragraph"/>
              <w:ind w:left="360"/>
            </w:pPr>
            <w:r>
              <w:t>Over</w:t>
            </w:r>
            <w:r w:rsidRPr="00E41397">
              <w:t xml:space="preserve"> </w:t>
            </w:r>
            <w:r w:rsidR="00E41397" w:rsidRPr="00E41397">
              <w:t xml:space="preserve">the age of </w:t>
            </w:r>
            <w:r>
              <w:t>49</w:t>
            </w:r>
            <w:r w:rsidR="00E41397" w:rsidRPr="00E41397">
              <w:t xml:space="preserve"> years men have a 4.8% remaining lifetime probability of hip fracture, compared with 13.8% for women</w:t>
            </w:r>
            <w:r w:rsidR="00E41397">
              <w:t>.</w:t>
            </w:r>
          </w:p>
          <w:p w14:paraId="6258B745" w14:textId="1404E272" w:rsidR="00A005B0" w:rsidRDefault="00E41397" w:rsidP="00A005B0">
            <w:pPr>
              <w:pStyle w:val="Paragraph"/>
              <w:ind w:left="360"/>
            </w:pPr>
            <w:r>
              <w:t>O</w:t>
            </w:r>
            <w:r w:rsidR="00A005B0">
              <w:t>steoporosis is under diagnosed in men and men with low bone density t-scores have a high risk of fracture but are often overlooked.</w:t>
            </w:r>
            <w:r w:rsidR="0069717D">
              <w:t xml:space="preserve"> Men are less likely to have a falls assessment and to i</w:t>
            </w:r>
            <w:r w:rsidR="0069717D" w:rsidRPr="0069717D">
              <w:t>nitiate and adhere to anti-osteoporosis</w:t>
            </w:r>
            <w:r w:rsidR="0069717D">
              <w:t xml:space="preserve"> treatment than women</w:t>
            </w:r>
            <w:r>
              <w:t>.</w:t>
            </w:r>
          </w:p>
          <w:p w14:paraId="630C7130" w14:textId="366D0C1F" w:rsidR="00A005B0" w:rsidRDefault="00A005B0" w:rsidP="002E5867">
            <w:pPr>
              <w:pStyle w:val="Paragraph"/>
              <w:ind w:left="360"/>
            </w:pPr>
            <w:r>
              <w:t xml:space="preserve">Some medications are only licenced for treatment in post-menopausal women (e.g. </w:t>
            </w:r>
            <w:proofErr w:type="spellStart"/>
            <w:r>
              <w:t>romosozumab</w:t>
            </w:r>
            <w:proofErr w:type="spellEnd"/>
            <w:r>
              <w:t xml:space="preserve">, </w:t>
            </w:r>
            <w:proofErr w:type="spellStart"/>
            <w:r>
              <w:t>ibandronic</w:t>
            </w:r>
            <w:proofErr w:type="spellEnd"/>
            <w:r>
              <w:t xml:space="preserve"> acid, raloxifene). Therefore, younger women and men with osteoporosis may be disadvantaged as there are </w:t>
            </w:r>
            <w:r w:rsidR="00263BEE">
              <w:t xml:space="preserve">fewer licensed </w:t>
            </w:r>
            <w:r>
              <w:t>treatments available. Some medications are only licenced for treatment in post-menopausal women and in men (e.g. denosumab, risedronate, teriparatide, zoledronic acid, strontium ranelate) therefore</w:t>
            </w:r>
            <w:r w:rsidR="00AF486E">
              <w:t xml:space="preserve"> </w:t>
            </w:r>
            <w:r w:rsidR="00263BEE">
              <w:t xml:space="preserve">pre-menopausal </w:t>
            </w:r>
            <w:r>
              <w:t>women may be disadvantaged.</w:t>
            </w:r>
          </w:p>
          <w:p w14:paraId="23A02412" w14:textId="77777777" w:rsidR="002E5867" w:rsidRPr="00A005B0" w:rsidRDefault="002E5867" w:rsidP="002E5867">
            <w:pPr>
              <w:pStyle w:val="Paragraph"/>
              <w:ind w:left="360"/>
            </w:pPr>
          </w:p>
          <w:p w14:paraId="1E0A74AF" w14:textId="063EB3CF" w:rsidR="00A32D00" w:rsidRDefault="002E0A2C" w:rsidP="002E0A2C">
            <w:pPr>
              <w:pStyle w:val="Paragraph"/>
              <w:spacing w:after="0"/>
              <w:ind w:left="360"/>
            </w:pPr>
            <w:r w:rsidRPr="00A005B0">
              <w:t>S</w:t>
            </w:r>
            <w:r w:rsidR="00A32D00" w:rsidRPr="00A005B0">
              <w:t>exual orientation</w:t>
            </w:r>
            <w:r w:rsidRPr="00A005B0">
              <w:t>:</w:t>
            </w:r>
          </w:p>
          <w:p w14:paraId="685A0251" w14:textId="77777777" w:rsidR="00A005B0" w:rsidRDefault="00A005B0" w:rsidP="002E0A2C">
            <w:pPr>
              <w:pStyle w:val="Paragraph"/>
              <w:spacing w:after="0"/>
              <w:ind w:left="360"/>
            </w:pPr>
          </w:p>
          <w:p w14:paraId="4AE57CEC" w14:textId="11B91919" w:rsidR="002E5867" w:rsidRDefault="002E5867" w:rsidP="002E0A2C">
            <w:pPr>
              <w:pStyle w:val="Paragraph"/>
              <w:spacing w:after="0"/>
              <w:ind w:left="360"/>
            </w:pPr>
            <w:r>
              <w:t>None.</w:t>
            </w:r>
          </w:p>
          <w:p w14:paraId="0A206EE5" w14:textId="77777777" w:rsidR="00A005B0" w:rsidRPr="00A005B0" w:rsidRDefault="00A005B0" w:rsidP="002E0A2C">
            <w:pPr>
              <w:pStyle w:val="Paragraph"/>
              <w:spacing w:after="0"/>
              <w:ind w:left="360"/>
            </w:pPr>
          </w:p>
          <w:p w14:paraId="3BA395E4" w14:textId="77777777" w:rsidR="00A32D00" w:rsidRDefault="00A32D00" w:rsidP="00A32D00">
            <w:pPr>
              <w:pStyle w:val="Paragraph"/>
              <w:numPr>
                <w:ilvl w:val="0"/>
                <w:numId w:val="21"/>
              </w:numPr>
              <w:spacing w:after="0"/>
            </w:pPr>
            <w:r w:rsidRPr="00A005B0">
              <w:t>Socioeconomic status and deprivation (for example, variation by area deprivation such as Index of Multiple Deprivation, National Statistics Socio-economic Classification, employment status, income)</w:t>
            </w:r>
          </w:p>
          <w:p w14:paraId="7CA6B1C5" w14:textId="77777777" w:rsidR="00A005B0" w:rsidRDefault="00A005B0" w:rsidP="00A005B0">
            <w:pPr>
              <w:pStyle w:val="Paragraph"/>
              <w:spacing w:after="0"/>
            </w:pPr>
          </w:p>
          <w:p w14:paraId="445C4A2E" w14:textId="7EE957A5" w:rsidR="00A005B0" w:rsidRDefault="00A005B0" w:rsidP="00A005B0">
            <w:pPr>
              <w:pStyle w:val="Paragraph"/>
            </w:pPr>
            <w:r>
              <w:lastRenderedPageBreak/>
              <w:t>There is evidence linking poor bone health</w:t>
            </w:r>
            <w:r w:rsidR="0069717D">
              <w:t xml:space="preserve"> and risk of experiencing fractures</w:t>
            </w:r>
            <w:r>
              <w:t xml:space="preserve"> with low socioeconomic status. Low socioeconomic groups may have a higher prevalence of other predisposing factors including disability.</w:t>
            </w:r>
          </w:p>
          <w:p w14:paraId="6543AB43" w14:textId="77777777" w:rsidR="00A005B0" w:rsidRPr="00A005B0" w:rsidRDefault="00A005B0" w:rsidP="00A005B0">
            <w:pPr>
              <w:pStyle w:val="Paragraph"/>
              <w:spacing w:after="0"/>
            </w:pPr>
          </w:p>
          <w:p w14:paraId="0D60D0BC" w14:textId="77777777" w:rsidR="00A32D00" w:rsidRDefault="00A32D00" w:rsidP="00A32D00">
            <w:pPr>
              <w:pStyle w:val="Paragraph"/>
              <w:numPr>
                <w:ilvl w:val="0"/>
                <w:numId w:val="21"/>
              </w:numPr>
              <w:spacing w:after="0"/>
            </w:pPr>
            <w:r w:rsidRPr="00A005B0">
              <w:t>Geographical area variation (for example, geographical differences in epidemiology or service provision- urban/rural, coastal, north/south)</w:t>
            </w:r>
          </w:p>
          <w:p w14:paraId="543AD897" w14:textId="77777777" w:rsidR="00AF486E" w:rsidRDefault="00AF486E" w:rsidP="00AF486E">
            <w:pPr>
              <w:pStyle w:val="Paragraph"/>
              <w:spacing w:after="0"/>
            </w:pPr>
          </w:p>
          <w:p w14:paraId="7A9B1CC0" w14:textId="7A24D8C4" w:rsidR="00AF486E" w:rsidRDefault="00B01276" w:rsidP="00B01276">
            <w:pPr>
              <w:pStyle w:val="Paragraph"/>
            </w:pPr>
            <w:r>
              <w:t>Difficulties in access was raised in relation to people who live far away from scanners. This is likely to be exacerbated for people who do not have the money to travel.</w:t>
            </w:r>
          </w:p>
          <w:p w14:paraId="56DA7D5B" w14:textId="77777777" w:rsidR="00AF486E" w:rsidRPr="00A005B0" w:rsidRDefault="00AF486E" w:rsidP="00AF486E">
            <w:pPr>
              <w:pStyle w:val="Paragraph"/>
              <w:spacing w:after="0"/>
            </w:pPr>
          </w:p>
          <w:p w14:paraId="08F1F9B7" w14:textId="77777777" w:rsidR="00EF1567" w:rsidRDefault="00A32D00" w:rsidP="00247034">
            <w:pPr>
              <w:pStyle w:val="Paragraph"/>
              <w:numPr>
                <w:ilvl w:val="0"/>
                <w:numId w:val="21"/>
              </w:numPr>
            </w:pPr>
            <w:r w:rsidRPr="00A005B0">
              <w:t>Inclusion health and vulnerable groups</w:t>
            </w:r>
            <w:r w:rsidR="00247034" w:rsidRPr="00A005B0">
              <w:t xml:space="preserve"> (for example, vulnerable migrants, people experiencing homelessness, people in contact with the criminal justice system, sex workers, Gypsy, Roma and Traveller communities, young people leaving care and victims of trafficking)</w:t>
            </w:r>
          </w:p>
          <w:p w14:paraId="18E64FE6" w14:textId="055740F0" w:rsidR="00A005B0" w:rsidRDefault="00AF486E" w:rsidP="00AF486E">
            <w:pPr>
              <w:pStyle w:val="Paragraph"/>
            </w:pPr>
            <w:r>
              <w:t>Refugees, asylum seekers and people who are homeless are at risk of not being able to follow up their treatment because they may not have a fixed address.</w:t>
            </w:r>
          </w:p>
          <w:p w14:paraId="64A867B8" w14:textId="142403AC" w:rsidR="00AF486E" w:rsidRPr="00A005B0" w:rsidRDefault="00AF486E" w:rsidP="00AF486E">
            <w:pPr>
              <w:pStyle w:val="Paragraph"/>
            </w:pPr>
            <w:r>
              <w:t xml:space="preserve">Prisoners and young offenders </w:t>
            </w:r>
            <w:r w:rsidR="004371BC">
              <w:t>are</w:t>
            </w:r>
            <w:r>
              <w:t xml:space="preserve"> at risk of not being able to follow up their treatment.</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0B8A3024" w:rsidR="00694918" w:rsidRPr="00094590" w:rsidRDefault="00694918" w:rsidP="00242ABB">
            <w:pPr>
              <w:pStyle w:val="Paragraph"/>
              <w:numPr>
                <w:ilvl w:val="1"/>
                <w:numId w:val="35"/>
              </w:numPr>
              <w:rPr>
                <w:rFonts w:cs="Arial"/>
              </w:rPr>
            </w:pPr>
            <w:bookmarkStart w:id="5"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5"/>
          </w:p>
        </w:tc>
      </w:tr>
      <w:tr w:rsidR="00694918" w:rsidRPr="00094590" w14:paraId="2F2C4AFA" w14:textId="77777777" w:rsidTr="008C591E">
        <w:trPr>
          <w:trHeight w:val="2854"/>
        </w:trPr>
        <w:tc>
          <w:tcPr>
            <w:tcW w:w="9704" w:type="dxa"/>
            <w:shd w:val="clear" w:color="auto" w:fill="auto"/>
          </w:tcPr>
          <w:p w14:paraId="3B00F7B9" w14:textId="229D7C5A" w:rsidR="00694918" w:rsidRDefault="004371BC" w:rsidP="004371BC">
            <w:pPr>
              <w:pStyle w:val="Paragraph"/>
              <w:spacing w:after="0"/>
            </w:pPr>
            <w:r w:rsidRPr="004371BC">
              <w:t>The equality and health inequality issues identified in 1.2 could inform comments on area of priority for quality improvement from stakeholders. The issues identified in section 1.2 could also be used to inform focus of quality statements, quality measures or equality and diversity considerations for statements once topic engagement comments have been received from stakeholders and reviewed by the quality standards advisory committee (QSAC).</w:t>
            </w:r>
            <w:r>
              <w:t xml:space="preserve"> As the guideline is still in development it is not clear if there are recommendations made to address any of the equality issues that could be used in the quality standard.</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1416E7">
        <w:trPr>
          <w:trHeight w:val="983"/>
        </w:trPr>
        <w:tc>
          <w:tcPr>
            <w:tcW w:w="9703" w:type="dxa"/>
            <w:shd w:val="clear" w:color="auto" w:fill="auto"/>
          </w:tcPr>
          <w:p w14:paraId="4EA45C5E" w14:textId="7F3A62B5" w:rsidR="00451133" w:rsidRPr="00A67AC8" w:rsidRDefault="00A67AC8" w:rsidP="00DA13AC">
            <w:pPr>
              <w:tabs>
                <w:tab w:val="left" w:pos="6270"/>
              </w:tabs>
              <w:rPr>
                <w:iCs/>
              </w:rPr>
            </w:pPr>
            <w:r w:rsidRPr="00A67AC8">
              <w:rPr>
                <w:rFonts w:ascii="Arial" w:hAnsi="Arial"/>
              </w:rPr>
              <w:lastRenderedPageBreak/>
              <w:t>The stakeholder list for topic engagement includes organisations that can help to explore equality and health inequalities issues, including organisations focused on issues affecting age</w:t>
            </w:r>
            <w:r>
              <w:rPr>
                <w:rFonts w:ascii="Arial" w:hAnsi="Arial"/>
              </w:rPr>
              <w:t xml:space="preserve"> and sex</w:t>
            </w:r>
            <w:r w:rsidR="001416E7">
              <w:rPr>
                <w:rFonts w:ascii="Arial" w:hAnsi="Arial"/>
              </w:rPr>
              <w:t>.</w:t>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0536D144" w:rsidR="00651308" w:rsidRPr="000D39D9" w:rsidRDefault="00651308" w:rsidP="00242ABB">
            <w:pPr>
              <w:pStyle w:val="Paragraph"/>
              <w:numPr>
                <w:ilvl w:val="1"/>
                <w:numId w:val="35"/>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AD672F">
        <w:trPr>
          <w:trHeight w:val="2325"/>
        </w:trPr>
        <w:tc>
          <w:tcPr>
            <w:tcW w:w="9719" w:type="dxa"/>
            <w:shd w:val="clear" w:color="auto" w:fill="auto"/>
          </w:tcPr>
          <w:p w14:paraId="2676D862" w14:textId="77777777" w:rsidR="001416E7" w:rsidRDefault="001416E7" w:rsidP="001416E7">
            <w:pPr>
              <w:pStyle w:val="Paragraphnonumbers"/>
            </w:pPr>
            <w:r>
              <w:t>Lay committee members with lived experience will be asked for input at two committee meetings and key points through development of the quality standard.</w:t>
            </w:r>
          </w:p>
          <w:p w14:paraId="5667D10B" w14:textId="1DB5DD5A" w:rsidR="001416E7" w:rsidRDefault="001416E7" w:rsidP="001416E7">
            <w:pPr>
              <w:pStyle w:val="Paragraphnonumbers"/>
            </w:pPr>
            <w:r>
              <w:t>We will work with key patient stakeholders and actively contact these organisations, alongside contact via the NICE public involvement programme, for response to topic engagement and consultation on the draft quality standard. We will ensure their views are presented to the committee.</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5F518B25" w:rsidR="00843091" w:rsidRDefault="00242ABB" w:rsidP="00242ABB">
            <w:pPr>
              <w:pStyle w:val="Paragraph"/>
              <w:numPr>
                <w:ilvl w:val="1"/>
                <w:numId w:val="35"/>
              </w:numPr>
            </w:pPr>
            <w:r>
              <w:rPr>
                <w:rFonts w:cs="Arial"/>
              </w:rPr>
              <w:t xml:space="preserve"> </w:t>
            </w:r>
            <w:bookmarkStart w:id="6" w:name="_Hlk161151815"/>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6"/>
          </w:p>
        </w:tc>
      </w:tr>
      <w:tr w:rsidR="00451133" w:rsidRPr="00094590" w14:paraId="51FC9179" w14:textId="77777777" w:rsidTr="00B025EB">
        <w:trPr>
          <w:trHeight w:val="1408"/>
        </w:trPr>
        <w:tc>
          <w:tcPr>
            <w:tcW w:w="9731" w:type="dxa"/>
            <w:shd w:val="clear" w:color="auto" w:fill="auto"/>
          </w:tcPr>
          <w:p w14:paraId="694688D7" w14:textId="4F5EFD3A" w:rsidR="00451133" w:rsidRPr="00091CB3" w:rsidRDefault="00091CB3" w:rsidP="00091CB3">
            <w:pPr>
              <w:pStyle w:val="Paragraph"/>
              <w:rPr>
                <w:rFonts w:cs="Arial"/>
              </w:rPr>
            </w:pPr>
            <w:r w:rsidRPr="00091CB3">
              <w:rPr>
                <w:rFonts w:cs="Arial"/>
              </w:rPr>
              <w:t xml:space="preserve">This quality standard will cover management of osteoporosis in adults (aged 18 and over). It excludes children and young people under the age of 18 years. This exclusion is in line with </w:t>
            </w:r>
            <w:r w:rsidR="00AD672F">
              <w:rPr>
                <w:rFonts w:cs="Arial"/>
              </w:rPr>
              <w:t>the guideline in development.</w:t>
            </w:r>
          </w:p>
        </w:tc>
      </w:tr>
    </w:tbl>
    <w:p w14:paraId="6165A1FA" w14:textId="77777777" w:rsidR="00843091" w:rsidRDefault="00843091" w:rsidP="00C14F15">
      <w:pPr>
        <w:pStyle w:val="Paragraphnonumbers"/>
        <w:rPr>
          <w:rFonts w:cs="Arial"/>
        </w:rPr>
      </w:pPr>
    </w:p>
    <w:p w14:paraId="32D28A73" w14:textId="3513DFB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AD672F">
        <w:rPr>
          <w:rFonts w:cs="Arial"/>
        </w:rPr>
        <w:t>Daniel Smithson</w:t>
      </w:r>
    </w:p>
    <w:p w14:paraId="52163644" w14:textId="77777777" w:rsidR="001431B0" w:rsidRPr="0078563E" w:rsidRDefault="001431B0" w:rsidP="001431B0">
      <w:pPr>
        <w:pStyle w:val="Paragraphnonumbers"/>
        <w:spacing w:after="0"/>
        <w:rPr>
          <w:rFonts w:cs="Arial"/>
        </w:rPr>
      </w:pPr>
    </w:p>
    <w:p w14:paraId="392CBC66" w14:textId="1F769FFB"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677AC8">
        <w:rPr>
          <w:rFonts w:cs="Arial"/>
        </w:rPr>
        <w:t>01/07/2025</w:t>
      </w:r>
    </w:p>
    <w:p w14:paraId="62CF53E5" w14:textId="77777777" w:rsidR="001431B0" w:rsidRDefault="001431B0" w:rsidP="001431B0">
      <w:pPr>
        <w:pStyle w:val="Paragraphnonumbers"/>
        <w:spacing w:after="0"/>
        <w:rPr>
          <w:rFonts w:cs="Arial"/>
        </w:rPr>
      </w:pPr>
    </w:p>
    <w:p w14:paraId="46D256C1" w14:textId="09FB9E72" w:rsidR="001431B0" w:rsidRPr="0078563E" w:rsidRDefault="001431B0" w:rsidP="001431B0">
      <w:pPr>
        <w:pStyle w:val="Paragraphnonumbers"/>
        <w:spacing w:after="0"/>
        <w:rPr>
          <w:rFonts w:cs="Arial"/>
        </w:rPr>
      </w:pPr>
      <w:r w:rsidRPr="00677AC8">
        <w:rPr>
          <w:rFonts w:cs="Arial"/>
        </w:rPr>
        <w:t xml:space="preserve">Approved by NICE quality assurance lead: </w:t>
      </w:r>
      <w:r w:rsidR="00677AC8" w:rsidRPr="0064617C">
        <w:rPr>
          <w:rFonts w:cs="Arial"/>
        </w:rPr>
        <w:t>Mark Minchin</w:t>
      </w:r>
    </w:p>
    <w:p w14:paraId="0E56F1E6" w14:textId="77777777" w:rsidR="001431B0" w:rsidRPr="0078563E" w:rsidRDefault="001431B0" w:rsidP="001431B0">
      <w:pPr>
        <w:pStyle w:val="Paragraphnonumbers"/>
        <w:spacing w:after="0"/>
        <w:rPr>
          <w:rFonts w:cs="Arial"/>
        </w:rPr>
      </w:pPr>
    </w:p>
    <w:p w14:paraId="388AB87B" w14:textId="14FA2706"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677AC8">
        <w:rPr>
          <w:rFonts w:cs="Arial"/>
        </w:rPr>
        <w:t>04/07/2025</w:t>
      </w:r>
    </w:p>
    <w:p w14:paraId="792BBFDF" w14:textId="77777777" w:rsidR="00112BEA" w:rsidRDefault="00112BEA" w:rsidP="00112BEA">
      <w:pPr>
        <w:pStyle w:val="Heading1"/>
      </w:pPr>
    </w:p>
    <w:p w14:paraId="0253DCB8" w14:textId="5EBB4B2E" w:rsidR="00DA0765" w:rsidRPr="00112BEA" w:rsidRDefault="00DA0765" w:rsidP="00112BEA">
      <w:pPr>
        <w:pStyle w:val="Heading1"/>
      </w:pPr>
      <w:bookmarkStart w:id="7" w:name="_Toc201671895"/>
      <w:r>
        <w:rPr>
          <w:rStyle w:val="cf01"/>
        </w:rPr>
        <w:t>© NICE</w:t>
      </w:r>
      <w:r w:rsidR="00AC0413">
        <w:rPr>
          <w:rStyle w:val="cf01"/>
        </w:rPr>
        <w:t xml:space="preserve"> 2025.</w:t>
      </w:r>
      <w:r>
        <w:rPr>
          <w:rStyle w:val="cf01"/>
        </w:rPr>
        <w:t xml:space="preserve"> All rights reserved. Subject to </w:t>
      </w:r>
      <w:hyperlink r:id="rId22" w:anchor="notice-of-rights" w:history="1">
        <w:r>
          <w:rPr>
            <w:rStyle w:val="cf01"/>
            <w:color w:val="0000FF"/>
            <w:u w:val="single"/>
          </w:rPr>
          <w:t>Notice of rights</w:t>
        </w:r>
      </w:hyperlink>
      <w:r>
        <w:rPr>
          <w:rStyle w:val="cf01"/>
        </w:rPr>
        <w:t>.</w:t>
      </w:r>
      <w:bookmarkEnd w:id="7"/>
    </w:p>
    <w:sectPr w:rsidR="00DA0765" w:rsidRPr="00112BEA" w:rsidSect="00636759">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405F4920" w:rsidR="00DF198B" w:rsidRDefault="00DF198B">
    <w:pPr>
      <w:pStyle w:val="Header"/>
      <w:rPr>
        <w:rFonts w:cs="Arial"/>
        <w:b/>
        <w:sz w:val="20"/>
        <w:szCs w:val="20"/>
      </w:rPr>
    </w:pP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EE0504"/>
    <w:multiLevelType w:val="multilevel"/>
    <w:tmpl w:val="1F36E61C"/>
    <w:numStyleLink w:val="Style4"/>
  </w:abstractNum>
  <w:abstractNum w:abstractNumId="19"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EE6E96"/>
    <w:multiLevelType w:val="multilevel"/>
    <w:tmpl w:val="8F5AD2FA"/>
    <w:numStyleLink w:val="Style5"/>
  </w:abstractNum>
  <w:abstractNum w:abstractNumId="27"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0"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5779FA"/>
    <w:multiLevelType w:val="multilevel"/>
    <w:tmpl w:val="7B18D79E"/>
    <w:numStyleLink w:val="Style2"/>
  </w:abstractNum>
  <w:abstractNum w:abstractNumId="35"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7"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8" w15:restartNumberingAfterBreak="0">
    <w:nsid w:val="7CBA3C95"/>
    <w:multiLevelType w:val="multilevel"/>
    <w:tmpl w:val="7B18D79E"/>
    <w:numStyleLink w:val="Style2"/>
  </w:abstractNum>
  <w:abstractNum w:abstractNumId="39" w15:restartNumberingAfterBreak="0">
    <w:nsid w:val="7D5B6FF6"/>
    <w:multiLevelType w:val="multilevel"/>
    <w:tmpl w:val="7B18D79E"/>
    <w:numStyleLink w:val="Style2"/>
  </w:abstractNum>
  <w:abstractNum w:abstractNumId="40"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1"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9"/>
  </w:num>
  <w:num w:numId="2" w16cid:durableId="1236670440">
    <w:abstractNumId w:val="11"/>
  </w:num>
  <w:num w:numId="3" w16cid:durableId="1615945455">
    <w:abstractNumId w:val="5"/>
  </w:num>
  <w:num w:numId="4" w16cid:durableId="1029911101">
    <w:abstractNumId w:val="0"/>
  </w:num>
  <w:num w:numId="5" w16cid:durableId="2029716792">
    <w:abstractNumId w:val="23"/>
  </w:num>
  <w:num w:numId="6" w16cid:durableId="1918830326">
    <w:abstractNumId w:val="28"/>
  </w:num>
  <w:num w:numId="7" w16cid:durableId="1148591788">
    <w:abstractNumId w:val="38"/>
  </w:num>
  <w:num w:numId="8" w16cid:durableId="1849562648">
    <w:abstractNumId w:val="35"/>
  </w:num>
  <w:num w:numId="9" w16cid:durableId="1055349801">
    <w:abstractNumId w:val="37"/>
  </w:num>
  <w:num w:numId="10" w16cid:durableId="1704595744">
    <w:abstractNumId w:val="10"/>
  </w:num>
  <w:num w:numId="11" w16cid:durableId="627198209">
    <w:abstractNumId w:val="15"/>
  </w:num>
  <w:num w:numId="12" w16cid:durableId="1551574869">
    <w:abstractNumId w:val="40"/>
  </w:num>
  <w:num w:numId="13" w16cid:durableId="360518129">
    <w:abstractNumId w:val="31"/>
  </w:num>
  <w:num w:numId="14" w16cid:durableId="1844662713">
    <w:abstractNumId w:val="18"/>
  </w:num>
  <w:num w:numId="15" w16cid:durableId="2123527243">
    <w:abstractNumId w:val="13"/>
  </w:num>
  <w:num w:numId="16" w16cid:durableId="987831213">
    <w:abstractNumId w:val="14"/>
  </w:num>
  <w:num w:numId="17" w16cid:durableId="2083868888">
    <w:abstractNumId w:val="26"/>
  </w:num>
  <w:num w:numId="18" w16cid:durableId="940183058">
    <w:abstractNumId w:val="36"/>
  </w:num>
  <w:num w:numId="19" w16cid:durableId="1833257076">
    <w:abstractNumId w:val="2"/>
  </w:num>
  <w:num w:numId="20" w16cid:durableId="1484271452">
    <w:abstractNumId w:val="32"/>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0"/>
  </w:num>
  <w:num w:numId="26" w16cid:durableId="1552765963">
    <w:abstractNumId w:val="17"/>
  </w:num>
  <w:num w:numId="27" w16cid:durableId="1613900351">
    <w:abstractNumId w:val="19"/>
  </w:num>
  <w:num w:numId="28" w16cid:durableId="2071151798">
    <w:abstractNumId w:val="39"/>
  </w:num>
  <w:num w:numId="29" w16cid:durableId="1773016109">
    <w:abstractNumId w:val="16"/>
  </w:num>
  <w:num w:numId="30" w16cid:durableId="1214999556">
    <w:abstractNumId w:val="34"/>
  </w:num>
  <w:num w:numId="31" w16cid:durableId="106050730">
    <w:abstractNumId w:val="33"/>
  </w:num>
  <w:num w:numId="32" w16cid:durableId="1981037423">
    <w:abstractNumId w:val="21"/>
  </w:num>
  <w:num w:numId="33" w16cid:durableId="1782531770">
    <w:abstractNumId w:val="6"/>
  </w:num>
  <w:num w:numId="34" w16cid:durableId="363406381">
    <w:abstractNumId w:val="22"/>
  </w:num>
  <w:num w:numId="35" w16cid:durableId="1564372752">
    <w:abstractNumId w:val="41"/>
  </w:num>
  <w:num w:numId="36" w16cid:durableId="96144097">
    <w:abstractNumId w:val="1"/>
  </w:num>
  <w:num w:numId="37" w16cid:durableId="1519781089">
    <w:abstractNumId w:val="30"/>
  </w:num>
  <w:num w:numId="38" w16cid:durableId="1448887418">
    <w:abstractNumId w:val="8"/>
  </w:num>
  <w:num w:numId="39" w16cid:durableId="1455443758">
    <w:abstractNumId w:val="27"/>
  </w:num>
  <w:num w:numId="40" w16cid:durableId="713963823">
    <w:abstractNumId w:val="3"/>
  </w:num>
  <w:num w:numId="41" w16cid:durableId="1864247540">
    <w:abstractNumId w:val="24"/>
  </w:num>
  <w:num w:numId="42" w16cid:durableId="204532555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4B13"/>
    <w:rsid w:val="0001598E"/>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1CB3"/>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09C"/>
    <w:rsid w:val="000F6E9C"/>
    <w:rsid w:val="000F7B9F"/>
    <w:rsid w:val="00102D6C"/>
    <w:rsid w:val="001060A0"/>
    <w:rsid w:val="00106948"/>
    <w:rsid w:val="00107273"/>
    <w:rsid w:val="0011183F"/>
    <w:rsid w:val="00111CCE"/>
    <w:rsid w:val="001121E3"/>
    <w:rsid w:val="00112BEA"/>
    <w:rsid w:val="001134E7"/>
    <w:rsid w:val="001157B9"/>
    <w:rsid w:val="001277BE"/>
    <w:rsid w:val="00130898"/>
    <w:rsid w:val="0013103A"/>
    <w:rsid w:val="001314A8"/>
    <w:rsid w:val="00132B16"/>
    <w:rsid w:val="00135DFB"/>
    <w:rsid w:val="00137396"/>
    <w:rsid w:val="001416E7"/>
    <w:rsid w:val="00141E9B"/>
    <w:rsid w:val="0014211F"/>
    <w:rsid w:val="0014267F"/>
    <w:rsid w:val="0014271F"/>
    <w:rsid w:val="001431B0"/>
    <w:rsid w:val="001477A9"/>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546E"/>
    <w:rsid w:val="002406A6"/>
    <w:rsid w:val="002408EA"/>
    <w:rsid w:val="00241AFE"/>
    <w:rsid w:val="00242ABB"/>
    <w:rsid w:val="00242ECF"/>
    <w:rsid w:val="002459B4"/>
    <w:rsid w:val="00246552"/>
    <w:rsid w:val="00247034"/>
    <w:rsid w:val="0024719E"/>
    <w:rsid w:val="00252B9F"/>
    <w:rsid w:val="00260995"/>
    <w:rsid w:val="0026199E"/>
    <w:rsid w:val="00263BEE"/>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0C4"/>
    <w:rsid w:val="002C272A"/>
    <w:rsid w:val="002C66E0"/>
    <w:rsid w:val="002C6DC1"/>
    <w:rsid w:val="002D0A75"/>
    <w:rsid w:val="002D3376"/>
    <w:rsid w:val="002D3F7E"/>
    <w:rsid w:val="002D44CE"/>
    <w:rsid w:val="002D4C17"/>
    <w:rsid w:val="002D4E4E"/>
    <w:rsid w:val="002D7324"/>
    <w:rsid w:val="002E016D"/>
    <w:rsid w:val="002E0A2C"/>
    <w:rsid w:val="002E4DCF"/>
    <w:rsid w:val="002E5724"/>
    <w:rsid w:val="002E5867"/>
    <w:rsid w:val="002E7EC9"/>
    <w:rsid w:val="002F30AC"/>
    <w:rsid w:val="002F30B5"/>
    <w:rsid w:val="002F4492"/>
    <w:rsid w:val="00303133"/>
    <w:rsid w:val="00310467"/>
    <w:rsid w:val="00310638"/>
    <w:rsid w:val="00311656"/>
    <w:rsid w:val="00311ED0"/>
    <w:rsid w:val="00321400"/>
    <w:rsid w:val="00321A30"/>
    <w:rsid w:val="003235D8"/>
    <w:rsid w:val="0032543B"/>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4FF1"/>
    <w:rsid w:val="003D5119"/>
    <w:rsid w:val="003D6A0E"/>
    <w:rsid w:val="003E30AB"/>
    <w:rsid w:val="003E650A"/>
    <w:rsid w:val="003F09BE"/>
    <w:rsid w:val="003F4009"/>
    <w:rsid w:val="003F4F50"/>
    <w:rsid w:val="003F67E4"/>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264C8"/>
    <w:rsid w:val="00430791"/>
    <w:rsid w:val="00430952"/>
    <w:rsid w:val="004312F1"/>
    <w:rsid w:val="00433318"/>
    <w:rsid w:val="004333AE"/>
    <w:rsid w:val="00433EFF"/>
    <w:rsid w:val="004371BC"/>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81591"/>
    <w:rsid w:val="00482EF3"/>
    <w:rsid w:val="0048317C"/>
    <w:rsid w:val="0048608B"/>
    <w:rsid w:val="00486634"/>
    <w:rsid w:val="00486A0C"/>
    <w:rsid w:val="004874F3"/>
    <w:rsid w:val="004948F2"/>
    <w:rsid w:val="004957A2"/>
    <w:rsid w:val="00497425"/>
    <w:rsid w:val="004A0041"/>
    <w:rsid w:val="004A1E7C"/>
    <w:rsid w:val="004C5A80"/>
    <w:rsid w:val="004C7498"/>
    <w:rsid w:val="004D0952"/>
    <w:rsid w:val="004D0CE2"/>
    <w:rsid w:val="004D1B7D"/>
    <w:rsid w:val="004D56C5"/>
    <w:rsid w:val="004D5EDB"/>
    <w:rsid w:val="004E0B1B"/>
    <w:rsid w:val="004E13F9"/>
    <w:rsid w:val="004E1A75"/>
    <w:rsid w:val="004E25C7"/>
    <w:rsid w:val="004E3358"/>
    <w:rsid w:val="004E33F0"/>
    <w:rsid w:val="004E4586"/>
    <w:rsid w:val="004E579F"/>
    <w:rsid w:val="004E6E09"/>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15C"/>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3DD9"/>
    <w:rsid w:val="00585FFE"/>
    <w:rsid w:val="00586E8A"/>
    <w:rsid w:val="00591766"/>
    <w:rsid w:val="00593134"/>
    <w:rsid w:val="005A2389"/>
    <w:rsid w:val="005A4151"/>
    <w:rsid w:val="005A5650"/>
    <w:rsid w:val="005A5D38"/>
    <w:rsid w:val="005A6DD2"/>
    <w:rsid w:val="005A7D55"/>
    <w:rsid w:val="005B1A47"/>
    <w:rsid w:val="005B1BF8"/>
    <w:rsid w:val="005B700C"/>
    <w:rsid w:val="005C06D2"/>
    <w:rsid w:val="005C3E8B"/>
    <w:rsid w:val="005C5307"/>
    <w:rsid w:val="005C7565"/>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2543"/>
    <w:rsid w:val="00605097"/>
    <w:rsid w:val="006060CC"/>
    <w:rsid w:val="00614200"/>
    <w:rsid w:val="00615B44"/>
    <w:rsid w:val="00620721"/>
    <w:rsid w:val="006210D3"/>
    <w:rsid w:val="00621355"/>
    <w:rsid w:val="006218D9"/>
    <w:rsid w:val="00621B2D"/>
    <w:rsid w:val="0062386B"/>
    <w:rsid w:val="006243B8"/>
    <w:rsid w:val="006248D8"/>
    <w:rsid w:val="00624EE5"/>
    <w:rsid w:val="0062513E"/>
    <w:rsid w:val="00627DDA"/>
    <w:rsid w:val="006320D4"/>
    <w:rsid w:val="00635C91"/>
    <w:rsid w:val="00636759"/>
    <w:rsid w:val="0064116E"/>
    <w:rsid w:val="0064134F"/>
    <w:rsid w:val="0064361E"/>
    <w:rsid w:val="0064518F"/>
    <w:rsid w:val="0064617C"/>
    <w:rsid w:val="006461FE"/>
    <w:rsid w:val="00647E28"/>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77AC8"/>
    <w:rsid w:val="00680F6A"/>
    <w:rsid w:val="0068254E"/>
    <w:rsid w:val="006921E1"/>
    <w:rsid w:val="006928D5"/>
    <w:rsid w:val="006931A3"/>
    <w:rsid w:val="00694525"/>
    <w:rsid w:val="00694918"/>
    <w:rsid w:val="006949BF"/>
    <w:rsid w:val="0069717D"/>
    <w:rsid w:val="006A242A"/>
    <w:rsid w:val="006A309E"/>
    <w:rsid w:val="006A546A"/>
    <w:rsid w:val="006A69ED"/>
    <w:rsid w:val="006B0239"/>
    <w:rsid w:val="006B0855"/>
    <w:rsid w:val="006B202A"/>
    <w:rsid w:val="006B25CB"/>
    <w:rsid w:val="006B3487"/>
    <w:rsid w:val="006B7D46"/>
    <w:rsid w:val="006C1200"/>
    <w:rsid w:val="006C3EF1"/>
    <w:rsid w:val="006C5F9D"/>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7266"/>
    <w:rsid w:val="00800DB4"/>
    <w:rsid w:val="0080359E"/>
    <w:rsid w:val="008036A2"/>
    <w:rsid w:val="00803903"/>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801F4"/>
    <w:rsid w:val="00880FE0"/>
    <w:rsid w:val="008814FB"/>
    <w:rsid w:val="00884392"/>
    <w:rsid w:val="008843D7"/>
    <w:rsid w:val="00895C24"/>
    <w:rsid w:val="008A08A2"/>
    <w:rsid w:val="008A6492"/>
    <w:rsid w:val="008A7F87"/>
    <w:rsid w:val="008B19DF"/>
    <w:rsid w:val="008B3C84"/>
    <w:rsid w:val="008B5091"/>
    <w:rsid w:val="008C585C"/>
    <w:rsid w:val="008C591E"/>
    <w:rsid w:val="008C5B58"/>
    <w:rsid w:val="008C5E9C"/>
    <w:rsid w:val="008C757D"/>
    <w:rsid w:val="008D1F91"/>
    <w:rsid w:val="008D40CD"/>
    <w:rsid w:val="008D5C98"/>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0B82"/>
    <w:rsid w:val="009322F0"/>
    <w:rsid w:val="00932D54"/>
    <w:rsid w:val="00933BA4"/>
    <w:rsid w:val="009447C5"/>
    <w:rsid w:val="00944BD2"/>
    <w:rsid w:val="009460D8"/>
    <w:rsid w:val="0094728C"/>
    <w:rsid w:val="00950EE2"/>
    <w:rsid w:val="00951377"/>
    <w:rsid w:val="00951620"/>
    <w:rsid w:val="00952177"/>
    <w:rsid w:val="00952934"/>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77DF"/>
    <w:rsid w:val="009E32C7"/>
    <w:rsid w:val="009E36E9"/>
    <w:rsid w:val="009E545F"/>
    <w:rsid w:val="009E6439"/>
    <w:rsid w:val="009E680B"/>
    <w:rsid w:val="009F05BB"/>
    <w:rsid w:val="009F1B51"/>
    <w:rsid w:val="009F6413"/>
    <w:rsid w:val="00A005B0"/>
    <w:rsid w:val="00A00B99"/>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37413"/>
    <w:rsid w:val="00A410EC"/>
    <w:rsid w:val="00A43013"/>
    <w:rsid w:val="00A4326C"/>
    <w:rsid w:val="00A5044D"/>
    <w:rsid w:val="00A50587"/>
    <w:rsid w:val="00A52D07"/>
    <w:rsid w:val="00A53BC2"/>
    <w:rsid w:val="00A5793D"/>
    <w:rsid w:val="00A6314D"/>
    <w:rsid w:val="00A67AC8"/>
    <w:rsid w:val="00A67E60"/>
    <w:rsid w:val="00A702A9"/>
    <w:rsid w:val="00A70368"/>
    <w:rsid w:val="00A70B33"/>
    <w:rsid w:val="00A71D8B"/>
    <w:rsid w:val="00A7373D"/>
    <w:rsid w:val="00A76BF6"/>
    <w:rsid w:val="00A776EB"/>
    <w:rsid w:val="00A85EF2"/>
    <w:rsid w:val="00A85F50"/>
    <w:rsid w:val="00A919B2"/>
    <w:rsid w:val="00A92706"/>
    <w:rsid w:val="00AA31A4"/>
    <w:rsid w:val="00AA3C58"/>
    <w:rsid w:val="00AA4A17"/>
    <w:rsid w:val="00AB03D5"/>
    <w:rsid w:val="00AB07B2"/>
    <w:rsid w:val="00AB1723"/>
    <w:rsid w:val="00AB17E9"/>
    <w:rsid w:val="00AB1B0F"/>
    <w:rsid w:val="00AB476A"/>
    <w:rsid w:val="00AB551B"/>
    <w:rsid w:val="00AB7AC7"/>
    <w:rsid w:val="00AB7C2D"/>
    <w:rsid w:val="00AC0413"/>
    <w:rsid w:val="00AC6A2B"/>
    <w:rsid w:val="00AC7299"/>
    <w:rsid w:val="00AC7C93"/>
    <w:rsid w:val="00AD0891"/>
    <w:rsid w:val="00AD0A6B"/>
    <w:rsid w:val="00AD1005"/>
    <w:rsid w:val="00AD2311"/>
    <w:rsid w:val="00AD3698"/>
    <w:rsid w:val="00AD4093"/>
    <w:rsid w:val="00AD55C3"/>
    <w:rsid w:val="00AD6267"/>
    <w:rsid w:val="00AD672F"/>
    <w:rsid w:val="00AE1EF2"/>
    <w:rsid w:val="00AE205D"/>
    <w:rsid w:val="00AE36D0"/>
    <w:rsid w:val="00AF108A"/>
    <w:rsid w:val="00AF1BE5"/>
    <w:rsid w:val="00AF1C88"/>
    <w:rsid w:val="00AF486E"/>
    <w:rsid w:val="00AF7399"/>
    <w:rsid w:val="00AF7B61"/>
    <w:rsid w:val="00AF7D51"/>
    <w:rsid w:val="00B01276"/>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2A4B"/>
    <w:rsid w:val="00B63082"/>
    <w:rsid w:val="00B63993"/>
    <w:rsid w:val="00B6728A"/>
    <w:rsid w:val="00B67688"/>
    <w:rsid w:val="00B736F4"/>
    <w:rsid w:val="00B742D9"/>
    <w:rsid w:val="00B750DF"/>
    <w:rsid w:val="00B75B42"/>
    <w:rsid w:val="00B75F8C"/>
    <w:rsid w:val="00B77255"/>
    <w:rsid w:val="00B807B9"/>
    <w:rsid w:val="00B818CD"/>
    <w:rsid w:val="00B850E4"/>
    <w:rsid w:val="00B90023"/>
    <w:rsid w:val="00B9082E"/>
    <w:rsid w:val="00B91C46"/>
    <w:rsid w:val="00B92895"/>
    <w:rsid w:val="00B92DB8"/>
    <w:rsid w:val="00B93D48"/>
    <w:rsid w:val="00B94D73"/>
    <w:rsid w:val="00B95D9B"/>
    <w:rsid w:val="00BA1056"/>
    <w:rsid w:val="00BA2251"/>
    <w:rsid w:val="00BA2ED7"/>
    <w:rsid w:val="00BA3243"/>
    <w:rsid w:val="00BA4546"/>
    <w:rsid w:val="00BB18D3"/>
    <w:rsid w:val="00BB30A5"/>
    <w:rsid w:val="00BB3A5A"/>
    <w:rsid w:val="00BB62D5"/>
    <w:rsid w:val="00BC0BE5"/>
    <w:rsid w:val="00BC153A"/>
    <w:rsid w:val="00BC186C"/>
    <w:rsid w:val="00BC4028"/>
    <w:rsid w:val="00BC619B"/>
    <w:rsid w:val="00BD2E05"/>
    <w:rsid w:val="00BD5661"/>
    <w:rsid w:val="00BD599B"/>
    <w:rsid w:val="00BD5DED"/>
    <w:rsid w:val="00BD63F3"/>
    <w:rsid w:val="00BE00B9"/>
    <w:rsid w:val="00BE1495"/>
    <w:rsid w:val="00BE220F"/>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BC6"/>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6F"/>
    <w:rsid w:val="00C96411"/>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6C61"/>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6C8"/>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21D"/>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21AA7"/>
    <w:rsid w:val="00E222D4"/>
    <w:rsid w:val="00E30F37"/>
    <w:rsid w:val="00E3419E"/>
    <w:rsid w:val="00E36ACC"/>
    <w:rsid w:val="00E37AAC"/>
    <w:rsid w:val="00E40FDC"/>
    <w:rsid w:val="00E41397"/>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212"/>
    <w:rsid w:val="00EB17A4"/>
    <w:rsid w:val="00EB32A0"/>
    <w:rsid w:val="00EB4DCF"/>
    <w:rsid w:val="00EB4E19"/>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100D1"/>
    <w:rsid w:val="00F11B13"/>
    <w:rsid w:val="00F11C4D"/>
    <w:rsid w:val="00F21331"/>
    <w:rsid w:val="00F217B6"/>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236B"/>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qs149/documents/equality-impact-assessment-3" TargetMode="External"/><Relationship Id="rId18" Type="http://schemas.openxmlformats.org/officeDocument/2006/relationships/hyperlink" Target="https://www.nogg.org.uk/sites/nogg/download/NOGG-Guideline-2024.pdf?v4"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osteoporosis.foundation/sites/iofbonehealth/files/scope-2021/UK%20report.pdf" TargetMode="External"/><Relationship Id="rId7" Type="http://schemas.openxmlformats.org/officeDocument/2006/relationships/footnotes" Target="footnotes.xml"/><Relationship Id="rId12" Type="http://schemas.openxmlformats.org/officeDocument/2006/relationships/hyperlink" Target="https://www.nice.org.uk/guidance/cg146/documents/osteoporosis-fragility-fracture-risk-eia-recommendations2" TargetMode="External"/><Relationship Id="rId17" Type="http://schemas.openxmlformats.org/officeDocument/2006/relationships/hyperlink" Target="https://www.gov.uk/government/publications/womens-health-strategy-for-england/womens-health-strategy-for-englan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major-conditions-strategy-case-for-change-and-our-strategic-framework/major-conditions-strategy-case-for-change-and-our-strategic-framework--2" TargetMode="External"/><Relationship Id="rId20" Type="http://schemas.openxmlformats.org/officeDocument/2006/relationships/hyperlink" Target="https://www.hqip.org.uk/wp-content/uploads/2023/09/2023-in-focus-impact-repor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guidance/gid-ng10216/documents/equality-impact-assessment-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ssets.publishing.service.gov.uk/media/6674096b64e554df3bd0dbc6/chief-medical-officers-annual-report-2023-web-accessible.pdf" TargetMode="External"/><Relationship Id="rId23" Type="http://schemas.openxmlformats.org/officeDocument/2006/relationships/header" Target="header1.xml"/><Relationship Id="rId10" Type="http://schemas.openxmlformats.org/officeDocument/2006/relationships/hyperlink" Target="https://www.nice.org.uk/guidance/gid-ng10216/documents/equality-impact-assessment" TargetMode="External"/><Relationship Id="rId19" Type="http://schemas.openxmlformats.org/officeDocument/2006/relationships/hyperlink" Target="https://www.rcp.ac.uk/media/ccllfgk1/fls-db-annual-report-2025.pdf" TargetMode="External"/><Relationship Id="rId4" Type="http://schemas.openxmlformats.org/officeDocument/2006/relationships/styles" Target="styles.xml"/><Relationship Id="rId9" Type="http://schemas.openxmlformats.org/officeDocument/2006/relationships/hyperlink" Target="https://www.nice.org.uk/standards-and-indicators/timeline-developing-quality-standards" TargetMode="External"/><Relationship Id="rId14" Type="http://schemas.openxmlformats.org/officeDocument/2006/relationships/hyperlink" Target="https://cks.nice.org.uk/topics/osteoporosis-prevention-of-fragility-fractures/" TargetMode="External"/><Relationship Id="rId22"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2025-07-04T13:02:00Z</dcterms:created>
  <dcterms:modified xsi:type="dcterms:W3CDTF">2025-07-08T08:37:00Z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2025-07-04T13:02:40Z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87908222-ffca-4c4b-bd98-ac623722a576</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