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35D1D471" w:rsidR="00572C22" w:rsidRPr="00572C22" w:rsidRDefault="00BF1272" w:rsidP="00572C22">
      <w:pPr>
        <w:pStyle w:val="Heading1"/>
        <w:jc w:val="center"/>
      </w:pPr>
      <w:r w:rsidRPr="00BF1272">
        <w:rPr>
          <w:rFonts w:cs="Arial"/>
          <w:bCs w:val="0"/>
          <w:szCs w:val="28"/>
        </w:rPr>
        <w:t>Head injury</w:t>
      </w:r>
      <w:r>
        <w:rPr>
          <w:rFonts w:cs="Arial"/>
          <w:bCs w:val="0"/>
          <w:szCs w:val="28"/>
        </w:rPr>
        <w:t xml:space="preserve"> (update)</w:t>
      </w:r>
    </w:p>
    <w:p w14:paraId="03AB8C41" w14:textId="77777777" w:rsidR="00572C22" w:rsidRDefault="00572C22" w:rsidP="00572C22">
      <w:pPr>
        <w:pStyle w:val="Header"/>
        <w:rPr>
          <w:rFonts w:cs="Arial"/>
          <w:b/>
          <w:bCs/>
        </w:rPr>
      </w:pPr>
    </w:p>
    <w:p w14:paraId="673045E5" w14:textId="7BBC66A4"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BF1272">
        <w:rPr>
          <w:rFonts w:cs="Arial"/>
          <w:bCs/>
          <w:u w:val="single"/>
        </w:rPr>
        <w:t>5pm</w:t>
      </w:r>
      <w:r w:rsidRPr="005F370B">
        <w:rPr>
          <w:rFonts w:cs="Arial"/>
          <w:bCs/>
          <w:u w:val="single"/>
        </w:rPr>
        <w:t xml:space="preserve"> on </w:t>
      </w:r>
      <w:r w:rsidR="00BF1272">
        <w:rPr>
          <w:rFonts w:cs="Arial"/>
          <w:bCs/>
          <w:u w:val="single"/>
        </w:rPr>
        <w:t>30/04/2026</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5D907E51" w14:textId="0D324624" w:rsidR="00B852BD" w:rsidRDefault="00B852BD" w:rsidP="00B852BD">
      <w:pPr>
        <w:pStyle w:val="NICEnormal"/>
        <w:spacing w:line="276" w:lineRule="auto"/>
      </w:pPr>
      <w:r>
        <w:rPr>
          <w:rFonts w:cs="Arial"/>
        </w:rPr>
        <w:t>This quality standard covers</w:t>
      </w:r>
      <w:r w:rsidR="00BF1272">
        <w:rPr>
          <w:rFonts w:cs="Arial"/>
        </w:rPr>
        <w:t xml:space="preserve"> </w:t>
      </w:r>
      <w:r w:rsidR="00BF1272" w:rsidRPr="00BF1272">
        <w:rPr>
          <w:rFonts w:cs="Arial"/>
        </w:rPr>
        <w:t>assessment, early management and rehabilitation following head injury in adults, young people and children</w:t>
      </w:r>
      <w:r w:rsidR="00BF1272">
        <w:rPr>
          <w:rFonts w:cs="Arial"/>
        </w:rPr>
        <w:t>.</w:t>
      </w:r>
      <w:r w:rsidR="00BF1272">
        <w:t xml:space="preserve"> </w:t>
      </w:r>
      <w:r>
        <w:t>It will</w:t>
      </w:r>
      <w:r w:rsidR="00BF1272">
        <w:t xml:space="preserve"> update and</w:t>
      </w:r>
      <w:r>
        <w:t xml:space="preserve"> replace the existing NICE quality standard for</w:t>
      </w:r>
      <w:r w:rsidR="00BF1272">
        <w:t xml:space="preserve"> </w:t>
      </w:r>
      <w:hyperlink r:id="rId8" w:history="1">
        <w:r w:rsidR="00BF1272" w:rsidRPr="00BF1272">
          <w:rPr>
            <w:rStyle w:val="Hyperlink"/>
          </w:rPr>
          <w:t xml:space="preserve">head injury </w:t>
        </w:r>
        <w:r w:rsidRPr="00BF1272">
          <w:rPr>
            <w:rStyle w:val="Hyperlink"/>
          </w:rPr>
          <w:t>QS</w:t>
        </w:r>
        <w:r w:rsidR="00BF1272" w:rsidRPr="00BF1272">
          <w:rPr>
            <w:rStyle w:val="Hyperlink"/>
          </w:rPr>
          <w:t>74</w:t>
        </w:r>
      </w:hyperlink>
      <w:r w:rsidRPr="00787721">
        <w:t>.</w:t>
      </w:r>
      <w:r>
        <w:t xml:space="preserve"> </w:t>
      </w:r>
      <w:r w:rsidRPr="00B852BD">
        <w:t xml:space="preserve">The topic was identified for update </w:t>
      </w:r>
      <w:r>
        <w:t>because</w:t>
      </w:r>
      <w:r w:rsidR="00BF1272" w:rsidRPr="00BF1272">
        <w:rPr>
          <w:rFonts w:ascii="Times New Roman" w:hAnsi="Times New Roman"/>
          <w:lang w:eastAsia="en-GB"/>
        </w:rPr>
        <w:t xml:space="preserve"> </w:t>
      </w:r>
      <w:hyperlink r:id="rId9" w:history="1">
        <w:r w:rsidR="00BF1272" w:rsidRPr="00BF1272">
          <w:rPr>
            <w:rStyle w:val="Hyperlink"/>
          </w:rPr>
          <w:t>NICE’s head injury guideline</w:t>
        </w:r>
      </w:hyperlink>
      <w:r w:rsidR="00BF1272" w:rsidRPr="00BF1272">
        <w:t xml:space="preserve"> was updated in 2023</w:t>
      </w:r>
      <w:r w:rsidR="00213880">
        <w:t xml:space="preserve">, and NICE published a new guideline </w:t>
      </w:r>
      <w:r w:rsidR="00213880" w:rsidRPr="00213880">
        <w:t xml:space="preserve">on </w:t>
      </w:r>
      <w:hyperlink r:id="rId10" w:history="1">
        <w:r w:rsidR="00213880" w:rsidRPr="00213880">
          <w:rPr>
            <w:rStyle w:val="Hyperlink"/>
          </w:rPr>
          <w:t>rehabilitation for chronic neurological disorders including acquired brain injury</w:t>
        </w:r>
      </w:hyperlink>
      <w:r w:rsidR="00213880" w:rsidRPr="00213880">
        <w:t xml:space="preserve"> in 2025</w:t>
      </w:r>
      <w:r w:rsidR="00BF1272" w:rsidRPr="00BF1272">
        <w:t>.</w:t>
      </w:r>
      <w:r w:rsidR="00213880">
        <w:t xml:space="preserve"> </w:t>
      </w:r>
      <w:r w:rsidR="002760E9">
        <w:t>The</w:t>
      </w:r>
      <w:r w:rsidR="00213880">
        <w:t xml:space="preserve"> update is an opportunity to ensure that the quality standard aligns with priorities for quality improvement and makes use of up-to-date national data sources.</w:t>
      </w:r>
    </w:p>
    <w:p w14:paraId="0ECE07FE" w14:textId="2CDDA206" w:rsidR="00B73FB9" w:rsidRPr="00330F9B" w:rsidRDefault="00B73FB9" w:rsidP="00B852BD">
      <w:pPr>
        <w:pStyle w:val="NICEnormal"/>
        <w:spacing w:line="276" w:lineRule="auto"/>
      </w:pPr>
      <w:r>
        <w:t xml:space="preserve">The key </w:t>
      </w:r>
      <w:r w:rsidR="00345509">
        <w:t xml:space="preserve">potential </w:t>
      </w:r>
      <w:r>
        <w:t xml:space="preserve">development sources for this quality standard </w:t>
      </w:r>
      <w:r w:rsidR="00A11FD3">
        <w:t>are</w:t>
      </w:r>
      <w:r w:rsidR="00213880">
        <w:t xml:space="preserve"> </w:t>
      </w:r>
      <w:hyperlink r:id="rId11" w:history="1">
        <w:r w:rsidR="00213880" w:rsidRPr="00213880">
          <w:rPr>
            <w:rStyle w:val="Hyperlink"/>
          </w:rPr>
          <w:t>Head injury: assessment and early management NG232</w:t>
        </w:r>
      </w:hyperlink>
      <w:r w:rsidR="00213880">
        <w:t xml:space="preserve"> and </w:t>
      </w:r>
      <w:hyperlink r:id="rId12" w:history="1">
        <w:r w:rsidR="00213880" w:rsidRPr="00213880">
          <w:rPr>
            <w:rStyle w:val="Hyperlink"/>
          </w:rPr>
          <w:t>Rehabilitation for chronic neurological disorders including acquired brain injury NG252</w:t>
        </w:r>
      </w:hyperlink>
      <w:r w:rsidR="00213880">
        <w:t>.</w:t>
      </w:r>
    </w:p>
    <w:p w14:paraId="24526DE1" w14:textId="30E3A73F"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5625185F" w14:textId="3E27C3B6" w:rsidR="006B56B7" w:rsidRPr="00553D9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w:t>
      </w:r>
      <w:r w:rsidR="00D103EC">
        <w:rPr>
          <w:rFonts w:ascii="Arial" w:hAnsi="Arial" w:cs="Arial"/>
        </w:rPr>
        <w:t>underpinned by NICE guidance or other high-quality evidence-based sources as set out in the NICE quality standards process guide</w:t>
      </w:r>
      <w:r w:rsidRPr="00553D90">
        <w:rPr>
          <w:rFonts w:ascii="Arial" w:hAnsi="Arial" w:cs="Arial"/>
        </w:rPr>
        <w:t>.</w:t>
      </w:r>
    </w:p>
    <w:p w14:paraId="06AC9070" w14:textId="212654EA" w:rsidR="006B56B7" w:rsidRDefault="006B56B7" w:rsidP="006B56B7">
      <w:pPr>
        <w:pStyle w:val="Heading1"/>
        <w:rPr>
          <w:rFonts w:cs="Arial"/>
        </w:rPr>
      </w:pPr>
    </w:p>
    <w:p w14:paraId="56946BA0" w14:textId="77777777" w:rsidR="00027A9C" w:rsidRPr="00027A9C" w:rsidRDefault="00027A9C" w:rsidP="00027A9C">
      <w:pPr>
        <w:pStyle w:val="Paragraphnonumbers"/>
      </w:pPr>
    </w:p>
    <w:p w14:paraId="15F52FF6" w14:textId="2AF15091" w:rsidR="006B56B7" w:rsidRPr="006B56B7" w:rsidRDefault="00572C22" w:rsidP="006B56B7">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3"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bl>
    <w:p w14:paraId="571537EB" w14:textId="77777777" w:rsidR="00B852BD" w:rsidRDefault="00B852BD" w:rsidP="00B852BD">
      <w:pPr>
        <w:keepNext/>
        <w:spacing w:after="120"/>
        <w:outlineLvl w:val="0"/>
        <w:rPr>
          <w:rFonts w:ascii="Arial" w:hAnsi="Arial"/>
          <w:b/>
          <w:bCs/>
          <w:kern w:val="32"/>
          <w:sz w:val="28"/>
          <w:szCs w:val="32"/>
        </w:rPr>
      </w:pPr>
    </w:p>
    <w:p w14:paraId="702CFD2F" w14:textId="77777777" w:rsidR="00213880" w:rsidRDefault="00213880">
      <w:pPr>
        <w:rPr>
          <w:rFonts w:ascii="Arial" w:hAnsi="Arial" w:cs="Arial"/>
          <w:b/>
          <w:bCs/>
          <w:kern w:val="32"/>
          <w:sz w:val="28"/>
          <w:szCs w:val="32"/>
        </w:rPr>
      </w:pPr>
      <w:r>
        <w:rPr>
          <w:rFonts w:cs="Arial"/>
        </w:rPr>
        <w:br w:type="page"/>
      </w:r>
    </w:p>
    <w:p w14:paraId="24382914" w14:textId="210C4E85" w:rsidR="00572C22" w:rsidRDefault="00526BF3" w:rsidP="00572C22">
      <w:pPr>
        <w:pStyle w:val="Heading1"/>
        <w:spacing w:before="240"/>
        <w:rPr>
          <w:rFonts w:cs="Arial"/>
        </w:rPr>
      </w:pPr>
      <w:r>
        <w:rPr>
          <w:rFonts w:cs="Arial"/>
        </w:rPr>
        <w:lastRenderedPageBreak/>
        <w:t>Q</w:t>
      </w:r>
      <w:r w:rsidR="00572C22" w:rsidRPr="005F370B">
        <w:rPr>
          <w:rFonts w:cs="Arial"/>
        </w:rPr>
        <w:t xml:space="preserve">uality improvement </w:t>
      </w:r>
      <w:r>
        <w:rPr>
          <w:rFonts w:cs="Arial"/>
        </w:rPr>
        <w:t>comments</w:t>
      </w:r>
      <w:r w:rsidR="00997730">
        <w:rPr>
          <w:rFonts w:cs="Arial"/>
        </w:rPr>
        <w:t xml:space="preserve"> </w:t>
      </w:r>
    </w:p>
    <w:p w14:paraId="6C3730EF" w14:textId="1C5D2CF3" w:rsidR="009D7D70" w:rsidRPr="009D7D70" w:rsidRDefault="009D7D70" w:rsidP="009D7D70">
      <w:pPr>
        <w:pStyle w:val="Paragraphnonumbers"/>
      </w:pPr>
      <w:r w:rsidRPr="005F370B">
        <w:rPr>
          <w:rFonts w:cs="Arial"/>
        </w:rPr>
        <w:t>Type directly into this table.</w:t>
      </w:r>
      <w:r>
        <w:rPr>
          <w:rFonts w:cs="Arial"/>
        </w:rPr>
        <w:t xml:space="preserve"> </w:t>
      </w:r>
      <w:r w:rsidRPr="005F370B">
        <w:rPr>
          <w:rFonts w:cs="Arial"/>
        </w:rPr>
        <w:t>Don’t paste other tables into this table as your comments could get lost.</w:t>
      </w:r>
    </w:p>
    <w:tbl>
      <w:tblPr>
        <w:tblStyle w:val="TableGrid"/>
        <w:tblW w:w="0" w:type="auto"/>
        <w:tblLayout w:type="fixed"/>
        <w:tblLook w:val="0420" w:firstRow="1" w:lastRow="0" w:firstColumn="0" w:lastColumn="0" w:noHBand="0" w:noVBand="1"/>
      </w:tblPr>
      <w:tblGrid>
        <w:gridCol w:w="3681"/>
        <w:gridCol w:w="4111"/>
        <w:gridCol w:w="3543"/>
        <w:gridCol w:w="2552"/>
      </w:tblGrid>
      <w:tr w:rsidR="005D2F60" w:rsidRPr="005F370B" w14:paraId="505FCF57" w14:textId="77777777" w:rsidTr="00BE74C8">
        <w:tc>
          <w:tcPr>
            <w:tcW w:w="3681" w:type="dxa"/>
            <w:tcBorders>
              <w:bottom w:val="nil"/>
            </w:tcBorders>
          </w:tcPr>
          <w:p w14:paraId="128EC572" w14:textId="77777777" w:rsidR="005D2F60" w:rsidRPr="005F370B" w:rsidRDefault="005D2F60" w:rsidP="00BE74C8">
            <w:pPr>
              <w:pStyle w:val="Paragraphnonumbers"/>
              <w:spacing w:after="120"/>
              <w:rPr>
                <w:rFonts w:cs="Arial"/>
                <w:b/>
              </w:rPr>
            </w:pPr>
            <w:r w:rsidRPr="005F370B">
              <w:rPr>
                <w:rFonts w:cs="Arial"/>
                <w:b/>
              </w:rPr>
              <w:t>Key area for quality improvement</w:t>
            </w:r>
          </w:p>
        </w:tc>
        <w:tc>
          <w:tcPr>
            <w:tcW w:w="4111" w:type="dxa"/>
            <w:tcBorders>
              <w:bottom w:val="nil"/>
            </w:tcBorders>
          </w:tcPr>
          <w:p w14:paraId="0A396C7A" w14:textId="77777777" w:rsidR="005D2F60" w:rsidRPr="000F0114" w:rsidRDefault="005D2F60" w:rsidP="00BE74C8">
            <w:pPr>
              <w:pStyle w:val="Paragraphnonumbers"/>
              <w:rPr>
                <w:rFonts w:cs="Arial"/>
                <w:b/>
              </w:rPr>
            </w:pPr>
            <w:r w:rsidRPr="005F370B">
              <w:rPr>
                <w:rFonts w:cs="Arial"/>
                <w:b/>
              </w:rPr>
              <w:t>Why is this a key area for quality improvement?</w:t>
            </w:r>
          </w:p>
        </w:tc>
        <w:tc>
          <w:tcPr>
            <w:tcW w:w="3543" w:type="dxa"/>
            <w:tcBorders>
              <w:bottom w:val="nil"/>
            </w:tcBorders>
          </w:tcPr>
          <w:p w14:paraId="5803316D" w14:textId="77777777" w:rsidR="005D2F60" w:rsidRPr="005F370B" w:rsidRDefault="005D2F60" w:rsidP="00BE74C8">
            <w:pPr>
              <w:pStyle w:val="Paragraphnonumbers"/>
              <w:rPr>
                <w:rFonts w:cs="Arial"/>
                <w:b/>
              </w:rPr>
            </w:pPr>
            <w:r>
              <w:rPr>
                <w:rFonts w:cs="Arial"/>
                <w:b/>
              </w:rPr>
              <w:t>Data sources</w:t>
            </w:r>
          </w:p>
        </w:tc>
        <w:tc>
          <w:tcPr>
            <w:tcW w:w="2552" w:type="dxa"/>
            <w:tcBorders>
              <w:bottom w:val="nil"/>
            </w:tcBorders>
          </w:tcPr>
          <w:p w14:paraId="0D8C09C7" w14:textId="77777777" w:rsidR="005D2F60" w:rsidRPr="000F0114" w:rsidRDefault="005D2F60" w:rsidP="00BE74C8">
            <w:pPr>
              <w:pStyle w:val="Paragraphnonumbers"/>
              <w:rPr>
                <w:rFonts w:cs="Arial"/>
                <w:b/>
              </w:rPr>
            </w:pPr>
            <w:r w:rsidRPr="005F370B">
              <w:rPr>
                <w:rFonts w:cs="Arial"/>
                <w:b/>
              </w:rPr>
              <w:t>Supporting information</w:t>
            </w:r>
          </w:p>
        </w:tc>
      </w:tr>
      <w:tr w:rsidR="005D2F60" w:rsidRPr="005F370B" w14:paraId="16EFCD6E" w14:textId="77777777" w:rsidTr="00BE74C8">
        <w:tc>
          <w:tcPr>
            <w:tcW w:w="3681" w:type="dxa"/>
            <w:tcBorders>
              <w:top w:val="nil"/>
            </w:tcBorders>
          </w:tcPr>
          <w:p w14:paraId="06A2115A" w14:textId="77777777" w:rsidR="005D2F60" w:rsidRPr="005F370B" w:rsidRDefault="005D2F60" w:rsidP="00BE74C8">
            <w:pPr>
              <w:pStyle w:val="Paragraphnonumbers"/>
              <w:spacing w:after="120"/>
              <w:rPr>
                <w:rFonts w:cs="Arial"/>
                <w:b/>
              </w:rPr>
            </w:pPr>
            <w:r w:rsidRPr="005F370B">
              <w:rPr>
                <w:rFonts w:cs="Arial"/>
              </w:rPr>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that you would want to see covered by this quality standard</w:t>
            </w:r>
          </w:p>
        </w:tc>
        <w:tc>
          <w:tcPr>
            <w:tcW w:w="4111" w:type="dxa"/>
            <w:tcBorders>
              <w:top w:val="nil"/>
            </w:tcBorders>
          </w:tcPr>
          <w:p w14:paraId="12806DE2" w14:textId="7B669461" w:rsidR="005D2F60" w:rsidRPr="005F370B" w:rsidRDefault="005D2F60" w:rsidP="00BE74C8">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r w:rsidR="005F6ECF">
              <w:rPr>
                <w:rFonts w:cs="Arial"/>
              </w:rPr>
              <w:t xml:space="preserve"> Please include any evidence of inequalities and health inequalities in the suggested key areas for quality improvement.</w:t>
            </w:r>
          </w:p>
        </w:tc>
        <w:tc>
          <w:tcPr>
            <w:tcW w:w="3543" w:type="dxa"/>
            <w:tcBorders>
              <w:top w:val="nil"/>
            </w:tcBorders>
          </w:tcPr>
          <w:p w14:paraId="640435D1" w14:textId="77777777" w:rsidR="005D2F60" w:rsidRDefault="005D2F60" w:rsidP="00BE74C8">
            <w:pPr>
              <w:pStyle w:val="Paragraphnonumbers"/>
              <w:rPr>
                <w:rFonts w:cs="Arial"/>
              </w:rPr>
            </w:pPr>
            <w:r>
              <w:rPr>
                <w:rFonts w:cs="Arial"/>
              </w:rPr>
              <w:t xml:space="preserve">As the quality statements must be measurable, please include any information on available data sources. </w:t>
            </w:r>
          </w:p>
          <w:p w14:paraId="10916E0B" w14:textId="77777777" w:rsidR="005D2F60" w:rsidRDefault="005D2F60" w:rsidP="005D2F60">
            <w:pPr>
              <w:pStyle w:val="Paragraphnonumbers"/>
              <w:spacing w:after="120"/>
              <w:rPr>
                <w:rFonts w:cs="Arial"/>
              </w:rPr>
            </w:pPr>
            <w:r>
              <w:rPr>
                <w:rFonts w:cs="Arial"/>
              </w:rPr>
              <w:t xml:space="preserve">Information can include: </w:t>
            </w:r>
          </w:p>
          <w:p w14:paraId="36374AAD" w14:textId="77777777" w:rsidR="005D2F60" w:rsidRDefault="005D2F60" w:rsidP="005D2F60">
            <w:pPr>
              <w:pStyle w:val="Paragraphnonumbers"/>
              <w:numPr>
                <w:ilvl w:val="0"/>
                <w:numId w:val="23"/>
              </w:numPr>
              <w:spacing w:after="120"/>
              <w:rPr>
                <w:rFonts w:cs="Arial"/>
              </w:rPr>
            </w:pPr>
            <w:r>
              <w:rPr>
                <w:rFonts w:cs="Arial"/>
              </w:rPr>
              <w:t>N</w:t>
            </w:r>
            <w:r w:rsidRPr="005F370B">
              <w:rPr>
                <w:rFonts w:cs="Arial"/>
              </w:rPr>
              <w:t>ational data sources that collect data relating to your suggested key areas for quality improvement</w:t>
            </w:r>
          </w:p>
          <w:p w14:paraId="0238AEE9" w14:textId="77777777" w:rsidR="005D2F60" w:rsidRDefault="005D2F60" w:rsidP="005D2F60">
            <w:pPr>
              <w:pStyle w:val="Paragraphnonumbers"/>
              <w:numPr>
                <w:ilvl w:val="0"/>
                <w:numId w:val="23"/>
              </w:numPr>
              <w:spacing w:after="120"/>
              <w:rPr>
                <w:rFonts w:cs="Arial"/>
              </w:rPr>
            </w:pPr>
            <w:r>
              <w:rPr>
                <w:rFonts w:cs="Arial"/>
              </w:rPr>
              <w:t xml:space="preserve">National audits </w:t>
            </w:r>
          </w:p>
          <w:p w14:paraId="539ACEE0" w14:textId="77777777" w:rsidR="005D2F60" w:rsidRDefault="005D2F60" w:rsidP="00BE74C8">
            <w:pPr>
              <w:pStyle w:val="Paragraphnonumbers"/>
              <w:numPr>
                <w:ilvl w:val="0"/>
                <w:numId w:val="23"/>
              </w:numPr>
              <w:rPr>
                <w:rFonts w:cs="Arial"/>
              </w:rPr>
            </w:pPr>
            <w:r>
              <w:rPr>
                <w:rFonts w:cs="Arial"/>
              </w:rPr>
              <w:t xml:space="preserve">Other data sources </w:t>
            </w:r>
          </w:p>
        </w:tc>
        <w:tc>
          <w:tcPr>
            <w:tcW w:w="2552" w:type="dxa"/>
            <w:tcBorders>
              <w:top w:val="nil"/>
            </w:tcBorders>
          </w:tcPr>
          <w:p w14:paraId="7FE01EDE" w14:textId="7B7FA171" w:rsidR="005D2F60" w:rsidRPr="00317E46" w:rsidRDefault="005D2F60" w:rsidP="005D2F60">
            <w:pPr>
              <w:pStyle w:val="Paragraphnonumbers"/>
              <w:rPr>
                <w:rFonts w:cs="Arial"/>
              </w:rPr>
            </w:pPr>
            <w:r>
              <w:rPr>
                <w:rFonts w:cs="Arial"/>
              </w:rPr>
              <w:t>Information can include s</w:t>
            </w:r>
            <w:r w:rsidRPr="585B9BCD">
              <w:rPr>
                <w:rFonts w:cs="Arial"/>
              </w:rPr>
              <w:t xml:space="preserve">ections or recommendations in a NICE / </w:t>
            </w:r>
            <w:r w:rsidR="00F92D51">
              <w:rPr>
                <w:rFonts w:cs="Arial"/>
              </w:rPr>
              <w:t>high-quality external guidance</w:t>
            </w:r>
            <w:r w:rsidRPr="585B9BCD">
              <w:rPr>
                <w:rFonts w:cs="Arial"/>
              </w:rPr>
              <w:t xml:space="preserve"> relating to the key areas for quality improvement</w:t>
            </w:r>
          </w:p>
          <w:p w14:paraId="540D2275" w14:textId="089C90B3" w:rsidR="005D2F60" w:rsidRPr="005F370B" w:rsidRDefault="005D2F60" w:rsidP="00BE74C8">
            <w:pPr>
              <w:pStyle w:val="Paragraphnonumbers"/>
              <w:rPr>
                <w:rFonts w:cs="Arial"/>
                <w:b/>
              </w:rPr>
            </w:pPr>
          </w:p>
        </w:tc>
      </w:tr>
      <w:tr w:rsidR="0030621E" w:rsidRPr="005F370B" w14:paraId="0CC04AF7" w14:textId="77777777" w:rsidTr="00BE74C8">
        <w:trPr>
          <w:cantSplit/>
        </w:trPr>
        <w:tc>
          <w:tcPr>
            <w:tcW w:w="3681" w:type="dxa"/>
          </w:tcPr>
          <w:p w14:paraId="51C5BC7A" w14:textId="77777777" w:rsidR="0030621E" w:rsidRDefault="0030621E" w:rsidP="005D2F60">
            <w:pPr>
              <w:pStyle w:val="TableText1"/>
              <w:spacing w:line="276" w:lineRule="auto"/>
              <w:rPr>
                <w:rFonts w:cs="Arial"/>
                <w:b/>
                <w:sz w:val="24"/>
              </w:rPr>
            </w:pPr>
            <w:r>
              <w:rPr>
                <w:rFonts w:cs="Arial"/>
                <w:b/>
                <w:sz w:val="24"/>
              </w:rPr>
              <w:lastRenderedPageBreak/>
              <w:t>Example:</w:t>
            </w:r>
          </w:p>
          <w:p w14:paraId="30CF1B56" w14:textId="3D0B95F5" w:rsidR="0030621E" w:rsidRPr="0030621E" w:rsidRDefault="0030621E" w:rsidP="005D2F60">
            <w:pPr>
              <w:pStyle w:val="TableText1"/>
              <w:spacing w:line="276" w:lineRule="auto"/>
              <w:rPr>
                <w:rFonts w:cs="Arial"/>
                <w:bCs/>
                <w:sz w:val="24"/>
              </w:rPr>
            </w:pPr>
            <w:r>
              <w:rPr>
                <w:rFonts w:cs="Arial"/>
                <w:bCs/>
                <w:sz w:val="24"/>
              </w:rPr>
              <w:t>Older adults presenting to emergency care acutely unwell should be rapidly and comprehensively assessed for the presence of serious underlying infections by clinicians with expertise in assessment of acute frailty</w:t>
            </w:r>
          </w:p>
        </w:tc>
        <w:tc>
          <w:tcPr>
            <w:tcW w:w="4111" w:type="dxa"/>
          </w:tcPr>
          <w:p w14:paraId="4A5BC12E" w14:textId="4D79756B" w:rsidR="0030621E" w:rsidRPr="0030621E" w:rsidRDefault="0030621E" w:rsidP="0030621E">
            <w:pPr>
              <w:pStyle w:val="Paragraphnonumbers"/>
              <w:rPr>
                <w:rFonts w:cs="Arial"/>
                <w:bCs/>
              </w:rPr>
            </w:pPr>
            <w:r w:rsidRPr="0030621E">
              <w:rPr>
                <w:rFonts w:cs="Arial"/>
                <w:b/>
              </w:rPr>
              <w:t>Example:</w:t>
            </w:r>
            <w:r w:rsidRPr="0030621E">
              <w:rPr>
                <w:rFonts w:cs="Arial"/>
                <w:bCs/>
              </w:rPr>
              <w:t xml:space="preserve"> Older adults with frailty often do not present with typical symptoms of bacterial meningitis or sepsis which </w:t>
            </w:r>
            <w:r>
              <w:rPr>
                <w:rFonts w:cs="Arial"/>
                <w:bCs/>
              </w:rPr>
              <w:t>are</w:t>
            </w:r>
            <w:r w:rsidRPr="0030621E">
              <w:rPr>
                <w:rFonts w:cs="Arial"/>
                <w:bCs/>
              </w:rPr>
              <w:t xml:space="preserve"> easily missed or mistaken for other problems leading to missed diagnosis and delayed treatment with poor outcomes including long lengths of hospital stay. </w:t>
            </w:r>
          </w:p>
          <w:p w14:paraId="14589021" w14:textId="67AE1D4E" w:rsidR="0030621E" w:rsidRPr="0030621E" w:rsidRDefault="0030621E" w:rsidP="0030621E">
            <w:pPr>
              <w:pStyle w:val="Paragraphnonumbers"/>
              <w:rPr>
                <w:rFonts w:cs="Arial"/>
                <w:bCs/>
              </w:rPr>
            </w:pPr>
            <w:r w:rsidRPr="0030621E">
              <w:rPr>
                <w:rFonts w:cs="Arial"/>
                <w:bCs/>
              </w:rPr>
              <w:t xml:space="preserve">GIRFT identified variation in frailty identification and assessment with many older patients who arrive through the emergency pathway not having an initial assessment. Where patients are not assessed, it’s less likely there will be an effective early response because patients may be assessed by staff in A&amp;E or other medical or surgical specialties where frailty assessment is not embedded in pathways and practice.  </w:t>
            </w:r>
          </w:p>
        </w:tc>
        <w:tc>
          <w:tcPr>
            <w:tcW w:w="3543" w:type="dxa"/>
          </w:tcPr>
          <w:p w14:paraId="249E0C52" w14:textId="385E0429" w:rsidR="0030621E" w:rsidRPr="0030621E" w:rsidRDefault="0030621E" w:rsidP="005D2F60">
            <w:pPr>
              <w:pStyle w:val="Paragraphnonumbers"/>
              <w:rPr>
                <w:rFonts w:cs="Arial"/>
                <w:bCs/>
              </w:rPr>
            </w:pPr>
            <w:r w:rsidRPr="0030621E">
              <w:rPr>
                <w:rFonts w:cs="Arial"/>
                <w:b/>
              </w:rPr>
              <w:t>Example:</w:t>
            </w:r>
            <w:r>
              <w:rPr>
                <w:rFonts w:cs="Arial"/>
                <w:bCs/>
              </w:rPr>
              <w:t xml:space="preserve"> </w:t>
            </w:r>
            <w:r w:rsidRPr="0030621E">
              <w:rPr>
                <w:rFonts w:cs="Arial"/>
                <w:bCs/>
              </w:rPr>
              <w:t>NHS England CQUIN05 specifies rapid identification of frailty in emergency care settings followed by initiation of comprehensive geriatric assessment</w:t>
            </w:r>
            <w:r>
              <w:rPr>
                <w:rFonts w:cs="Arial"/>
                <w:bCs/>
              </w:rPr>
              <w:t>.</w:t>
            </w:r>
          </w:p>
        </w:tc>
        <w:tc>
          <w:tcPr>
            <w:tcW w:w="2552" w:type="dxa"/>
          </w:tcPr>
          <w:p w14:paraId="3DD3ED0D" w14:textId="31F26FE2" w:rsidR="0030621E" w:rsidRPr="0030621E" w:rsidRDefault="0030621E" w:rsidP="0030621E">
            <w:pPr>
              <w:pStyle w:val="Paragraphnonumbers"/>
              <w:rPr>
                <w:rFonts w:cs="Arial"/>
              </w:rPr>
            </w:pPr>
            <w:r w:rsidRPr="0030621E">
              <w:rPr>
                <w:rFonts w:cs="Arial"/>
                <w:b/>
                <w:bCs/>
              </w:rPr>
              <w:t>Example:</w:t>
            </w:r>
            <w:r>
              <w:rPr>
                <w:rFonts w:cs="Arial"/>
              </w:rPr>
              <w:t xml:space="preserve"> </w:t>
            </w:r>
            <w:r w:rsidRPr="0030621E">
              <w:rPr>
                <w:rFonts w:cs="Arial"/>
              </w:rPr>
              <w:t xml:space="preserve">There is considerable variability in clinical findings among older adults presenting with bacterial meningitis. Febrile responses are often blunted or absent and pyrexia is not a universal finding varying between 59% and 100% in published studies. Similarly, headache and neck stiffness have been noted in only 50% of older adults with meningitis and may be misinterpreted due to co-morbidity such as cervical spondyloarthropathy.  </w:t>
            </w:r>
          </w:p>
          <w:p w14:paraId="5E4B6075" w14:textId="0639E0B2" w:rsidR="0030621E" w:rsidRPr="0030621E" w:rsidRDefault="0030621E" w:rsidP="0030621E">
            <w:pPr>
              <w:pStyle w:val="Paragraphnonumbers"/>
              <w:rPr>
                <w:rFonts w:cs="Arial"/>
              </w:rPr>
            </w:pPr>
            <w:r w:rsidRPr="0030621E">
              <w:rPr>
                <w:rFonts w:cs="Arial"/>
              </w:rPr>
              <w:t>https://academic.oup.com/cid/article/33/8/1380/347483</w:t>
            </w:r>
          </w:p>
        </w:tc>
      </w:tr>
      <w:tr w:rsidR="005D2F60" w:rsidRPr="005F370B" w14:paraId="46BB4253" w14:textId="77777777" w:rsidTr="00BE74C8">
        <w:tc>
          <w:tcPr>
            <w:tcW w:w="3681" w:type="dxa"/>
          </w:tcPr>
          <w:p w14:paraId="08D211EF" w14:textId="77777777" w:rsidR="005D2F60" w:rsidRPr="005F370B" w:rsidRDefault="005D2F60" w:rsidP="00BE74C8">
            <w:pPr>
              <w:pStyle w:val="Paragraphnonumbers"/>
              <w:spacing w:after="120"/>
              <w:rPr>
                <w:rFonts w:cs="Arial"/>
              </w:rPr>
            </w:pPr>
            <w:r w:rsidRPr="005F370B">
              <w:rPr>
                <w:rFonts w:cs="Arial"/>
              </w:rPr>
              <w:lastRenderedPageBreak/>
              <w:t>Key area for quality improvement 1</w:t>
            </w:r>
          </w:p>
        </w:tc>
        <w:tc>
          <w:tcPr>
            <w:tcW w:w="4111" w:type="dxa"/>
          </w:tcPr>
          <w:p w14:paraId="7E06A89B" w14:textId="77777777" w:rsidR="005D2F60" w:rsidRPr="005F370B" w:rsidRDefault="005D2F60" w:rsidP="00BE74C8">
            <w:pPr>
              <w:pStyle w:val="Paragraphnonumbers"/>
              <w:rPr>
                <w:rFonts w:cs="Arial"/>
              </w:rPr>
            </w:pPr>
          </w:p>
        </w:tc>
        <w:tc>
          <w:tcPr>
            <w:tcW w:w="3543" w:type="dxa"/>
          </w:tcPr>
          <w:p w14:paraId="607F37A5" w14:textId="77777777" w:rsidR="005D2F60" w:rsidRPr="005F370B" w:rsidRDefault="005D2F60" w:rsidP="00BE74C8">
            <w:pPr>
              <w:pStyle w:val="Paragraphnonumbers"/>
              <w:rPr>
                <w:rFonts w:cs="Arial"/>
              </w:rPr>
            </w:pPr>
          </w:p>
        </w:tc>
        <w:tc>
          <w:tcPr>
            <w:tcW w:w="2552" w:type="dxa"/>
          </w:tcPr>
          <w:p w14:paraId="0B86A02B" w14:textId="77777777" w:rsidR="005D2F60" w:rsidRPr="005F370B" w:rsidRDefault="005D2F60" w:rsidP="00BE74C8">
            <w:pPr>
              <w:pStyle w:val="Paragraphnonumbers"/>
              <w:rPr>
                <w:rFonts w:cs="Arial"/>
              </w:rPr>
            </w:pPr>
          </w:p>
        </w:tc>
      </w:tr>
      <w:tr w:rsidR="005D2F60" w:rsidRPr="005F370B" w14:paraId="38AF9D9D" w14:textId="77777777" w:rsidTr="00BE74C8">
        <w:tc>
          <w:tcPr>
            <w:tcW w:w="3681" w:type="dxa"/>
          </w:tcPr>
          <w:p w14:paraId="18EC468B" w14:textId="77777777" w:rsidR="005D2F60" w:rsidRPr="005F370B" w:rsidRDefault="005D2F60" w:rsidP="00BE74C8">
            <w:pPr>
              <w:pStyle w:val="Paragraphnonumbers"/>
              <w:spacing w:after="120"/>
              <w:rPr>
                <w:rFonts w:cs="Arial"/>
              </w:rPr>
            </w:pPr>
            <w:r w:rsidRPr="005F370B">
              <w:rPr>
                <w:rFonts w:cs="Arial"/>
              </w:rPr>
              <w:t>Key area for quality improvement 2</w:t>
            </w:r>
          </w:p>
        </w:tc>
        <w:tc>
          <w:tcPr>
            <w:tcW w:w="4111" w:type="dxa"/>
          </w:tcPr>
          <w:p w14:paraId="3B5AF48C" w14:textId="77777777" w:rsidR="005D2F60" w:rsidRPr="005F370B" w:rsidRDefault="005D2F60" w:rsidP="00BE74C8">
            <w:pPr>
              <w:pStyle w:val="Paragraphnonumbers"/>
              <w:rPr>
                <w:rFonts w:cs="Arial"/>
              </w:rPr>
            </w:pPr>
          </w:p>
        </w:tc>
        <w:tc>
          <w:tcPr>
            <w:tcW w:w="3543" w:type="dxa"/>
          </w:tcPr>
          <w:p w14:paraId="2B648596" w14:textId="77777777" w:rsidR="005D2F60" w:rsidRPr="005F370B" w:rsidRDefault="005D2F60" w:rsidP="00BE74C8">
            <w:pPr>
              <w:pStyle w:val="Paragraphnonumbers"/>
              <w:rPr>
                <w:rFonts w:cs="Arial"/>
              </w:rPr>
            </w:pPr>
          </w:p>
        </w:tc>
        <w:tc>
          <w:tcPr>
            <w:tcW w:w="2552" w:type="dxa"/>
          </w:tcPr>
          <w:p w14:paraId="4A65A674" w14:textId="77777777" w:rsidR="005D2F60" w:rsidRPr="005F370B" w:rsidRDefault="005D2F60" w:rsidP="00BE74C8">
            <w:pPr>
              <w:pStyle w:val="Paragraphnonumbers"/>
              <w:rPr>
                <w:rFonts w:cs="Arial"/>
              </w:rPr>
            </w:pPr>
          </w:p>
        </w:tc>
      </w:tr>
      <w:tr w:rsidR="005D2F60" w:rsidRPr="005F370B" w14:paraId="5D757FF0" w14:textId="77777777" w:rsidTr="00BE74C8">
        <w:tc>
          <w:tcPr>
            <w:tcW w:w="3681" w:type="dxa"/>
          </w:tcPr>
          <w:p w14:paraId="443E51F9" w14:textId="77777777" w:rsidR="005D2F60" w:rsidRPr="005F370B" w:rsidRDefault="005D2F60" w:rsidP="00BE74C8">
            <w:pPr>
              <w:pStyle w:val="Paragraphnonumbers"/>
              <w:spacing w:after="120"/>
              <w:rPr>
                <w:rFonts w:cs="Arial"/>
              </w:rPr>
            </w:pPr>
            <w:r w:rsidRPr="005F370B">
              <w:rPr>
                <w:rFonts w:cs="Arial"/>
              </w:rPr>
              <w:t>Key area for quality improvement 3</w:t>
            </w:r>
          </w:p>
        </w:tc>
        <w:tc>
          <w:tcPr>
            <w:tcW w:w="4111" w:type="dxa"/>
          </w:tcPr>
          <w:p w14:paraId="25DB914E" w14:textId="77777777" w:rsidR="005D2F60" w:rsidRPr="005F370B" w:rsidRDefault="005D2F60" w:rsidP="00BE74C8">
            <w:pPr>
              <w:pStyle w:val="Paragraphnonumbers"/>
              <w:rPr>
                <w:rFonts w:cs="Arial"/>
              </w:rPr>
            </w:pPr>
          </w:p>
        </w:tc>
        <w:tc>
          <w:tcPr>
            <w:tcW w:w="3543" w:type="dxa"/>
          </w:tcPr>
          <w:p w14:paraId="73621AA0" w14:textId="77777777" w:rsidR="005D2F60" w:rsidRPr="005F370B" w:rsidRDefault="005D2F60" w:rsidP="00BE74C8">
            <w:pPr>
              <w:pStyle w:val="Paragraphnonumbers"/>
              <w:rPr>
                <w:rFonts w:cs="Arial"/>
              </w:rPr>
            </w:pPr>
          </w:p>
        </w:tc>
        <w:tc>
          <w:tcPr>
            <w:tcW w:w="2552" w:type="dxa"/>
          </w:tcPr>
          <w:p w14:paraId="15A45C4C" w14:textId="77777777" w:rsidR="005D2F60" w:rsidRPr="005F370B" w:rsidRDefault="005D2F60" w:rsidP="00BE74C8">
            <w:pPr>
              <w:pStyle w:val="Paragraphnonumbers"/>
              <w:rPr>
                <w:rFonts w:cs="Arial"/>
              </w:rPr>
            </w:pPr>
          </w:p>
        </w:tc>
      </w:tr>
      <w:tr w:rsidR="005D2F60" w:rsidRPr="005F370B" w14:paraId="6BDDE831" w14:textId="77777777" w:rsidTr="00BE74C8">
        <w:tc>
          <w:tcPr>
            <w:tcW w:w="3681" w:type="dxa"/>
          </w:tcPr>
          <w:p w14:paraId="7FB9FA18" w14:textId="77777777" w:rsidR="005D2F60" w:rsidRPr="005F370B" w:rsidRDefault="005D2F60" w:rsidP="00BE74C8">
            <w:pPr>
              <w:pStyle w:val="Paragraphnonumbers"/>
              <w:spacing w:after="120"/>
              <w:rPr>
                <w:rFonts w:cs="Arial"/>
              </w:rPr>
            </w:pPr>
            <w:r w:rsidRPr="005F370B">
              <w:rPr>
                <w:rFonts w:cs="Arial"/>
              </w:rPr>
              <w:t>Key area for quality improvement 4</w:t>
            </w:r>
          </w:p>
        </w:tc>
        <w:tc>
          <w:tcPr>
            <w:tcW w:w="4111" w:type="dxa"/>
          </w:tcPr>
          <w:p w14:paraId="1CBC57BE" w14:textId="77777777" w:rsidR="005D2F60" w:rsidRPr="005F370B" w:rsidRDefault="005D2F60" w:rsidP="00BE74C8">
            <w:pPr>
              <w:pStyle w:val="Paragraphnonumbers"/>
              <w:rPr>
                <w:rFonts w:cs="Arial"/>
              </w:rPr>
            </w:pPr>
          </w:p>
        </w:tc>
        <w:tc>
          <w:tcPr>
            <w:tcW w:w="3543" w:type="dxa"/>
          </w:tcPr>
          <w:p w14:paraId="007ED298" w14:textId="77777777" w:rsidR="005D2F60" w:rsidRPr="005F370B" w:rsidRDefault="005D2F60" w:rsidP="00BE74C8">
            <w:pPr>
              <w:pStyle w:val="Paragraphnonumbers"/>
              <w:rPr>
                <w:rFonts w:cs="Arial"/>
              </w:rPr>
            </w:pPr>
          </w:p>
        </w:tc>
        <w:tc>
          <w:tcPr>
            <w:tcW w:w="2552" w:type="dxa"/>
          </w:tcPr>
          <w:p w14:paraId="1C61B809" w14:textId="77777777" w:rsidR="005D2F60" w:rsidRPr="005F370B" w:rsidRDefault="005D2F60" w:rsidP="00BE74C8">
            <w:pPr>
              <w:pStyle w:val="Paragraphnonumbers"/>
              <w:rPr>
                <w:rFonts w:cs="Arial"/>
              </w:rPr>
            </w:pPr>
          </w:p>
        </w:tc>
      </w:tr>
      <w:tr w:rsidR="005D2F60" w:rsidRPr="005F370B" w14:paraId="640E4EC4" w14:textId="77777777" w:rsidTr="00BE74C8">
        <w:tc>
          <w:tcPr>
            <w:tcW w:w="3681" w:type="dxa"/>
          </w:tcPr>
          <w:p w14:paraId="3B218A9D" w14:textId="77777777" w:rsidR="005D2F60" w:rsidRPr="005F370B" w:rsidRDefault="005D2F60" w:rsidP="00BE74C8">
            <w:pPr>
              <w:pStyle w:val="Paragraphnonumbers"/>
              <w:spacing w:after="120"/>
              <w:rPr>
                <w:rFonts w:cs="Arial"/>
              </w:rPr>
            </w:pPr>
            <w:r w:rsidRPr="005F370B">
              <w:rPr>
                <w:rFonts w:cs="Arial"/>
              </w:rPr>
              <w:t>Key area for quality improvement 5</w:t>
            </w:r>
          </w:p>
        </w:tc>
        <w:tc>
          <w:tcPr>
            <w:tcW w:w="4111" w:type="dxa"/>
          </w:tcPr>
          <w:p w14:paraId="10CF6D00" w14:textId="77777777" w:rsidR="005D2F60" w:rsidRPr="005F370B" w:rsidRDefault="005D2F60" w:rsidP="00BE74C8">
            <w:pPr>
              <w:pStyle w:val="Paragraphnonumbers"/>
              <w:rPr>
                <w:rFonts w:cs="Arial"/>
              </w:rPr>
            </w:pPr>
          </w:p>
        </w:tc>
        <w:tc>
          <w:tcPr>
            <w:tcW w:w="3543" w:type="dxa"/>
          </w:tcPr>
          <w:p w14:paraId="009542D0" w14:textId="77777777" w:rsidR="005D2F60" w:rsidRPr="005F370B" w:rsidRDefault="005D2F60" w:rsidP="00BE74C8">
            <w:pPr>
              <w:pStyle w:val="Paragraphnonumbers"/>
              <w:rPr>
                <w:rFonts w:cs="Arial"/>
              </w:rPr>
            </w:pPr>
          </w:p>
        </w:tc>
        <w:tc>
          <w:tcPr>
            <w:tcW w:w="2552" w:type="dxa"/>
          </w:tcPr>
          <w:p w14:paraId="7930E6AC" w14:textId="77777777" w:rsidR="005D2F60" w:rsidRPr="005F370B" w:rsidRDefault="005D2F60" w:rsidP="00BE74C8">
            <w:pPr>
              <w:pStyle w:val="Paragraphnonumbers"/>
              <w:rPr>
                <w:rFonts w:cs="Arial"/>
              </w:rPr>
            </w:pPr>
          </w:p>
        </w:tc>
      </w:tr>
    </w:tbl>
    <w:p w14:paraId="36D3CEAB" w14:textId="22388C34"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0919CD6F"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w:t>
      </w:r>
      <w:r w:rsidR="009F48C0" w:rsidRPr="009F48C0">
        <w:rPr>
          <w:b/>
          <w:bCs/>
        </w:rPr>
        <w:t xml:space="preserve"> </w:t>
      </w:r>
      <w:r w:rsidR="009F48C0" w:rsidRPr="009F48C0">
        <w:rPr>
          <w:rFonts w:ascii="Arial" w:hAnsi="Arial" w:cs="Arial"/>
          <w:b/>
          <w:bCs/>
          <w:highlight w:val="yellow"/>
        </w:rPr>
        <w:t xml:space="preserve">with </w:t>
      </w:r>
      <w:r w:rsidR="009F48C0" w:rsidRPr="009F48C0">
        <w:rPr>
          <w:rFonts w:ascii="Arial" w:hAnsi="Arial" w:cs="Arial"/>
          <w:b/>
          <w:bCs/>
          <w:highlight w:val="yellow"/>
          <w:u w:val="single"/>
        </w:rPr>
        <w:t>underlining and highlighting</w:t>
      </w:r>
      <w:r w:rsidRPr="00100812">
        <w:rPr>
          <w:rFonts w:ascii="Arial" w:hAnsi="Arial" w:cs="Arial"/>
          <w:b/>
          <w:bCs/>
        </w:rPr>
        <w:t>.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lastRenderedPageBreak/>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4"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514924">
      <w:fldChar w:fldCharType="begin"/>
    </w:r>
    <w:r w:rsidR="00514924">
      <w:instrText xml:space="preserve"> NUMPAGES  </w:instrText>
    </w:r>
    <w:r w:rsidR="00514924">
      <w:fldChar w:fldCharType="separate"/>
    </w:r>
    <w:r w:rsidR="007F238D">
      <w:rPr>
        <w:noProof/>
      </w:rPr>
      <w:t>1</w:t>
    </w:r>
    <w:r w:rsidR="005149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19"/>
  </w:num>
  <w:num w:numId="2" w16cid:durableId="1265963433">
    <w:abstractNumId w:val="20"/>
  </w:num>
  <w:num w:numId="3" w16cid:durableId="1345547568">
    <w:abstractNumId w:val="20"/>
    <w:lvlOverride w:ilvl="0">
      <w:startOverride w:val="1"/>
    </w:lvlOverride>
  </w:num>
  <w:num w:numId="4" w16cid:durableId="1505821975">
    <w:abstractNumId w:val="20"/>
    <w:lvlOverride w:ilvl="0">
      <w:startOverride w:val="1"/>
    </w:lvlOverride>
  </w:num>
  <w:num w:numId="5" w16cid:durableId="17439273">
    <w:abstractNumId w:val="20"/>
    <w:lvlOverride w:ilvl="0">
      <w:startOverride w:val="1"/>
    </w:lvlOverride>
  </w:num>
  <w:num w:numId="6" w16cid:durableId="1523321808">
    <w:abstractNumId w:val="20"/>
    <w:lvlOverride w:ilvl="0">
      <w:startOverride w:val="1"/>
    </w:lvlOverride>
  </w:num>
  <w:num w:numId="7" w16cid:durableId="376930024">
    <w:abstractNumId w:val="20"/>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5"/>
  </w:num>
  <w:num w:numId="19" w16cid:durableId="1670599334">
    <w:abstractNumId w:val="15"/>
    <w:lvlOverride w:ilvl="0">
      <w:startOverride w:val="1"/>
    </w:lvlOverride>
  </w:num>
  <w:num w:numId="20" w16cid:durableId="1128428536">
    <w:abstractNumId w:val="13"/>
  </w:num>
  <w:num w:numId="21" w16cid:durableId="1709910822">
    <w:abstractNumId w:val="16"/>
  </w:num>
  <w:num w:numId="22" w16cid:durableId="208689605">
    <w:abstractNumId w:val="10"/>
  </w:num>
  <w:num w:numId="23" w16cid:durableId="664625187">
    <w:abstractNumId w:val="12"/>
  </w:num>
  <w:num w:numId="24" w16cid:durableId="1377654833">
    <w:abstractNumId w:val="17"/>
  </w:num>
  <w:num w:numId="25" w16cid:durableId="367607251">
    <w:abstractNumId w:val="21"/>
  </w:num>
  <w:num w:numId="26" w16cid:durableId="2128349201">
    <w:abstractNumId w:val="11"/>
  </w:num>
  <w:num w:numId="27" w16cid:durableId="98500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7153"/>
    <w:rsid w:val="00027A9C"/>
    <w:rsid w:val="000472DC"/>
    <w:rsid w:val="00056165"/>
    <w:rsid w:val="00070065"/>
    <w:rsid w:val="000A4FEE"/>
    <w:rsid w:val="000B0EF4"/>
    <w:rsid w:val="000B5939"/>
    <w:rsid w:val="00100812"/>
    <w:rsid w:val="001107B3"/>
    <w:rsid w:val="00111CCE"/>
    <w:rsid w:val="001134E7"/>
    <w:rsid w:val="0017149E"/>
    <w:rsid w:val="0017169E"/>
    <w:rsid w:val="00181A4A"/>
    <w:rsid w:val="001B0EE9"/>
    <w:rsid w:val="001B65B3"/>
    <w:rsid w:val="002029A6"/>
    <w:rsid w:val="00213880"/>
    <w:rsid w:val="002408EA"/>
    <w:rsid w:val="002760E9"/>
    <w:rsid w:val="002819D7"/>
    <w:rsid w:val="002B3397"/>
    <w:rsid w:val="002C1A7E"/>
    <w:rsid w:val="002D3376"/>
    <w:rsid w:val="0030621E"/>
    <w:rsid w:val="00311ED0"/>
    <w:rsid w:val="00345509"/>
    <w:rsid w:val="003648C5"/>
    <w:rsid w:val="003722FA"/>
    <w:rsid w:val="00385C55"/>
    <w:rsid w:val="00386D5E"/>
    <w:rsid w:val="003C7AAF"/>
    <w:rsid w:val="003C7F1F"/>
    <w:rsid w:val="003F30B7"/>
    <w:rsid w:val="003F5304"/>
    <w:rsid w:val="004075B6"/>
    <w:rsid w:val="00420952"/>
    <w:rsid w:val="00433EFF"/>
    <w:rsid w:val="00443081"/>
    <w:rsid w:val="00446BEE"/>
    <w:rsid w:val="005025A1"/>
    <w:rsid w:val="00514924"/>
    <w:rsid w:val="00526BF3"/>
    <w:rsid w:val="00553D90"/>
    <w:rsid w:val="00572C22"/>
    <w:rsid w:val="005D2F60"/>
    <w:rsid w:val="005F6ECF"/>
    <w:rsid w:val="006011BD"/>
    <w:rsid w:val="00644C45"/>
    <w:rsid w:val="00667B3E"/>
    <w:rsid w:val="006921E1"/>
    <w:rsid w:val="006A77D1"/>
    <w:rsid w:val="006B56B7"/>
    <w:rsid w:val="006B6510"/>
    <w:rsid w:val="006F4B25"/>
    <w:rsid w:val="006F6496"/>
    <w:rsid w:val="00736348"/>
    <w:rsid w:val="00760908"/>
    <w:rsid w:val="00762EAD"/>
    <w:rsid w:val="00792962"/>
    <w:rsid w:val="007F238D"/>
    <w:rsid w:val="008316C1"/>
    <w:rsid w:val="00843C0C"/>
    <w:rsid w:val="00861B92"/>
    <w:rsid w:val="00877E72"/>
    <w:rsid w:val="008814FB"/>
    <w:rsid w:val="00885607"/>
    <w:rsid w:val="00886738"/>
    <w:rsid w:val="008F5E30"/>
    <w:rsid w:val="00914D7F"/>
    <w:rsid w:val="00922981"/>
    <w:rsid w:val="00997730"/>
    <w:rsid w:val="0099778E"/>
    <w:rsid w:val="009D7D70"/>
    <w:rsid w:val="009E680B"/>
    <w:rsid w:val="009F48C0"/>
    <w:rsid w:val="009F77C9"/>
    <w:rsid w:val="00A11FD3"/>
    <w:rsid w:val="00A15A1F"/>
    <w:rsid w:val="00A3325A"/>
    <w:rsid w:val="00A43013"/>
    <w:rsid w:val="00AC2D7B"/>
    <w:rsid w:val="00AF108A"/>
    <w:rsid w:val="00B02E55"/>
    <w:rsid w:val="00B036C1"/>
    <w:rsid w:val="00B03C4A"/>
    <w:rsid w:val="00B0715C"/>
    <w:rsid w:val="00B26FFB"/>
    <w:rsid w:val="00B407D7"/>
    <w:rsid w:val="00B5431F"/>
    <w:rsid w:val="00B56D7A"/>
    <w:rsid w:val="00B73FB9"/>
    <w:rsid w:val="00B84D3C"/>
    <w:rsid w:val="00B852BD"/>
    <w:rsid w:val="00B876BA"/>
    <w:rsid w:val="00BF1272"/>
    <w:rsid w:val="00BF7FE0"/>
    <w:rsid w:val="00C14790"/>
    <w:rsid w:val="00C150C7"/>
    <w:rsid w:val="00C1678D"/>
    <w:rsid w:val="00C67B74"/>
    <w:rsid w:val="00C81104"/>
    <w:rsid w:val="00C96411"/>
    <w:rsid w:val="00C9654E"/>
    <w:rsid w:val="00CB5671"/>
    <w:rsid w:val="00CF58B7"/>
    <w:rsid w:val="00D103EC"/>
    <w:rsid w:val="00D351C1"/>
    <w:rsid w:val="00D35EFB"/>
    <w:rsid w:val="00D504B3"/>
    <w:rsid w:val="00D6600F"/>
    <w:rsid w:val="00D86BF0"/>
    <w:rsid w:val="00DA3E1D"/>
    <w:rsid w:val="00E202D8"/>
    <w:rsid w:val="00E51920"/>
    <w:rsid w:val="00E64120"/>
    <w:rsid w:val="00E64E34"/>
    <w:rsid w:val="00E660A1"/>
    <w:rsid w:val="00E81857"/>
    <w:rsid w:val="00E85303"/>
    <w:rsid w:val="00EA3CCF"/>
    <w:rsid w:val="00EC3B78"/>
    <w:rsid w:val="00F055F1"/>
    <w:rsid w:val="00F44945"/>
    <w:rsid w:val="00F610AF"/>
    <w:rsid w:val="00F67F32"/>
    <w:rsid w:val="00F92D51"/>
    <w:rsid w:val="00FA2C5A"/>
    <w:rsid w:val="00FC2D11"/>
    <w:rsid w:val="00FC6230"/>
    <w:rsid w:val="00FD6F3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paragraph" w:customStyle="1" w:styleId="paragraph0">
    <w:name w:val="paragraph"/>
    <w:basedOn w:val="Normal"/>
    <w:rsid w:val="0030621E"/>
    <w:pPr>
      <w:spacing w:before="100" w:beforeAutospacing="1" w:after="100" w:afterAutospacing="1"/>
    </w:pPr>
  </w:style>
  <w:style w:type="character" w:customStyle="1" w:styleId="normaltextrun">
    <w:name w:val="normaltextrun"/>
    <w:basedOn w:val="DefaultParagraphFont"/>
    <w:rsid w:val="0030621E"/>
  </w:style>
  <w:style w:type="character" w:customStyle="1" w:styleId="eop">
    <w:name w:val="eop"/>
    <w:basedOn w:val="DefaultParagraphFont"/>
    <w:rsid w:val="0030621E"/>
  </w:style>
  <w:style w:type="character" w:styleId="UnresolvedMention">
    <w:name w:val="Unresolved Mention"/>
    <w:basedOn w:val="DefaultParagraphFont"/>
    <w:uiPriority w:val="99"/>
    <w:semiHidden/>
    <w:unhideWhenUsed/>
    <w:rsid w:val="00BF1272"/>
    <w:rPr>
      <w:color w:val="605E5C"/>
      <w:shd w:val="clear" w:color="auto" w:fill="E1DFDD"/>
    </w:rPr>
  </w:style>
  <w:style w:type="character" w:styleId="FollowedHyperlink">
    <w:name w:val="FollowedHyperlink"/>
    <w:basedOn w:val="DefaultParagraphFont"/>
    <w:semiHidden/>
    <w:unhideWhenUsed/>
    <w:rsid w:val="00213880"/>
    <w:rPr>
      <w:color w:val="800080" w:themeColor="followedHyperlink"/>
      <w:u w:val="single"/>
    </w:rPr>
  </w:style>
  <w:style w:type="paragraph" w:styleId="Revision">
    <w:name w:val="Revision"/>
    <w:hidden/>
    <w:uiPriority w:val="99"/>
    <w:semiHidden/>
    <w:rsid w:val="00027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2213">
      <w:bodyDiv w:val="1"/>
      <w:marLeft w:val="0"/>
      <w:marRight w:val="0"/>
      <w:marTop w:val="0"/>
      <w:marBottom w:val="0"/>
      <w:divBdr>
        <w:top w:val="none" w:sz="0" w:space="0" w:color="auto"/>
        <w:left w:val="none" w:sz="0" w:space="0" w:color="auto"/>
        <w:bottom w:val="none" w:sz="0" w:space="0" w:color="auto"/>
        <w:right w:val="none" w:sz="0" w:space="0" w:color="auto"/>
      </w:divBdr>
      <w:divsChild>
        <w:div w:id="927733623">
          <w:marLeft w:val="0"/>
          <w:marRight w:val="0"/>
          <w:marTop w:val="0"/>
          <w:marBottom w:val="0"/>
          <w:divBdr>
            <w:top w:val="none" w:sz="0" w:space="0" w:color="auto"/>
            <w:left w:val="none" w:sz="0" w:space="0" w:color="auto"/>
            <w:bottom w:val="none" w:sz="0" w:space="0" w:color="auto"/>
            <w:right w:val="none" w:sz="0" w:space="0" w:color="auto"/>
          </w:divBdr>
          <w:divsChild>
            <w:div w:id="1834561197">
              <w:marLeft w:val="0"/>
              <w:marRight w:val="0"/>
              <w:marTop w:val="0"/>
              <w:marBottom w:val="0"/>
              <w:divBdr>
                <w:top w:val="none" w:sz="0" w:space="0" w:color="auto"/>
                <w:left w:val="none" w:sz="0" w:space="0" w:color="auto"/>
                <w:bottom w:val="none" w:sz="0" w:space="0" w:color="auto"/>
                <w:right w:val="none" w:sz="0" w:space="0" w:color="auto"/>
              </w:divBdr>
            </w:div>
          </w:divsChild>
        </w:div>
        <w:div w:id="135492382">
          <w:marLeft w:val="0"/>
          <w:marRight w:val="0"/>
          <w:marTop w:val="0"/>
          <w:marBottom w:val="0"/>
          <w:divBdr>
            <w:top w:val="none" w:sz="0" w:space="0" w:color="auto"/>
            <w:left w:val="none" w:sz="0" w:space="0" w:color="auto"/>
            <w:bottom w:val="none" w:sz="0" w:space="0" w:color="auto"/>
            <w:right w:val="none" w:sz="0" w:space="0" w:color="auto"/>
          </w:divBdr>
          <w:divsChild>
            <w:div w:id="767699919">
              <w:marLeft w:val="0"/>
              <w:marRight w:val="0"/>
              <w:marTop w:val="0"/>
              <w:marBottom w:val="0"/>
              <w:divBdr>
                <w:top w:val="none" w:sz="0" w:space="0" w:color="auto"/>
                <w:left w:val="none" w:sz="0" w:space="0" w:color="auto"/>
                <w:bottom w:val="none" w:sz="0" w:space="0" w:color="auto"/>
                <w:right w:val="none" w:sz="0" w:space="0" w:color="auto"/>
              </w:divBdr>
            </w:div>
            <w:div w:id="744644869">
              <w:marLeft w:val="0"/>
              <w:marRight w:val="0"/>
              <w:marTop w:val="0"/>
              <w:marBottom w:val="0"/>
              <w:divBdr>
                <w:top w:val="none" w:sz="0" w:space="0" w:color="auto"/>
                <w:left w:val="none" w:sz="0" w:space="0" w:color="auto"/>
                <w:bottom w:val="none" w:sz="0" w:space="0" w:color="auto"/>
                <w:right w:val="none" w:sz="0" w:space="0" w:color="auto"/>
              </w:divBdr>
            </w:div>
            <w:div w:id="550963911">
              <w:marLeft w:val="0"/>
              <w:marRight w:val="0"/>
              <w:marTop w:val="0"/>
              <w:marBottom w:val="0"/>
              <w:divBdr>
                <w:top w:val="none" w:sz="0" w:space="0" w:color="auto"/>
                <w:left w:val="none" w:sz="0" w:space="0" w:color="auto"/>
                <w:bottom w:val="none" w:sz="0" w:space="0" w:color="auto"/>
                <w:right w:val="none" w:sz="0" w:space="0" w:color="auto"/>
              </w:divBdr>
            </w:div>
            <w:div w:id="218127776">
              <w:marLeft w:val="0"/>
              <w:marRight w:val="0"/>
              <w:marTop w:val="0"/>
              <w:marBottom w:val="0"/>
              <w:divBdr>
                <w:top w:val="none" w:sz="0" w:space="0" w:color="auto"/>
                <w:left w:val="none" w:sz="0" w:space="0" w:color="auto"/>
                <w:bottom w:val="none" w:sz="0" w:space="0" w:color="auto"/>
                <w:right w:val="none" w:sz="0" w:space="0" w:color="auto"/>
              </w:divBdr>
            </w:div>
          </w:divsChild>
        </w:div>
        <w:div w:id="922449760">
          <w:marLeft w:val="0"/>
          <w:marRight w:val="0"/>
          <w:marTop w:val="0"/>
          <w:marBottom w:val="0"/>
          <w:divBdr>
            <w:top w:val="none" w:sz="0" w:space="0" w:color="auto"/>
            <w:left w:val="none" w:sz="0" w:space="0" w:color="auto"/>
            <w:bottom w:val="none" w:sz="0" w:space="0" w:color="auto"/>
            <w:right w:val="none" w:sz="0" w:space="0" w:color="auto"/>
          </w:divBdr>
          <w:divsChild>
            <w:div w:id="1282610570">
              <w:marLeft w:val="0"/>
              <w:marRight w:val="0"/>
              <w:marTop w:val="0"/>
              <w:marBottom w:val="0"/>
              <w:divBdr>
                <w:top w:val="none" w:sz="0" w:space="0" w:color="auto"/>
                <w:left w:val="none" w:sz="0" w:space="0" w:color="auto"/>
                <w:bottom w:val="none" w:sz="0" w:space="0" w:color="auto"/>
                <w:right w:val="none" w:sz="0" w:space="0" w:color="auto"/>
              </w:divBdr>
            </w:div>
            <w:div w:id="1611887987">
              <w:marLeft w:val="0"/>
              <w:marRight w:val="0"/>
              <w:marTop w:val="0"/>
              <w:marBottom w:val="0"/>
              <w:divBdr>
                <w:top w:val="none" w:sz="0" w:space="0" w:color="auto"/>
                <w:left w:val="none" w:sz="0" w:space="0" w:color="auto"/>
                <w:bottom w:val="none" w:sz="0" w:space="0" w:color="auto"/>
                <w:right w:val="none" w:sz="0" w:space="0" w:color="auto"/>
              </w:divBdr>
            </w:div>
            <w:div w:id="18639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74" TargetMode="External"/><Relationship Id="rId13" Type="http://schemas.openxmlformats.org/officeDocument/2006/relationships/hyperlink" Target="https://www.nice.org.uk/standards-and-indicators/get-involved/support-a-quality-standard" TargetMode="Externa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https://www.nice.org.uk/guidance/ng25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23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guidance/ng252" TargetMode="External"/><Relationship Id="rId4" Type="http://schemas.openxmlformats.org/officeDocument/2006/relationships/webSettings" Target="webSettings.xml"/><Relationship Id="rId9" Type="http://schemas.openxmlformats.org/officeDocument/2006/relationships/hyperlink" Target="https://www.nice.org.uk/guidance/ng232" TargetMode="External"/><Relationship Id="rId14" Type="http://schemas.openxmlformats.org/officeDocument/2006/relationships/hyperlink" Target="mailto:QualityStandard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1077</Words>
  <Characters>6708</Characters>
  <Application>Microsoft Office Word</Application>
  <DocSecurity>0</DocSecurity>
  <Lines>216</Lines>
  <Paragraphs>72</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2026-04-14T13:49:00Z</dcterms:created>
  <dcterms:modified xsi:type="dcterms:W3CDTF">2026-04-14T13:50:00Z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2026-04-14T13:50:03Z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06d3d384-9684-4772-b5c1-b771809a8167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