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09BB" w14:textId="77777777" w:rsidR="000528AA" w:rsidRDefault="000528AA" w:rsidP="00AC6A2B">
      <w:pPr>
        <w:pStyle w:val="Paragraphnonumbers"/>
        <w:jc w:val="center"/>
        <w:rPr>
          <w:b/>
          <w:bCs/>
          <w:sz w:val="40"/>
          <w:szCs w:val="40"/>
        </w:rPr>
      </w:pPr>
    </w:p>
    <w:p w14:paraId="07F730CD" w14:textId="77777777" w:rsidR="000528AA" w:rsidRPr="009C60B5" w:rsidRDefault="000528AA" w:rsidP="009C60B5">
      <w:pPr>
        <w:pStyle w:val="Paragraphnonumbers"/>
        <w:jc w:val="center"/>
        <w:rPr>
          <w:b/>
          <w:bCs/>
          <w:sz w:val="44"/>
          <w:szCs w:val="44"/>
        </w:rPr>
      </w:pPr>
    </w:p>
    <w:p w14:paraId="3117ECCF" w14:textId="77777777" w:rsidR="00AC6A2B" w:rsidRPr="009C60B5" w:rsidRDefault="000528AA" w:rsidP="009C60B5">
      <w:pPr>
        <w:pStyle w:val="Paragraph"/>
        <w:jc w:val="center"/>
        <w:rPr>
          <w:b/>
          <w:bCs/>
          <w:sz w:val="40"/>
          <w:szCs w:val="40"/>
        </w:rPr>
      </w:pPr>
      <w:bookmarkStart w:id="0" w:name="_Hlk161153965"/>
      <w:r w:rsidRPr="009C60B5">
        <w:rPr>
          <w:b/>
          <w:bCs/>
          <w:sz w:val="40"/>
          <w:szCs w:val="40"/>
        </w:rPr>
        <w:t>NATIONAL INSTITUTE FOR HEALTH AND CARE EXCELLENCE</w:t>
      </w:r>
    </w:p>
    <w:p w14:paraId="7DE48DD9" w14:textId="77777777" w:rsidR="00AC6A2B" w:rsidRDefault="00AC6A2B" w:rsidP="00AC6A2B">
      <w:pPr>
        <w:pStyle w:val="Paragraphnonumbers"/>
        <w:jc w:val="center"/>
        <w:rPr>
          <w:b/>
          <w:bCs/>
          <w:sz w:val="40"/>
          <w:szCs w:val="40"/>
        </w:rPr>
      </w:pPr>
    </w:p>
    <w:p w14:paraId="71A71B70" w14:textId="77777777" w:rsidR="00FF0BEC" w:rsidRDefault="00AC6A2B" w:rsidP="00FF0BEC">
      <w:pPr>
        <w:pStyle w:val="Paragraph"/>
        <w:jc w:val="center"/>
        <w:rPr>
          <w:b/>
          <w:bCs/>
        </w:rPr>
      </w:pPr>
      <w:r w:rsidRPr="009C60B5">
        <w:rPr>
          <w:b/>
          <w:bCs/>
          <w:sz w:val="32"/>
          <w:szCs w:val="32"/>
        </w:rPr>
        <w:t>E</w:t>
      </w:r>
      <w:r w:rsidR="0045211E" w:rsidRPr="009C60B5">
        <w:rPr>
          <w:b/>
          <w:bCs/>
          <w:sz w:val="32"/>
          <w:szCs w:val="32"/>
        </w:rPr>
        <w:t>quality</w:t>
      </w:r>
      <w:r w:rsidRPr="009C60B5">
        <w:rPr>
          <w:b/>
          <w:bCs/>
          <w:sz w:val="32"/>
          <w:szCs w:val="32"/>
        </w:rPr>
        <w:t xml:space="preserve"> </w:t>
      </w:r>
      <w:r w:rsidR="0045211E" w:rsidRPr="009C60B5">
        <w:rPr>
          <w:b/>
          <w:bCs/>
          <w:sz w:val="32"/>
          <w:szCs w:val="32"/>
        </w:rPr>
        <w:t>and</w:t>
      </w:r>
      <w:r w:rsidRPr="009C60B5">
        <w:rPr>
          <w:b/>
          <w:bCs/>
          <w:sz w:val="32"/>
          <w:szCs w:val="32"/>
        </w:rPr>
        <w:t xml:space="preserve"> </w:t>
      </w:r>
      <w:r w:rsidR="0045211E" w:rsidRPr="009C60B5">
        <w:rPr>
          <w:b/>
          <w:bCs/>
          <w:sz w:val="32"/>
          <w:szCs w:val="32"/>
        </w:rPr>
        <w:t>health</w:t>
      </w:r>
      <w:r w:rsidRPr="009C60B5">
        <w:rPr>
          <w:b/>
          <w:bCs/>
          <w:sz w:val="32"/>
          <w:szCs w:val="32"/>
        </w:rPr>
        <w:t xml:space="preserve"> </w:t>
      </w:r>
      <w:r w:rsidR="0045211E" w:rsidRPr="009C60B5">
        <w:rPr>
          <w:b/>
          <w:bCs/>
          <w:sz w:val="32"/>
          <w:szCs w:val="32"/>
        </w:rPr>
        <w:t>inequalities</w:t>
      </w:r>
      <w:r w:rsidR="006248D8" w:rsidRPr="009C60B5">
        <w:rPr>
          <w:b/>
          <w:bCs/>
          <w:sz w:val="32"/>
          <w:szCs w:val="32"/>
        </w:rPr>
        <w:t xml:space="preserve"> </w:t>
      </w:r>
      <w:r w:rsidR="0045211E" w:rsidRPr="009C60B5">
        <w:rPr>
          <w:b/>
          <w:bCs/>
          <w:sz w:val="32"/>
          <w:szCs w:val="32"/>
        </w:rPr>
        <w:t>assessment</w:t>
      </w:r>
      <w:r w:rsidR="006248D8" w:rsidRPr="009C60B5">
        <w:rPr>
          <w:b/>
          <w:bCs/>
          <w:sz w:val="32"/>
          <w:szCs w:val="32"/>
        </w:rPr>
        <w:t xml:space="preserve"> (EHIA)</w:t>
      </w:r>
      <w:r w:rsidRPr="009C60B5">
        <w:rPr>
          <w:b/>
          <w:bCs/>
        </w:rPr>
        <w:br/>
      </w:r>
      <w:r w:rsidR="0085227A" w:rsidRPr="009C60B5">
        <w:rPr>
          <w:b/>
          <w:bCs/>
        </w:rPr>
        <w:br w:type="page"/>
      </w:r>
    </w:p>
    <w:p w14:paraId="3B93B3DE" w14:textId="1117F28C" w:rsidR="005640F6" w:rsidRPr="000C36A2" w:rsidRDefault="008D1F91" w:rsidP="008D1F9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36A2">
        <w:rPr>
          <w:rFonts w:ascii="Arial" w:hAnsi="Arial" w:cs="Arial"/>
          <w:b/>
          <w:bCs/>
          <w:sz w:val="32"/>
          <w:szCs w:val="32"/>
        </w:rPr>
        <w:lastRenderedPageBreak/>
        <w:t>NA</w:t>
      </w:r>
      <w:r w:rsidR="005640F6" w:rsidRPr="000C36A2">
        <w:rPr>
          <w:rFonts w:ascii="Arial" w:hAnsi="Arial" w:cs="Arial"/>
          <w:b/>
          <w:bCs/>
          <w:sz w:val="32"/>
          <w:szCs w:val="32"/>
        </w:rPr>
        <w:t>TIONAL INSTITUTE FOR HEALTH AND CARE EXCELLENCE</w:t>
      </w:r>
    </w:p>
    <w:p w14:paraId="586DD7B2" w14:textId="77777777" w:rsidR="008D1F91" w:rsidRDefault="008D1F91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C680D23" w14:textId="7EE067D7" w:rsidR="005640F6" w:rsidRDefault="00D87EDC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 xml:space="preserve">NICE </w:t>
      </w:r>
      <w:r w:rsidR="00D93623">
        <w:rPr>
          <w:b/>
          <w:bCs/>
          <w:sz w:val="32"/>
          <w:szCs w:val="32"/>
        </w:rPr>
        <w:t>Centre for Guidelines</w:t>
      </w:r>
    </w:p>
    <w:p w14:paraId="4116ECA9" w14:textId="77777777" w:rsidR="00E3419E" w:rsidRPr="00310467" w:rsidRDefault="00E3419E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ECCC81D" w14:textId="2C9B66DA" w:rsidR="005640F6" w:rsidRPr="001B335E" w:rsidRDefault="005640F6" w:rsidP="001B335E">
      <w:pPr>
        <w:pStyle w:val="Paragraphnonumbers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>Equality</w:t>
      </w:r>
      <w:r w:rsidR="00D93B85" w:rsidRPr="00310467">
        <w:rPr>
          <w:b/>
          <w:bCs/>
          <w:sz w:val="32"/>
          <w:szCs w:val="32"/>
        </w:rPr>
        <w:t xml:space="preserve"> and health inequalities</w:t>
      </w:r>
      <w:r w:rsidRPr="00310467">
        <w:rPr>
          <w:b/>
          <w:bCs/>
          <w:sz w:val="32"/>
          <w:szCs w:val="32"/>
        </w:rPr>
        <w:t xml:space="preserve"> assessment</w:t>
      </w:r>
      <w:r w:rsidR="00C43618">
        <w:rPr>
          <w:b/>
          <w:bCs/>
          <w:sz w:val="32"/>
          <w:szCs w:val="32"/>
        </w:rPr>
        <w:t xml:space="preserve"> </w:t>
      </w:r>
      <w:r w:rsidR="0008249E" w:rsidRPr="00310467">
        <w:rPr>
          <w:b/>
          <w:bCs/>
          <w:sz w:val="32"/>
          <w:szCs w:val="32"/>
        </w:rPr>
        <w:t>(</w:t>
      </w:r>
      <w:r w:rsidR="006248D8">
        <w:rPr>
          <w:b/>
          <w:bCs/>
          <w:sz w:val="32"/>
          <w:szCs w:val="32"/>
        </w:rPr>
        <w:t>EHIA</w:t>
      </w:r>
      <w:r w:rsidR="0008249E" w:rsidRPr="00310467">
        <w:rPr>
          <w:b/>
          <w:bCs/>
          <w:sz w:val="32"/>
          <w:szCs w:val="32"/>
        </w:rPr>
        <w:t>)</w:t>
      </w:r>
      <w:r w:rsidR="00310467" w:rsidRPr="00310467">
        <w:rPr>
          <w:b/>
          <w:bCs/>
          <w:sz w:val="32"/>
          <w:szCs w:val="32"/>
        </w:rPr>
        <w:t xml:space="preserve"> </w:t>
      </w:r>
    </w:p>
    <w:p w14:paraId="0125D68F" w14:textId="2DB7DAD6" w:rsidR="005640F6" w:rsidRPr="000D79AE" w:rsidRDefault="5BE867E2" w:rsidP="00230102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 w:rsidRPr="000D79AE">
        <w:rPr>
          <w:b/>
          <w:bCs/>
          <w:sz w:val="32"/>
          <w:szCs w:val="32"/>
        </w:rPr>
        <w:t xml:space="preserve">Gender </w:t>
      </w:r>
      <w:r w:rsidR="005F052B">
        <w:rPr>
          <w:b/>
          <w:bCs/>
          <w:sz w:val="32"/>
          <w:szCs w:val="32"/>
        </w:rPr>
        <w:t>i</w:t>
      </w:r>
      <w:r w:rsidRPr="000D79AE">
        <w:rPr>
          <w:b/>
          <w:bCs/>
          <w:sz w:val="32"/>
          <w:szCs w:val="32"/>
        </w:rPr>
        <w:t xml:space="preserve">ncongruence </w:t>
      </w:r>
      <w:r w:rsidR="005F052B">
        <w:rPr>
          <w:b/>
          <w:bCs/>
          <w:sz w:val="32"/>
          <w:szCs w:val="32"/>
        </w:rPr>
        <w:t>se</w:t>
      </w:r>
      <w:r w:rsidRPr="000D79AE">
        <w:rPr>
          <w:b/>
          <w:bCs/>
          <w:sz w:val="32"/>
          <w:szCs w:val="32"/>
        </w:rPr>
        <w:t xml:space="preserve">rvices for </w:t>
      </w:r>
      <w:r w:rsidR="005F052B">
        <w:rPr>
          <w:b/>
          <w:bCs/>
          <w:sz w:val="32"/>
          <w:szCs w:val="32"/>
        </w:rPr>
        <w:t>c</w:t>
      </w:r>
      <w:r w:rsidRPr="000D79AE">
        <w:rPr>
          <w:b/>
          <w:bCs/>
          <w:sz w:val="32"/>
          <w:szCs w:val="32"/>
        </w:rPr>
        <w:t xml:space="preserve">hildren and </w:t>
      </w:r>
      <w:r w:rsidR="005F052B">
        <w:rPr>
          <w:b/>
          <w:bCs/>
          <w:sz w:val="32"/>
          <w:szCs w:val="32"/>
        </w:rPr>
        <w:t>y</w:t>
      </w:r>
      <w:r w:rsidRPr="000D79AE">
        <w:rPr>
          <w:b/>
          <w:bCs/>
          <w:sz w:val="32"/>
          <w:szCs w:val="32"/>
        </w:rPr>
        <w:t xml:space="preserve">oung </w:t>
      </w:r>
      <w:r w:rsidR="005F052B">
        <w:rPr>
          <w:b/>
          <w:bCs/>
          <w:sz w:val="32"/>
          <w:szCs w:val="32"/>
        </w:rPr>
        <w:t>p</w:t>
      </w:r>
      <w:r w:rsidRPr="000D79AE">
        <w:rPr>
          <w:b/>
          <w:bCs/>
          <w:sz w:val="32"/>
          <w:szCs w:val="32"/>
        </w:rPr>
        <w:t>eople</w:t>
      </w:r>
    </w:p>
    <w:p w14:paraId="23A4CD25" w14:textId="77777777" w:rsidR="00DE2E6B" w:rsidRPr="0078563E" w:rsidRDefault="00DE2E6B" w:rsidP="00570494">
      <w:pPr>
        <w:pStyle w:val="Default"/>
        <w:spacing w:line="276" w:lineRule="auto"/>
        <w:rPr>
          <w:rFonts w:ascii="Arial" w:hAnsi="Arial" w:cs="Arial"/>
        </w:rPr>
      </w:pPr>
    </w:p>
    <w:p w14:paraId="045EC9D5" w14:textId="025572EB" w:rsidR="00A50587" w:rsidRDefault="00570494" w:rsidP="00570494">
      <w:pPr>
        <w:pStyle w:val="Paragraphnonumbers"/>
      </w:pPr>
      <w:r w:rsidRPr="0078563E">
        <w:t xml:space="preserve">The </w:t>
      </w:r>
      <w:r w:rsidR="00C43618">
        <w:t>considerations and</w:t>
      </w:r>
      <w:r w:rsidR="00294C17">
        <w:t xml:space="preserve"> potential</w:t>
      </w:r>
      <w:r w:rsidR="00C43618">
        <w:t xml:space="preserve"> impact </w:t>
      </w:r>
      <w:r w:rsidR="00294C17">
        <w:t>on</w:t>
      </w:r>
      <w:r w:rsidR="00294C17" w:rsidRPr="0078563E">
        <w:t xml:space="preserve"> </w:t>
      </w:r>
      <w:r w:rsidRPr="0078563E">
        <w:t xml:space="preserve">equality </w:t>
      </w:r>
      <w:r>
        <w:t xml:space="preserve">and health inequalities </w:t>
      </w:r>
      <w:r w:rsidRPr="0078563E">
        <w:t>ha</w:t>
      </w:r>
      <w:r w:rsidR="00C43618">
        <w:t>ve</w:t>
      </w:r>
      <w:r w:rsidRPr="0078563E">
        <w:t xml:space="preserve"> been </w:t>
      </w:r>
      <w:r w:rsidR="00294C17">
        <w:t>considered</w:t>
      </w:r>
      <w:r w:rsidR="00294C17" w:rsidRPr="0078563E">
        <w:t xml:space="preserve"> </w:t>
      </w:r>
      <w:r w:rsidR="00294C17">
        <w:t>throughout the</w:t>
      </w:r>
      <w:r w:rsidR="00294C17" w:rsidRPr="0078563E">
        <w:t xml:space="preserve"> </w:t>
      </w:r>
      <w:r w:rsidR="00265FAC">
        <w:t>quality standard</w:t>
      </w:r>
      <w:r w:rsidR="00265FAC" w:rsidRPr="0078563E">
        <w:t xml:space="preserve"> </w:t>
      </w:r>
      <w:r w:rsidR="00294C17" w:rsidRPr="0078563E">
        <w:t>development</w:t>
      </w:r>
      <w:r w:rsidR="00294C17">
        <w:t xml:space="preserve">, process </w:t>
      </w:r>
      <w:r w:rsidRPr="0078563E">
        <w:t>according to the principles of the NICE equality policy</w:t>
      </w:r>
      <w:r>
        <w:t xml:space="preserve"> and those outlined in</w:t>
      </w:r>
      <w:r w:rsidR="00AF7D51">
        <w:t xml:space="preserve"> </w:t>
      </w:r>
      <w:hyperlink r:id="rId11" w:history="1">
        <w:r w:rsidR="00265FAC">
          <w:rPr>
            <w:rStyle w:val="Hyperlink"/>
          </w:rPr>
          <w:t>Quality Standards process guide</w:t>
        </w:r>
      </w:hyperlink>
      <w:r w:rsidR="00AF7D51">
        <w:t>.</w:t>
      </w:r>
    </w:p>
    <w:p w14:paraId="6814A969" w14:textId="320556C3" w:rsidR="00DF46C0" w:rsidRPr="000A213F" w:rsidRDefault="00FE16C4" w:rsidP="006320D4">
      <w:pPr>
        <w:pStyle w:val="Paragraphnonumbers"/>
        <w:spacing w:after="0"/>
        <w:jc w:val="center"/>
        <w:rPr>
          <w:b/>
          <w:bCs/>
          <w:sz w:val="32"/>
          <w:szCs w:val="32"/>
          <w:shd w:val="clear" w:color="auto" w:fill="BFBFBF"/>
        </w:rPr>
      </w:pPr>
      <w:r>
        <w:br w:type="page"/>
      </w:r>
      <w:bookmarkStart w:id="1" w:name="_Toc109224098"/>
    </w:p>
    <w:p w14:paraId="37E13E1C" w14:textId="596552A8" w:rsidR="006210D3" w:rsidRPr="006210D3" w:rsidRDefault="003778FE" w:rsidP="00CF71A7">
      <w:pPr>
        <w:pStyle w:val="Heading1"/>
      </w:pPr>
      <w:bookmarkStart w:id="2" w:name="_Toc138944320"/>
      <w:bookmarkEnd w:id="0"/>
      <w:r>
        <w:lastRenderedPageBreak/>
        <w:t xml:space="preserve">STAGE </w:t>
      </w:r>
      <w:r w:rsidR="006320D4">
        <w:t>1</w:t>
      </w:r>
      <w:r w:rsidR="009C60B5">
        <w:t>.</w:t>
      </w:r>
      <w:r w:rsidR="00840E51">
        <w:t xml:space="preserve"> </w:t>
      </w:r>
      <w:r w:rsidR="006320D4">
        <w:t>Topic engagement</w:t>
      </w:r>
      <w:bookmarkEnd w:id="2"/>
      <w:r w:rsidR="00840E51">
        <w:t xml:space="preserve"> </w:t>
      </w:r>
      <w:r w:rsidR="005F14B5">
        <w:t xml:space="preserve">  </w:t>
      </w:r>
      <w:bookmarkEnd w:id="1"/>
      <w:r w:rsidR="005F14B5">
        <w:t xml:space="preserve"> </w:t>
      </w:r>
    </w:p>
    <w:tbl>
      <w:tblPr>
        <w:tblpPr w:leftFromText="180" w:rightFromText="180" w:vertAnchor="text" w:tblpY="102"/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1"/>
      </w:tblGrid>
      <w:tr w:rsidR="00EB653E" w:rsidRPr="0078563E" w14:paraId="7E9143B1" w14:textId="77777777" w:rsidTr="00E3419E">
        <w:trPr>
          <w:trHeight w:val="383"/>
        </w:trPr>
        <w:tc>
          <w:tcPr>
            <w:tcW w:w="9721" w:type="dxa"/>
          </w:tcPr>
          <w:p w14:paraId="5AEE2F16" w14:textId="36FE4FBC" w:rsidR="00EB653E" w:rsidRPr="00451133" w:rsidRDefault="00242ABB" w:rsidP="00242ABB">
            <w:pPr>
              <w:pStyle w:val="Paragraph"/>
              <w:numPr>
                <w:ilvl w:val="1"/>
                <w:numId w:val="35"/>
              </w:numPr>
            </w:pPr>
            <w:bookmarkStart w:id="3" w:name="_Hlk110604024"/>
            <w:r>
              <w:t xml:space="preserve"> </w:t>
            </w:r>
            <w:r w:rsidR="00EB653E">
              <w:t>What</w:t>
            </w:r>
            <w:r w:rsidR="00025DBE">
              <w:t xml:space="preserve"> approaches have</w:t>
            </w:r>
            <w:r w:rsidR="00EB653E">
              <w:t xml:space="preserve"> been </w:t>
            </w:r>
            <w:r w:rsidR="00025DBE">
              <w:t>used</w:t>
            </w:r>
            <w:r w:rsidR="00EB653E">
              <w:t xml:space="preserve"> to identify potential equality and health inequalities issues</w:t>
            </w:r>
            <w:r w:rsidR="00D14D16">
              <w:t xml:space="preserve"> </w:t>
            </w:r>
            <w:r w:rsidR="00EB653E">
              <w:t>during</w:t>
            </w:r>
            <w:r w:rsidR="00D14D16">
              <w:t xml:space="preserve"> </w:t>
            </w:r>
            <w:r w:rsidR="00EB653E">
              <w:t xml:space="preserve">development of the </w:t>
            </w:r>
            <w:r w:rsidR="006320D4">
              <w:t xml:space="preserve">topic engagement </w:t>
            </w:r>
            <w:r w:rsidR="00BE00B9">
              <w:t>comments form</w:t>
            </w:r>
            <w:r w:rsidR="00EB653E">
              <w:t>?</w:t>
            </w:r>
            <w:bookmarkEnd w:id="3"/>
          </w:p>
        </w:tc>
      </w:tr>
      <w:tr w:rsidR="00EB653E" w:rsidRPr="0078563E" w14:paraId="0F41CE24" w14:textId="77777777" w:rsidTr="001553E9">
        <w:trPr>
          <w:trHeight w:val="4732"/>
        </w:trPr>
        <w:tc>
          <w:tcPr>
            <w:tcW w:w="9721" w:type="dxa"/>
          </w:tcPr>
          <w:p w14:paraId="286514FC" w14:textId="3698A22C" w:rsidR="00E11FEB" w:rsidRDefault="00E11FEB" w:rsidP="00EC297D">
            <w:pPr>
              <w:pStyle w:val="Paragraphnonumbers"/>
            </w:pPr>
            <w:r>
              <w:t>The following sources of information have been reviewed for this EHIA:</w:t>
            </w:r>
          </w:p>
          <w:p w14:paraId="7E8A448D" w14:textId="49EE9B48" w:rsidR="00660E41" w:rsidRDefault="00D06517" w:rsidP="00E11FEB">
            <w:pPr>
              <w:pStyle w:val="Bullets"/>
            </w:pPr>
            <w:r>
              <w:t xml:space="preserve">EHIA for the </w:t>
            </w:r>
            <w:r w:rsidR="00E43F67">
              <w:t xml:space="preserve">development source </w:t>
            </w:r>
            <w:hyperlink r:id="rId12">
              <w:r w:rsidRPr="59813B6C">
                <w:rPr>
                  <w:rStyle w:val="Hyperlink"/>
                </w:rPr>
                <w:t>NICE</w:t>
              </w:r>
              <w:r w:rsidR="00E16FD9" w:rsidRPr="59813B6C">
                <w:rPr>
                  <w:rStyle w:val="Hyperlink"/>
                </w:rPr>
                <w:t xml:space="preserve">’s </w:t>
              </w:r>
              <w:r w:rsidRPr="59813B6C">
                <w:rPr>
                  <w:rStyle w:val="Hyperlink"/>
                </w:rPr>
                <w:t>guideline</w:t>
              </w:r>
              <w:r w:rsidR="00EC297D" w:rsidRPr="59813B6C">
                <w:rPr>
                  <w:rStyle w:val="Hyperlink"/>
                </w:rPr>
                <w:t xml:space="preserve"> on babies, children and young people’s experience of healthcare</w:t>
              </w:r>
            </w:hyperlink>
          </w:p>
          <w:p w14:paraId="723D15AA" w14:textId="74A373BB" w:rsidR="00E11FEB" w:rsidRDefault="00E11FEB" w:rsidP="00E11FEB">
            <w:pPr>
              <w:pStyle w:val="Bullets"/>
            </w:pPr>
            <w:r>
              <w:t xml:space="preserve">The development source </w:t>
            </w:r>
            <w:hyperlink r:id="rId13" w:tgtFrame="_blank" w:history="1">
              <w:r w:rsidRPr="00E11FEB">
                <w:rPr>
                  <w:rStyle w:val="Hyperlink"/>
                </w:rPr>
                <w:t>Cass Review - Independent review of gender identity services for children and young people: Final report</w:t>
              </w:r>
            </w:hyperlink>
            <w:r>
              <w:t xml:space="preserve"> </w:t>
            </w:r>
          </w:p>
          <w:p w14:paraId="75350D07" w14:textId="7A9D95BE" w:rsidR="0089570A" w:rsidRPr="00D06517" w:rsidRDefault="00344E7D" w:rsidP="00E11FEB">
            <w:pPr>
              <w:pStyle w:val="Bullets"/>
            </w:pPr>
            <w:r>
              <w:t xml:space="preserve">EHIA for </w:t>
            </w:r>
            <w:hyperlink r:id="rId14" w:history="1">
              <w:r w:rsidR="002651C0" w:rsidRPr="00551C1D">
                <w:rPr>
                  <w:rStyle w:val="Hyperlink"/>
                </w:rPr>
                <w:t xml:space="preserve">NHS England’s </w:t>
              </w:r>
              <w:r w:rsidR="00F32B66" w:rsidRPr="00551C1D">
                <w:rPr>
                  <w:rStyle w:val="Hyperlink"/>
                </w:rPr>
                <w:t>draft service specification</w:t>
              </w:r>
              <w:r w:rsidR="007143A4" w:rsidRPr="00551C1D">
                <w:rPr>
                  <w:rStyle w:val="Hyperlink"/>
                </w:rPr>
                <w:t>:</w:t>
              </w:r>
              <w:r w:rsidR="00F32B66" w:rsidRPr="00551C1D">
                <w:rPr>
                  <w:rStyle w:val="Hyperlink"/>
                </w:rPr>
                <w:t xml:space="preserve"> </w:t>
              </w:r>
              <w:r w:rsidR="006A402D" w:rsidRPr="00551C1D">
                <w:rPr>
                  <w:rStyle w:val="Hyperlink"/>
                </w:rPr>
                <w:t>NHS Children and Young Peoples Gender Service</w:t>
              </w:r>
            </w:hyperlink>
            <w:r w:rsidR="007143A4">
              <w:t>.</w:t>
            </w:r>
          </w:p>
        </w:tc>
      </w:tr>
    </w:tbl>
    <w:p w14:paraId="6A8DF3A6" w14:textId="77777777" w:rsidR="008A6492" w:rsidRDefault="008A6492" w:rsidP="00C14F15">
      <w:pPr>
        <w:pStyle w:val="Paragraphnonumbers"/>
        <w:rPr>
          <w:rFonts w:cs="Arial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4"/>
      </w:tblGrid>
      <w:tr w:rsidR="0096171A" w:rsidRPr="00094590" w14:paraId="05C1ABEF" w14:textId="77777777" w:rsidTr="0096171A">
        <w:tc>
          <w:tcPr>
            <w:tcW w:w="9704" w:type="dxa"/>
          </w:tcPr>
          <w:p w14:paraId="38E008E3" w14:textId="5E2449DC" w:rsidR="001553E9" w:rsidRDefault="00242ABB" w:rsidP="00242ABB">
            <w:pPr>
              <w:pStyle w:val="Paragraph"/>
              <w:numPr>
                <w:ilvl w:val="1"/>
                <w:numId w:val="35"/>
              </w:numPr>
            </w:pPr>
            <w:bookmarkStart w:id="4" w:name="_Hlk110604289"/>
            <w:r>
              <w:t xml:space="preserve"> </w:t>
            </w:r>
            <w:r w:rsidR="0096171A">
              <w:t>What</w:t>
            </w:r>
            <w:r w:rsidR="0096171A" w:rsidRPr="0078563E">
              <w:t xml:space="preserve"> potential equality</w:t>
            </w:r>
            <w:r w:rsidR="0096171A">
              <w:t xml:space="preserve"> and health inequalities</w:t>
            </w:r>
            <w:r w:rsidR="0096171A" w:rsidRPr="0078563E">
              <w:t xml:space="preserve"> issues </w:t>
            </w:r>
            <w:r w:rsidR="0096171A">
              <w:t xml:space="preserve">have </w:t>
            </w:r>
            <w:r w:rsidR="0096171A" w:rsidRPr="0078563E">
              <w:t xml:space="preserve">been identified during development of the </w:t>
            </w:r>
            <w:r w:rsidR="006320D4">
              <w:t xml:space="preserve">topic engagement </w:t>
            </w:r>
            <w:r w:rsidR="00BE00B9">
              <w:t>c</w:t>
            </w:r>
            <w:r w:rsidR="006320D4">
              <w:t>o</w:t>
            </w:r>
            <w:r w:rsidR="00BE00B9">
              <w:t>mments form</w:t>
            </w:r>
            <w:r w:rsidR="0096171A" w:rsidRPr="0078563E">
              <w:t>?</w:t>
            </w:r>
            <w:bookmarkEnd w:id="4"/>
          </w:p>
        </w:tc>
      </w:tr>
      <w:tr w:rsidR="00694918" w:rsidRPr="00094590" w14:paraId="2B9FDC2E" w14:textId="77777777" w:rsidTr="001553E9">
        <w:tc>
          <w:tcPr>
            <w:tcW w:w="9704" w:type="dxa"/>
          </w:tcPr>
          <w:p w14:paraId="61B6873D" w14:textId="77777777" w:rsidR="002E0A2C" w:rsidRDefault="00A32D00" w:rsidP="00A32D00">
            <w:pPr>
              <w:pStyle w:val="Paragraph"/>
              <w:numPr>
                <w:ilvl w:val="0"/>
                <w:numId w:val="21"/>
              </w:numPr>
              <w:spacing w:after="0"/>
            </w:pPr>
            <w:r w:rsidRPr="59813B6C">
              <w:t xml:space="preserve">Protected characteristics outlined in the Equality Act 2010 </w:t>
            </w:r>
          </w:p>
          <w:p w14:paraId="328CAB6F" w14:textId="77777777" w:rsidR="003419E3" w:rsidRDefault="003419E3" w:rsidP="002E0A2C">
            <w:pPr>
              <w:pStyle w:val="Paragraph"/>
              <w:spacing w:after="0"/>
              <w:ind w:left="360"/>
            </w:pPr>
          </w:p>
          <w:p w14:paraId="1368715A" w14:textId="4E872B15" w:rsidR="002E0A2C" w:rsidRDefault="002E0A2C" w:rsidP="002E0A2C">
            <w:pPr>
              <w:pStyle w:val="Paragraph"/>
              <w:spacing w:after="0"/>
              <w:ind w:left="360"/>
            </w:pPr>
            <w:r w:rsidRPr="59813B6C">
              <w:t>A</w:t>
            </w:r>
            <w:r w:rsidR="00A32D00" w:rsidRPr="59813B6C">
              <w:t>ge</w:t>
            </w:r>
          </w:p>
          <w:p w14:paraId="1851BCFE" w14:textId="0B7161B2" w:rsidR="60F27AE2" w:rsidRDefault="00976BD3" w:rsidP="59813B6C">
            <w:pPr>
              <w:pStyle w:val="Paragraph"/>
              <w:spacing w:after="0"/>
              <w:ind w:left="360"/>
            </w:pPr>
            <w:r>
              <w:t xml:space="preserve">This quality standard </w:t>
            </w:r>
            <w:r w:rsidR="00BB2CD2">
              <w:t xml:space="preserve">only covers people aged under 18 as this is the population group covered by </w:t>
            </w:r>
            <w:r w:rsidR="00BB2CD2" w:rsidRPr="00BB2CD2">
              <w:t xml:space="preserve">NHS Children and Young People’s </w:t>
            </w:r>
            <w:r w:rsidR="0026091C">
              <w:t xml:space="preserve">(CYP) </w:t>
            </w:r>
            <w:r w:rsidR="00BB2CD2" w:rsidRPr="00BB2CD2">
              <w:t>Gender Service</w:t>
            </w:r>
            <w:r w:rsidR="005907D7">
              <w:t xml:space="preserve">. </w:t>
            </w:r>
            <w:r w:rsidR="0088230F">
              <w:t>Some</w:t>
            </w:r>
            <w:r w:rsidR="005B44E1">
              <w:t xml:space="preserve"> young people </w:t>
            </w:r>
            <w:r w:rsidR="00612AFE">
              <w:t xml:space="preserve">are likely to </w:t>
            </w:r>
            <w:r w:rsidR="005B44E1">
              <w:t>become to</w:t>
            </w:r>
            <w:r w:rsidR="00612AFE">
              <w:t>o</w:t>
            </w:r>
            <w:r w:rsidR="005B44E1">
              <w:t xml:space="preserve"> old to be seen by the CYP</w:t>
            </w:r>
            <w:r w:rsidR="00612AFE">
              <w:t xml:space="preserve"> Gender Service due to the size of the waiting list. </w:t>
            </w:r>
            <w:r w:rsidR="10E6B7FE" w:rsidRPr="59813B6C">
              <w:t>There were 5,699 individuals on the waiting list on 30 June 2025</w:t>
            </w:r>
            <w:r w:rsidR="002A624F">
              <w:t xml:space="preserve"> (</w:t>
            </w:r>
            <w:hyperlink r:id="rId15">
              <w:r w:rsidR="67A9368A" w:rsidRPr="58DFE112">
                <w:rPr>
                  <w:rStyle w:val="Hyperlink"/>
                </w:rPr>
                <w:t>NHS England’s EHIA for the draft service specification</w:t>
              </w:r>
            </w:hyperlink>
            <w:r w:rsidR="4C584DFB">
              <w:t>)</w:t>
            </w:r>
            <w:r w:rsidR="500A0FD2">
              <w:t>.</w:t>
            </w:r>
            <w:r w:rsidR="10E6B7FE" w:rsidRPr="59813B6C">
              <w:t xml:space="preserve"> </w:t>
            </w:r>
            <w:r w:rsidR="00D44A42">
              <w:t>T</w:t>
            </w:r>
            <w:r w:rsidR="00530D6E">
              <w:t xml:space="preserve">he average number </w:t>
            </w:r>
            <w:r w:rsidR="00023B07">
              <w:t xml:space="preserve">of individuals per month </w:t>
            </w:r>
            <w:r w:rsidR="00D44A42">
              <w:t xml:space="preserve">forecast to leave the </w:t>
            </w:r>
            <w:r w:rsidR="00AE76D8">
              <w:t>waiting list was 180 for the period July to December 2025.</w:t>
            </w:r>
          </w:p>
          <w:p w14:paraId="10FCC795" w14:textId="3A1B5953" w:rsidR="69B26021" w:rsidRDefault="69B26021" w:rsidP="59813B6C">
            <w:pPr>
              <w:pStyle w:val="Paragraph"/>
              <w:spacing w:after="0"/>
              <w:ind w:left="360"/>
            </w:pPr>
            <w:r w:rsidRPr="59813B6C">
              <w:t xml:space="preserve">The </w:t>
            </w:r>
            <w:hyperlink r:id="rId16" w:history="1">
              <w:r w:rsidRPr="00AA0097">
                <w:rPr>
                  <w:rStyle w:val="Hyperlink"/>
                </w:rPr>
                <w:t xml:space="preserve">Cass </w:t>
              </w:r>
              <w:r w:rsidR="00E11FEB" w:rsidRPr="00AA0097">
                <w:rPr>
                  <w:rStyle w:val="Hyperlink"/>
                </w:rPr>
                <w:t>R</w:t>
              </w:r>
              <w:r w:rsidRPr="00AA0097">
                <w:rPr>
                  <w:rStyle w:val="Hyperlink"/>
                </w:rPr>
                <w:t>eview</w:t>
              </w:r>
            </w:hyperlink>
            <w:r w:rsidRPr="59813B6C">
              <w:t xml:space="preserve"> recommended that a separate pathway should be established for pre-pubertal children and their families and that providers should ensure that pre-pubertal children and their parents/carers are prioritised for early discussion with a professional with relevant experience. This </w:t>
            </w:r>
            <w:r w:rsidR="00E11FEB">
              <w:t xml:space="preserve">prioritisation </w:t>
            </w:r>
            <w:r w:rsidRPr="59813B6C">
              <w:t xml:space="preserve">could </w:t>
            </w:r>
            <w:r w:rsidR="2F7572AD" w:rsidRPr="59813B6C">
              <w:t>increase the waiting time for older children.</w:t>
            </w:r>
          </w:p>
          <w:p w14:paraId="766C698F" w14:textId="77777777" w:rsidR="006778DB" w:rsidRDefault="006778DB" w:rsidP="002E0A2C">
            <w:pPr>
              <w:pStyle w:val="Paragraph"/>
              <w:spacing w:after="0"/>
              <w:ind w:left="360"/>
            </w:pPr>
          </w:p>
          <w:p w14:paraId="44A6AE1A" w14:textId="5B982265" w:rsidR="002E0A2C" w:rsidRDefault="002E0A2C" w:rsidP="002E0A2C">
            <w:pPr>
              <w:pStyle w:val="Paragraph"/>
              <w:spacing w:after="0"/>
              <w:ind w:left="360"/>
            </w:pPr>
            <w:r w:rsidRPr="59813B6C">
              <w:t>D</w:t>
            </w:r>
            <w:r w:rsidR="00A32D00" w:rsidRPr="59813B6C">
              <w:t>isability</w:t>
            </w:r>
          </w:p>
          <w:p w14:paraId="72E40EE2" w14:textId="162C4673" w:rsidR="00476F53" w:rsidRDefault="00A76469" w:rsidP="002E0A2C">
            <w:pPr>
              <w:pStyle w:val="Paragraph"/>
              <w:spacing w:after="0"/>
              <w:ind w:left="360"/>
            </w:pPr>
            <w:r>
              <w:lastRenderedPageBreak/>
              <w:t>Many c</w:t>
            </w:r>
            <w:r w:rsidR="002178D1">
              <w:t xml:space="preserve">hildren and young people using gender services are likely to have </w:t>
            </w:r>
            <w:r w:rsidR="002178D1" w:rsidRPr="002178D1">
              <w:t>co-occurring conditions</w:t>
            </w:r>
            <w:r w:rsidR="007204F6">
              <w:t xml:space="preserve"> with wide</w:t>
            </w:r>
            <w:r w:rsidR="00A50FFA">
              <w:t>-ranging needs</w:t>
            </w:r>
            <w:r w:rsidR="00EE5BB6">
              <w:t>.</w:t>
            </w:r>
            <w:r w:rsidR="00620243">
              <w:t xml:space="preserve"> </w:t>
            </w:r>
            <w:r w:rsidR="00476F53">
              <w:t xml:space="preserve">The </w:t>
            </w:r>
            <w:hyperlink r:id="rId17" w:history="1">
              <w:r w:rsidR="00511BB0" w:rsidRPr="00D20EB6">
                <w:rPr>
                  <w:rStyle w:val="Hyperlink"/>
                </w:rPr>
                <w:t>Cass Review</w:t>
              </w:r>
            </w:hyperlink>
            <w:r w:rsidR="00511BB0">
              <w:t xml:space="preserve"> used a range of information sources to understand the patient profile. It reported that</w:t>
            </w:r>
            <w:r w:rsidR="00476F53">
              <w:t>:</w:t>
            </w:r>
          </w:p>
          <w:p w14:paraId="56B0533F" w14:textId="2C44A520" w:rsidR="00476F53" w:rsidRDefault="00511BB0" w:rsidP="00476F53">
            <w:pPr>
              <w:pStyle w:val="Paragraph"/>
              <w:numPr>
                <w:ilvl w:val="0"/>
                <w:numId w:val="43"/>
              </w:numPr>
              <w:spacing w:after="0"/>
            </w:pPr>
            <w:r w:rsidRPr="00511BB0">
              <w:t xml:space="preserve">rates of </w:t>
            </w:r>
            <w:r>
              <w:t xml:space="preserve">general mental health issues such as </w:t>
            </w:r>
            <w:r w:rsidRPr="00511BB0">
              <w:t>depression, anxiety and eating disorders were higher in the gender clinic referred population than in the general population</w:t>
            </w:r>
            <w:r w:rsidR="008A6CF2">
              <w:t>.</w:t>
            </w:r>
          </w:p>
          <w:p w14:paraId="1DD2274D" w14:textId="45767E2A" w:rsidR="00511BB0" w:rsidRDefault="00511BB0" w:rsidP="00476F53">
            <w:pPr>
              <w:pStyle w:val="Paragraph"/>
              <w:numPr>
                <w:ilvl w:val="0"/>
                <w:numId w:val="43"/>
              </w:numPr>
              <w:spacing w:after="0"/>
            </w:pPr>
            <w:r w:rsidRPr="00511BB0">
              <w:t>research studies have suggested that transgender and gender diverse individuals are three to six times more likely to be autistic than cisgender individuals, after controlling for age and educational attainment</w:t>
            </w:r>
            <w:r w:rsidR="00476F53">
              <w:t>.</w:t>
            </w:r>
          </w:p>
          <w:p w14:paraId="4F38D3C3" w14:textId="6E7D6FD8" w:rsidR="00476F53" w:rsidRDefault="00476F53" w:rsidP="00476F53">
            <w:pPr>
              <w:pStyle w:val="Paragraph"/>
              <w:numPr>
                <w:ilvl w:val="0"/>
                <w:numId w:val="43"/>
              </w:numPr>
              <w:spacing w:after="0"/>
            </w:pPr>
            <w:r w:rsidRPr="00476F53">
              <w:t xml:space="preserve">discussions with clinicians </w:t>
            </w:r>
            <w:r>
              <w:t xml:space="preserve">in </w:t>
            </w:r>
            <w:r w:rsidRPr="00476F53">
              <w:t>specialist clinics for children with body dysmorphic disorder; eating disorder services and services for children with tics</w:t>
            </w:r>
            <w:r>
              <w:t xml:space="preserve"> </w:t>
            </w:r>
            <w:r w:rsidRPr="00476F53">
              <w:t>described young people presenting with these conditions in combination with gender-questioning or gender-related distress.</w:t>
            </w:r>
          </w:p>
          <w:p w14:paraId="686CB76B" w14:textId="77777777" w:rsidR="008A6CF2" w:rsidRDefault="008A6CF2" w:rsidP="008A6CF2">
            <w:pPr>
              <w:pStyle w:val="Paragraph"/>
              <w:spacing w:after="0"/>
              <w:ind w:left="357"/>
            </w:pPr>
          </w:p>
          <w:p w14:paraId="6F8C42B3" w14:textId="01CB1EE4" w:rsidR="008A6CF2" w:rsidRDefault="002E0A2C" w:rsidP="008A6CF2">
            <w:pPr>
              <w:pStyle w:val="Paragraph"/>
              <w:spacing w:after="0"/>
              <w:ind w:left="357"/>
            </w:pPr>
            <w:r w:rsidRPr="59813B6C">
              <w:t>G</w:t>
            </w:r>
            <w:r w:rsidR="00A32D00" w:rsidRPr="59813B6C">
              <w:t>ender reassignment</w:t>
            </w:r>
          </w:p>
          <w:p w14:paraId="457CFB5D" w14:textId="4C0E083B" w:rsidR="00AE548B" w:rsidRDefault="0054339F" w:rsidP="0054339F">
            <w:pPr>
              <w:pStyle w:val="Paragraph"/>
              <w:ind w:left="360"/>
            </w:pPr>
            <w:r>
              <w:t xml:space="preserve">Long waiting lists may delay access to </w:t>
            </w:r>
            <w:r w:rsidR="006A5446">
              <w:t xml:space="preserve">the </w:t>
            </w:r>
            <w:r>
              <w:t xml:space="preserve">NHS </w:t>
            </w:r>
            <w:r w:rsidR="00B40EA5">
              <w:t xml:space="preserve">CYP </w:t>
            </w:r>
            <w:r w:rsidR="00531D11">
              <w:t>G</w:t>
            </w:r>
            <w:r>
              <w:t xml:space="preserve">ender </w:t>
            </w:r>
            <w:r w:rsidR="00531D11">
              <w:t>S</w:t>
            </w:r>
            <w:r>
              <w:t xml:space="preserve">ervice for some people with this protected characteristic. </w:t>
            </w:r>
          </w:p>
          <w:p w14:paraId="51F1E6AD" w14:textId="295D855A" w:rsidR="004F0584" w:rsidRDefault="004F0584" w:rsidP="0054339F">
            <w:pPr>
              <w:pStyle w:val="Paragraph"/>
              <w:ind w:left="360"/>
            </w:pPr>
            <w:r>
              <w:t xml:space="preserve">Some children and young people may be sourcing hormone medications from unregulated providers in the expectation that the NHS CYP </w:t>
            </w:r>
            <w:r w:rsidR="00531D11">
              <w:t xml:space="preserve">Gender </w:t>
            </w:r>
            <w:r>
              <w:t xml:space="preserve">Service </w:t>
            </w:r>
            <w:r w:rsidR="004B47B3">
              <w:t xml:space="preserve">will </w:t>
            </w:r>
            <w:r>
              <w:t xml:space="preserve">assume responsibility for prescribing or agree a shared care approach for prescribing. This will not be possible under the terms of </w:t>
            </w:r>
            <w:hyperlink r:id="rId18" w:history="1">
              <w:r w:rsidR="00882650" w:rsidRPr="001C59AD">
                <w:rPr>
                  <w:rStyle w:val="Hyperlink"/>
                </w:rPr>
                <w:t>NHS England</w:t>
              </w:r>
              <w:r w:rsidR="00ED6EAA" w:rsidRPr="001C59AD">
                <w:rPr>
                  <w:rStyle w:val="Hyperlink"/>
                </w:rPr>
                <w:t>’s</w:t>
              </w:r>
              <w:r w:rsidRPr="001C59AD">
                <w:rPr>
                  <w:rStyle w:val="Hyperlink"/>
                </w:rPr>
                <w:t xml:space="preserve"> </w:t>
              </w:r>
              <w:r w:rsidR="001C59AD" w:rsidRPr="001C59AD">
                <w:rPr>
                  <w:rStyle w:val="Hyperlink"/>
                </w:rPr>
                <w:t>draft s</w:t>
              </w:r>
              <w:r w:rsidRPr="001C59AD">
                <w:rPr>
                  <w:rStyle w:val="Hyperlink"/>
                </w:rPr>
                <w:t>ervice specification</w:t>
              </w:r>
            </w:hyperlink>
            <w:r w:rsidR="00EE5BB6">
              <w:t>.</w:t>
            </w:r>
            <w:r w:rsidR="0054339F">
              <w:t xml:space="preserve"> Support may be needed for children and young people in these circumstances.</w:t>
            </w:r>
            <w:r w:rsidR="00EE5BB6">
              <w:t xml:space="preserve"> </w:t>
            </w:r>
          </w:p>
          <w:p w14:paraId="1F319DB3" w14:textId="77777777" w:rsidR="00B857DB" w:rsidRDefault="002E0A2C" w:rsidP="002E0A2C">
            <w:pPr>
              <w:pStyle w:val="Paragraph"/>
              <w:spacing w:after="0"/>
              <w:ind w:left="360"/>
            </w:pPr>
            <w:r w:rsidRPr="59813B6C">
              <w:t>P</w:t>
            </w:r>
            <w:r w:rsidR="00A32D00" w:rsidRPr="59813B6C">
              <w:t>regnancy and maternity</w:t>
            </w:r>
          </w:p>
          <w:p w14:paraId="60CB513F" w14:textId="3AA320E4" w:rsidR="002E0A2C" w:rsidRDefault="00251C48" w:rsidP="002E0A2C">
            <w:pPr>
              <w:pStyle w:val="Paragraph"/>
              <w:spacing w:after="0"/>
              <w:ind w:left="360"/>
            </w:pPr>
            <w:r>
              <w:t>No issues identified at this stage.</w:t>
            </w:r>
          </w:p>
          <w:p w14:paraId="71574067" w14:textId="77777777" w:rsidR="00251C48" w:rsidRDefault="00251C48" w:rsidP="002E0A2C">
            <w:pPr>
              <w:pStyle w:val="Paragraph"/>
              <w:spacing w:after="0"/>
              <w:ind w:left="360"/>
            </w:pPr>
          </w:p>
          <w:p w14:paraId="1B8E4DFD" w14:textId="77777777" w:rsidR="00B857DB" w:rsidRDefault="002E0A2C" w:rsidP="00B857DB">
            <w:pPr>
              <w:pStyle w:val="Paragraph"/>
              <w:spacing w:after="0"/>
              <w:ind w:left="357"/>
            </w:pPr>
            <w:r w:rsidRPr="59813B6C">
              <w:t>Ra</w:t>
            </w:r>
            <w:r w:rsidR="00A32D00" w:rsidRPr="59813B6C">
              <w:t>ce</w:t>
            </w:r>
          </w:p>
          <w:p w14:paraId="3557CF2F" w14:textId="240B18CE" w:rsidR="002E0A2C" w:rsidRDefault="00251C48" w:rsidP="002871DB">
            <w:pPr>
              <w:pStyle w:val="Paragraph"/>
              <w:ind w:left="360"/>
            </w:pPr>
            <w:r>
              <w:t xml:space="preserve">There is limited information available on race and ethnicity of service users. </w:t>
            </w:r>
            <w:r w:rsidR="001650E7">
              <w:t>Da</w:t>
            </w:r>
            <w:r>
              <w:t xml:space="preserve">ta on the ethnicity of children and young people on the waiting list for </w:t>
            </w:r>
            <w:r w:rsidR="009C3E2F">
              <w:t xml:space="preserve">the </w:t>
            </w:r>
            <w:r w:rsidR="001C59AD">
              <w:t xml:space="preserve">NHS </w:t>
            </w:r>
            <w:r>
              <w:t xml:space="preserve">CYP Gender Service </w:t>
            </w:r>
            <w:r w:rsidR="00B857DB">
              <w:t xml:space="preserve">for </w:t>
            </w:r>
            <w:r>
              <w:t xml:space="preserve">February 2025 </w:t>
            </w:r>
            <w:r w:rsidR="001650E7">
              <w:t>is available</w:t>
            </w:r>
            <w:r w:rsidR="009C1594">
              <w:t xml:space="preserve"> (</w:t>
            </w:r>
            <w:hyperlink r:id="rId19" w:history="1">
              <w:r w:rsidR="009C1594" w:rsidRPr="001A2FE9">
                <w:rPr>
                  <w:rStyle w:val="Hyperlink"/>
                </w:rPr>
                <w:t>NHS England’s EHIA for the draft service specification</w:t>
              </w:r>
            </w:hyperlink>
            <w:r w:rsidR="009C1594">
              <w:t>)</w:t>
            </w:r>
            <w:r w:rsidR="001650E7">
              <w:t xml:space="preserve">. However, </w:t>
            </w:r>
            <w:r w:rsidR="00916A76">
              <w:t xml:space="preserve">the </w:t>
            </w:r>
            <w:r w:rsidR="001650E7">
              <w:t xml:space="preserve">ethnicity of nearly a third of individuals </w:t>
            </w:r>
            <w:r w:rsidR="00D26BF1">
              <w:t xml:space="preserve">who are waiting </w:t>
            </w:r>
            <w:r w:rsidR="001650E7">
              <w:t>is unknown</w:t>
            </w:r>
            <w:r w:rsidR="00916A76">
              <w:t xml:space="preserve">. </w:t>
            </w:r>
            <w:r w:rsidR="00F154BA">
              <w:t xml:space="preserve">NHS England report </w:t>
            </w:r>
            <w:r w:rsidR="00786919">
              <w:t>that ‘</w:t>
            </w:r>
            <w:r w:rsidR="00B34DA2">
              <w:t>O</w:t>
            </w:r>
            <w:r w:rsidR="00C84A9B">
              <w:t xml:space="preserve">f the data that </w:t>
            </w:r>
            <w:r w:rsidR="00B34DA2">
              <w:t>is available</w:t>
            </w:r>
            <w:r w:rsidR="00916A76">
              <w:t>, there is</w:t>
            </w:r>
            <w:r w:rsidR="001650E7">
              <w:t xml:space="preserve"> over-representation of individuals who are </w:t>
            </w:r>
            <w:r w:rsidR="00F50626">
              <w:t>w</w:t>
            </w:r>
            <w:r w:rsidR="001650E7">
              <w:t xml:space="preserve">hite (63.3%)’. </w:t>
            </w:r>
            <w:r w:rsidR="002871DB">
              <w:t xml:space="preserve">Reasons for low numbers for </w:t>
            </w:r>
            <w:r w:rsidR="00891EEC">
              <w:t>e</w:t>
            </w:r>
            <w:r w:rsidR="002871DB">
              <w:t xml:space="preserve">thnic </w:t>
            </w:r>
            <w:r w:rsidR="00831F7C">
              <w:t xml:space="preserve">minority </w:t>
            </w:r>
            <w:r w:rsidR="002871DB">
              <w:t>groups on the waiting list are not well known. Potential barriers in access to service provision need to be considered</w:t>
            </w:r>
            <w:r w:rsidR="00891EEC">
              <w:t xml:space="preserve"> for people from ethnic minority backgrounds</w:t>
            </w:r>
            <w:r w:rsidR="002871DB">
              <w:t>.</w:t>
            </w:r>
          </w:p>
          <w:p w14:paraId="772D0FDF" w14:textId="77777777" w:rsidR="00A63767" w:rsidRDefault="002E0A2C" w:rsidP="002E0A2C">
            <w:pPr>
              <w:pStyle w:val="Paragraph"/>
              <w:spacing w:after="0"/>
              <w:ind w:left="360"/>
            </w:pPr>
            <w:r w:rsidRPr="59813B6C">
              <w:t>R</w:t>
            </w:r>
            <w:r w:rsidR="00A32D00" w:rsidRPr="59813B6C">
              <w:t>eligion or belief</w:t>
            </w:r>
          </w:p>
          <w:p w14:paraId="60653C0E" w14:textId="1F0AAA1E" w:rsidR="002E0A2C" w:rsidRDefault="002347BB" w:rsidP="002E0A2C">
            <w:pPr>
              <w:pStyle w:val="Paragraph"/>
              <w:spacing w:after="0"/>
              <w:ind w:left="360"/>
            </w:pPr>
            <w:r w:rsidRPr="002347BB">
              <w:t>No issues identified at this stage.</w:t>
            </w:r>
          </w:p>
          <w:p w14:paraId="4E2D5B9A" w14:textId="77777777" w:rsidR="006778DB" w:rsidRDefault="006778DB" w:rsidP="002E0A2C">
            <w:pPr>
              <w:pStyle w:val="Paragraph"/>
              <w:spacing w:after="0"/>
              <w:ind w:left="360"/>
            </w:pPr>
          </w:p>
          <w:p w14:paraId="1B9A3635" w14:textId="41B4BFC2" w:rsidR="002E0A2C" w:rsidRDefault="002E0A2C" w:rsidP="002E0A2C">
            <w:pPr>
              <w:pStyle w:val="Paragraph"/>
              <w:spacing w:after="0"/>
              <w:ind w:left="360"/>
            </w:pPr>
            <w:r w:rsidRPr="001A61CE">
              <w:t>Se</w:t>
            </w:r>
            <w:r w:rsidR="00A32D00" w:rsidRPr="001A61CE">
              <w:t>x</w:t>
            </w:r>
          </w:p>
          <w:p w14:paraId="7C96ECD1" w14:textId="1D2AA3C7" w:rsidR="00A63767" w:rsidRDefault="00A63767" w:rsidP="00A63767">
            <w:pPr>
              <w:pStyle w:val="Paragraph"/>
              <w:ind w:left="360"/>
            </w:pPr>
            <w:r>
              <w:lastRenderedPageBreak/>
              <w:t>Based on recent referrals, around 65% of referrals to the NHS CYP Gender Service are of natal females</w:t>
            </w:r>
            <w:r w:rsidR="00C26171">
              <w:t xml:space="preserve"> (</w:t>
            </w:r>
            <w:hyperlink r:id="rId20" w:history="1">
              <w:r w:rsidR="00C26171" w:rsidRPr="001A2FE9">
                <w:rPr>
                  <w:rStyle w:val="Hyperlink"/>
                </w:rPr>
                <w:t>NHS England’s EHIA for the draft service specification</w:t>
              </w:r>
            </w:hyperlink>
            <w:r w:rsidR="00164DAF">
              <w:t>)</w:t>
            </w:r>
            <w:r>
              <w:t xml:space="preserve">. </w:t>
            </w:r>
          </w:p>
          <w:p w14:paraId="71EF6894" w14:textId="310C640E" w:rsidR="00272EBC" w:rsidRDefault="00272EBC" w:rsidP="00272EBC">
            <w:pPr>
              <w:pStyle w:val="Paragraph"/>
              <w:ind w:left="360"/>
            </w:pPr>
            <w:r>
              <w:t xml:space="preserve">The </w:t>
            </w:r>
            <w:hyperlink r:id="rId21" w:history="1">
              <w:r w:rsidRPr="000A3589">
                <w:rPr>
                  <w:rStyle w:val="Hyperlink"/>
                </w:rPr>
                <w:t>Cass Review</w:t>
              </w:r>
            </w:hyperlink>
            <w:r>
              <w:t xml:space="preserve"> included referral data </w:t>
            </w:r>
            <w:r w:rsidR="00EE5797">
              <w:t xml:space="preserve">for </w:t>
            </w:r>
            <w:r>
              <w:t xml:space="preserve">the </w:t>
            </w:r>
            <w:r w:rsidRPr="00CC6831">
              <w:t xml:space="preserve">Gender Identity Development </w:t>
            </w:r>
            <w:r>
              <w:t>S</w:t>
            </w:r>
            <w:r w:rsidRPr="00CC6831">
              <w:t>ervice</w:t>
            </w:r>
            <w:r w:rsidR="009043BD">
              <w:t xml:space="preserve"> (</w:t>
            </w:r>
            <w:r w:rsidR="00DB2CC2">
              <w:t xml:space="preserve">this was based at </w:t>
            </w:r>
            <w:r w:rsidR="00DB2CC2" w:rsidRPr="00DB2CC2">
              <w:t>Tavistock and Portman NHS Foundation Trust</w:t>
            </w:r>
            <w:r w:rsidR="00DB2CC2">
              <w:t xml:space="preserve"> and closed following the Cass Review)</w:t>
            </w:r>
            <w:r>
              <w:t xml:space="preserve">. </w:t>
            </w:r>
            <w:r w:rsidR="00CF042A">
              <w:t xml:space="preserve">In the period </w:t>
            </w:r>
            <w:r w:rsidR="00CF042A" w:rsidRPr="00CF042A">
              <w:t>2018 to 2022</w:t>
            </w:r>
            <w:r w:rsidR="00CF042A">
              <w:t xml:space="preserve">, </w:t>
            </w:r>
            <w:r w:rsidRPr="00420944">
              <w:t xml:space="preserve">73% </w:t>
            </w:r>
            <w:r>
              <w:t xml:space="preserve">of referrals </w:t>
            </w:r>
            <w:r w:rsidRPr="00420944">
              <w:t>were birth-registered females and 27% birth-registered males.</w:t>
            </w:r>
            <w:r>
              <w:t xml:space="preserve"> Referrals to the </w:t>
            </w:r>
            <w:r w:rsidRPr="00F43725">
              <w:t xml:space="preserve">Gender Identity Development Service </w:t>
            </w:r>
            <w:r>
              <w:t xml:space="preserve">increased exponentially from 2014, </w:t>
            </w:r>
            <w:r w:rsidRPr="00CA59A3">
              <w:t>with most referrals being birth-registered females presenting in early teenage years</w:t>
            </w:r>
            <w:r>
              <w:t>.  Data from a sample of electronic primary care records (</w:t>
            </w:r>
            <w:r w:rsidRPr="008158E0">
              <w:t>Clinical Practice Research Datalink</w:t>
            </w:r>
            <w:r>
              <w:t>) showed p</w:t>
            </w:r>
            <w:r w:rsidRPr="00517077">
              <w:t xml:space="preserve">revalence of gender dysphoria/incongruence </w:t>
            </w:r>
            <w:r w:rsidRPr="00733185">
              <w:t>in recorded females</w:t>
            </w:r>
            <w:r>
              <w:t xml:space="preserve"> </w:t>
            </w:r>
            <w:r w:rsidRPr="00517077">
              <w:t xml:space="preserve">was </w:t>
            </w:r>
            <w:r w:rsidRPr="00733185">
              <w:t xml:space="preserve">approximately twice as high as in recorded males </w:t>
            </w:r>
            <w:r>
              <w:t>in</w:t>
            </w:r>
            <w:r w:rsidRPr="00733185">
              <w:t xml:space="preserve"> 2021</w:t>
            </w:r>
            <w:r>
              <w:t xml:space="preserve">. Prevalence of </w:t>
            </w:r>
            <w:r w:rsidRPr="00A47235">
              <w:t xml:space="preserve">gender dysphoria/incongruence </w:t>
            </w:r>
            <w:r>
              <w:t>had been similar in r</w:t>
            </w:r>
            <w:r w:rsidRPr="00A47235">
              <w:t>ecorded males and females up to 2015</w:t>
            </w:r>
            <w:r>
              <w:t xml:space="preserve"> after which prevalence increased more quickly in recorded females.</w:t>
            </w:r>
            <w:r w:rsidRPr="00A47235">
              <w:t xml:space="preserve"> </w:t>
            </w:r>
            <w:r>
              <w:t xml:space="preserve">This primary care data does not </w:t>
            </w:r>
            <w:r w:rsidRPr="00517077">
              <w:t>indicate whether the recorded gender had been changed</w:t>
            </w:r>
            <w:r>
              <w:t>, though.</w:t>
            </w:r>
          </w:p>
          <w:p w14:paraId="32497465" w14:textId="77777777" w:rsidR="007C63FC" w:rsidRPr="006900C9" w:rsidRDefault="007C63FC" w:rsidP="007C63FC">
            <w:pPr>
              <w:pStyle w:val="Paragraph"/>
              <w:spacing w:after="0"/>
              <w:ind w:left="360"/>
            </w:pPr>
            <w:r w:rsidRPr="006900C9">
              <w:t>Sexual orientation:</w:t>
            </w:r>
          </w:p>
          <w:p w14:paraId="47032793" w14:textId="69FE67D1" w:rsidR="007C63FC" w:rsidRDefault="00127E11" w:rsidP="007C63FC">
            <w:pPr>
              <w:pStyle w:val="Paragraph"/>
              <w:spacing w:after="0"/>
              <w:ind w:left="360"/>
            </w:pPr>
            <w:r w:rsidRPr="00127E11">
              <w:t>No issues identified at this stage</w:t>
            </w:r>
            <w:r>
              <w:t>.</w:t>
            </w:r>
          </w:p>
          <w:p w14:paraId="631D1A32" w14:textId="77777777" w:rsidR="00A63767" w:rsidRDefault="00A63767" w:rsidP="002E0A2C">
            <w:pPr>
              <w:pStyle w:val="Paragraph"/>
              <w:spacing w:after="0"/>
              <w:ind w:left="360"/>
            </w:pPr>
          </w:p>
          <w:p w14:paraId="2AC3B6B4" w14:textId="260D5D57" w:rsidR="00275F8F" w:rsidRDefault="00275F8F" w:rsidP="00275F8F">
            <w:pPr>
              <w:pStyle w:val="Paragraph"/>
              <w:spacing w:after="0"/>
            </w:pPr>
            <w:r w:rsidRPr="00275F8F">
              <w:t>2</w:t>
            </w:r>
            <w:r w:rsidR="00346E2C">
              <w:t>)</w:t>
            </w:r>
            <w:r w:rsidRPr="00FD4C42">
              <w:rPr>
                <w:i/>
                <w:iCs/>
              </w:rPr>
              <w:t xml:space="preserve"> </w:t>
            </w:r>
            <w:r w:rsidRPr="00FD4C42">
              <w:t>Socioeconomic status and deprivation</w:t>
            </w:r>
          </w:p>
          <w:p w14:paraId="6E145C7D" w14:textId="77777777" w:rsidR="00534FCE" w:rsidRDefault="00534FCE" w:rsidP="00275F8F">
            <w:pPr>
              <w:pStyle w:val="Paragraph"/>
              <w:spacing w:after="0"/>
            </w:pPr>
          </w:p>
          <w:p w14:paraId="3144DA9A" w14:textId="489743E4" w:rsidR="00275F8F" w:rsidRDefault="00275F8F" w:rsidP="00275F8F">
            <w:pPr>
              <w:pStyle w:val="Paragraph"/>
              <w:spacing w:after="0"/>
            </w:pPr>
            <w:r w:rsidRPr="00FD4C42">
              <w:t xml:space="preserve">No issues identified at this stage. </w:t>
            </w:r>
            <w:r>
              <w:t xml:space="preserve">The </w:t>
            </w:r>
            <w:hyperlink r:id="rId22" w:history="1">
              <w:r w:rsidRPr="00F62131">
                <w:rPr>
                  <w:rStyle w:val="Hyperlink"/>
                </w:rPr>
                <w:t>Cass Review</w:t>
              </w:r>
            </w:hyperlink>
            <w:r>
              <w:t xml:space="preserve"> included analysis of d</w:t>
            </w:r>
            <w:r w:rsidRPr="00FD4C42">
              <w:t>ata from a sample of electronic primary care records (Clinical Practice Research Datalink)</w:t>
            </w:r>
            <w:r>
              <w:t xml:space="preserve">. This showed </w:t>
            </w:r>
            <w:r w:rsidRPr="00FD4C42">
              <w:t>no consistent relationship between gender dysphoria/incongruence and area deprivation</w:t>
            </w:r>
            <w:r>
              <w:t xml:space="preserve"> measured using the </w:t>
            </w:r>
            <w:r w:rsidRPr="00FD4C42">
              <w:t>Index of Multiple Deprivation</w:t>
            </w:r>
            <w:r>
              <w:t>.</w:t>
            </w:r>
          </w:p>
          <w:p w14:paraId="784FD6FF" w14:textId="77777777" w:rsidR="00275F8F" w:rsidRPr="00275F8F" w:rsidRDefault="00275F8F" w:rsidP="00275F8F">
            <w:pPr>
              <w:pStyle w:val="Paragraph"/>
              <w:spacing w:after="0"/>
              <w:rPr>
                <w:highlight w:val="lightGray"/>
              </w:rPr>
            </w:pPr>
          </w:p>
          <w:p w14:paraId="41A32F03" w14:textId="77777777" w:rsidR="006A34E1" w:rsidRPr="00FD4C42" w:rsidRDefault="006A34E1" w:rsidP="006A34E1">
            <w:pPr>
              <w:pStyle w:val="Paragraph"/>
              <w:spacing w:after="0"/>
            </w:pPr>
            <w:r>
              <w:t xml:space="preserve">3) </w:t>
            </w:r>
            <w:r w:rsidRPr="00FD4C42">
              <w:t>Geographical area variation</w:t>
            </w:r>
          </w:p>
          <w:p w14:paraId="22A08572" w14:textId="4B9F0ABE" w:rsidR="00F51CFF" w:rsidRDefault="006A34E1" w:rsidP="006A34E1">
            <w:pPr>
              <w:pStyle w:val="Paragraph"/>
              <w:spacing w:after="0"/>
            </w:pPr>
            <w:r w:rsidRPr="006A34E1">
              <w:t xml:space="preserve">No information is available on the geographical variation of people with gender incongruence. There is geographical variation in </w:t>
            </w:r>
            <w:r>
              <w:t xml:space="preserve">the location of service providers. </w:t>
            </w:r>
            <w:r w:rsidR="00AF502E">
              <w:t>The NH</w:t>
            </w:r>
            <w:r w:rsidR="00320BBA">
              <w:t>S</w:t>
            </w:r>
            <w:r w:rsidR="00AF502E">
              <w:t xml:space="preserve"> CYP </w:t>
            </w:r>
            <w:r w:rsidRPr="009F2588">
              <w:t>Gender Service</w:t>
            </w:r>
            <w:r>
              <w:t xml:space="preserve"> </w:t>
            </w:r>
            <w:r w:rsidRPr="004E7D02">
              <w:t xml:space="preserve">became operational in April 2024 </w:t>
            </w:r>
            <w:r>
              <w:t xml:space="preserve">and replaced the </w:t>
            </w:r>
            <w:r w:rsidRPr="004E7D02">
              <w:t>Gender Identity Development Service at the Tavistock and Portman NHS Foundation Trust</w:t>
            </w:r>
            <w:r>
              <w:t xml:space="preserve">. Initially, the new service was operated nationally by regional centres </w:t>
            </w:r>
            <w:r w:rsidRPr="004E7D02">
              <w:t>in London and the North West</w:t>
            </w:r>
            <w:r>
              <w:t xml:space="preserve">. </w:t>
            </w:r>
            <w:r w:rsidR="000D319E">
              <w:t>U</w:t>
            </w:r>
            <w:r w:rsidR="000D319E" w:rsidRPr="000D319E">
              <w:t xml:space="preserve">p to six </w:t>
            </w:r>
            <w:r w:rsidR="00AB446D">
              <w:t xml:space="preserve">additional </w:t>
            </w:r>
            <w:r w:rsidR="000D319E" w:rsidRPr="000D319E">
              <w:t>specialist regional centres</w:t>
            </w:r>
            <w:r w:rsidR="00AB446D">
              <w:t xml:space="preserve"> will be established. </w:t>
            </w:r>
            <w:r w:rsidR="001C0B4C">
              <w:t xml:space="preserve">Until these </w:t>
            </w:r>
            <w:r w:rsidR="00C32A88">
              <w:t>are all operational, the</w:t>
            </w:r>
            <w:r w:rsidR="003A5F62">
              <w:t xml:space="preserve">re may be </w:t>
            </w:r>
            <w:r w:rsidR="000C525F">
              <w:t xml:space="preserve">geographical </w:t>
            </w:r>
            <w:r w:rsidR="003A5F62">
              <w:t xml:space="preserve">barriers </w:t>
            </w:r>
            <w:r w:rsidR="000C525F">
              <w:t xml:space="preserve">of </w:t>
            </w:r>
            <w:r w:rsidR="003A5F62" w:rsidRPr="003A5F62">
              <w:t xml:space="preserve">distance, location, </w:t>
            </w:r>
            <w:r w:rsidR="000C525F">
              <w:t xml:space="preserve">and </w:t>
            </w:r>
            <w:r w:rsidR="003A5F62" w:rsidRPr="003A5F62">
              <w:t>transport</w:t>
            </w:r>
            <w:r w:rsidR="000C525F">
              <w:t xml:space="preserve"> for some </w:t>
            </w:r>
            <w:r w:rsidR="00504CF4">
              <w:t>service users.</w:t>
            </w:r>
          </w:p>
          <w:p w14:paraId="4FB03D11" w14:textId="77777777" w:rsidR="00F51CFF" w:rsidRDefault="00F51CFF" w:rsidP="006A34E1">
            <w:pPr>
              <w:pStyle w:val="Paragraph"/>
              <w:spacing w:after="0"/>
            </w:pPr>
          </w:p>
          <w:p w14:paraId="59331D2B" w14:textId="77777777" w:rsidR="00761E24" w:rsidRDefault="00761E24" w:rsidP="00761E24">
            <w:pPr>
              <w:pStyle w:val="Paragraph"/>
            </w:pPr>
            <w:r w:rsidRPr="00366858">
              <w:t>4)</w:t>
            </w:r>
            <w:r>
              <w:t xml:space="preserve"> </w:t>
            </w:r>
            <w:r w:rsidRPr="00366858">
              <w:t>Inclusion health and vulnerable groups</w:t>
            </w:r>
          </w:p>
          <w:p w14:paraId="18F2DF41" w14:textId="02FC6C7B" w:rsidR="00761E24" w:rsidRDefault="00761E24" w:rsidP="003D7F7F">
            <w:pPr>
              <w:pStyle w:val="Paragraph"/>
              <w:spacing w:after="0"/>
            </w:pPr>
            <w:r>
              <w:t>Looked after children</w:t>
            </w:r>
          </w:p>
          <w:p w14:paraId="6932BEE7" w14:textId="329B6F07" w:rsidR="00761E24" w:rsidRDefault="00761E24" w:rsidP="00F5331F">
            <w:pPr>
              <w:pStyle w:val="Paragraph"/>
            </w:pPr>
            <w:r>
              <w:t xml:space="preserve">There was a </w:t>
            </w:r>
            <w:r w:rsidRPr="00366858">
              <w:t xml:space="preserve">higher prevalence </w:t>
            </w:r>
            <w:r>
              <w:t>of l</w:t>
            </w:r>
            <w:r w:rsidRPr="00D94549">
              <w:t xml:space="preserve">ooked after children and </w:t>
            </w:r>
            <w:r w:rsidR="00C74C2F" w:rsidRPr="00C74C2F">
              <w:t>adverse childhood experiences</w:t>
            </w:r>
            <w:r w:rsidR="006008F5">
              <w:t xml:space="preserve"> </w:t>
            </w:r>
            <w:r>
              <w:t xml:space="preserve">amongst referrals to the </w:t>
            </w:r>
            <w:r w:rsidRPr="00D94549">
              <w:t xml:space="preserve">Gender Identity Development Service </w:t>
            </w:r>
            <w:r w:rsidRPr="00366858">
              <w:t xml:space="preserve">than in the general population </w:t>
            </w:r>
            <w:r>
              <w:t>(</w:t>
            </w:r>
            <w:hyperlink r:id="rId23" w:history="1">
              <w:r w:rsidRPr="009F759A">
                <w:rPr>
                  <w:rStyle w:val="Hyperlink"/>
                </w:rPr>
                <w:t>Cass Review</w:t>
              </w:r>
            </w:hyperlink>
            <w:r>
              <w:t>).</w:t>
            </w:r>
            <w:r w:rsidR="00A57E28">
              <w:t xml:space="preserve"> </w:t>
            </w:r>
            <w:r w:rsidR="00F6234D">
              <w:t xml:space="preserve">These </w:t>
            </w:r>
            <w:r w:rsidR="003E6ED4">
              <w:t xml:space="preserve">children and young people may </w:t>
            </w:r>
            <w:r w:rsidR="00F5331F">
              <w:t xml:space="preserve">need </w:t>
            </w:r>
            <w:r w:rsidR="00A57E28">
              <w:t xml:space="preserve">active </w:t>
            </w:r>
            <w:r w:rsidR="00A57E28">
              <w:lastRenderedPageBreak/>
              <w:t>involvement from children’s social care and/or expert social work advice</w:t>
            </w:r>
            <w:r w:rsidR="009B25BA">
              <w:t xml:space="preserve"> alongside support from </w:t>
            </w:r>
            <w:r w:rsidR="00757817">
              <w:t xml:space="preserve">the </w:t>
            </w:r>
            <w:r w:rsidR="00EB2CD7" w:rsidRPr="00EB2CD7">
              <w:t>NHS CYP Gender Service</w:t>
            </w:r>
            <w:r w:rsidR="00F5331F">
              <w:t>.</w:t>
            </w:r>
          </w:p>
          <w:p w14:paraId="08D7327B" w14:textId="33E0DFA3" w:rsidR="003D7F7F" w:rsidRDefault="003D7F7F" w:rsidP="008E0932">
            <w:pPr>
              <w:pStyle w:val="Paragraph"/>
              <w:spacing w:after="0"/>
            </w:pPr>
            <w:r w:rsidRPr="003D7F7F">
              <w:t>Homelessness</w:t>
            </w:r>
          </w:p>
          <w:p w14:paraId="64A867B8" w14:textId="0305ED9D" w:rsidR="00EF1567" w:rsidRPr="00124388" w:rsidRDefault="00054AB0" w:rsidP="00054AB0">
            <w:pPr>
              <w:pStyle w:val="Paragraph"/>
              <w:spacing w:after="0"/>
            </w:pPr>
            <w:r w:rsidRPr="00127E11">
              <w:t>No issues identified at this stage</w:t>
            </w:r>
            <w:r>
              <w:t>.</w:t>
            </w:r>
          </w:p>
        </w:tc>
      </w:tr>
    </w:tbl>
    <w:p w14:paraId="3BE7CB43" w14:textId="77777777" w:rsidR="00694918" w:rsidRDefault="00694918" w:rsidP="00C14F15">
      <w:pPr>
        <w:pStyle w:val="Paragraphnonumbers"/>
        <w:rPr>
          <w:rFonts w:cs="Arial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4"/>
      </w:tblGrid>
      <w:tr w:rsidR="00694918" w:rsidRPr="00094590" w14:paraId="7910F6BF" w14:textId="77777777" w:rsidTr="00407D0C">
        <w:trPr>
          <w:trHeight w:val="549"/>
        </w:trPr>
        <w:tc>
          <w:tcPr>
            <w:tcW w:w="9704" w:type="dxa"/>
          </w:tcPr>
          <w:p w14:paraId="466DB04B" w14:textId="0B8A3024" w:rsidR="00694918" w:rsidRPr="00094590" w:rsidRDefault="00694918" w:rsidP="00242ABB">
            <w:pPr>
              <w:pStyle w:val="Paragraph"/>
              <w:numPr>
                <w:ilvl w:val="1"/>
                <w:numId w:val="35"/>
              </w:numPr>
              <w:rPr>
                <w:rFonts w:cs="Arial"/>
              </w:rPr>
            </w:pPr>
            <w:bookmarkStart w:id="5" w:name="_Hlk110604868"/>
            <w:r>
              <w:t>How can</w:t>
            </w:r>
            <w:r w:rsidRPr="00132B16">
              <w:t xml:space="preserve"> the </w:t>
            </w:r>
            <w:r>
              <w:t xml:space="preserve">identified </w:t>
            </w:r>
            <w:r w:rsidRPr="00132B16">
              <w:t xml:space="preserve">equality </w:t>
            </w:r>
            <w:r>
              <w:t xml:space="preserve">and health inequalities </w:t>
            </w:r>
            <w:r w:rsidRPr="00132B16">
              <w:t xml:space="preserve">issues </w:t>
            </w:r>
            <w:r>
              <w:t>be further explored</w:t>
            </w:r>
            <w:r w:rsidR="002D4E4E">
              <w:t xml:space="preserve"> </w:t>
            </w:r>
            <w:r>
              <w:t>and considered</w:t>
            </w:r>
            <w:r w:rsidRPr="00132B16">
              <w:t xml:space="preserve"> </w:t>
            </w:r>
            <w:r>
              <w:t>at this stage of the development process</w:t>
            </w:r>
            <w:r w:rsidRPr="00132B16">
              <w:t>?</w:t>
            </w:r>
            <w:bookmarkEnd w:id="5"/>
          </w:p>
        </w:tc>
      </w:tr>
      <w:tr w:rsidR="00694918" w:rsidRPr="00094590" w14:paraId="2F2C4AFA" w14:textId="77777777" w:rsidTr="00DD2594">
        <w:trPr>
          <w:trHeight w:val="1641"/>
        </w:trPr>
        <w:tc>
          <w:tcPr>
            <w:tcW w:w="9704" w:type="dxa"/>
          </w:tcPr>
          <w:p w14:paraId="3B00F7B9" w14:textId="3D048E23" w:rsidR="00694918" w:rsidRDefault="00675620" w:rsidP="008B1440">
            <w:pPr>
              <w:pStyle w:val="Paragraph"/>
            </w:pPr>
            <w:r w:rsidRPr="00675620">
              <w:t xml:space="preserve">The equality and health inequality issues identified in section 1.2 </w:t>
            </w:r>
            <w:r w:rsidR="00E00F27">
              <w:t xml:space="preserve">can </w:t>
            </w:r>
            <w:r w:rsidR="00E00F27" w:rsidRPr="00E00F27">
              <w:t>guide stakeholders in identifying priority areas for quality improvement</w:t>
            </w:r>
            <w:r w:rsidR="009974A9">
              <w:t xml:space="preserve"> at topic engagement</w:t>
            </w:r>
            <w:r w:rsidR="00E00F27" w:rsidRPr="00E00F27">
              <w:t>.</w:t>
            </w:r>
            <w:r w:rsidR="00E00F27">
              <w:t xml:space="preserve"> </w:t>
            </w:r>
            <w:r w:rsidR="00E00F27" w:rsidRPr="00E00F27">
              <w:t xml:space="preserve">The </w:t>
            </w:r>
            <w:r w:rsidR="00E00F27">
              <w:t xml:space="preserve">identified </w:t>
            </w:r>
            <w:r w:rsidR="00E00F27" w:rsidRPr="00E00F27">
              <w:t xml:space="preserve">issues can </w:t>
            </w:r>
            <w:r w:rsidR="00E00F27">
              <w:t xml:space="preserve">also </w:t>
            </w:r>
            <w:r w:rsidR="00E00F27" w:rsidRPr="00E00F27">
              <w:t xml:space="preserve">inform the focus of quality statements, quality measures, and equality and diversity considerations once the </w:t>
            </w:r>
            <w:r w:rsidR="0003188D">
              <w:t>development group</w:t>
            </w:r>
            <w:r w:rsidR="0003188D" w:rsidRPr="00E00F27">
              <w:t xml:space="preserve"> </w:t>
            </w:r>
            <w:r w:rsidR="00E00F27" w:rsidRPr="00E00F27">
              <w:t>has reviewed and reflected on stakeholder</w:t>
            </w:r>
            <w:r w:rsidR="00E00F27">
              <w:t xml:space="preserve"> </w:t>
            </w:r>
            <w:r w:rsidR="00E00F27" w:rsidRPr="00E00F27">
              <w:t>topic</w:t>
            </w:r>
            <w:r w:rsidR="00D85A07">
              <w:t xml:space="preserve"> </w:t>
            </w:r>
            <w:r w:rsidR="00E00F27" w:rsidRPr="00E00F27">
              <w:t>engagement comments.</w:t>
            </w:r>
          </w:p>
        </w:tc>
      </w:tr>
    </w:tbl>
    <w:p w14:paraId="51451955" w14:textId="77777777" w:rsidR="00694918" w:rsidRDefault="00694918" w:rsidP="00C14F15">
      <w:pPr>
        <w:pStyle w:val="Paragraphnonumbers"/>
        <w:rPr>
          <w:rFonts w:cs="Arial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537554" w:rsidRPr="000D39D9" w14:paraId="3BAF4986" w14:textId="77777777" w:rsidTr="001553E9">
        <w:trPr>
          <w:trHeight w:val="557"/>
        </w:trPr>
        <w:tc>
          <w:tcPr>
            <w:tcW w:w="9703" w:type="dxa"/>
          </w:tcPr>
          <w:p w14:paraId="62E9BAC7" w14:textId="69874389" w:rsidR="00537554" w:rsidRPr="000D39D9" w:rsidRDefault="00537554" w:rsidP="00242ABB">
            <w:pPr>
              <w:pStyle w:val="Paragraph"/>
              <w:numPr>
                <w:ilvl w:val="1"/>
                <w:numId w:val="35"/>
              </w:numPr>
            </w:pPr>
            <w:r w:rsidRPr="00DA13AC">
              <w:t>Do you have representation from stakeholder groups</w:t>
            </w:r>
            <w:r w:rsidRPr="000D39D9">
              <w:t xml:space="preserve"> that can help </w:t>
            </w:r>
            <w:r w:rsidR="00651308" w:rsidRPr="000D39D9">
              <w:t>to explore</w:t>
            </w:r>
            <w:r w:rsidRPr="000D39D9">
              <w:t xml:space="preserve"> equality</w:t>
            </w:r>
            <w:r w:rsidR="006E7763" w:rsidRPr="000D39D9">
              <w:t xml:space="preserve"> and </w:t>
            </w:r>
            <w:r w:rsidRPr="000D39D9">
              <w:t>health inequalities issues</w:t>
            </w:r>
            <w:r w:rsidR="00651308" w:rsidRPr="000D39D9">
              <w:t xml:space="preserve"> during the </w:t>
            </w:r>
            <w:r w:rsidR="006320D4">
              <w:t>topic engagement</w:t>
            </w:r>
            <w:r w:rsidR="006320D4" w:rsidRPr="000D39D9">
              <w:t xml:space="preserve"> </w:t>
            </w:r>
            <w:r w:rsidR="00651308" w:rsidRPr="000D39D9">
              <w:t>process</w:t>
            </w:r>
            <w:r w:rsidRPr="000D39D9">
              <w:t xml:space="preserve"> including groups who are known to be affected by these issues? If not, what plans are in place </w:t>
            </w:r>
            <w:r w:rsidR="00651308" w:rsidRPr="000D39D9">
              <w:t>to address</w:t>
            </w:r>
            <w:r w:rsidRPr="000D39D9">
              <w:t xml:space="preserve"> gaps in the stakeholder list? </w:t>
            </w:r>
          </w:p>
        </w:tc>
      </w:tr>
      <w:tr w:rsidR="00451133" w:rsidRPr="000D39D9" w14:paraId="12784EF4" w14:textId="77777777" w:rsidTr="00EB653E">
        <w:trPr>
          <w:trHeight w:val="1323"/>
        </w:trPr>
        <w:tc>
          <w:tcPr>
            <w:tcW w:w="9703" w:type="dxa"/>
          </w:tcPr>
          <w:p w14:paraId="583344D8" w14:textId="1EE8426F" w:rsidR="00713635" w:rsidRDefault="00175F5D" w:rsidP="002B0E8D">
            <w:pPr>
              <w:pStyle w:val="Paragraph"/>
              <w:spacing w:after="0"/>
            </w:pPr>
            <w:r>
              <w:t xml:space="preserve">As there is no NICE guideline for this topic, a new stakeholder list has been compiled. Initially, this </w:t>
            </w:r>
            <w:r w:rsidR="008B1EA3">
              <w:t xml:space="preserve">comprised of ‘core’ stakeholders. These are organisations that are </w:t>
            </w:r>
            <w:r w:rsidR="00D00DB1">
              <w:t xml:space="preserve">contacted for the development of </w:t>
            </w:r>
            <w:r w:rsidR="00713635">
              <w:t xml:space="preserve">all quality standards and guidelines. </w:t>
            </w:r>
            <w:r w:rsidR="00DE0255">
              <w:t xml:space="preserve">It includes organisations that can help </w:t>
            </w:r>
            <w:r w:rsidR="00CE2375">
              <w:t xml:space="preserve">explore </w:t>
            </w:r>
            <w:r w:rsidR="00CE2375" w:rsidRPr="00CE2375">
              <w:t>equality and health inequalities issues</w:t>
            </w:r>
            <w:r w:rsidR="00CE2375">
              <w:t xml:space="preserve">. </w:t>
            </w:r>
          </w:p>
          <w:p w14:paraId="6065C8C0" w14:textId="77777777" w:rsidR="00D702ED" w:rsidRDefault="00D702ED" w:rsidP="002B0E8D">
            <w:pPr>
              <w:pStyle w:val="Paragraph"/>
              <w:spacing w:after="0"/>
            </w:pPr>
          </w:p>
          <w:p w14:paraId="50727B6D" w14:textId="1428AAC3" w:rsidR="00F96E99" w:rsidRPr="00FF2EB7" w:rsidRDefault="007C7B04" w:rsidP="00FF2EB7">
            <w:pPr>
              <w:pStyle w:val="Paragraph"/>
              <w:spacing w:after="0"/>
            </w:pPr>
            <w:r>
              <w:rPr>
                <w:iCs/>
              </w:rPr>
              <w:t xml:space="preserve">A development group has been formed </w:t>
            </w:r>
            <w:r w:rsidRPr="00FB536B">
              <w:rPr>
                <w:iCs/>
              </w:rPr>
              <w:t xml:space="preserve">to develop </w:t>
            </w:r>
            <w:r>
              <w:rPr>
                <w:iCs/>
              </w:rPr>
              <w:t xml:space="preserve">a quality standard for this topic. This group includes specialist roles with relevant expertise and experience. </w:t>
            </w:r>
            <w:r w:rsidR="00E41037">
              <w:t xml:space="preserve">Specialist development group members will be asked </w:t>
            </w:r>
            <w:r w:rsidR="000D0F1E">
              <w:t xml:space="preserve">on appointment </w:t>
            </w:r>
            <w:r w:rsidR="00167D16">
              <w:t xml:space="preserve">to identify any </w:t>
            </w:r>
            <w:r w:rsidR="003E7A90">
              <w:t>relevant organisations that can be added to the stakeholder list</w:t>
            </w:r>
            <w:r w:rsidR="000D0F1E">
              <w:t xml:space="preserve">. </w:t>
            </w:r>
            <w:r w:rsidR="005343F7">
              <w:t xml:space="preserve">The whole development group will also be asked to identify any </w:t>
            </w:r>
            <w:r w:rsidR="00167D16">
              <w:t>gaps in the stakeholder list</w:t>
            </w:r>
            <w:r w:rsidR="009F3D34">
              <w:t>.</w:t>
            </w:r>
          </w:p>
          <w:p w14:paraId="4EA45C5E" w14:textId="1038DC63" w:rsidR="00451133" w:rsidRPr="00DA13AC" w:rsidRDefault="00F96E99" w:rsidP="00DA13AC">
            <w:pPr>
              <w:tabs>
                <w:tab w:val="left" w:pos="6270"/>
              </w:tabs>
              <w:rPr>
                <w:i/>
              </w:rPr>
            </w:pPr>
            <w:r>
              <w:tab/>
            </w:r>
          </w:p>
        </w:tc>
      </w:tr>
    </w:tbl>
    <w:p w14:paraId="2C79A116" w14:textId="77777777" w:rsidR="00843091" w:rsidRPr="000D39D9" w:rsidRDefault="00843091" w:rsidP="00C14F15">
      <w:pPr>
        <w:pStyle w:val="Paragraphnonumbers"/>
        <w:rPr>
          <w:rFonts w:cs="Arial"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9"/>
      </w:tblGrid>
      <w:tr w:rsidR="00651308" w:rsidRPr="000D39D9" w14:paraId="2A0D2C43" w14:textId="77777777" w:rsidTr="49BFF302">
        <w:trPr>
          <w:trHeight w:val="525"/>
        </w:trPr>
        <w:tc>
          <w:tcPr>
            <w:tcW w:w="9719" w:type="dxa"/>
          </w:tcPr>
          <w:p w14:paraId="5125968B" w14:textId="0536D144" w:rsidR="00651308" w:rsidRPr="000D39D9" w:rsidRDefault="00651308" w:rsidP="00242ABB">
            <w:pPr>
              <w:pStyle w:val="Paragraph"/>
              <w:numPr>
                <w:ilvl w:val="1"/>
                <w:numId w:val="35"/>
              </w:numPr>
              <w:rPr>
                <w:rFonts w:cs="Arial"/>
              </w:rPr>
            </w:pPr>
            <w:r>
              <w:t xml:space="preserve">How </w:t>
            </w:r>
            <w:r w:rsidR="002B0E8D">
              <w:t xml:space="preserve">will the views and experiences of those affected by </w:t>
            </w:r>
            <w:r>
              <w:t>equalit</w:t>
            </w:r>
            <w:r w:rsidR="009B06BC">
              <w:t>y</w:t>
            </w:r>
            <w:r>
              <w:t xml:space="preserve"> and health inequalities issues be meaningfully </w:t>
            </w:r>
            <w:r w:rsidR="009F1B51">
              <w:t>included</w:t>
            </w:r>
            <w:r>
              <w:t xml:space="preserve"> in the </w:t>
            </w:r>
            <w:r w:rsidR="006320D4">
              <w:t xml:space="preserve">quality standard </w:t>
            </w:r>
            <w:r>
              <w:t xml:space="preserve">development process going forward? </w:t>
            </w:r>
          </w:p>
        </w:tc>
      </w:tr>
      <w:tr w:rsidR="00651308" w:rsidRPr="00094590" w14:paraId="67CB7081" w14:textId="77777777" w:rsidTr="49BFF302">
        <w:trPr>
          <w:trHeight w:val="3433"/>
        </w:trPr>
        <w:tc>
          <w:tcPr>
            <w:tcW w:w="9719" w:type="dxa"/>
          </w:tcPr>
          <w:p w14:paraId="183B75B3" w14:textId="6AD839B2" w:rsidR="003D5BD9" w:rsidRDefault="00687A9C" w:rsidP="00263EA9">
            <w:pPr>
              <w:pStyle w:val="Paragraphnonumbers"/>
              <w:rPr>
                <w:iCs/>
              </w:rPr>
            </w:pPr>
            <w:r>
              <w:rPr>
                <w:iCs/>
              </w:rPr>
              <w:lastRenderedPageBreak/>
              <w:t xml:space="preserve">There </w:t>
            </w:r>
            <w:r w:rsidR="00CF1128">
              <w:rPr>
                <w:iCs/>
              </w:rPr>
              <w:t xml:space="preserve">are </w:t>
            </w:r>
            <w:r w:rsidR="00E74ED5">
              <w:rPr>
                <w:iCs/>
              </w:rPr>
              <w:t xml:space="preserve">development group </w:t>
            </w:r>
            <w:r w:rsidR="00575EA5">
              <w:rPr>
                <w:iCs/>
              </w:rPr>
              <w:t xml:space="preserve">specialist roles </w:t>
            </w:r>
            <w:r w:rsidR="00CF1128">
              <w:rPr>
                <w:iCs/>
              </w:rPr>
              <w:t xml:space="preserve">specifically for </w:t>
            </w:r>
            <w:r w:rsidR="009A3F6D">
              <w:rPr>
                <w:iCs/>
              </w:rPr>
              <w:t xml:space="preserve">people </w:t>
            </w:r>
            <w:r w:rsidR="00131D9B">
              <w:rPr>
                <w:iCs/>
              </w:rPr>
              <w:t xml:space="preserve">with lived experience of </w:t>
            </w:r>
            <w:r w:rsidR="009A3F6D" w:rsidRPr="009A3F6D">
              <w:rPr>
                <w:iCs/>
              </w:rPr>
              <w:t xml:space="preserve">NHS </w:t>
            </w:r>
            <w:r w:rsidR="000C7152">
              <w:rPr>
                <w:iCs/>
              </w:rPr>
              <w:t xml:space="preserve">CYP </w:t>
            </w:r>
            <w:r w:rsidR="009A3F6D" w:rsidRPr="009A3F6D">
              <w:rPr>
                <w:iCs/>
              </w:rPr>
              <w:t xml:space="preserve">gender </w:t>
            </w:r>
            <w:r w:rsidR="000C7152">
              <w:rPr>
                <w:iCs/>
              </w:rPr>
              <w:t>services</w:t>
            </w:r>
            <w:r w:rsidR="00131D9B">
              <w:rPr>
                <w:iCs/>
              </w:rPr>
              <w:t xml:space="preserve">, either as a </w:t>
            </w:r>
            <w:r w:rsidR="0086695B">
              <w:rPr>
                <w:iCs/>
              </w:rPr>
              <w:t xml:space="preserve">recent </w:t>
            </w:r>
            <w:r w:rsidR="00131D9B">
              <w:rPr>
                <w:iCs/>
              </w:rPr>
              <w:t>user</w:t>
            </w:r>
            <w:r w:rsidR="0086695B">
              <w:rPr>
                <w:iCs/>
              </w:rPr>
              <w:t>;</w:t>
            </w:r>
            <w:r w:rsidR="00766668">
              <w:rPr>
                <w:iCs/>
              </w:rPr>
              <w:t xml:space="preserve"> </w:t>
            </w:r>
            <w:r w:rsidR="00131D9B">
              <w:rPr>
                <w:iCs/>
              </w:rPr>
              <w:t>a parent or carer</w:t>
            </w:r>
            <w:r w:rsidR="00766668">
              <w:rPr>
                <w:iCs/>
              </w:rPr>
              <w:t xml:space="preserve"> of someone who is using the service</w:t>
            </w:r>
            <w:r w:rsidR="00C05FD7">
              <w:rPr>
                <w:iCs/>
              </w:rPr>
              <w:t>; or an advocate</w:t>
            </w:r>
            <w:r w:rsidR="00131D9B">
              <w:rPr>
                <w:iCs/>
              </w:rPr>
              <w:t>.</w:t>
            </w:r>
            <w:r w:rsidR="003858EC">
              <w:rPr>
                <w:iCs/>
              </w:rPr>
              <w:t xml:space="preserve"> </w:t>
            </w:r>
            <w:r w:rsidR="00407976">
              <w:rPr>
                <w:iCs/>
              </w:rPr>
              <w:t>Th</w:t>
            </w:r>
            <w:r w:rsidR="0014514C">
              <w:rPr>
                <w:iCs/>
              </w:rPr>
              <w:t>e</w:t>
            </w:r>
            <w:r w:rsidR="001B558A">
              <w:rPr>
                <w:iCs/>
              </w:rPr>
              <w:t>se</w:t>
            </w:r>
            <w:r w:rsidR="0014514C">
              <w:rPr>
                <w:iCs/>
              </w:rPr>
              <w:t xml:space="preserve"> specialist lay members </w:t>
            </w:r>
            <w:r w:rsidR="00E32657">
              <w:rPr>
                <w:iCs/>
              </w:rPr>
              <w:t>will</w:t>
            </w:r>
            <w:r w:rsidR="0093301E">
              <w:t xml:space="preserve"> </w:t>
            </w:r>
            <w:r w:rsidR="00841C38">
              <w:t xml:space="preserve">use their personal </w:t>
            </w:r>
            <w:r w:rsidR="006B6A2C">
              <w:t xml:space="preserve">experience </w:t>
            </w:r>
            <w:r w:rsidR="00BB2E86">
              <w:t xml:space="preserve">of </w:t>
            </w:r>
            <w:r w:rsidR="0093301E" w:rsidRPr="0093301E">
              <w:rPr>
                <w:iCs/>
              </w:rPr>
              <w:t>equality and health inequalities issues</w:t>
            </w:r>
            <w:r w:rsidR="00BB2E86">
              <w:rPr>
                <w:iCs/>
              </w:rPr>
              <w:t xml:space="preserve"> to </w:t>
            </w:r>
            <w:r w:rsidR="00E32657">
              <w:rPr>
                <w:iCs/>
              </w:rPr>
              <w:t xml:space="preserve">input </w:t>
            </w:r>
            <w:r w:rsidR="00057162">
              <w:rPr>
                <w:iCs/>
              </w:rPr>
              <w:t xml:space="preserve">at </w:t>
            </w:r>
            <w:r w:rsidR="00263EA9" w:rsidRPr="00263EA9">
              <w:rPr>
                <w:iCs/>
              </w:rPr>
              <w:t xml:space="preserve">key </w:t>
            </w:r>
            <w:r w:rsidR="004F5218">
              <w:rPr>
                <w:iCs/>
              </w:rPr>
              <w:t xml:space="preserve">stages </w:t>
            </w:r>
            <w:r w:rsidR="00263EA9" w:rsidRPr="00263EA9">
              <w:rPr>
                <w:iCs/>
              </w:rPr>
              <w:t>through</w:t>
            </w:r>
            <w:r w:rsidR="004F5218">
              <w:rPr>
                <w:iCs/>
              </w:rPr>
              <w:t>out the</w:t>
            </w:r>
            <w:r w:rsidR="00263EA9" w:rsidRPr="00263EA9">
              <w:rPr>
                <w:iCs/>
              </w:rPr>
              <w:t xml:space="preserve"> development of the quality standard.</w:t>
            </w:r>
          </w:p>
          <w:p w14:paraId="29171B7F" w14:textId="012C8E91" w:rsidR="00BF2BE4" w:rsidRDefault="00BF2BE4" w:rsidP="00263EA9">
            <w:pPr>
              <w:pStyle w:val="Paragraphnonumbers"/>
              <w:rPr>
                <w:iCs/>
              </w:rPr>
            </w:pPr>
            <w:r>
              <w:t xml:space="preserve">Should open recruitment fail to </w:t>
            </w:r>
            <w:r w:rsidR="0058419B">
              <w:t>attract any suitable specialist lay members</w:t>
            </w:r>
            <w:r w:rsidR="006D008D">
              <w:t xml:space="preserve"> for these roles</w:t>
            </w:r>
            <w:r w:rsidR="0058419B">
              <w:t xml:space="preserve">, other methods of </w:t>
            </w:r>
            <w:r w:rsidR="001304E6">
              <w:t>securing representation from people with lived experience will be explored with NICE’s People and Communities Team.</w:t>
            </w:r>
          </w:p>
          <w:p w14:paraId="0A80721F" w14:textId="31F51D02" w:rsidR="004F5218" w:rsidRDefault="003D5BD9" w:rsidP="00263EA9">
            <w:pPr>
              <w:pStyle w:val="Paragraphnonumbers"/>
              <w:rPr>
                <w:iCs/>
              </w:rPr>
            </w:pPr>
            <w:r>
              <w:rPr>
                <w:iCs/>
              </w:rPr>
              <w:t xml:space="preserve">There are also </w:t>
            </w:r>
            <w:r w:rsidR="00B06AB7">
              <w:rPr>
                <w:iCs/>
              </w:rPr>
              <w:t xml:space="preserve">specialist professional members of the development group who </w:t>
            </w:r>
            <w:r w:rsidR="0013566E">
              <w:rPr>
                <w:iCs/>
              </w:rPr>
              <w:t xml:space="preserve">work in </w:t>
            </w:r>
            <w:r w:rsidR="00B23B28">
              <w:rPr>
                <w:iCs/>
              </w:rPr>
              <w:t xml:space="preserve">NHS </w:t>
            </w:r>
            <w:r w:rsidR="0013566E">
              <w:rPr>
                <w:iCs/>
              </w:rPr>
              <w:t xml:space="preserve">CYP </w:t>
            </w:r>
            <w:r w:rsidR="0013566E" w:rsidRPr="0013566E">
              <w:rPr>
                <w:iCs/>
              </w:rPr>
              <w:t>gender services</w:t>
            </w:r>
            <w:r w:rsidR="0067163E">
              <w:rPr>
                <w:iCs/>
              </w:rPr>
              <w:t xml:space="preserve">. They will use their experience to </w:t>
            </w:r>
            <w:r w:rsidR="005F74D0">
              <w:rPr>
                <w:iCs/>
              </w:rPr>
              <w:t xml:space="preserve">help identify and address </w:t>
            </w:r>
            <w:r w:rsidR="0000703F" w:rsidRPr="0000703F">
              <w:rPr>
                <w:iCs/>
              </w:rPr>
              <w:t>equality and health inequalities issues</w:t>
            </w:r>
            <w:r w:rsidR="006C49A0">
              <w:rPr>
                <w:iCs/>
              </w:rPr>
              <w:t xml:space="preserve"> throughout the development process.</w:t>
            </w:r>
          </w:p>
          <w:p w14:paraId="5667D10B" w14:textId="0DEF8FB0" w:rsidR="00E97A8B" w:rsidRPr="00263EA9" w:rsidRDefault="00363558" w:rsidP="00263EA9">
            <w:pPr>
              <w:pStyle w:val="Paragraphnonumbers"/>
              <w:rPr>
                <w:iCs/>
              </w:rPr>
            </w:pPr>
            <w:r>
              <w:rPr>
                <w:iCs/>
              </w:rPr>
              <w:t>Specialist</w:t>
            </w:r>
            <w:r w:rsidR="00DB70E2">
              <w:rPr>
                <w:iCs/>
              </w:rPr>
              <w:t xml:space="preserve"> </w:t>
            </w:r>
            <w:r w:rsidR="009909E2">
              <w:t xml:space="preserve">development </w:t>
            </w:r>
            <w:r w:rsidR="008E15B6">
              <w:t>group</w:t>
            </w:r>
            <w:r w:rsidR="00DB70E2">
              <w:rPr>
                <w:iCs/>
              </w:rPr>
              <w:t xml:space="preserve"> members </w:t>
            </w:r>
            <w:r>
              <w:rPr>
                <w:iCs/>
              </w:rPr>
              <w:t xml:space="preserve">will be asked to identify organisations </w:t>
            </w:r>
            <w:r w:rsidR="0053675D">
              <w:rPr>
                <w:iCs/>
              </w:rPr>
              <w:t xml:space="preserve">that support and represent </w:t>
            </w:r>
            <w:r w:rsidR="00FF172E">
              <w:rPr>
                <w:iCs/>
              </w:rPr>
              <w:t xml:space="preserve">people using NHS CYP services. </w:t>
            </w:r>
            <w:r w:rsidR="00263EA9" w:rsidRPr="00263EA9">
              <w:rPr>
                <w:iCs/>
              </w:rPr>
              <w:t xml:space="preserve">We will </w:t>
            </w:r>
            <w:r w:rsidR="00766B4F">
              <w:rPr>
                <w:iCs/>
              </w:rPr>
              <w:t xml:space="preserve">contact </w:t>
            </w:r>
            <w:r w:rsidR="00620225">
              <w:rPr>
                <w:iCs/>
              </w:rPr>
              <w:t xml:space="preserve">eligible </w:t>
            </w:r>
            <w:r w:rsidR="00766B4F">
              <w:rPr>
                <w:iCs/>
              </w:rPr>
              <w:t>organisations</w:t>
            </w:r>
            <w:r w:rsidR="006B78AC">
              <w:rPr>
                <w:iCs/>
              </w:rPr>
              <w:t xml:space="preserve"> and encourage them to register as stakeholders for this topic. This will allow the orga</w:t>
            </w:r>
            <w:r w:rsidR="003C3100">
              <w:rPr>
                <w:iCs/>
              </w:rPr>
              <w:t>n</w:t>
            </w:r>
            <w:r w:rsidR="006B78AC">
              <w:rPr>
                <w:iCs/>
              </w:rPr>
              <w:t>isations to input directly to the development of the quality standard</w:t>
            </w:r>
            <w:r w:rsidR="00113532">
              <w:rPr>
                <w:iCs/>
              </w:rPr>
              <w:t xml:space="preserve"> at topic engagement and consultation</w:t>
            </w:r>
            <w:r w:rsidR="006B78AC">
              <w:rPr>
                <w:iCs/>
              </w:rPr>
              <w:t xml:space="preserve">. </w:t>
            </w:r>
            <w:r w:rsidR="00766B4F">
              <w:rPr>
                <w:iCs/>
              </w:rPr>
              <w:t xml:space="preserve"> </w:t>
            </w:r>
            <w:r w:rsidR="00263EA9" w:rsidRPr="00263EA9">
              <w:rPr>
                <w:iCs/>
              </w:rPr>
              <w:t xml:space="preserve">We will ensure the views </w:t>
            </w:r>
            <w:r w:rsidR="00113532">
              <w:rPr>
                <w:iCs/>
              </w:rPr>
              <w:t xml:space="preserve">of these organisations </w:t>
            </w:r>
            <w:r w:rsidR="00263EA9" w:rsidRPr="00263EA9">
              <w:rPr>
                <w:iCs/>
              </w:rPr>
              <w:t xml:space="preserve">are presented to the </w:t>
            </w:r>
            <w:r w:rsidR="004168B7">
              <w:t>development group</w:t>
            </w:r>
            <w:r w:rsidR="00263EA9" w:rsidRPr="00263EA9">
              <w:rPr>
                <w:iCs/>
              </w:rPr>
              <w:t>.</w:t>
            </w:r>
          </w:p>
        </w:tc>
      </w:tr>
    </w:tbl>
    <w:p w14:paraId="02A7F915" w14:textId="77777777" w:rsidR="00651308" w:rsidRDefault="00651308" w:rsidP="00C14F15">
      <w:pPr>
        <w:pStyle w:val="Paragraphnonumbers"/>
        <w:rPr>
          <w:rFonts w:cs="Arial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1"/>
      </w:tblGrid>
      <w:tr w:rsidR="00843091" w:rsidRPr="00094590" w14:paraId="129495E1" w14:textId="77777777" w:rsidTr="003D03EE">
        <w:trPr>
          <w:trHeight w:val="838"/>
        </w:trPr>
        <w:tc>
          <w:tcPr>
            <w:tcW w:w="9731" w:type="dxa"/>
          </w:tcPr>
          <w:p w14:paraId="0B9FF55D" w14:textId="5F518B25" w:rsidR="00843091" w:rsidRDefault="00242ABB" w:rsidP="00242ABB">
            <w:pPr>
              <w:pStyle w:val="Paragraph"/>
              <w:numPr>
                <w:ilvl w:val="1"/>
                <w:numId w:val="35"/>
              </w:numPr>
            </w:pPr>
            <w:r>
              <w:rPr>
                <w:rFonts w:cs="Arial"/>
              </w:rPr>
              <w:t xml:space="preserve"> </w:t>
            </w:r>
            <w:bookmarkStart w:id="6" w:name="_Hlk161151815"/>
            <w:r w:rsidR="00843091" w:rsidRPr="00094590">
              <w:rPr>
                <w:rFonts w:cs="Arial"/>
              </w:rPr>
              <w:t xml:space="preserve">Has it been proposed to exclude any population groups from </w:t>
            </w:r>
            <w:r w:rsidR="006320D4">
              <w:rPr>
                <w:rFonts w:cs="Arial"/>
              </w:rPr>
              <w:t>coverage by the quality standard</w:t>
            </w:r>
            <w:r w:rsidR="00843091" w:rsidRPr="00094590">
              <w:rPr>
                <w:rFonts w:cs="Arial"/>
              </w:rPr>
              <w:t>? If yes,</w:t>
            </w:r>
            <w:r>
              <w:rPr>
                <w:rFonts w:cs="Arial"/>
              </w:rPr>
              <w:t xml:space="preserve"> could these exclusions further impact on people affected by</w:t>
            </w:r>
            <w:r w:rsidR="00843091" w:rsidRPr="00094590">
              <w:rPr>
                <w:rFonts w:cs="Arial"/>
              </w:rPr>
              <w:t xml:space="preserve"> any equality and health inequalities issues identified? </w:t>
            </w:r>
            <w:bookmarkEnd w:id="6"/>
          </w:p>
        </w:tc>
      </w:tr>
      <w:tr w:rsidR="00451133" w:rsidRPr="00094590" w14:paraId="51FC9179" w14:textId="77777777" w:rsidTr="00B025EB">
        <w:trPr>
          <w:trHeight w:val="1408"/>
        </w:trPr>
        <w:tc>
          <w:tcPr>
            <w:tcW w:w="9731" w:type="dxa"/>
          </w:tcPr>
          <w:p w14:paraId="43D88953" w14:textId="219A6E4E" w:rsidR="00484775" w:rsidRDefault="001B010D" w:rsidP="00451133">
            <w:pPr>
              <w:pStyle w:val="Paragraph"/>
              <w:rPr>
                <w:rFonts w:cs="Arial"/>
              </w:rPr>
            </w:pPr>
            <w:r w:rsidRPr="005048A4">
              <w:rPr>
                <w:rFonts w:cs="Arial"/>
              </w:rPr>
              <w:t xml:space="preserve">The scope of the quality standard does not include people aged 18 or over. </w:t>
            </w:r>
            <w:r w:rsidR="00E72EDC">
              <w:rPr>
                <w:rFonts w:cs="Arial"/>
              </w:rPr>
              <w:t xml:space="preserve">This group of </w:t>
            </w:r>
            <w:r w:rsidR="000E6D63">
              <w:rPr>
                <w:rFonts w:cs="Arial"/>
              </w:rPr>
              <w:t xml:space="preserve">people are covered by </w:t>
            </w:r>
            <w:r w:rsidR="00E72EDC" w:rsidRPr="00E72EDC">
              <w:rPr>
                <w:rFonts w:cs="Arial"/>
              </w:rPr>
              <w:t>NHS adult gender service</w:t>
            </w:r>
            <w:r w:rsidR="000E6D63">
              <w:rPr>
                <w:rFonts w:cs="Arial"/>
              </w:rPr>
              <w:t>s.</w:t>
            </w:r>
          </w:p>
          <w:p w14:paraId="0CC280BD" w14:textId="77777777" w:rsidR="009873ED" w:rsidRDefault="006730AD" w:rsidP="009873ED">
            <w:pPr>
              <w:pStyle w:val="Paragraph"/>
              <w:rPr>
                <w:rFonts w:cs="Arial"/>
              </w:rPr>
            </w:pPr>
            <w:r w:rsidRPr="006730AD">
              <w:rPr>
                <w:rFonts w:cs="Arial"/>
              </w:rPr>
              <w:t>The scope of the quality standard only cover</w:t>
            </w:r>
            <w:r>
              <w:rPr>
                <w:rFonts w:cs="Arial"/>
              </w:rPr>
              <w:t>s</w:t>
            </w:r>
            <w:r w:rsidRPr="006730AD">
              <w:rPr>
                <w:rFonts w:cs="Arial"/>
              </w:rPr>
              <w:t xml:space="preserve"> people who have entered the </w:t>
            </w:r>
            <w:r w:rsidR="00247158">
              <w:rPr>
                <w:rFonts w:cs="Arial"/>
              </w:rPr>
              <w:t>NHS CYP gender service</w:t>
            </w:r>
            <w:r w:rsidRPr="006730AD">
              <w:rPr>
                <w:rFonts w:cs="Arial"/>
              </w:rPr>
              <w:t xml:space="preserve">. It </w:t>
            </w:r>
            <w:r w:rsidR="00247158">
              <w:rPr>
                <w:rFonts w:cs="Arial"/>
              </w:rPr>
              <w:t xml:space="preserve">does not cover </w:t>
            </w:r>
            <w:r w:rsidRPr="006730AD">
              <w:rPr>
                <w:rFonts w:cs="Arial"/>
              </w:rPr>
              <w:t>referrals into the service</w:t>
            </w:r>
            <w:r w:rsidR="00247158">
              <w:rPr>
                <w:rFonts w:cs="Arial"/>
              </w:rPr>
              <w:t xml:space="preserve"> or </w:t>
            </w:r>
            <w:r w:rsidR="009873ED">
              <w:rPr>
                <w:rFonts w:cs="Arial"/>
              </w:rPr>
              <w:t xml:space="preserve">those using private providers. </w:t>
            </w:r>
          </w:p>
          <w:p w14:paraId="694688D7" w14:textId="1EF088F2" w:rsidR="006269F9" w:rsidRPr="005048A4" w:rsidRDefault="006269F9" w:rsidP="009873ED">
            <w:pPr>
              <w:pStyle w:val="Paragraph"/>
              <w:rPr>
                <w:rFonts w:cs="Arial"/>
              </w:rPr>
            </w:pPr>
            <w:r w:rsidRPr="006269F9">
              <w:rPr>
                <w:rFonts w:cs="Arial"/>
              </w:rPr>
              <w:t>The</w:t>
            </w:r>
            <w:r>
              <w:rPr>
                <w:rFonts w:cs="Arial"/>
              </w:rPr>
              <w:t>se</w:t>
            </w:r>
            <w:r w:rsidRPr="006269F9">
              <w:rPr>
                <w:rFonts w:cs="Arial"/>
              </w:rPr>
              <w:t xml:space="preserve"> exclusion</w:t>
            </w:r>
            <w:r>
              <w:rPr>
                <w:rFonts w:cs="Arial"/>
              </w:rPr>
              <w:t>s</w:t>
            </w:r>
            <w:r w:rsidRPr="006269F9">
              <w:rPr>
                <w:rFonts w:cs="Arial"/>
              </w:rPr>
              <w:t xml:space="preserve"> will not have further impact on people affected by the equality and health inequalities issues identified.</w:t>
            </w:r>
          </w:p>
        </w:tc>
      </w:tr>
    </w:tbl>
    <w:p w14:paraId="6165A1FA" w14:textId="77777777" w:rsidR="00843091" w:rsidRDefault="00843091" w:rsidP="00C14F15">
      <w:pPr>
        <w:pStyle w:val="Paragraphnonumbers"/>
        <w:rPr>
          <w:rFonts w:cs="Arial"/>
        </w:rPr>
      </w:pPr>
    </w:p>
    <w:p w14:paraId="32D28A73" w14:textId="6F342EFF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 xml:space="preserve">Completed by </w:t>
      </w:r>
      <w:r>
        <w:rPr>
          <w:rFonts w:cs="Arial"/>
        </w:rPr>
        <w:t>lead analyst</w:t>
      </w:r>
    </w:p>
    <w:p w14:paraId="392CBC66" w14:textId="303C52FD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Date</w:t>
      </w:r>
      <w:r>
        <w:rPr>
          <w:rFonts w:cs="Arial"/>
        </w:rPr>
        <w:t xml:space="preserve">: </w:t>
      </w:r>
      <w:r w:rsidR="00E86EE2">
        <w:rPr>
          <w:rFonts w:cs="Arial"/>
        </w:rPr>
        <w:t>11/03</w:t>
      </w:r>
      <w:r w:rsidR="002347E3">
        <w:rPr>
          <w:rFonts w:cs="Arial"/>
        </w:rPr>
        <w:t>/2026</w:t>
      </w:r>
    </w:p>
    <w:p w14:paraId="62CF53E5" w14:textId="77777777" w:rsidR="001431B0" w:rsidRDefault="001431B0" w:rsidP="001431B0">
      <w:pPr>
        <w:pStyle w:val="Paragraphnonumbers"/>
        <w:spacing w:after="0"/>
        <w:rPr>
          <w:rFonts w:cs="Arial"/>
        </w:rPr>
      </w:pPr>
    </w:p>
    <w:p w14:paraId="46D256C1" w14:textId="176ADEDA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Approved</w:t>
      </w:r>
      <w:r>
        <w:rPr>
          <w:rFonts w:cs="Arial"/>
        </w:rPr>
        <w:t xml:space="preserve"> by NICE quality assurance lead</w:t>
      </w:r>
    </w:p>
    <w:p w14:paraId="5F650468" w14:textId="47A544B9" w:rsidR="00712E9A" w:rsidRDefault="001431B0" w:rsidP="00587102">
      <w:pPr>
        <w:pStyle w:val="Paragraphnonumbers"/>
        <w:spacing w:after="0"/>
        <w:rPr>
          <w:rStyle w:val="cf01"/>
        </w:rPr>
      </w:pPr>
      <w:r w:rsidRPr="0078563E">
        <w:rPr>
          <w:rFonts w:cs="Arial"/>
        </w:rPr>
        <w:t>Date</w:t>
      </w:r>
      <w:r w:rsidRPr="001431B0">
        <w:rPr>
          <w:rFonts w:cs="Arial"/>
          <w:i/>
          <w:iCs/>
        </w:rPr>
        <w:t xml:space="preserve">: </w:t>
      </w:r>
      <w:r w:rsidR="002347E3">
        <w:rPr>
          <w:rFonts w:cs="Arial"/>
        </w:rPr>
        <w:t>11/03/2026</w:t>
      </w:r>
      <w:r w:rsidR="00F7747C">
        <w:rPr>
          <w:b/>
          <w:kern w:val="32"/>
          <w:sz w:val="28"/>
        </w:rPr>
        <w:t xml:space="preserve"> </w:t>
      </w:r>
    </w:p>
    <w:p w14:paraId="0253DCB8" w14:textId="66684B93" w:rsidR="00DA0765" w:rsidRPr="003D03EE" w:rsidRDefault="00DA0765" w:rsidP="00DA0765">
      <w:pPr>
        <w:pStyle w:val="pf0"/>
        <w:rPr>
          <w:b/>
          <w:kern w:val="32"/>
          <w:sz w:val="28"/>
        </w:rPr>
      </w:pPr>
      <w:r>
        <w:rPr>
          <w:rStyle w:val="cf01"/>
        </w:rPr>
        <w:t xml:space="preserve">© NICE </w:t>
      </w:r>
      <w:r w:rsidR="00984FED">
        <w:rPr>
          <w:rStyle w:val="cf01"/>
        </w:rPr>
        <w:t>2026.</w:t>
      </w:r>
      <w:r>
        <w:rPr>
          <w:rStyle w:val="cf01"/>
        </w:rPr>
        <w:t xml:space="preserve"> All rights reserved. Subject to </w:t>
      </w:r>
      <w:hyperlink r:id="rId24" w:anchor="notice-of-rights" w:history="1">
        <w:r>
          <w:rPr>
            <w:rStyle w:val="cf01"/>
            <w:color w:val="0000FF"/>
            <w:u w:val="single"/>
          </w:rPr>
          <w:t>Notice of rights</w:t>
        </w:r>
      </w:hyperlink>
      <w:r>
        <w:rPr>
          <w:rStyle w:val="cf01"/>
        </w:rPr>
        <w:t>.</w:t>
      </w:r>
    </w:p>
    <w:sectPr w:rsidR="00DA0765" w:rsidRPr="003D03EE" w:rsidSect="00636759"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80B7" w14:textId="77777777" w:rsidR="005F12AE" w:rsidRDefault="005F12AE" w:rsidP="00446BEE">
      <w:r>
        <w:separator/>
      </w:r>
    </w:p>
  </w:endnote>
  <w:endnote w:type="continuationSeparator" w:id="0">
    <w:p w14:paraId="4402947E" w14:textId="77777777" w:rsidR="005F12AE" w:rsidRDefault="005F12AE" w:rsidP="00446BEE">
      <w:r>
        <w:continuationSeparator/>
      </w:r>
    </w:p>
  </w:endnote>
  <w:endnote w:type="continuationNotice" w:id="1">
    <w:p w14:paraId="6718E04A" w14:textId="77777777" w:rsidR="005F12AE" w:rsidRDefault="005F1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BBA3" w14:textId="77777777" w:rsidR="00516E2E" w:rsidRDefault="00516E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3DBB">
      <w:rPr>
        <w:noProof/>
      </w:rPr>
      <w:t>6</w:t>
    </w:r>
    <w:r>
      <w:rPr>
        <w:noProof/>
      </w:rPr>
      <w:fldChar w:fldCharType="end"/>
    </w:r>
  </w:p>
  <w:p w14:paraId="6EC92EC9" w14:textId="77777777" w:rsidR="00446BEE" w:rsidRDefault="0044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EA79" w14:textId="77777777" w:rsidR="005F12AE" w:rsidRDefault="005F12AE" w:rsidP="00446BEE">
      <w:r>
        <w:separator/>
      </w:r>
    </w:p>
  </w:footnote>
  <w:footnote w:type="continuationSeparator" w:id="0">
    <w:p w14:paraId="4764DBC8" w14:textId="77777777" w:rsidR="005F12AE" w:rsidRDefault="005F12AE" w:rsidP="00446BEE">
      <w:r>
        <w:continuationSeparator/>
      </w:r>
    </w:p>
  </w:footnote>
  <w:footnote w:type="continuationNotice" w:id="1">
    <w:p w14:paraId="404E3910" w14:textId="77777777" w:rsidR="005F12AE" w:rsidRDefault="005F12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3E0"/>
    <w:multiLevelType w:val="hybridMultilevel"/>
    <w:tmpl w:val="5C56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1CF"/>
    <w:multiLevelType w:val="multilevel"/>
    <w:tmpl w:val="34BA3E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F60C5"/>
    <w:multiLevelType w:val="multilevel"/>
    <w:tmpl w:val="D91CB97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" w15:restartNumberingAfterBreak="0">
    <w:nsid w:val="06DC5566"/>
    <w:multiLevelType w:val="multilevel"/>
    <w:tmpl w:val="FFBA2AF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 w15:restartNumberingAfterBreak="0">
    <w:nsid w:val="0F2410B6"/>
    <w:multiLevelType w:val="hybridMultilevel"/>
    <w:tmpl w:val="D22C660A"/>
    <w:lvl w:ilvl="0" w:tplc="4000CD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D2C1B"/>
    <w:multiLevelType w:val="hybridMultilevel"/>
    <w:tmpl w:val="84B2429A"/>
    <w:lvl w:ilvl="0" w:tplc="95A68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124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418A0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0D6B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64E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7522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783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4C0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2C7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1B15797"/>
    <w:multiLevelType w:val="multilevel"/>
    <w:tmpl w:val="69E290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2016C3F"/>
    <w:multiLevelType w:val="hybridMultilevel"/>
    <w:tmpl w:val="11A063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575EB3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124E54"/>
    <w:multiLevelType w:val="hybridMultilevel"/>
    <w:tmpl w:val="61A807F0"/>
    <w:lvl w:ilvl="0" w:tplc="FD765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205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F1E5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2E3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2BA83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73C5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02A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41A0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F666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76372C0"/>
    <w:multiLevelType w:val="multilevel"/>
    <w:tmpl w:val="E1FCFD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FE40EB"/>
    <w:multiLevelType w:val="hybridMultilevel"/>
    <w:tmpl w:val="82988BDA"/>
    <w:lvl w:ilvl="0" w:tplc="D4FE92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134BD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174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4" w15:restartNumberingAfterBreak="0">
    <w:nsid w:val="271A475D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56F58"/>
    <w:multiLevelType w:val="multilevel"/>
    <w:tmpl w:val="6F928E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8894BE8"/>
    <w:multiLevelType w:val="multilevel"/>
    <w:tmpl w:val="1F36E61C"/>
    <w:styleLink w:val="Style4"/>
    <w:lvl w:ilvl="0">
      <w:start w:val="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57" w:hanging="35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17" w15:restartNumberingAfterBreak="0">
    <w:nsid w:val="2D8D465E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2F8E2681"/>
    <w:multiLevelType w:val="multilevel"/>
    <w:tmpl w:val="91783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359D0101"/>
    <w:multiLevelType w:val="multilevel"/>
    <w:tmpl w:val="993030D2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EE0504"/>
    <w:multiLevelType w:val="multilevel"/>
    <w:tmpl w:val="1F36E61C"/>
    <w:numStyleLink w:val="Style4"/>
  </w:abstractNum>
  <w:abstractNum w:abstractNumId="21" w15:restartNumberingAfterBreak="0">
    <w:nsid w:val="42450188"/>
    <w:multiLevelType w:val="multilevel"/>
    <w:tmpl w:val="A0AC97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5DA7889"/>
    <w:multiLevelType w:val="multilevel"/>
    <w:tmpl w:val="C5248AB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9D3BBF"/>
    <w:multiLevelType w:val="hybridMultilevel"/>
    <w:tmpl w:val="AEC2F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9B3106"/>
    <w:multiLevelType w:val="hybridMultilevel"/>
    <w:tmpl w:val="D562CB50"/>
    <w:lvl w:ilvl="0" w:tplc="5DC82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BE8B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3C1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8302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0904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0947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D69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4383C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103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4E2231E2"/>
    <w:multiLevelType w:val="hybridMultilevel"/>
    <w:tmpl w:val="B16C15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2579E0"/>
    <w:multiLevelType w:val="multilevel"/>
    <w:tmpl w:val="C3564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7231DF"/>
    <w:multiLevelType w:val="hybridMultilevel"/>
    <w:tmpl w:val="9ED269C4"/>
    <w:lvl w:ilvl="0" w:tplc="D4FE9294">
      <w:start w:val="1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0516AF"/>
    <w:multiLevelType w:val="multilevel"/>
    <w:tmpl w:val="F9D85D04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9" w15:restartNumberingAfterBreak="0">
    <w:nsid w:val="57B17C86"/>
    <w:multiLevelType w:val="hybridMultilevel"/>
    <w:tmpl w:val="17FA1EB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EE6E96"/>
    <w:multiLevelType w:val="multilevel"/>
    <w:tmpl w:val="8F5AD2FA"/>
    <w:numStyleLink w:val="Style5"/>
  </w:abstractNum>
  <w:abstractNum w:abstractNumId="31" w15:restartNumberingAfterBreak="0">
    <w:nsid w:val="65F65BE5"/>
    <w:multiLevelType w:val="multilevel"/>
    <w:tmpl w:val="39166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75623BD"/>
    <w:multiLevelType w:val="multilevel"/>
    <w:tmpl w:val="606CA87A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4" w15:restartNumberingAfterBreak="0">
    <w:nsid w:val="6A396A0B"/>
    <w:multiLevelType w:val="multilevel"/>
    <w:tmpl w:val="F3FA3E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A41556"/>
    <w:multiLevelType w:val="multilevel"/>
    <w:tmpl w:val="85D6F1F8"/>
    <w:styleLink w:val="Style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6D145A3D"/>
    <w:multiLevelType w:val="hybridMultilevel"/>
    <w:tmpl w:val="B4F23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A915BC"/>
    <w:multiLevelType w:val="hybridMultilevel"/>
    <w:tmpl w:val="23C83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5779FA"/>
    <w:multiLevelType w:val="multilevel"/>
    <w:tmpl w:val="7B18D79E"/>
    <w:numStyleLink w:val="Style2"/>
  </w:abstractNum>
  <w:abstractNum w:abstractNumId="39" w15:restartNumberingAfterBreak="0">
    <w:nsid w:val="71790D22"/>
    <w:multiLevelType w:val="multilevel"/>
    <w:tmpl w:val="7B18D79E"/>
    <w:styleLink w:val="Style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20A292F"/>
    <w:multiLevelType w:val="multilevel"/>
    <w:tmpl w:val="8F5AD2FA"/>
    <w:styleLink w:val="Style5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41" w15:restartNumberingAfterBreak="0">
    <w:nsid w:val="72962EE8"/>
    <w:multiLevelType w:val="multilevel"/>
    <w:tmpl w:val="37C62934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42" w15:restartNumberingAfterBreak="0">
    <w:nsid w:val="7CBA3C95"/>
    <w:multiLevelType w:val="multilevel"/>
    <w:tmpl w:val="7B18D79E"/>
    <w:numStyleLink w:val="Style2"/>
  </w:abstractNum>
  <w:abstractNum w:abstractNumId="43" w15:restartNumberingAfterBreak="0">
    <w:nsid w:val="7D5B6FF6"/>
    <w:multiLevelType w:val="multilevel"/>
    <w:tmpl w:val="7B18D79E"/>
    <w:numStyleLink w:val="Style2"/>
  </w:abstractNum>
  <w:abstractNum w:abstractNumId="44" w15:restartNumberingAfterBreak="0">
    <w:nsid w:val="7E2B00C7"/>
    <w:multiLevelType w:val="multilevel"/>
    <w:tmpl w:val="0D803C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F0538A6"/>
    <w:multiLevelType w:val="multilevel"/>
    <w:tmpl w:val="D1AC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6738427">
    <w:abstractNumId w:val="33"/>
  </w:num>
  <w:num w:numId="2" w16cid:durableId="1236670440">
    <w:abstractNumId w:val="13"/>
  </w:num>
  <w:num w:numId="3" w16cid:durableId="1615945455">
    <w:abstractNumId w:val="6"/>
  </w:num>
  <w:num w:numId="4" w16cid:durableId="1029911101">
    <w:abstractNumId w:val="0"/>
  </w:num>
  <w:num w:numId="5" w16cid:durableId="2029716792">
    <w:abstractNumId w:val="27"/>
  </w:num>
  <w:num w:numId="6" w16cid:durableId="1918830326">
    <w:abstractNumId w:val="32"/>
  </w:num>
  <w:num w:numId="7" w16cid:durableId="1148591788">
    <w:abstractNumId w:val="42"/>
  </w:num>
  <w:num w:numId="8" w16cid:durableId="1849562648">
    <w:abstractNumId w:val="39"/>
  </w:num>
  <w:num w:numId="9" w16cid:durableId="1055349801">
    <w:abstractNumId w:val="41"/>
  </w:num>
  <w:num w:numId="10" w16cid:durableId="1704595744">
    <w:abstractNumId w:val="12"/>
  </w:num>
  <w:num w:numId="11" w16cid:durableId="627198209">
    <w:abstractNumId w:val="17"/>
  </w:num>
  <w:num w:numId="12" w16cid:durableId="1551574869">
    <w:abstractNumId w:val="44"/>
  </w:num>
  <w:num w:numId="13" w16cid:durableId="360518129">
    <w:abstractNumId w:val="35"/>
  </w:num>
  <w:num w:numId="14" w16cid:durableId="1844662713">
    <w:abstractNumId w:val="20"/>
  </w:num>
  <w:num w:numId="15" w16cid:durableId="2123527243">
    <w:abstractNumId w:val="15"/>
  </w:num>
  <w:num w:numId="16" w16cid:durableId="987831213">
    <w:abstractNumId w:val="16"/>
  </w:num>
  <w:num w:numId="17" w16cid:durableId="2083868888">
    <w:abstractNumId w:val="30"/>
  </w:num>
  <w:num w:numId="18" w16cid:durableId="940183058">
    <w:abstractNumId w:val="40"/>
  </w:num>
  <w:num w:numId="19" w16cid:durableId="1833257076">
    <w:abstractNumId w:val="2"/>
  </w:num>
  <w:num w:numId="20" w16cid:durableId="1484271452">
    <w:abstractNumId w:val="36"/>
  </w:num>
  <w:num w:numId="21" w16cid:durableId="175115875">
    <w:abstractNumId w:val="4"/>
  </w:num>
  <w:num w:numId="22" w16cid:durableId="110829193">
    <w:abstractNumId w:val="11"/>
  </w:num>
  <w:num w:numId="23" w16cid:durableId="1352145392">
    <w:abstractNumId w:val="8"/>
  </w:num>
  <w:num w:numId="24" w16cid:durableId="17242486">
    <w:abstractNumId w:val="14"/>
  </w:num>
  <w:num w:numId="25" w16cid:durableId="1493377390">
    <w:abstractNumId w:val="22"/>
  </w:num>
  <w:num w:numId="26" w16cid:durableId="1552765963">
    <w:abstractNumId w:val="19"/>
  </w:num>
  <w:num w:numId="27" w16cid:durableId="1613900351">
    <w:abstractNumId w:val="21"/>
  </w:num>
  <w:num w:numId="28" w16cid:durableId="2071151798">
    <w:abstractNumId w:val="43"/>
  </w:num>
  <w:num w:numId="29" w16cid:durableId="1773016109">
    <w:abstractNumId w:val="18"/>
  </w:num>
  <w:num w:numId="30" w16cid:durableId="1214999556">
    <w:abstractNumId w:val="38"/>
  </w:num>
  <w:num w:numId="31" w16cid:durableId="106050730">
    <w:abstractNumId w:val="37"/>
  </w:num>
  <w:num w:numId="32" w16cid:durableId="1981037423">
    <w:abstractNumId w:val="23"/>
  </w:num>
  <w:num w:numId="33" w16cid:durableId="1782531770">
    <w:abstractNumId w:val="7"/>
  </w:num>
  <w:num w:numId="34" w16cid:durableId="363406381">
    <w:abstractNumId w:val="26"/>
  </w:num>
  <w:num w:numId="35" w16cid:durableId="1564372752">
    <w:abstractNumId w:val="45"/>
  </w:num>
  <w:num w:numId="36" w16cid:durableId="96144097">
    <w:abstractNumId w:val="1"/>
  </w:num>
  <w:num w:numId="37" w16cid:durableId="1519781089">
    <w:abstractNumId w:val="34"/>
  </w:num>
  <w:num w:numId="38" w16cid:durableId="1448887418">
    <w:abstractNumId w:val="10"/>
  </w:num>
  <w:num w:numId="39" w16cid:durableId="1455443758">
    <w:abstractNumId w:val="31"/>
  </w:num>
  <w:num w:numId="40" w16cid:durableId="713963823">
    <w:abstractNumId w:val="3"/>
  </w:num>
  <w:num w:numId="41" w16cid:durableId="1864247540">
    <w:abstractNumId w:val="28"/>
  </w:num>
  <w:num w:numId="42" w16cid:durableId="2045325553">
    <w:abstractNumId w:val="29"/>
  </w:num>
  <w:num w:numId="43" w16cid:durableId="128672799">
    <w:abstractNumId w:val="25"/>
  </w:num>
  <w:num w:numId="44" w16cid:durableId="478503862">
    <w:abstractNumId w:val="5"/>
  </w:num>
  <w:num w:numId="45" w16cid:durableId="474107890">
    <w:abstractNumId w:val="24"/>
  </w:num>
  <w:num w:numId="46" w16cid:durableId="159809896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A8"/>
    <w:rsid w:val="00003A98"/>
    <w:rsid w:val="000053F8"/>
    <w:rsid w:val="00005F33"/>
    <w:rsid w:val="0000703F"/>
    <w:rsid w:val="0000789E"/>
    <w:rsid w:val="0001000E"/>
    <w:rsid w:val="00010E2D"/>
    <w:rsid w:val="00012B14"/>
    <w:rsid w:val="0001418F"/>
    <w:rsid w:val="000170A7"/>
    <w:rsid w:val="00017A1C"/>
    <w:rsid w:val="00017D75"/>
    <w:rsid w:val="00020E22"/>
    <w:rsid w:val="000224F4"/>
    <w:rsid w:val="00023382"/>
    <w:rsid w:val="00023B07"/>
    <w:rsid w:val="000241A8"/>
    <w:rsid w:val="00024D0A"/>
    <w:rsid w:val="00025DBE"/>
    <w:rsid w:val="00025EC6"/>
    <w:rsid w:val="00027E7D"/>
    <w:rsid w:val="0003188D"/>
    <w:rsid w:val="000336E8"/>
    <w:rsid w:val="0003499B"/>
    <w:rsid w:val="00037CE1"/>
    <w:rsid w:val="000413A2"/>
    <w:rsid w:val="00042DF4"/>
    <w:rsid w:val="00043CD1"/>
    <w:rsid w:val="00045031"/>
    <w:rsid w:val="00045644"/>
    <w:rsid w:val="000472DC"/>
    <w:rsid w:val="0005043C"/>
    <w:rsid w:val="00050454"/>
    <w:rsid w:val="000528AA"/>
    <w:rsid w:val="000532E8"/>
    <w:rsid w:val="00053F25"/>
    <w:rsid w:val="00054AB0"/>
    <w:rsid w:val="00054DF9"/>
    <w:rsid w:val="00057162"/>
    <w:rsid w:val="000630BF"/>
    <w:rsid w:val="00066EDA"/>
    <w:rsid w:val="00067C36"/>
    <w:rsid w:val="00070065"/>
    <w:rsid w:val="00070C6C"/>
    <w:rsid w:val="00070E12"/>
    <w:rsid w:val="00071E7C"/>
    <w:rsid w:val="000732ED"/>
    <w:rsid w:val="00073DD6"/>
    <w:rsid w:val="00073F3F"/>
    <w:rsid w:val="00075ECD"/>
    <w:rsid w:val="0008249E"/>
    <w:rsid w:val="00082A6E"/>
    <w:rsid w:val="0008315D"/>
    <w:rsid w:val="0008333F"/>
    <w:rsid w:val="00083846"/>
    <w:rsid w:val="00083B0B"/>
    <w:rsid w:val="0008759D"/>
    <w:rsid w:val="000902A4"/>
    <w:rsid w:val="00090450"/>
    <w:rsid w:val="00090BD3"/>
    <w:rsid w:val="00090E06"/>
    <w:rsid w:val="00090EBF"/>
    <w:rsid w:val="00092974"/>
    <w:rsid w:val="00093B0F"/>
    <w:rsid w:val="00094105"/>
    <w:rsid w:val="00094590"/>
    <w:rsid w:val="00096E9B"/>
    <w:rsid w:val="000A3589"/>
    <w:rsid w:val="000A3E7F"/>
    <w:rsid w:val="000A4FEE"/>
    <w:rsid w:val="000A66D6"/>
    <w:rsid w:val="000B1868"/>
    <w:rsid w:val="000B39A0"/>
    <w:rsid w:val="000B5939"/>
    <w:rsid w:val="000B78CA"/>
    <w:rsid w:val="000C1013"/>
    <w:rsid w:val="000C2CB9"/>
    <w:rsid w:val="000C3521"/>
    <w:rsid w:val="000C36A2"/>
    <w:rsid w:val="000C4269"/>
    <w:rsid w:val="000C525F"/>
    <w:rsid w:val="000C55E2"/>
    <w:rsid w:val="000C6256"/>
    <w:rsid w:val="000C6FAB"/>
    <w:rsid w:val="000C7152"/>
    <w:rsid w:val="000C7673"/>
    <w:rsid w:val="000D00BD"/>
    <w:rsid w:val="000D0F1E"/>
    <w:rsid w:val="000D319E"/>
    <w:rsid w:val="000D39D9"/>
    <w:rsid w:val="000D55A8"/>
    <w:rsid w:val="000D73EF"/>
    <w:rsid w:val="000D79AE"/>
    <w:rsid w:val="000E143A"/>
    <w:rsid w:val="000E393C"/>
    <w:rsid w:val="000E41BE"/>
    <w:rsid w:val="000E476F"/>
    <w:rsid w:val="000E6978"/>
    <w:rsid w:val="000E6A0F"/>
    <w:rsid w:val="000E6D63"/>
    <w:rsid w:val="000E73ED"/>
    <w:rsid w:val="000E7E79"/>
    <w:rsid w:val="000F0F35"/>
    <w:rsid w:val="000F1FA7"/>
    <w:rsid w:val="000F2591"/>
    <w:rsid w:val="000F355E"/>
    <w:rsid w:val="000F4137"/>
    <w:rsid w:val="000F575B"/>
    <w:rsid w:val="000F6E9C"/>
    <w:rsid w:val="000F7B9F"/>
    <w:rsid w:val="00101CDB"/>
    <w:rsid w:val="00102D6C"/>
    <w:rsid w:val="001060A0"/>
    <w:rsid w:val="00106948"/>
    <w:rsid w:val="00107273"/>
    <w:rsid w:val="0011183F"/>
    <w:rsid w:val="00111CCE"/>
    <w:rsid w:val="001121E3"/>
    <w:rsid w:val="001134E7"/>
    <w:rsid w:val="00113532"/>
    <w:rsid w:val="001157B9"/>
    <w:rsid w:val="0011790B"/>
    <w:rsid w:val="00117BC5"/>
    <w:rsid w:val="00117D39"/>
    <w:rsid w:val="001237B2"/>
    <w:rsid w:val="00124388"/>
    <w:rsid w:val="00126295"/>
    <w:rsid w:val="001277BE"/>
    <w:rsid w:val="00127E11"/>
    <w:rsid w:val="001304E6"/>
    <w:rsid w:val="00130898"/>
    <w:rsid w:val="0013103A"/>
    <w:rsid w:val="001314A8"/>
    <w:rsid w:val="00131D9B"/>
    <w:rsid w:val="00132B16"/>
    <w:rsid w:val="0013510A"/>
    <w:rsid w:val="0013566E"/>
    <w:rsid w:val="00135DFB"/>
    <w:rsid w:val="00137396"/>
    <w:rsid w:val="00141E9B"/>
    <w:rsid w:val="0014211F"/>
    <w:rsid w:val="0014267F"/>
    <w:rsid w:val="0014271F"/>
    <w:rsid w:val="001431B0"/>
    <w:rsid w:val="00143656"/>
    <w:rsid w:val="0014514C"/>
    <w:rsid w:val="00146946"/>
    <w:rsid w:val="001475CC"/>
    <w:rsid w:val="001477A9"/>
    <w:rsid w:val="0015195C"/>
    <w:rsid w:val="00151D0D"/>
    <w:rsid w:val="001553E9"/>
    <w:rsid w:val="00157BDA"/>
    <w:rsid w:val="00160127"/>
    <w:rsid w:val="00160F0E"/>
    <w:rsid w:val="0016466B"/>
    <w:rsid w:val="00164DAF"/>
    <w:rsid w:val="001650E7"/>
    <w:rsid w:val="00165544"/>
    <w:rsid w:val="00165556"/>
    <w:rsid w:val="00167D16"/>
    <w:rsid w:val="00170504"/>
    <w:rsid w:val="001710AD"/>
    <w:rsid w:val="0017149E"/>
    <w:rsid w:val="0017169E"/>
    <w:rsid w:val="00173681"/>
    <w:rsid w:val="00173AC8"/>
    <w:rsid w:val="00175F5D"/>
    <w:rsid w:val="00177047"/>
    <w:rsid w:val="0018006C"/>
    <w:rsid w:val="00181A4A"/>
    <w:rsid w:val="00182034"/>
    <w:rsid w:val="00184F53"/>
    <w:rsid w:val="00191F0E"/>
    <w:rsid w:val="00193409"/>
    <w:rsid w:val="00194121"/>
    <w:rsid w:val="00194940"/>
    <w:rsid w:val="0019623F"/>
    <w:rsid w:val="00197954"/>
    <w:rsid w:val="001A0D39"/>
    <w:rsid w:val="001A2FE9"/>
    <w:rsid w:val="001A3FAE"/>
    <w:rsid w:val="001A5139"/>
    <w:rsid w:val="001A61CE"/>
    <w:rsid w:val="001A6AD4"/>
    <w:rsid w:val="001A6B73"/>
    <w:rsid w:val="001B010D"/>
    <w:rsid w:val="001B0EE9"/>
    <w:rsid w:val="001B14C7"/>
    <w:rsid w:val="001B2F61"/>
    <w:rsid w:val="001B335E"/>
    <w:rsid w:val="001B3763"/>
    <w:rsid w:val="001B4BD9"/>
    <w:rsid w:val="001B4C39"/>
    <w:rsid w:val="001B558A"/>
    <w:rsid w:val="001B65B3"/>
    <w:rsid w:val="001B6DBC"/>
    <w:rsid w:val="001B715D"/>
    <w:rsid w:val="001C0B4C"/>
    <w:rsid w:val="001C3A55"/>
    <w:rsid w:val="001C59AD"/>
    <w:rsid w:val="001C5DDF"/>
    <w:rsid w:val="001C7E15"/>
    <w:rsid w:val="001D10C7"/>
    <w:rsid w:val="001D16E9"/>
    <w:rsid w:val="001D2FCF"/>
    <w:rsid w:val="001D31CF"/>
    <w:rsid w:val="001D4416"/>
    <w:rsid w:val="001D4937"/>
    <w:rsid w:val="001E20D3"/>
    <w:rsid w:val="001E262E"/>
    <w:rsid w:val="001E2C47"/>
    <w:rsid w:val="001E67BD"/>
    <w:rsid w:val="001E7677"/>
    <w:rsid w:val="001E7A12"/>
    <w:rsid w:val="001E7EA5"/>
    <w:rsid w:val="001F4C2E"/>
    <w:rsid w:val="001F4E6A"/>
    <w:rsid w:val="001F56B9"/>
    <w:rsid w:val="001F64C1"/>
    <w:rsid w:val="002004E2"/>
    <w:rsid w:val="00201ED2"/>
    <w:rsid w:val="002024BA"/>
    <w:rsid w:val="00202664"/>
    <w:rsid w:val="002029A6"/>
    <w:rsid w:val="00202E9C"/>
    <w:rsid w:val="00203F4A"/>
    <w:rsid w:val="00204710"/>
    <w:rsid w:val="002047CC"/>
    <w:rsid w:val="00206A36"/>
    <w:rsid w:val="00210A86"/>
    <w:rsid w:val="00210AFB"/>
    <w:rsid w:val="0021565C"/>
    <w:rsid w:val="00216195"/>
    <w:rsid w:val="002178D1"/>
    <w:rsid w:val="00222ADD"/>
    <w:rsid w:val="00222D0D"/>
    <w:rsid w:val="00223163"/>
    <w:rsid w:val="00224896"/>
    <w:rsid w:val="00225B8E"/>
    <w:rsid w:val="002274F5"/>
    <w:rsid w:val="00230102"/>
    <w:rsid w:val="00230224"/>
    <w:rsid w:val="002316A2"/>
    <w:rsid w:val="00231F35"/>
    <w:rsid w:val="002347BB"/>
    <w:rsid w:val="002347E3"/>
    <w:rsid w:val="0023546E"/>
    <w:rsid w:val="00235FA4"/>
    <w:rsid w:val="00236C0D"/>
    <w:rsid w:val="002406A6"/>
    <w:rsid w:val="002408EA"/>
    <w:rsid w:val="00241AFE"/>
    <w:rsid w:val="00242ABB"/>
    <w:rsid w:val="00242ECF"/>
    <w:rsid w:val="00244334"/>
    <w:rsid w:val="002459B4"/>
    <w:rsid w:val="00246552"/>
    <w:rsid w:val="00247034"/>
    <w:rsid w:val="00247158"/>
    <w:rsid w:val="0024719E"/>
    <w:rsid w:val="00247895"/>
    <w:rsid w:val="002502A6"/>
    <w:rsid w:val="00251C48"/>
    <w:rsid w:val="00252B9F"/>
    <w:rsid w:val="0026091C"/>
    <w:rsid w:val="00260995"/>
    <w:rsid w:val="00260AD2"/>
    <w:rsid w:val="0026199E"/>
    <w:rsid w:val="00263EA9"/>
    <w:rsid w:val="00264ACF"/>
    <w:rsid w:val="002651C0"/>
    <w:rsid w:val="00265CC7"/>
    <w:rsid w:val="00265FAC"/>
    <w:rsid w:val="00266729"/>
    <w:rsid w:val="00267C47"/>
    <w:rsid w:val="00267E25"/>
    <w:rsid w:val="002702B9"/>
    <w:rsid w:val="00272EBC"/>
    <w:rsid w:val="00273AA7"/>
    <w:rsid w:val="00275660"/>
    <w:rsid w:val="00275F8F"/>
    <w:rsid w:val="00277BA4"/>
    <w:rsid w:val="002805A0"/>
    <w:rsid w:val="0028108C"/>
    <w:rsid w:val="00281913"/>
    <w:rsid w:val="002819D7"/>
    <w:rsid w:val="00283BDA"/>
    <w:rsid w:val="00286F5F"/>
    <w:rsid w:val="002871DB"/>
    <w:rsid w:val="0029049A"/>
    <w:rsid w:val="002919F3"/>
    <w:rsid w:val="00291FFC"/>
    <w:rsid w:val="00294127"/>
    <w:rsid w:val="00294C17"/>
    <w:rsid w:val="002A06CA"/>
    <w:rsid w:val="002A0DFC"/>
    <w:rsid w:val="002A0F2A"/>
    <w:rsid w:val="002A1134"/>
    <w:rsid w:val="002A3B45"/>
    <w:rsid w:val="002A503E"/>
    <w:rsid w:val="002A5240"/>
    <w:rsid w:val="002A555A"/>
    <w:rsid w:val="002A624F"/>
    <w:rsid w:val="002B0E8D"/>
    <w:rsid w:val="002B2817"/>
    <w:rsid w:val="002B3000"/>
    <w:rsid w:val="002B3E5F"/>
    <w:rsid w:val="002B679D"/>
    <w:rsid w:val="002C1A7E"/>
    <w:rsid w:val="002C20BB"/>
    <w:rsid w:val="002C272A"/>
    <w:rsid w:val="002C66E0"/>
    <w:rsid w:val="002D0A75"/>
    <w:rsid w:val="002D3376"/>
    <w:rsid w:val="002D44CE"/>
    <w:rsid w:val="002D4C17"/>
    <w:rsid w:val="002D4D85"/>
    <w:rsid w:val="002D4E4E"/>
    <w:rsid w:val="002D55A0"/>
    <w:rsid w:val="002D7324"/>
    <w:rsid w:val="002E016D"/>
    <w:rsid w:val="002E0A2C"/>
    <w:rsid w:val="002E4DCF"/>
    <w:rsid w:val="002E5724"/>
    <w:rsid w:val="002E7EC9"/>
    <w:rsid w:val="002F24C7"/>
    <w:rsid w:val="002F30AC"/>
    <w:rsid w:val="002F30B5"/>
    <w:rsid w:val="002F3FCD"/>
    <w:rsid w:val="002F561F"/>
    <w:rsid w:val="00303133"/>
    <w:rsid w:val="0030768E"/>
    <w:rsid w:val="00307FD5"/>
    <w:rsid w:val="00310467"/>
    <w:rsid w:val="00310638"/>
    <w:rsid w:val="00311656"/>
    <w:rsid w:val="00311ED0"/>
    <w:rsid w:val="00312647"/>
    <w:rsid w:val="00315EA3"/>
    <w:rsid w:val="00320337"/>
    <w:rsid w:val="00320BBA"/>
    <w:rsid w:val="00321400"/>
    <w:rsid w:val="00321A30"/>
    <w:rsid w:val="003235D8"/>
    <w:rsid w:val="0032543B"/>
    <w:rsid w:val="003321AE"/>
    <w:rsid w:val="00335B0F"/>
    <w:rsid w:val="0033615E"/>
    <w:rsid w:val="0033752D"/>
    <w:rsid w:val="003419E3"/>
    <w:rsid w:val="00344E5A"/>
    <w:rsid w:val="00344E7D"/>
    <w:rsid w:val="00345286"/>
    <w:rsid w:val="003455B4"/>
    <w:rsid w:val="00346E2C"/>
    <w:rsid w:val="003501DC"/>
    <w:rsid w:val="0035212E"/>
    <w:rsid w:val="003542E8"/>
    <w:rsid w:val="00356F7D"/>
    <w:rsid w:val="00360652"/>
    <w:rsid w:val="00363558"/>
    <w:rsid w:val="003648C5"/>
    <w:rsid w:val="003660C5"/>
    <w:rsid w:val="0036785C"/>
    <w:rsid w:val="003722FA"/>
    <w:rsid w:val="00372C99"/>
    <w:rsid w:val="00373F5F"/>
    <w:rsid w:val="00374246"/>
    <w:rsid w:val="00376F28"/>
    <w:rsid w:val="003778FE"/>
    <w:rsid w:val="003809E4"/>
    <w:rsid w:val="003814C0"/>
    <w:rsid w:val="00384F8C"/>
    <w:rsid w:val="0038531C"/>
    <w:rsid w:val="003856F3"/>
    <w:rsid w:val="003858EC"/>
    <w:rsid w:val="00386DC4"/>
    <w:rsid w:val="003871B2"/>
    <w:rsid w:val="0039265E"/>
    <w:rsid w:val="00392E57"/>
    <w:rsid w:val="00395CF6"/>
    <w:rsid w:val="00396A79"/>
    <w:rsid w:val="00397523"/>
    <w:rsid w:val="00397625"/>
    <w:rsid w:val="003A0077"/>
    <w:rsid w:val="003A010D"/>
    <w:rsid w:val="003A08C5"/>
    <w:rsid w:val="003A0F38"/>
    <w:rsid w:val="003A57CB"/>
    <w:rsid w:val="003A5F62"/>
    <w:rsid w:val="003A65F7"/>
    <w:rsid w:val="003B05C7"/>
    <w:rsid w:val="003B3B81"/>
    <w:rsid w:val="003C1DE9"/>
    <w:rsid w:val="003C3100"/>
    <w:rsid w:val="003C3B0A"/>
    <w:rsid w:val="003C3E98"/>
    <w:rsid w:val="003C62BF"/>
    <w:rsid w:val="003C7AAF"/>
    <w:rsid w:val="003D03EE"/>
    <w:rsid w:val="003D2701"/>
    <w:rsid w:val="003D4FF1"/>
    <w:rsid w:val="003D5119"/>
    <w:rsid w:val="003D5BD9"/>
    <w:rsid w:val="003D6A0E"/>
    <w:rsid w:val="003D7F7F"/>
    <w:rsid w:val="003E30AB"/>
    <w:rsid w:val="003E5828"/>
    <w:rsid w:val="003E650A"/>
    <w:rsid w:val="003E6ED4"/>
    <w:rsid w:val="003E7A90"/>
    <w:rsid w:val="003F09BE"/>
    <w:rsid w:val="003F2FB7"/>
    <w:rsid w:val="003F4009"/>
    <w:rsid w:val="003F4F50"/>
    <w:rsid w:val="003F69EA"/>
    <w:rsid w:val="003F6EAE"/>
    <w:rsid w:val="003F74DA"/>
    <w:rsid w:val="003F7538"/>
    <w:rsid w:val="00400F62"/>
    <w:rsid w:val="004051B3"/>
    <w:rsid w:val="00406F68"/>
    <w:rsid w:val="004075B6"/>
    <w:rsid w:val="00407976"/>
    <w:rsid w:val="00407D0C"/>
    <w:rsid w:val="00410BF0"/>
    <w:rsid w:val="00412901"/>
    <w:rsid w:val="00413A21"/>
    <w:rsid w:val="00413B6D"/>
    <w:rsid w:val="004168B7"/>
    <w:rsid w:val="00416AA6"/>
    <w:rsid w:val="00420326"/>
    <w:rsid w:val="00420598"/>
    <w:rsid w:val="00420952"/>
    <w:rsid w:val="0042101C"/>
    <w:rsid w:val="00421AD0"/>
    <w:rsid w:val="00422109"/>
    <w:rsid w:val="00422895"/>
    <w:rsid w:val="004249E1"/>
    <w:rsid w:val="0042574D"/>
    <w:rsid w:val="00430791"/>
    <w:rsid w:val="004312F1"/>
    <w:rsid w:val="004325EA"/>
    <w:rsid w:val="00433318"/>
    <w:rsid w:val="004333AE"/>
    <w:rsid w:val="00433920"/>
    <w:rsid w:val="00433EFF"/>
    <w:rsid w:val="00443081"/>
    <w:rsid w:val="00446BEE"/>
    <w:rsid w:val="00447058"/>
    <w:rsid w:val="00447236"/>
    <w:rsid w:val="004506F0"/>
    <w:rsid w:val="00451133"/>
    <w:rsid w:val="00451E26"/>
    <w:rsid w:val="0045211E"/>
    <w:rsid w:val="00453A15"/>
    <w:rsid w:val="00453FCC"/>
    <w:rsid w:val="00454DA6"/>
    <w:rsid w:val="00460B06"/>
    <w:rsid w:val="0046127C"/>
    <w:rsid w:val="00461ABE"/>
    <w:rsid w:val="00464D73"/>
    <w:rsid w:val="00466CF3"/>
    <w:rsid w:val="00472E5D"/>
    <w:rsid w:val="00473708"/>
    <w:rsid w:val="00474B42"/>
    <w:rsid w:val="0047658E"/>
    <w:rsid w:val="00476F53"/>
    <w:rsid w:val="00481591"/>
    <w:rsid w:val="00482EF3"/>
    <w:rsid w:val="0048317C"/>
    <w:rsid w:val="00484775"/>
    <w:rsid w:val="0048608B"/>
    <w:rsid w:val="00486634"/>
    <w:rsid w:val="00486A0C"/>
    <w:rsid w:val="004874F3"/>
    <w:rsid w:val="004948F2"/>
    <w:rsid w:val="00494CAB"/>
    <w:rsid w:val="004957A2"/>
    <w:rsid w:val="00495C68"/>
    <w:rsid w:val="00497425"/>
    <w:rsid w:val="004A0041"/>
    <w:rsid w:val="004A1E7C"/>
    <w:rsid w:val="004A2B93"/>
    <w:rsid w:val="004A5C99"/>
    <w:rsid w:val="004B47B3"/>
    <w:rsid w:val="004C2117"/>
    <w:rsid w:val="004C2A6F"/>
    <w:rsid w:val="004C45FD"/>
    <w:rsid w:val="004C5A80"/>
    <w:rsid w:val="004C7498"/>
    <w:rsid w:val="004D0952"/>
    <w:rsid w:val="004D0CE2"/>
    <w:rsid w:val="004D1B7D"/>
    <w:rsid w:val="004D56C5"/>
    <w:rsid w:val="004D5EDB"/>
    <w:rsid w:val="004E0B1B"/>
    <w:rsid w:val="004E13F9"/>
    <w:rsid w:val="004E25C7"/>
    <w:rsid w:val="004E332E"/>
    <w:rsid w:val="004E3358"/>
    <w:rsid w:val="004E33F0"/>
    <w:rsid w:val="004E4586"/>
    <w:rsid w:val="004E579F"/>
    <w:rsid w:val="004F0584"/>
    <w:rsid w:val="004F5218"/>
    <w:rsid w:val="004F5249"/>
    <w:rsid w:val="004F5C74"/>
    <w:rsid w:val="005025A1"/>
    <w:rsid w:val="00502B07"/>
    <w:rsid w:val="00502D36"/>
    <w:rsid w:val="00502E47"/>
    <w:rsid w:val="005048A4"/>
    <w:rsid w:val="005049FA"/>
    <w:rsid w:val="00504A00"/>
    <w:rsid w:val="00504CF4"/>
    <w:rsid w:val="0050675B"/>
    <w:rsid w:val="005070D1"/>
    <w:rsid w:val="005072DF"/>
    <w:rsid w:val="00510006"/>
    <w:rsid w:val="00511BB0"/>
    <w:rsid w:val="005133DD"/>
    <w:rsid w:val="00513A10"/>
    <w:rsid w:val="00515B94"/>
    <w:rsid w:val="005165D0"/>
    <w:rsid w:val="00516E2E"/>
    <w:rsid w:val="005174CB"/>
    <w:rsid w:val="005222F8"/>
    <w:rsid w:val="005223D6"/>
    <w:rsid w:val="005243AA"/>
    <w:rsid w:val="0052486C"/>
    <w:rsid w:val="00530D6E"/>
    <w:rsid w:val="005313FB"/>
    <w:rsid w:val="005316E3"/>
    <w:rsid w:val="00531D11"/>
    <w:rsid w:val="005331B9"/>
    <w:rsid w:val="005340EE"/>
    <w:rsid w:val="005343F7"/>
    <w:rsid w:val="00534713"/>
    <w:rsid w:val="00534FCE"/>
    <w:rsid w:val="0053660D"/>
    <w:rsid w:val="0053675D"/>
    <w:rsid w:val="0053680E"/>
    <w:rsid w:val="00537554"/>
    <w:rsid w:val="00541CF3"/>
    <w:rsid w:val="005424A6"/>
    <w:rsid w:val="0054339F"/>
    <w:rsid w:val="00544490"/>
    <w:rsid w:val="005456D9"/>
    <w:rsid w:val="00550201"/>
    <w:rsid w:val="005509D6"/>
    <w:rsid w:val="00551518"/>
    <w:rsid w:val="0055171A"/>
    <w:rsid w:val="00551C1D"/>
    <w:rsid w:val="00552280"/>
    <w:rsid w:val="00555561"/>
    <w:rsid w:val="00562E35"/>
    <w:rsid w:val="005640F6"/>
    <w:rsid w:val="0056677C"/>
    <w:rsid w:val="005667A4"/>
    <w:rsid w:val="00567875"/>
    <w:rsid w:val="00570494"/>
    <w:rsid w:val="0057339A"/>
    <w:rsid w:val="00575EA5"/>
    <w:rsid w:val="00576330"/>
    <w:rsid w:val="0058419B"/>
    <w:rsid w:val="005850D4"/>
    <w:rsid w:val="00585FFE"/>
    <w:rsid w:val="00586E8A"/>
    <w:rsid w:val="00587102"/>
    <w:rsid w:val="005907D7"/>
    <w:rsid w:val="00591766"/>
    <w:rsid w:val="00593134"/>
    <w:rsid w:val="005A2389"/>
    <w:rsid w:val="005A4151"/>
    <w:rsid w:val="005A5D38"/>
    <w:rsid w:val="005A6D1D"/>
    <w:rsid w:val="005A6DD2"/>
    <w:rsid w:val="005A7D55"/>
    <w:rsid w:val="005B1A47"/>
    <w:rsid w:val="005B1BF8"/>
    <w:rsid w:val="005B3611"/>
    <w:rsid w:val="005B44E1"/>
    <w:rsid w:val="005B700C"/>
    <w:rsid w:val="005B7D8B"/>
    <w:rsid w:val="005C06D2"/>
    <w:rsid w:val="005C3477"/>
    <w:rsid w:val="005C3E8B"/>
    <w:rsid w:val="005C5307"/>
    <w:rsid w:val="005C7663"/>
    <w:rsid w:val="005C7BF6"/>
    <w:rsid w:val="005D0347"/>
    <w:rsid w:val="005D06BA"/>
    <w:rsid w:val="005D147B"/>
    <w:rsid w:val="005D1841"/>
    <w:rsid w:val="005D2B77"/>
    <w:rsid w:val="005D36FC"/>
    <w:rsid w:val="005D48E9"/>
    <w:rsid w:val="005D4BEA"/>
    <w:rsid w:val="005D56CE"/>
    <w:rsid w:val="005D67FD"/>
    <w:rsid w:val="005D70A5"/>
    <w:rsid w:val="005D740B"/>
    <w:rsid w:val="005D7A9E"/>
    <w:rsid w:val="005E045D"/>
    <w:rsid w:val="005E068D"/>
    <w:rsid w:val="005E3114"/>
    <w:rsid w:val="005E33F7"/>
    <w:rsid w:val="005E3DD4"/>
    <w:rsid w:val="005E5803"/>
    <w:rsid w:val="005F052B"/>
    <w:rsid w:val="005F12AE"/>
    <w:rsid w:val="005F14B5"/>
    <w:rsid w:val="005F16AD"/>
    <w:rsid w:val="005F1AFA"/>
    <w:rsid w:val="005F1FE0"/>
    <w:rsid w:val="005F28BE"/>
    <w:rsid w:val="005F4B93"/>
    <w:rsid w:val="005F5FB9"/>
    <w:rsid w:val="005F74D0"/>
    <w:rsid w:val="005F7738"/>
    <w:rsid w:val="006008F5"/>
    <w:rsid w:val="00605097"/>
    <w:rsid w:val="00605E81"/>
    <w:rsid w:val="006060CC"/>
    <w:rsid w:val="00612AFE"/>
    <w:rsid w:val="00614200"/>
    <w:rsid w:val="00614FC5"/>
    <w:rsid w:val="00615B44"/>
    <w:rsid w:val="00620225"/>
    <w:rsid w:val="00620243"/>
    <w:rsid w:val="00620721"/>
    <w:rsid w:val="006210D3"/>
    <w:rsid w:val="00621355"/>
    <w:rsid w:val="006218D9"/>
    <w:rsid w:val="00621B2D"/>
    <w:rsid w:val="0062386B"/>
    <w:rsid w:val="006243B8"/>
    <w:rsid w:val="006248D8"/>
    <w:rsid w:val="0062513E"/>
    <w:rsid w:val="006269F9"/>
    <w:rsid w:val="00627DDA"/>
    <w:rsid w:val="006320D4"/>
    <w:rsid w:val="00635C91"/>
    <w:rsid w:val="00636759"/>
    <w:rsid w:val="0064116E"/>
    <w:rsid w:val="0064134F"/>
    <w:rsid w:val="00641ABA"/>
    <w:rsid w:val="0064518F"/>
    <w:rsid w:val="006461FE"/>
    <w:rsid w:val="00647E28"/>
    <w:rsid w:val="00651308"/>
    <w:rsid w:val="006544A3"/>
    <w:rsid w:val="00660E41"/>
    <w:rsid w:val="006630EA"/>
    <w:rsid w:val="006641B7"/>
    <w:rsid w:val="0066517A"/>
    <w:rsid w:val="00666CA3"/>
    <w:rsid w:val="00667191"/>
    <w:rsid w:val="0066741D"/>
    <w:rsid w:val="0067036D"/>
    <w:rsid w:val="00670E51"/>
    <w:rsid w:val="0067163E"/>
    <w:rsid w:val="00671A46"/>
    <w:rsid w:val="006730AD"/>
    <w:rsid w:val="00673B53"/>
    <w:rsid w:val="00673CB2"/>
    <w:rsid w:val="00674AEA"/>
    <w:rsid w:val="00675620"/>
    <w:rsid w:val="006766ED"/>
    <w:rsid w:val="006778DB"/>
    <w:rsid w:val="00677A91"/>
    <w:rsid w:val="00680F6A"/>
    <w:rsid w:val="0068254E"/>
    <w:rsid w:val="00687A9C"/>
    <w:rsid w:val="006900C9"/>
    <w:rsid w:val="006921E1"/>
    <w:rsid w:val="006928D5"/>
    <w:rsid w:val="006931A3"/>
    <w:rsid w:val="00694525"/>
    <w:rsid w:val="00694918"/>
    <w:rsid w:val="006949BF"/>
    <w:rsid w:val="00696AD5"/>
    <w:rsid w:val="006A242A"/>
    <w:rsid w:val="006A309E"/>
    <w:rsid w:val="006A34E1"/>
    <w:rsid w:val="006A402D"/>
    <w:rsid w:val="006A45D5"/>
    <w:rsid w:val="006A5446"/>
    <w:rsid w:val="006A546A"/>
    <w:rsid w:val="006A69ED"/>
    <w:rsid w:val="006A76EE"/>
    <w:rsid w:val="006B0239"/>
    <w:rsid w:val="006B0855"/>
    <w:rsid w:val="006B202A"/>
    <w:rsid w:val="006B25CB"/>
    <w:rsid w:val="006B32B2"/>
    <w:rsid w:val="006B3487"/>
    <w:rsid w:val="006B6A2C"/>
    <w:rsid w:val="006B78AC"/>
    <w:rsid w:val="006C1200"/>
    <w:rsid w:val="006C152F"/>
    <w:rsid w:val="006C3EF1"/>
    <w:rsid w:val="006C426E"/>
    <w:rsid w:val="006C49A0"/>
    <w:rsid w:val="006D008D"/>
    <w:rsid w:val="006D0362"/>
    <w:rsid w:val="006D46A2"/>
    <w:rsid w:val="006D70ED"/>
    <w:rsid w:val="006E2970"/>
    <w:rsid w:val="006E4FCD"/>
    <w:rsid w:val="006E510A"/>
    <w:rsid w:val="006E5F32"/>
    <w:rsid w:val="006E7763"/>
    <w:rsid w:val="006F19CE"/>
    <w:rsid w:val="006F2C19"/>
    <w:rsid w:val="006F37C8"/>
    <w:rsid w:val="006F3AE5"/>
    <w:rsid w:val="006F4B25"/>
    <w:rsid w:val="006F50EA"/>
    <w:rsid w:val="006F5291"/>
    <w:rsid w:val="006F5E5D"/>
    <w:rsid w:val="006F6496"/>
    <w:rsid w:val="006F7681"/>
    <w:rsid w:val="006F7920"/>
    <w:rsid w:val="007028B0"/>
    <w:rsid w:val="00702B7E"/>
    <w:rsid w:val="00703379"/>
    <w:rsid w:val="0070537F"/>
    <w:rsid w:val="007055EA"/>
    <w:rsid w:val="00711102"/>
    <w:rsid w:val="00711675"/>
    <w:rsid w:val="00711974"/>
    <w:rsid w:val="007126D3"/>
    <w:rsid w:val="00712E9A"/>
    <w:rsid w:val="00713635"/>
    <w:rsid w:val="007143A4"/>
    <w:rsid w:val="007148C4"/>
    <w:rsid w:val="00717B15"/>
    <w:rsid w:val="007204F6"/>
    <w:rsid w:val="007230BA"/>
    <w:rsid w:val="00727692"/>
    <w:rsid w:val="0073266D"/>
    <w:rsid w:val="00733590"/>
    <w:rsid w:val="00733CB1"/>
    <w:rsid w:val="00735089"/>
    <w:rsid w:val="00736348"/>
    <w:rsid w:val="0073697C"/>
    <w:rsid w:val="007433C5"/>
    <w:rsid w:val="00744DB7"/>
    <w:rsid w:val="00747CAD"/>
    <w:rsid w:val="00750457"/>
    <w:rsid w:val="00750D21"/>
    <w:rsid w:val="0075686E"/>
    <w:rsid w:val="00756F51"/>
    <w:rsid w:val="0075772E"/>
    <w:rsid w:val="00757817"/>
    <w:rsid w:val="00757C9D"/>
    <w:rsid w:val="00757EE8"/>
    <w:rsid w:val="00760908"/>
    <w:rsid w:val="00760C3A"/>
    <w:rsid w:val="00761BAE"/>
    <w:rsid w:val="00761DFB"/>
    <w:rsid w:val="00761E24"/>
    <w:rsid w:val="0076414F"/>
    <w:rsid w:val="00766668"/>
    <w:rsid w:val="00766B4F"/>
    <w:rsid w:val="007703B3"/>
    <w:rsid w:val="00770818"/>
    <w:rsid w:val="00772F7B"/>
    <w:rsid w:val="00775153"/>
    <w:rsid w:val="00775419"/>
    <w:rsid w:val="007800B4"/>
    <w:rsid w:val="00780224"/>
    <w:rsid w:val="007828A5"/>
    <w:rsid w:val="00782B9C"/>
    <w:rsid w:val="0078447B"/>
    <w:rsid w:val="0078563E"/>
    <w:rsid w:val="00786919"/>
    <w:rsid w:val="00787958"/>
    <w:rsid w:val="007A0611"/>
    <w:rsid w:val="007A114F"/>
    <w:rsid w:val="007A1877"/>
    <w:rsid w:val="007A4157"/>
    <w:rsid w:val="007A44D6"/>
    <w:rsid w:val="007A611A"/>
    <w:rsid w:val="007B2281"/>
    <w:rsid w:val="007B6C26"/>
    <w:rsid w:val="007C37A9"/>
    <w:rsid w:val="007C3E90"/>
    <w:rsid w:val="007C40A1"/>
    <w:rsid w:val="007C41E1"/>
    <w:rsid w:val="007C5EC1"/>
    <w:rsid w:val="007C63FC"/>
    <w:rsid w:val="007C728B"/>
    <w:rsid w:val="007C7B04"/>
    <w:rsid w:val="007D04FD"/>
    <w:rsid w:val="007D0E31"/>
    <w:rsid w:val="007D0E8D"/>
    <w:rsid w:val="007D1EE7"/>
    <w:rsid w:val="007D3D2F"/>
    <w:rsid w:val="007D45A4"/>
    <w:rsid w:val="007D64A6"/>
    <w:rsid w:val="007D73AA"/>
    <w:rsid w:val="007E0493"/>
    <w:rsid w:val="007E0EB1"/>
    <w:rsid w:val="007E3B7D"/>
    <w:rsid w:val="007E7674"/>
    <w:rsid w:val="007F0B5E"/>
    <w:rsid w:val="007F238D"/>
    <w:rsid w:val="007F453A"/>
    <w:rsid w:val="007F7266"/>
    <w:rsid w:val="00802E55"/>
    <w:rsid w:val="0080359E"/>
    <w:rsid w:val="008036A2"/>
    <w:rsid w:val="00803903"/>
    <w:rsid w:val="0080636B"/>
    <w:rsid w:val="008063D4"/>
    <w:rsid w:val="008076E9"/>
    <w:rsid w:val="00807F16"/>
    <w:rsid w:val="00810E51"/>
    <w:rsid w:val="00811A33"/>
    <w:rsid w:val="00812106"/>
    <w:rsid w:val="00813423"/>
    <w:rsid w:val="00815F19"/>
    <w:rsid w:val="00816246"/>
    <w:rsid w:val="0081F64B"/>
    <w:rsid w:val="0082314F"/>
    <w:rsid w:val="008231A7"/>
    <w:rsid w:val="00823A51"/>
    <w:rsid w:val="0082475F"/>
    <w:rsid w:val="0082511C"/>
    <w:rsid w:val="00830953"/>
    <w:rsid w:val="00831F7C"/>
    <w:rsid w:val="00832032"/>
    <w:rsid w:val="008342B0"/>
    <w:rsid w:val="00835A34"/>
    <w:rsid w:val="00837CD9"/>
    <w:rsid w:val="00840E51"/>
    <w:rsid w:val="00841C38"/>
    <w:rsid w:val="00843091"/>
    <w:rsid w:val="008433A7"/>
    <w:rsid w:val="0085227A"/>
    <w:rsid w:val="00852C98"/>
    <w:rsid w:val="00854AE3"/>
    <w:rsid w:val="00856C8A"/>
    <w:rsid w:val="00861357"/>
    <w:rsid w:val="00861B92"/>
    <w:rsid w:val="00861E78"/>
    <w:rsid w:val="0086695B"/>
    <w:rsid w:val="008801F4"/>
    <w:rsid w:val="00880FE0"/>
    <w:rsid w:val="008814FB"/>
    <w:rsid w:val="0088230F"/>
    <w:rsid w:val="00882650"/>
    <w:rsid w:val="00884392"/>
    <w:rsid w:val="008843D7"/>
    <w:rsid w:val="00887BA0"/>
    <w:rsid w:val="00891EEC"/>
    <w:rsid w:val="00893478"/>
    <w:rsid w:val="0089570A"/>
    <w:rsid w:val="00895755"/>
    <w:rsid w:val="00895C24"/>
    <w:rsid w:val="008A08A2"/>
    <w:rsid w:val="008A6492"/>
    <w:rsid w:val="008A6CF2"/>
    <w:rsid w:val="008A7F87"/>
    <w:rsid w:val="008B1440"/>
    <w:rsid w:val="008B19DF"/>
    <w:rsid w:val="008B1EA3"/>
    <w:rsid w:val="008B3C84"/>
    <w:rsid w:val="008B5091"/>
    <w:rsid w:val="008C4D66"/>
    <w:rsid w:val="008C585C"/>
    <w:rsid w:val="008C5B58"/>
    <w:rsid w:val="008C5E9C"/>
    <w:rsid w:val="008C757D"/>
    <w:rsid w:val="008C7F99"/>
    <w:rsid w:val="008D1F91"/>
    <w:rsid w:val="008D2E02"/>
    <w:rsid w:val="008D3311"/>
    <w:rsid w:val="008D40CD"/>
    <w:rsid w:val="008D5C98"/>
    <w:rsid w:val="008E0932"/>
    <w:rsid w:val="008E15B6"/>
    <w:rsid w:val="008E1741"/>
    <w:rsid w:val="008F19F0"/>
    <w:rsid w:val="008F1D5A"/>
    <w:rsid w:val="008F2718"/>
    <w:rsid w:val="008F2F94"/>
    <w:rsid w:val="008F4CA8"/>
    <w:rsid w:val="008F5E30"/>
    <w:rsid w:val="009000EF"/>
    <w:rsid w:val="00901998"/>
    <w:rsid w:val="00901F9C"/>
    <w:rsid w:val="00903071"/>
    <w:rsid w:val="009043BD"/>
    <w:rsid w:val="009044E1"/>
    <w:rsid w:val="00905479"/>
    <w:rsid w:val="00910392"/>
    <w:rsid w:val="009129FB"/>
    <w:rsid w:val="009132A7"/>
    <w:rsid w:val="00914D7F"/>
    <w:rsid w:val="00915967"/>
    <w:rsid w:val="00915AE6"/>
    <w:rsid w:val="00916A76"/>
    <w:rsid w:val="009170E3"/>
    <w:rsid w:val="009215F2"/>
    <w:rsid w:val="00921FDA"/>
    <w:rsid w:val="00925FD8"/>
    <w:rsid w:val="00931A95"/>
    <w:rsid w:val="009322F0"/>
    <w:rsid w:val="00932D54"/>
    <w:rsid w:val="0093301E"/>
    <w:rsid w:val="00933855"/>
    <w:rsid w:val="00933BA4"/>
    <w:rsid w:val="0094126E"/>
    <w:rsid w:val="00944086"/>
    <w:rsid w:val="009447C5"/>
    <w:rsid w:val="00944BD2"/>
    <w:rsid w:val="009460D8"/>
    <w:rsid w:val="0094728C"/>
    <w:rsid w:val="00950EE2"/>
    <w:rsid w:val="00951620"/>
    <w:rsid w:val="00952177"/>
    <w:rsid w:val="00954608"/>
    <w:rsid w:val="009605DF"/>
    <w:rsid w:val="00961079"/>
    <w:rsid w:val="0096171A"/>
    <w:rsid w:val="009623B5"/>
    <w:rsid w:val="009648D8"/>
    <w:rsid w:val="00964DF6"/>
    <w:rsid w:val="00965244"/>
    <w:rsid w:val="00965AEE"/>
    <w:rsid w:val="00967AE0"/>
    <w:rsid w:val="00970E42"/>
    <w:rsid w:val="00971385"/>
    <w:rsid w:val="00972056"/>
    <w:rsid w:val="00972BD3"/>
    <w:rsid w:val="00974B04"/>
    <w:rsid w:val="00975299"/>
    <w:rsid w:val="00976BD3"/>
    <w:rsid w:val="009800F0"/>
    <w:rsid w:val="009836BF"/>
    <w:rsid w:val="00983DAF"/>
    <w:rsid w:val="00984FED"/>
    <w:rsid w:val="00986E4D"/>
    <w:rsid w:val="0098723D"/>
    <w:rsid w:val="009873ED"/>
    <w:rsid w:val="009874D2"/>
    <w:rsid w:val="00987CA1"/>
    <w:rsid w:val="009904ED"/>
    <w:rsid w:val="009909E2"/>
    <w:rsid w:val="00993860"/>
    <w:rsid w:val="00994311"/>
    <w:rsid w:val="009974A9"/>
    <w:rsid w:val="00997792"/>
    <w:rsid w:val="009A070B"/>
    <w:rsid w:val="009A2431"/>
    <w:rsid w:val="009A3F6D"/>
    <w:rsid w:val="009B06BC"/>
    <w:rsid w:val="009B0F82"/>
    <w:rsid w:val="009B25BA"/>
    <w:rsid w:val="009B6547"/>
    <w:rsid w:val="009B7B99"/>
    <w:rsid w:val="009C033C"/>
    <w:rsid w:val="009C1594"/>
    <w:rsid w:val="009C3E2F"/>
    <w:rsid w:val="009C47A0"/>
    <w:rsid w:val="009C5245"/>
    <w:rsid w:val="009C60B5"/>
    <w:rsid w:val="009C6894"/>
    <w:rsid w:val="009C748C"/>
    <w:rsid w:val="009C7677"/>
    <w:rsid w:val="009C7F08"/>
    <w:rsid w:val="009D0580"/>
    <w:rsid w:val="009D0A8A"/>
    <w:rsid w:val="009D0C73"/>
    <w:rsid w:val="009D1617"/>
    <w:rsid w:val="009D77DF"/>
    <w:rsid w:val="009E19CA"/>
    <w:rsid w:val="009E32C7"/>
    <w:rsid w:val="009E36E9"/>
    <w:rsid w:val="009E40BF"/>
    <w:rsid w:val="009E545F"/>
    <w:rsid w:val="009E6439"/>
    <w:rsid w:val="009E680B"/>
    <w:rsid w:val="009E9E55"/>
    <w:rsid w:val="009F05BB"/>
    <w:rsid w:val="009F1B51"/>
    <w:rsid w:val="009F3D34"/>
    <w:rsid w:val="009F6413"/>
    <w:rsid w:val="009F759A"/>
    <w:rsid w:val="00A00B99"/>
    <w:rsid w:val="00A01596"/>
    <w:rsid w:val="00A02944"/>
    <w:rsid w:val="00A04065"/>
    <w:rsid w:val="00A04076"/>
    <w:rsid w:val="00A04219"/>
    <w:rsid w:val="00A04ACB"/>
    <w:rsid w:val="00A07B88"/>
    <w:rsid w:val="00A1012D"/>
    <w:rsid w:val="00A11A9F"/>
    <w:rsid w:val="00A15723"/>
    <w:rsid w:val="00A15A1F"/>
    <w:rsid w:val="00A17F6D"/>
    <w:rsid w:val="00A24239"/>
    <w:rsid w:val="00A246B1"/>
    <w:rsid w:val="00A25095"/>
    <w:rsid w:val="00A26BF5"/>
    <w:rsid w:val="00A27309"/>
    <w:rsid w:val="00A309B2"/>
    <w:rsid w:val="00A326D7"/>
    <w:rsid w:val="00A3281B"/>
    <w:rsid w:val="00A32D00"/>
    <w:rsid w:val="00A331A8"/>
    <w:rsid w:val="00A3325A"/>
    <w:rsid w:val="00A35647"/>
    <w:rsid w:val="00A36CF4"/>
    <w:rsid w:val="00A410EC"/>
    <w:rsid w:val="00A43013"/>
    <w:rsid w:val="00A4326C"/>
    <w:rsid w:val="00A5044D"/>
    <w:rsid w:val="00A50587"/>
    <w:rsid w:val="00A50FFA"/>
    <w:rsid w:val="00A51126"/>
    <w:rsid w:val="00A524C5"/>
    <w:rsid w:val="00A52D07"/>
    <w:rsid w:val="00A53087"/>
    <w:rsid w:val="00A53BC2"/>
    <w:rsid w:val="00A54D40"/>
    <w:rsid w:val="00A56619"/>
    <w:rsid w:val="00A5793D"/>
    <w:rsid w:val="00A57E28"/>
    <w:rsid w:val="00A614F1"/>
    <w:rsid w:val="00A6314D"/>
    <w:rsid w:val="00A63767"/>
    <w:rsid w:val="00A67E60"/>
    <w:rsid w:val="00A702A9"/>
    <w:rsid w:val="00A70368"/>
    <w:rsid w:val="00A70B33"/>
    <w:rsid w:val="00A71D8B"/>
    <w:rsid w:val="00A7373D"/>
    <w:rsid w:val="00A76469"/>
    <w:rsid w:val="00A76BF6"/>
    <w:rsid w:val="00A776EB"/>
    <w:rsid w:val="00A85859"/>
    <w:rsid w:val="00A85EF2"/>
    <w:rsid w:val="00A85F50"/>
    <w:rsid w:val="00A919B2"/>
    <w:rsid w:val="00A92706"/>
    <w:rsid w:val="00A94EB9"/>
    <w:rsid w:val="00AA0097"/>
    <w:rsid w:val="00AA31A4"/>
    <w:rsid w:val="00AA3C58"/>
    <w:rsid w:val="00AA4A17"/>
    <w:rsid w:val="00AB03D5"/>
    <w:rsid w:val="00AB07B2"/>
    <w:rsid w:val="00AB1723"/>
    <w:rsid w:val="00AB17E9"/>
    <w:rsid w:val="00AB1AF8"/>
    <w:rsid w:val="00AB1B0F"/>
    <w:rsid w:val="00AB446D"/>
    <w:rsid w:val="00AB476A"/>
    <w:rsid w:val="00AB5032"/>
    <w:rsid w:val="00AB551B"/>
    <w:rsid w:val="00AB7894"/>
    <w:rsid w:val="00AB7AC7"/>
    <w:rsid w:val="00AB7C2D"/>
    <w:rsid w:val="00AC11CE"/>
    <w:rsid w:val="00AC6A2B"/>
    <w:rsid w:val="00AC7299"/>
    <w:rsid w:val="00AC7C93"/>
    <w:rsid w:val="00AD0891"/>
    <w:rsid w:val="00AD0A6B"/>
    <w:rsid w:val="00AD1005"/>
    <w:rsid w:val="00AD1788"/>
    <w:rsid w:val="00AD2311"/>
    <w:rsid w:val="00AD3698"/>
    <w:rsid w:val="00AD4093"/>
    <w:rsid w:val="00AD55C3"/>
    <w:rsid w:val="00AD61F9"/>
    <w:rsid w:val="00AD6267"/>
    <w:rsid w:val="00AE1EF2"/>
    <w:rsid w:val="00AE205D"/>
    <w:rsid w:val="00AE36D0"/>
    <w:rsid w:val="00AE548B"/>
    <w:rsid w:val="00AE5B2E"/>
    <w:rsid w:val="00AE738D"/>
    <w:rsid w:val="00AE76D8"/>
    <w:rsid w:val="00AF108A"/>
    <w:rsid w:val="00AF1BE5"/>
    <w:rsid w:val="00AF4460"/>
    <w:rsid w:val="00AF502E"/>
    <w:rsid w:val="00AF7399"/>
    <w:rsid w:val="00AF7B61"/>
    <w:rsid w:val="00AF7D51"/>
    <w:rsid w:val="00B014E3"/>
    <w:rsid w:val="00B025EB"/>
    <w:rsid w:val="00B02E55"/>
    <w:rsid w:val="00B036C1"/>
    <w:rsid w:val="00B03C58"/>
    <w:rsid w:val="00B03DBB"/>
    <w:rsid w:val="00B0537F"/>
    <w:rsid w:val="00B06AB7"/>
    <w:rsid w:val="00B06BE9"/>
    <w:rsid w:val="00B100BD"/>
    <w:rsid w:val="00B106B4"/>
    <w:rsid w:val="00B13653"/>
    <w:rsid w:val="00B14AA1"/>
    <w:rsid w:val="00B14DF7"/>
    <w:rsid w:val="00B15318"/>
    <w:rsid w:val="00B15C5F"/>
    <w:rsid w:val="00B15DCA"/>
    <w:rsid w:val="00B163D8"/>
    <w:rsid w:val="00B17503"/>
    <w:rsid w:val="00B213DC"/>
    <w:rsid w:val="00B22CD4"/>
    <w:rsid w:val="00B23B28"/>
    <w:rsid w:val="00B2402A"/>
    <w:rsid w:val="00B24C34"/>
    <w:rsid w:val="00B254FA"/>
    <w:rsid w:val="00B25E8A"/>
    <w:rsid w:val="00B26D64"/>
    <w:rsid w:val="00B26DD5"/>
    <w:rsid w:val="00B30D34"/>
    <w:rsid w:val="00B313F8"/>
    <w:rsid w:val="00B328A6"/>
    <w:rsid w:val="00B32FA2"/>
    <w:rsid w:val="00B34DA2"/>
    <w:rsid w:val="00B37FFA"/>
    <w:rsid w:val="00B400B7"/>
    <w:rsid w:val="00B40EA5"/>
    <w:rsid w:val="00B50444"/>
    <w:rsid w:val="00B50556"/>
    <w:rsid w:val="00B5093B"/>
    <w:rsid w:val="00B52163"/>
    <w:rsid w:val="00B5431F"/>
    <w:rsid w:val="00B557D0"/>
    <w:rsid w:val="00B55E63"/>
    <w:rsid w:val="00B56A8E"/>
    <w:rsid w:val="00B56AFD"/>
    <w:rsid w:val="00B63082"/>
    <w:rsid w:val="00B63993"/>
    <w:rsid w:val="00B6728A"/>
    <w:rsid w:val="00B67688"/>
    <w:rsid w:val="00B728F9"/>
    <w:rsid w:val="00B736F4"/>
    <w:rsid w:val="00B742D9"/>
    <w:rsid w:val="00B750DF"/>
    <w:rsid w:val="00B75A51"/>
    <w:rsid w:val="00B75B42"/>
    <w:rsid w:val="00B75F8C"/>
    <w:rsid w:val="00B769E0"/>
    <w:rsid w:val="00B77255"/>
    <w:rsid w:val="00B807B9"/>
    <w:rsid w:val="00B818CD"/>
    <w:rsid w:val="00B850E4"/>
    <w:rsid w:val="00B857DB"/>
    <w:rsid w:val="00B9082E"/>
    <w:rsid w:val="00B91C46"/>
    <w:rsid w:val="00B92895"/>
    <w:rsid w:val="00B92DB8"/>
    <w:rsid w:val="00B93D48"/>
    <w:rsid w:val="00B94D73"/>
    <w:rsid w:val="00B95D9B"/>
    <w:rsid w:val="00BA1056"/>
    <w:rsid w:val="00BA2251"/>
    <w:rsid w:val="00BA2B62"/>
    <w:rsid w:val="00BA2ED7"/>
    <w:rsid w:val="00BA3243"/>
    <w:rsid w:val="00BA40CC"/>
    <w:rsid w:val="00BA4546"/>
    <w:rsid w:val="00BB18D3"/>
    <w:rsid w:val="00BB2CD2"/>
    <w:rsid w:val="00BB2E86"/>
    <w:rsid w:val="00BB30A5"/>
    <w:rsid w:val="00BB3A5A"/>
    <w:rsid w:val="00BB62D5"/>
    <w:rsid w:val="00BC0359"/>
    <w:rsid w:val="00BC0BE5"/>
    <w:rsid w:val="00BC10FE"/>
    <w:rsid w:val="00BC153A"/>
    <w:rsid w:val="00BC186C"/>
    <w:rsid w:val="00BC4028"/>
    <w:rsid w:val="00BC523B"/>
    <w:rsid w:val="00BD2E05"/>
    <w:rsid w:val="00BD5661"/>
    <w:rsid w:val="00BD599B"/>
    <w:rsid w:val="00BD5DED"/>
    <w:rsid w:val="00BD63F3"/>
    <w:rsid w:val="00BD64CA"/>
    <w:rsid w:val="00BE00B9"/>
    <w:rsid w:val="00BE22D9"/>
    <w:rsid w:val="00BE4A0B"/>
    <w:rsid w:val="00BE596F"/>
    <w:rsid w:val="00BE7E20"/>
    <w:rsid w:val="00BF1564"/>
    <w:rsid w:val="00BF1C2F"/>
    <w:rsid w:val="00BF24FE"/>
    <w:rsid w:val="00BF2BE4"/>
    <w:rsid w:val="00BF36A0"/>
    <w:rsid w:val="00BF50C1"/>
    <w:rsid w:val="00BF5BF6"/>
    <w:rsid w:val="00BF6A2F"/>
    <w:rsid w:val="00BF7FE0"/>
    <w:rsid w:val="00C0033F"/>
    <w:rsid w:val="00C026CE"/>
    <w:rsid w:val="00C031B1"/>
    <w:rsid w:val="00C03400"/>
    <w:rsid w:val="00C04380"/>
    <w:rsid w:val="00C04522"/>
    <w:rsid w:val="00C04B6F"/>
    <w:rsid w:val="00C04C54"/>
    <w:rsid w:val="00C05FD7"/>
    <w:rsid w:val="00C07571"/>
    <w:rsid w:val="00C10894"/>
    <w:rsid w:val="00C13F45"/>
    <w:rsid w:val="00C14A9D"/>
    <w:rsid w:val="00C14F15"/>
    <w:rsid w:val="00C16471"/>
    <w:rsid w:val="00C20BC6"/>
    <w:rsid w:val="00C22C9A"/>
    <w:rsid w:val="00C24106"/>
    <w:rsid w:val="00C242A1"/>
    <w:rsid w:val="00C249B9"/>
    <w:rsid w:val="00C26171"/>
    <w:rsid w:val="00C266CC"/>
    <w:rsid w:val="00C268A1"/>
    <w:rsid w:val="00C30015"/>
    <w:rsid w:val="00C32A88"/>
    <w:rsid w:val="00C32F16"/>
    <w:rsid w:val="00C3452E"/>
    <w:rsid w:val="00C34F1A"/>
    <w:rsid w:val="00C35EC0"/>
    <w:rsid w:val="00C372E6"/>
    <w:rsid w:val="00C376E9"/>
    <w:rsid w:val="00C379E7"/>
    <w:rsid w:val="00C40A81"/>
    <w:rsid w:val="00C43618"/>
    <w:rsid w:val="00C43C2D"/>
    <w:rsid w:val="00C46D8E"/>
    <w:rsid w:val="00C50746"/>
    <w:rsid w:val="00C537F0"/>
    <w:rsid w:val="00C55154"/>
    <w:rsid w:val="00C578B4"/>
    <w:rsid w:val="00C609BC"/>
    <w:rsid w:val="00C60BAB"/>
    <w:rsid w:val="00C61DB4"/>
    <w:rsid w:val="00C622A1"/>
    <w:rsid w:val="00C652E4"/>
    <w:rsid w:val="00C65CB9"/>
    <w:rsid w:val="00C65CD9"/>
    <w:rsid w:val="00C67DD8"/>
    <w:rsid w:val="00C70B5E"/>
    <w:rsid w:val="00C72429"/>
    <w:rsid w:val="00C74685"/>
    <w:rsid w:val="00C74C2F"/>
    <w:rsid w:val="00C7721D"/>
    <w:rsid w:val="00C77CD6"/>
    <w:rsid w:val="00C81104"/>
    <w:rsid w:val="00C82D91"/>
    <w:rsid w:val="00C84125"/>
    <w:rsid w:val="00C843C9"/>
    <w:rsid w:val="00C84A9B"/>
    <w:rsid w:val="00C84ACF"/>
    <w:rsid w:val="00C86044"/>
    <w:rsid w:val="00C87D66"/>
    <w:rsid w:val="00C90DD9"/>
    <w:rsid w:val="00C943A9"/>
    <w:rsid w:val="00C9536F"/>
    <w:rsid w:val="00C96411"/>
    <w:rsid w:val="00C97841"/>
    <w:rsid w:val="00CA1918"/>
    <w:rsid w:val="00CA1D9B"/>
    <w:rsid w:val="00CA20EB"/>
    <w:rsid w:val="00CA795C"/>
    <w:rsid w:val="00CB041F"/>
    <w:rsid w:val="00CB0497"/>
    <w:rsid w:val="00CB0B73"/>
    <w:rsid w:val="00CB0E35"/>
    <w:rsid w:val="00CB142F"/>
    <w:rsid w:val="00CB1435"/>
    <w:rsid w:val="00CB3858"/>
    <w:rsid w:val="00CB3B42"/>
    <w:rsid w:val="00CB42F9"/>
    <w:rsid w:val="00CB53C5"/>
    <w:rsid w:val="00CB5671"/>
    <w:rsid w:val="00CC0123"/>
    <w:rsid w:val="00CC1DDA"/>
    <w:rsid w:val="00CC3ACC"/>
    <w:rsid w:val="00CC3F1D"/>
    <w:rsid w:val="00CC3FD6"/>
    <w:rsid w:val="00CC6D55"/>
    <w:rsid w:val="00CD2896"/>
    <w:rsid w:val="00CD39B6"/>
    <w:rsid w:val="00CD5469"/>
    <w:rsid w:val="00CD579A"/>
    <w:rsid w:val="00CD6C61"/>
    <w:rsid w:val="00CD77E9"/>
    <w:rsid w:val="00CE08A1"/>
    <w:rsid w:val="00CE1CFF"/>
    <w:rsid w:val="00CE2375"/>
    <w:rsid w:val="00CE2A8C"/>
    <w:rsid w:val="00CE2EE9"/>
    <w:rsid w:val="00CE6CCE"/>
    <w:rsid w:val="00CE6FC2"/>
    <w:rsid w:val="00CF042A"/>
    <w:rsid w:val="00CF1128"/>
    <w:rsid w:val="00CF1191"/>
    <w:rsid w:val="00CF58B7"/>
    <w:rsid w:val="00CF71A7"/>
    <w:rsid w:val="00CF7F7A"/>
    <w:rsid w:val="00D00DB1"/>
    <w:rsid w:val="00D01580"/>
    <w:rsid w:val="00D0460E"/>
    <w:rsid w:val="00D05B58"/>
    <w:rsid w:val="00D06517"/>
    <w:rsid w:val="00D10B71"/>
    <w:rsid w:val="00D12317"/>
    <w:rsid w:val="00D13423"/>
    <w:rsid w:val="00D13DE1"/>
    <w:rsid w:val="00D14044"/>
    <w:rsid w:val="00D147DC"/>
    <w:rsid w:val="00D14C01"/>
    <w:rsid w:val="00D14D16"/>
    <w:rsid w:val="00D153BF"/>
    <w:rsid w:val="00D20EB1"/>
    <w:rsid w:val="00D20EB6"/>
    <w:rsid w:val="00D21CB2"/>
    <w:rsid w:val="00D22579"/>
    <w:rsid w:val="00D2292A"/>
    <w:rsid w:val="00D2468C"/>
    <w:rsid w:val="00D26ACF"/>
    <w:rsid w:val="00D26BF1"/>
    <w:rsid w:val="00D27A84"/>
    <w:rsid w:val="00D27D6D"/>
    <w:rsid w:val="00D30D6E"/>
    <w:rsid w:val="00D31B4B"/>
    <w:rsid w:val="00D31EEC"/>
    <w:rsid w:val="00D33C60"/>
    <w:rsid w:val="00D33D31"/>
    <w:rsid w:val="00D341EB"/>
    <w:rsid w:val="00D34A24"/>
    <w:rsid w:val="00D351C1"/>
    <w:rsid w:val="00D35EFB"/>
    <w:rsid w:val="00D37222"/>
    <w:rsid w:val="00D37E8D"/>
    <w:rsid w:val="00D40D4C"/>
    <w:rsid w:val="00D41A90"/>
    <w:rsid w:val="00D422F8"/>
    <w:rsid w:val="00D428B7"/>
    <w:rsid w:val="00D44A42"/>
    <w:rsid w:val="00D46394"/>
    <w:rsid w:val="00D46FB1"/>
    <w:rsid w:val="00D504B3"/>
    <w:rsid w:val="00D50E4F"/>
    <w:rsid w:val="00D52A37"/>
    <w:rsid w:val="00D543CB"/>
    <w:rsid w:val="00D56A65"/>
    <w:rsid w:val="00D56C48"/>
    <w:rsid w:val="00D613AC"/>
    <w:rsid w:val="00D62C1C"/>
    <w:rsid w:val="00D650DF"/>
    <w:rsid w:val="00D653FA"/>
    <w:rsid w:val="00D679B3"/>
    <w:rsid w:val="00D702ED"/>
    <w:rsid w:val="00D72ECA"/>
    <w:rsid w:val="00D73090"/>
    <w:rsid w:val="00D732FC"/>
    <w:rsid w:val="00D73676"/>
    <w:rsid w:val="00D746FE"/>
    <w:rsid w:val="00D7564C"/>
    <w:rsid w:val="00D77A82"/>
    <w:rsid w:val="00D80037"/>
    <w:rsid w:val="00D8277C"/>
    <w:rsid w:val="00D838AE"/>
    <w:rsid w:val="00D84873"/>
    <w:rsid w:val="00D859E2"/>
    <w:rsid w:val="00D85A07"/>
    <w:rsid w:val="00D86BF0"/>
    <w:rsid w:val="00D87EDC"/>
    <w:rsid w:val="00D927F6"/>
    <w:rsid w:val="00D93469"/>
    <w:rsid w:val="00D93623"/>
    <w:rsid w:val="00D93B85"/>
    <w:rsid w:val="00D97EA1"/>
    <w:rsid w:val="00DA0765"/>
    <w:rsid w:val="00DA0BCC"/>
    <w:rsid w:val="00DA12C2"/>
    <w:rsid w:val="00DA13AC"/>
    <w:rsid w:val="00DA1A98"/>
    <w:rsid w:val="00DA4039"/>
    <w:rsid w:val="00DA46AF"/>
    <w:rsid w:val="00DA638F"/>
    <w:rsid w:val="00DA67D8"/>
    <w:rsid w:val="00DA7D74"/>
    <w:rsid w:val="00DB0C68"/>
    <w:rsid w:val="00DB1FFE"/>
    <w:rsid w:val="00DB2CC2"/>
    <w:rsid w:val="00DB5892"/>
    <w:rsid w:val="00DB70E2"/>
    <w:rsid w:val="00DC1B3D"/>
    <w:rsid w:val="00DC75AC"/>
    <w:rsid w:val="00DD1E97"/>
    <w:rsid w:val="00DD2594"/>
    <w:rsid w:val="00DD3C48"/>
    <w:rsid w:val="00DD7AFC"/>
    <w:rsid w:val="00DE0255"/>
    <w:rsid w:val="00DE1EEC"/>
    <w:rsid w:val="00DE22F7"/>
    <w:rsid w:val="00DE2E6B"/>
    <w:rsid w:val="00DE3C33"/>
    <w:rsid w:val="00DE50A9"/>
    <w:rsid w:val="00DE59B5"/>
    <w:rsid w:val="00DF0696"/>
    <w:rsid w:val="00DF198B"/>
    <w:rsid w:val="00DF1C24"/>
    <w:rsid w:val="00DF46C0"/>
    <w:rsid w:val="00E00F27"/>
    <w:rsid w:val="00E027F5"/>
    <w:rsid w:val="00E0450A"/>
    <w:rsid w:val="00E069B5"/>
    <w:rsid w:val="00E07998"/>
    <w:rsid w:val="00E11FEB"/>
    <w:rsid w:val="00E1272E"/>
    <w:rsid w:val="00E13AF5"/>
    <w:rsid w:val="00E1490A"/>
    <w:rsid w:val="00E16FD9"/>
    <w:rsid w:val="00E21AA7"/>
    <w:rsid w:val="00E222D4"/>
    <w:rsid w:val="00E30F37"/>
    <w:rsid w:val="00E32657"/>
    <w:rsid w:val="00E3419E"/>
    <w:rsid w:val="00E34EA5"/>
    <w:rsid w:val="00E36ACC"/>
    <w:rsid w:val="00E37AAC"/>
    <w:rsid w:val="00E40FDC"/>
    <w:rsid w:val="00E41037"/>
    <w:rsid w:val="00E4189A"/>
    <w:rsid w:val="00E41AFF"/>
    <w:rsid w:val="00E42A4F"/>
    <w:rsid w:val="00E43F67"/>
    <w:rsid w:val="00E444D5"/>
    <w:rsid w:val="00E46F4F"/>
    <w:rsid w:val="00E5053F"/>
    <w:rsid w:val="00E51920"/>
    <w:rsid w:val="00E52DE1"/>
    <w:rsid w:val="00E5308E"/>
    <w:rsid w:val="00E532AE"/>
    <w:rsid w:val="00E53564"/>
    <w:rsid w:val="00E55889"/>
    <w:rsid w:val="00E56073"/>
    <w:rsid w:val="00E566C7"/>
    <w:rsid w:val="00E617EC"/>
    <w:rsid w:val="00E64120"/>
    <w:rsid w:val="00E660A1"/>
    <w:rsid w:val="00E66195"/>
    <w:rsid w:val="00E70E9A"/>
    <w:rsid w:val="00E724EC"/>
    <w:rsid w:val="00E72EDC"/>
    <w:rsid w:val="00E74ED5"/>
    <w:rsid w:val="00E8098F"/>
    <w:rsid w:val="00E818D7"/>
    <w:rsid w:val="00E84EE4"/>
    <w:rsid w:val="00E86240"/>
    <w:rsid w:val="00E86CC6"/>
    <w:rsid w:val="00E86E74"/>
    <w:rsid w:val="00E86EE2"/>
    <w:rsid w:val="00E86F91"/>
    <w:rsid w:val="00E90451"/>
    <w:rsid w:val="00E915DA"/>
    <w:rsid w:val="00E91BB2"/>
    <w:rsid w:val="00E92673"/>
    <w:rsid w:val="00E931F3"/>
    <w:rsid w:val="00E96631"/>
    <w:rsid w:val="00E97263"/>
    <w:rsid w:val="00E972D1"/>
    <w:rsid w:val="00E97A8B"/>
    <w:rsid w:val="00EA07AF"/>
    <w:rsid w:val="00EA3908"/>
    <w:rsid w:val="00EA3CCF"/>
    <w:rsid w:val="00EA4B3A"/>
    <w:rsid w:val="00EA5934"/>
    <w:rsid w:val="00EA59F9"/>
    <w:rsid w:val="00EA5BD0"/>
    <w:rsid w:val="00EA7617"/>
    <w:rsid w:val="00EB0B04"/>
    <w:rsid w:val="00EB17A4"/>
    <w:rsid w:val="00EB2CD7"/>
    <w:rsid w:val="00EB2D08"/>
    <w:rsid w:val="00EB32A0"/>
    <w:rsid w:val="00EB40DD"/>
    <w:rsid w:val="00EB4DCF"/>
    <w:rsid w:val="00EB50A1"/>
    <w:rsid w:val="00EB653E"/>
    <w:rsid w:val="00EB7CAE"/>
    <w:rsid w:val="00EC0EAC"/>
    <w:rsid w:val="00EC297D"/>
    <w:rsid w:val="00EC399D"/>
    <w:rsid w:val="00EC39DD"/>
    <w:rsid w:val="00EC45F1"/>
    <w:rsid w:val="00EC53A7"/>
    <w:rsid w:val="00ED2696"/>
    <w:rsid w:val="00ED2B09"/>
    <w:rsid w:val="00ED6EAA"/>
    <w:rsid w:val="00ED774C"/>
    <w:rsid w:val="00EE0B0F"/>
    <w:rsid w:val="00EE11B4"/>
    <w:rsid w:val="00EE251F"/>
    <w:rsid w:val="00EE5797"/>
    <w:rsid w:val="00EE5BB6"/>
    <w:rsid w:val="00EE719C"/>
    <w:rsid w:val="00EF0088"/>
    <w:rsid w:val="00EF1567"/>
    <w:rsid w:val="00EF1597"/>
    <w:rsid w:val="00EF22E6"/>
    <w:rsid w:val="00EF4B90"/>
    <w:rsid w:val="00EF5126"/>
    <w:rsid w:val="00F009F4"/>
    <w:rsid w:val="00F00FFB"/>
    <w:rsid w:val="00F055F1"/>
    <w:rsid w:val="00F05F3E"/>
    <w:rsid w:val="00F06675"/>
    <w:rsid w:val="00F100D1"/>
    <w:rsid w:val="00F1046D"/>
    <w:rsid w:val="00F11B13"/>
    <w:rsid w:val="00F11C4D"/>
    <w:rsid w:val="00F154BA"/>
    <w:rsid w:val="00F21331"/>
    <w:rsid w:val="00F228BD"/>
    <w:rsid w:val="00F22A09"/>
    <w:rsid w:val="00F2374A"/>
    <w:rsid w:val="00F2753D"/>
    <w:rsid w:val="00F32B66"/>
    <w:rsid w:val="00F32CC9"/>
    <w:rsid w:val="00F33666"/>
    <w:rsid w:val="00F3720E"/>
    <w:rsid w:val="00F37976"/>
    <w:rsid w:val="00F401F8"/>
    <w:rsid w:val="00F40374"/>
    <w:rsid w:val="00F40ADD"/>
    <w:rsid w:val="00F42639"/>
    <w:rsid w:val="00F444AB"/>
    <w:rsid w:val="00F46ABC"/>
    <w:rsid w:val="00F46CB9"/>
    <w:rsid w:val="00F4791E"/>
    <w:rsid w:val="00F5029A"/>
    <w:rsid w:val="00F50626"/>
    <w:rsid w:val="00F51CFF"/>
    <w:rsid w:val="00F52266"/>
    <w:rsid w:val="00F52B02"/>
    <w:rsid w:val="00F5331F"/>
    <w:rsid w:val="00F54523"/>
    <w:rsid w:val="00F55738"/>
    <w:rsid w:val="00F55810"/>
    <w:rsid w:val="00F564CE"/>
    <w:rsid w:val="00F56D99"/>
    <w:rsid w:val="00F576A8"/>
    <w:rsid w:val="00F610AF"/>
    <w:rsid w:val="00F61E43"/>
    <w:rsid w:val="00F62131"/>
    <w:rsid w:val="00F6234D"/>
    <w:rsid w:val="00F62A3E"/>
    <w:rsid w:val="00F64445"/>
    <w:rsid w:val="00F65230"/>
    <w:rsid w:val="00F70741"/>
    <w:rsid w:val="00F71C58"/>
    <w:rsid w:val="00F72C72"/>
    <w:rsid w:val="00F74102"/>
    <w:rsid w:val="00F74BD0"/>
    <w:rsid w:val="00F75CEB"/>
    <w:rsid w:val="00F76FFA"/>
    <w:rsid w:val="00F7747C"/>
    <w:rsid w:val="00F801B1"/>
    <w:rsid w:val="00F80FF4"/>
    <w:rsid w:val="00F83EE0"/>
    <w:rsid w:val="00F843E3"/>
    <w:rsid w:val="00F8733A"/>
    <w:rsid w:val="00F8734C"/>
    <w:rsid w:val="00F90088"/>
    <w:rsid w:val="00F900F4"/>
    <w:rsid w:val="00F9412B"/>
    <w:rsid w:val="00F94A3D"/>
    <w:rsid w:val="00F950D2"/>
    <w:rsid w:val="00F95115"/>
    <w:rsid w:val="00F96E99"/>
    <w:rsid w:val="00F9734E"/>
    <w:rsid w:val="00FA2C5A"/>
    <w:rsid w:val="00FA3587"/>
    <w:rsid w:val="00FA4BEB"/>
    <w:rsid w:val="00FA7E31"/>
    <w:rsid w:val="00FB01BE"/>
    <w:rsid w:val="00FB363A"/>
    <w:rsid w:val="00FB3F63"/>
    <w:rsid w:val="00FB536B"/>
    <w:rsid w:val="00FC00BD"/>
    <w:rsid w:val="00FC120B"/>
    <w:rsid w:val="00FC1C45"/>
    <w:rsid w:val="00FC2D11"/>
    <w:rsid w:val="00FC6087"/>
    <w:rsid w:val="00FC6230"/>
    <w:rsid w:val="00FC678E"/>
    <w:rsid w:val="00FD0293"/>
    <w:rsid w:val="00FD37FE"/>
    <w:rsid w:val="00FD53D4"/>
    <w:rsid w:val="00FD57A6"/>
    <w:rsid w:val="00FD6284"/>
    <w:rsid w:val="00FD63D9"/>
    <w:rsid w:val="00FE16C4"/>
    <w:rsid w:val="00FE3220"/>
    <w:rsid w:val="00FE3A12"/>
    <w:rsid w:val="00FE5052"/>
    <w:rsid w:val="00FE5200"/>
    <w:rsid w:val="00FE54E0"/>
    <w:rsid w:val="00FE57EC"/>
    <w:rsid w:val="00FE6538"/>
    <w:rsid w:val="00FE730F"/>
    <w:rsid w:val="00FE7396"/>
    <w:rsid w:val="00FF0BEC"/>
    <w:rsid w:val="00FF172E"/>
    <w:rsid w:val="00FF2EB7"/>
    <w:rsid w:val="00FF61E7"/>
    <w:rsid w:val="00FF740D"/>
    <w:rsid w:val="01F59A6E"/>
    <w:rsid w:val="04C97CC6"/>
    <w:rsid w:val="05BBA3C1"/>
    <w:rsid w:val="0A2F4A51"/>
    <w:rsid w:val="0AB77A8D"/>
    <w:rsid w:val="0B7C4ACA"/>
    <w:rsid w:val="0C619103"/>
    <w:rsid w:val="0D73D10B"/>
    <w:rsid w:val="0FDA4C09"/>
    <w:rsid w:val="10E6B7FE"/>
    <w:rsid w:val="1858A64D"/>
    <w:rsid w:val="192D1100"/>
    <w:rsid w:val="1AB5988A"/>
    <w:rsid w:val="245CB748"/>
    <w:rsid w:val="2656D5D6"/>
    <w:rsid w:val="268364C9"/>
    <w:rsid w:val="285A3E81"/>
    <w:rsid w:val="28A98397"/>
    <w:rsid w:val="2E57B3EE"/>
    <w:rsid w:val="2E620F04"/>
    <w:rsid w:val="2F7572AD"/>
    <w:rsid w:val="32AF00B1"/>
    <w:rsid w:val="340893B6"/>
    <w:rsid w:val="3484B236"/>
    <w:rsid w:val="36BB7EDB"/>
    <w:rsid w:val="39C8B882"/>
    <w:rsid w:val="3C08F04B"/>
    <w:rsid w:val="3D5A95B5"/>
    <w:rsid w:val="3EA0B206"/>
    <w:rsid w:val="3F5C1BDF"/>
    <w:rsid w:val="4042236B"/>
    <w:rsid w:val="40A4CF29"/>
    <w:rsid w:val="471F99C8"/>
    <w:rsid w:val="4771C7BD"/>
    <w:rsid w:val="49BFF302"/>
    <w:rsid w:val="4A74A806"/>
    <w:rsid w:val="4C584DFB"/>
    <w:rsid w:val="4F518E73"/>
    <w:rsid w:val="500A0FD2"/>
    <w:rsid w:val="52D38E37"/>
    <w:rsid w:val="53598CC1"/>
    <w:rsid w:val="54E37CC8"/>
    <w:rsid w:val="582C5E22"/>
    <w:rsid w:val="582EE478"/>
    <w:rsid w:val="58DFE112"/>
    <w:rsid w:val="59813B6C"/>
    <w:rsid w:val="5BE867E2"/>
    <w:rsid w:val="6088A95E"/>
    <w:rsid w:val="60F27AE2"/>
    <w:rsid w:val="65802FAD"/>
    <w:rsid w:val="661F0522"/>
    <w:rsid w:val="67A9368A"/>
    <w:rsid w:val="67CC668D"/>
    <w:rsid w:val="68E8615B"/>
    <w:rsid w:val="693B1ECC"/>
    <w:rsid w:val="69B26021"/>
    <w:rsid w:val="6C2183D7"/>
    <w:rsid w:val="6C80BE0A"/>
    <w:rsid w:val="6D9A8E7C"/>
    <w:rsid w:val="6E616D45"/>
    <w:rsid w:val="6EAD0A9D"/>
    <w:rsid w:val="73759E72"/>
    <w:rsid w:val="7580B823"/>
    <w:rsid w:val="77DBEAB1"/>
    <w:rsid w:val="7A9EFC6F"/>
    <w:rsid w:val="7BB8D43A"/>
    <w:rsid w:val="7EC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14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uiPriority="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43C2D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43C2D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636759"/>
    <w:pPr>
      <w:tabs>
        <w:tab w:val="left" w:pos="8647"/>
        <w:tab w:val="right" w:leader="dot" w:pos="13948"/>
      </w:tabs>
      <w:spacing w:before="120" w:after="12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0241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A5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C72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E2"/>
  </w:style>
  <w:style w:type="paragraph" w:styleId="CommentSubject">
    <w:name w:val="annotation subject"/>
    <w:basedOn w:val="CommentText"/>
    <w:next w:val="CommentText"/>
    <w:link w:val="CommentSubjectChar"/>
    <w:semiHidden/>
    <w:rsid w:val="004D0CE2"/>
    <w:rPr>
      <w:b/>
      <w:bCs/>
    </w:rPr>
  </w:style>
  <w:style w:type="character" w:customStyle="1" w:styleId="CommentSubjectChar">
    <w:name w:val="Comment Subject Char"/>
    <w:link w:val="CommentSubject"/>
    <w:semiHidden/>
    <w:rsid w:val="004D0CE2"/>
    <w:rPr>
      <w:b/>
      <w:bCs/>
    </w:rPr>
  </w:style>
  <w:style w:type="character" w:styleId="Hyperlink">
    <w:name w:val="Hyperlink"/>
    <w:uiPriority w:val="99"/>
    <w:rsid w:val="00D87EDC"/>
    <w:rPr>
      <w:color w:val="0000FF"/>
      <w:u w:val="single"/>
    </w:rPr>
  </w:style>
  <w:style w:type="paragraph" w:styleId="Revision">
    <w:name w:val="Revision"/>
    <w:hidden/>
    <w:uiPriority w:val="99"/>
    <w:semiHidden/>
    <w:rsid w:val="007D04F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C76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rsid w:val="00FE5200"/>
    <w:pPr>
      <w:ind w:left="720"/>
    </w:pPr>
  </w:style>
  <w:style w:type="paragraph" w:customStyle="1" w:styleId="pf0">
    <w:name w:val="pf0"/>
    <w:basedOn w:val="Normal"/>
    <w:rsid w:val="00F80FF4"/>
    <w:pPr>
      <w:spacing w:before="100" w:beforeAutospacing="1" w:after="100" w:afterAutospacing="1"/>
    </w:pPr>
  </w:style>
  <w:style w:type="character" w:customStyle="1" w:styleId="cf01">
    <w:name w:val="cf01"/>
    <w:rsid w:val="00F80FF4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5227A"/>
    <w:pPr>
      <w:keepLines/>
      <w:spacing w:before="240"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val="en-US" w:eastAsia="en-US"/>
    </w:rPr>
  </w:style>
  <w:style w:type="numbering" w:customStyle="1" w:styleId="Style1">
    <w:name w:val="Style1"/>
    <w:uiPriority w:val="99"/>
    <w:rsid w:val="00003A98"/>
    <w:pPr>
      <w:numPr>
        <w:numId w:val="6"/>
      </w:numPr>
    </w:pPr>
  </w:style>
  <w:style w:type="numbering" w:customStyle="1" w:styleId="Style2">
    <w:name w:val="Style2"/>
    <w:uiPriority w:val="99"/>
    <w:rsid w:val="00003A98"/>
    <w:pPr>
      <w:numPr>
        <w:numId w:val="8"/>
      </w:numPr>
    </w:pPr>
  </w:style>
  <w:style w:type="numbering" w:customStyle="1" w:styleId="Style3">
    <w:name w:val="Style3"/>
    <w:uiPriority w:val="99"/>
    <w:rsid w:val="00510006"/>
    <w:pPr>
      <w:numPr>
        <w:numId w:val="13"/>
      </w:numPr>
    </w:pPr>
  </w:style>
  <w:style w:type="numbering" w:customStyle="1" w:styleId="Style4">
    <w:name w:val="Style4"/>
    <w:uiPriority w:val="99"/>
    <w:rsid w:val="00451133"/>
    <w:pPr>
      <w:numPr>
        <w:numId w:val="16"/>
      </w:numPr>
    </w:pPr>
  </w:style>
  <w:style w:type="numbering" w:customStyle="1" w:styleId="Style5">
    <w:name w:val="Style5"/>
    <w:uiPriority w:val="99"/>
    <w:rsid w:val="00823A51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551B"/>
    <w:rPr>
      <w:color w:val="605E5C"/>
      <w:shd w:val="clear" w:color="auto" w:fill="E1DFDD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7A611A"/>
    <w:rPr>
      <w:rFonts w:ascii="Arial" w:hAnsi="Arial"/>
      <w:sz w:val="24"/>
      <w:szCs w:val="24"/>
    </w:rPr>
  </w:style>
  <w:style w:type="paragraph" w:customStyle="1" w:styleId="Instructionstext">
    <w:name w:val="Instructions text"/>
    <w:basedOn w:val="Normal"/>
    <w:rsid w:val="00DF46C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DE9D9"/>
      <w:spacing w:before="240" w:after="240" w:line="288" w:lineRule="auto"/>
    </w:pPr>
    <w:rPr>
      <w:rFonts w:ascii="Arial" w:hAnsi="Arial"/>
      <w:kern w:val="32"/>
      <w:sz w:val="20"/>
      <w:szCs w:val="20"/>
      <w:lang w:eastAsia="en-US"/>
    </w:rPr>
  </w:style>
  <w:style w:type="character" w:customStyle="1" w:styleId="cf11">
    <w:name w:val="cf11"/>
    <w:basedOn w:val="DefaultParagraphFont"/>
    <w:rsid w:val="00DA0765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FollowedHyperlink">
    <w:name w:val="FollowedHyperlink"/>
    <w:basedOn w:val="DefaultParagraphFont"/>
    <w:semiHidden/>
    <w:rsid w:val="009623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archive.nationalarchives.gov.uk/ukgwa/20250310143933/https:/cass.independent-review.uk/home/publications/final-report/" TargetMode="External"/><Relationship Id="rId18" Type="http://schemas.openxmlformats.org/officeDocument/2006/relationships/hyperlink" Target="https://www.engage.england.nhs.uk/consultation/nhs-children-and-young-peoples-gender-service-spec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ebarchive.nationalarchives.gov.uk/ukgwa/20250310143933/https:/cass.independent-review.uk/home/publications/final-report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ng204" TargetMode="External"/><Relationship Id="rId17" Type="http://schemas.openxmlformats.org/officeDocument/2006/relationships/hyperlink" Target="https://webarchive.nationalarchives.gov.uk/ukgwa/20250310143933/https:/cass.independent-review.uk/home/publications/final-report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ebarchive.nationalarchives.gov.uk/ukgwa/20250310143933/https:/cass.independent-review.uk/home/publications/final-report/" TargetMode="External"/><Relationship Id="rId20" Type="http://schemas.openxmlformats.org/officeDocument/2006/relationships/hyperlink" Target="https://www.engage.england.nhs.uk/consultation/nhs-children-and-young-peoples-gender-service-spec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process/pmg43" TargetMode="External"/><Relationship Id="rId24" Type="http://schemas.openxmlformats.org/officeDocument/2006/relationships/hyperlink" Target="https://www.nice.org.uk/terms-and-condi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ngage.england.nhs.uk/consultation/nhs-children-and-young-peoples-gender-service-spec/" TargetMode="External"/><Relationship Id="rId23" Type="http://schemas.openxmlformats.org/officeDocument/2006/relationships/hyperlink" Target="https://webarchive.nationalarchives.gov.uk/ukgwa/20250310143933/https:/cass.independent-review.uk/home/publications/final-report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ngage.england.nhs.uk/consultation/nhs-children-and-young-peoples-gender-service-spec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gage.england.nhs.uk/consultation/nhs-children-and-young-peoples-gender-service-spec/" TargetMode="External"/><Relationship Id="rId22" Type="http://schemas.openxmlformats.org/officeDocument/2006/relationships/hyperlink" Target="https://webarchive.nationalarchives.gov.uk/ukgwa/20250310143933/https:/cass.independent-review.uk/home/publications/final-report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70BC03E63A942BA8FE8578F52AB54" ma:contentTypeVersion="3" ma:contentTypeDescription="Create a new document." ma:contentTypeScope="" ma:versionID="f0b679b6a91898b73cbdac672151e995">
  <xsd:schema xmlns:xsd="http://www.w3.org/2001/XMLSchema" xmlns:xs="http://www.w3.org/2001/XMLSchema" xmlns:p="http://schemas.microsoft.com/office/2006/metadata/properties" xmlns:ns2="ed438593-7c0d-48fe-a020-28a11b27b6c0" targetNamespace="http://schemas.microsoft.com/office/2006/metadata/properties" ma:root="true" ma:fieldsID="32a03ceb5370fd9ab79d877dbc90402d" ns2:_="">
    <xsd:import namespace="ed438593-7c0d-48fe-a020-28a11b27b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38593-7c0d-48fe-a020-28a11b27b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812768-A977-429D-8601-CDD2FF3D5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84C551-1EBC-4C64-BFC4-22F91E1DA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38593-7c0d-48fe-a020-28a11b27b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F1A36-6D4F-4449-ADFB-A85ABB212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BDBDD-33E8-49C4-98E8-BF589539CE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2026-03-16T14:11:00Z</dcterms:created>
  <dcterms:modified xsi:type="dcterms:W3CDTF">2026-03-16T14:11:00Z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2026-03-13T10:17:58Z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53c284d8-91d6-490d-a3b7-e02c84d74362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ContentTypeId">
    <vt:lpwstr>0x010100FA470BC03E63A942BA8FE8578F52AB54</vt:lpwstr>
  </property>
</Properties>
</file>