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B4DBC" w14:textId="77777777" w:rsidR="000F48EC" w:rsidRPr="00FA7706" w:rsidRDefault="000F48EC" w:rsidP="0093671F">
      <w:pPr>
        <w:pStyle w:val="Title2"/>
      </w:pPr>
      <w:r w:rsidRPr="00FA7706">
        <w:t>NATIONAL INSTITUTE FOR HEALTH AND C</w:t>
      </w:r>
      <w:r w:rsidR="00CC63EB" w:rsidRPr="00FA7706">
        <w:t>ARE</w:t>
      </w:r>
      <w:r w:rsidRPr="00FA7706">
        <w:t xml:space="preserve"> EXCELLENCE</w:t>
      </w:r>
    </w:p>
    <w:p w14:paraId="4741DDA5" w14:textId="78740517" w:rsidR="000F48EC" w:rsidRPr="00FA7706" w:rsidRDefault="00DE2053" w:rsidP="000069F9">
      <w:pPr>
        <w:pStyle w:val="Title2"/>
      </w:pPr>
      <w:r w:rsidRPr="00FA7706">
        <w:t>A</w:t>
      </w:r>
      <w:r w:rsidR="00C03294" w:rsidRPr="00FA7706">
        <w:t>ppraisal consultation document</w:t>
      </w:r>
    </w:p>
    <w:p w14:paraId="6A6D62E0" w14:textId="09A84518" w:rsidR="007A2801" w:rsidRPr="00FA7706" w:rsidRDefault="008E14F9" w:rsidP="00855B42">
      <w:pPr>
        <w:pStyle w:val="Title1"/>
      </w:pPr>
      <w:r w:rsidRPr="008E14F9">
        <w:t>Betibeglogene autotemcel for treating transfusion-dependent beta-thalassaemia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5FFFE2CD" w14:textId="77777777" w:rsidTr="008669C9">
        <w:tc>
          <w:tcPr>
            <w:tcW w:w="8529" w:type="dxa"/>
            <w:shd w:val="clear" w:color="auto" w:fill="auto"/>
          </w:tcPr>
          <w:p w14:paraId="227D2037" w14:textId="77777777" w:rsidR="008E14F9" w:rsidRPr="008E14F9" w:rsidRDefault="008E14F9" w:rsidP="008E14F9">
            <w:pPr>
              <w:pStyle w:val="NICEnormalsinglespacing"/>
            </w:pPr>
            <w:r w:rsidRPr="008E14F9">
              <w:t xml:space="preserve">The Department of Health and Social Care has asked the National Institute for Health and Care Excellence (NICE) to produce guidance on using betibeglogene autotemcel in the NHS in England. The appraisal committee has considered the evidence submitted by the company and the views of non-company consultees and commentators, clinical experts and patient experts. </w:t>
            </w:r>
          </w:p>
          <w:p w14:paraId="3549943B" w14:textId="77777777" w:rsidR="008E14F9" w:rsidRPr="008E14F9" w:rsidRDefault="008E14F9" w:rsidP="008E14F9">
            <w:pPr>
              <w:pStyle w:val="NICEnormalsinglespacing"/>
            </w:pPr>
            <w:r w:rsidRPr="008E14F9">
              <w:rPr>
                <w:b/>
                <w:bCs/>
              </w:rPr>
              <w:t>This document has been prepared for consultation with the consultees.</w:t>
            </w:r>
            <w:r w:rsidRPr="008E14F9">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sidRPr="008E14F9">
                <w:rPr>
                  <w:rStyle w:val="Hyperlink"/>
                </w:rPr>
                <w:t>committee papers</w:t>
              </w:r>
            </w:hyperlink>
            <w:r w:rsidRPr="008E14F9">
              <w:t>).</w:t>
            </w:r>
          </w:p>
          <w:p w14:paraId="62C86264" w14:textId="77777777" w:rsidR="008E14F9" w:rsidRPr="008E14F9" w:rsidRDefault="008E14F9" w:rsidP="008E14F9">
            <w:pPr>
              <w:pStyle w:val="NICEnormalsinglespacing"/>
            </w:pPr>
            <w:r w:rsidRPr="008E14F9">
              <w:t>The appraisal committee is interested in receiving comments on the following:</w:t>
            </w:r>
          </w:p>
          <w:p w14:paraId="3C7370B1" w14:textId="77777777" w:rsidR="008E14F9" w:rsidRPr="008E14F9" w:rsidRDefault="008E14F9" w:rsidP="000C709D">
            <w:pPr>
              <w:pStyle w:val="NICEnormalsinglespacing"/>
              <w:numPr>
                <w:ilvl w:val="0"/>
                <w:numId w:val="15"/>
              </w:numPr>
            </w:pPr>
            <w:r w:rsidRPr="008E14F9">
              <w:t>Has all of the relevant evidence been taken into account?</w:t>
            </w:r>
          </w:p>
          <w:p w14:paraId="33B71264" w14:textId="77777777" w:rsidR="008E14F9" w:rsidRPr="008E14F9" w:rsidRDefault="008E14F9" w:rsidP="000C709D">
            <w:pPr>
              <w:pStyle w:val="NICEnormalsinglespacing"/>
              <w:numPr>
                <w:ilvl w:val="0"/>
                <w:numId w:val="15"/>
              </w:numPr>
            </w:pPr>
            <w:r w:rsidRPr="008E14F9">
              <w:t>Are the summaries of clinical and cost effectiveness reasonable interpretations of the evidence?</w:t>
            </w:r>
          </w:p>
          <w:p w14:paraId="114942E0" w14:textId="77777777" w:rsidR="008E14F9" w:rsidRPr="008E14F9" w:rsidRDefault="008E14F9" w:rsidP="000C709D">
            <w:pPr>
              <w:pStyle w:val="NICEnormalsinglespacing"/>
              <w:numPr>
                <w:ilvl w:val="0"/>
                <w:numId w:val="15"/>
              </w:numPr>
            </w:pPr>
            <w:r w:rsidRPr="008E14F9">
              <w:t>Are the recommendations sound and a suitable basis for guidance to the NHS?</w:t>
            </w:r>
          </w:p>
          <w:p w14:paraId="429735DC" w14:textId="77777777" w:rsidR="008E14F9" w:rsidRPr="008E14F9" w:rsidRDefault="008E14F9" w:rsidP="000C709D">
            <w:pPr>
              <w:pStyle w:val="NICEnormalsinglespacing"/>
              <w:numPr>
                <w:ilvl w:val="0"/>
                <w:numId w:val="15"/>
              </w:numPr>
            </w:pPr>
            <w:r w:rsidRPr="008E14F9">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p w14:paraId="4F9D48D5" w14:textId="64941F9C" w:rsidR="00C03294" w:rsidRPr="00FA7706" w:rsidRDefault="00C03294" w:rsidP="00585D69">
            <w:pPr>
              <w:pStyle w:val="Bulletleft1"/>
              <w:numPr>
                <w:ilvl w:val="0"/>
                <w:numId w:val="0"/>
              </w:numPr>
              <w:spacing w:line="240" w:lineRule="auto"/>
              <w:ind w:left="284" w:hanging="284"/>
            </w:pPr>
          </w:p>
        </w:tc>
      </w:tr>
    </w:tbl>
    <w:p w14:paraId="5CD978BA" w14:textId="120193B7" w:rsidR="008B54F2" w:rsidRPr="00FA7706" w:rsidRDefault="008B54F2" w:rsidP="00E816B3">
      <w:pPr>
        <w:pStyle w:val="NICEnormal"/>
      </w:pPr>
    </w:p>
    <w:p w14:paraId="618C9198" w14:textId="77777777" w:rsidR="008B54F2" w:rsidRPr="00FA7706" w:rsidRDefault="008B54F2" w:rsidP="00E816B3">
      <w:pPr>
        <w:pStyle w:val="NICEnormal"/>
        <w:rPr>
          <w:rFonts w:cs="Arial"/>
          <w:kern w:val="28"/>
          <w:sz w:val="40"/>
          <w:szCs w:val="32"/>
        </w:rPr>
      </w:pPr>
      <w:r w:rsidRPr="00FA770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26CADEE8" w14:textId="77777777" w:rsidTr="008669C9">
        <w:tc>
          <w:tcPr>
            <w:tcW w:w="8529" w:type="dxa"/>
            <w:shd w:val="clear" w:color="auto" w:fill="auto"/>
          </w:tcPr>
          <w:p w14:paraId="4AE954BE" w14:textId="77777777" w:rsidR="008E14F9" w:rsidRPr="004921C3" w:rsidRDefault="008E14F9" w:rsidP="008E14F9">
            <w:pPr>
              <w:pStyle w:val="NICEnormalsinglespacing"/>
              <w:rPr>
                <w:b/>
                <w:bCs/>
              </w:rPr>
            </w:pPr>
            <w:r w:rsidRPr="004921C3">
              <w:rPr>
                <w:b/>
                <w:bCs/>
              </w:rPr>
              <w:lastRenderedPageBreak/>
              <w:t>Note that this document is not NICE's final guidance on this technology. The recommendations in section 1 may change after consultation.</w:t>
            </w:r>
          </w:p>
          <w:p w14:paraId="7464D849" w14:textId="77777777" w:rsidR="008E14F9" w:rsidRDefault="008E14F9" w:rsidP="008E14F9">
            <w:pPr>
              <w:pStyle w:val="NICEnormalsinglespacing"/>
            </w:pPr>
            <w:r>
              <w:t>After consultation:</w:t>
            </w:r>
          </w:p>
          <w:p w14:paraId="5BCA4B80" w14:textId="77777777" w:rsidR="008E14F9" w:rsidRDefault="008E14F9" w:rsidP="008E14F9">
            <w:pPr>
              <w:pStyle w:val="Bulletleft1"/>
              <w:spacing w:line="240" w:lineRule="auto"/>
            </w:pPr>
            <w:r>
              <w:t>The appraisal committee will meet again to consider the evidence, this appraisal consultation document and comments from the consultees.</w:t>
            </w:r>
          </w:p>
          <w:p w14:paraId="7ABF4563" w14:textId="77777777" w:rsidR="008E14F9" w:rsidRDefault="008E14F9" w:rsidP="008E14F9">
            <w:pPr>
              <w:pStyle w:val="Bulletleft1"/>
              <w:spacing w:line="240" w:lineRule="auto"/>
            </w:pPr>
            <w:r>
              <w:t>At that meeting, the committee will also consider comments made by people who are not consultees.</w:t>
            </w:r>
          </w:p>
          <w:p w14:paraId="16D5E9A5" w14:textId="77777777" w:rsidR="008E14F9" w:rsidRDefault="008E14F9" w:rsidP="008E14F9">
            <w:pPr>
              <w:pStyle w:val="Bulletleft1"/>
              <w:spacing w:line="240" w:lineRule="auto"/>
            </w:pPr>
            <w:r>
              <w:t>After considering these comments, the committee will prepare the final appraisal document.</w:t>
            </w:r>
          </w:p>
          <w:p w14:paraId="27710A07" w14:textId="77777777" w:rsidR="008E14F9" w:rsidRDefault="008E14F9" w:rsidP="008E14F9">
            <w:pPr>
              <w:pStyle w:val="Bulletleft1last"/>
              <w:spacing w:line="240" w:lineRule="auto"/>
            </w:pPr>
            <w:r>
              <w:t xml:space="preserve">Subject to any appeal by consultees, the final appraisal document may be used as the basis for NICE's guidance on using </w:t>
            </w:r>
            <w:r w:rsidRPr="00A6773F">
              <w:t xml:space="preserve">betibeglogene autotemcel </w:t>
            </w:r>
            <w:r>
              <w:t xml:space="preserve">in the NHS in England. </w:t>
            </w:r>
          </w:p>
          <w:p w14:paraId="369A7307" w14:textId="77777777" w:rsidR="008E14F9" w:rsidRDefault="008E14F9" w:rsidP="008E14F9">
            <w:pPr>
              <w:pStyle w:val="NICEnormalsinglespacing"/>
            </w:pPr>
            <w:r>
              <w:t>For further details, see NICE's guide to the processes of technology appraisal.</w:t>
            </w:r>
          </w:p>
          <w:p w14:paraId="5E3BAE21" w14:textId="77777777" w:rsidR="008E14F9" w:rsidRDefault="008E14F9" w:rsidP="008E14F9">
            <w:pPr>
              <w:pStyle w:val="NICEnormalsinglespacing"/>
            </w:pPr>
            <w:r>
              <w:t>The key dates for this appraisal are:</w:t>
            </w:r>
          </w:p>
          <w:p w14:paraId="329418FB" w14:textId="77777777" w:rsidR="008E14F9" w:rsidRDefault="008E14F9" w:rsidP="008E14F9">
            <w:pPr>
              <w:pStyle w:val="NICEnormalsinglespacing"/>
            </w:pPr>
            <w:r>
              <w:t>Closing date for comments: 4 March 2021</w:t>
            </w:r>
          </w:p>
          <w:p w14:paraId="768F2BB9" w14:textId="77777777" w:rsidR="008E14F9" w:rsidRDefault="008E14F9" w:rsidP="008E14F9">
            <w:pPr>
              <w:pStyle w:val="NICEnormalsinglespacing"/>
            </w:pPr>
            <w:r>
              <w:t>Second appraisal committee meeting: TBC</w:t>
            </w:r>
          </w:p>
          <w:p w14:paraId="6D8D508A" w14:textId="77777777" w:rsidR="008E14F9" w:rsidRDefault="008E14F9" w:rsidP="008E14F9">
            <w:pPr>
              <w:pStyle w:val="Bulletleft1"/>
              <w:numPr>
                <w:ilvl w:val="0"/>
                <w:numId w:val="0"/>
              </w:numPr>
              <w:spacing w:line="240" w:lineRule="auto"/>
              <w:ind w:left="284" w:hanging="284"/>
            </w:pPr>
            <w:r>
              <w:t>Details of membership of the appraisal committee are given in section 5</w:t>
            </w:r>
          </w:p>
          <w:p w14:paraId="73F55BAD" w14:textId="64634D7B" w:rsidR="00C03294" w:rsidRPr="00FA7706" w:rsidRDefault="00C03294" w:rsidP="008669C9">
            <w:pPr>
              <w:pStyle w:val="NICEnormalsinglespacing"/>
            </w:pPr>
          </w:p>
        </w:tc>
      </w:tr>
    </w:tbl>
    <w:p w14:paraId="72699083" w14:textId="4CB2861D" w:rsidR="008B54F2" w:rsidRPr="00FA7706" w:rsidRDefault="008B54F2">
      <w:pPr>
        <w:pStyle w:val="NICEnormal"/>
      </w:pPr>
    </w:p>
    <w:p w14:paraId="77CFEE88" w14:textId="77777777" w:rsidR="008B54F2" w:rsidRPr="00FA7706" w:rsidRDefault="008B54F2">
      <w:pPr>
        <w:rPr>
          <w:rFonts w:ascii="Arial" w:hAnsi="Arial"/>
        </w:rPr>
      </w:pPr>
      <w:r w:rsidRPr="00FA7706">
        <w:br w:type="page"/>
      </w:r>
    </w:p>
    <w:p w14:paraId="756384A5" w14:textId="77777777" w:rsidR="000F48EC" w:rsidRPr="00FA7706" w:rsidRDefault="00B379C5" w:rsidP="00F130AD">
      <w:pPr>
        <w:pStyle w:val="Numberedheading1"/>
      </w:pPr>
      <w:r w:rsidRPr="00FA7706">
        <w:lastRenderedPageBreak/>
        <w:t>Recommendations</w:t>
      </w:r>
    </w:p>
    <w:p w14:paraId="70E8A200" w14:textId="77777777" w:rsidR="000C709D" w:rsidRPr="00981B9F" w:rsidRDefault="000C709D" w:rsidP="000C709D">
      <w:pPr>
        <w:pStyle w:val="Numberedlevel2text"/>
      </w:pPr>
      <w:bookmarkStart w:id="0" w:name="_Hlk61955829"/>
      <w:r>
        <w:rPr>
          <w:rStyle w:val="Numberedlevel2textChar"/>
          <w:lang w:val="en-GB"/>
        </w:rPr>
        <w:t>Betibeglogene</w:t>
      </w:r>
      <w:r w:rsidRPr="00E41943">
        <w:rPr>
          <w:rStyle w:val="Numberedlevel2textChar"/>
        </w:rPr>
        <w:t xml:space="preserve"> autotemcel </w:t>
      </w:r>
      <w:bookmarkEnd w:id="0"/>
      <w:r w:rsidRPr="00981B9F">
        <w:t>is not recommended</w:t>
      </w:r>
      <w:r>
        <w:t>,</w:t>
      </w:r>
      <w:r w:rsidRPr="00981B9F">
        <w:t xml:space="preserve"> within its marketing authorisation</w:t>
      </w:r>
      <w:r>
        <w:t>,</w:t>
      </w:r>
      <w:r w:rsidRPr="00981B9F">
        <w:t xml:space="preserve"> for treating</w:t>
      </w:r>
      <w:r w:rsidRPr="00535682">
        <w:t xml:space="preserve"> </w:t>
      </w:r>
      <w:r>
        <w:t>transfusion-dependent</w:t>
      </w:r>
      <w:r>
        <w:rPr>
          <w:lang w:val="en-GB"/>
        </w:rPr>
        <w:t xml:space="preserve"> beta</w:t>
      </w:r>
      <w:r>
        <w:t xml:space="preserve">-thalassaemia (TDT) </w:t>
      </w:r>
      <w:r>
        <w:rPr>
          <w:lang w:val="en-GB"/>
        </w:rPr>
        <w:t xml:space="preserve">in people </w:t>
      </w:r>
      <w:r>
        <w:t>12</w:t>
      </w:r>
      <w:r>
        <w:rPr>
          <w:lang w:val="en-GB"/>
        </w:rPr>
        <w:t> </w:t>
      </w:r>
      <w:r>
        <w:t xml:space="preserve">years and older who do not have a </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t xml:space="preserve">genotype, </w:t>
      </w:r>
      <w:r>
        <w:rPr>
          <w:lang w:val="en-GB"/>
        </w:rPr>
        <w:t>when</w:t>
      </w:r>
      <w:r>
        <w:t xml:space="preserve"> haematopoietic stem cell</w:t>
      </w:r>
      <w:r>
        <w:rPr>
          <w:lang w:val="en-GB"/>
        </w:rPr>
        <w:t xml:space="preserve"> </w:t>
      </w:r>
      <w:r>
        <w:t>transplantation</w:t>
      </w:r>
      <w:r>
        <w:rPr>
          <w:lang w:val="en-GB"/>
        </w:rPr>
        <w:t xml:space="preserve"> (HSCT)</w:t>
      </w:r>
      <w:r>
        <w:t xml:space="preserve"> is appropriate but a human leukocyte antigen-matched related HSC donor is not</w:t>
      </w:r>
      <w:r>
        <w:rPr>
          <w:lang w:val="en-GB"/>
        </w:rPr>
        <w:t xml:space="preserve"> </w:t>
      </w:r>
      <w:r>
        <w:t>available</w:t>
      </w:r>
      <w:r>
        <w:rPr>
          <w:lang w:val="en-GB"/>
        </w:rPr>
        <w:t>.</w:t>
      </w:r>
    </w:p>
    <w:p w14:paraId="279BCB25" w14:textId="77777777" w:rsidR="000C709D" w:rsidRDefault="000C709D" w:rsidP="000C709D">
      <w:pPr>
        <w:pStyle w:val="Numberedlevel2text"/>
      </w:pPr>
      <w:r w:rsidRPr="0009129B">
        <w:t>This</w:t>
      </w:r>
      <w:r>
        <w:t xml:space="preserve"> recommendation is</w:t>
      </w:r>
      <w:r w:rsidRPr="0009129B">
        <w:t xml:space="preserve"> not intended to affect </w:t>
      </w:r>
      <w:r w:rsidRPr="006A2D99">
        <w:t xml:space="preserve">treatment with </w:t>
      </w:r>
      <w:r w:rsidRPr="00E41943">
        <w:t>betibeglogene autotemcel</w:t>
      </w:r>
      <w:r w:rsidRPr="006A2D99">
        <w:t xml:space="preserve"> </w:t>
      </w:r>
      <w:r>
        <w:t xml:space="preserve">that </w:t>
      </w:r>
      <w:r w:rsidRPr="006A2D99">
        <w:t>was started in the NHS befo</w:t>
      </w:r>
      <w:r>
        <w:t xml:space="preserve">re this guidance was published. </w:t>
      </w:r>
      <w:r>
        <w:rPr>
          <w:lang w:val="en-GB"/>
        </w:rPr>
        <w:t>People</w:t>
      </w:r>
      <w:r>
        <w:t xml:space="preserv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 xml:space="preserve">. </w:t>
      </w:r>
      <w:r>
        <w:rPr>
          <w:lang w:val="en-GB"/>
        </w:rPr>
        <w:t>When the person having treatment is under 18 years,</w:t>
      </w:r>
      <w:r w:rsidRPr="006A2D99">
        <w:t xml:space="preserve"> </w:t>
      </w:r>
      <w:r>
        <w:rPr>
          <w:lang w:val="en-GB"/>
        </w:rPr>
        <w:t>t</w:t>
      </w:r>
      <w:r w:rsidRPr="006A2D99">
        <w:t>his decision should be made jointly by the clinician and the child</w:t>
      </w:r>
      <w:r>
        <w:rPr>
          <w:lang w:val="en-GB"/>
        </w:rPr>
        <w:t xml:space="preserve"> or </w:t>
      </w:r>
      <w:r w:rsidRPr="006A2D99">
        <w:t>young person</w:t>
      </w:r>
      <w:r>
        <w:rPr>
          <w:lang w:val="en-GB"/>
        </w:rPr>
        <w:t>,</w:t>
      </w:r>
      <w:r w:rsidRPr="006A2D99">
        <w:t xml:space="preserve"> and</w:t>
      </w:r>
      <w:r>
        <w:rPr>
          <w:lang w:val="en-GB"/>
        </w:rPr>
        <w:t xml:space="preserve"> their</w:t>
      </w:r>
      <w:r w:rsidRPr="006A2D99">
        <w:t xml:space="preserve"> parents or carers.</w:t>
      </w:r>
    </w:p>
    <w:p w14:paraId="1ECD08B6" w14:textId="77777777" w:rsidR="000C709D" w:rsidRPr="008522C6" w:rsidRDefault="000C709D" w:rsidP="000C709D">
      <w:pPr>
        <w:pStyle w:val="NICEnormal"/>
        <w:rPr>
          <w:b/>
        </w:rPr>
      </w:pPr>
      <w:r w:rsidRPr="008522C6">
        <w:rPr>
          <w:b/>
        </w:rPr>
        <w:t>Why the committee made these recommendations</w:t>
      </w:r>
    </w:p>
    <w:p w14:paraId="3AD3DF6C" w14:textId="77777777" w:rsidR="000C709D" w:rsidRDefault="000C709D" w:rsidP="000C709D">
      <w:pPr>
        <w:pStyle w:val="NICEnormal"/>
      </w:pPr>
      <w:r>
        <w:t>Current treatment for TDT includes regular blood transfusions, and iron chelation therapy for excess iron build up in the body from the transfusions. HSCT is a curative therapy that is available for a few people with the condition. But they need a matched donor and to be within a specific age range. B</w:t>
      </w:r>
      <w:r w:rsidRPr="004B7B3E">
        <w:t xml:space="preserve">etibeglogene autotemcel </w:t>
      </w:r>
      <w:r>
        <w:t>is approved for people who do not have a beta</w:t>
      </w:r>
      <w:r w:rsidRPr="00FD304D">
        <w:rPr>
          <w:vertAlign w:val="superscript"/>
        </w:rPr>
        <w:t>0</w:t>
      </w:r>
      <w:r>
        <w:t>/beta</w:t>
      </w:r>
      <w:r w:rsidRPr="00FD304D">
        <w:rPr>
          <w:vertAlign w:val="superscript"/>
        </w:rPr>
        <w:t>0</w:t>
      </w:r>
      <w:r>
        <w:t xml:space="preserve"> genotype, and when HSCT would be appropriate but there is no suitable donor.</w:t>
      </w:r>
    </w:p>
    <w:p w14:paraId="6D2EF9A3" w14:textId="77777777" w:rsidR="000C709D" w:rsidRDefault="000C709D" w:rsidP="000C709D">
      <w:pPr>
        <w:pStyle w:val="NICEnormal"/>
      </w:pPr>
      <w:r>
        <w:t>Clinical trials for b</w:t>
      </w:r>
      <w:r w:rsidRPr="00032367">
        <w:t>etibeglogene autotemcel</w:t>
      </w:r>
      <w:r>
        <w:t xml:space="preserve"> are small and people have not been followed up for very long. However, the trials suggest that, after </w:t>
      </w:r>
      <w:r w:rsidRPr="00B865F2">
        <w:t>betibeglogene autotemcel</w:t>
      </w:r>
      <w:r>
        <w:t>, some people either eventually do not need blood transfusions</w:t>
      </w:r>
      <w:r w:rsidRPr="00CF0AC3">
        <w:t xml:space="preserve"> </w:t>
      </w:r>
      <w:r>
        <w:t>any more or need them less often.</w:t>
      </w:r>
    </w:p>
    <w:p w14:paraId="3E2BE664" w14:textId="77777777" w:rsidR="000C709D" w:rsidRPr="00B8464A" w:rsidRDefault="000C709D" w:rsidP="000C709D">
      <w:pPr>
        <w:pStyle w:val="NICEnormal"/>
      </w:pPr>
      <w:r>
        <w:lastRenderedPageBreak/>
        <w:t xml:space="preserve">There are uncertainties about the cost effectiveness and the preferred estimate for betibeglogene autotemcel is considerably higher than what </w:t>
      </w:r>
      <w:r w:rsidRPr="00234F42">
        <w:t xml:space="preserve">NICE </w:t>
      </w:r>
      <w:r>
        <w:t xml:space="preserve">normally </w:t>
      </w:r>
      <w:r w:rsidRPr="00234F42">
        <w:t>considers an acceptable use of NHS resources</w:t>
      </w:r>
      <w:r>
        <w:t xml:space="preserve">. So, </w:t>
      </w:r>
      <w:r w:rsidRPr="00234F42">
        <w:t>betibeglogene autotemcel</w:t>
      </w:r>
      <w:r>
        <w:t xml:space="preserve"> is not recommended.</w:t>
      </w:r>
    </w:p>
    <w:p w14:paraId="5529F129" w14:textId="77777777" w:rsidR="000A2A64" w:rsidRDefault="000A2A64" w:rsidP="000A2A64">
      <w:pPr>
        <w:pStyle w:val="Numberedheading1"/>
        <w:keepLines/>
        <w:numPr>
          <w:ilvl w:val="0"/>
          <w:numId w:val="1"/>
        </w:numPr>
      </w:pPr>
      <w:r>
        <w:t>Information about b</w:t>
      </w:r>
      <w:r w:rsidRPr="000B2151">
        <w:t>etibeglogene autotemcel</w:t>
      </w:r>
    </w:p>
    <w:p w14:paraId="62C83A4D" w14:textId="77777777" w:rsidR="00EE27B0" w:rsidRDefault="00EE27B0" w:rsidP="00EE27B0">
      <w:pPr>
        <w:pStyle w:val="Heading2"/>
      </w:pPr>
      <w:r w:rsidRPr="00A76391">
        <w:t>Marketing authorisation indication</w:t>
      </w:r>
    </w:p>
    <w:p w14:paraId="36719548" w14:textId="77777777" w:rsidR="00EE27B0" w:rsidRPr="00B84674" w:rsidRDefault="00EE27B0" w:rsidP="00EE27B0">
      <w:pPr>
        <w:pStyle w:val="Numberedlevel2text"/>
        <w:numPr>
          <w:ilvl w:val="1"/>
          <w:numId w:val="1"/>
        </w:numPr>
      </w:pPr>
      <w:r w:rsidRPr="000B2151">
        <w:t>Betibeglogene autotemcel</w:t>
      </w:r>
      <w:r w:rsidRPr="000B2151">
        <w:rPr>
          <w:rStyle w:val="NICEnormalChar"/>
          <w:szCs w:val="28"/>
          <w:lang w:val="x-none"/>
        </w:rPr>
        <w:t xml:space="preserve"> </w:t>
      </w:r>
      <w:r>
        <w:rPr>
          <w:rStyle w:val="NICEnormalChar"/>
          <w:szCs w:val="28"/>
        </w:rPr>
        <w:t>(</w:t>
      </w:r>
      <w:r w:rsidRPr="000B2151">
        <w:rPr>
          <w:rStyle w:val="NICEnormalChar"/>
          <w:szCs w:val="28"/>
          <w:lang w:val="x-none"/>
        </w:rPr>
        <w:t>Zynteglo</w:t>
      </w:r>
      <w:r>
        <w:rPr>
          <w:rStyle w:val="NICEnormalChar"/>
          <w:szCs w:val="28"/>
        </w:rPr>
        <w:t>, bluebird bio)</w:t>
      </w:r>
      <w:r w:rsidRPr="000B2151">
        <w:rPr>
          <w:rStyle w:val="NICEnormalChar"/>
          <w:szCs w:val="28"/>
          <w:lang w:val="x-none"/>
        </w:rPr>
        <w:t xml:space="preserve"> is indicated for </w:t>
      </w:r>
      <w:r>
        <w:rPr>
          <w:rStyle w:val="NICEnormalChar"/>
          <w:szCs w:val="28"/>
        </w:rPr>
        <w:t>‘</w:t>
      </w:r>
      <w:r w:rsidRPr="000B2151">
        <w:rPr>
          <w:rStyle w:val="NICEnormalChar"/>
          <w:szCs w:val="28"/>
          <w:lang w:val="x-none"/>
        </w:rPr>
        <w:t>the treatment of patients 12</w:t>
      </w:r>
      <w:r>
        <w:rPr>
          <w:rStyle w:val="NICEnormalChar"/>
          <w:szCs w:val="28"/>
        </w:rPr>
        <w:t> </w:t>
      </w:r>
      <w:r w:rsidRPr="000B2151">
        <w:rPr>
          <w:rStyle w:val="NICEnormalChar"/>
          <w:szCs w:val="28"/>
          <w:lang w:val="x-none"/>
        </w:rPr>
        <w:t>years and older with transfusion-dependent</w:t>
      </w:r>
      <w:r>
        <w:rPr>
          <w:rStyle w:val="NICEnormalChar"/>
          <w:szCs w:val="28"/>
        </w:rPr>
        <w:t xml:space="preserve"> beta</w:t>
      </w:r>
      <w:r w:rsidRPr="000B2151">
        <w:rPr>
          <w:rStyle w:val="NICEnormalChar"/>
          <w:szCs w:val="28"/>
          <w:lang w:val="x-none"/>
        </w:rPr>
        <w:t xml:space="preserve">-thalassaemia (TDT) who do not have a </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0B2151">
        <w:rPr>
          <w:rStyle w:val="NICEnormalChar"/>
          <w:szCs w:val="28"/>
          <w:lang w:val="x-none"/>
        </w:rPr>
        <w:t>genotype, for whom haematopoietic stem cell (HSC)</w:t>
      </w:r>
      <w:r>
        <w:rPr>
          <w:rStyle w:val="NICEnormalChar"/>
          <w:szCs w:val="28"/>
        </w:rPr>
        <w:t xml:space="preserve"> </w:t>
      </w:r>
      <w:r w:rsidRPr="000B2151">
        <w:rPr>
          <w:rStyle w:val="NICEnormalChar"/>
          <w:szCs w:val="28"/>
          <w:lang w:val="x-none"/>
        </w:rPr>
        <w:t>transplantation is appropriate but a human leukocyte antigen (HLA)-matched related HSC donor is not</w:t>
      </w:r>
      <w:r>
        <w:rPr>
          <w:rStyle w:val="NICEnormalChar"/>
          <w:szCs w:val="28"/>
        </w:rPr>
        <w:t xml:space="preserve"> </w:t>
      </w:r>
      <w:r w:rsidRPr="000B2151">
        <w:rPr>
          <w:rStyle w:val="NICEnormalChar"/>
          <w:szCs w:val="28"/>
          <w:lang w:val="x-none"/>
        </w:rPr>
        <w:t>available</w:t>
      </w:r>
      <w:r>
        <w:rPr>
          <w:rStyle w:val="NICEnormalChar"/>
          <w:szCs w:val="28"/>
        </w:rPr>
        <w:t>’.</w:t>
      </w:r>
    </w:p>
    <w:p w14:paraId="3E78C7EB" w14:textId="77777777" w:rsidR="00EE27B0" w:rsidRDefault="00EE27B0" w:rsidP="00EE27B0">
      <w:pPr>
        <w:pStyle w:val="Heading2"/>
      </w:pPr>
      <w:r>
        <w:t>Dosage in the marketing authorisation</w:t>
      </w:r>
    </w:p>
    <w:p w14:paraId="3A9A5744" w14:textId="77777777" w:rsidR="00EE27B0" w:rsidRPr="00570524" w:rsidRDefault="00EE27B0" w:rsidP="00EE27B0">
      <w:pPr>
        <w:pStyle w:val="Numberedlevel2text"/>
        <w:numPr>
          <w:ilvl w:val="1"/>
          <w:numId w:val="1"/>
        </w:numPr>
        <w:rPr>
          <w:rStyle w:val="Numberedlevel2textChar"/>
        </w:rPr>
      </w:pPr>
      <w:r w:rsidRPr="00570524">
        <w:t xml:space="preserve">The dosage schedule is available in </w:t>
      </w:r>
      <w:r>
        <w:t xml:space="preserve">the </w:t>
      </w:r>
      <w:hyperlink r:id="rId9" w:anchor="gref" w:history="1">
        <w:r w:rsidRPr="000B2151">
          <w:rPr>
            <w:rStyle w:val="Hyperlink"/>
          </w:rPr>
          <w:t>summary of product characteristics</w:t>
        </w:r>
      </w:hyperlink>
      <w:r>
        <w:rPr>
          <w:lang w:val="en-GB"/>
        </w:rPr>
        <w:t>.</w:t>
      </w:r>
    </w:p>
    <w:p w14:paraId="4E129DD3" w14:textId="77777777" w:rsidR="00EE27B0" w:rsidRDefault="00EE27B0" w:rsidP="00EE27B0">
      <w:pPr>
        <w:pStyle w:val="Heading2"/>
      </w:pPr>
      <w:r>
        <w:t>Price</w:t>
      </w:r>
    </w:p>
    <w:p w14:paraId="3B3D847D" w14:textId="77777777" w:rsidR="00EE27B0" w:rsidRPr="000B2151" w:rsidRDefault="00EE27B0" w:rsidP="00EE27B0">
      <w:pPr>
        <w:pStyle w:val="Numberedlevel2text"/>
        <w:numPr>
          <w:ilvl w:val="1"/>
          <w:numId w:val="1"/>
        </w:numPr>
        <w:rPr>
          <w:szCs w:val="24"/>
          <w:lang w:val="en-GB"/>
        </w:rPr>
      </w:pPr>
      <w:r>
        <w:rPr>
          <w:rStyle w:val="NICEnormalChar"/>
        </w:rPr>
        <w:t>The cost of b</w:t>
      </w:r>
      <w:r w:rsidRPr="000B2151">
        <w:rPr>
          <w:rStyle w:val="NICEnormalChar"/>
        </w:rPr>
        <w:t>etibeglogene autotemcel 1.2</w:t>
      </w:r>
      <w:r>
        <w:rPr>
          <w:rStyle w:val="NICEnormalChar"/>
        </w:rPr>
        <w:t xml:space="preserve"> to </w:t>
      </w:r>
      <w:r w:rsidRPr="000B2151">
        <w:rPr>
          <w:rStyle w:val="NICEnormalChar"/>
        </w:rPr>
        <w:t>20x10</w:t>
      </w:r>
      <w:r w:rsidRPr="00640BF7">
        <w:rPr>
          <w:rStyle w:val="NICEnormalChar"/>
          <w:vertAlign w:val="superscript"/>
        </w:rPr>
        <w:t>6</w:t>
      </w:r>
      <w:r>
        <w:rPr>
          <w:rStyle w:val="NICEnormalChar"/>
        </w:rPr>
        <w:t> </w:t>
      </w:r>
      <w:r w:rsidRPr="000B2151">
        <w:rPr>
          <w:rStyle w:val="NICEnormalChar"/>
        </w:rPr>
        <w:t>cells/m</w:t>
      </w:r>
      <w:r>
        <w:rPr>
          <w:rStyle w:val="NICEnormalChar"/>
        </w:rPr>
        <w:t>l</w:t>
      </w:r>
      <w:r w:rsidRPr="000B2151">
        <w:rPr>
          <w:rStyle w:val="NICEnormalChar"/>
        </w:rPr>
        <w:t xml:space="preserve"> dispersion for </w:t>
      </w:r>
      <w:r>
        <w:rPr>
          <w:rStyle w:val="NICEnormalChar"/>
        </w:rPr>
        <w:t xml:space="preserve">a </w:t>
      </w:r>
      <w:r w:rsidRPr="000B2151">
        <w:rPr>
          <w:rStyle w:val="NICEnormalChar"/>
        </w:rPr>
        <w:t>one-time infusion</w:t>
      </w:r>
      <w:r>
        <w:rPr>
          <w:rStyle w:val="NICEnormalChar"/>
        </w:rPr>
        <w:t xml:space="preserve"> is </w:t>
      </w:r>
      <w:r w:rsidRPr="000B2151">
        <w:rPr>
          <w:rStyle w:val="NICEnormalChar"/>
        </w:rPr>
        <w:t xml:space="preserve">£1,450,000 per patient </w:t>
      </w:r>
      <w:r>
        <w:rPr>
          <w:rStyle w:val="NICEnormalChar"/>
        </w:rPr>
        <w:t xml:space="preserve">(list price, </w:t>
      </w:r>
      <w:r w:rsidRPr="000B2151">
        <w:rPr>
          <w:rStyle w:val="NICEnormalChar"/>
        </w:rPr>
        <w:t>excluding VAT</w:t>
      </w:r>
      <w:r>
        <w:rPr>
          <w:rStyle w:val="NICEnormalChar"/>
        </w:rPr>
        <w:t>).</w:t>
      </w:r>
      <w:r w:rsidRPr="000B2151">
        <w:t xml:space="preserve"> </w:t>
      </w:r>
      <w:bookmarkStart w:id="1" w:name="_Hlk24530292"/>
      <w:r w:rsidRPr="000B2151">
        <w:t>The company has a commercial arrangement, which would have applied if the technology had been recommended.</w:t>
      </w:r>
      <w:bookmarkEnd w:id="1"/>
    </w:p>
    <w:p w14:paraId="7B1ECA27" w14:textId="353DFBE4" w:rsidR="00F130AD" w:rsidRDefault="00222BEA" w:rsidP="00F130AD">
      <w:pPr>
        <w:pStyle w:val="Numberedheading1"/>
      </w:pPr>
      <w:r w:rsidRPr="00FA7706">
        <w:t>Committee discussion</w:t>
      </w:r>
    </w:p>
    <w:p w14:paraId="33661F62" w14:textId="77777777" w:rsidR="00715F07" w:rsidRPr="00C63D4E" w:rsidRDefault="00715F07" w:rsidP="00715F07">
      <w:pPr>
        <w:pStyle w:val="NICEnormal"/>
      </w:pPr>
      <w:r w:rsidRPr="007D7F83">
        <w:t xml:space="preserve">The </w:t>
      </w:r>
      <w:hyperlink w:anchor="_Appraisal_committee_members" w:history="1">
        <w:r w:rsidRPr="00866CC6">
          <w:rPr>
            <w:rStyle w:val="Hyperlink"/>
          </w:rPr>
          <w:t>appraisal committee</w:t>
        </w:r>
      </w:hyperlink>
      <w:r w:rsidRPr="007D7F83">
        <w:t xml:space="preserve"> considered evidence submitted by </w:t>
      </w:r>
      <w:r>
        <w:t>bluebird bio,</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NICE’s technical report, and responses from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6FCEB369" w14:textId="77777777" w:rsidR="00715F07" w:rsidRDefault="00715F07" w:rsidP="00715F07">
      <w:pPr>
        <w:pStyle w:val="NICEnormal"/>
      </w:pPr>
      <w:r>
        <w:lastRenderedPageBreak/>
        <w:t>The appraisal committee was aware that several issues were resolved during the technical engagement stage, and agreed that:</w:t>
      </w:r>
    </w:p>
    <w:p w14:paraId="67C5C7EA" w14:textId="77777777" w:rsidR="00715F07" w:rsidRDefault="00715F07" w:rsidP="00715F07">
      <w:pPr>
        <w:pStyle w:val="Bulletleft1last"/>
      </w:pPr>
      <w:r w:rsidRPr="00974D96">
        <w:t>Limited data were presented to support the degree of utility impact associated with infertility and it was agreed to remove it from the model. The utility decrement from subcutaneous chelation therapy during the iron normalisation period should be taken into account</w:t>
      </w:r>
      <w:r>
        <w:t>. The</w:t>
      </w:r>
      <w:r w:rsidRPr="00DD6FE1">
        <w:t xml:space="preserve"> whole population utility dataset from Ara and Brazier </w:t>
      </w:r>
      <w:r>
        <w:t xml:space="preserve">(2011) </w:t>
      </w:r>
      <w:r w:rsidRPr="00DD6FE1">
        <w:t>should be used for age-adjusting utilities</w:t>
      </w:r>
      <w:r>
        <w:t xml:space="preserve">, </w:t>
      </w:r>
      <w:r w:rsidRPr="00DD6FE1">
        <w:t>rather than</w:t>
      </w:r>
      <w:r>
        <w:t xml:space="preserve"> a</w:t>
      </w:r>
      <w:r w:rsidRPr="00DD6FE1">
        <w:t xml:space="preserve"> subset excluding people with existing health </w:t>
      </w:r>
      <w:r>
        <w:t>conditions (issue 2, see technical report pages 16 to 20).</w:t>
      </w:r>
    </w:p>
    <w:p w14:paraId="2993571E" w14:textId="77777777" w:rsidR="00715F07" w:rsidRDefault="00715F07" w:rsidP="00715F07">
      <w:pPr>
        <w:pStyle w:val="Bulletleft1last"/>
      </w:pPr>
      <w:r>
        <w:t>The</w:t>
      </w:r>
      <w:r w:rsidRPr="00BA7473">
        <w:t xml:space="preserve"> baseline population value for </w:t>
      </w:r>
      <w:r>
        <w:t xml:space="preserve">the </w:t>
      </w:r>
      <w:r w:rsidRPr="00BA7473">
        <w:t xml:space="preserve">proportion of people in UK with </w:t>
      </w:r>
      <w:r w:rsidRPr="00DA4B8E">
        <w:t xml:space="preserve">transfusion-dependent </w:t>
      </w:r>
      <w:r>
        <w:t>beta</w:t>
      </w:r>
      <w:r w:rsidRPr="00DA4B8E">
        <w:t xml:space="preserve">-thalassaemia </w:t>
      </w:r>
      <w:r>
        <w:t xml:space="preserve">(TDT) </w:t>
      </w:r>
      <w:r w:rsidRPr="00BA7473">
        <w:t>who have hypogonadism</w:t>
      </w:r>
      <w:r>
        <w:t xml:space="preserve"> should be 20%</w:t>
      </w:r>
      <w:r w:rsidRPr="00BA7473">
        <w:t xml:space="preserve">. </w:t>
      </w:r>
      <w:r>
        <w:t>C</w:t>
      </w:r>
      <w:r w:rsidRPr="00BA7473">
        <w:t>ategory-specific body weight</w:t>
      </w:r>
      <w:r>
        <w:t>s should be used for dosing, instead of the same weight for all modelled patients in the analyses (issue 3, see technical report pages 20 to 23).</w:t>
      </w:r>
    </w:p>
    <w:p w14:paraId="1481DE16" w14:textId="77777777" w:rsidR="00715F07" w:rsidRDefault="00715F07" w:rsidP="00715F07">
      <w:pPr>
        <w:pStyle w:val="Bulletleft1last"/>
      </w:pPr>
      <w:r>
        <w:t>The model should reflect updated practices for iron chelation in the NHS, where some people with TDT now have a combination of oral treatments (issue 5, see technical report pages 24 to 26).</w:t>
      </w:r>
    </w:p>
    <w:p w14:paraId="5531B0B5" w14:textId="77777777" w:rsidR="00715F07" w:rsidRDefault="00715F07" w:rsidP="00715F07">
      <w:pPr>
        <w:pStyle w:val="Bulletleft1last"/>
      </w:pPr>
      <w:r>
        <w:t>The ERG’s preferred standardised mortality ratio (2) should be used. This is because the data used to generate the ratio in the company’s original analyses are based on out-of-date non-UK data (issue 6, see technical report pages 27 to 29).</w:t>
      </w:r>
    </w:p>
    <w:p w14:paraId="6E54EADD" w14:textId="77777777" w:rsidR="00715F07" w:rsidRDefault="00715F07" w:rsidP="00715F07">
      <w:pPr>
        <w:pStyle w:val="Bulletleft1last"/>
      </w:pPr>
      <w:r>
        <w:t>Prices</w:t>
      </w:r>
      <w:r w:rsidRPr="003A06D3">
        <w:t xml:space="preserve"> </w:t>
      </w:r>
      <w:r>
        <w:t xml:space="preserve">from the </w:t>
      </w:r>
      <w:r w:rsidRPr="003A06D3">
        <w:t xml:space="preserve">drugs and pharmaceutical electronic market information tool should be used for </w:t>
      </w:r>
      <w:r>
        <w:t xml:space="preserve">the </w:t>
      </w:r>
      <w:r w:rsidRPr="003A06D3">
        <w:t>3</w:t>
      </w:r>
      <w:r>
        <w:t> </w:t>
      </w:r>
      <w:r w:rsidRPr="003A06D3">
        <w:t xml:space="preserve">generic drugs </w:t>
      </w:r>
      <w:r>
        <w:t>in the model. This is</w:t>
      </w:r>
      <w:r w:rsidRPr="003A06D3">
        <w:t xml:space="preserve"> to better match </w:t>
      </w:r>
      <w:r>
        <w:t xml:space="preserve">the </w:t>
      </w:r>
      <w:r w:rsidRPr="003A06D3">
        <w:t>prices</w:t>
      </w:r>
      <w:r>
        <w:t xml:space="preserve"> paid by the</w:t>
      </w:r>
      <w:r w:rsidRPr="003A06D3">
        <w:t xml:space="preserve"> NHS </w:t>
      </w:r>
      <w:r>
        <w:t>(issue 7, see technical report pages 30 to 31).</w:t>
      </w:r>
    </w:p>
    <w:p w14:paraId="4AC31BB1" w14:textId="77777777" w:rsidR="00715F07" w:rsidRDefault="00715F07" w:rsidP="00715F07">
      <w:pPr>
        <w:pStyle w:val="Bulletleft1last"/>
      </w:pPr>
      <w:r>
        <w:t xml:space="preserve">It is appropriate for the model to </w:t>
      </w:r>
      <w:r w:rsidRPr="00DB0521">
        <w:t xml:space="preserve">include </w:t>
      </w:r>
      <w:r>
        <w:t>1 </w:t>
      </w:r>
      <w:r w:rsidRPr="00DB0521">
        <w:t>consultant-led appointment annually for 15</w:t>
      </w:r>
      <w:r>
        <w:t> </w:t>
      </w:r>
      <w:r w:rsidRPr="00DB0521">
        <w:t xml:space="preserve">years for every </w:t>
      </w:r>
      <w:r>
        <w:t xml:space="preserve">modelled </w:t>
      </w:r>
      <w:r w:rsidRPr="00DB0521">
        <w:t>patient</w:t>
      </w:r>
      <w:r>
        <w:t xml:space="preserve"> in the </w:t>
      </w:r>
      <w:r w:rsidRPr="00DB0521">
        <w:t xml:space="preserve">betibeglogene autotemcel </w:t>
      </w:r>
      <w:r>
        <w:t>arm. This is</w:t>
      </w:r>
      <w:r w:rsidRPr="00DB0521">
        <w:t xml:space="preserve"> </w:t>
      </w:r>
      <w:r>
        <w:t>to better reflect follow-up costs (issue 8, see technical report pages 31 to 32).</w:t>
      </w:r>
    </w:p>
    <w:p w14:paraId="3A0A356F" w14:textId="77777777" w:rsidR="00715F07" w:rsidRDefault="00715F07" w:rsidP="00715F07">
      <w:pPr>
        <w:pStyle w:val="Bulletleft1last"/>
      </w:pPr>
      <w:r>
        <w:lastRenderedPageBreak/>
        <w:t>The only myeloablative conditioning regimen in the model should be the busulfan combination in line with its marketing authorisation (issue 9, see technical report pages 32 to 33).</w:t>
      </w:r>
    </w:p>
    <w:p w14:paraId="34B0BEE3" w14:textId="77777777" w:rsidR="00715F07" w:rsidRPr="00B75FA4" w:rsidRDefault="00715F07" w:rsidP="00715F07">
      <w:pPr>
        <w:pStyle w:val="NICEnormal"/>
        <w:ind w:left="60"/>
        <w:rPr>
          <w:highlight w:val="cyan"/>
        </w:rPr>
      </w:pPr>
      <w:r>
        <w:t>The committee</w:t>
      </w:r>
      <w:r w:rsidRPr="00DD6FE1">
        <w:t xml:space="preserve"> recognised that there were remaining areas of uncertainty associated with the analyses presented (see technical report, table</w:t>
      </w:r>
      <w:r>
        <w:t> </w:t>
      </w:r>
      <w:r w:rsidRPr="00DD6FE1">
        <w:t>2, page</w:t>
      </w:r>
      <w:r>
        <w:t>s 38 to 39</w:t>
      </w:r>
      <w:r w:rsidRPr="00DD6FE1">
        <w:t>), and took these into account in its decision making. It discussed issues</w:t>
      </w:r>
      <w:r>
        <w:t> </w:t>
      </w:r>
      <w:r w:rsidRPr="00DD6FE1">
        <w:t>1, 2</w:t>
      </w:r>
      <w:r>
        <w:t> (</w:t>
      </w:r>
      <w:r w:rsidRPr="00DD6FE1">
        <w:t>partial</w:t>
      </w:r>
      <w:r>
        <w:t>)</w:t>
      </w:r>
      <w:r w:rsidRPr="00DD6FE1">
        <w:t>, 3</w:t>
      </w:r>
      <w:r>
        <w:t> (</w:t>
      </w:r>
      <w:r w:rsidRPr="00DD6FE1">
        <w:t>partial</w:t>
      </w:r>
      <w:r>
        <w:t>)</w:t>
      </w:r>
      <w:r w:rsidRPr="00DD6FE1">
        <w:t>, 4</w:t>
      </w:r>
      <w:r>
        <w:t> to </w:t>
      </w:r>
      <w:r w:rsidRPr="00DD6FE1">
        <w:t>6 and</w:t>
      </w:r>
      <w:r>
        <w:t> </w:t>
      </w:r>
      <w:r w:rsidRPr="00DD6FE1">
        <w:t>10, which were outstanding after the technical engagement stage</w:t>
      </w:r>
      <w:r>
        <w:t>.</w:t>
      </w:r>
    </w:p>
    <w:p w14:paraId="7B97E2F4" w14:textId="77777777" w:rsidR="00715F07" w:rsidRDefault="00715F07" w:rsidP="00715F07">
      <w:pPr>
        <w:pStyle w:val="Heading2"/>
      </w:pPr>
      <w:r>
        <w:t>The condition and clinical management</w:t>
      </w:r>
    </w:p>
    <w:p w14:paraId="0CEA9857" w14:textId="77777777" w:rsidR="00715F07" w:rsidRPr="00AF21FB" w:rsidRDefault="00715F07" w:rsidP="00715F07">
      <w:pPr>
        <w:pStyle w:val="Heading3"/>
      </w:pPr>
      <w:r>
        <w:t>TDT is a lifelong condition with difficult management regimens</w:t>
      </w:r>
    </w:p>
    <w:p w14:paraId="1EE2F216" w14:textId="77777777" w:rsidR="00715F07" w:rsidRDefault="00715F07" w:rsidP="00715F07">
      <w:pPr>
        <w:pStyle w:val="Numberedlevel2text"/>
        <w:numPr>
          <w:ilvl w:val="1"/>
          <w:numId w:val="1"/>
        </w:numPr>
        <w:rPr>
          <w:lang w:val="en-GB"/>
        </w:rPr>
      </w:pPr>
      <w:r>
        <w:rPr>
          <w:lang w:val="en-GB"/>
        </w:rPr>
        <w:t>M</w:t>
      </w:r>
      <w:r>
        <w:t xml:space="preserve">any people with TDT face a lifetime of regular blood transfusions and iron chelation treatment. </w:t>
      </w:r>
      <w:r>
        <w:rPr>
          <w:lang w:val="en-GB"/>
        </w:rPr>
        <w:t>The c</w:t>
      </w:r>
      <w:r w:rsidRPr="000F1E58">
        <w:rPr>
          <w:lang w:val="en-GB"/>
        </w:rPr>
        <w:t>linical experts explained that blood transfusions are given every 2</w:t>
      </w:r>
      <w:r>
        <w:rPr>
          <w:lang w:val="en-GB"/>
        </w:rPr>
        <w:t> to </w:t>
      </w:r>
      <w:r w:rsidRPr="000F1E58">
        <w:rPr>
          <w:lang w:val="en-GB"/>
        </w:rPr>
        <w:t>4 weeks (depend</w:t>
      </w:r>
      <w:r>
        <w:rPr>
          <w:lang w:val="en-GB"/>
        </w:rPr>
        <w:t>ing</w:t>
      </w:r>
      <w:r w:rsidRPr="000F1E58">
        <w:rPr>
          <w:lang w:val="en-GB"/>
        </w:rPr>
        <w:t xml:space="preserve"> on </w:t>
      </w:r>
      <w:r>
        <w:rPr>
          <w:lang w:val="en-GB"/>
        </w:rPr>
        <w:t xml:space="preserve">the </w:t>
      </w:r>
      <w:r w:rsidRPr="000F1E58">
        <w:rPr>
          <w:lang w:val="en-GB"/>
        </w:rPr>
        <w:t>severity</w:t>
      </w:r>
      <w:r>
        <w:rPr>
          <w:lang w:val="en-GB"/>
        </w:rPr>
        <w:t xml:space="preserve"> of anaemia</w:t>
      </w:r>
      <w:r w:rsidRPr="000F1E58">
        <w:rPr>
          <w:lang w:val="en-GB"/>
        </w:rPr>
        <w:t>), with 2</w:t>
      </w:r>
      <w:r>
        <w:rPr>
          <w:lang w:val="en-GB"/>
        </w:rPr>
        <w:t> </w:t>
      </w:r>
      <w:r w:rsidRPr="000F1E58">
        <w:rPr>
          <w:lang w:val="en-GB"/>
        </w:rPr>
        <w:t>or 3</w:t>
      </w:r>
      <w:r>
        <w:rPr>
          <w:lang w:val="en-GB"/>
        </w:rPr>
        <w:t> </w:t>
      </w:r>
      <w:r w:rsidRPr="000F1E58">
        <w:rPr>
          <w:lang w:val="en-GB"/>
        </w:rPr>
        <w:t>units of blood</w:t>
      </w:r>
      <w:r>
        <w:rPr>
          <w:lang w:val="en-GB"/>
        </w:rPr>
        <w:t xml:space="preserve"> given</w:t>
      </w:r>
      <w:r w:rsidRPr="000F1E58">
        <w:rPr>
          <w:lang w:val="en-GB"/>
        </w:rPr>
        <w:t xml:space="preserve"> each time. Iron chelation is needed to remove excess iron that builds up </w:t>
      </w:r>
      <w:r>
        <w:rPr>
          <w:lang w:val="en-GB"/>
        </w:rPr>
        <w:t>because</w:t>
      </w:r>
      <w:r w:rsidRPr="000F1E58">
        <w:rPr>
          <w:lang w:val="en-GB"/>
        </w:rPr>
        <w:t xml:space="preserve"> of these transfusions</w:t>
      </w:r>
      <w:r>
        <w:rPr>
          <w:lang w:val="en-GB"/>
        </w:rPr>
        <w:t>. The aim is</w:t>
      </w:r>
      <w:r w:rsidRPr="000F1E58">
        <w:rPr>
          <w:lang w:val="en-GB"/>
        </w:rPr>
        <w:t xml:space="preserve"> to try</w:t>
      </w:r>
      <w:r>
        <w:rPr>
          <w:lang w:val="en-GB"/>
        </w:rPr>
        <w:t xml:space="preserve"> and</w:t>
      </w:r>
      <w:r w:rsidRPr="000F1E58">
        <w:rPr>
          <w:lang w:val="en-GB"/>
        </w:rPr>
        <w:t xml:space="preserve"> avoid secondary conditions such as cardiac and liver disease, diabetes, hypogonadotrophic hypogonadism and osteoporosis. Iron chelation treatment is itself associated with adverse effects such as kidney toxicity, growth delay and problems with hearing and vision. Subcutaneous chelation is </w:t>
      </w:r>
      <w:r>
        <w:rPr>
          <w:lang w:val="en-GB"/>
        </w:rPr>
        <w:t xml:space="preserve">particularly </w:t>
      </w:r>
      <w:r w:rsidRPr="000F1E58">
        <w:rPr>
          <w:lang w:val="en-GB"/>
        </w:rPr>
        <w:t>painful</w:t>
      </w:r>
      <w:r>
        <w:rPr>
          <w:lang w:val="en-GB"/>
        </w:rPr>
        <w:t>, and causes</w:t>
      </w:r>
      <w:r w:rsidRPr="000F1E58">
        <w:rPr>
          <w:lang w:val="en-GB"/>
        </w:rPr>
        <w:t xml:space="preserve"> large painful lumps at injection sites</w:t>
      </w:r>
      <w:r>
        <w:rPr>
          <w:lang w:val="en-GB"/>
        </w:rPr>
        <w:t>. P</w:t>
      </w:r>
      <w:r w:rsidRPr="000F1E58">
        <w:rPr>
          <w:lang w:val="en-GB"/>
        </w:rPr>
        <w:t xml:space="preserve">eople quickly run out of possible injection sites to use. Oral chelation, while seen as more convenient, can negatively affect the immune system and overall health. </w:t>
      </w:r>
      <w:r w:rsidRPr="00A06F32">
        <w:t>The patient experts explained that people with TDT experience ‘brain fog’, extreme fatigue, bone pain and low mood when due for a transfusion. They also said that it can take many people up to 5</w:t>
      </w:r>
      <w:r>
        <w:rPr>
          <w:lang w:val="en-GB"/>
        </w:rPr>
        <w:t> </w:t>
      </w:r>
      <w:r w:rsidRPr="00A06F32">
        <w:t>days to recover after a transfusion.</w:t>
      </w:r>
      <w:r>
        <w:rPr>
          <w:lang w:val="en-GB"/>
        </w:rPr>
        <w:t xml:space="preserve"> T</w:t>
      </w:r>
      <w:r w:rsidRPr="000F1E58">
        <w:rPr>
          <w:lang w:val="en-GB"/>
        </w:rPr>
        <w:t xml:space="preserve">he United Kingdom Thalassaemia Society guidelines state that the ‘expectation is that well monitored and chelated patients will have </w:t>
      </w:r>
      <w:r w:rsidRPr="000F1E58">
        <w:rPr>
          <w:lang w:val="en-GB"/>
        </w:rPr>
        <w:lastRenderedPageBreak/>
        <w:t>a near normal life expectancy’</w:t>
      </w:r>
      <w:r>
        <w:rPr>
          <w:lang w:val="en-GB"/>
        </w:rPr>
        <w:t>. However</w:t>
      </w:r>
      <w:r w:rsidRPr="000F1E58">
        <w:rPr>
          <w:lang w:val="en-GB"/>
        </w:rPr>
        <w:t xml:space="preserve">, </w:t>
      </w:r>
      <w:r>
        <w:rPr>
          <w:lang w:val="en-GB"/>
        </w:rPr>
        <w:t>1 </w:t>
      </w:r>
      <w:r w:rsidRPr="000F1E58">
        <w:rPr>
          <w:lang w:val="en-GB"/>
        </w:rPr>
        <w:t>clinical expert explained that this might assume perfect compliance</w:t>
      </w:r>
      <w:r>
        <w:rPr>
          <w:lang w:val="en-GB"/>
        </w:rPr>
        <w:t>. They added that</w:t>
      </w:r>
      <w:r w:rsidRPr="000F1E58">
        <w:rPr>
          <w:lang w:val="en-GB"/>
        </w:rPr>
        <w:t>, in clinical practice</w:t>
      </w:r>
      <w:r>
        <w:rPr>
          <w:lang w:val="en-GB"/>
        </w:rPr>
        <w:t>,</w:t>
      </w:r>
      <w:r w:rsidRPr="000F1E58">
        <w:rPr>
          <w:lang w:val="en-GB"/>
        </w:rPr>
        <w:t xml:space="preserve"> </w:t>
      </w:r>
      <w:r>
        <w:rPr>
          <w:lang w:val="en-GB"/>
        </w:rPr>
        <w:t>people</w:t>
      </w:r>
      <w:r w:rsidRPr="000F1E58">
        <w:rPr>
          <w:lang w:val="en-GB"/>
        </w:rPr>
        <w:t xml:space="preserve"> </w:t>
      </w:r>
      <w:r>
        <w:rPr>
          <w:lang w:val="en-GB"/>
        </w:rPr>
        <w:t>who had less than optimal prior treatment still die</w:t>
      </w:r>
      <w:r w:rsidRPr="000F1E58">
        <w:rPr>
          <w:lang w:val="en-GB"/>
        </w:rPr>
        <w:t xml:space="preserve"> young </w:t>
      </w:r>
      <w:r>
        <w:rPr>
          <w:lang w:val="en-GB"/>
        </w:rPr>
        <w:t>because of disease</w:t>
      </w:r>
      <w:r w:rsidRPr="000F1E58">
        <w:rPr>
          <w:lang w:val="en-GB"/>
        </w:rPr>
        <w:t xml:space="preserve"> complications, despite chelation practices </w:t>
      </w:r>
      <w:r>
        <w:rPr>
          <w:lang w:val="en-GB"/>
        </w:rPr>
        <w:t>improving over</w:t>
      </w:r>
      <w:r w:rsidRPr="000F1E58">
        <w:rPr>
          <w:lang w:val="en-GB"/>
        </w:rPr>
        <w:t xml:space="preserve"> the last 20</w:t>
      </w:r>
      <w:r>
        <w:rPr>
          <w:lang w:val="en-GB"/>
        </w:rPr>
        <w:t> </w:t>
      </w:r>
      <w:r w:rsidRPr="000F1E58">
        <w:rPr>
          <w:lang w:val="en-GB"/>
        </w:rPr>
        <w:t>years.</w:t>
      </w:r>
      <w:r>
        <w:rPr>
          <w:lang w:val="en-GB"/>
        </w:rPr>
        <w:t xml:space="preserve"> The committee concluded that TDT had an effect on life expectancy in the past. However, it concluded that it is unclear what life expectancy with the condition is now because of changes in treatment practices.</w:t>
      </w:r>
    </w:p>
    <w:p w14:paraId="036DFD7A" w14:textId="77777777" w:rsidR="00715F07" w:rsidRPr="000F1E58" w:rsidRDefault="00715F07" w:rsidP="00715F07">
      <w:pPr>
        <w:pStyle w:val="Heading3"/>
      </w:pPr>
      <w:r w:rsidRPr="00E966AC">
        <w:t xml:space="preserve">TDT has a significant </w:t>
      </w:r>
      <w:r>
        <w:t>effect</w:t>
      </w:r>
      <w:r w:rsidRPr="00E966AC">
        <w:t xml:space="preserve"> on the lives of people with the condition</w:t>
      </w:r>
    </w:p>
    <w:p w14:paraId="2DA1EFBD" w14:textId="77777777" w:rsidR="00715F07" w:rsidRPr="000F1E58" w:rsidRDefault="00715F07" w:rsidP="00715F07">
      <w:pPr>
        <w:pStyle w:val="Numberedlevel2text"/>
        <w:numPr>
          <w:ilvl w:val="1"/>
          <w:numId w:val="1"/>
        </w:numPr>
        <w:rPr>
          <w:lang w:val="en-GB"/>
        </w:rPr>
      </w:pPr>
      <w:r>
        <w:rPr>
          <w:lang w:val="en-GB"/>
        </w:rPr>
        <w:t>The p</w:t>
      </w:r>
      <w:r w:rsidRPr="000D1FE5">
        <w:rPr>
          <w:lang w:val="en-GB"/>
        </w:rPr>
        <w:t xml:space="preserve">atient experts explained that </w:t>
      </w:r>
      <w:r>
        <w:rPr>
          <w:lang w:val="en-GB"/>
        </w:rPr>
        <w:t xml:space="preserve">people with TDT need </w:t>
      </w:r>
      <w:r w:rsidRPr="000F1E58">
        <w:rPr>
          <w:lang w:val="en-GB"/>
        </w:rPr>
        <w:t>a lot of time off education and work</w:t>
      </w:r>
      <w:r>
        <w:rPr>
          <w:lang w:val="en-GB"/>
        </w:rPr>
        <w:t xml:space="preserve"> to manage their condition. They added that it</w:t>
      </w:r>
      <w:r w:rsidRPr="000F1E58">
        <w:rPr>
          <w:lang w:val="en-GB"/>
        </w:rPr>
        <w:t xml:space="preserve"> is painful, and limits opportunities for travel, even within the same country</w:t>
      </w:r>
      <w:r>
        <w:rPr>
          <w:lang w:val="en-GB"/>
        </w:rPr>
        <w:t>. This is because of</w:t>
      </w:r>
      <w:r w:rsidRPr="000F1E58">
        <w:rPr>
          <w:lang w:val="en-GB"/>
        </w:rPr>
        <w:t xml:space="preserve"> the need to be close to their hospital for transfusions</w:t>
      </w:r>
      <w:r>
        <w:rPr>
          <w:lang w:val="en-GB"/>
        </w:rPr>
        <w:t xml:space="preserve"> and </w:t>
      </w:r>
      <w:r w:rsidRPr="000F1E58">
        <w:rPr>
          <w:lang w:val="en-GB"/>
        </w:rPr>
        <w:t>in case of complications. There is a risk of anaphylaxis with each transfusion, and sepsis</w:t>
      </w:r>
      <w:r>
        <w:rPr>
          <w:lang w:val="en-GB"/>
        </w:rPr>
        <w:t xml:space="preserve"> or </w:t>
      </w:r>
      <w:r w:rsidRPr="000F1E58">
        <w:rPr>
          <w:lang w:val="en-GB"/>
        </w:rPr>
        <w:t xml:space="preserve">infections are a risk </w:t>
      </w:r>
      <w:r>
        <w:rPr>
          <w:lang w:val="en-GB"/>
        </w:rPr>
        <w:t>because of the multiple</w:t>
      </w:r>
      <w:r w:rsidRPr="000F1E58">
        <w:rPr>
          <w:lang w:val="en-GB"/>
        </w:rPr>
        <w:t xml:space="preserve"> different ports and injection sites</w:t>
      </w:r>
      <w:r>
        <w:rPr>
          <w:lang w:val="en-GB"/>
        </w:rPr>
        <w:t xml:space="preserve"> used. There is also</w:t>
      </w:r>
      <w:r w:rsidRPr="000F1E58">
        <w:rPr>
          <w:lang w:val="en-GB"/>
        </w:rPr>
        <w:t xml:space="preserve"> stigma associated with scarring and needle marks. They explained that management options </w:t>
      </w:r>
      <w:r>
        <w:rPr>
          <w:lang w:val="en-GB"/>
        </w:rPr>
        <w:t>have</w:t>
      </w:r>
      <w:r w:rsidRPr="000F1E58">
        <w:rPr>
          <w:lang w:val="en-GB"/>
        </w:rPr>
        <w:t xml:space="preserve"> improved compared </w:t>
      </w:r>
      <w:r>
        <w:rPr>
          <w:lang w:val="en-GB"/>
        </w:rPr>
        <w:t>with</w:t>
      </w:r>
      <w:r w:rsidRPr="000F1E58">
        <w:rPr>
          <w:lang w:val="en-GB"/>
        </w:rPr>
        <w:t xml:space="preserve"> 20</w:t>
      </w:r>
      <w:r>
        <w:rPr>
          <w:lang w:val="en-GB"/>
        </w:rPr>
        <w:t> </w:t>
      </w:r>
      <w:r w:rsidRPr="000F1E58">
        <w:rPr>
          <w:lang w:val="en-GB"/>
        </w:rPr>
        <w:t>years ago</w:t>
      </w:r>
      <w:r>
        <w:rPr>
          <w:lang w:val="en-GB"/>
        </w:rPr>
        <w:t>. However</w:t>
      </w:r>
      <w:r w:rsidRPr="000F1E58">
        <w:rPr>
          <w:lang w:val="en-GB"/>
        </w:rPr>
        <w:t>, people with TDT still struggle with regimen compliance (</w:t>
      </w:r>
      <w:r>
        <w:rPr>
          <w:lang w:val="en-GB"/>
        </w:rPr>
        <w:t>for example,</w:t>
      </w:r>
      <w:r w:rsidRPr="000F1E58">
        <w:rPr>
          <w:lang w:val="en-GB"/>
        </w:rPr>
        <w:t xml:space="preserve"> oral chelation </w:t>
      </w:r>
      <w:r>
        <w:rPr>
          <w:lang w:val="en-GB"/>
        </w:rPr>
        <w:t xml:space="preserve">is </w:t>
      </w:r>
      <w:r w:rsidRPr="000F1E58">
        <w:rPr>
          <w:lang w:val="en-GB"/>
        </w:rPr>
        <w:t>seen as easier than subcutaneous</w:t>
      </w:r>
      <w:r>
        <w:rPr>
          <w:lang w:val="en-GB"/>
        </w:rPr>
        <w:t xml:space="preserve"> administration</w:t>
      </w:r>
      <w:r w:rsidRPr="000F1E58">
        <w:rPr>
          <w:lang w:val="en-GB"/>
        </w:rPr>
        <w:t xml:space="preserve">, but still </w:t>
      </w:r>
      <w:r>
        <w:rPr>
          <w:lang w:val="en-GB"/>
        </w:rPr>
        <w:t>needs</w:t>
      </w:r>
      <w:r w:rsidRPr="000F1E58">
        <w:rPr>
          <w:lang w:val="en-GB"/>
        </w:rPr>
        <w:t xml:space="preserve"> daily medication</w:t>
      </w:r>
      <w:r>
        <w:rPr>
          <w:lang w:val="en-GB"/>
        </w:rPr>
        <w:t>, sometimes several times per day</w:t>
      </w:r>
      <w:r w:rsidRPr="000F1E58">
        <w:rPr>
          <w:lang w:val="en-GB"/>
        </w:rPr>
        <w:t xml:space="preserve">). </w:t>
      </w:r>
      <w:r>
        <w:rPr>
          <w:lang w:val="en-GB"/>
        </w:rPr>
        <w:t>One patient expert explained that k</w:t>
      </w:r>
      <w:r w:rsidRPr="000F1E58">
        <w:rPr>
          <w:lang w:val="en-GB"/>
        </w:rPr>
        <w:t>eeping up with treatment ‘is a full-time job’, and it</w:t>
      </w:r>
      <w:r>
        <w:rPr>
          <w:lang w:val="en-GB"/>
        </w:rPr>
        <w:t xml:space="preserve"> is</w:t>
      </w:r>
      <w:r w:rsidRPr="000F1E58">
        <w:rPr>
          <w:lang w:val="en-GB"/>
        </w:rPr>
        <w:t xml:space="preserve"> ‘not possible to have a normal life’</w:t>
      </w:r>
      <w:r>
        <w:rPr>
          <w:lang w:val="en-GB"/>
        </w:rPr>
        <w:t>. They added that</w:t>
      </w:r>
      <w:r w:rsidRPr="000F1E58">
        <w:rPr>
          <w:lang w:val="en-GB"/>
        </w:rPr>
        <w:t xml:space="preserve"> people with the condition try to remain positive despite their lives being unpredictable and, historically</w:t>
      </w:r>
      <w:r>
        <w:rPr>
          <w:lang w:val="en-GB"/>
        </w:rPr>
        <w:t>,</w:t>
      </w:r>
      <w:r w:rsidRPr="000F1E58">
        <w:rPr>
          <w:lang w:val="en-GB"/>
        </w:rPr>
        <w:t xml:space="preserve"> limited in terms of life expectancy. The ERG pointed out that</w:t>
      </w:r>
      <w:r>
        <w:rPr>
          <w:lang w:val="en-GB"/>
        </w:rPr>
        <w:t>,</w:t>
      </w:r>
      <w:r w:rsidRPr="000F1E58">
        <w:rPr>
          <w:lang w:val="en-GB"/>
        </w:rPr>
        <w:t xml:space="preserve"> in the company’s UK patient preference report, </w:t>
      </w:r>
      <w:r>
        <w:rPr>
          <w:lang w:val="en-GB"/>
        </w:rPr>
        <w:t>only</w:t>
      </w:r>
      <w:r w:rsidRPr="000F1E58">
        <w:rPr>
          <w:lang w:val="en-GB"/>
        </w:rPr>
        <w:t xml:space="preserve"> 3</w:t>
      </w:r>
      <w:r>
        <w:rPr>
          <w:lang w:val="en-GB"/>
        </w:rPr>
        <w:t>7</w:t>
      </w:r>
      <w:r w:rsidRPr="000F1E58">
        <w:rPr>
          <w:lang w:val="en-GB"/>
        </w:rPr>
        <w:t xml:space="preserve">% of respondents said </w:t>
      </w:r>
      <w:r>
        <w:rPr>
          <w:lang w:val="en-GB"/>
        </w:rPr>
        <w:t xml:space="preserve">they would immediately accept a referral to a transplant specialist and </w:t>
      </w:r>
      <w:r w:rsidRPr="000F1E58">
        <w:rPr>
          <w:lang w:val="en-GB"/>
        </w:rPr>
        <w:t xml:space="preserve">betibeglogene </w:t>
      </w:r>
      <w:r>
        <w:rPr>
          <w:lang w:val="en-GB"/>
        </w:rPr>
        <w:t>autotemcel if offered it. This</w:t>
      </w:r>
      <w:r w:rsidRPr="000F1E58">
        <w:rPr>
          <w:lang w:val="en-GB"/>
        </w:rPr>
        <w:t xml:space="preserve"> may indicate a preference for best supportive care over the new intervention, on balance. </w:t>
      </w:r>
      <w:r>
        <w:rPr>
          <w:lang w:val="en-GB"/>
        </w:rPr>
        <w:t xml:space="preserve">The committee understood that managing TDT is still difficult despite </w:t>
      </w:r>
      <w:r>
        <w:rPr>
          <w:lang w:val="en-GB"/>
        </w:rPr>
        <w:lastRenderedPageBreak/>
        <w:t xml:space="preserve">therapeutic improvements in recent decades. It concluded that </w:t>
      </w:r>
      <w:bookmarkStart w:id="2" w:name="_Hlk62465816"/>
      <w:r>
        <w:rPr>
          <w:lang w:val="en-GB"/>
        </w:rPr>
        <w:t>TDT has a significant effect on the lives of people with the condition</w:t>
      </w:r>
      <w:bookmarkEnd w:id="2"/>
      <w:r>
        <w:rPr>
          <w:lang w:val="en-GB"/>
        </w:rPr>
        <w:t>.</w:t>
      </w:r>
    </w:p>
    <w:p w14:paraId="3876E4E7" w14:textId="77777777" w:rsidR="00715F07" w:rsidRDefault="00715F07" w:rsidP="00715F07">
      <w:pPr>
        <w:pStyle w:val="Heading3"/>
      </w:pPr>
      <w:r>
        <w:t>Curative treatment via haematopoietic stem cell transplantation (HSCT) is only available to a few people with TDT</w:t>
      </w:r>
    </w:p>
    <w:p w14:paraId="44383115" w14:textId="77777777" w:rsidR="00715F07" w:rsidRPr="000F1E58" w:rsidRDefault="00715F07" w:rsidP="00715F07">
      <w:pPr>
        <w:pStyle w:val="Numberedlevel2text"/>
        <w:numPr>
          <w:ilvl w:val="1"/>
          <w:numId w:val="1"/>
        </w:numPr>
      </w:pPr>
      <w:r>
        <w:rPr>
          <w:lang w:val="en-GB"/>
        </w:rPr>
        <w:t>Submissions from clinical experts and the company outlined improved outcomes in the last 20 years for people with TDT because of better iron monitoring and chelation methods. The clinical experts explained that, in NHS clinical practice, curative treatment via allogeneic HSCT is typically only attempted in children younger than 9 years (although it is commissioned in young people younger than 19 years). They added that, even in children, HSCT is associated with a 5% to 15% mortality risk,</w:t>
      </w:r>
      <w:r w:rsidRPr="00D050B7">
        <w:rPr>
          <w:lang w:val="en-GB"/>
        </w:rPr>
        <w:t xml:space="preserve"> </w:t>
      </w:r>
      <w:r>
        <w:rPr>
          <w:lang w:val="en-GB"/>
        </w:rPr>
        <w:t>and the mortality and morbidity risk is higher in people who are older. This is because of an increasing risk of complications such as graft versus host disease. Also, allogeneic HSCT needs a matched donor, which is not possible for everyone with the condition, and is inaccessible to many people with TDT because of their age.</w:t>
      </w:r>
    </w:p>
    <w:p w14:paraId="3ABFD130" w14:textId="77777777" w:rsidR="00715F07" w:rsidRDefault="00715F07" w:rsidP="00715F07">
      <w:pPr>
        <w:pStyle w:val="Heading2"/>
      </w:pPr>
      <w:r>
        <w:t>Clinical effectiveness</w:t>
      </w:r>
    </w:p>
    <w:p w14:paraId="6BC9011E" w14:textId="77777777" w:rsidR="00715F07" w:rsidRDefault="00715F07" w:rsidP="00715F07">
      <w:pPr>
        <w:pStyle w:val="Heading3"/>
      </w:pPr>
      <w:r>
        <w:t xml:space="preserve">Evidence on the clinical effectiveness of </w:t>
      </w:r>
      <w:bookmarkStart w:id="3" w:name="_Hlk61803320"/>
      <w:r>
        <w:t>b</w:t>
      </w:r>
      <w:r w:rsidRPr="00FD304D">
        <w:t>etibeglogene autotemce</w:t>
      </w:r>
      <w:r>
        <w:t xml:space="preserve">l </w:t>
      </w:r>
      <w:bookmarkEnd w:id="3"/>
      <w:r>
        <w:t>is from a small number of people, and there are limited follow-up data</w:t>
      </w:r>
    </w:p>
    <w:p w14:paraId="193CBE35" w14:textId="77777777" w:rsidR="00715F07" w:rsidRPr="008C651B" w:rsidRDefault="00715F07" w:rsidP="00715F07">
      <w:pPr>
        <w:pStyle w:val="Numberedlevel2text"/>
        <w:numPr>
          <w:ilvl w:val="1"/>
          <w:numId w:val="1"/>
        </w:numPr>
      </w:pPr>
      <w:r>
        <w:rPr>
          <w:lang w:val="en-GB"/>
        </w:rPr>
        <w:t xml:space="preserve">The company’s main clinical evidence for </w:t>
      </w:r>
      <w:r w:rsidRPr="008C651B">
        <w:rPr>
          <w:lang w:val="en-GB"/>
        </w:rPr>
        <w:t>betibeglogene autotemcel</w:t>
      </w:r>
      <w:r>
        <w:rPr>
          <w:lang w:val="en-GB"/>
        </w:rPr>
        <w:t xml:space="preserve"> came from phase 1 and 2 studies (HGB</w:t>
      </w:r>
      <w:r>
        <w:rPr>
          <w:lang w:val="en-GB"/>
        </w:rPr>
        <w:noBreakHyphen/>
        <w:t>204, HGB</w:t>
      </w:r>
      <w:r>
        <w:rPr>
          <w:lang w:val="en-GB"/>
        </w:rPr>
        <w:noBreakHyphen/>
        <w:t>205), and 1 study in people with</w:t>
      </w:r>
      <w:r w:rsidRPr="00024567">
        <w:t xml:space="preserv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024567">
        <w:t>genotypes</w:t>
      </w:r>
      <w:r>
        <w:rPr>
          <w:lang w:val="en-GB"/>
        </w:rPr>
        <w:t xml:space="preserve"> (HGB</w:t>
      </w:r>
      <w:r>
        <w:rPr>
          <w:lang w:val="en-GB"/>
        </w:rPr>
        <w:noBreakHyphen/>
        <w:t>207).</w:t>
      </w:r>
      <w:r w:rsidRPr="002C4191">
        <w:t xml:space="preserve"> </w:t>
      </w:r>
      <w:r>
        <w:rPr>
          <w:lang w:val="en-GB"/>
        </w:rPr>
        <w:t xml:space="preserve">All were multicentre single-arm trials, with transfusion independence (TI) as </w:t>
      </w:r>
      <w:r w:rsidRPr="002C4191">
        <w:rPr>
          <w:lang w:val="en-GB"/>
        </w:rPr>
        <w:t>the primary outcome</w:t>
      </w:r>
      <w:r>
        <w:rPr>
          <w:lang w:val="en-GB"/>
        </w:rPr>
        <w:t xml:space="preserve"> measure, and transfusion reduction as a secondary outcome measure. Across these trials, data from a total of 24 people were evaluable for TI at the time of the company submission, of which </w:t>
      </w:r>
      <w:r w:rsidRPr="002C4191">
        <w:rPr>
          <w:lang w:val="en-GB"/>
        </w:rPr>
        <w:t>83% (20</w:t>
      </w:r>
      <w:r>
        <w:rPr>
          <w:lang w:val="en-GB"/>
        </w:rPr>
        <w:t> people</w:t>
      </w:r>
      <w:r w:rsidRPr="002C4191">
        <w:rPr>
          <w:lang w:val="en-GB"/>
        </w:rPr>
        <w:t xml:space="preserve">) </w:t>
      </w:r>
      <w:r>
        <w:rPr>
          <w:lang w:val="en-GB"/>
        </w:rPr>
        <w:t>reached</w:t>
      </w:r>
      <w:r w:rsidRPr="002C4191">
        <w:rPr>
          <w:lang w:val="en-GB"/>
        </w:rPr>
        <w:t xml:space="preserve"> </w:t>
      </w:r>
      <w:r>
        <w:rPr>
          <w:lang w:val="en-GB"/>
        </w:rPr>
        <w:t>TI</w:t>
      </w:r>
      <w:r w:rsidRPr="002C4191">
        <w:rPr>
          <w:lang w:val="en-GB"/>
        </w:rPr>
        <w:t>. No events for loss of TI ha</w:t>
      </w:r>
      <w:r>
        <w:rPr>
          <w:lang w:val="en-GB"/>
        </w:rPr>
        <w:t>d</w:t>
      </w:r>
      <w:r w:rsidRPr="002C4191">
        <w:rPr>
          <w:lang w:val="en-GB"/>
        </w:rPr>
        <w:t xml:space="preserve"> been recorded</w:t>
      </w:r>
      <w:r>
        <w:rPr>
          <w:lang w:val="en-GB"/>
        </w:rPr>
        <w:t xml:space="preserve"> by the time of the company’s submission. </w:t>
      </w:r>
      <w:r w:rsidRPr="002C4191">
        <w:rPr>
          <w:lang w:val="en-GB"/>
        </w:rPr>
        <w:t xml:space="preserve">Of the </w:t>
      </w:r>
      <w:r>
        <w:rPr>
          <w:lang w:val="en-GB"/>
        </w:rPr>
        <w:t>4 people</w:t>
      </w:r>
      <w:r w:rsidRPr="002C4191">
        <w:rPr>
          <w:lang w:val="en-GB"/>
        </w:rPr>
        <w:t xml:space="preserve"> who </w:t>
      </w:r>
      <w:r>
        <w:rPr>
          <w:lang w:val="en-GB"/>
        </w:rPr>
        <w:t>had</w:t>
      </w:r>
      <w:r w:rsidRPr="002C4191">
        <w:rPr>
          <w:lang w:val="en-GB"/>
        </w:rPr>
        <w:t xml:space="preserve"> not </w:t>
      </w:r>
      <w:r>
        <w:rPr>
          <w:lang w:val="en-GB"/>
        </w:rPr>
        <w:t>reached</w:t>
      </w:r>
      <w:r w:rsidRPr="002C4191">
        <w:rPr>
          <w:lang w:val="en-GB"/>
        </w:rPr>
        <w:t xml:space="preserve"> TI in the </w:t>
      </w:r>
      <w:r w:rsidRPr="002C4191">
        <w:rPr>
          <w:lang w:val="en-GB"/>
        </w:rPr>
        <w:lastRenderedPageBreak/>
        <w:t xml:space="preserve">transplant population, </w:t>
      </w:r>
      <w:r>
        <w:rPr>
          <w:lang w:val="en-GB"/>
        </w:rPr>
        <w:t>2 </w:t>
      </w:r>
      <w:r w:rsidRPr="002C4191">
        <w:rPr>
          <w:lang w:val="en-GB"/>
        </w:rPr>
        <w:t>had ‘substantial’ transfusion reductions (</w:t>
      </w:r>
      <w:r>
        <w:rPr>
          <w:lang w:val="en-GB"/>
        </w:rPr>
        <w:t xml:space="preserve">a </w:t>
      </w:r>
      <w:r w:rsidRPr="002C4191">
        <w:rPr>
          <w:lang w:val="en-GB"/>
        </w:rPr>
        <w:t>60%</w:t>
      </w:r>
      <w:r>
        <w:rPr>
          <w:lang w:val="en-GB"/>
        </w:rPr>
        <w:t xml:space="preserve"> or more</w:t>
      </w:r>
      <w:r w:rsidRPr="002C4191">
        <w:rPr>
          <w:lang w:val="en-GB"/>
        </w:rPr>
        <w:t xml:space="preserve"> reduction in frequency) and </w:t>
      </w:r>
      <w:r>
        <w:rPr>
          <w:lang w:val="en-GB"/>
        </w:rPr>
        <w:t>2 </w:t>
      </w:r>
      <w:r w:rsidRPr="002C4191">
        <w:rPr>
          <w:lang w:val="en-GB"/>
        </w:rPr>
        <w:t>were transfusion dependent.</w:t>
      </w:r>
      <w:r>
        <w:rPr>
          <w:lang w:val="en-GB"/>
        </w:rPr>
        <w:t xml:space="preserve"> The committee noted that the clinical evidence base was limited, but that more people in the trials would reach the point of being ‘transfusion evaluable’. It also noted that there was an ongoing long-term follow-up study. The committee was also aware of some abstracts with a later data cut (and more people evaluable for TI) entering the public domain in December 2020, but these data were not used in the analyses. The committee understood that the available clinical-effectiveness data came from a small number of people and that follow-up data were limited. It concluded that further follow-up data</w:t>
      </w:r>
      <w:r w:rsidRPr="00DC6289">
        <w:rPr>
          <w:lang w:val="en-GB"/>
        </w:rPr>
        <w:t xml:space="preserve"> </w:t>
      </w:r>
      <w:r>
        <w:rPr>
          <w:lang w:val="en-GB"/>
        </w:rPr>
        <w:t>would be welcome.</w:t>
      </w:r>
    </w:p>
    <w:p w14:paraId="4A59B6B8" w14:textId="77777777" w:rsidR="00715F07" w:rsidRDefault="00715F07" w:rsidP="00715F07">
      <w:pPr>
        <w:pStyle w:val="Heading2"/>
      </w:pPr>
      <w:r>
        <w:t>Discounting in the economic model</w:t>
      </w:r>
    </w:p>
    <w:p w14:paraId="6EC384E9" w14:textId="77777777" w:rsidR="00715F07" w:rsidRDefault="00715F07" w:rsidP="00715F07">
      <w:pPr>
        <w:pStyle w:val="Heading3"/>
      </w:pPr>
      <w:r>
        <w:t>The life expectancy for people with TDT means the criteria for using a 1.5% discount rate for costs and benefits are not met</w:t>
      </w:r>
    </w:p>
    <w:p w14:paraId="5DCED734" w14:textId="77777777" w:rsidR="00715F07" w:rsidRPr="00507005" w:rsidRDefault="00715F07" w:rsidP="00715F07">
      <w:pPr>
        <w:pStyle w:val="Numberedlevel2text"/>
        <w:numPr>
          <w:ilvl w:val="1"/>
          <w:numId w:val="1"/>
        </w:numPr>
      </w:pPr>
      <w:r>
        <w:rPr>
          <w:lang w:val="en-GB"/>
        </w:rPr>
        <w:t xml:space="preserve">NICE’s </w:t>
      </w:r>
      <w:hyperlink r:id="rId11" w:history="1">
        <w:r w:rsidRPr="00A24978">
          <w:rPr>
            <w:rStyle w:val="Hyperlink"/>
            <w:lang w:val="en-GB"/>
          </w:rPr>
          <w:t>guide to the methods of technology appraisal</w:t>
        </w:r>
      </w:hyperlink>
      <w:r>
        <w:rPr>
          <w:lang w:val="en-GB"/>
        </w:rPr>
        <w:t xml:space="preserve"> uses a 3.5% discount rate for both costs and benefits in its reference case. A</w:t>
      </w:r>
      <w:r w:rsidRPr="00A24978">
        <w:rPr>
          <w:lang w:val="en-GB"/>
        </w:rPr>
        <w:t>nalyses that use a non-reference-case discount rate for costs and outcomes may be considered when</w:t>
      </w:r>
      <w:r>
        <w:rPr>
          <w:lang w:val="en-GB"/>
        </w:rPr>
        <w:t>:</w:t>
      </w:r>
    </w:p>
    <w:p w14:paraId="6322C9C5" w14:textId="77777777" w:rsidR="00715F07" w:rsidRDefault="00715F07" w:rsidP="00715F07">
      <w:pPr>
        <w:pStyle w:val="Bulletindent1"/>
      </w:pPr>
      <w:r w:rsidRPr="00A24978">
        <w:t>treatment restores people who would otherwise die or have a very severely impaired life to full or near full health</w:t>
      </w:r>
    </w:p>
    <w:p w14:paraId="48A36947" w14:textId="77777777" w:rsidR="00715F07" w:rsidRPr="001D5814" w:rsidRDefault="00715F07" w:rsidP="00715F07">
      <w:pPr>
        <w:pStyle w:val="Bulletindent1"/>
      </w:pPr>
      <w:r>
        <w:t>this is sustained over a very long period (normally at least 30 years).</w:t>
      </w:r>
    </w:p>
    <w:p w14:paraId="400A930C" w14:textId="77777777" w:rsidR="00715F07" w:rsidRDefault="00715F07" w:rsidP="00715F07">
      <w:pPr>
        <w:pStyle w:val="Bulletindent1"/>
        <w:numPr>
          <w:ilvl w:val="0"/>
          <w:numId w:val="0"/>
        </w:numPr>
        <w:spacing w:after="240"/>
        <w:ind w:left="1134"/>
      </w:pPr>
      <w:r>
        <w:br/>
      </w:r>
      <w:r w:rsidRPr="001D5814">
        <w:t xml:space="preserve">This is </w:t>
      </w:r>
      <w:r w:rsidRPr="00932C3D">
        <w:t>because</w:t>
      </w:r>
      <w:r w:rsidRPr="00E50424">
        <w:t>, in these cir</w:t>
      </w:r>
      <w:r w:rsidRPr="000F765B">
        <w:t>cu</w:t>
      </w:r>
      <w:r w:rsidRPr="0041167F">
        <w:t>mstances</w:t>
      </w:r>
      <w:r w:rsidRPr="00E11059">
        <w:t>, cost</w:t>
      </w:r>
      <w:r>
        <w:t>-</w:t>
      </w:r>
      <w:r w:rsidRPr="00E11059">
        <w:t>effectiveness analyses ar</w:t>
      </w:r>
      <w:r w:rsidRPr="00854D4B">
        <w:t xml:space="preserve">e very sensitive to the discount rate used. </w:t>
      </w:r>
      <w:r>
        <w:t>So, a</w:t>
      </w:r>
      <w:r w:rsidRPr="006B2ED8">
        <w:t xml:space="preserve"> discount rate of 1.5% for costs and benefits may be considered by </w:t>
      </w:r>
      <w:r>
        <w:t>a</w:t>
      </w:r>
      <w:r w:rsidRPr="001D5814">
        <w:t xml:space="preserve"> </w:t>
      </w:r>
      <w:r>
        <w:t>c</w:t>
      </w:r>
      <w:r w:rsidRPr="001D5814">
        <w:t xml:space="preserve">ommittee if </w:t>
      </w:r>
      <w:r w:rsidRPr="00932C3D">
        <w:t xml:space="preserve">it is highly likely that, on the basis of the evidence presented, </w:t>
      </w:r>
      <w:r w:rsidRPr="006B2ED8">
        <w:t xml:space="preserve">long-term health benefits are likely to be </w:t>
      </w:r>
      <w:r>
        <w:t>reached</w:t>
      </w:r>
      <w:r w:rsidRPr="001D5814">
        <w:t xml:space="preserve">. </w:t>
      </w:r>
      <w:r>
        <w:t>Also</w:t>
      </w:r>
      <w:r w:rsidRPr="001D5814">
        <w:t xml:space="preserve">, the </w:t>
      </w:r>
      <w:r>
        <w:t>c</w:t>
      </w:r>
      <w:r w:rsidRPr="001D5814">
        <w:t xml:space="preserve">ommittee </w:t>
      </w:r>
      <w:r>
        <w:t>would</w:t>
      </w:r>
      <w:r w:rsidRPr="001D5814">
        <w:t xml:space="preserve"> </w:t>
      </w:r>
      <w:r w:rsidRPr="00932C3D">
        <w:t>need to be satisfied that the introduction of the technology does not commit the NHS to signifi</w:t>
      </w:r>
      <w:r w:rsidRPr="000F765B">
        <w:t xml:space="preserve">cant </w:t>
      </w:r>
      <w:r w:rsidRPr="000F765B">
        <w:lastRenderedPageBreak/>
        <w:t>irrecoverable costs.</w:t>
      </w:r>
      <w:r>
        <w:t xml:space="preserve"> </w:t>
      </w:r>
      <w:r w:rsidRPr="001D5814">
        <w:t xml:space="preserve">One </w:t>
      </w:r>
      <w:r w:rsidRPr="006B2ED8">
        <w:t>clinical expert referred to Hospital Episode Statistics (HES) data from the NHS</w:t>
      </w:r>
      <w:r>
        <w:t>. They</w:t>
      </w:r>
      <w:r w:rsidRPr="006B2ED8">
        <w:t xml:space="preserve"> stat</w:t>
      </w:r>
      <w:r>
        <w:t>ed</w:t>
      </w:r>
      <w:r w:rsidRPr="006B2ED8">
        <w:t xml:space="preserve"> that </w:t>
      </w:r>
      <w:r>
        <w:t xml:space="preserve">this showed that </w:t>
      </w:r>
      <w:r w:rsidRPr="001D5814">
        <w:t xml:space="preserve">people with TDT are still dying at a younger age than people without TDT, despite improvements in </w:t>
      </w:r>
      <w:r>
        <w:t xml:space="preserve">its </w:t>
      </w:r>
      <w:r w:rsidRPr="001D5814">
        <w:t>clinical management</w:t>
      </w:r>
      <w:r w:rsidRPr="006B2ED8">
        <w:t>. The company referred to a 10</w:t>
      </w:r>
      <w:r>
        <w:noBreakHyphen/>
      </w:r>
      <w:r w:rsidRPr="006B2ED8">
        <w:t>year forward-looking cohort analysis for the period 2009</w:t>
      </w:r>
      <w:r>
        <w:t xml:space="preserve"> to </w:t>
      </w:r>
      <w:r w:rsidRPr="001D5814">
        <w:t>2018</w:t>
      </w:r>
      <w:r w:rsidRPr="00932C3D">
        <w:t xml:space="preserve"> </w:t>
      </w:r>
      <w:r>
        <w:t>that used</w:t>
      </w:r>
      <w:r w:rsidRPr="006B2ED8">
        <w:t xml:space="preserve"> HES data (Jobanputra et al. 2020). The analysis incorporated 85% of </w:t>
      </w:r>
      <w:r>
        <w:t xml:space="preserve">people with TDT in the </w:t>
      </w:r>
      <w:r w:rsidRPr="001D5814">
        <w:t>UK</w:t>
      </w:r>
      <w:r w:rsidRPr="006B2ED8">
        <w:t>. It found that the median age of death for people with TDT in that period was 45</w:t>
      </w:r>
      <w:r>
        <w:t> </w:t>
      </w:r>
      <w:r w:rsidRPr="006B2ED8">
        <w:t>years (interquartile range 29</w:t>
      </w:r>
      <w:r>
        <w:t> to </w:t>
      </w:r>
      <w:r w:rsidRPr="001D5814">
        <w:t>52)</w:t>
      </w:r>
      <w:r w:rsidRPr="00932C3D">
        <w:t>.</w:t>
      </w:r>
      <w:r w:rsidRPr="00E50424">
        <w:t xml:space="preserve"> This specifi</w:t>
      </w:r>
      <w:r w:rsidRPr="000F765B">
        <w:t>ca</w:t>
      </w:r>
      <w:r w:rsidRPr="0041167F">
        <w:t xml:space="preserve">lly </w:t>
      </w:r>
      <w:r w:rsidRPr="006B2ED8">
        <w:t>represent</w:t>
      </w:r>
      <w:r>
        <w:t>ed</w:t>
      </w:r>
      <w:r w:rsidRPr="001D5814">
        <w:t xml:space="preserve"> </w:t>
      </w:r>
      <w:r w:rsidRPr="00932C3D">
        <w:t xml:space="preserve">the age of </w:t>
      </w:r>
      <w:r>
        <w:t xml:space="preserve">patients in </w:t>
      </w:r>
      <w:r w:rsidRPr="001D5814">
        <w:t>hospital</w:t>
      </w:r>
      <w:r w:rsidRPr="006B2ED8">
        <w:t xml:space="preserve"> from the cohort who died during the follow</w:t>
      </w:r>
      <w:r>
        <w:t>-</w:t>
      </w:r>
      <w:r w:rsidRPr="006B2ED8">
        <w:t>up period of the HES data</w:t>
      </w:r>
      <w:r>
        <w:t>. It also</w:t>
      </w:r>
      <w:r w:rsidRPr="006B2ED8">
        <w:t xml:space="preserve"> included people with </w:t>
      </w:r>
      <w:r>
        <w:t>beta</w:t>
      </w:r>
      <w:r w:rsidRPr="00FD304D">
        <w:rPr>
          <w:vertAlign w:val="superscript"/>
        </w:rPr>
        <w:t>0</w:t>
      </w:r>
      <w:r>
        <w:t>/beta</w:t>
      </w:r>
      <w:r w:rsidRPr="00FD304D">
        <w:rPr>
          <w:vertAlign w:val="superscript"/>
        </w:rPr>
        <w:t>0</w:t>
      </w:r>
      <w:r>
        <w:t xml:space="preserve"> </w:t>
      </w:r>
      <w:r w:rsidRPr="006B2ED8">
        <w:t xml:space="preserve">genotypes and comorbidities </w:t>
      </w:r>
      <w:r>
        <w:t>that</w:t>
      </w:r>
      <w:r w:rsidRPr="001D5814">
        <w:t xml:space="preserve"> </w:t>
      </w:r>
      <w:r w:rsidRPr="00932C3D">
        <w:t xml:space="preserve">would have excluded them from </w:t>
      </w:r>
      <w:r>
        <w:t xml:space="preserve">having </w:t>
      </w:r>
      <w:r w:rsidRPr="001D5814">
        <w:t>betibeglogene autotemcel</w:t>
      </w:r>
      <w:r w:rsidRPr="00932C3D">
        <w:t>.</w:t>
      </w:r>
      <w:r>
        <w:t xml:space="preserve"> The ERG explained that </w:t>
      </w:r>
      <w:r w:rsidRPr="006B2593">
        <w:t>betibeglogene autotemcel</w:t>
      </w:r>
      <w:r>
        <w:t xml:space="preserve"> is licensed specifically for people who are fit enough to tolerate myeloablative treatment with busulfan before having </w:t>
      </w:r>
      <w:r w:rsidRPr="006B2593">
        <w:t>betibeglogene autotemcel</w:t>
      </w:r>
      <w:r>
        <w:t xml:space="preserve">. These people would likely have better outcomes than the general TDT population, even without </w:t>
      </w:r>
      <w:r w:rsidRPr="006B2593">
        <w:t>betibeglogene autotemcel</w:t>
      </w:r>
      <w:r>
        <w:t xml:space="preserve"> (that is, would likely have a life expectancy of more than 45 years). As well as this, the committee understood that:</w:t>
      </w:r>
    </w:p>
    <w:p w14:paraId="70B80D6C" w14:textId="77777777" w:rsidR="00715F07" w:rsidRDefault="00715F07" w:rsidP="00715F07">
      <w:pPr>
        <w:pStyle w:val="Bulletindent1"/>
      </w:pPr>
      <w:r>
        <w:t>the HES analysis included people who had decades of treatment before improved chelation techniques had become available</w:t>
      </w:r>
    </w:p>
    <w:p w14:paraId="5FE7CECF" w14:textId="77777777" w:rsidR="00715F07" w:rsidRDefault="00715F07" w:rsidP="00715F07">
      <w:pPr>
        <w:pStyle w:val="Bulletindent1last"/>
      </w:pPr>
      <w:r w:rsidRPr="001007F9">
        <w:t>the average life expectancy for people with better-managed TDT using newer chelation methods from the last 20 years would likely be higher.</w:t>
      </w:r>
    </w:p>
    <w:p w14:paraId="5AF5CEAA" w14:textId="77777777" w:rsidR="00715F07" w:rsidRPr="000324E7" w:rsidRDefault="00715F07" w:rsidP="00715F07">
      <w:pPr>
        <w:pStyle w:val="NICEnormal"/>
        <w:ind w:left="1134"/>
      </w:pPr>
      <w:r>
        <w:t>The committee concluded that the life expectancy for people with TDT means that the criteria for using a 1.5% discount rate for costs and benefits were not met.</w:t>
      </w:r>
    </w:p>
    <w:p w14:paraId="23062614" w14:textId="77777777" w:rsidR="00715F07" w:rsidRPr="000F765B" w:rsidRDefault="00715F07" w:rsidP="00715F07">
      <w:pPr>
        <w:pStyle w:val="Heading3"/>
      </w:pPr>
      <w:r>
        <w:lastRenderedPageBreak/>
        <w:t>The argument used for considering a 1.5% discount rate for Strimvelis is not relevant to this appraisal</w:t>
      </w:r>
    </w:p>
    <w:p w14:paraId="3DEF8A55" w14:textId="77777777" w:rsidR="00715F07" w:rsidRPr="000F765B" w:rsidRDefault="00715F07" w:rsidP="00715F07">
      <w:pPr>
        <w:pStyle w:val="Numberedlevel2text"/>
        <w:numPr>
          <w:ilvl w:val="1"/>
          <w:numId w:val="1"/>
        </w:numPr>
        <w:rPr>
          <w:lang w:val="en-GB"/>
        </w:rPr>
      </w:pPr>
      <w:r w:rsidRPr="000F765B">
        <w:t>The company explained that</w:t>
      </w:r>
      <w:r>
        <w:t>,</w:t>
      </w:r>
      <w:r w:rsidRPr="006B2ED8">
        <w:t xml:space="preserve"> </w:t>
      </w:r>
      <w:r w:rsidRPr="009B1946">
        <w:t xml:space="preserve">because </w:t>
      </w:r>
      <w:r w:rsidRPr="001D5814">
        <w:t xml:space="preserve">betibeglogene autotemcel </w:t>
      </w:r>
      <w:r w:rsidRPr="009B1946">
        <w:t>is a gene therapy</w:t>
      </w:r>
      <w:r>
        <w:t>,</w:t>
      </w:r>
      <w:r w:rsidRPr="00BD4349">
        <w:t xml:space="preserve"> </w:t>
      </w:r>
      <w:r w:rsidRPr="00A6397E">
        <w:t xml:space="preserve">there </w:t>
      </w:r>
      <w:r>
        <w:t>is</w:t>
      </w:r>
      <w:r w:rsidRPr="00A6397E">
        <w:t xml:space="preserve"> a rationale for benefits being sustained over a long period</w:t>
      </w:r>
      <w:r w:rsidRPr="001D5814">
        <w:t>. It also said that it beli</w:t>
      </w:r>
      <w:r w:rsidRPr="00932C3D">
        <w:t>eved</w:t>
      </w:r>
      <w:r w:rsidRPr="006B2ED8">
        <w:t xml:space="preserve"> the growing evidence base showed that lasting </w:t>
      </w:r>
      <w:r>
        <w:t>positive outcomes are</w:t>
      </w:r>
      <w:r w:rsidRPr="00E50424">
        <w:t xml:space="preserve"> highly likely </w:t>
      </w:r>
      <w:r>
        <w:t>to</w:t>
      </w:r>
      <w:r w:rsidRPr="00E50424">
        <w:t xml:space="preserve"> be achieved. The company gave an example of </w:t>
      </w:r>
      <w:hyperlink r:id="rId12" w:history="1">
        <w:r>
          <w:rPr>
            <w:rStyle w:val="Hyperlink"/>
          </w:rPr>
          <w:t>NICE's highly specialised technology appraisal guidance on Strimvelis for treating adenosine deaminase deficiency–severe combined immunodeficiency</w:t>
        </w:r>
      </w:hyperlink>
      <w:r>
        <w:t xml:space="preserve"> </w:t>
      </w:r>
      <w:r w:rsidRPr="006B2ED8">
        <w:t>(</w:t>
      </w:r>
      <w:r>
        <w:t>a</w:t>
      </w:r>
      <w:r w:rsidRPr="00E50424">
        <w:t xml:space="preserve"> different gene therapy</w:t>
      </w:r>
      <w:r>
        <w:t xml:space="preserve"> and</w:t>
      </w:r>
      <w:r w:rsidRPr="00E50424">
        <w:t xml:space="preserve"> condition) to support the use of a 1.5% discount rate in </w:t>
      </w:r>
      <w:r w:rsidRPr="000F765B">
        <w:t xml:space="preserve">the </w:t>
      </w:r>
      <w:r w:rsidRPr="00870FD2">
        <w:t>betibeglogene autotemcel</w:t>
      </w:r>
      <w:r w:rsidRPr="000F765B">
        <w:t xml:space="preserve"> </w:t>
      </w:r>
      <w:r w:rsidRPr="0041167F">
        <w:t>appraisal</w:t>
      </w:r>
      <w:r w:rsidRPr="006B2ED8">
        <w:t xml:space="preserve">. However, in </w:t>
      </w:r>
      <w:r>
        <w:t>the Strimvelis appraisal,</w:t>
      </w:r>
      <w:r w:rsidRPr="000F765B">
        <w:t xml:space="preserve"> </w:t>
      </w:r>
      <w:r w:rsidRPr="0041167F">
        <w:t>t</w:t>
      </w:r>
      <w:r w:rsidRPr="00E11059">
        <w:t>he committee concl</w:t>
      </w:r>
      <w:r w:rsidRPr="00854D4B">
        <w:t>uded that it was uncerta</w:t>
      </w:r>
      <w:r w:rsidRPr="006B2ED8">
        <w:t>in whether Strimvelis fully met the criteria to use a discounting rate of 1.5%</w:t>
      </w:r>
      <w:r>
        <w:t>. It also</w:t>
      </w:r>
      <w:r w:rsidRPr="006B2ED8">
        <w:t xml:space="preserve"> recognised that there were uncertainties in whether the long-term benefits of treatment would be achieved because of limited evidence</w:t>
      </w:r>
      <w:r>
        <w:t>. So</w:t>
      </w:r>
      <w:r w:rsidRPr="001D5814">
        <w:t>,</w:t>
      </w:r>
      <w:r>
        <w:t xml:space="preserve"> it was</w:t>
      </w:r>
      <w:r w:rsidRPr="001D5814">
        <w:t xml:space="preserve"> decided t</w:t>
      </w:r>
      <w:r w:rsidRPr="00932C3D">
        <w:t xml:space="preserve">hat both 3.5% and 1.5% should be considered in </w:t>
      </w:r>
      <w:r>
        <w:t>the Strimvelis committee’s</w:t>
      </w:r>
      <w:r w:rsidRPr="00932C3D">
        <w:t xml:space="preserve"> decision</w:t>
      </w:r>
      <w:r>
        <w:t xml:space="preserve"> </w:t>
      </w:r>
      <w:r w:rsidRPr="00932C3D">
        <w:t>making.</w:t>
      </w:r>
      <w:r w:rsidRPr="00E50424">
        <w:t xml:space="preserve"> </w:t>
      </w:r>
      <w:r w:rsidRPr="007F3B89">
        <w:t xml:space="preserve">This committee noted that the </w:t>
      </w:r>
      <w:r>
        <w:rPr>
          <w:bCs w:val="0"/>
          <w:iCs w:val="0"/>
          <w:lang w:val="en-GB"/>
        </w:rPr>
        <w:t>incremental cost-effectiveness ratios (</w:t>
      </w:r>
      <w:r w:rsidRPr="007F3B89">
        <w:t>ICERs</w:t>
      </w:r>
      <w:r>
        <w:rPr>
          <w:lang w:val="en-GB"/>
        </w:rPr>
        <w:t>)</w:t>
      </w:r>
      <w:r w:rsidRPr="007F3B89">
        <w:t xml:space="preserve"> </w:t>
      </w:r>
      <w:r>
        <w:rPr>
          <w:lang w:val="en-GB"/>
        </w:rPr>
        <w:t xml:space="preserve">for Strimvelis </w:t>
      </w:r>
      <w:r w:rsidRPr="007F3B89">
        <w:t>were cost effective with both discount rates, so this was not material to the decision making</w:t>
      </w:r>
      <w:r>
        <w:rPr>
          <w:lang w:val="en-GB"/>
        </w:rPr>
        <w:t>.</w:t>
      </w:r>
      <w:r w:rsidRPr="007F3B89">
        <w:t xml:space="preserve"> </w:t>
      </w:r>
      <w:r>
        <w:rPr>
          <w:lang w:val="en-GB"/>
        </w:rPr>
        <w:t>At technical engagement, the Cell and Gene Therapy Catapult, a stakeholder for this topic, explained that d</w:t>
      </w:r>
      <w:r w:rsidRPr="007A43B9">
        <w:rPr>
          <w:lang w:val="en-GB"/>
        </w:rPr>
        <w:t xml:space="preserve">iscounting disproportionately </w:t>
      </w:r>
      <w:r>
        <w:rPr>
          <w:lang w:val="en-GB"/>
        </w:rPr>
        <w:t>affects</w:t>
      </w:r>
      <w:r w:rsidRPr="007A43B9">
        <w:rPr>
          <w:lang w:val="en-GB"/>
        </w:rPr>
        <w:t xml:space="preserve"> benefits of therapies with high upfront costs but longer-term benefits.</w:t>
      </w:r>
      <w:r>
        <w:rPr>
          <w:lang w:val="en-GB"/>
        </w:rPr>
        <w:t xml:space="preserve"> It explained that l</w:t>
      </w:r>
      <w:r w:rsidRPr="007A43B9">
        <w:rPr>
          <w:lang w:val="en-GB"/>
        </w:rPr>
        <w:t xml:space="preserve">ong-term evidence on sustainability of effect </w:t>
      </w:r>
      <w:r>
        <w:rPr>
          <w:lang w:val="en-GB"/>
        </w:rPr>
        <w:t xml:space="preserve">would be </w:t>
      </w:r>
      <w:r w:rsidRPr="007A43B9">
        <w:rPr>
          <w:lang w:val="en-GB"/>
        </w:rPr>
        <w:t>very difficult to generate in time for launch (without delaying patient access significantly)</w:t>
      </w:r>
      <w:r>
        <w:rPr>
          <w:lang w:val="en-GB"/>
        </w:rPr>
        <w:t xml:space="preserve">. It also explained that </w:t>
      </w:r>
      <w:r w:rsidRPr="007A43B9">
        <w:rPr>
          <w:lang w:val="en-GB"/>
        </w:rPr>
        <w:t xml:space="preserve">traditional assessment frameworks could penalise lack of such evidence at </w:t>
      </w:r>
      <w:r>
        <w:rPr>
          <w:lang w:val="en-GB"/>
        </w:rPr>
        <w:t xml:space="preserve">the </w:t>
      </w:r>
      <w:r w:rsidRPr="007A43B9">
        <w:rPr>
          <w:lang w:val="en-GB"/>
        </w:rPr>
        <w:t>time of appraisal.</w:t>
      </w:r>
      <w:r>
        <w:rPr>
          <w:lang w:val="en-GB"/>
        </w:rPr>
        <w:t xml:space="preserve"> </w:t>
      </w:r>
      <w:r w:rsidRPr="00E50424">
        <w:t xml:space="preserve">The committee noted that the long-term data for </w:t>
      </w:r>
      <w:bookmarkStart w:id="4" w:name="_Hlk63297732"/>
      <w:r w:rsidRPr="00E50424">
        <w:t>betibeglogene autotemcel</w:t>
      </w:r>
      <w:bookmarkEnd w:id="4"/>
      <w:r w:rsidRPr="00E50424">
        <w:t xml:space="preserve"> </w:t>
      </w:r>
      <w:r>
        <w:t>were</w:t>
      </w:r>
      <w:r w:rsidRPr="00E50424">
        <w:t xml:space="preserve"> much more uncertain than </w:t>
      </w:r>
      <w:r>
        <w:t>the data</w:t>
      </w:r>
      <w:r w:rsidRPr="00E50424">
        <w:t xml:space="preserve"> </w:t>
      </w:r>
      <w:r>
        <w:rPr>
          <w:lang w:val="en-GB"/>
        </w:rPr>
        <w:t>for</w:t>
      </w:r>
      <w:r w:rsidRPr="00E50424">
        <w:t xml:space="preserve"> Strimvelis</w:t>
      </w:r>
      <w:r>
        <w:rPr>
          <w:lang w:val="en-GB"/>
        </w:rPr>
        <w:t xml:space="preserve">. Like betibeglogene autotemcel, Strimvelis has a high upfront cost and longer-term benefits. However, at the time of its appraisal, there were data from a maximum follow up of </w:t>
      </w:r>
      <w:r w:rsidRPr="00E50424">
        <w:t>13</w:t>
      </w:r>
      <w:r>
        <w:t> </w:t>
      </w:r>
      <w:r w:rsidRPr="00E50424">
        <w:t>years</w:t>
      </w:r>
      <w:r>
        <w:rPr>
          <w:lang w:val="en-GB"/>
        </w:rPr>
        <w:t xml:space="preserve">, </w:t>
      </w:r>
      <w:r>
        <w:rPr>
          <w:lang w:val="en-GB"/>
        </w:rPr>
        <w:lastRenderedPageBreak/>
        <w:t xml:space="preserve">compared with just over 5 years for </w:t>
      </w:r>
      <w:r w:rsidRPr="00863E0F">
        <w:rPr>
          <w:lang w:val="en-GB"/>
        </w:rPr>
        <w:t>betibeglogene autotemcel</w:t>
      </w:r>
      <w:r>
        <w:t xml:space="preserve">. </w:t>
      </w:r>
      <w:r>
        <w:rPr>
          <w:lang w:val="en-GB"/>
        </w:rPr>
        <w:t>The committee also noted that the condition Strimvelis has an indication for is</w:t>
      </w:r>
      <w:r w:rsidRPr="00327590">
        <w:rPr>
          <w:lang w:val="en-GB"/>
        </w:rPr>
        <w:t xml:space="preserve"> fatal </w:t>
      </w:r>
      <w:r>
        <w:rPr>
          <w:lang w:val="en-GB"/>
        </w:rPr>
        <w:t xml:space="preserve">within infancy </w:t>
      </w:r>
      <w:r w:rsidRPr="00327590">
        <w:rPr>
          <w:lang w:val="en-GB"/>
        </w:rPr>
        <w:t xml:space="preserve">if </w:t>
      </w:r>
      <w:r>
        <w:rPr>
          <w:lang w:val="en-GB"/>
        </w:rPr>
        <w:t xml:space="preserve">it is </w:t>
      </w:r>
      <w:r w:rsidRPr="00327590">
        <w:rPr>
          <w:lang w:val="en-GB"/>
        </w:rPr>
        <w:t>untreated</w:t>
      </w:r>
      <w:r>
        <w:rPr>
          <w:lang w:val="en-GB"/>
        </w:rPr>
        <w:t xml:space="preserve"> and,</w:t>
      </w:r>
      <w:r w:rsidRPr="00C66DC3">
        <w:rPr>
          <w:lang w:val="en-GB"/>
        </w:rPr>
        <w:t xml:space="preserve"> </w:t>
      </w:r>
      <w:r>
        <w:rPr>
          <w:lang w:val="en-GB"/>
        </w:rPr>
        <w:t>at the time of that appraisal, HSCT was the only treatment option outside trials. Strimvelis</w:t>
      </w:r>
      <w:r w:rsidRPr="00327590">
        <w:rPr>
          <w:lang w:val="en-GB"/>
        </w:rPr>
        <w:t xml:space="preserve"> was</w:t>
      </w:r>
      <w:r>
        <w:rPr>
          <w:lang w:val="en-GB"/>
        </w:rPr>
        <w:t xml:space="preserve"> considered to be</w:t>
      </w:r>
      <w:r w:rsidRPr="00327590">
        <w:rPr>
          <w:lang w:val="en-GB"/>
        </w:rPr>
        <w:t xml:space="preserve"> transformative for people who, without treatment, would otherwise die</w:t>
      </w:r>
      <w:r>
        <w:rPr>
          <w:lang w:val="en-GB"/>
        </w:rPr>
        <w:t>.</w:t>
      </w:r>
      <w:r w:rsidRPr="00327590">
        <w:rPr>
          <w:lang w:val="en-GB"/>
        </w:rPr>
        <w:t xml:space="preserve"> </w:t>
      </w:r>
      <w:r>
        <w:rPr>
          <w:lang w:val="en-GB"/>
        </w:rPr>
        <w:t xml:space="preserve">TDT, however, has other management options apart from HSCT. The committee concluded that </w:t>
      </w:r>
      <w:r w:rsidRPr="002C3496">
        <w:rPr>
          <w:lang w:val="en-GB"/>
        </w:rPr>
        <w:t xml:space="preserve">the </w:t>
      </w:r>
      <w:r>
        <w:rPr>
          <w:lang w:val="en-GB"/>
        </w:rPr>
        <w:t>rationale</w:t>
      </w:r>
      <w:r w:rsidRPr="002C3496">
        <w:rPr>
          <w:lang w:val="en-GB"/>
        </w:rPr>
        <w:t xml:space="preserve"> used </w:t>
      </w:r>
      <w:r>
        <w:rPr>
          <w:lang w:val="en-GB"/>
        </w:rPr>
        <w:t>for the consideration of a</w:t>
      </w:r>
      <w:r w:rsidRPr="002C3496">
        <w:rPr>
          <w:lang w:val="en-GB"/>
        </w:rPr>
        <w:t xml:space="preserve"> 1.5% discount rate </w:t>
      </w:r>
      <w:r>
        <w:rPr>
          <w:lang w:val="en-GB"/>
        </w:rPr>
        <w:t xml:space="preserve">as part of decision making </w:t>
      </w:r>
      <w:r w:rsidRPr="002C3496">
        <w:rPr>
          <w:lang w:val="en-GB"/>
        </w:rPr>
        <w:t>for Strimvelis was not relevant to this appraisal.</w:t>
      </w:r>
    </w:p>
    <w:p w14:paraId="299ABA25" w14:textId="77777777" w:rsidR="00715F07" w:rsidRDefault="00715F07" w:rsidP="00715F07">
      <w:pPr>
        <w:pStyle w:val="Heading3"/>
      </w:pPr>
      <w:r>
        <w:t>The criteria for using a 1.5% discount rate for costs and benefits are not met, so a 3.5% discount rate should be used</w:t>
      </w:r>
    </w:p>
    <w:p w14:paraId="2FE3DA0F" w14:textId="77777777" w:rsidR="00715F07" w:rsidRPr="00B94B62" w:rsidRDefault="00715F07" w:rsidP="00715F07">
      <w:pPr>
        <w:pStyle w:val="Numberedlevel2text"/>
        <w:numPr>
          <w:ilvl w:val="1"/>
          <w:numId w:val="1"/>
        </w:numPr>
        <w:rPr>
          <w:lang w:val="en-GB"/>
        </w:rPr>
      </w:pPr>
      <w:r w:rsidRPr="00B94B62">
        <w:rPr>
          <w:lang w:val="en-GB"/>
        </w:rPr>
        <w:t xml:space="preserve">The committee noted </w:t>
      </w:r>
      <w:r>
        <w:rPr>
          <w:lang w:val="en-GB"/>
        </w:rPr>
        <w:t xml:space="preserve">that some people who have treatment with </w:t>
      </w:r>
      <w:bookmarkStart w:id="5" w:name="_Hlk61824015"/>
      <w:r w:rsidRPr="00504D04">
        <w:rPr>
          <w:lang w:val="en-GB"/>
        </w:rPr>
        <w:t>betibeglogene autotemcel</w:t>
      </w:r>
      <w:r>
        <w:rPr>
          <w:lang w:val="en-GB"/>
        </w:rPr>
        <w:t xml:space="preserve"> </w:t>
      </w:r>
      <w:bookmarkEnd w:id="5"/>
      <w:r>
        <w:rPr>
          <w:lang w:val="en-GB"/>
        </w:rPr>
        <w:t>do not see a reduction in transfusions, let alone become TI. It noted the</w:t>
      </w:r>
      <w:r w:rsidRPr="00B94B62">
        <w:rPr>
          <w:lang w:val="en-GB"/>
        </w:rPr>
        <w:t xml:space="preserve"> lack of long</w:t>
      </w:r>
      <w:r>
        <w:rPr>
          <w:lang w:val="en-GB"/>
        </w:rPr>
        <w:t>-</w:t>
      </w:r>
      <w:r w:rsidRPr="00B94B62">
        <w:rPr>
          <w:lang w:val="en-GB"/>
        </w:rPr>
        <w:t>term evidence for betibeglogene autotemcel (</w:t>
      </w:r>
      <w:r w:rsidRPr="006B5F0D">
        <w:rPr>
          <w:lang w:val="en-GB"/>
        </w:rPr>
        <w:t>see section</w:t>
      </w:r>
      <w:r>
        <w:rPr>
          <w:lang w:val="en-GB"/>
        </w:rPr>
        <w:t> 3.16</w:t>
      </w:r>
      <w:r w:rsidRPr="00B94B62">
        <w:rPr>
          <w:lang w:val="en-GB"/>
        </w:rPr>
        <w:t>) and the utility decrement associated with TDT (</w:t>
      </w:r>
      <w:r w:rsidRPr="002358EB">
        <w:rPr>
          <w:lang w:val="en-GB"/>
        </w:rPr>
        <w:t>see section</w:t>
      </w:r>
      <w:r>
        <w:rPr>
          <w:lang w:val="en-GB"/>
        </w:rPr>
        <w:t> 3.9</w:t>
      </w:r>
      <w:r w:rsidRPr="00B94B62">
        <w:rPr>
          <w:lang w:val="en-GB"/>
        </w:rPr>
        <w:t>)</w:t>
      </w:r>
      <w:r>
        <w:rPr>
          <w:lang w:val="en-GB"/>
        </w:rPr>
        <w:t>. It</w:t>
      </w:r>
      <w:r w:rsidRPr="00B94B62">
        <w:rPr>
          <w:lang w:val="en-GB"/>
        </w:rPr>
        <w:t xml:space="preserve"> considered that the criteria of ‘treatment restores people who would otherwise die or have a very severely impaired life to full or near full health, and when this is sustained over a very long period (normally at least 30</w:t>
      </w:r>
      <w:r>
        <w:rPr>
          <w:lang w:val="en-GB"/>
        </w:rPr>
        <w:t> </w:t>
      </w:r>
      <w:r w:rsidRPr="00B94B62">
        <w:rPr>
          <w:lang w:val="en-GB"/>
        </w:rPr>
        <w:t>years)’ w</w:t>
      </w:r>
      <w:r>
        <w:rPr>
          <w:lang w:val="en-GB"/>
        </w:rPr>
        <w:t>ere</w:t>
      </w:r>
      <w:r w:rsidRPr="00B94B62">
        <w:rPr>
          <w:lang w:val="en-GB"/>
        </w:rPr>
        <w:t xml:space="preserve"> not met. A</w:t>
      </w:r>
      <w:r>
        <w:rPr>
          <w:lang w:val="en-GB"/>
        </w:rPr>
        <w:t>lso</w:t>
      </w:r>
      <w:r w:rsidRPr="00B94B62">
        <w:rPr>
          <w:lang w:val="en-GB"/>
        </w:rPr>
        <w:t xml:space="preserve">, </w:t>
      </w:r>
      <w:r>
        <w:rPr>
          <w:lang w:val="en-GB"/>
        </w:rPr>
        <w:t>it was</w:t>
      </w:r>
      <w:r w:rsidRPr="00B94B62">
        <w:rPr>
          <w:lang w:val="en-GB"/>
        </w:rPr>
        <w:t xml:space="preserve"> not satisfied that the introduction of the technology </w:t>
      </w:r>
      <w:r>
        <w:rPr>
          <w:lang w:val="en-GB"/>
        </w:rPr>
        <w:t>would</w:t>
      </w:r>
      <w:r w:rsidRPr="00B94B62">
        <w:rPr>
          <w:lang w:val="en-GB"/>
        </w:rPr>
        <w:t xml:space="preserve"> not commit the NHS to significant irrecoverable costs</w:t>
      </w:r>
      <w:r>
        <w:rPr>
          <w:lang w:val="en-GB"/>
        </w:rPr>
        <w:t xml:space="preserve">. Although no loss of efficacy has been seen, follow-up data are limited and there may be irrecoverable costs if </w:t>
      </w:r>
      <w:r w:rsidRPr="00504D04">
        <w:rPr>
          <w:lang w:val="en-GB"/>
        </w:rPr>
        <w:t>betibeglogene autotemcel</w:t>
      </w:r>
      <w:r>
        <w:rPr>
          <w:lang w:val="en-GB"/>
        </w:rPr>
        <w:t xml:space="preserve"> does not work as well in clinical practice. </w:t>
      </w:r>
      <w:r w:rsidRPr="00B94B62">
        <w:rPr>
          <w:lang w:val="en-GB"/>
        </w:rPr>
        <w:t>So</w:t>
      </w:r>
      <w:r>
        <w:rPr>
          <w:lang w:val="en-GB"/>
        </w:rPr>
        <w:t>,</w:t>
      </w:r>
      <w:r w:rsidRPr="00B94B62">
        <w:rPr>
          <w:lang w:val="en-GB"/>
        </w:rPr>
        <w:t xml:space="preserve"> </w:t>
      </w:r>
      <w:r>
        <w:rPr>
          <w:lang w:val="en-GB"/>
        </w:rPr>
        <w:t xml:space="preserve">the </w:t>
      </w:r>
      <w:r w:rsidRPr="00B94B62">
        <w:rPr>
          <w:lang w:val="en-GB"/>
        </w:rPr>
        <w:t xml:space="preserve">committee </w:t>
      </w:r>
      <w:r>
        <w:rPr>
          <w:lang w:val="en-GB"/>
        </w:rPr>
        <w:t>concluded</w:t>
      </w:r>
      <w:r w:rsidRPr="00B94B62">
        <w:rPr>
          <w:lang w:val="en-GB"/>
        </w:rPr>
        <w:t xml:space="preserve"> that</w:t>
      </w:r>
      <w:r>
        <w:rPr>
          <w:lang w:val="en-GB"/>
        </w:rPr>
        <w:t>,</w:t>
      </w:r>
      <w:r w:rsidRPr="00B94B62">
        <w:rPr>
          <w:lang w:val="en-GB"/>
        </w:rPr>
        <w:t xml:space="preserve"> </w:t>
      </w:r>
      <w:r>
        <w:rPr>
          <w:lang w:val="en-GB"/>
        </w:rPr>
        <w:t>because</w:t>
      </w:r>
      <w:r w:rsidRPr="00B94B62">
        <w:rPr>
          <w:lang w:val="en-GB"/>
        </w:rPr>
        <w:t xml:space="preserve"> the criteria for us</w:t>
      </w:r>
      <w:r>
        <w:rPr>
          <w:lang w:val="en-GB"/>
        </w:rPr>
        <w:t>ing</w:t>
      </w:r>
      <w:r w:rsidRPr="00B94B62">
        <w:rPr>
          <w:lang w:val="en-GB"/>
        </w:rPr>
        <w:t xml:space="preserve"> a 1.5% discount rate </w:t>
      </w:r>
      <w:r>
        <w:rPr>
          <w:lang w:val="en-GB"/>
        </w:rPr>
        <w:t>were</w:t>
      </w:r>
      <w:r w:rsidRPr="00B94B62">
        <w:rPr>
          <w:lang w:val="en-GB"/>
        </w:rPr>
        <w:t xml:space="preserve"> not met, the reference case value of 3.5% should be used</w:t>
      </w:r>
      <w:r>
        <w:rPr>
          <w:lang w:val="en-GB"/>
        </w:rPr>
        <w:t xml:space="preserve"> for both costs and benefits</w:t>
      </w:r>
      <w:r w:rsidRPr="00B94B62">
        <w:rPr>
          <w:lang w:val="en-GB"/>
        </w:rPr>
        <w:t>.</w:t>
      </w:r>
    </w:p>
    <w:p w14:paraId="53314944" w14:textId="77777777" w:rsidR="00715F07" w:rsidRDefault="00715F07" w:rsidP="00715F07">
      <w:pPr>
        <w:pStyle w:val="Heading2"/>
      </w:pPr>
      <w:r>
        <w:lastRenderedPageBreak/>
        <w:t>Utility values used in the model</w:t>
      </w:r>
    </w:p>
    <w:p w14:paraId="24D48B0C" w14:textId="77777777" w:rsidR="00715F07" w:rsidRDefault="00715F07" w:rsidP="00715F07">
      <w:pPr>
        <w:pStyle w:val="Heading3"/>
      </w:pPr>
      <w:r>
        <w:t xml:space="preserve">Utilities from the company’s UK chart review may not be representative of the population who would be eligible for </w:t>
      </w:r>
      <w:r w:rsidRPr="00181867">
        <w:t>betibeglogene autotemcel</w:t>
      </w:r>
    </w:p>
    <w:p w14:paraId="08E720EE" w14:textId="77777777" w:rsidR="00715F07" w:rsidRDefault="00715F07" w:rsidP="00715F07">
      <w:pPr>
        <w:pStyle w:val="Numberedlevel2text"/>
        <w:numPr>
          <w:ilvl w:val="1"/>
          <w:numId w:val="1"/>
        </w:numPr>
        <w:rPr>
          <w:rStyle w:val="Heading3Char"/>
          <w:bCs/>
          <w:iCs w:val="0"/>
          <w:lang w:val="en-GB"/>
        </w:rPr>
      </w:pPr>
      <w:r w:rsidRPr="00057969">
        <w:t>The company</w:t>
      </w:r>
      <w:r w:rsidRPr="000F765B">
        <w:t xml:space="preserve"> </w:t>
      </w:r>
      <w:r w:rsidRPr="0041167F">
        <w:t>did not use the utility values collected fro</w:t>
      </w:r>
      <w:r w:rsidRPr="00E11059">
        <w:t xml:space="preserve">m </w:t>
      </w:r>
      <w:r w:rsidRPr="00507005">
        <w:t>its clinical</w:t>
      </w:r>
      <w:r w:rsidRPr="000F765B">
        <w:t xml:space="preserve"> trials in </w:t>
      </w:r>
      <w:r w:rsidRPr="00507005">
        <w:t xml:space="preserve">the </w:t>
      </w:r>
      <w:r w:rsidRPr="000F765B">
        <w:t>model</w:t>
      </w:r>
      <w:r w:rsidRPr="00507005">
        <w:t xml:space="preserve">ling. This was because it </w:t>
      </w:r>
      <w:r w:rsidRPr="000F765B">
        <w:t>thought</w:t>
      </w:r>
      <w:r w:rsidRPr="00507005">
        <w:t xml:space="preserve"> the</w:t>
      </w:r>
      <w:r w:rsidRPr="000F765B">
        <w:t xml:space="preserve"> baseline values collected were ‘artificially high’</w:t>
      </w:r>
      <w:r w:rsidRPr="00057969">
        <w:t>,</w:t>
      </w:r>
      <w:r w:rsidRPr="000F765B">
        <w:t xml:space="preserve"> possibly </w:t>
      </w:r>
      <w:r w:rsidRPr="00057969">
        <w:t>because of</w:t>
      </w:r>
      <w:r w:rsidRPr="000F765B">
        <w:t xml:space="preserve"> an ‘adjustment bias’</w:t>
      </w:r>
      <w:r w:rsidRPr="00057969">
        <w:t>. It stated that this made it</w:t>
      </w:r>
      <w:r w:rsidRPr="00FA6795">
        <w:t xml:space="preserve"> hard to detect a utility benefit after treatment with betibeglogene autotemcel.</w:t>
      </w:r>
      <w:r w:rsidRPr="00507005">
        <w:t xml:space="preserve"> Instead, </w:t>
      </w:r>
      <w:r>
        <w:rPr>
          <w:lang w:val="en-GB"/>
        </w:rPr>
        <w:t>it</w:t>
      </w:r>
      <w:r w:rsidRPr="00EE2F77">
        <w:t xml:space="preserve"> used the mean utility </w:t>
      </w:r>
      <w:r>
        <w:rPr>
          <w:lang w:val="en-GB"/>
        </w:rPr>
        <w:t xml:space="preserve">(of 0.69) </w:t>
      </w:r>
      <w:r w:rsidRPr="00EE2F77">
        <w:t>of all people with TDT aged 16 years or older from its UK chart review (gathered via a retrospective vignette study)</w:t>
      </w:r>
      <w:r>
        <w:rPr>
          <w:lang w:val="en-GB"/>
        </w:rPr>
        <w:t>. This</w:t>
      </w:r>
      <w:r w:rsidRPr="00EE2F77">
        <w:t xml:space="preserve"> generate</w:t>
      </w:r>
      <w:r>
        <w:rPr>
          <w:lang w:val="en-GB"/>
        </w:rPr>
        <w:t>d</w:t>
      </w:r>
      <w:r w:rsidRPr="00EE2F77">
        <w:t xml:space="preserve"> a utility decrement </w:t>
      </w:r>
      <w:r w:rsidRPr="00AD7255">
        <w:t>of 0.27</w:t>
      </w:r>
      <w:r>
        <w:rPr>
          <w:lang w:val="en-GB"/>
        </w:rPr>
        <w:t xml:space="preserve"> </w:t>
      </w:r>
      <w:r w:rsidRPr="00EE2F77">
        <w:t>associated with being transfusion</w:t>
      </w:r>
      <w:r>
        <w:t xml:space="preserve"> dependent</w:t>
      </w:r>
      <w:r>
        <w:rPr>
          <w:lang w:val="en-GB"/>
        </w:rPr>
        <w:t>.</w:t>
      </w:r>
      <w:r w:rsidRPr="00EE2F77">
        <w:t xml:space="preserve"> It applied this decrement to </w:t>
      </w:r>
      <w:r>
        <w:rPr>
          <w:lang w:val="en-GB"/>
        </w:rPr>
        <w:t xml:space="preserve">the </w:t>
      </w:r>
      <w:r w:rsidRPr="00EE2F77">
        <w:t>general population utilities.</w:t>
      </w:r>
      <w:r>
        <w:rPr>
          <w:lang w:val="en-GB"/>
        </w:rPr>
        <w:t xml:space="preserve"> </w:t>
      </w:r>
      <w:r w:rsidRPr="00854D4B">
        <w:t>The ERG expl</w:t>
      </w:r>
      <w:r w:rsidRPr="006B2ED8">
        <w:t xml:space="preserve">ained that there were only </w:t>
      </w:r>
      <w:r w:rsidRPr="000F765B">
        <w:t>10</w:t>
      </w:r>
      <w:r w:rsidRPr="00E11059">
        <w:t> </w:t>
      </w:r>
      <w:r w:rsidRPr="006B2ED8">
        <w:t>adults with utility data in the clinical</w:t>
      </w:r>
      <w:r w:rsidRPr="000F765B">
        <w:t xml:space="preserve"> trials</w:t>
      </w:r>
      <w:r w:rsidRPr="00E11059">
        <w:t xml:space="preserve">. </w:t>
      </w:r>
      <w:r>
        <w:rPr>
          <w:lang w:val="en-GB"/>
        </w:rPr>
        <w:t>T</w:t>
      </w:r>
      <w:r w:rsidRPr="006B2ED8">
        <w:t xml:space="preserve">he </w:t>
      </w:r>
      <w:r w:rsidRPr="000F765B">
        <w:t>demographic</w:t>
      </w:r>
      <w:r w:rsidRPr="0041167F">
        <w:t>s</w:t>
      </w:r>
      <w:r w:rsidRPr="00E11059">
        <w:t xml:space="preserve"> in </w:t>
      </w:r>
      <w:r w:rsidRPr="00854D4B">
        <w:t xml:space="preserve">the company’s </w:t>
      </w:r>
      <w:r w:rsidRPr="000F765B">
        <w:t xml:space="preserve">chart review </w:t>
      </w:r>
      <w:r w:rsidRPr="00E11059">
        <w:t xml:space="preserve">were </w:t>
      </w:r>
      <w:r w:rsidRPr="000F765B">
        <w:t>very different from those in</w:t>
      </w:r>
      <w:r w:rsidRPr="00E11059">
        <w:t xml:space="preserve"> the</w:t>
      </w:r>
      <w:r w:rsidRPr="000F765B">
        <w:t xml:space="preserve"> trials</w:t>
      </w:r>
      <w:r w:rsidRPr="00854D4B">
        <w:t xml:space="preserve">. </w:t>
      </w:r>
      <w:r w:rsidRPr="006B2ED8">
        <w:t>The health-related quality of life</w:t>
      </w:r>
      <w:r w:rsidRPr="000F765B">
        <w:t xml:space="preserve"> </w:t>
      </w:r>
      <w:r>
        <w:t>(</w:t>
      </w:r>
      <w:r w:rsidRPr="00E11059">
        <w:t>HRQoL</w:t>
      </w:r>
      <w:r>
        <w:t>)</w:t>
      </w:r>
      <w:r w:rsidRPr="00E11059">
        <w:t xml:space="preserve"> </w:t>
      </w:r>
      <w:r w:rsidRPr="000F765B">
        <w:t xml:space="preserve">data </w:t>
      </w:r>
      <w:r w:rsidRPr="00E11059">
        <w:t>w</w:t>
      </w:r>
      <w:r w:rsidRPr="00854D4B">
        <w:t>ere</w:t>
      </w:r>
      <w:r w:rsidRPr="006B2ED8">
        <w:t xml:space="preserve"> </w:t>
      </w:r>
      <w:r w:rsidRPr="000F765B">
        <w:t xml:space="preserve">derived from </w:t>
      </w:r>
      <w:r w:rsidRPr="00E11059">
        <w:t xml:space="preserve">an </w:t>
      </w:r>
      <w:r w:rsidRPr="000F765B">
        <w:t>ol</w:t>
      </w:r>
      <w:r w:rsidRPr="0041167F">
        <w:t>der population</w:t>
      </w:r>
      <w:r w:rsidRPr="00E11059">
        <w:t xml:space="preserve"> in the chart review</w:t>
      </w:r>
      <w:r w:rsidRPr="000F765B">
        <w:t xml:space="preserve">, while </w:t>
      </w:r>
      <w:r w:rsidRPr="00E11059">
        <w:t xml:space="preserve">the model </w:t>
      </w:r>
      <w:r w:rsidRPr="000F765B">
        <w:t>adjust</w:t>
      </w:r>
      <w:r w:rsidRPr="00E11059">
        <w:t>ed</w:t>
      </w:r>
      <w:r w:rsidRPr="000F765B">
        <w:t xml:space="preserve"> utilities over time to account for age</w:t>
      </w:r>
      <w:r w:rsidRPr="0041167F">
        <w:t>ing</w:t>
      </w:r>
      <w:r w:rsidRPr="00E11059">
        <w:t>.</w:t>
      </w:r>
      <w:r w:rsidRPr="00854D4B">
        <w:t xml:space="preserve"> </w:t>
      </w:r>
      <w:r w:rsidRPr="006B2ED8">
        <w:t xml:space="preserve">So, the company’s </w:t>
      </w:r>
      <w:r w:rsidRPr="000F765B">
        <w:t xml:space="preserve">model may have </w:t>
      </w:r>
      <w:r w:rsidRPr="0041167F">
        <w:t xml:space="preserve">double counted </w:t>
      </w:r>
      <w:r w:rsidRPr="00EE2F77">
        <w:t xml:space="preserve">the </w:t>
      </w:r>
      <w:r w:rsidRPr="000F765B">
        <w:t>effects of ageing</w:t>
      </w:r>
      <w:r w:rsidRPr="006B2ED8">
        <w:t>.</w:t>
      </w:r>
      <w:r>
        <w:t xml:space="preserve"> </w:t>
      </w:r>
      <w:r w:rsidRPr="00E11059">
        <w:t>The ERG considered that u</w:t>
      </w:r>
      <w:r w:rsidRPr="000F765B">
        <w:t>sing a mea</w:t>
      </w:r>
      <w:r w:rsidRPr="0041167F">
        <w:t xml:space="preserve">n utility score for </w:t>
      </w:r>
      <w:r w:rsidRPr="00E11059">
        <w:t>people</w:t>
      </w:r>
      <w:r w:rsidRPr="00854D4B">
        <w:t xml:space="preserve"> w</w:t>
      </w:r>
      <w:r w:rsidRPr="006B2ED8">
        <w:t xml:space="preserve">ho were </w:t>
      </w:r>
      <w:r w:rsidRPr="000F765B">
        <w:t>transfusion</w:t>
      </w:r>
      <w:r w:rsidRPr="00E11059">
        <w:t xml:space="preserve"> </w:t>
      </w:r>
      <w:r w:rsidRPr="006B2ED8">
        <w:t>dependent based on the</w:t>
      </w:r>
      <w:r w:rsidRPr="000F765B">
        <w:t xml:space="preserve"> older </w:t>
      </w:r>
      <w:r w:rsidRPr="00E11059">
        <w:t>chart</w:t>
      </w:r>
      <w:r>
        <w:t xml:space="preserve"> review</w:t>
      </w:r>
      <w:r w:rsidRPr="00E11059">
        <w:t xml:space="preserve"> </w:t>
      </w:r>
      <w:r w:rsidRPr="000F765B">
        <w:t xml:space="preserve">population might </w:t>
      </w:r>
      <w:r w:rsidRPr="00E11059">
        <w:t xml:space="preserve">have </w:t>
      </w:r>
      <w:r>
        <w:t>been</w:t>
      </w:r>
      <w:r w:rsidRPr="000F765B">
        <w:t xml:space="preserve"> </w:t>
      </w:r>
      <w:r w:rsidRPr="0041167F">
        <w:t>inapprop</w:t>
      </w:r>
      <w:r w:rsidRPr="00E11059">
        <w:t>riate</w:t>
      </w:r>
      <w:r w:rsidRPr="00854D4B">
        <w:t xml:space="preserve">. </w:t>
      </w:r>
      <w:r w:rsidRPr="006B2ED8">
        <w:t xml:space="preserve">HRQoL may be lower for older people </w:t>
      </w:r>
      <w:r w:rsidRPr="000F765B">
        <w:t xml:space="preserve">than </w:t>
      </w:r>
      <w:r w:rsidRPr="006B2ED8">
        <w:t xml:space="preserve">younger people. This is because of </w:t>
      </w:r>
      <w:r w:rsidRPr="000F765B">
        <w:t>changing chelation practices and more optima</w:t>
      </w:r>
      <w:r w:rsidRPr="0041167F">
        <w:t>l management in recent years.</w:t>
      </w:r>
      <w:r>
        <w:rPr>
          <w:lang w:val="en-GB"/>
        </w:rPr>
        <w:t xml:space="preserve"> The committee noted that the population in the UK chart review may not be representative of people who would be eligible for </w:t>
      </w:r>
      <w:r w:rsidRPr="000D02CF">
        <w:rPr>
          <w:lang w:val="en-GB"/>
        </w:rPr>
        <w:t>betibeglogene autotemcel</w:t>
      </w:r>
      <w:r>
        <w:rPr>
          <w:lang w:val="en-GB"/>
        </w:rPr>
        <w:t>. It concluded that this meant the utilities sourced from the full chart review population may not be suitable for decision making.</w:t>
      </w:r>
    </w:p>
    <w:p w14:paraId="25E70E93" w14:textId="77777777" w:rsidR="00715F07" w:rsidRPr="00E54949" w:rsidRDefault="00715F07" w:rsidP="00715F07">
      <w:pPr>
        <w:pStyle w:val="Numberedlevel2text"/>
        <w:numPr>
          <w:ilvl w:val="0"/>
          <w:numId w:val="0"/>
        </w:numPr>
        <w:spacing w:before="240" w:after="60"/>
        <w:rPr>
          <w:rStyle w:val="Heading3Char"/>
        </w:rPr>
      </w:pPr>
      <w:r w:rsidRPr="008F0EE7">
        <w:rPr>
          <w:rStyle w:val="Heading3Char"/>
        </w:rPr>
        <w:t>Utilities from</w:t>
      </w:r>
      <w:r>
        <w:rPr>
          <w:rStyle w:val="Heading3Char"/>
          <w:lang w:val="en-GB"/>
        </w:rPr>
        <w:t xml:space="preserve"> a</w:t>
      </w:r>
      <w:r w:rsidRPr="008F0EE7">
        <w:rPr>
          <w:rStyle w:val="Heading3Char"/>
        </w:rPr>
        <w:t xml:space="preserve"> subsection of the chart review population </w:t>
      </w:r>
      <w:r>
        <w:rPr>
          <w:rStyle w:val="Heading3Char"/>
          <w:lang w:val="en-GB"/>
        </w:rPr>
        <w:t>are</w:t>
      </w:r>
      <w:r w:rsidRPr="008F0EE7">
        <w:rPr>
          <w:rStyle w:val="Heading3Char"/>
        </w:rPr>
        <w:t xml:space="preserve"> more comparable to the clinical trials</w:t>
      </w:r>
    </w:p>
    <w:p w14:paraId="2C26D527" w14:textId="77777777" w:rsidR="00715F07" w:rsidRDefault="00715F07" w:rsidP="00715F07">
      <w:pPr>
        <w:pStyle w:val="Numberedlevel2text"/>
        <w:numPr>
          <w:ilvl w:val="1"/>
          <w:numId w:val="1"/>
        </w:numPr>
      </w:pPr>
      <w:r w:rsidRPr="006B2ED8">
        <w:lastRenderedPageBreak/>
        <w:t>The</w:t>
      </w:r>
      <w:r>
        <w:t xml:space="preserve"> ERG did </w:t>
      </w:r>
      <w:r w:rsidRPr="00E11059">
        <w:t>a</w:t>
      </w:r>
      <w:r w:rsidRPr="00854D4B">
        <w:t xml:space="preserve"> </w:t>
      </w:r>
      <w:r w:rsidRPr="000F765B">
        <w:t>re</w:t>
      </w:r>
      <w:r w:rsidRPr="006B2ED8">
        <w:t>analysis of the</w:t>
      </w:r>
      <w:r w:rsidRPr="000F765B">
        <w:t xml:space="preserve"> chart</w:t>
      </w:r>
      <w:r>
        <w:t xml:space="preserve"> review</w:t>
      </w:r>
      <w:r w:rsidRPr="000F765B">
        <w:t xml:space="preserve"> data</w:t>
      </w:r>
      <w:r>
        <w:t>. This</w:t>
      </w:r>
      <w:r w:rsidRPr="006B2ED8">
        <w:t xml:space="preserve"> include</w:t>
      </w:r>
      <w:r>
        <w:t>d</w:t>
      </w:r>
      <w:r w:rsidRPr="00E11059">
        <w:t xml:space="preserve"> </w:t>
      </w:r>
      <w:r w:rsidRPr="006B2ED8">
        <w:t xml:space="preserve">people with TDT </w:t>
      </w:r>
      <w:r w:rsidRPr="000F765B">
        <w:t>aged 12</w:t>
      </w:r>
      <w:r w:rsidRPr="00E11059">
        <w:t> </w:t>
      </w:r>
      <w:r w:rsidRPr="006B2ED8">
        <w:t>to 35 years to match the trial population</w:t>
      </w:r>
      <w:r>
        <w:t>. It</w:t>
      </w:r>
      <w:r w:rsidRPr="006B2ED8">
        <w:t xml:space="preserve"> exclude</w:t>
      </w:r>
      <w:r>
        <w:t>d</w:t>
      </w:r>
      <w:r w:rsidRPr="00E11059">
        <w:t xml:space="preserve"> people</w:t>
      </w:r>
      <w:r w:rsidRPr="006B2ED8">
        <w:t xml:space="preserve"> with existing comorbidities that were already separately considered in the modelling. The ERG pointed out that this resulted in a higher </w:t>
      </w:r>
      <w:r w:rsidRPr="000F765B">
        <w:t xml:space="preserve">mean utility </w:t>
      </w:r>
      <w:r w:rsidRPr="006B2ED8">
        <w:t>than that of the complete chart</w:t>
      </w:r>
      <w:r>
        <w:t xml:space="preserve"> </w:t>
      </w:r>
      <w:r w:rsidRPr="006B2ED8">
        <w:t>review population. It p</w:t>
      </w:r>
      <w:r w:rsidRPr="000F765B">
        <w:t>refer</w:t>
      </w:r>
      <w:r w:rsidRPr="00E11059">
        <w:t xml:space="preserve">red </w:t>
      </w:r>
      <w:r w:rsidRPr="000F765B">
        <w:t>to use this util</w:t>
      </w:r>
      <w:r w:rsidRPr="0041167F">
        <w:t>ity</w:t>
      </w:r>
      <w:r w:rsidRPr="00EE2F77">
        <w:t xml:space="preserve"> value</w:t>
      </w:r>
      <w:r w:rsidRPr="000F765B">
        <w:t xml:space="preserve"> for the transfusion-dependent state in the mo</w:t>
      </w:r>
      <w:r w:rsidRPr="0041167F">
        <w:t>de</w:t>
      </w:r>
      <w:r>
        <w:t>l</w:t>
      </w:r>
      <w:r w:rsidRPr="00E11059">
        <w:t xml:space="preserve">. This was </w:t>
      </w:r>
      <w:r w:rsidRPr="00854D4B">
        <w:t>because</w:t>
      </w:r>
      <w:r w:rsidRPr="006B2ED8">
        <w:t xml:space="preserve"> it was </w:t>
      </w:r>
      <w:r w:rsidRPr="000F765B">
        <w:t xml:space="preserve">more comparable to </w:t>
      </w:r>
      <w:r w:rsidRPr="00E11059">
        <w:t xml:space="preserve">the </w:t>
      </w:r>
      <w:r w:rsidRPr="000F765B">
        <w:t xml:space="preserve">baseline value for </w:t>
      </w:r>
      <w:r w:rsidRPr="006B2ED8">
        <w:t>people</w:t>
      </w:r>
      <w:r w:rsidRPr="000F765B">
        <w:t xml:space="preserve"> </w:t>
      </w:r>
      <w:r w:rsidRPr="0041167F">
        <w:t xml:space="preserve">in the trials, and to </w:t>
      </w:r>
      <w:r w:rsidRPr="00E11059">
        <w:t xml:space="preserve">the </w:t>
      </w:r>
      <w:r w:rsidRPr="000F765B">
        <w:t xml:space="preserve">population who might be eligible for treatment </w:t>
      </w:r>
      <w:r w:rsidRPr="00E11059">
        <w:t xml:space="preserve">with </w:t>
      </w:r>
      <w:r w:rsidRPr="00854D4B">
        <w:t xml:space="preserve">betibeglogene autotemcel </w:t>
      </w:r>
      <w:r w:rsidRPr="000F765B">
        <w:t xml:space="preserve">in </w:t>
      </w:r>
      <w:r w:rsidRPr="00E11059">
        <w:t xml:space="preserve">clinical </w:t>
      </w:r>
      <w:r w:rsidRPr="000F765B">
        <w:t xml:space="preserve">practice. </w:t>
      </w:r>
      <w:r w:rsidRPr="006B2ED8">
        <w:t xml:space="preserve">The ERG </w:t>
      </w:r>
      <w:r>
        <w:t xml:space="preserve">also </w:t>
      </w:r>
      <w:r w:rsidRPr="00E11059">
        <w:t>conside</w:t>
      </w:r>
      <w:r w:rsidRPr="00854D4B">
        <w:t xml:space="preserve">red that utilities </w:t>
      </w:r>
      <w:r w:rsidRPr="006B2ED8">
        <w:t>from the chart review were not the most appropriate representation of HRQoL associated with TDT at baseline. This was because there were 2 sources of EQ</w:t>
      </w:r>
      <w:r w:rsidRPr="006B2ED8">
        <w:noBreakHyphen/>
        <w:t xml:space="preserve">5D data available that were collected directly from people with TDT. The ERG thought it was </w:t>
      </w:r>
      <w:r>
        <w:t>un</w:t>
      </w:r>
      <w:r w:rsidRPr="00E11059">
        <w:t>reasonable for company to dismiss both these patient-derived values as unrealist</w:t>
      </w:r>
      <w:r w:rsidRPr="00854D4B">
        <w:t>ic</w:t>
      </w:r>
      <w:r w:rsidRPr="006B2ED8">
        <w:t>. They already represent</w:t>
      </w:r>
      <w:r>
        <w:t>ed</w:t>
      </w:r>
      <w:r w:rsidRPr="00E11059">
        <w:t xml:space="preserve"> </w:t>
      </w:r>
      <w:r>
        <w:t xml:space="preserve">a </w:t>
      </w:r>
      <w:r w:rsidRPr="006B2ED8">
        <w:t xml:space="preserve">substantial utility decrement of </w:t>
      </w:r>
      <w:r>
        <w:t>about</w:t>
      </w:r>
      <w:r w:rsidRPr="00E11059">
        <w:t xml:space="preserve"> </w:t>
      </w:r>
      <w:r w:rsidRPr="00854D4B">
        <w:t xml:space="preserve">0.1 compared </w:t>
      </w:r>
      <w:r>
        <w:t>with</w:t>
      </w:r>
      <w:r w:rsidRPr="00E11059">
        <w:t xml:space="preserve"> </w:t>
      </w:r>
      <w:r w:rsidRPr="00854D4B">
        <w:t xml:space="preserve">general population values for </w:t>
      </w:r>
      <w:r w:rsidRPr="006B2ED8">
        <w:t>the age group</w:t>
      </w:r>
      <w:r>
        <w:t>. So</w:t>
      </w:r>
      <w:r w:rsidRPr="00E11059">
        <w:t xml:space="preserve">, </w:t>
      </w:r>
      <w:r>
        <w:t>they</w:t>
      </w:r>
      <w:r w:rsidRPr="00E11059">
        <w:t xml:space="preserve"> </w:t>
      </w:r>
      <w:r w:rsidRPr="00854D4B">
        <w:t>m</w:t>
      </w:r>
      <w:r w:rsidRPr="006B2ED8">
        <w:t xml:space="preserve">ay </w:t>
      </w:r>
      <w:r>
        <w:t xml:space="preserve">have </w:t>
      </w:r>
      <w:r w:rsidRPr="00E11059">
        <w:t xml:space="preserve">already </w:t>
      </w:r>
      <w:r w:rsidRPr="00854D4B">
        <w:t>incorporate</w:t>
      </w:r>
      <w:r>
        <w:t>d</w:t>
      </w:r>
      <w:r w:rsidRPr="00E11059">
        <w:t xml:space="preserve"> a</w:t>
      </w:r>
      <w:r w:rsidRPr="00854D4B">
        <w:t xml:space="preserve"> reduced baseline </w:t>
      </w:r>
      <w:r w:rsidRPr="006B2ED8">
        <w:t xml:space="preserve">utility score compared </w:t>
      </w:r>
      <w:r>
        <w:t>with</w:t>
      </w:r>
      <w:r w:rsidRPr="00E11059">
        <w:t xml:space="preserve"> </w:t>
      </w:r>
      <w:r w:rsidRPr="00854D4B">
        <w:t xml:space="preserve">the </w:t>
      </w:r>
      <w:r w:rsidRPr="006B2ED8">
        <w:t>general population. The company</w:t>
      </w:r>
      <w:r>
        <w:rPr>
          <w:lang w:val="en-GB"/>
        </w:rPr>
        <w:t xml:space="preserve"> countered</w:t>
      </w:r>
      <w:r w:rsidRPr="00E11059">
        <w:t xml:space="preserve"> </w:t>
      </w:r>
      <w:r w:rsidRPr="00854D4B">
        <w:t xml:space="preserve">that </w:t>
      </w:r>
      <w:r w:rsidRPr="006B2ED8">
        <w:t>people with TDT and their families are fully aware of the natural history of the condition and its potential effect on future quality of life. It thought that this would likely be a motivating factor for seeking gene therapy, rather than indicating the current disease burden on their health and wellbeing.</w:t>
      </w:r>
      <w:r>
        <w:rPr>
          <w:lang w:val="en-GB"/>
        </w:rPr>
        <w:t xml:space="preserve"> The committee considered that the utilities from the ERG’s reanalysis of the chart review data better matched the clinical trials.</w:t>
      </w:r>
    </w:p>
    <w:p w14:paraId="68CBF209" w14:textId="77777777" w:rsidR="00715F07" w:rsidRPr="00057969" w:rsidRDefault="00715F07" w:rsidP="00715F07">
      <w:pPr>
        <w:pStyle w:val="Heading3"/>
      </w:pPr>
      <w:r>
        <w:t>Utility values should be taken from a population that matches the clinical-effectiveness population</w:t>
      </w:r>
    </w:p>
    <w:p w14:paraId="73113E4D" w14:textId="77777777" w:rsidR="00715F07" w:rsidRPr="000F765B" w:rsidRDefault="00715F07" w:rsidP="00715F07">
      <w:pPr>
        <w:pStyle w:val="Numberedlevel2text"/>
        <w:numPr>
          <w:ilvl w:val="1"/>
          <w:numId w:val="1"/>
        </w:numPr>
      </w:pPr>
      <w:r>
        <w:rPr>
          <w:lang w:val="en-GB"/>
        </w:rPr>
        <w:t>The company proposed 1 </w:t>
      </w:r>
      <w:r w:rsidRPr="0098629A">
        <w:t xml:space="preserve">reason why using the baseline values in the trial may </w:t>
      </w:r>
      <w:r>
        <w:rPr>
          <w:lang w:val="en-GB"/>
        </w:rPr>
        <w:t xml:space="preserve">have </w:t>
      </w:r>
      <w:r w:rsidRPr="0098629A">
        <w:t>underestimate</w:t>
      </w:r>
      <w:r>
        <w:rPr>
          <w:lang w:val="en-GB"/>
        </w:rPr>
        <w:t>d</w:t>
      </w:r>
      <w:r w:rsidRPr="0098629A">
        <w:t xml:space="preserve"> the utility gain </w:t>
      </w:r>
      <w:r>
        <w:rPr>
          <w:lang w:val="en-GB"/>
        </w:rPr>
        <w:t>from</w:t>
      </w:r>
      <w:r w:rsidRPr="0098629A">
        <w:t xml:space="preserve"> betibeglogene autotemcel</w:t>
      </w:r>
      <w:r>
        <w:rPr>
          <w:lang w:val="en-GB"/>
        </w:rPr>
        <w:t>. This</w:t>
      </w:r>
      <w:r w:rsidRPr="0098629A">
        <w:t xml:space="preserve"> </w:t>
      </w:r>
      <w:r>
        <w:rPr>
          <w:lang w:val="en-GB"/>
        </w:rPr>
        <w:t>was that people with TDT have</w:t>
      </w:r>
      <w:r w:rsidRPr="0098629A">
        <w:t xml:space="preserve"> a degree of adaptation</w:t>
      </w:r>
      <w:r>
        <w:rPr>
          <w:lang w:val="en-GB"/>
        </w:rPr>
        <w:t xml:space="preserve"> to</w:t>
      </w:r>
      <w:r w:rsidRPr="0098629A">
        <w:t xml:space="preserve">, acceptance of or </w:t>
      </w:r>
      <w:r>
        <w:rPr>
          <w:lang w:val="en-GB"/>
        </w:rPr>
        <w:t>trying to keep a positive outlook</w:t>
      </w:r>
      <w:r w:rsidRPr="0098629A">
        <w:t xml:space="preserve"> with the condition</w:t>
      </w:r>
      <w:r>
        <w:rPr>
          <w:lang w:val="en-GB"/>
        </w:rPr>
        <w:t xml:space="preserve">. So, </w:t>
      </w:r>
      <w:r>
        <w:rPr>
          <w:lang w:val="en-GB"/>
        </w:rPr>
        <w:lastRenderedPageBreak/>
        <w:t>the</w:t>
      </w:r>
      <w:r w:rsidRPr="006B2ED8">
        <w:t xml:space="preserve"> committee considered a possible approach of </w:t>
      </w:r>
      <w:r>
        <w:rPr>
          <w:lang w:val="en-GB"/>
        </w:rPr>
        <w:t>looking at patient experience</w:t>
      </w:r>
      <w:r w:rsidRPr="006B2ED8">
        <w:t xml:space="preserve"> from before and after HSCT </w:t>
      </w:r>
      <w:r>
        <w:rPr>
          <w:lang w:val="en-GB"/>
        </w:rPr>
        <w:t>to gain insights into how much</w:t>
      </w:r>
      <w:bookmarkStart w:id="6" w:name="_Hlk61834266"/>
      <w:r>
        <w:rPr>
          <w:lang w:val="en-GB"/>
        </w:rPr>
        <w:t xml:space="preserve"> </w:t>
      </w:r>
      <w:r w:rsidRPr="006B2ED8">
        <w:t>betibeglogene autotemcel</w:t>
      </w:r>
      <w:bookmarkEnd w:id="6"/>
      <w:r>
        <w:rPr>
          <w:lang w:val="en-GB"/>
        </w:rPr>
        <w:t xml:space="preserve"> might improve HRQoL</w:t>
      </w:r>
      <w:r w:rsidRPr="006B2ED8">
        <w:t xml:space="preserve">. However, </w:t>
      </w:r>
      <w:r>
        <w:t xml:space="preserve">the </w:t>
      </w:r>
      <w:r w:rsidRPr="00E11059">
        <w:t xml:space="preserve">clinical experts explained that </w:t>
      </w:r>
      <w:r w:rsidRPr="00854D4B">
        <w:t>the</w:t>
      </w:r>
      <w:r w:rsidRPr="006B2ED8">
        <w:t>y do not see people who have had successful HSCT in their day-to-day practice because they are effectively cured</w:t>
      </w:r>
      <w:r>
        <w:rPr>
          <w:lang w:val="en-GB"/>
        </w:rPr>
        <w:t>. This meant that the committee was unable to get any insight on this</w:t>
      </w:r>
      <w:r w:rsidRPr="006B2ED8">
        <w:t xml:space="preserve">. A patient expert outlined the effect of graft versus host disease and specific skin concerns in the population who have HSCT, which would not occur with betibeglogene autotemcel. Therefore, this proxy approach would not give accurate utility values for people with TDT before and after betibeglogene autotemcel treatment. The committee </w:t>
      </w:r>
      <w:r>
        <w:rPr>
          <w:lang w:val="en-GB"/>
        </w:rPr>
        <w:t>considered that</w:t>
      </w:r>
      <w:r w:rsidRPr="006B2ED8">
        <w:t xml:space="preserve"> the company’s preferred utility decrement was too large</w:t>
      </w:r>
      <w:r w:rsidRPr="000D02CF">
        <w:rPr>
          <w:lang w:val="en-GB"/>
        </w:rPr>
        <w:t xml:space="preserve"> </w:t>
      </w:r>
      <w:r>
        <w:rPr>
          <w:lang w:val="en-GB"/>
        </w:rPr>
        <w:t>(see section 3.8).</w:t>
      </w:r>
      <w:r w:rsidRPr="006B2ED8">
        <w:t xml:space="preserve"> It concluded that the ERG’s approach</w:t>
      </w:r>
      <w:r>
        <w:rPr>
          <w:lang w:val="en-GB"/>
        </w:rPr>
        <w:t xml:space="preserve"> (see section 3.9)</w:t>
      </w:r>
      <w:r>
        <w:t>,</w:t>
      </w:r>
      <w:r w:rsidRPr="006B2ED8">
        <w:t xml:space="preserve"> using utility data from people aged 12 to 35 years (as in the trial) who are fit enough to have betibeglogene autotemcel</w:t>
      </w:r>
      <w:r>
        <w:t>,</w:t>
      </w:r>
      <w:r w:rsidRPr="006B2ED8">
        <w:t xml:space="preserve"> should have been used in the modelling</w:t>
      </w:r>
      <w:r w:rsidRPr="00E11059">
        <w:t>.</w:t>
      </w:r>
    </w:p>
    <w:p w14:paraId="778FF38D" w14:textId="77777777" w:rsidR="00715F07" w:rsidRDefault="00715F07" w:rsidP="00715F07">
      <w:pPr>
        <w:pStyle w:val="Heading3"/>
      </w:pPr>
      <w:r>
        <w:t>The clinical-effectiveness data and utility data in the company’s model comes from populations with different age ranges</w:t>
      </w:r>
    </w:p>
    <w:p w14:paraId="687F517F" w14:textId="77777777" w:rsidR="00715F07" w:rsidRDefault="00715F07" w:rsidP="00715F07">
      <w:pPr>
        <w:pStyle w:val="Numberedlevel2text"/>
        <w:numPr>
          <w:ilvl w:val="1"/>
          <w:numId w:val="1"/>
        </w:numPr>
        <w:rPr>
          <w:lang w:val="en-GB"/>
        </w:rPr>
      </w:pPr>
      <w:r w:rsidRPr="00E11059">
        <w:rPr>
          <w:lang w:val="en-GB"/>
        </w:rPr>
        <w:t>T</w:t>
      </w:r>
      <w:r>
        <w:t>he marketing authorisation for</w:t>
      </w:r>
      <w:r w:rsidRPr="00F90A8E">
        <w:t xml:space="preserve"> betibeglogene autotemcel includes people 12</w:t>
      </w:r>
      <w:r w:rsidRPr="00E11059">
        <w:rPr>
          <w:lang w:val="en-GB"/>
        </w:rPr>
        <w:t> </w:t>
      </w:r>
      <w:r w:rsidRPr="00F90A8E">
        <w:t>years</w:t>
      </w:r>
      <w:r>
        <w:t xml:space="preserve"> and older.</w:t>
      </w:r>
      <w:r w:rsidRPr="00280138">
        <w:t xml:space="preserve"> </w:t>
      </w:r>
      <w:r>
        <w:t>In the company submission, o</w:t>
      </w:r>
      <w:r w:rsidRPr="00F90A8E">
        <w:t xml:space="preserve">nly </w:t>
      </w:r>
      <w:r w:rsidRPr="00E11059">
        <w:rPr>
          <w:lang w:val="en-GB"/>
        </w:rPr>
        <w:t>people</w:t>
      </w:r>
      <w:r w:rsidRPr="00F90A8E">
        <w:t xml:space="preserve"> 3</w:t>
      </w:r>
      <w:r w:rsidRPr="00E11059">
        <w:rPr>
          <w:lang w:val="en-GB"/>
        </w:rPr>
        <w:t>5</w:t>
      </w:r>
      <w:r w:rsidRPr="00854D4B">
        <w:rPr>
          <w:lang w:val="en-GB"/>
        </w:rPr>
        <w:t> </w:t>
      </w:r>
      <w:r w:rsidRPr="0045267E">
        <w:rPr>
          <w:bCs w:val="0"/>
          <w:iCs w:val="0"/>
        </w:rPr>
        <w:t>years</w:t>
      </w:r>
      <w:r>
        <w:rPr>
          <w:bCs w:val="0"/>
          <w:iCs w:val="0"/>
          <w:lang w:val="en-GB"/>
        </w:rPr>
        <w:t xml:space="preserve"> or younger</w:t>
      </w:r>
      <w:r w:rsidRPr="00F90A8E">
        <w:t xml:space="preserve"> </w:t>
      </w:r>
      <w:r>
        <w:t>were</w:t>
      </w:r>
      <w:r w:rsidRPr="00F90A8E">
        <w:t xml:space="preserve"> included in </w:t>
      </w:r>
      <w:r>
        <w:rPr>
          <w:lang w:val="en-GB"/>
        </w:rPr>
        <w:t xml:space="preserve">the </w:t>
      </w:r>
      <w:r w:rsidRPr="00E11059">
        <w:rPr>
          <w:lang w:val="en-GB"/>
        </w:rPr>
        <w:t>clinical</w:t>
      </w:r>
      <w:r>
        <w:rPr>
          <w:lang w:val="en-GB"/>
        </w:rPr>
        <w:t>-</w:t>
      </w:r>
      <w:r w:rsidRPr="00E11059">
        <w:rPr>
          <w:lang w:val="en-GB"/>
        </w:rPr>
        <w:t>effectiveness</w:t>
      </w:r>
      <w:r w:rsidRPr="00F90A8E">
        <w:t xml:space="preserve"> population (</w:t>
      </w:r>
      <w:r w:rsidRPr="00E11059">
        <w:rPr>
          <w:lang w:val="en-GB"/>
        </w:rPr>
        <w:t>that is, peo</w:t>
      </w:r>
      <w:r w:rsidRPr="00854D4B">
        <w:rPr>
          <w:lang w:val="en-GB"/>
        </w:rPr>
        <w:t>ple wit</w:t>
      </w:r>
      <w:r w:rsidRPr="0045267E">
        <w:rPr>
          <w:bCs w:val="0"/>
          <w:iCs w:val="0"/>
        </w:rPr>
        <w:t>h</w:t>
      </w:r>
      <w:r w:rsidRPr="00F90A8E">
        <w:t xml:space="preserve"> evaluable </w:t>
      </w:r>
      <w:r w:rsidRPr="00E11059">
        <w:rPr>
          <w:lang w:val="en-GB"/>
        </w:rPr>
        <w:t>dat</w:t>
      </w:r>
      <w:r w:rsidRPr="00854D4B">
        <w:rPr>
          <w:lang w:val="en-GB"/>
        </w:rPr>
        <w:t xml:space="preserve">a </w:t>
      </w:r>
      <w:r w:rsidRPr="00F90A8E">
        <w:t>for TI from HGB</w:t>
      </w:r>
      <w:r>
        <w:noBreakHyphen/>
      </w:r>
      <w:r w:rsidRPr="00F90A8E">
        <w:t xml:space="preserve">204, </w:t>
      </w:r>
      <w:r>
        <w:t>HGB</w:t>
      </w:r>
      <w:r>
        <w:noBreakHyphen/>
      </w:r>
      <w:r w:rsidRPr="00F90A8E">
        <w:t xml:space="preserve">205 and </w:t>
      </w:r>
      <w:r>
        <w:t>HGB</w:t>
      </w:r>
      <w:r>
        <w:noBreakHyphen/>
      </w:r>
      <w:r w:rsidRPr="00F90A8E">
        <w:t>207</w:t>
      </w:r>
      <w:r>
        <w:t>)</w:t>
      </w:r>
      <w:r w:rsidRPr="00E11059">
        <w:rPr>
          <w:lang w:val="en-GB"/>
        </w:rPr>
        <w:t>.</w:t>
      </w:r>
      <w:r>
        <w:rPr>
          <w:lang w:val="en-GB"/>
        </w:rPr>
        <w:t xml:space="preserve"> </w:t>
      </w:r>
      <w:r w:rsidRPr="00E11059">
        <w:rPr>
          <w:lang w:val="en-GB"/>
        </w:rPr>
        <w:t>In HGB</w:t>
      </w:r>
      <w:r w:rsidRPr="00854D4B">
        <w:rPr>
          <w:lang w:val="en-GB"/>
        </w:rPr>
        <w:noBreakHyphen/>
      </w:r>
      <w:r w:rsidRPr="0045267E">
        <w:rPr>
          <w:bCs w:val="0"/>
          <w:iCs w:val="0"/>
        </w:rPr>
        <w:t>204 and HGB</w:t>
      </w:r>
      <w:r w:rsidRPr="0045267E">
        <w:rPr>
          <w:bCs w:val="0"/>
          <w:iCs w:val="0"/>
        </w:rPr>
        <w:noBreakHyphen/>
        <w:t>205, the protocol</w:t>
      </w:r>
      <w:r>
        <w:rPr>
          <w:bCs w:val="0"/>
          <w:iCs w:val="0"/>
          <w:lang w:val="en-GB"/>
        </w:rPr>
        <w:t>s</w:t>
      </w:r>
      <w:r w:rsidRPr="0045267E">
        <w:rPr>
          <w:bCs w:val="0"/>
          <w:iCs w:val="0"/>
        </w:rPr>
        <w:t xml:space="preserve"> </w:t>
      </w:r>
      <w:r>
        <w:rPr>
          <w:bCs w:val="0"/>
          <w:iCs w:val="0"/>
          <w:lang w:val="en-GB"/>
        </w:rPr>
        <w:t>meant people in the trials could be no older than 35 years</w:t>
      </w:r>
      <w:r w:rsidRPr="0045267E">
        <w:rPr>
          <w:bCs w:val="0"/>
          <w:iCs w:val="0"/>
        </w:rPr>
        <w:t>.</w:t>
      </w:r>
      <w:r>
        <w:rPr>
          <w:bCs w:val="0"/>
          <w:iCs w:val="0"/>
          <w:lang w:val="en-GB"/>
        </w:rPr>
        <w:t xml:space="preserve"> </w:t>
      </w:r>
      <w:r>
        <w:t>The company explained that the population</w:t>
      </w:r>
      <w:r w:rsidDel="000A6909">
        <w:t xml:space="preserve"> </w:t>
      </w:r>
      <w:r w:rsidRPr="00E11059">
        <w:rPr>
          <w:lang w:val="en-GB"/>
        </w:rPr>
        <w:t xml:space="preserve">of </w:t>
      </w:r>
      <w:r>
        <w:t>12</w:t>
      </w:r>
      <w:r w:rsidRPr="00E11059">
        <w:rPr>
          <w:lang w:val="en-GB"/>
        </w:rPr>
        <w:t> to</w:t>
      </w:r>
      <w:r>
        <w:t xml:space="preserve"> 3</w:t>
      </w:r>
      <w:r w:rsidRPr="00E11059">
        <w:rPr>
          <w:lang w:val="en-GB"/>
        </w:rPr>
        <w:t>4 </w:t>
      </w:r>
      <w:r>
        <w:t>year</w:t>
      </w:r>
      <w:r>
        <w:rPr>
          <w:lang w:val="en-GB"/>
        </w:rPr>
        <w:t xml:space="preserve"> old</w:t>
      </w:r>
      <w:r>
        <w:t>s</w:t>
      </w:r>
      <w:r w:rsidRPr="00F90A8E">
        <w:t xml:space="preserve"> was chosen for the</w:t>
      </w:r>
      <w:r>
        <w:rPr>
          <w:lang w:val="en-GB"/>
        </w:rPr>
        <w:t>ir model</w:t>
      </w:r>
      <w:r w:rsidRPr="00F90A8E">
        <w:t xml:space="preserve"> base case to reflect a cohort of </w:t>
      </w:r>
      <w:r w:rsidRPr="00E11059">
        <w:rPr>
          <w:lang w:val="en-GB"/>
        </w:rPr>
        <w:t>people</w:t>
      </w:r>
      <w:r w:rsidRPr="00F90A8E">
        <w:t xml:space="preserve"> </w:t>
      </w:r>
      <w:r w:rsidRPr="00E11059">
        <w:rPr>
          <w:lang w:val="en-GB"/>
        </w:rPr>
        <w:t>wanting to have</w:t>
      </w:r>
      <w:r w:rsidRPr="00F90A8E">
        <w:t xml:space="preserve"> a gene therapy</w:t>
      </w:r>
      <w:r>
        <w:t>. However, the</w:t>
      </w:r>
      <w:r w:rsidRPr="009A2E73">
        <w:t xml:space="preserve"> company’s UK chart review</w:t>
      </w:r>
      <w:r>
        <w:rPr>
          <w:lang w:val="en-GB"/>
        </w:rPr>
        <w:t>, which it used for utility data,</w:t>
      </w:r>
      <w:r w:rsidRPr="009A2E73">
        <w:t xml:space="preserve"> included people younger than </w:t>
      </w:r>
      <w:r>
        <w:t>12</w:t>
      </w:r>
      <w:r w:rsidRPr="00E11059">
        <w:rPr>
          <w:lang w:val="en-GB"/>
        </w:rPr>
        <w:t> years</w:t>
      </w:r>
      <w:r>
        <w:rPr>
          <w:lang w:val="en-GB"/>
        </w:rPr>
        <w:t xml:space="preserve"> (which did not match the marketing authorisation). Also</w:t>
      </w:r>
      <w:r>
        <w:t xml:space="preserve">, a large proportion of people with TDT in the review were </w:t>
      </w:r>
      <w:r>
        <w:rPr>
          <w:lang w:val="en-GB"/>
        </w:rPr>
        <w:t>over 35 years (which did not match the company’s base case or clinical-effectiveness population).</w:t>
      </w:r>
      <w:r>
        <w:t xml:space="preserve"> </w:t>
      </w:r>
      <w:r w:rsidRPr="00E11059">
        <w:rPr>
          <w:lang w:val="en-GB"/>
        </w:rPr>
        <w:t>The company just</w:t>
      </w:r>
      <w:r w:rsidRPr="00854D4B">
        <w:rPr>
          <w:lang w:val="en-GB"/>
        </w:rPr>
        <w:t xml:space="preserve">ified </w:t>
      </w:r>
      <w:r w:rsidRPr="0045267E">
        <w:rPr>
          <w:bCs w:val="0"/>
          <w:iCs w:val="0"/>
        </w:rPr>
        <w:t xml:space="preserve">this by explaining that </w:t>
      </w:r>
      <w:r w:rsidRPr="0045267E">
        <w:rPr>
          <w:bCs w:val="0"/>
          <w:iCs w:val="0"/>
        </w:rPr>
        <w:lastRenderedPageBreak/>
        <w:t>age is not a variable that determines eligibility for treatment</w:t>
      </w:r>
      <w:r>
        <w:rPr>
          <w:bCs w:val="0"/>
          <w:iCs w:val="0"/>
          <w:lang w:val="en-GB"/>
        </w:rPr>
        <w:t>,</w:t>
      </w:r>
      <w:r w:rsidRPr="0045267E">
        <w:rPr>
          <w:bCs w:val="0"/>
          <w:iCs w:val="0"/>
        </w:rPr>
        <w:t xml:space="preserve"> and the marketing authorisation does not state an upper age limit for treatment.</w:t>
      </w:r>
      <w:r w:rsidRPr="00F05865">
        <w:rPr>
          <w:lang w:val="en-GB"/>
        </w:rPr>
        <w:t xml:space="preserve"> </w:t>
      </w:r>
      <w:r>
        <w:rPr>
          <w:bCs w:val="0"/>
          <w:iCs w:val="0"/>
          <w:lang w:val="en-GB"/>
        </w:rPr>
        <w:t>The committee noted the discrepancies between the population in the full UK chart review and the clinical-effectiveness evidence population.</w:t>
      </w:r>
    </w:p>
    <w:p w14:paraId="776656EA" w14:textId="77777777" w:rsidR="00715F07" w:rsidRDefault="00715F07" w:rsidP="00715F07">
      <w:pPr>
        <w:pStyle w:val="Heading3"/>
      </w:pPr>
      <w:r>
        <w:t xml:space="preserve">The </w:t>
      </w:r>
      <w:r w:rsidRPr="00280138">
        <w:t>population characteristics for the utility data from the company’s UK chart review should match those of the clinical</w:t>
      </w:r>
      <w:r>
        <w:t>-</w:t>
      </w:r>
      <w:r w:rsidRPr="00280138">
        <w:t>effectiveness population</w:t>
      </w:r>
    </w:p>
    <w:p w14:paraId="2C2150C9" w14:textId="77777777" w:rsidR="00715F07" w:rsidRPr="004C6F99" w:rsidRDefault="00715F07" w:rsidP="00715F07">
      <w:pPr>
        <w:pStyle w:val="Numberedlevel2text"/>
        <w:numPr>
          <w:ilvl w:val="1"/>
          <w:numId w:val="1"/>
        </w:numPr>
      </w:pPr>
      <w:r w:rsidRPr="00854D4B">
        <w:rPr>
          <w:lang w:val="en-GB"/>
        </w:rPr>
        <w:t xml:space="preserve">The ERG considered that the full </w:t>
      </w:r>
      <w:r w:rsidRPr="000661D8">
        <w:rPr>
          <w:bCs w:val="0"/>
          <w:iCs w:val="0"/>
        </w:rPr>
        <w:t>chart review included people who would not be eligible for betibeglogene autotemcel. It highlighted that the company resubmitted its analysis using a distribution of chelation therapies that had been age-matched to the clinical trials</w:t>
      </w:r>
      <w:r>
        <w:rPr>
          <w:bCs w:val="0"/>
          <w:iCs w:val="0"/>
          <w:lang w:val="en-GB"/>
        </w:rPr>
        <w:t>,</w:t>
      </w:r>
      <w:r w:rsidRPr="000661D8">
        <w:rPr>
          <w:bCs w:val="0"/>
          <w:iCs w:val="0"/>
        </w:rPr>
        <w:t xml:space="preserve"> which resulted in a lower ICER</w:t>
      </w:r>
      <w:r>
        <w:rPr>
          <w:bCs w:val="0"/>
          <w:iCs w:val="0"/>
          <w:lang w:val="en-GB"/>
        </w:rPr>
        <w:t>.</w:t>
      </w:r>
      <w:r w:rsidRPr="000661D8">
        <w:rPr>
          <w:bCs w:val="0"/>
          <w:iCs w:val="0"/>
        </w:rPr>
        <w:t xml:space="preserve"> However, the company also maintained its previous position on the estimation of utilities (which, if changed, would result in a higher ICER). The ERG explained that data on quality of life and chelation treatment in the trials were more likely to reflect th</w:t>
      </w:r>
      <w:r>
        <w:rPr>
          <w:bCs w:val="0"/>
          <w:iCs w:val="0"/>
          <w:lang w:val="en-GB"/>
        </w:rPr>
        <w:t>e</w:t>
      </w:r>
      <w:r w:rsidRPr="000661D8">
        <w:rPr>
          <w:bCs w:val="0"/>
          <w:iCs w:val="0"/>
        </w:rPr>
        <w:t xml:space="preserve"> data from the younger population in the chart review. This was because everyone in the trials was younger than 35 years and because people 35 years or older are less likely to be fit enough to have</w:t>
      </w:r>
      <w:r w:rsidRPr="00985E29">
        <w:t xml:space="preserve"> </w:t>
      </w:r>
      <w:r w:rsidRPr="00854D4B">
        <w:rPr>
          <w:lang w:val="en-GB"/>
        </w:rPr>
        <w:t>betibeglogene autotemcel in clinical practice</w:t>
      </w:r>
      <w:r w:rsidRPr="000661D8">
        <w:rPr>
          <w:bCs w:val="0"/>
          <w:iCs w:val="0"/>
        </w:rPr>
        <w:t xml:space="preserve">. </w:t>
      </w:r>
      <w:r w:rsidRPr="0045267E">
        <w:rPr>
          <w:bCs w:val="0"/>
          <w:iCs w:val="0"/>
        </w:rPr>
        <w:t>The clinical experts thought that the therapy would be given in the UK before complications of TDT develop, which would most likely be before the age of 35 years.</w:t>
      </w:r>
      <w:r w:rsidRPr="00E11059">
        <w:rPr>
          <w:lang w:val="en-GB"/>
        </w:rPr>
        <w:t xml:space="preserve"> </w:t>
      </w:r>
      <w:r w:rsidRPr="000661D8">
        <w:rPr>
          <w:bCs w:val="0"/>
          <w:iCs w:val="0"/>
        </w:rPr>
        <w:t>The</w:t>
      </w:r>
      <w:r>
        <w:rPr>
          <w:bCs w:val="0"/>
          <w:iCs w:val="0"/>
          <w:lang w:val="en-GB"/>
        </w:rPr>
        <w:t xml:space="preserve">y </w:t>
      </w:r>
      <w:r w:rsidRPr="000661D8">
        <w:rPr>
          <w:bCs w:val="0"/>
          <w:iCs w:val="0"/>
        </w:rPr>
        <w:t>explained that</w:t>
      </w:r>
      <w:r>
        <w:rPr>
          <w:bCs w:val="0"/>
          <w:iCs w:val="0"/>
          <w:lang w:val="en-GB"/>
        </w:rPr>
        <w:t>, if the marketing authorisation were updated,</w:t>
      </w:r>
      <w:r w:rsidRPr="000661D8">
        <w:rPr>
          <w:bCs w:val="0"/>
          <w:iCs w:val="0"/>
        </w:rPr>
        <w:t xml:space="preserve"> they would favour using the treatment in children younger than 12 years, rather than young people aged 12 to 17 years. This was because they considered </w:t>
      </w:r>
      <w:r>
        <w:rPr>
          <w:bCs w:val="0"/>
          <w:iCs w:val="0"/>
          <w:lang w:val="en-GB"/>
        </w:rPr>
        <w:t>a</w:t>
      </w:r>
      <w:r w:rsidRPr="000661D8">
        <w:rPr>
          <w:bCs w:val="0"/>
          <w:iCs w:val="0"/>
        </w:rPr>
        <w:t xml:space="preserve"> younger age the most clinically favourable time for the treatment to be used. </w:t>
      </w:r>
      <w:r w:rsidRPr="00854D4B">
        <w:rPr>
          <w:lang w:val="en-GB"/>
        </w:rPr>
        <w:t xml:space="preserve">The committee understood that the </w:t>
      </w:r>
      <w:r>
        <w:rPr>
          <w:lang w:val="en-GB"/>
        </w:rPr>
        <w:t>company’s</w:t>
      </w:r>
      <w:r w:rsidRPr="00854D4B">
        <w:rPr>
          <w:lang w:val="en-GB"/>
        </w:rPr>
        <w:t xml:space="preserve"> </w:t>
      </w:r>
      <w:r w:rsidRPr="000661D8">
        <w:rPr>
          <w:lang w:val="en-GB"/>
        </w:rPr>
        <w:t xml:space="preserve">updated analysis used the </w:t>
      </w:r>
      <w:r>
        <w:t xml:space="preserve">lower age </w:t>
      </w:r>
      <w:r w:rsidRPr="000661D8">
        <w:rPr>
          <w:lang w:val="en-GB"/>
        </w:rPr>
        <w:t>range</w:t>
      </w:r>
      <w:r>
        <w:t xml:space="preserve"> for</w:t>
      </w:r>
      <w:r w:rsidRPr="00EB357D">
        <w:rPr>
          <w:lang w:val="en-GB"/>
        </w:rPr>
        <w:t xml:space="preserve"> </w:t>
      </w:r>
      <w:r>
        <w:t xml:space="preserve">chelation treatments, but not </w:t>
      </w:r>
      <w:r w:rsidRPr="00854D4B">
        <w:rPr>
          <w:lang w:val="en-GB"/>
        </w:rPr>
        <w:t>for utilities. The committee considered that</w:t>
      </w:r>
      <w:r>
        <w:rPr>
          <w:lang w:val="en-GB"/>
        </w:rPr>
        <w:t>,</w:t>
      </w:r>
      <w:r w:rsidRPr="00854D4B">
        <w:rPr>
          <w:lang w:val="en-GB"/>
        </w:rPr>
        <w:t xml:space="preserve"> f</w:t>
      </w:r>
      <w:r w:rsidRPr="000661D8">
        <w:rPr>
          <w:lang w:val="en-GB"/>
        </w:rPr>
        <w:t xml:space="preserve">or consistency, the same approach should be taken </w:t>
      </w:r>
      <w:r>
        <w:rPr>
          <w:lang w:val="en-GB"/>
        </w:rPr>
        <w:t>for both</w:t>
      </w:r>
      <w:r w:rsidRPr="00854D4B">
        <w:rPr>
          <w:lang w:val="en-GB"/>
        </w:rPr>
        <w:t>.</w:t>
      </w:r>
      <w:r>
        <w:t xml:space="preserve"> </w:t>
      </w:r>
      <w:r>
        <w:rPr>
          <w:lang w:val="en-GB"/>
        </w:rPr>
        <w:t>It concluded</w:t>
      </w:r>
      <w:r>
        <w:t xml:space="preserve"> that the population </w:t>
      </w:r>
      <w:r w:rsidRPr="00854D4B">
        <w:rPr>
          <w:lang w:val="en-GB"/>
        </w:rPr>
        <w:t>characteristics for the</w:t>
      </w:r>
      <w:r>
        <w:t xml:space="preserve"> utility data</w:t>
      </w:r>
      <w:r w:rsidRPr="00854D4B">
        <w:rPr>
          <w:lang w:val="en-GB"/>
        </w:rPr>
        <w:t xml:space="preserve"> from the com</w:t>
      </w:r>
      <w:r w:rsidRPr="000661D8">
        <w:rPr>
          <w:lang w:val="en-GB"/>
        </w:rPr>
        <w:t>pany’s UK chart review</w:t>
      </w:r>
      <w:r>
        <w:t xml:space="preserve"> should match th</w:t>
      </w:r>
      <w:r>
        <w:rPr>
          <w:lang w:val="en-GB"/>
        </w:rPr>
        <w:t>ose</w:t>
      </w:r>
      <w:r>
        <w:t xml:space="preserve"> of the </w:t>
      </w:r>
      <w:r>
        <w:rPr>
          <w:lang w:val="en-GB"/>
        </w:rPr>
        <w:t>clinical-effectiveness</w:t>
      </w:r>
      <w:r>
        <w:t xml:space="preserve"> </w:t>
      </w:r>
      <w:r w:rsidRPr="00854D4B">
        <w:rPr>
          <w:lang w:val="en-GB"/>
        </w:rPr>
        <w:t xml:space="preserve">population </w:t>
      </w:r>
      <w:r w:rsidRPr="000661D8">
        <w:rPr>
          <w:lang w:val="en-GB"/>
        </w:rPr>
        <w:t>used in the modelling.</w:t>
      </w:r>
    </w:p>
    <w:p w14:paraId="1524F993" w14:textId="77777777" w:rsidR="00715F07" w:rsidRPr="00AE3728" w:rsidRDefault="00715F07" w:rsidP="00715F07">
      <w:pPr>
        <w:pStyle w:val="Heading2"/>
      </w:pPr>
      <w:r>
        <w:lastRenderedPageBreak/>
        <w:t>Modelled population</w:t>
      </w:r>
    </w:p>
    <w:p w14:paraId="46874BFA" w14:textId="77777777" w:rsidR="00715F07" w:rsidRDefault="00715F07" w:rsidP="00715F07">
      <w:pPr>
        <w:pStyle w:val="Heading3"/>
      </w:pPr>
      <w:r>
        <w:t>Adjustment to fix possible underrepresentation of the population with a severe non-beta</w:t>
      </w:r>
      <w:r w:rsidRPr="00FD304D">
        <w:rPr>
          <w:vertAlign w:val="superscript"/>
        </w:rPr>
        <w:t>0</w:t>
      </w:r>
      <w:r>
        <w:t>/beta</w:t>
      </w:r>
      <w:r w:rsidRPr="00FD304D">
        <w:rPr>
          <w:vertAlign w:val="superscript"/>
        </w:rPr>
        <w:t>0</w:t>
      </w:r>
      <w:r>
        <w:t xml:space="preserve"> genotype is inappropriate for decision making</w:t>
      </w:r>
    </w:p>
    <w:p w14:paraId="4F7A8BEA" w14:textId="77777777" w:rsidR="00715F07" w:rsidRPr="005C2C97" w:rsidRDefault="00715F07" w:rsidP="00715F07">
      <w:pPr>
        <w:pStyle w:val="Numberedlevel2text"/>
        <w:numPr>
          <w:ilvl w:val="1"/>
          <w:numId w:val="1"/>
        </w:numPr>
      </w:pPr>
      <w:r w:rsidRPr="005C2C97">
        <w:rPr>
          <w:lang w:val="en-GB"/>
        </w:rPr>
        <w:t>Severe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5C2C97">
        <w:rPr>
          <w:lang w:val="en-GB"/>
        </w:rPr>
        <w:t>genetic mutations</w:t>
      </w:r>
      <w:r>
        <w:rPr>
          <w:lang w:val="en-GB"/>
        </w:rPr>
        <w:t xml:space="preserve"> </w:t>
      </w:r>
      <w:r w:rsidRPr="005C2C97">
        <w:rPr>
          <w:lang w:val="en-GB"/>
        </w:rPr>
        <w:t>are included in the marketing authorisation for</w:t>
      </w:r>
      <w:r w:rsidRPr="005C2C97">
        <w:t xml:space="preserve"> </w:t>
      </w:r>
      <w:r w:rsidRPr="005C2C97">
        <w:rPr>
          <w:lang w:val="en-GB"/>
        </w:rPr>
        <w:t xml:space="preserve">betibeglogene autotemcel. These </w:t>
      </w:r>
      <w:r>
        <w:rPr>
          <w:lang w:val="en-GB"/>
        </w:rPr>
        <w:t xml:space="preserve">mutations </w:t>
      </w:r>
      <w:r w:rsidRPr="005C2C97">
        <w:rPr>
          <w:lang w:val="en-GB"/>
        </w:rPr>
        <w:t xml:space="preserve">are associated with dramatically reduced </w:t>
      </w:r>
      <w:r>
        <w:rPr>
          <w:lang w:val="en-GB"/>
        </w:rPr>
        <w:t>beta</w:t>
      </w:r>
      <w:r w:rsidRPr="005C2C97">
        <w:rPr>
          <w:lang w:val="en-GB"/>
        </w:rPr>
        <w:t>-globin production,</w:t>
      </w:r>
      <w:r>
        <w:rPr>
          <w:lang w:val="en-GB"/>
        </w:rPr>
        <w:t xml:space="preserve"> and</w:t>
      </w:r>
      <w:r w:rsidRPr="005C2C97">
        <w:rPr>
          <w:lang w:val="en-GB"/>
        </w:rPr>
        <w:t xml:space="preserve"> behav</w:t>
      </w:r>
      <w:r>
        <w:rPr>
          <w:lang w:val="en-GB"/>
        </w:rPr>
        <w:t>e</w:t>
      </w:r>
      <w:r w:rsidRPr="005C2C97">
        <w:rPr>
          <w:lang w:val="en-GB"/>
        </w:rPr>
        <w:t xml:space="preserve"> like a </w:t>
      </w:r>
      <w:r>
        <w:rPr>
          <w:lang w:val="en-GB"/>
        </w:rPr>
        <w:t>beta</w:t>
      </w:r>
      <w:r w:rsidRPr="005C2C97">
        <w:rPr>
          <w:vertAlign w:val="superscript"/>
          <w:lang w:val="en-GB"/>
        </w:rPr>
        <w:t>0</w:t>
      </w:r>
      <w:r w:rsidRPr="005C2C97">
        <w:rPr>
          <w:lang w:val="en-GB"/>
        </w:rPr>
        <w:t xml:space="preserve"> genotype despite being grouped with other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5C2C97">
        <w:rPr>
          <w:lang w:val="en-GB"/>
        </w:rPr>
        <w:t>genotypes</w:t>
      </w:r>
      <w:r>
        <w:rPr>
          <w:lang w:val="en-GB"/>
        </w:rPr>
        <w:t>. The ERG considered that the proportion the company used in its modelling (from HGB</w:t>
      </w:r>
      <w:r>
        <w:rPr>
          <w:lang w:val="en-GB"/>
        </w:rPr>
        <w:noBreakHyphen/>
        <w:t>212, which included patients with severe non-beta</w:t>
      </w:r>
      <w:r w:rsidRPr="00FD304D">
        <w:rPr>
          <w:vertAlign w:val="superscript"/>
        </w:rPr>
        <w:t>0</w:t>
      </w:r>
      <w:r>
        <w:t>/</w:t>
      </w:r>
      <w:r>
        <w:rPr>
          <w:lang w:val="en-GB"/>
        </w:rPr>
        <w:t>beta</w:t>
      </w:r>
      <w:r w:rsidRPr="00FD304D">
        <w:rPr>
          <w:vertAlign w:val="superscript"/>
        </w:rPr>
        <w:t>0</w:t>
      </w:r>
      <w:r>
        <w:rPr>
          <w:lang w:val="en-GB"/>
        </w:rPr>
        <w:t xml:space="preserve"> </w:t>
      </w:r>
      <w:r w:rsidRPr="00FF6A81">
        <w:rPr>
          <w:lang w:val="en-GB"/>
        </w:rPr>
        <w:t>genotype</w:t>
      </w:r>
      <w:r>
        <w:rPr>
          <w:lang w:val="en-GB"/>
        </w:rPr>
        <w:t xml:space="preserve">s) may be too low. It found evidence that </w:t>
      </w:r>
      <w:r w:rsidRPr="005C2C97">
        <w:rPr>
          <w:lang w:val="en-GB"/>
        </w:rPr>
        <w:t>severe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5C2C97">
        <w:rPr>
          <w:lang w:val="en-GB"/>
        </w:rPr>
        <w:t xml:space="preserve">genotypes represent up to 28% of </w:t>
      </w:r>
      <w:r>
        <w:rPr>
          <w:lang w:val="en-GB"/>
        </w:rPr>
        <w:t>the population with TDT</w:t>
      </w:r>
      <w:r w:rsidRPr="005C2C97">
        <w:rPr>
          <w:lang w:val="en-GB"/>
        </w:rPr>
        <w:t xml:space="preserve"> in the UK</w:t>
      </w:r>
      <w:r>
        <w:rPr>
          <w:lang w:val="en-GB"/>
        </w:rPr>
        <w:t xml:space="preserve">. The ERG did scenario analyses that varied the proportion of modelled patients with a </w:t>
      </w:r>
      <w:r w:rsidRPr="005C2C97">
        <w:rPr>
          <w:lang w:val="en-GB"/>
        </w:rPr>
        <w:t>severe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5C2C97">
        <w:rPr>
          <w:lang w:val="en-GB"/>
        </w:rPr>
        <w:t>genotype</w:t>
      </w:r>
      <w:r>
        <w:rPr>
          <w:lang w:val="en-GB"/>
        </w:rPr>
        <w:t>. It found that, when the</w:t>
      </w:r>
      <w:r w:rsidRPr="00920736">
        <w:rPr>
          <w:rFonts w:ascii="Times New Roman" w:hAnsi="Times New Roman"/>
          <w:bCs w:val="0"/>
          <w:iCs w:val="0"/>
          <w:szCs w:val="24"/>
          <w:lang w:val="en-GB"/>
        </w:rPr>
        <w:t xml:space="preserve"> </w:t>
      </w:r>
      <w:r w:rsidRPr="00920736">
        <w:rPr>
          <w:lang w:val="en-GB"/>
        </w:rPr>
        <w:t>proportion of severe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920736">
        <w:rPr>
          <w:lang w:val="en-GB"/>
        </w:rPr>
        <w:t>genotypes</w:t>
      </w:r>
      <w:r w:rsidRPr="00920736">
        <w:rPr>
          <w:rFonts w:ascii="Times New Roman" w:hAnsi="Times New Roman"/>
          <w:bCs w:val="0"/>
          <w:iCs w:val="0"/>
          <w:szCs w:val="24"/>
          <w:lang w:val="en-GB"/>
        </w:rPr>
        <w:t xml:space="preserve"> </w:t>
      </w:r>
      <w:r w:rsidRPr="00920736">
        <w:rPr>
          <w:lang w:val="en-GB"/>
        </w:rPr>
        <w:t>was higher than the figure used by the company, the resulting probability of transplant success decreased</w:t>
      </w:r>
      <w:r>
        <w:rPr>
          <w:lang w:val="en-GB"/>
        </w:rPr>
        <w:t>. Because of</w:t>
      </w:r>
      <w:r>
        <w:t xml:space="preserve"> </w:t>
      </w:r>
      <w:r>
        <w:rPr>
          <w:lang w:val="en-GB"/>
        </w:rPr>
        <w:t>data limitations</w:t>
      </w:r>
      <w:r>
        <w:t xml:space="preserve">, the ERG’s scenarios were exploratory and not incorporated in </w:t>
      </w:r>
      <w:r>
        <w:rPr>
          <w:lang w:val="en-US"/>
        </w:rPr>
        <w:t>its</w:t>
      </w:r>
      <w:r>
        <w:t xml:space="preserve"> base case. </w:t>
      </w:r>
      <w:r>
        <w:rPr>
          <w:lang w:val="en-GB"/>
        </w:rPr>
        <w:t>The committee</w:t>
      </w:r>
      <w:r>
        <w:t xml:space="preserve"> considered that there was not enough evidence available yet on whether or not the severe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t xml:space="preserve">genotype </w:t>
      </w:r>
      <w:r>
        <w:rPr>
          <w:lang w:val="en-GB"/>
        </w:rPr>
        <w:t>was</w:t>
      </w:r>
      <w:r>
        <w:t xml:space="preserve"> underrepresented in the trials compared </w:t>
      </w:r>
      <w:r>
        <w:rPr>
          <w:lang w:val="en-GB"/>
        </w:rPr>
        <w:t>with</w:t>
      </w:r>
      <w:r>
        <w:t xml:space="preserve"> the UK population who might </w:t>
      </w:r>
      <w:r>
        <w:rPr>
          <w:lang w:val="en-GB"/>
        </w:rPr>
        <w:t>have</w:t>
      </w:r>
      <w:r>
        <w:t xml:space="preserve"> </w:t>
      </w:r>
      <w:r w:rsidRPr="005C2C97">
        <w:t>betibeglogene autotemcel</w:t>
      </w:r>
      <w:r>
        <w:rPr>
          <w:lang w:val="en-GB"/>
        </w:rPr>
        <w:t>. It concluded that</w:t>
      </w:r>
      <w:r>
        <w:t xml:space="preserve"> it would be inappropriate to include such an adjustment in </w:t>
      </w:r>
      <w:r>
        <w:rPr>
          <w:lang w:val="en-US"/>
        </w:rPr>
        <w:t>its</w:t>
      </w:r>
      <w:r>
        <w:t xml:space="preserve"> decision making.</w:t>
      </w:r>
    </w:p>
    <w:p w14:paraId="2B565E89" w14:textId="77777777" w:rsidR="00715F07" w:rsidRPr="00FB317E" w:rsidRDefault="00715F07" w:rsidP="00715F07">
      <w:pPr>
        <w:pStyle w:val="Heading2"/>
      </w:pPr>
      <w:r>
        <w:t>Iron normalisation and effects of iron overload</w:t>
      </w:r>
    </w:p>
    <w:p w14:paraId="2B756F09" w14:textId="77777777" w:rsidR="00715F07" w:rsidRDefault="00715F07" w:rsidP="00715F07">
      <w:pPr>
        <w:pStyle w:val="Heading3"/>
      </w:pPr>
      <w:r>
        <w:t xml:space="preserve">One year is insufficient for all modelled patients to reach cardiac iron normalisation after </w:t>
      </w:r>
      <w:r w:rsidRPr="00E72B1C">
        <w:t>betibeglogene autotemcel</w:t>
      </w:r>
    </w:p>
    <w:p w14:paraId="533167C3" w14:textId="77777777" w:rsidR="00715F07" w:rsidRPr="00524993" w:rsidRDefault="00715F07" w:rsidP="00715F07">
      <w:pPr>
        <w:pStyle w:val="Numberedlevel2text"/>
        <w:numPr>
          <w:ilvl w:val="1"/>
          <w:numId w:val="1"/>
        </w:numPr>
      </w:pPr>
      <w:r w:rsidRPr="00854D4B">
        <w:rPr>
          <w:lang w:val="en-GB"/>
        </w:rPr>
        <w:t>A</w:t>
      </w:r>
      <w:r w:rsidRPr="00BB7EC6">
        <w:rPr>
          <w:bCs w:val="0"/>
          <w:iCs w:val="0"/>
        </w:rPr>
        <w:t xml:space="preserve">t technical engagement, the company and the ERG agreed </w:t>
      </w:r>
      <w:r>
        <w:rPr>
          <w:lang w:val="en-GB"/>
        </w:rPr>
        <w:t>on</w:t>
      </w:r>
      <w:r w:rsidRPr="00854D4B">
        <w:rPr>
          <w:lang w:val="en-GB"/>
        </w:rPr>
        <w:t xml:space="preserve"> </w:t>
      </w:r>
      <w:r w:rsidRPr="00BB7EC6">
        <w:rPr>
          <w:bCs w:val="0"/>
          <w:iCs w:val="0"/>
        </w:rPr>
        <w:t>a 5</w:t>
      </w:r>
      <w:r>
        <w:rPr>
          <w:lang w:val="en-GB"/>
        </w:rPr>
        <w:noBreakHyphen/>
      </w:r>
      <w:r w:rsidRPr="00BB7EC6">
        <w:rPr>
          <w:bCs w:val="0"/>
          <w:iCs w:val="0"/>
        </w:rPr>
        <w:t>year time to normalisation for liver iron</w:t>
      </w:r>
      <w:r>
        <w:rPr>
          <w:lang w:val="en-GB"/>
        </w:rPr>
        <w:t>. However</w:t>
      </w:r>
      <w:r w:rsidRPr="00854D4B">
        <w:rPr>
          <w:lang w:val="en-GB"/>
        </w:rPr>
        <w:t xml:space="preserve">, </w:t>
      </w:r>
      <w:r>
        <w:rPr>
          <w:lang w:val="en-GB"/>
        </w:rPr>
        <w:t>they</w:t>
      </w:r>
      <w:r w:rsidRPr="00BB7EC6">
        <w:rPr>
          <w:bCs w:val="0"/>
          <w:iCs w:val="0"/>
        </w:rPr>
        <w:t xml:space="preserve"> disagreed on time to normalisation for cardiac iron. The company preferred a time period of </w:t>
      </w:r>
      <w:r w:rsidRPr="00BB7EC6">
        <w:rPr>
          <w:bCs w:val="0"/>
          <w:iCs w:val="0"/>
        </w:rPr>
        <w:lastRenderedPageBreak/>
        <w:t>1</w:t>
      </w:r>
      <w:r>
        <w:rPr>
          <w:bCs w:val="0"/>
          <w:iCs w:val="0"/>
          <w:lang w:val="en-GB"/>
        </w:rPr>
        <w:t> </w:t>
      </w:r>
      <w:r w:rsidRPr="00BB7EC6">
        <w:rPr>
          <w:bCs w:val="0"/>
          <w:iCs w:val="0"/>
        </w:rPr>
        <w:t xml:space="preserve">year </w:t>
      </w:r>
      <w:r>
        <w:rPr>
          <w:lang w:val="en-GB"/>
        </w:rPr>
        <w:t>for this</w:t>
      </w:r>
      <w:r w:rsidRPr="00854D4B">
        <w:rPr>
          <w:lang w:val="en-GB"/>
        </w:rPr>
        <w:t xml:space="preserve">, based on </w:t>
      </w:r>
      <w:r w:rsidRPr="00BB7EC6">
        <w:rPr>
          <w:bCs w:val="0"/>
          <w:iCs w:val="0"/>
        </w:rPr>
        <w:t xml:space="preserve">its clinical trial results at the time of its submission. However, the ERG thought it was possible that </w:t>
      </w:r>
      <w:r>
        <w:rPr>
          <w:lang w:val="en-GB"/>
        </w:rPr>
        <w:t>people</w:t>
      </w:r>
      <w:r w:rsidRPr="00854D4B">
        <w:rPr>
          <w:lang w:val="en-GB"/>
        </w:rPr>
        <w:t xml:space="preserve"> </w:t>
      </w:r>
      <w:r w:rsidRPr="00BB7EC6">
        <w:rPr>
          <w:bCs w:val="0"/>
          <w:iCs w:val="0"/>
        </w:rPr>
        <w:t>in the trials were not typical of the eligible population</w:t>
      </w:r>
      <w:r>
        <w:rPr>
          <w:lang w:val="en-GB"/>
        </w:rPr>
        <w:t>. It thought that they</w:t>
      </w:r>
      <w:r w:rsidRPr="00BB7EC6">
        <w:rPr>
          <w:bCs w:val="0"/>
          <w:iCs w:val="0"/>
        </w:rPr>
        <w:t xml:space="preserve"> may </w:t>
      </w:r>
      <w:r>
        <w:rPr>
          <w:lang w:val="en-GB"/>
        </w:rPr>
        <w:t>reach</w:t>
      </w:r>
      <w:r w:rsidRPr="00854D4B">
        <w:rPr>
          <w:lang w:val="en-GB"/>
        </w:rPr>
        <w:t xml:space="preserve"> </w:t>
      </w:r>
      <w:r w:rsidRPr="00BB7EC6">
        <w:rPr>
          <w:bCs w:val="0"/>
          <w:iCs w:val="0"/>
        </w:rPr>
        <w:t xml:space="preserve">cardiac iron normalisation more quickly than a </w:t>
      </w:r>
      <w:r>
        <w:rPr>
          <w:lang w:val="en-GB"/>
        </w:rPr>
        <w:t>‘</w:t>
      </w:r>
      <w:r w:rsidRPr="00854D4B">
        <w:rPr>
          <w:lang w:val="en-GB"/>
        </w:rPr>
        <w:t>typical</w:t>
      </w:r>
      <w:r>
        <w:rPr>
          <w:lang w:val="en-GB"/>
        </w:rPr>
        <w:t>’</w:t>
      </w:r>
      <w:r w:rsidRPr="00854D4B">
        <w:rPr>
          <w:lang w:val="en-GB"/>
        </w:rPr>
        <w:t xml:space="preserve"> patient</w:t>
      </w:r>
      <w:r>
        <w:rPr>
          <w:lang w:val="en-GB"/>
        </w:rPr>
        <w:t xml:space="preserve"> because of</w:t>
      </w:r>
      <w:r w:rsidRPr="00BB7EC6">
        <w:rPr>
          <w:bCs w:val="0"/>
          <w:iCs w:val="0"/>
        </w:rPr>
        <w:t xml:space="preserve"> their reduced levels at baseline. It was concerned that a very small number of </w:t>
      </w:r>
      <w:r>
        <w:rPr>
          <w:lang w:val="en-GB"/>
        </w:rPr>
        <w:t>people</w:t>
      </w:r>
      <w:r w:rsidRPr="00854D4B">
        <w:rPr>
          <w:lang w:val="en-GB"/>
        </w:rPr>
        <w:t xml:space="preserve"> in the trial</w:t>
      </w:r>
      <w:r>
        <w:rPr>
          <w:lang w:val="en-GB"/>
        </w:rPr>
        <w:t>s</w:t>
      </w:r>
      <w:r w:rsidRPr="00854D4B">
        <w:rPr>
          <w:lang w:val="en-GB"/>
        </w:rPr>
        <w:t xml:space="preserve"> reached the company’s </w:t>
      </w:r>
      <w:r w:rsidRPr="00BB7EC6">
        <w:rPr>
          <w:bCs w:val="0"/>
          <w:iCs w:val="0"/>
        </w:rPr>
        <w:t xml:space="preserve">described cut-off of </w:t>
      </w:r>
      <w:r>
        <w:rPr>
          <w:lang w:val="en-GB"/>
        </w:rPr>
        <w:t xml:space="preserve">a </w:t>
      </w:r>
      <w:r w:rsidRPr="00854D4B">
        <w:rPr>
          <w:lang w:val="en-GB"/>
        </w:rPr>
        <w:t>‘</w:t>
      </w:r>
      <w:r w:rsidRPr="00BB7EC6">
        <w:rPr>
          <w:bCs w:val="0"/>
          <w:iCs w:val="0"/>
        </w:rPr>
        <w:t>normal’ cardiac T2* of 40</w:t>
      </w:r>
      <w:r>
        <w:rPr>
          <w:lang w:val="en-GB"/>
        </w:rPr>
        <w:t> </w:t>
      </w:r>
      <w:r w:rsidRPr="00BB7EC6">
        <w:rPr>
          <w:bCs w:val="0"/>
          <w:iCs w:val="0"/>
        </w:rPr>
        <w:t>msec</w:t>
      </w:r>
      <w:r>
        <w:rPr>
          <w:bCs w:val="0"/>
          <w:iCs w:val="0"/>
          <w:lang w:val="en-GB"/>
        </w:rPr>
        <w:t xml:space="preserve"> (the number cannot be shown here because it is considered confidential)</w:t>
      </w:r>
      <w:r>
        <w:rPr>
          <w:lang w:val="en-GB"/>
        </w:rPr>
        <w:t>. Also</w:t>
      </w:r>
      <w:r w:rsidRPr="00854D4B">
        <w:rPr>
          <w:lang w:val="en-GB"/>
        </w:rPr>
        <w:t>,</w:t>
      </w:r>
      <w:r w:rsidRPr="00BB7EC6">
        <w:rPr>
          <w:bCs w:val="0"/>
          <w:iCs w:val="0"/>
        </w:rPr>
        <w:t xml:space="preserve"> the company presented results for cardiac iron based on a cut-off for normal levels of 20</w:t>
      </w:r>
      <w:r>
        <w:rPr>
          <w:lang w:val="en-GB"/>
        </w:rPr>
        <w:t> </w:t>
      </w:r>
      <w:r w:rsidRPr="00BB7EC6">
        <w:rPr>
          <w:bCs w:val="0"/>
          <w:iCs w:val="0"/>
        </w:rPr>
        <w:t xml:space="preserve">msec (note, for this measure, a lower T2* score indicates higher iron levels). </w:t>
      </w:r>
      <w:r>
        <w:rPr>
          <w:bCs w:val="0"/>
          <w:iCs w:val="0"/>
          <w:lang w:val="en-GB"/>
        </w:rPr>
        <w:t>The c</w:t>
      </w:r>
      <w:r w:rsidRPr="00854D4B">
        <w:rPr>
          <w:lang w:val="en-GB"/>
        </w:rPr>
        <w:t>linical experts explained that</w:t>
      </w:r>
      <w:r>
        <w:rPr>
          <w:lang w:val="en-GB"/>
        </w:rPr>
        <w:t>,</w:t>
      </w:r>
      <w:r w:rsidRPr="00854D4B">
        <w:rPr>
          <w:lang w:val="en-GB"/>
        </w:rPr>
        <w:t xml:space="preserve"> </w:t>
      </w:r>
      <w:r w:rsidRPr="00BB7EC6">
        <w:rPr>
          <w:bCs w:val="0"/>
          <w:iCs w:val="0"/>
        </w:rPr>
        <w:t>in UK clinical practice, a cardiac T2* of 20</w:t>
      </w:r>
      <w:r>
        <w:rPr>
          <w:lang w:val="en-GB"/>
        </w:rPr>
        <w:t> </w:t>
      </w:r>
      <w:r w:rsidRPr="00BB7EC6">
        <w:rPr>
          <w:bCs w:val="0"/>
          <w:iCs w:val="0"/>
        </w:rPr>
        <w:t>msec is the cut-off used for ‘normal’ cardiac iron</w:t>
      </w:r>
      <w:r>
        <w:rPr>
          <w:lang w:val="en-GB"/>
        </w:rPr>
        <w:t>.</w:t>
      </w:r>
      <w:r w:rsidRPr="00854D4B">
        <w:rPr>
          <w:lang w:val="en-GB"/>
        </w:rPr>
        <w:t xml:space="preserve"> </w:t>
      </w:r>
      <w:r>
        <w:rPr>
          <w:lang w:val="en-GB"/>
        </w:rPr>
        <w:t xml:space="preserve">This is </w:t>
      </w:r>
      <w:r w:rsidRPr="00854D4B">
        <w:rPr>
          <w:lang w:val="en-GB"/>
        </w:rPr>
        <w:t>sup</w:t>
      </w:r>
      <w:r w:rsidRPr="00BB7EC6">
        <w:rPr>
          <w:bCs w:val="0"/>
          <w:iCs w:val="0"/>
        </w:rPr>
        <w:t>ported by a key review paper on cardiovascular function and treatment in beta-thalassemia major</w:t>
      </w:r>
      <w:r>
        <w:rPr>
          <w:lang w:val="en-GB"/>
        </w:rPr>
        <w:t xml:space="preserve"> (</w:t>
      </w:r>
      <w:hyperlink r:id="rId13" w:history="1">
        <w:r w:rsidRPr="00D23523">
          <w:rPr>
            <w:rStyle w:val="Hyperlink"/>
            <w:bCs w:val="0"/>
            <w:iCs w:val="0"/>
          </w:rPr>
          <w:t>Pennell et al. 2013</w:t>
        </w:r>
      </w:hyperlink>
      <w:r w:rsidRPr="00854D4B">
        <w:rPr>
          <w:lang w:val="en-GB"/>
        </w:rPr>
        <w:t>)</w:t>
      </w:r>
      <w:r>
        <w:rPr>
          <w:lang w:val="en-GB"/>
        </w:rPr>
        <w:t>. They also said that</w:t>
      </w:r>
      <w:r w:rsidRPr="00BB7EC6">
        <w:rPr>
          <w:bCs w:val="0"/>
          <w:iCs w:val="0"/>
        </w:rPr>
        <w:t xml:space="preserve"> clinicians do</w:t>
      </w:r>
      <w:r>
        <w:rPr>
          <w:lang w:val="en-GB"/>
        </w:rPr>
        <w:t xml:space="preserve"> not</w:t>
      </w:r>
      <w:r w:rsidRPr="00BB7EC6">
        <w:rPr>
          <w:bCs w:val="0"/>
          <w:iCs w:val="0"/>
        </w:rPr>
        <w:t xml:space="preserve"> aim for a T2* of 40</w:t>
      </w:r>
      <w:r>
        <w:rPr>
          <w:lang w:val="en-GB"/>
        </w:rPr>
        <w:t> </w:t>
      </w:r>
      <w:r w:rsidRPr="00BB7EC6">
        <w:rPr>
          <w:bCs w:val="0"/>
          <w:iCs w:val="0"/>
        </w:rPr>
        <w:t xml:space="preserve">msec. They explained that there will always be a risk of cardiac complications like arrhythmia for people with TDT </w:t>
      </w:r>
      <w:r>
        <w:rPr>
          <w:bCs w:val="0"/>
          <w:iCs w:val="0"/>
          <w:lang w:val="en-GB"/>
        </w:rPr>
        <w:t>if they</w:t>
      </w:r>
      <w:r w:rsidRPr="00BB7EC6">
        <w:rPr>
          <w:bCs w:val="0"/>
          <w:iCs w:val="0"/>
        </w:rPr>
        <w:t xml:space="preserve"> have ever had high cardiac iron (even if asymptomatic at the time)</w:t>
      </w:r>
      <w:r>
        <w:rPr>
          <w:lang w:val="en-GB"/>
        </w:rPr>
        <w:t>. This is because of</w:t>
      </w:r>
      <w:r w:rsidRPr="00BB7EC6">
        <w:rPr>
          <w:bCs w:val="0"/>
          <w:iCs w:val="0"/>
        </w:rPr>
        <w:t xml:space="preserve"> residual iron which cannot be removed. They also outlined the process for iron loading and removal</w:t>
      </w:r>
      <w:r>
        <w:rPr>
          <w:lang w:val="en-GB"/>
        </w:rPr>
        <w:t>;</w:t>
      </w:r>
      <w:r w:rsidRPr="00854D4B">
        <w:rPr>
          <w:lang w:val="en-GB"/>
        </w:rPr>
        <w:t xml:space="preserve"> </w:t>
      </w:r>
      <w:r w:rsidRPr="00BB7EC6">
        <w:rPr>
          <w:bCs w:val="0"/>
          <w:iCs w:val="0"/>
        </w:rPr>
        <w:t xml:space="preserve">excess iron organ deposits are removed from the liver before the heart. </w:t>
      </w:r>
      <w:r w:rsidRPr="00854D4B">
        <w:rPr>
          <w:lang w:val="en-GB"/>
        </w:rPr>
        <w:t>The committee noted that</w:t>
      </w:r>
      <w:r>
        <w:rPr>
          <w:lang w:val="en-GB"/>
        </w:rPr>
        <w:t xml:space="preserve"> all the people</w:t>
      </w:r>
      <w:r w:rsidRPr="00854D4B">
        <w:rPr>
          <w:lang w:val="en-GB"/>
        </w:rPr>
        <w:t xml:space="preserve"> in the trials</w:t>
      </w:r>
      <w:r w:rsidRPr="00BB7EC6">
        <w:rPr>
          <w:lang w:val="en-GB"/>
        </w:rPr>
        <w:t xml:space="preserve"> had ‘normal’ cardiac iron according to UK clinical practice (</w:t>
      </w:r>
      <w:r>
        <w:rPr>
          <w:lang w:val="en-GB"/>
        </w:rPr>
        <w:t xml:space="preserve">a </w:t>
      </w:r>
      <w:r w:rsidRPr="00854D4B">
        <w:rPr>
          <w:lang w:val="en-GB"/>
        </w:rPr>
        <w:t>T2* of 20</w:t>
      </w:r>
      <w:r>
        <w:rPr>
          <w:lang w:val="en-GB"/>
        </w:rPr>
        <w:t> </w:t>
      </w:r>
      <w:r w:rsidRPr="00BB7EC6">
        <w:rPr>
          <w:lang w:val="en-GB"/>
        </w:rPr>
        <w:t>msec</w:t>
      </w:r>
      <w:r w:rsidRPr="00854D4B">
        <w:rPr>
          <w:lang w:val="en-GB"/>
        </w:rPr>
        <w:t>)</w:t>
      </w:r>
      <w:r w:rsidRPr="00BB7EC6">
        <w:rPr>
          <w:lang w:val="en-GB"/>
        </w:rPr>
        <w:t xml:space="preserve">. </w:t>
      </w:r>
      <w:r>
        <w:rPr>
          <w:lang w:val="en-GB"/>
        </w:rPr>
        <w:t>The c</w:t>
      </w:r>
      <w:r w:rsidRPr="00BB7EC6">
        <w:rPr>
          <w:lang w:val="en-GB"/>
        </w:rPr>
        <w:t xml:space="preserve">ommittee considered that the modelled time to liver iron normalisation should be </w:t>
      </w:r>
      <w:r>
        <w:rPr>
          <w:lang w:val="en-GB"/>
        </w:rPr>
        <w:t xml:space="preserve">a minimum of </w:t>
      </w:r>
      <w:r w:rsidRPr="00854D4B">
        <w:rPr>
          <w:lang w:val="en-GB"/>
        </w:rPr>
        <w:t>5</w:t>
      </w:r>
      <w:r>
        <w:rPr>
          <w:lang w:val="en-GB"/>
        </w:rPr>
        <w:t> </w:t>
      </w:r>
      <w:r w:rsidRPr="00BB7EC6">
        <w:rPr>
          <w:lang w:val="en-GB"/>
        </w:rPr>
        <w:t>years</w:t>
      </w:r>
      <w:r>
        <w:rPr>
          <w:lang w:val="en-GB"/>
        </w:rPr>
        <w:t xml:space="preserve">. This was because </w:t>
      </w:r>
      <w:r w:rsidRPr="00854D4B">
        <w:rPr>
          <w:lang w:val="en-GB"/>
        </w:rPr>
        <w:t xml:space="preserve">there were still some </w:t>
      </w:r>
      <w:r>
        <w:rPr>
          <w:lang w:val="en-GB"/>
        </w:rPr>
        <w:t>people in the trials</w:t>
      </w:r>
      <w:r w:rsidRPr="00BB7EC6">
        <w:rPr>
          <w:lang w:val="en-GB"/>
        </w:rPr>
        <w:t xml:space="preserve"> whose liver iron had not yet reached the normalisation threshold by 48</w:t>
      </w:r>
      <w:r>
        <w:rPr>
          <w:lang w:val="en-GB"/>
        </w:rPr>
        <w:t> </w:t>
      </w:r>
      <w:r w:rsidRPr="00BB7EC6">
        <w:rPr>
          <w:lang w:val="en-GB"/>
        </w:rPr>
        <w:t>months</w:t>
      </w:r>
      <w:r>
        <w:rPr>
          <w:lang w:val="en-GB"/>
        </w:rPr>
        <w:t>. The committee took into account</w:t>
      </w:r>
      <w:r w:rsidRPr="00BB7EC6">
        <w:rPr>
          <w:lang w:val="en-GB"/>
        </w:rPr>
        <w:t xml:space="preserve"> that it should take longer for </w:t>
      </w:r>
      <w:r>
        <w:rPr>
          <w:lang w:val="en-GB"/>
        </w:rPr>
        <w:t>people</w:t>
      </w:r>
      <w:r w:rsidRPr="00854D4B">
        <w:rPr>
          <w:lang w:val="en-GB"/>
        </w:rPr>
        <w:t xml:space="preserve"> </w:t>
      </w:r>
      <w:r w:rsidRPr="00BB7EC6">
        <w:rPr>
          <w:lang w:val="en-GB"/>
        </w:rPr>
        <w:t xml:space="preserve">in clinical practice to </w:t>
      </w:r>
      <w:r>
        <w:rPr>
          <w:lang w:val="en-GB"/>
        </w:rPr>
        <w:t>reach</w:t>
      </w:r>
      <w:r w:rsidRPr="00854D4B">
        <w:rPr>
          <w:lang w:val="en-GB"/>
        </w:rPr>
        <w:t xml:space="preserve"> cardiac ir</w:t>
      </w:r>
      <w:r w:rsidRPr="00BB7EC6">
        <w:rPr>
          <w:lang w:val="en-GB"/>
        </w:rPr>
        <w:t xml:space="preserve">on normalisation </w:t>
      </w:r>
      <w:r>
        <w:rPr>
          <w:lang w:val="en-GB"/>
        </w:rPr>
        <w:t xml:space="preserve">because </w:t>
      </w:r>
      <w:r w:rsidRPr="00854D4B">
        <w:rPr>
          <w:lang w:val="en-GB"/>
        </w:rPr>
        <w:t>liver iron is removed first</w:t>
      </w:r>
      <w:r>
        <w:rPr>
          <w:lang w:val="en-GB"/>
        </w:rPr>
        <w:t>, as explained by the clinical experts. Therefore, the time to cardiac iron normalisation should not be shorter than the time to liver iron normalisation</w:t>
      </w:r>
      <w:r w:rsidRPr="00BB7EC6">
        <w:rPr>
          <w:lang w:val="en-GB"/>
        </w:rPr>
        <w:t>. So</w:t>
      </w:r>
      <w:r>
        <w:rPr>
          <w:lang w:val="en-GB"/>
        </w:rPr>
        <w:t>, the</w:t>
      </w:r>
      <w:r w:rsidRPr="00854D4B">
        <w:rPr>
          <w:lang w:val="en-GB"/>
        </w:rPr>
        <w:t xml:space="preserve"> committee </w:t>
      </w:r>
      <w:r>
        <w:rPr>
          <w:lang w:val="en-GB"/>
        </w:rPr>
        <w:t>concluded</w:t>
      </w:r>
      <w:r w:rsidRPr="00854D4B">
        <w:rPr>
          <w:lang w:val="en-GB"/>
        </w:rPr>
        <w:t xml:space="preserve"> </w:t>
      </w:r>
      <w:r w:rsidRPr="00BB7EC6">
        <w:rPr>
          <w:lang w:val="en-GB"/>
        </w:rPr>
        <w:t>that 1</w:t>
      </w:r>
      <w:r>
        <w:rPr>
          <w:lang w:val="en-GB"/>
        </w:rPr>
        <w:t> </w:t>
      </w:r>
      <w:r w:rsidRPr="00BB7EC6">
        <w:rPr>
          <w:lang w:val="en-GB"/>
        </w:rPr>
        <w:t xml:space="preserve">year was insufficient </w:t>
      </w:r>
      <w:r w:rsidRPr="006D2C77">
        <w:rPr>
          <w:lang w:val="en-GB"/>
        </w:rPr>
        <w:lastRenderedPageBreak/>
        <w:t>for time to cardiac iron normalisation</w:t>
      </w:r>
      <w:r w:rsidRPr="00854D4B">
        <w:rPr>
          <w:lang w:val="en-GB"/>
        </w:rPr>
        <w:t xml:space="preserve"> </w:t>
      </w:r>
      <w:r w:rsidRPr="00BB7EC6">
        <w:rPr>
          <w:lang w:val="en-GB"/>
        </w:rPr>
        <w:t xml:space="preserve">and </w:t>
      </w:r>
      <w:r>
        <w:rPr>
          <w:lang w:val="en-GB"/>
        </w:rPr>
        <w:t>that</w:t>
      </w:r>
      <w:r w:rsidRPr="00854D4B">
        <w:rPr>
          <w:lang w:val="en-GB"/>
        </w:rPr>
        <w:t xml:space="preserve"> </w:t>
      </w:r>
      <w:r w:rsidRPr="00BB7EC6">
        <w:rPr>
          <w:lang w:val="en-GB"/>
        </w:rPr>
        <w:t>5</w:t>
      </w:r>
      <w:r>
        <w:rPr>
          <w:lang w:val="en-GB"/>
        </w:rPr>
        <w:t> </w:t>
      </w:r>
      <w:r w:rsidRPr="00BB7EC6">
        <w:rPr>
          <w:lang w:val="en-GB"/>
        </w:rPr>
        <w:t xml:space="preserve">years should </w:t>
      </w:r>
      <w:r>
        <w:rPr>
          <w:lang w:val="en-GB"/>
        </w:rPr>
        <w:t>have been</w:t>
      </w:r>
      <w:r w:rsidRPr="00854D4B">
        <w:rPr>
          <w:lang w:val="en-GB"/>
        </w:rPr>
        <w:t xml:space="preserve"> </w:t>
      </w:r>
      <w:r w:rsidRPr="00BB7EC6">
        <w:rPr>
          <w:lang w:val="en-GB"/>
        </w:rPr>
        <w:t>used in the model.</w:t>
      </w:r>
    </w:p>
    <w:p w14:paraId="29668639" w14:textId="77777777" w:rsidR="00715F07" w:rsidRDefault="00715F07" w:rsidP="00715F07">
      <w:pPr>
        <w:pStyle w:val="Heading3"/>
      </w:pPr>
      <w:r>
        <w:t>The approach to modelling c</w:t>
      </w:r>
      <w:r w:rsidRPr="007A5468">
        <w:t>omplications from iron overload</w:t>
      </w:r>
      <w:r>
        <w:t xml:space="preserve"> is uncertain</w:t>
      </w:r>
    </w:p>
    <w:p w14:paraId="5D37FF23" w14:textId="77777777" w:rsidR="00715F07" w:rsidRPr="007A5468" w:rsidRDefault="00715F07" w:rsidP="00715F07">
      <w:pPr>
        <w:pStyle w:val="Numberedlevel2text"/>
        <w:numPr>
          <w:ilvl w:val="1"/>
          <w:numId w:val="1"/>
        </w:numPr>
      </w:pPr>
      <w:r>
        <w:t xml:space="preserve">In </w:t>
      </w:r>
      <w:r>
        <w:rPr>
          <w:lang w:val="en-GB"/>
        </w:rPr>
        <w:t>its</w:t>
      </w:r>
      <w:r>
        <w:t xml:space="preserve"> initial model, the company a</w:t>
      </w:r>
      <w:r w:rsidRPr="007A5468">
        <w:t xml:space="preserve">ssumed that </w:t>
      </w:r>
      <w:r>
        <w:rPr>
          <w:lang w:val="en-GB"/>
        </w:rPr>
        <w:t>people</w:t>
      </w:r>
      <w:r w:rsidRPr="007A5468">
        <w:t xml:space="preserve"> who have normalised iron levels are no longer at risk of developing complications from iron overload. </w:t>
      </w:r>
      <w:r>
        <w:t>The ERG’s c</w:t>
      </w:r>
      <w:r w:rsidRPr="007A5468">
        <w:t xml:space="preserve">linical adviser suggested </w:t>
      </w:r>
      <w:r>
        <w:rPr>
          <w:lang w:val="en-GB"/>
        </w:rPr>
        <w:t xml:space="preserve">that </w:t>
      </w:r>
      <w:r w:rsidRPr="007A5468">
        <w:t>there may be pre-existing irreversible damage caused by iron overload in many p</w:t>
      </w:r>
      <w:r>
        <w:t>eople</w:t>
      </w:r>
      <w:r w:rsidRPr="007A5468">
        <w:t xml:space="preserve"> who would be eligible for betibeglogene autotemcel (</w:t>
      </w:r>
      <w:r>
        <w:t xml:space="preserve">but </w:t>
      </w:r>
      <w:r w:rsidRPr="007A5468">
        <w:t xml:space="preserve">not </w:t>
      </w:r>
      <w:r>
        <w:rPr>
          <w:lang w:val="en-GB"/>
        </w:rPr>
        <w:t>severe</w:t>
      </w:r>
      <w:r w:rsidRPr="007A5468">
        <w:t xml:space="preserve"> enough to rule out treatment)</w:t>
      </w:r>
      <w:r>
        <w:rPr>
          <w:lang w:val="en-GB"/>
        </w:rPr>
        <w:t>. They explained that</w:t>
      </w:r>
      <w:r w:rsidRPr="007A5468">
        <w:t xml:space="preserve"> these p</w:t>
      </w:r>
      <w:r>
        <w:t>eople</w:t>
      </w:r>
      <w:r w:rsidRPr="007A5468">
        <w:t xml:space="preserve"> could potentially develop complications from pre-existing iron overload damage in the long</w:t>
      </w:r>
      <w:r>
        <w:t xml:space="preserve"> </w:t>
      </w:r>
      <w:r w:rsidRPr="007A5468">
        <w:t>term</w:t>
      </w:r>
      <w:r>
        <w:t xml:space="preserve"> (in line with view of other clinical experts on risk of cardiac complications after iron overload</w:t>
      </w:r>
      <w:r>
        <w:rPr>
          <w:lang w:val="en-GB"/>
        </w:rPr>
        <w:t>;</w:t>
      </w:r>
      <w:r>
        <w:t xml:space="preserve"> see section</w:t>
      </w:r>
      <w:r>
        <w:rPr>
          <w:lang w:val="en-GB"/>
        </w:rPr>
        <w:t> </w:t>
      </w:r>
      <w:r>
        <w:t>3.</w:t>
      </w:r>
      <w:r>
        <w:rPr>
          <w:lang w:val="en-GB"/>
        </w:rPr>
        <w:t>14</w:t>
      </w:r>
      <w:r>
        <w:t>). The ERG uniformly</w:t>
      </w:r>
      <w:r w:rsidRPr="007A5468">
        <w:t xml:space="preserve"> appl</w:t>
      </w:r>
      <w:r>
        <w:t>ied an</w:t>
      </w:r>
      <w:r w:rsidRPr="007A5468">
        <w:t xml:space="preserve"> annual cardiac complication rate for </w:t>
      </w:r>
      <w:r>
        <w:rPr>
          <w:lang w:val="en-GB"/>
        </w:rPr>
        <w:t xml:space="preserve">people with </w:t>
      </w:r>
      <w:r w:rsidRPr="007A5468">
        <w:t xml:space="preserve">TDT with ‘low’ cardiac iron to all </w:t>
      </w:r>
      <w:r>
        <w:rPr>
          <w:lang w:val="en-GB"/>
        </w:rPr>
        <w:t>people with TI</w:t>
      </w:r>
      <w:r w:rsidRPr="007A5468">
        <w:t xml:space="preserve"> who ha</w:t>
      </w:r>
      <w:r>
        <w:rPr>
          <w:lang w:val="en-GB"/>
        </w:rPr>
        <w:t>d</w:t>
      </w:r>
      <w:r w:rsidRPr="007A5468">
        <w:t xml:space="preserve"> had their iron normalised</w:t>
      </w:r>
      <w:r>
        <w:t xml:space="preserve">. The company thought this approach </w:t>
      </w:r>
      <w:r w:rsidRPr="007A5468">
        <w:t>would overstate the risk associated wi</w:t>
      </w:r>
      <w:r>
        <w:t xml:space="preserve">th </w:t>
      </w:r>
      <w:r w:rsidRPr="007A5468">
        <w:t>potential irreversible cardiac iron damage</w:t>
      </w:r>
      <w:r>
        <w:rPr>
          <w:lang w:val="en-GB"/>
        </w:rPr>
        <w:t>. Instead, it</w:t>
      </w:r>
      <w:r>
        <w:t xml:space="preserve"> proposed to </w:t>
      </w:r>
      <w:r w:rsidRPr="009E6461">
        <w:t>lower the annual cardiac complication rate for</w:t>
      </w:r>
      <w:r>
        <w:t xml:space="preserve"> </w:t>
      </w:r>
      <w:r>
        <w:rPr>
          <w:lang w:val="en-GB"/>
        </w:rPr>
        <w:t xml:space="preserve">people with </w:t>
      </w:r>
      <w:r>
        <w:t>TI with</w:t>
      </w:r>
      <w:r w:rsidRPr="009E6461">
        <w:t xml:space="preserve"> ‘normalised iron’</w:t>
      </w:r>
      <w:r>
        <w:t xml:space="preserve"> (</w:t>
      </w:r>
      <w:r w:rsidRPr="009E6461">
        <w:t>using the complication rate for low cardiac iron)</w:t>
      </w:r>
      <w:r>
        <w:t xml:space="preserve">. </w:t>
      </w:r>
      <w:r w:rsidRPr="00854D4B">
        <w:rPr>
          <w:lang w:val="en-GB"/>
        </w:rPr>
        <w:t>The ERG thought it was p</w:t>
      </w:r>
      <w:r w:rsidRPr="00BB7EC6">
        <w:rPr>
          <w:bCs w:val="0"/>
          <w:iCs w:val="0"/>
        </w:rPr>
        <w:t xml:space="preserve">ossible that </w:t>
      </w:r>
      <w:r>
        <w:rPr>
          <w:lang w:val="en-GB"/>
        </w:rPr>
        <w:t>people</w:t>
      </w:r>
      <w:r w:rsidRPr="00BB7EC6">
        <w:rPr>
          <w:bCs w:val="0"/>
          <w:iCs w:val="0"/>
        </w:rPr>
        <w:t xml:space="preserve"> in the trials were not typical of the eligible population (</w:t>
      </w:r>
      <w:r>
        <w:rPr>
          <w:lang w:val="en-GB"/>
        </w:rPr>
        <w:t xml:space="preserve">that is, they </w:t>
      </w:r>
      <w:r w:rsidRPr="00BB7EC6">
        <w:rPr>
          <w:bCs w:val="0"/>
          <w:iCs w:val="0"/>
        </w:rPr>
        <w:t>represent</w:t>
      </w:r>
      <w:r>
        <w:rPr>
          <w:lang w:val="en-GB"/>
        </w:rPr>
        <w:t>ed</w:t>
      </w:r>
      <w:r w:rsidRPr="00BB7EC6">
        <w:rPr>
          <w:bCs w:val="0"/>
          <w:iCs w:val="0"/>
        </w:rPr>
        <w:t xml:space="preserve"> a more favourable population). The</w:t>
      </w:r>
      <w:r>
        <w:rPr>
          <w:lang w:val="en-GB"/>
        </w:rPr>
        <w:t xml:space="preserve"> people in the</w:t>
      </w:r>
      <w:r w:rsidRPr="00BB7EC6">
        <w:rPr>
          <w:bCs w:val="0"/>
          <w:iCs w:val="0"/>
        </w:rPr>
        <w:t xml:space="preserve"> trial might have </w:t>
      </w:r>
      <w:r>
        <w:rPr>
          <w:lang w:val="en-GB"/>
        </w:rPr>
        <w:t xml:space="preserve">had a </w:t>
      </w:r>
      <w:r w:rsidRPr="00BB7EC6">
        <w:rPr>
          <w:bCs w:val="0"/>
          <w:iCs w:val="0"/>
        </w:rPr>
        <w:t>lower risk of cardiac complications</w:t>
      </w:r>
      <w:r>
        <w:rPr>
          <w:lang w:val="en-GB"/>
        </w:rPr>
        <w:t>,</w:t>
      </w:r>
      <w:r w:rsidRPr="00BB7EC6">
        <w:rPr>
          <w:bCs w:val="0"/>
          <w:iCs w:val="0"/>
        </w:rPr>
        <w:t xml:space="preserve"> and </w:t>
      </w:r>
      <w:r>
        <w:rPr>
          <w:lang w:val="en-GB"/>
        </w:rPr>
        <w:t>so</w:t>
      </w:r>
      <w:r w:rsidRPr="00BB7EC6">
        <w:rPr>
          <w:bCs w:val="0"/>
          <w:iCs w:val="0"/>
        </w:rPr>
        <w:t xml:space="preserve"> mortality</w:t>
      </w:r>
      <w:r>
        <w:rPr>
          <w:lang w:val="en-GB"/>
        </w:rPr>
        <w:t>,</w:t>
      </w:r>
      <w:r w:rsidRPr="00BB7EC6">
        <w:rPr>
          <w:bCs w:val="0"/>
          <w:iCs w:val="0"/>
        </w:rPr>
        <w:t xml:space="preserve"> compared </w:t>
      </w:r>
      <w:r>
        <w:rPr>
          <w:lang w:val="en-GB"/>
        </w:rPr>
        <w:t>with</w:t>
      </w:r>
      <w:r w:rsidRPr="00BB7EC6">
        <w:rPr>
          <w:bCs w:val="0"/>
          <w:iCs w:val="0"/>
        </w:rPr>
        <w:t xml:space="preserve"> the population that would be seen in clinical practice. The ERG thought the company’s revised rate of complications </w:t>
      </w:r>
      <w:r>
        <w:rPr>
          <w:lang w:val="en-GB"/>
        </w:rPr>
        <w:t>had</w:t>
      </w:r>
      <w:r w:rsidRPr="00BB7EC6">
        <w:rPr>
          <w:bCs w:val="0"/>
          <w:iCs w:val="0"/>
        </w:rPr>
        <w:t xml:space="preserve"> </w:t>
      </w:r>
      <w:r>
        <w:rPr>
          <w:bCs w:val="0"/>
          <w:iCs w:val="0"/>
          <w:lang w:val="en-GB"/>
        </w:rPr>
        <w:t>in</w:t>
      </w:r>
      <w:r w:rsidRPr="00BB7EC6">
        <w:rPr>
          <w:bCs w:val="0"/>
          <w:iCs w:val="0"/>
        </w:rPr>
        <w:t xml:space="preserve">sufficient evidence to support it. </w:t>
      </w:r>
      <w:r w:rsidRPr="00854D4B">
        <w:rPr>
          <w:lang w:val="en-GB"/>
        </w:rPr>
        <w:t>The committee cons</w:t>
      </w:r>
      <w:r w:rsidRPr="00BB7EC6">
        <w:rPr>
          <w:lang w:val="en-GB"/>
        </w:rPr>
        <w:t xml:space="preserve">idered the baseline annual mortality risk used by the company, and the populations that it had been derived from. </w:t>
      </w:r>
      <w:r>
        <w:rPr>
          <w:lang w:val="en-GB"/>
        </w:rPr>
        <w:t>It</w:t>
      </w:r>
      <w:r w:rsidRPr="00854D4B">
        <w:rPr>
          <w:lang w:val="en-GB"/>
        </w:rPr>
        <w:t xml:space="preserve"> </w:t>
      </w:r>
      <w:r w:rsidRPr="00BB7EC6">
        <w:rPr>
          <w:lang w:val="en-GB"/>
        </w:rPr>
        <w:t xml:space="preserve">considered that the baseline annual mortality risk may </w:t>
      </w:r>
      <w:r>
        <w:rPr>
          <w:lang w:val="en-GB"/>
        </w:rPr>
        <w:t xml:space="preserve">have </w:t>
      </w:r>
      <w:r w:rsidRPr="00BB7EC6">
        <w:rPr>
          <w:lang w:val="en-GB"/>
        </w:rPr>
        <w:t>be</w:t>
      </w:r>
      <w:r>
        <w:rPr>
          <w:lang w:val="en-GB"/>
        </w:rPr>
        <w:t>en</w:t>
      </w:r>
      <w:r w:rsidRPr="00BB7EC6">
        <w:rPr>
          <w:lang w:val="en-GB"/>
        </w:rPr>
        <w:t xml:space="preserve"> too high and not applicable to the population eligible for the technology. The committee </w:t>
      </w:r>
      <w:r>
        <w:rPr>
          <w:lang w:val="en-GB"/>
        </w:rPr>
        <w:t>concluded that</w:t>
      </w:r>
      <w:r w:rsidRPr="00BB7EC6">
        <w:rPr>
          <w:lang w:val="en-GB"/>
        </w:rPr>
        <w:t xml:space="preserve"> the results of the ERG and company approaches </w:t>
      </w:r>
      <w:r>
        <w:rPr>
          <w:lang w:val="en-GB"/>
        </w:rPr>
        <w:t>were</w:t>
      </w:r>
      <w:r w:rsidRPr="00BB7EC6">
        <w:rPr>
          <w:lang w:val="en-GB"/>
        </w:rPr>
        <w:t xml:space="preserve"> exploratory </w:t>
      </w:r>
      <w:r w:rsidRPr="00BB7EC6">
        <w:rPr>
          <w:lang w:val="en-GB"/>
        </w:rPr>
        <w:lastRenderedPageBreak/>
        <w:t>estimates</w:t>
      </w:r>
      <w:r>
        <w:rPr>
          <w:lang w:val="en-GB"/>
        </w:rPr>
        <w:t>. Because</w:t>
      </w:r>
      <w:r w:rsidRPr="00BB7EC6">
        <w:rPr>
          <w:lang w:val="en-GB"/>
        </w:rPr>
        <w:t xml:space="preserve"> there was</w:t>
      </w:r>
      <w:r>
        <w:rPr>
          <w:lang w:val="en-GB"/>
        </w:rPr>
        <w:t xml:space="preserve"> no</w:t>
      </w:r>
      <w:r w:rsidRPr="00BB7EC6">
        <w:rPr>
          <w:lang w:val="en-GB"/>
        </w:rPr>
        <w:t xml:space="preserve"> supporting evidence from the literature, </w:t>
      </w:r>
      <w:r>
        <w:rPr>
          <w:lang w:val="en-GB"/>
        </w:rPr>
        <w:t xml:space="preserve">it </w:t>
      </w:r>
      <w:r w:rsidRPr="00BB7EC6">
        <w:rPr>
          <w:lang w:val="en-GB"/>
        </w:rPr>
        <w:t xml:space="preserve">considered both approaches in </w:t>
      </w:r>
      <w:r>
        <w:rPr>
          <w:lang w:val="en-GB"/>
        </w:rPr>
        <w:t xml:space="preserve">its </w:t>
      </w:r>
      <w:r w:rsidRPr="00BB7EC6">
        <w:rPr>
          <w:lang w:val="en-GB"/>
        </w:rPr>
        <w:t>decision making.</w:t>
      </w:r>
    </w:p>
    <w:p w14:paraId="4843D807" w14:textId="77777777" w:rsidR="00715F07" w:rsidRDefault="00715F07" w:rsidP="00715F07">
      <w:pPr>
        <w:pStyle w:val="Heading2"/>
      </w:pPr>
      <w:r>
        <w:t>Long-term outcomes</w:t>
      </w:r>
    </w:p>
    <w:p w14:paraId="6DC3571D" w14:textId="77777777" w:rsidR="00715F07" w:rsidRPr="004826F4" w:rsidRDefault="00715F07" w:rsidP="00715F07">
      <w:pPr>
        <w:pStyle w:val="Heading3"/>
      </w:pPr>
      <w:r>
        <w:t>Zero mortality from a myeloablative regimen plus b</w:t>
      </w:r>
      <w:r w:rsidRPr="00AF21FB">
        <w:t xml:space="preserve">etibeglogene autotemcel </w:t>
      </w:r>
      <w:r>
        <w:t>is clinically implausible</w:t>
      </w:r>
    </w:p>
    <w:p w14:paraId="79F1D3D1" w14:textId="77777777" w:rsidR="00715F07" w:rsidRPr="006F0833" w:rsidRDefault="00715F07" w:rsidP="00715F07">
      <w:pPr>
        <w:pStyle w:val="Numberedlevel2text"/>
        <w:numPr>
          <w:ilvl w:val="1"/>
          <w:numId w:val="1"/>
        </w:numPr>
      </w:pPr>
      <w:r w:rsidRPr="00854D4B">
        <w:rPr>
          <w:lang w:val="en-GB"/>
        </w:rPr>
        <w:t xml:space="preserve">The company </w:t>
      </w:r>
      <w:r>
        <w:rPr>
          <w:lang w:val="en-GB"/>
        </w:rPr>
        <w:t>assumed:</w:t>
      </w:r>
    </w:p>
    <w:p w14:paraId="4D57E280" w14:textId="77777777" w:rsidR="00715F07" w:rsidRDefault="00715F07" w:rsidP="00715F07">
      <w:pPr>
        <w:pStyle w:val="Bulletindent1"/>
      </w:pPr>
      <w:r>
        <w:t xml:space="preserve">that </w:t>
      </w:r>
      <w:r w:rsidRPr="00854D4B">
        <w:t xml:space="preserve">the </w:t>
      </w:r>
      <w:r w:rsidRPr="004826F4">
        <w:t xml:space="preserve">engraftment procedure </w:t>
      </w:r>
      <w:r w:rsidRPr="00854D4B">
        <w:t xml:space="preserve">was </w:t>
      </w:r>
      <w:r w:rsidRPr="004826F4">
        <w:t xml:space="preserve">successful for </w:t>
      </w:r>
      <w:r>
        <w:t>everyone</w:t>
      </w:r>
      <w:r w:rsidRPr="004826F4">
        <w:t xml:space="preserve"> in </w:t>
      </w:r>
      <w:r w:rsidRPr="00854D4B">
        <w:t xml:space="preserve">the </w:t>
      </w:r>
      <w:r w:rsidRPr="004826F4">
        <w:t xml:space="preserve">model because there </w:t>
      </w:r>
      <w:r>
        <w:t>had been</w:t>
      </w:r>
      <w:r w:rsidRPr="004826F4">
        <w:t xml:space="preserve"> no engraftment failures in </w:t>
      </w:r>
      <w:r w:rsidRPr="00854D4B">
        <w:t xml:space="preserve">the </w:t>
      </w:r>
      <w:r w:rsidRPr="004826F4">
        <w:t>betibeglogene autotemcel</w:t>
      </w:r>
      <w:r w:rsidRPr="00854D4B">
        <w:t xml:space="preserve"> trials</w:t>
      </w:r>
    </w:p>
    <w:p w14:paraId="3F991FCB" w14:textId="77777777" w:rsidR="00715F07" w:rsidRDefault="00715F07" w:rsidP="00715F07">
      <w:pPr>
        <w:pStyle w:val="Bulletindent1"/>
      </w:pPr>
      <w:r>
        <w:t xml:space="preserve">no </w:t>
      </w:r>
      <w:r w:rsidRPr="00914781">
        <w:t>graft loss leading to a return to transfusions for people who did not need transfusions after betibeglogene autotemcel</w:t>
      </w:r>
      <w:r>
        <w:t>.</w:t>
      </w:r>
    </w:p>
    <w:p w14:paraId="706579AC" w14:textId="77777777" w:rsidR="00715F07" w:rsidRPr="008D060A" w:rsidRDefault="00715F07" w:rsidP="00715F07">
      <w:pPr>
        <w:pStyle w:val="Bulletindent1"/>
        <w:numPr>
          <w:ilvl w:val="0"/>
          <w:numId w:val="0"/>
        </w:numPr>
        <w:ind w:left="1134" w:firstLine="284"/>
      </w:pPr>
      <w:r w:rsidRPr="00914781">
        <w:rPr>
          <w:rStyle w:val="Numberedlevel2textChar"/>
        </w:rPr>
        <w:br/>
        <w:t xml:space="preserve">The ERG pointed out that the need to collect back-up cells for rescue treatment as part of the betibeglogene autotemcel protocol indicates that risk of engraftment failure exists. The company’s submission included 24 people from the trials who were transfusion evaluable. There was also a maximum follow up of 61 complete months of data. The ERG thought this was insufficient to determine whether long-term permanent engraftment occurs in everyone (and its clinical adviser thought it would be too optimistic to assume permanent engraftment for all). One clinical expert explained that graft versus host disease would not be a concern with betibeglogene autotemcel treatment because the infusion uses the recipients’ own cells (unlike in HSCT). However, gram-negative sepsis, infections and other complications of myeloablative conditioning represent a non-zero mortality risk. So, there will be some mortality and morbidity (for example, infertility) associated with the betibeglogene autotemcel protocol in clinical practice. As a result, the committee concluded that a </w:t>
      </w:r>
      <w:r w:rsidRPr="00914781">
        <w:rPr>
          <w:rStyle w:val="Numberedlevel2textChar"/>
        </w:rPr>
        <w:lastRenderedPageBreak/>
        <w:t>zero mortality assumption for myeloablative conditioning followed by betibeglogene autotemcel was overly optimistic and clinically implausible.</w:t>
      </w:r>
    </w:p>
    <w:p w14:paraId="7FF9ADE5" w14:textId="77777777" w:rsidR="00715F07" w:rsidRPr="00AF21FB" w:rsidRDefault="00715F07" w:rsidP="00715F07">
      <w:pPr>
        <w:pStyle w:val="Heading2"/>
      </w:pPr>
      <w:r>
        <w:t>Company’s model and cost-effectiveness evidence</w:t>
      </w:r>
    </w:p>
    <w:p w14:paraId="2891387B" w14:textId="77777777" w:rsidR="00715F07" w:rsidRDefault="00715F07" w:rsidP="00715F07">
      <w:pPr>
        <w:pStyle w:val="Heading3"/>
      </w:pPr>
      <w:r>
        <w:t>The model should be run with a higher number of profiles to get stable ICER values</w:t>
      </w:r>
    </w:p>
    <w:p w14:paraId="66309E1F" w14:textId="77777777" w:rsidR="00715F07" w:rsidRPr="00017202" w:rsidRDefault="00715F07" w:rsidP="00715F07">
      <w:pPr>
        <w:pStyle w:val="Numberedlevel2text"/>
        <w:numPr>
          <w:ilvl w:val="1"/>
          <w:numId w:val="1"/>
        </w:numPr>
      </w:pPr>
      <w:r>
        <w:rPr>
          <w:lang w:val="en-GB"/>
        </w:rPr>
        <w:t xml:space="preserve">The company selected a </w:t>
      </w:r>
      <w:r w:rsidRPr="00DE08CE">
        <w:rPr>
          <w:lang w:val="en-GB"/>
        </w:rPr>
        <w:t xml:space="preserve">discretely-integrated condition event (DICE) simulation </w:t>
      </w:r>
      <w:r>
        <w:rPr>
          <w:lang w:val="en-GB"/>
        </w:rPr>
        <w:t>as the structure for its model. The model simulated a</w:t>
      </w:r>
      <w:r w:rsidRPr="00343207">
        <w:rPr>
          <w:lang w:val="en-GB"/>
        </w:rPr>
        <w:t xml:space="preserve"> number of ‘profiles’</w:t>
      </w:r>
      <w:r>
        <w:rPr>
          <w:lang w:val="en-GB"/>
        </w:rPr>
        <w:t>, or</w:t>
      </w:r>
      <w:r w:rsidRPr="00343207">
        <w:rPr>
          <w:lang w:val="en-GB"/>
        </w:rPr>
        <w:t xml:space="preserve"> hypothetical patients defined by age and </w:t>
      </w:r>
      <w:r>
        <w:rPr>
          <w:lang w:val="en-GB"/>
        </w:rPr>
        <w:t>sex. E</w:t>
      </w:r>
      <w:r w:rsidRPr="00343207">
        <w:rPr>
          <w:lang w:val="en-GB"/>
        </w:rPr>
        <w:t xml:space="preserve">ach profile </w:t>
      </w:r>
      <w:r>
        <w:rPr>
          <w:lang w:val="en-GB"/>
        </w:rPr>
        <w:t xml:space="preserve">was </w:t>
      </w:r>
      <w:r w:rsidRPr="00343207">
        <w:rPr>
          <w:lang w:val="en-GB"/>
        </w:rPr>
        <w:t xml:space="preserve">weighted to reflect the distribution of patients in the eligible treatment population. </w:t>
      </w:r>
      <w:r>
        <w:rPr>
          <w:lang w:val="en-GB"/>
        </w:rPr>
        <w:t xml:space="preserve">The company presented cost-effectiveness results based on analyses with 600 profiles. It stated that increasing the number of profiles also </w:t>
      </w:r>
      <w:r w:rsidRPr="00343207">
        <w:rPr>
          <w:lang w:val="en-GB"/>
        </w:rPr>
        <w:t>increas</w:t>
      </w:r>
      <w:r>
        <w:rPr>
          <w:lang w:val="en-GB"/>
        </w:rPr>
        <w:t>ed the</w:t>
      </w:r>
      <w:r w:rsidRPr="00343207">
        <w:rPr>
          <w:lang w:val="en-GB"/>
        </w:rPr>
        <w:t xml:space="preserve"> model runtime by an order of magnitude without providing significant additional information </w:t>
      </w:r>
      <w:r>
        <w:rPr>
          <w:lang w:val="en-GB"/>
        </w:rPr>
        <w:t>about</w:t>
      </w:r>
      <w:r w:rsidRPr="00343207">
        <w:rPr>
          <w:lang w:val="en-GB"/>
        </w:rPr>
        <w:t xml:space="preserve"> cost</w:t>
      </w:r>
      <w:r>
        <w:rPr>
          <w:lang w:val="en-GB"/>
        </w:rPr>
        <w:t xml:space="preserve"> </w:t>
      </w:r>
      <w:r w:rsidRPr="00343207">
        <w:rPr>
          <w:lang w:val="en-GB"/>
        </w:rPr>
        <w:t>effectiveness</w:t>
      </w:r>
      <w:r>
        <w:rPr>
          <w:lang w:val="en-GB"/>
        </w:rPr>
        <w:t>. The ERG and NICE technical team ran the company’s base-case analysis in the model but varied the number of simulated patient profiles (up to 50,000). They found that the ICER stabilised at around 5,000 profiles. The ERG was concerned that the company did not provide an</w:t>
      </w:r>
      <w:r w:rsidRPr="00343207">
        <w:rPr>
          <w:lang w:val="en-GB"/>
        </w:rPr>
        <w:t xml:space="preserve"> explanation as to why the</w:t>
      </w:r>
      <w:r>
        <w:rPr>
          <w:lang w:val="en-GB"/>
        </w:rPr>
        <w:t xml:space="preserve"> latter’s preferred</w:t>
      </w:r>
      <w:r w:rsidRPr="00343207">
        <w:rPr>
          <w:lang w:val="en-GB"/>
        </w:rPr>
        <w:t xml:space="preserve"> analysis (600</w:t>
      </w:r>
      <w:r>
        <w:rPr>
          <w:lang w:val="en-GB"/>
        </w:rPr>
        <w:t> </w:t>
      </w:r>
      <w:r w:rsidRPr="00343207">
        <w:rPr>
          <w:lang w:val="en-GB"/>
        </w:rPr>
        <w:t>simulated profiles) generated a lower ICER than analyses run with a higher number of iterations</w:t>
      </w:r>
      <w:r>
        <w:rPr>
          <w:lang w:val="en-GB"/>
        </w:rPr>
        <w:t>. The ERG explained that s</w:t>
      </w:r>
      <w:r w:rsidRPr="004D2D2C">
        <w:rPr>
          <w:lang w:val="en-GB"/>
        </w:rPr>
        <w:t xml:space="preserve">tochastic models, such as </w:t>
      </w:r>
      <w:r>
        <w:rPr>
          <w:lang w:val="en-GB"/>
        </w:rPr>
        <w:t>DICE</w:t>
      </w:r>
      <w:r w:rsidRPr="004D2D2C">
        <w:rPr>
          <w:lang w:val="en-GB"/>
        </w:rPr>
        <w:t xml:space="preserve">, typically </w:t>
      </w:r>
      <w:r>
        <w:rPr>
          <w:lang w:val="en-GB"/>
        </w:rPr>
        <w:t>need</w:t>
      </w:r>
      <w:r w:rsidRPr="004D2D2C">
        <w:rPr>
          <w:lang w:val="en-GB"/>
        </w:rPr>
        <w:t xml:space="preserve"> a large number of iterations to generate stable results</w:t>
      </w:r>
      <w:r>
        <w:rPr>
          <w:lang w:val="en-GB"/>
        </w:rPr>
        <w:t>. This is because</w:t>
      </w:r>
      <w:r w:rsidRPr="004D2D2C">
        <w:rPr>
          <w:lang w:val="en-GB"/>
        </w:rPr>
        <w:t xml:space="preserve"> some variation will appear as a result of ‘random noise’, or first-order uncertainty</w:t>
      </w:r>
      <w:r>
        <w:rPr>
          <w:lang w:val="en-GB"/>
        </w:rPr>
        <w:t>. Long r</w:t>
      </w:r>
      <w:r w:rsidRPr="00005658">
        <w:rPr>
          <w:lang w:val="en-GB"/>
        </w:rPr>
        <w:t xml:space="preserve">untime for DICE models was </w:t>
      </w:r>
      <w:r>
        <w:rPr>
          <w:lang w:val="en-GB"/>
        </w:rPr>
        <w:t>known</w:t>
      </w:r>
      <w:r w:rsidRPr="00005658">
        <w:rPr>
          <w:lang w:val="en-GB"/>
        </w:rPr>
        <w:t xml:space="preserve"> </w:t>
      </w:r>
      <w:r>
        <w:rPr>
          <w:lang w:val="en-GB"/>
        </w:rPr>
        <w:t>in the literature before</w:t>
      </w:r>
      <w:r w:rsidRPr="00005658">
        <w:rPr>
          <w:lang w:val="en-GB"/>
        </w:rPr>
        <w:t xml:space="preserve"> this appraisal</w:t>
      </w:r>
      <w:r>
        <w:rPr>
          <w:lang w:val="en-GB"/>
        </w:rPr>
        <w:t>,</w:t>
      </w:r>
      <w:r w:rsidRPr="00005658">
        <w:rPr>
          <w:lang w:val="en-GB"/>
        </w:rPr>
        <w:t xml:space="preserve"> and should have been factored into</w:t>
      </w:r>
      <w:r>
        <w:rPr>
          <w:lang w:val="en-GB"/>
        </w:rPr>
        <w:t xml:space="preserve"> the</w:t>
      </w:r>
      <w:r w:rsidRPr="00005658">
        <w:rPr>
          <w:lang w:val="en-GB"/>
        </w:rPr>
        <w:t xml:space="preserve"> company’s decision to use this modelling approach</w:t>
      </w:r>
      <w:r>
        <w:rPr>
          <w:lang w:val="en-GB"/>
        </w:rPr>
        <w:t>.</w:t>
      </w:r>
      <w:r w:rsidRPr="00BD4096">
        <w:rPr>
          <w:lang w:val="en-GB"/>
        </w:rPr>
        <w:t xml:space="preserve"> </w:t>
      </w:r>
      <w:r>
        <w:rPr>
          <w:lang w:val="en-GB"/>
        </w:rPr>
        <w:t xml:space="preserve">The ERG confirmed that increasing the number of profiles would not decrease accuracy, with the only negative impact being an increased model runtime. The committee considered that 600 profiles was not sufficient, and that a higher number of profiles should have been used to get stable ICERs. It concluded that </w:t>
      </w:r>
      <w:r>
        <w:rPr>
          <w:lang w:val="en-GB"/>
        </w:rPr>
        <w:lastRenderedPageBreak/>
        <w:t>analyses with a higher number of profiles (5,000 instead of 600) should be used in its decision making to get stable ICER values.</w:t>
      </w:r>
    </w:p>
    <w:p w14:paraId="722F0A7D" w14:textId="77777777" w:rsidR="00715F07" w:rsidRDefault="00715F07" w:rsidP="00715F07">
      <w:pPr>
        <w:pStyle w:val="Heading3"/>
      </w:pPr>
      <w:r>
        <w:t>Costs of fertility preservation should be included</w:t>
      </w:r>
    </w:p>
    <w:p w14:paraId="11B24796" w14:textId="77777777" w:rsidR="00715F07" w:rsidRPr="00693079" w:rsidRDefault="00715F07" w:rsidP="00715F07">
      <w:pPr>
        <w:pStyle w:val="Numberedlevel2text"/>
        <w:numPr>
          <w:ilvl w:val="1"/>
          <w:numId w:val="1"/>
        </w:numPr>
      </w:pPr>
      <w:r>
        <w:rPr>
          <w:lang w:val="en-GB"/>
        </w:rPr>
        <w:t xml:space="preserve">Myeloablative conditioning can cause infertility, so fertility preservation is now common in the early stages of the HSCT process. The ERG noted that myeloablative conditioning is also needed as part of the </w:t>
      </w:r>
      <w:r w:rsidRPr="00390943">
        <w:rPr>
          <w:lang w:val="en-GB"/>
        </w:rPr>
        <w:t>betibeglogene autotemcel</w:t>
      </w:r>
      <w:r>
        <w:rPr>
          <w:lang w:val="en-GB"/>
        </w:rPr>
        <w:t xml:space="preserve"> process. However, the costs for fertility preservation were not included in the company’s model. One patient expert explained that it is usually parents or carers who make the decision for their child with TDT to have HSCT. However, they said that many people with TDT would have made a different decision for themselves as an adult. They explained that, because treatment with </w:t>
      </w:r>
      <w:r w:rsidRPr="00A8378A">
        <w:rPr>
          <w:lang w:val="en-GB"/>
        </w:rPr>
        <w:t>betibeglogene autotemcel</w:t>
      </w:r>
      <w:r>
        <w:rPr>
          <w:lang w:val="en-GB"/>
        </w:rPr>
        <w:t xml:space="preserve"> can be done at a later age than HSCT, being able to make a choice about their own fertility is important. The committee considered that the costs for fertility preservation ahead of treatment with </w:t>
      </w:r>
      <w:bookmarkStart w:id="7" w:name="_Hlk61821226"/>
      <w:r>
        <w:rPr>
          <w:lang w:val="en-GB"/>
        </w:rPr>
        <w:t xml:space="preserve">myeloablative conditioning </w:t>
      </w:r>
      <w:bookmarkEnd w:id="7"/>
      <w:r>
        <w:rPr>
          <w:lang w:val="en-GB"/>
        </w:rPr>
        <w:t xml:space="preserve">followed by </w:t>
      </w:r>
      <w:r w:rsidRPr="00A8378A">
        <w:rPr>
          <w:lang w:val="en-GB"/>
        </w:rPr>
        <w:t>betibeglogene autotemcel</w:t>
      </w:r>
      <w:r>
        <w:rPr>
          <w:lang w:val="en-GB"/>
        </w:rPr>
        <w:t xml:space="preserve"> should be included in the model.</w:t>
      </w:r>
    </w:p>
    <w:p w14:paraId="7F7107CD" w14:textId="77777777" w:rsidR="00715F07" w:rsidRDefault="00715F07" w:rsidP="00715F07">
      <w:pPr>
        <w:pStyle w:val="Heading2"/>
      </w:pPr>
      <w:r>
        <w:t>Cost effectiveness</w:t>
      </w:r>
    </w:p>
    <w:p w14:paraId="2E453A29" w14:textId="77777777" w:rsidR="00715F07" w:rsidRDefault="00715F07" w:rsidP="00715F07">
      <w:pPr>
        <w:pStyle w:val="Heading3"/>
      </w:pPr>
      <w:r>
        <w:t>The company’s base case does not reflect the committee’s preferred assumptions</w:t>
      </w:r>
    </w:p>
    <w:p w14:paraId="30D505F2" w14:textId="77777777" w:rsidR="00715F07" w:rsidRPr="009C1EF7" w:rsidRDefault="00715F07" w:rsidP="00715F07">
      <w:pPr>
        <w:pStyle w:val="Numberedlevel2text"/>
        <w:numPr>
          <w:ilvl w:val="1"/>
          <w:numId w:val="1"/>
        </w:numPr>
      </w:pPr>
      <w:r w:rsidRPr="006B2ED8">
        <w:rPr>
          <w:lang w:val="en-GB"/>
        </w:rPr>
        <w:t xml:space="preserve">The ICERs in this appraisal are considered to be commercially sensitive by the company, </w:t>
      </w:r>
      <w:r>
        <w:rPr>
          <w:lang w:val="en-GB"/>
        </w:rPr>
        <w:t>so</w:t>
      </w:r>
      <w:r w:rsidRPr="006B2ED8">
        <w:rPr>
          <w:lang w:val="en-GB"/>
        </w:rPr>
        <w:t xml:space="preserve"> cannot be reported here.</w:t>
      </w:r>
      <w:r>
        <w:rPr>
          <w:lang w:val="en-GB"/>
        </w:rPr>
        <w:t xml:space="preserve"> The committee agreed that its preferred approach to modelling would:</w:t>
      </w:r>
    </w:p>
    <w:p w14:paraId="7751E097" w14:textId="77777777" w:rsidR="00715F07" w:rsidRPr="009C1EF7" w:rsidRDefault="00715F07" w:rsidP="00715F07">
      <w:pPr>
        <w:pStyle w:val="Bulletindent1"/>
      </w:pPr>
      <w:r>
        <w:t>use the reference case discount rate for costs and benefits (3.5%)</w:t>
      </w:r>
    </w:p>
    <w:p w14:paraId="1B21EC3B" w14:textId="77777777" w:rsidR="00715F07" w:rsidRPr="009C1EF7" w:rsidRDefault="00715F07" w:rsidP="00715F07">
      <w:pPr>
        <w:pStyle w:val="Bulletindent1"/>
      </w:pPr>
      <w:r>
        <w:t>use the ERG’s preferred approach to utilities</w:t>
      </w:r>
    </w:p>
    <w:p w14:paraId="7F705225" w14:textId="77777777" w:rsidR="00715F07" w:rsidRDefault="00715F07" w:rsidP="00715F07">
      <w:pPr>
        <w:pStyle w:val="Bulletindent1"/>
      </w:pPr>
      <w:r>
        <w:t>limit the UK Chart Review population data to match the population in the clinical-effectiveness data</w:t>
      </w:r>
    </w:p>
    <w:p w14:paraId="130C56EC" w14:textId="77777777" w:rsidR="00715F07" w:rsidRPr="009C1EF7" w:rsidRDefault="00715F07" w:rsidP="00715F07">
      <w:pPr>
        <w:pStyle w:val="Bulletindent1"/>
      </w:pPr>
      <w:r>
        <w:lastRenderedPageBreak/>
        <w:t>set the time to normalisation for cardiac iron and liver iron to 5 years</w:t>
      </w:r>
    </w:p>
    <w:p w14:paraId="5B6F4A6A" w14:textId="77777777" w:rsidR="00715F07" w:rsidRPr="009C1EF7" w:rsidRDefault="00715F07" w:rsidP="00715F07">
      <w:pPr>
        <w:pStyle w:val="Bulletindent1"/>
      </w:pPr>
      <w:r>
        <w:t xml:space="preserve">incorporate a non-zero mortality associated with </w:t>
      </w:r>
      <w:r w:rsidRPr="009C1EF7">
        <w:t>myeloablative conditioning followed by betibeglogene autotemcel</w:t>
      </w:r>
      <w:r w:rsidRPr="006B2ED8">
        <w:t xml:space="preserve"> </w:t>
      </w:r>
      <w:r>
        <w:t>(there were no data available to run a scenario featuring this assumption, but it would increase the ICER)</w:t>
      </w:r>
    </w:p>
    <w:p w14:paraId="5786A491" w14:textId="77777777" w:rsidR="00715F07" w:rsidRDefault="00715F07" w:rsidP="00715F07">
      <w:pPr>
        <w:pStyle w:val="Bulletindent1"/>
      </w:pPr>
      <w:r>
        <w:t>use 5,000 simulated profiles</w:t>
      </w:r>
    </w:p>
    <w:p w14:paraId="63642345" w14:textId="77777777" w:rsidR="00715F07" w:rsidRPr="009C1EF7" w:rsidRDefault="00715F07" w:rsidP="00715F07">
      <w:pPr>
        <w:pStyle w:val="Bulletindent1"/>
      </w:pPr>
      <w:r>
        <w:t xml:space="preserve">include </w:t>
      </w:r>
      <w:r w:rsidRPr="00914781">
        <w:t>costs of fertility preservation before myeloablative conditioning followed by betibeglogene autotemcel (there were no data available to run a scenario featuring this assumption, but it would increase the</w:t>
      </w:r>
      <w:r>
        <w:t xml:space="preserve"> ICER).</w:t>
      </w:r>
    </w:p>
    <w:p w14:paraId="13A9EAAE" w14:textId="77777777" w:rsidR="00715F07" w:rsidRPr="00A35136" w:rsidRDefault="00715F07" w:rsidP="00715F07">
      <w:pPr>
        <w:pStyle w:val="Bulletindent1last"/>
        <w:numPr>
          <w:ilvl w:val="0"/>
          <w:numId w:val="0"/>
        </w:numPr>
        <w:ind w:left="1134"/>
      </w:pPr>
      <w:bookmarkStart w:id="8" w:name="_Hlk24556768"/>
      <w:r>
        <w:br/>
        <w:t xml:space="preserve">The ICER using the committee’s preferred assumptions </w:t>
      </w:r>
      <w:r w:rsidRPr="00A35136">
        <w:t xml:space="preserve">considerably </w:t>
      </w:r>
      <w:r>
        <w:t xml:space="preserve">exceeded the top end of the range normally considered a cost-effective use of NHS resources. Even when the company’s preferred non-reference case discount rate for costs and benefits was used alongside </w:t>
      </w:r>
      <w:r w:rsidRPr="00A35136">
        <w:t xml:space="preserve">the </w:t>
      </w:r>
      <w:r>
        <w:t>committee’s preferred assumptions, the ICER still exceeded the top end of th</w:t>
      </w:r>
      <w:r w:rsidRPr="00A35136">
        <w:t>e</w:t>
      </w:r>
      <w:r>
        <w:t xml:space="preserve"> range</w:t>
      </w:r>
      <w:r w:rsidRPr="00A35136">
        <w:t xml:space="preserve"> usually considered a cost</w:t>
      </w:r>
      <w:r>
        <w:t>-</w:t>
      </w:r>
      <w:r w:rsidRPr="00A35136">
        <w:t>effective use of NHS resources.</w:t>
      </w:r>
    </w:p>
    <w:bookmarkEnd w:id="8"/>
    <w:p w14:paraId="789CDC2A" w14:textId="77777777" w:rsidR="00715F07" w:rsidRDefault="00715F07" w:rsidP="00715F07">
      <w:pPr>
        <w:pStyle w:val="Heading2"/>
      </w:pPr>
      <w:r>
        <w:t>Equalities</w:t>
      </w:r>
    </w:p>
    <w:p w14:paraId="34B737FC" w14:textId="77777777" w:rsidR="00715F07" w:rsidRPr="000F765B" w:rsidRDefault="00715F07" w:rsidP="00715F07">
      <w:pPr>
        <w:pStyle w:val="Heading3"/>
      </w:pPr>
      <w:r w:rsidRPr="00D23523">
        <w:t xml:space="preserve">The </w:t>
      </w:r>
      <w:r w:rsidRPr="0005394E">
        <w:t xml:space="preserve">incidence of a condition in different </w:t>
      </w:r>
      <w:r>
        <w:t>population</w:t>
      </w:r>
      <w:r w:rsidRPr="0005394E">
        <w:t xml:space="preserve"> groups</w:t>
      </w:r>
      <w:r>
        <w:t xml:space="preserve"> </w:t>
      </w:r>
      <w:r w:rsidRPr="0005394E">
        <w:t>is outside the remit of a technology appraisal</w:t>
      </w:r>
    </w:p>
    <w:p w14:paraId="73EB9AC8" w14:textId="77777777" w:rsidR="00715F07" w:rsidRDefault="00715F07" w:rsidP="00715F07">
      <w:pPr>
        <w:pStyle w:val="Numberedlevel2text"/>
        <w:numPr>
          <w:ilvl w:val="1"/>
          <w:numId w:val="1"/>
        </w:numPr>
      </w:pPr>
      <w:r w:rsidRPr="00E11059">
        <w:rPr>
          <w:lang w:val="en-GB"/>
        </w:rPr>
        <w:t xml:space="preserve">In the UK, </w:t>
      </w:r>
      <w:r w:rsidRPr="00854D4B">
        <w:rPr>
          <w:lang w:val="en-GB"/>
        </w:rPr>
        <w:t>TDT</w:t>
      </w:r>
      <w:r w:rsidRPr="00344603">
        <w:rPr>
          <w:bCs w:val="0"/>
          <w:iCs w:val="0"/>
        </w:rPr>
        <w:t xml:space="preserve"> is mostly seen in ethnic minority populations, the largest groups being </w:t>
      </w:r>
      <w:r>
        <w:rPr>
          <w:bCs w:val="0"/>
          <w:iCs w:val="0"/>
          <w:lang w:val="en-GB"/>
        </w:rPr>
        <w:t xml:space="preserve">in people with </w:t>
      </w:r>
      <w:r w:rsidRPr="00344603">
        <w:rPr>
          <w:bCs w:val="0"/>
          <w:iCs w:val="0"/>
        </w:rPr>
        <w:t xml:space="preserve">Pakistani, Indian </w:t>
      </w:r>
      <w:r>
        <w:rPr>
          <w:bCs w:val="0"/>
          <w:iCs w:val="0"/>
          <w:lang w:val="en-GB"/>
        </w:rPr>
        <w:t>or</w:t>
      </w:r>
      <w:r w:rsidRPr="00344603">
        <w:rPr>
          <w:bCs w:val="0"/>
          <w:iCs w:val="0"/>
        </w:rPr>
        <w:t xml:space="preserve"> Bangladeshi</w:t>
      </w:r>
      <w:r>
        <w:rPr>
          <w:bCs w:val="0"/>
          <w:iCs w:val="0"/>
          <w:lang w:val="en-GB"/>
        </w:rPr>
        <w:t xml:space="preserve"> family background</w:t>
      </w:r>
      <w:r w:rsidRPr="00344603">
        <w:rPr>
          <w:bCs w:val="0"/>
          <w:iCs w:val="0"/>
        </w:rPr>
        <w:t xml:space="preserve">. Some people with TD, and parents or carers of people with TDT, noted the stigma still associated with the condition in particular communities. Some families </w:t>
      </w:r>
      <w:r>
        <w:rPr>
          <w:bCs w:val="0"/>
          <w:iCs w:val="0"/>
          <w:lang w:val="en-GB"/>
        </w:rPr>
        <w:t>said</w:t>
      </w:r>
      <w:r w:rsidRPr="00344603">
        <w:rPr>
          <w:bCs w:val="0"/>
          <w:iCs w:val="0"/>
        </w:rPr>
        <w:t xml:space="preserve"> they were unable to tell anyone outside of their immediate family for fear that they (patient</w:t>
      </w:r>
      <w:r>
        <w:rPr>
          <w:bCs w:val="0"/>
          <w:iCs w:val="0"/>
          <w:lang w:val="en-GB"/>
        </w:rPr>
        <w:t>s</w:t>
      </w:r>
      <w:r w:rsidRPr="00344603">
        <w:rPr>
          <w:bCs w:val="0"/>
          <w:iCs w:val="0"/>
        </w:rPr>
        <w:t>) or their children (parent</w:t>
      </w:r>
      <w:r>
        <w:rPr>
          <w:bCs w:val="0"/>
          <w:iCs w:val="0"/>
          <w:lang w:val="en-GB"/>
        </w:rPr>
        <w:t>s</w:t>
      </w:r>
      <w:r w:rsidRPr="00344603">
        <w:rPr>
          <w:bCs w:val="0"/>
          <w:iCs w:val="0"/>
        </w:rPr>
        <w:t xml:space="preserve">) would be victimised or wrongly judged. One patient expert explained that people with TDT are ‘seen as a burden to their parents, spouse and the NHS’, and that there is a lack of education around the </w:t>
      </w:r>
      <w:r w:rsidRPr="00344603">
        <w:rPr>
          <w:bCs w:val="0"/>
          <w:iCs w:val="0"/>
        </w:rPr>
        <w:lastRenderedPageBreak/>
        <w:t xml:space="preserve">condition in some communities. One clinical expert involved in the appraisal explained that there is a cultural element that is important for this topic because the UK TDT population is increasingly of Asian </w:t>
      </w:r>
      <w:r>
        <w:rPr>
          <w:bCs w:val="0"/>
          <w:iCs w:val="0"/>
          <w:lang w:val="en-GB"/>
        </w:rPr>
        <w:t>family background</w:t>
      </w:r>
      <w:r w:rsidRPr="00344603">
        <w:rPr>
          <w:bCs w:val="0"/>
          <w:iCs w:val="0"/>
        </w:rPr>
        <w:t xml:space="preserve">. They also noted that the stigma burden for some patients and their families may not have been captured in the </w:t>
      </w:r>
      <w:r>
        <w:rPr>
          <w:bCs w:val="0"/>
          <w:iCs w:val="0"/>
          <w:lang w:val="en-GB"/>
        </w:rPr>
        <w:t>quality-adjusted life years (</w:t>
      </w:r>
      <w:r w:rsidRPr="00344603">
        <w:rPr>
          <w:bCs w:val="0"/>
          <w:iCs w:val="0"/>
        </w:rPr>
        <w:t>QALYs</w:t>
      </w:r>
      <w:r>
        <w:rPr>
          <w:bCs w:val="0"/>
          <w:iCs w:val="0"/>
          <w:lang w:val="en-GB"/>
        </w:rPr>
        <w:t>)</w:t>
      </w:r>
      <w:r w:rsidRPr="00344603">
        <w:rPr>
          <w:bCs w:val="0"/>
          <w:iCs w:val="0"/>
        </w:rPr>
        <w:t xml:space="preserve">. </w:t>
      </w:r>
      <w:r w:rsidRPr="000F765B">
        <w:rPr>
          <w:lang w:val="en-GB"/>
        </w:rPr>
        <w:t>T</w:t>
      </w:r>
      <w:r w:rsidRPr="00E11059">
        <w:rPr>
          <w:lang w:val="en-GB"/>
        </w:rPr>
        <w:t>he NHS England commissioning expert</w:t>
      </w:r>
      <w:r w:rsidRPr="00854D4B">
        <w:rPr>
          <w:lang w:val="en-GB"/>
        </w:rPr>
        <w:t xml:space="preserve"> </w:t>
      </w:r>
      <w:r w:rsidRPr="00344603">
        <w:rPr>
          <w:bCs w:val="0"/>
          <w:iCs w:val="0"/>
        </w:rPr>
        <w:t xml:space="preserve">submission explained that, if recommended, betibeglogene autotemcel would be available to a wider age range of people with TDT (that is, people </w:t>
      </w:r>
      <w:r>
        <w:rPr>
          <w:lang w:val="en-GB"/>
        </w:rPr>
        <w:t>older than</w:t>
      </w:r>
      <w:r w:rsidRPr="000F765B">
        <w:rPr>
          <w:lang w:val="en-GB"/>
        </w:rPr>
        <w:t xml:space="preserve"> </w:t>
      </w:r>
      <w:r w:rsidRPr="00E11059">
        <w:rPr>
          <w:lang w:val="en-GB"/>
        </w:rPr>
        <w:t>12</w:t>
      </w:r>
      <w:r w:rsidRPr="00854D4B">
        <w:rPr>
          <w:lang w:val="en-GB"/>
        </w:rPr>
        <w:t> </w:t>
      </w:r>
      <w:r w:rsidRPr="00344603">
        <w:rPr>
          <w:bCs w:val="0"/>
          <w:iCs w:val="0"/>
        </w:rPr>
        <w:t xml:space="preserve">years rather than 19 years and </w:t>
      </w:r>
      <w:r>
        <w:rPr>
          <w:lang w:val="en-GB"/>
        </w:rPr>
        <w:t>younger</w:t>
      </w:r>
      <w:r w:rsidRPr="000F765B">
        <w:rPr>
          <w:lang w:val="en-GB"/>
        </w:rPr>
        <w:t xml:space="preserve"> </w:t>
      </w:r>
      <w:r w:rsidRPr="00E11059">
        <w:rPr>
          <w:lang w:val="en-GB"/>
        </w:rPr>
        <w:t>in</w:t>
      </w:r>
      <w:r w:rsidRPr="00854D4B">
        <w:rPr>
          <w:lang w:val="en-GB"/>
        </w:rPr>
        <w:t xml:space="preserve"> the curren</w:t>
      </w:r>
      <w:r w:rsidRPr="00344603">
        <w:rPr>
          <w:bCs w:val="0"/>
          <w:iCs w:val="0"/>
        </w:rPr>
        <w:t xml:space="preserve">t commissioned policy for stem cell transplantation). This would help address an inequality in the current pathway for people </w:t>
      </w:r>
      <w:r>
        <w:rPr>
          <w:lang w:val="en-GB"/>
        </w:rPr>
        <w:t>older than</w:t>
      </w:r>
      <w:r w:rsidRPr="000F765B">
        <w:rPr>
          <w:lang w:val="en-GB"/>
        </w:rPr>
        <w:t xml:space="preserve"> </w:t>
      </w:r>
      <w:r w:rsidRPr="00344603">
        <w:rPr>
          <w:bCs w:val="0"/>
          <w:iCs w:val="0"/>
        </w:rPr>
        <w:t xml:space="preserve">19 years. They explained that the recently set up National Haemoglobinopathies Panel would oversee all referrals to identify any inequalities seen in the people referred or accepted for betibeglogene autotemcel. They pointed out that current care pathways in TDT are not genotype-specific and so are applicable to all people with the condition. </w:t>
      </w:r>
      <w:r>
        <w:rPr>
          <w:bCs w:val="0"/>
          <w:iCs w:val="0"/>
          <w:lang w:val="en-GB"/>
        </w:rPr>
        <w:t>O</w:t>
      </w:r>
      <w:r w:rsidRPr="00344603">
        <w:rPr>
          <w:bCs w:val="0"/>
          <w:iCs w:val="0"/>
        </w:rPr>
        <w:t xml:space="preserve">nly people with the specific genotype </w:t>
      </w:r>
      <w:r>
        <w:rPr>
          <w:bCs w:val="0"/>
          <w:iCs w:val="0"/>
          <w:lang w:val="en-GB"/>
        </w:rPr>
        <w:t>will</w:t>
      </w:r>
      <w:r w:rsidRPr="00344603">
        <w:rPr>
          <w:bCs w:val="0"/>
          <w:iCs w:val="0"/>
        </w:rPr>
        <w:t xml:space="preserve"> qualify for </w:t>
      </w:r>
      <w:bookmarkStart w:id="9" w:name="_Hlk61818251"/>
      <w:r w:rsidRPr="00344603">
        <w:rPr>
          <w:bCs w:val="0"/>
          <w:iCs w:val="0"/>
        </w:rPr>
        <w:t>betibeglogene autotemcel</w:t>
      </w:r>
      <w:bookmarkEnd w:id="9"/>
      <w:r w:rsidRPr="00344603">
        <w:rPr>
          <w:bCs w:val="0"/>
          <w:iCs w:val="0"/>
        </w:rPr>
        <w:t xml:space="preserve">. This could disadvantage people from ethnic groups who are not eligible for this treatment because they do not have the relevant genotype. </w:t>
      </w:r>
      <w:r w:rsidRPr="000F765B">
        <w:rPr>
          <w:lang w:val="en-GB"/>
        </w:rPr>
        <w:t xml:space="preserve">The committee </w:t>
      </w:r>
      <w:r w:rsidRPr="00344603">
        <w:rPr>
          <w:lang w:val="en-GB"/>
        </w:rPr>
        <w:t xml:space="preserve">was aware of these viewpoints from people with TDT, parents and carers of people with TDT, clinical experts and commissioning experts, when making their decision. </w:t>
      </w:r>
      <w:r>
        <w:rPr>
          <w:lang w:val="en-GB"/>
        </w:rPr>
        <w:t>It</w:t>
      </w:r>
      <w:r w:rsidRPr="00854D4B">
        <w:rPr>
          <w:lang w:val="en-GB"/>
        </w:rPr>
        <w:t xml:space="preserve"> </w:t>
      </w:r>
      <w:r w:rsidRPr="00344603">
        <w:rPr>
          <w:lang w:val="en-GB"/>
        </w:rPr>
        <w:t>understood that the wording of the licensed indication limits use to people with a non-</w:t>
      </w:r>
      <w:r>
        <w:rPr>
          <w:lang w:val="en-GB"/>
        </w:rPr>
        <w:t>beta</w:t>
      </w:r>
      <w:r w:rsidRPr="00FD304D">
        <w:rPr>
          <w:vertAlign w:val="superscript"/>
        </w:rPr>
        <w:t>0</w:t>
      </w:r>
      <w:r>
        <w:t>/</w:t>
      </w:r>
      <w:r>
        <w:rPr>
          <w:lang w:val="en-GB"/>
        </w:rPr>
        <w:t>beta</w:t>
      </w:r>
      <w:r w:rsidRPr="00FD304D">
        <w:rPr>
          <w:vertAlign w:val="superscript"/>
        </w:rPr>
        <w:t>0</w:t>
      </w:r>
      <w:r>
        <w:rPr>
          <w:lang w:val="en-GB"/>
        </w:rPr>
        <w:t xml:space="preserve"> </w:t>
      </w:r>
      <w:r w:rsidRPr="00344603">
        <w:rPr>
          <w:lang w:val="en-GB"/>
        </w:rPr>
        <w:t xml:space="preserve">genotype. </w:t>
      </w:r>
      <w:r>
        <w:rPr>
          <w:lang w:val="en-GB"/>
        </w:rPr>
        <w:t>It noted that d</w:t>
      </w:r>
      <w:r w:rsidRPr="00344603">
        <w:rPr>
          <w:lang w:val="en-GB"/>
        </w:rPr>
        <w:t xml:space="preserve">ifferences in incidence of a condition in different </w:t>
      </w:r>
      <w:r>
        <w:rPr>
          <w:lang w:val="en-GB"/>
        </w:rPr>
        <w:t>ethnic</w:t>
      </w:r>
      <w:r w:rsidRPr="00344603">
        <w:rPr>
          <w:lang w:val="en-GB"/>
        </w:rPr>
        <w:t xml:space="preserve"> groups is outside the remit of a technology appraisal.</w:t>
      </w:r>
    </w:p>
    <w:p w14:paraId="309DDB80" w14:textId="77777777" w:rsidR="00715F07" w:rsidRDefault="00715F07" w:rsidP="00715F07">
      <w:pPr>
        <w:pStyle w:val="Heading2"/>
      </w:pPr>
      <w:r>
        <w:lastRenderedPageBreak/>
        <w:t>Other factors</w:t>
      </w:r>
    </w:p>
    <w:p w14:paraId="32FA8642" w14:textId="77777777" w:rsidR="00715F07" w:rsidRPr="007F2649" w:rsidRDefault="00715F07" w:rsidP="00715F07">
      <w:pPr>
        <w:pStyle w:val="Heading3"/>
      </w:pPr>
      <w:bookmarkStart w:id="10" w:name="_Hlk63294497"/>
      <w:r w:rsidRPr="007F2649">
        <w:t xml:space="preserve">Betibeglogene autotemcel </w:t>
      </w:r>
      <w:r>
        <w:t>does not meet end-of-life criteria but is considered innovative</w:t>
      </w:r>
    </w:p>
    <w:bookmarkEnd w:id="10"/>
    <w:p w14:paraId="4FFD53C3" w14:textId="77777777" w:rsidR="00715F07" w:rsidRPr="007828DD" w:rsidRDefault="00715F07" w:rsidP="00715F07">
      <w:pPr>
        <w:pStyle w:val="Numberedlevel2text"/>
        <w:numPr>
          <w:ilvl w:val="1"/>
          <w:numId w:val="1"/>
        </w:numPr>
      </w:pPr>
      <w:r>
        <w:rPr>
          <w:lang w:val="en-GB"/>
        </w:rPr>
        <w:t xml:space="preserve">The committee concluded that </w:t>
      </w:r>
      <w:r w:rsidRPr="00D018ED">
        <w:t>NICE’s advice about life-extending treatments for people with a short life expectancy did not apply.</w:t>
      </w:r>
      <w:r w:rsidRPr="000F765B">
        <w:rPr>
          <w:lang w:val="en-GB"/>
        </w:rPr>
        <w:t xml:space="preserve"> The t</w:t>
      </w:r>
      <w:r w:rsidRPr="00E11059">
        <w:rPr>
          <w:lang w:val="en-GB"/>
        </w:rPr>
        <w:t>echnology is considered i</w:t>
      </w:r>
      <w:r w:rsidRPr="00854D4B">
        <w:rPr>
          <w:lang w:val="en-GB"/>
        </w:rPr>
        <w:t>nno</w:t>
      </w:r>
      <w:r w:rsidRPr="007F2649">
        <w:rPr>
          <w:lang w:val="en-GB"/>
        </w:rPr>
        <w:t>vative</w:t>
      </w:r>
      <w:r>
        <w:rPr>
          <w:lang w:val="en-GB"/>
        </w:rPr>
        <w:t xml:space="preserve"> because it is</w:t>
      </w:r>
      <w:r w:rsidRPr="007F2649">
        <w:rPr>
          <w:lang w:val="en-GB"/>
        </w:rPr>
        <w:t xml:space="preserve"> a potentially curative treatment for people with TDT who </w:t>
      </w:r>
      <w:r>
        <w:rPr>
          <w:lang w:val="en-GB"/>
        </w:rPr>
        <w:t>cannot</w:t>
      </w:r>
      <w:r w:rsidRPr="000F765B">
        <w:rPr>
          <w:lang w:val="en-GB"/>
        </w:rPr>
        <w:t xml:space="preserve"> have </w:t>
      </w:r>
      <w:r>
        <w:rPr>
          <w:lang w:val="en-GB"/>
        </w:rPr>
        <w:t>the</w:t>
      </w:r>
      <w:r w:rsidRPr="000F765B">
        <w:rPr>
          <w:lang w:val="en-GB"/>
        </w:rPr>
        <w:t xml:space="preserve"> </w:t>
      </w:r>
      <w:r w:rsidRPr="00E11059">
        <w:rPr>
          <w:lang w:val="en-GB"/>
        </w:rPr>
        <w:t xml:space="preserve">existing potentially curative treatment, HSCT. It is </w:t>
      </w:r>
      <w:r>
        <w:rPr>
          <w:lang w:val="en-GB"/>
        </w:rPr>
        <w:t xml:space="preserve">also </w:t>
      </w:r>
      <w:r w:rsidRPr="00E11059">
        <w:rPr>
          <w:lang w:val="en-GB"/>
        </w:rPr>
        <w:t>the first gene therapy for TDT approved by the European Medi</w:t>
      </w:r>
      <w:r w:rsidRPr="00854D4B">
        <w:rPr>
          <w:lang w:val="en-GB"/>
        </w:rPr>
        <w:t>cin</w:t>
      </w:r>
      <w:r w:rsidRPr="007F2649">
        <w:rPr>
          <w:lang w:val="en-GB"/>
        </w:rPr>
        <w:t xml:space="preserve">es Agency. The committee </w:t>
      </w:r>
      <w:r>
        <w:rPr>
          <w:lang w:val="en-GB"/>
        </w:rPr>
        <w:t>was</w:t>
      </w:r>
      <w:r w:rsidRPr="007F2649">
        <w:rPr>
          <w:lang w:val="en-GB"/>
        </w:rPr>
        <w:t xml:space="preserve"> aware that the </w:t>
      </w:r>
      <w:r>
        <w:rPr>
          <w:lang w:val="en-GB"/>
        </w:rPr>
        <w:t>marketing authorisation</w:t>
      </w:r>
      <w:r w:rsidRPr="000F765B">
        <w:rPr>
          <w:lang w:val="en-GB"/>
        </w:rPr>
        <w:t xml:space="preserve"> presents a</w:t>
      </w:r>
      <w:r>
        <w:rPr>
          <w:lang w:val="en-GB"/>
        </w:rPr>
        <w:t>n</w:t>
      </w:r>
      <w:r w:rsidRPr="000F765B">
        <w:rPr>
          <w:lang w:val="en-GB"/>
        </w:rPr>
        <w:t xml:space="preserve"> </w:t>
      </w:r>
      <w:r>
        <w:rPr>
          <w:lang w:val="en-GB"/>
        </w:rPr>
        <w:t>i</w:t>
      </w:r>
      <w:r w:rsidRPr="00974D96">
        <w:rPr>
          <w:lang w:val="en-GB"/>
        </w:rPr>
        <w:t>mportant treatment option for people with TDT</w:t>
      </w:r>
      <w:r w:rsidRPr="00E11059">
        <w:rPr>
          <w:lang w:val="en-GB"/>
        </w:rPr>
        <w:t>.</w:t>
      </w:r>
      <w:r>
        <w:rPr>
          <w:lang w:val="en-GB"/>
        </w:rPr>
        <w:t xml:space="preserve"> It concluded that betibeglogene autotemcel is innovative.</w:t>
      </w:r>
    </w:p>
    <w:p w14:paraId="44834C1C" w14:textId="77777777" w:rsidR="00715F07" w:rsidRDefault="00715F07" w:rsidP="00715F07">
      <w:pPr>
        <w:pStyle w:val="Heading2"/>
      </w:pPr>
      <w:r>
        <w:t>Conclusion</w:t>
      </w:r>
    </w:p>
    <w:p w14:paraId="7C0BBA11" w14:textId="77777777" w:rsidR="00715F07" w:rsidRPr="00DC3177" w:rsidRDefault="00715F07" w:rsidP="00715F07">
      <w:pPr>
        <w:pStyle w:val="Heading3"/>
      </w:pPr>
      <w:r>
        <w:t>B</w:t>
      </w:r>
      <w:r w:rsidRPr="00697B84">
        <w:t>etibeglogene autotemcel</w:t>
      </w:r>
      <w:r>
        <w:t xml:space="preserve"> is not recommended</w:t>
      </w:r>
    </w:p>
    <w:p w14:paraId="68EE0D98" w14:textId="77777777" w:rsidR="00715F07" w:rsidRPr="00122668" w:rsidRDefault="00715F07" w:rsidP="00715F07">
      <w:pPr>
        <w:pStyle w:val="Numberedlevel2text"/>
        <w:numPr>
          <w:ilvl w:val="1"/>
          <w:numId w:val="1"/>
        </w:numPr>
      </w:pPr>
      <w:r w:rsidRPr="00122668">
        <w:t xml:space="preserve">The committee could not recommend betibeglogene autotemcel, within its marketing authorisation, for treating TDT in people 12 years and older who do not have a beta0/beta0 genotype, for when HSCT is appropriate but a human leukocyte antigen-matched related HSC donor is not available. NICE’s </w:t>
      </w:r>
      <w:hyperlink r:id="rId14" w:history="1">
        <w:r w:rsidRPr="003634BA">
          <w:rPr>
            <w:rStyle w:val="Hyperlink"/>
          </w:rPr>
          <w:t>guide to the methods of technology appraisal</w:t>
        </w:r>
      </w:hyperlink>
      <w:r w:rsidRPr="00122668">
        <w:t xml:space="preserve"> notes that</w:t>
      </w:r>
      <w:r>
        <w:rPr>
          <w:lang w:val="en-GB"/>
        </w:rPr>
        <w:t>:</w:t>
      </w:r>
      <w:r w:rsidRPr="00122668">
        <w:t xml:space="preserve"> </w:t>
      </w:r>
      <w:r>
        <w:rPr>
          <w:lang w:val="en-GB"/>
        </w:rPr>
        <w:t>‘</w:t>
      </w:r>
      <w:r w:rsidRPr="00122668">
        <w:t>above a most plausible ICER of £20,000 per QALY gained, judgements about the acceptability of a technology as an effective use of NHS resources will</w:t>
      </w:r>
      <w:r>
        <w:rPr>
          <w:lang w:val="en-GB"/>
        </w:rPr>
        <w:t xml:space="preserve"> specifically</w:t>
      </w:r>
      <w:r w:rsidRPr="00122668">
        <w:t xml:space="preserve"> take account</w:t>
      </w:r>
      <w:r>
        <w:rPr>
          <w:lang w:val="en-GB"/>
        </w:rPr>
        <w:t xml:space="preserve"> of…</w:t>
      </w:r>
      <w:r w:rsidRPr="00122668">
        <w:t xml:space="preserve">the degree of certainty around the ICER. </w:t>
      </w:r>
      <w:r>
        <w:rPr>
          <w:lang w:val="en-GB"/>
        </w:rPr>
        <w:t>In particular, t</w:t>
      </w:r>
      <w:r w:rsidRPr="00122668">
        <w:t xml:space="preserve">he committee will be more cautious about recommending a technology </w:t>
      </w:r>
      <w:r>
        <w:rPr>
          <w:lang w:val="en-GB"/>
        </w:rPr>
        <w:t>when they are</w:t>
      </w:r>
      <w:r w:rsidRPr="00122668">
        <w:t xml:space="preserve"> less certain about the ICERs presented</w:t>
      </w:r>
      <w:r>
        <w:rPr>
          <w:lang w:val="en-GB"/>
        </w:rPr>
        <w:t>’</w:t>
      </w:r>
      <w:r w:rsidRPr="00122668">
        <w:t xml:space="preserve">. </w:t>
      </w:r>
      <w:r>
        <w:rPr>
          <w:lang w:val="en-GB"/>
        </w:rPr>
        <w:t>B</w:t>
      </w:r>
      <w:r w:rsidRPr="00122668">
        <w:t xml:space="preserve">etibeglogene autotemcel did not meet </w:t>
      </w:r>
      <w:r>
        <w:rPr>
          <w:lang w:val="en-GB"/>
        </w:rPr>
        <w:t xml:space="preserve">NICE’s </w:t>
      </w:r>
      <w:r w:rsidRPr="00122668">
        <w:t>end-of-life criteria but was considered innovative</w:t>
      </w:r>
      <w:r>
        <w:rPr>
          <w:lang w:val="en-GB"/>
        </w:rPr>
        <w:t>, so an ICER closer to £30,000 per QALY gained was considered acceptable</w:t>
      </w:r>
      <w:r w:rsidRPr="00122668">
        <w:t xml:space="preserve">. Above a most plausible ICER of £30,000 per QALY gained, the </w:t>
      </w:r>
      <w:r>
        <w:rPr>
          <w:lang w:val="en-GB"/>
        </w:rPr>
        <w:t xml:space="preserve">guide to the methods of technology </w:t>
      </w:r>
      <w:r>
        <w:rPr>
          <w:lang w:val="en-GB"/>
        </w:rPr>
        <w:lastRenderedPageBreak/>
        <w:t xml:space="preserve">appraisal notes that </w:t>
      </w:r>
      <w:r w:rsidRPr="00122668">
        <w:t>an increasingly stronger case</w:t>
      </w:r>
      <w:r>
        <w:rPr>
          <w:lang w:val="en-GB"/>
        </w:rPr>
        <w:t xml:space="preserve"> will need to be identified</w:t>
      </w:r>
      <w:r w:rsidRPr="00122668">
        <w:t xml:space="preserve"> for supporting the technology as an effective use of NHS resources. </w:t>
      </w:r>
      <w:r>
        <w:rPr>
          <w:lang w:val="en-GB"/>
        </w:rPr>
        <w:t xml:space="preserve">The most </w:t>
      </w:r>
      <w:r w:rsidRPr="00122668">
        <w:t>p</w:t>
      </w:r>
      <w:r>
        <w:rPr>
          <w:lang w:val="en-GB"/>
        </w:rPr>
        <w:t>lausible</w:t>
      </w:r>
      <w:r w:rsidRPr="00122668">
        <w:t xml:space="preserve"> ICER for betibeglogene autotemcel was considerably higher than </w:t>
      </w:r>
      <w:r w:rsidRPr="003634BA">
        <w:t>£30,000 per QALY gained</w:t>
      </w:r>
      <w:r>
        <w:rPr>
          <w:lang w:val="en-GB"/>
        </w:rPr>
        <w:t xml:space="preserve"> and associated with a</w:t>
      </w:r>
      <w:r w:rsidRPr="00122668">
        <w:t xml:space="preserve"> high level of uncertainty</w:t>
      </w:r>
      <w:r>
        <w:rPr>
          <w:lang w:val="en-GB"/>
        </w:rPr>
        <w:t xml:space="preserve"> relating to</w:t>
      </w:r>
      <w:r w:rsidRPr="00122668">
        <w:t xml:space="preserve"> long</w:t>
      </w:r>
      <w:r>
        <w:rPr>
          <w:lang w:val="en-GB"/>
        </w:rPr>
        <w:t>er-</w:t>
      </w:r>
      <w:r w:rsidRPr="00122668">
        <w:t>term clinical</w:t>
      </w:r>
      <w:r>
        <w:rPr>
          <w:lang w:val="en-GB"/>
        </w:rPr>
        <w:t xml:space="preserve"> effectiveness</w:t>
      </w:r>
      <w:r w:rsidRPr="003634BA">
        <w:t xml:space="preserve">. </w:t>
      </w:r>
      <w:r w:rsidRPr="00122668">
        <w:t>Therefore, the committee could not recommend betibeglogene autotemcel.</w:t>
      </w:r>
    </w:p>
    <w:p w14:paraId="53F2DB6B" w14:textId="79ADCE1F" w:rsidR="000F48EC" w:rsidRPr="00FA7706" w:rsidRDefault="00A87D52" w:rsidP="002E73E7">
      <w:pPr>
        <w:pStyle w:val="Numberedheading1"/>
      </w:pPr>
      <w:r w:rsidRPr="00FA7706">
        <w:t>Proposed date for r</w:t>
      </w:r>
      <w:r w:rsidR="000F48EC" w:rsidRPr="00FA7706">
        <w:t>eview of guidance</w:t>
      </w:r>
    </w:p>
    <w:p w14:paraId="2C06173C" w14:textId="77777777" w:rsidR="000C709D" w:rsidRPr="00000441" w:rsidRDefault="000C709D" w:rsidP="000C709D">
      <w:pPr>
        <w:pStyle w:val="Numberedlevel2text"/>
      </w:pPr>
      <w:bookmarkStart w:id="11" w:name="_Ref56594193"/>
      <w:r w:rsidRPr="00044CC7">
        <w:t xml:space="preserve">NICE proposes that the guidance on this technology is considered for review by the </w:t>
      </w:r>
      <w:r>
        <w:t>g</w:t>
      </w:r>
      <w:r w:rsidRPr="00044CC7">
        <w:t xml:space="preserve">uidance </w:t>
      </w:r>
      <w:r>
        <w:t>e</w:t>
      </w:r>
      <w:r w:rsidRPr="00044CC7">
        <w:t>xecutive</w:t>
      </w:r>
      <w:r>
        <w:t xml:space="preserve"> </w:t>
      </w:r>
      <w:r>
        <w:rPr>
          <w:lang w:val="en-GB"/>
        </w:rPr>
        <w:t>3</w:t>
      </w:r>
      <w:r>
        <w:t> years after publication of the guidance</w:t>
      </w:r>
      <w:r w:rsidRPr="00044CC7">
        <w:t xml:space="preserve">. </w:t>
      </w:r>
      <w:r>
        <w:rPr>
          <w:lang w:val="en-GB"/>
        </w:rPr>
        <w:t>This allows for consideration of data from bluebird bio’s long-term follow-up study, LTF</w:t>
      </w:r>
      <w:r>
        <w:rPr>
          <w:lang w:val="en-GB"/>
        </w:rPr>
        <w:noBreakHyphen/>
        <w:t>303.</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r w:rsidRPr="00000441">
        <w:t xml:space="preserve"> </w:t>
      </w:r>
    </w:p>
    <w:p w14:paraId="00B61C9C" w14:textId="77777777" w:rsidR="000C709D" w:rsidRDefault="000C709D" w:rsidP="000C709D">
      <w:pPr>
        <w:pStyle w:val="NICEnormal"/>
      </w:pPr>
      <w:r>
        <w:t>Gary McVeigh</w:t>
      </w:r>
      <w:r>
        <w:br/>
      </w:r>
      <w:r w:rsidRPr="000F2D8A">
        <w:t xml:space="preserve">Chair, </w:t>
      </w:r>
      <w:r>
        <w:t>a</w:t>
      </w:r>
      <w:r w:rsidRPr="000F2D8A">
        <w:t xml:space="preserve">ppraisal </w:t>
      </w:r>
      <w:r>
        <w:t>c</w:t>
      </w:r>
      <w:r w:rsidRPr="000F2D8A">
        <w:t>ommittee</w:t>
      </w:r>
      <w:r>
        <w:br/>
        <w:t>January 2021</w:t>
      </w:r>
    </w:p>
    <w:p w14:paraId="0096F002" w14:textId="77777777" w:rsidR="006D4B86" w:rsidRPr="00175678" w:rsidRDefault="006D4B86" w:rsidP="006D4B86">
      <w:pPr>
        <w:pStyle w:val="Numberedheading1"/>
        <w:numPr>
          <w:ilvl w:val="0"/>
          <w:numId w:val="1"/>
        </w:numPr>
      </w:pPr>
      <w:r w:rsidRPr="00175678">
        <w:t>Appraisal committee members and NICE project team</w:t>
      </w:r>
      <w:bookmarkEnd w:id="11"/>
    </w:p>
    <w:p w14:paraId="25F80FD2" w14:textId="77777777" w:rsidR="000C709D" w:rsidRPr="007D7F83" w:rsidRDefault="000C709D" w:rsidP="000C709D">
      <w:pPr>
        <w:pStyle w:val="Heading2"/>
      </w:pPr>
      <w:r w:rsidRPr="007D7F83">
        <w:t xml:space="preserve">Appraisal </w:t>
      </w:r>
      <w:r>
        <w:t>c</w:t>
      </w:r>
      <w:r w:rsidRPr="007D7F83">
        <w:t>ommittee members</w:t>
      </w:r>
    </w:p>
    <w:p w14:paraId="3883C102" w14:textId="77777777" w:rsidR="000C709D" w:rsidRPr="00742089" w:rsidRDefault="000C709D" w:rsidP="000C709D">
      <w:pPr>
        <w:pStyle w:val="NICEnormal"/>
        <w:rPr>
          <w:rFonts w:eastAsia="Calibri"/>
        </w:rPr>
      </w:pPr>
      <w:r>
        <w:t xml:space="preserve">The 4 technology appraisal committees are standing advisory committees of NICE. This topic was considered by </w:t>
      </w:r>
      <w:hyperlink r:id="rId15" w:history="1">
        <w:r>
          <w:rPr>
            <w:rStyle w:val="Hyperlink"/>
            <w:rFonts w:eastAsia="Calibri"/>
          </w:rPr>
          <w:t>committee D</w:t>
        </w:r>
      </w:hyperlink>
      <w:r>
        <w:t>.</w:t>
      </w:r>
    </w:p>
    <w:p w14:paraId="31903BC6" w14:textId="77777777" w:rsidR="000C709D" w:rsidRDefault="000C709D" w:rsidP="000C709D">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0551F0CD" w14:textId="77777777" w:rsidR="000C709D" w:rsidRDefault="000C709D" w:rsidP="000C709D">
      <w:pPr>
        <w:pStyle w:val="NICEnormal"/>
      </w:pPr>
      <w:r>
        <w:lastRenderedPageBreak/>
        <w:t xml:space="preserve">The </w:t>
      </w:r>
      <w:hyperlink r:id="rId16"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338FA218" w14:textId="77777777" w:rsidR="000C709D" w:rsidRPr="007D7F83" w:rsidRDefault="000C709D" w:rsidP="000C709D">
      <w:pPr>
        <w:pStyle w:val="Heading2"/>
      </w:pPr>
      <w:r w:rsidRPr="007D7F83">
        <w:t>NICE project team</w:t>
      </w:r>
    </w:p>
    <w:p w14:paraId="284A4059" w14:textId="77777777" w:rsidR="000C709D" w:rsidRPr="000F2D8A" w:rsidRDefault="000C709D" w:rsidP="000C709D">
      <w:pPr>
        <w:pStyle w:val="NICEnormal"/>
      </w:pPr>
      <w:r w:rsidRPr="0058413D">
        <w:t xml:space="preserve">Each technology appraisal is assigned to a team consisting of </w:t>
      </w:r>
      <w:r>
        <w:t>1 </w:t>
      </w:r>
      <w:r w:rsidRPr="0058413D">
        <w:t>or more health technology analysts (who act as technical leads for the appraisal), a technical adviser</w:t>
      </w:r>
      <w:r>
        <w:t xml:space="preserve"> </w:t>
      </w:r>
      <w:r w:rsidRPr="0058413D">
        <w:t>and a project manager</w:t>
      </w:r>
      <w:r>
        <w:t>.</w:t>
      </w:r>
    </w:p>
    <w:p w14:paraId="439350B4" w14:textId="77777777" w:rsidR="000C709D" w:rsidRPr="000F2D8A" w:rsidRDefault="000C709D" w:rsidP="000C709D">
      <w:pPr>
        <w:pStyle w:val="NICEnormal"/>
      </w:pPr>
      <w:bookmarkStart w:id="12" w:name="Text45"/>
      <w:r>
        <w:rPr>
          <w:b/>
        </w:rPr>
        <w:t>Amy Crossley</w:t>
      </w:r>
      <w:r>
        <w:br/>
      </w:r>
      <w:r w:rsidRPr="000F2D8A">
        <w:t xml:space="preserve">Technical </w:t>
      </w:r>
      <w:r>
        <w:t>l</w:t>
      </w:r>
      <w:r w:rsidRPr="000F2D8A">
        <w:t>ead</w:t>
      </w:r>
    </w:p>
    <w:p w14:paraId="058BCFFA" w14:textId="77777777" w:rsidR="000C709D" w:rsidRPr="000F2D8A" w:rsidRDefault="000C709D" w:rsidP="000C709D">
      <w:pPr>
        <w:pStyle w:val="NICEnormal"/>
      </w:pPr>
      <w:r>
        <w:rPr>
          <w:b/>
        </w:rPr>
        <w:t>Caron Jones</w:t>
      </w:r>
      <w:r>
        <w:br/>
      </w:r>
      <w:r w:rsidRPr="00AF59A2">
        <w:t xml:space="preserve">Technical </w:t>
      </w:r>
      <w:r>
        <w:t>a</w:t>
      </w:r>
      <w:r w:rsidRPr="00AF59A2">
        <w:t>dviser</w:t>
      </w:r>
    </w:p>
    <w:p w14:paraId="5FB66157" w14:textId="77777777" w:rsidR="000C709D" w:rsidRPr="000F2D8A" w:rsidRDefault="000C709D" w:rsidP="000C709D">
      <w:pPr>
        <w:pStyle w:val="NICEnormal"/>
      </w:pPr>
      <w:r>
        <w:rPr>
          <w:b/>
        </w:rPr>
        <w:t>Kate Moore</w:t>
      </w:r>
      <w:r>
        <w:br/>
      </w:r>
      <w:r w:rsidRPr="000F2D8A">
        <w:t xml:space="preserve">Project </w:t>
      </w:r>
      <w:r>
        <w:t>m</w:t>
      </w:r>
      <w:r w:rsidRPr="000F2D8A">
        <w:t>anager</w:t>
      </w:r>
      <w:bookmarkEnd w:id="12"/>
    </w:p>
    <w:p w14:paraId="72C1374B" w14:textId="77777777" w:rsidR="000C709D" w:rsidRPr="000F48EC" w:rsidRDefault="000C709D" w:rsidP="000C709D">
      <w:pPr>
        <w:pStyle w:val="NICEnormal"/>
      </w:pPr>
      <w:r>
        <w:t xml:space="preserve">ISBN: </w:t>
      </w:r>
      <w:r w:rsidRPr="004D7C92">
        <w:rPr>
          <w:highlight w:val="green"/>
        </w:rPr>
        <w:t>[to be added at publication]</w:t>
      </w:r>
    </w:p>
    <w:p w14:paraId="593B4C41" w14:textId="2F186D7F" w:rsidR="005861D4" w:rsidRPr="00FA7706" w:rsidRDefault="005861D4" w:rsidP="00A45701">
      <w:pPr>
        <w:pStyle w:val="NICEnormal"/>
      </w:pPr>
    </w:p>
    <w:sectPr w:rsidR="005861D4" w:rsidRPr="00FA7706" w:rsidSect="000C709D">
      <w:headerReference w:type="default" r:id="rId17"/>
      <w:footerReference w:type="default" r:id="rId18"/>
      <w:pgSz w:w="11907" w:h="16840" w:code="9"/>
      <w:pgMar w:top="144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0B96" w14:textId="77777777" w:rsidR="00571160" w:rsidRDefault="00571160">
      <w:r>
        <w:separator/>
      </w:r>
    </w:p>
  </w:endnote>
  <w:endnote w:type="continuationSeparator" w:id="0">
    <w:p w14:paraId="0E446D05" w14:textId="77777777" w:rsidR="00571160" w:rsidRDefault="005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A39EA" w14:textId="304B4D2F" w:rsidR="008E14F9" w:rsidRPr="008E14F9" w:rsidRDefault="008E14F9" w:rsidP="008E14F9">
    <w:pPr>
      <w:pStyle w:val="Footer"/>
      <w:rPr>
        <w:sz w:val="18"/>
        <w:szCs w:val="18"/>
      </w:rPr>
    </w:pPr>
    <w:r w:rsidRPr="008E14F9">
      <w:rPr>
        <w:sz w:val="18"/>
        <w:szCs w:val="18"/>
      </w:rPr>
      <w:t xml:space="preserve">Appraisal consultation document – Betibeglogene autotemcel for treating transfusion-dependent beta-thalassaemia                                                                                                          </w:t>
    </w:r>
    <w:r w:rsidRPr="008E14F9">
      <w:rPr>
        <w:sz w:val="18"/>
        <w:szCs w:val="18"/>
      </w:rPr>
      <w:tab/>
      <w:t xml:space="preserve">Page </w:t>
    </w:r>
    <w:r w:rsidRPr="008E14F9">
      <w:rPr>
        <w:sz w:val="18"/>
        <w:szCs w:val="18"/>
      </w:rPr>
      <w:fldChar w:fldCharType="begin"/>
    </w:r>
    <w:r w:rsidRPr="008E14F9">
      <w:rPr>
        <w:sz w:val="18"/>
        <w:szCs w:val="18"/>
      </w:rPr>
      <w:instrText xml:space="preserve"> PAGE </w:instrText>
    </w:r>
    <w:r w:rsidRPr="008E14F9">
      <w:rPr>
        <w:sz w:val="18"/>
        <w:szCs w:val="18"/>
      </w:rPr>
      <w:fldChar w:fldCharType="separate"/>
    </w:r>
    <w:r w:rsidRPr="008E14F9">
      <w:rPr>
        <w:sz w:val="18"/>
        <w:szCs w:val="18"/>
      </w:rPr>
      <w:t>1</w:t>
    </w:r>
    <w:r w:rsidRPr="008E14F9">
      <w:rPr>
        <w:sz w:val="18"/>
        <w:szCs w:val="18"/>
      </w:rPr>
      <w:fldChar w:fldCharType="end"/>
    </w:r>
    <w:r w:rsidRPr="008E14F9">
      <w:rPr>
        <w:sz w:val="18"/>
        <w:szCs w:val="18"/>
      </w:rPr>
      <w:t xml:space="preserve"> of </w:t>
    </w:r>
    <w:r w:rsidRPr="008E14F9">
      <w:rPr>
        <w:sz w:val="18"/>
        <w:szCs w:val="18"/>
      </w:rPr>
      <w:fldChar w:fldCharType="begin"/>
    </w:r>
    <w:r w:rsidRPr="008E14F9">
      <w:rPr>
        <w:sz w:val="18"/>
        <w:szCs w:val="18"/>
      </w:rPr>
      <w:instrText xml:space="preserve"> NUMPAGES </w:instrText>
    </w:r>
    <w:r w:rsidRPr="008E14F9">
      <w:rPr>
        <w:sz w:val="18"/>
        <w:szCs w:val="18"/>
      </w:rPr>
      <w:fldChar w:fldCharType="separate"/>
    </w:r>
    <w:r w:rsidRPr="008E14F9">
      <w:rPr>
        <w:sz w:val="18"/>
        <w:szCs w:val="18"/>
      </w:rPr>
      <w:t>26</w:t>
    </w:r>
    <w:r w:rsidRPr="008E14F9">
      <w:rPr>
        <w:sz w:val="18"/>
        <w:szCs w:val="18"/>
      </w:rPr>
      <w:fldChar w:fldCharType="end"/>
    </w:r>
  </w:p>
  <w:p w14:paraId="568CB55A" w14:textId="77777777" w:rsidR="008E14F9" w:rsidRPr="008E14F9" w:rsidRDefault="008E14F9" w:rsidP="008E14F9">
    <w:pPr>
      <w:pStyle w:val="Footer"/>
      <w:rPr>
        <w:sz w:val="18"/>
        <w:szCs w:val="18"/>
      </w:rPr>
    </w:pPr>
    <w:r w:rsidRPr="008E14F9">
      <w:rPr>
        <w:sz w:val="18"/>
        <w:szCs w:val="18"/>
      </w:rPr>
      <w:t>Issue date: February 2021</w:t>
    </w:r>
  </w:p>
  <w:p w14:paraId="6F161489" w14:textId="77777777" w:rsidR="008E14F9" w:rsidRPr="008E14F9" w:rsidRDefault="008E14F9" w:rsidP="008E14F9">
    <w:pPr>
      <w:pStyle w:val="Footer"/>
      <w:rPr>
        <w:sz w:val="18"/>
        <w:szCs w:val="18"/>
      </w:rPr>
    </w:pPr>
    <w:r w:rsidRPr="008E14F9">
      <w:rPr>
        <w:sz w:val="18"/>
        <w:szCs w:val="18"/>
      </w:rPr>
      <w:t xml:space="preserve">© NICE 2021. All rights reserved. Subject to </w:t>
    </w:r>
    <w:hyperlink r:id="rId1" w:history="1">
      <w:r w:rsidRPr="008E14F9">
        <w:rPr>
          <w:rStyle w:val="Hyperlink"/>
          <w:sz w:val="18"/>
          <w:szCs w:val="18"/>
        </w:rPr>
        <w:t>Notice of rights</w:t>
      </w:r>
    </w:hyperlink>
    <w:r w:rsidRPr="008E14F9">
      <w:rPr>
        <w:sz w:val="18"/>
        <w:szCs w:val="18"/>
      </w:rPr>
      <w:t>.</w:t>
    </w:r>
  </w:p>
  <w:p w14:paraId="0FCCDD9A" w14:textId="52B10ADA" w:rsidR="00571160" w:rsidRPr="008E14F9" w:rsidRDefault="00571160" w:rsidP="008E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31AC1" w14:textId="77777777" w:rsidR="00571160" w:rsidRDefault="00571160">
      <w:r>
        <w:separator/>
      </w:r>
    </w:p>
  </w:footnote>
  <w:footnote w:type="continuationSeparator" w:id="0">
    <w:p w14:paraId="0F43CB19" w14:textId="77777777" w:rsidR="00571160" w:rsidRDefault="0057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9F1A4" w14:textId="77777777" w:rsidR="00571160" w:rsidRPr="004E6427" w:rsidRDefault="00571160"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FF9"/>
    <w:multiLevelType w:val="hybridMultilevel"/>
    <w:tmpl w:val="C9B0E7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5622666"/>
    <w:multiLevelType w:val="multilevel"/>
    <w:tmpl w:val="B374081E"/>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27073E4"/>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E2BF1"/>
    <w:multiLevelType w:val="hybridMultilevel"/>
    <w:tmpl w:val="E21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CC3584"/>
    <w:multiLevelType w:val="multilevel"/>
    <w:tmpl w:val="7D64F0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65E8D622"/>
    <w:lvl w:ilvl="0">
      <w:start w:val="1"/>
      <w:numFmt w:val="bullet"/>
      <w:lvlText w:val=""/>
      <w:lvlJc w:val="left"/>
      <w:pPr>
        <w:tabs>
          <w:tab w:val="num" w:pos="1702"/>
        </w:tabs>
        <w:ind w:left="1702" w:hanging="284"/>
      </w:pPr>
      <w:rPr>
        <w:rFonts w:ascii="Symbol" w:hAnsi="Symbol" w:hint="default"/>
        <w:color w:val="auto"/>
      </w:rPr>
    </w:lvl>
    <w:lvl w:ilvl="1">
      <w:start w:val="1"/>
      <w:numFmt w:val="bullet"/>
      <w:pStyle w:val="Bulletindent2"/>
      <w:lvlText w:val=""/>
      <w:lvlJc w:val="left"/>
      <w:pPr>
        <w:tabs>
          <w:tab w:val="num" w:pos="1985"/>
        </w:tabs>
        <w:ind w:left="1985" w:hanging="283"/>
      </w:pPr>
      <w:rPr>
        <w:rFonts w:ascii="Symbol" w:hAnsi="Symbol" w:hint="default"/>
      </w:rPr>
    </w:lvl>
    <w:lvl w:ilvl="2">
      <w:start w:val="1"/>
      <w:numFmt w:val="decimal"/>
      <w:lvlText w:val="%3.%1.%2"/>
      <w:lvlJc w:val="left"/>
      <w:pPr>
        <w:tabs>
          <w:tab w:val="num" w:pos="2252"/>
        </w:tabs>
        <w:ind w:left="2252" w:hanging="964"/>
      </w:pPr>
      <w:rPr>
        <w:rFonts w:hint="default"/>
      </w:rPr>
    </w:lvl>
    <w:lvl w:ilvl="3">
      <w:start w:val="1"/>
      <w:numFmt w:val="decimal"/>
      <w:lvlText w:val="%1.%2.%3.%4"/>
      <w:lvlJc w:val="left"/>
      <w:pPr>
        <w:tabs>
          <w:tab w:val="num" w:pos="2252"/>
        </w:tabs>
        <w:ind w:left="2252" w:hanging="964"/>
      </w:pPr>
      <w:rPr>
        <w:rFonts w:hint="default"/>
      </w:rPr>
    </w:lvl>
    <w:lvl w:ilvl="4">
      <w:start w:val="1"/>
      <w:numFmt w:val="decimal"/>
      <w:lvlText w:val="%1.%2.%3.%4.%5."/>
      <w:lvlJc w:val="left"/>
      <w:pPr>
        <w:tabs>
          <w:tab w:val="num" w:pos="5608"/>
        </w:tabs>
        <w:ind w:left="3520" w:hanging="792"/>
      </w:pPr>
      <w:rPr>
        <w:rFonts w:hint="default"/>
      </w:rPr>
    </w:lvl>
    <w:lvl w:ilvl="5">
      <w:start w:val="1"/>
      <w:numFmt w:val="decimal"/>
      <w:lvlText w:val="%1.%2.%3.%4.%5.%6."/>
      <w:lvlJc w:val="left"/>
      <w:pPr>
        <w:tabs>
          <w:tab w:val="num" w:pos="6688"/>
        </w:tabs>
        <w:ind w:left="4024" w:hanging="936"/>
      </w:pPr>
      <w:rPr>
        <w:rFonts w:hint="default"/>
      </w:rPr>
    </w:lvl>
    <w:lvl w:ilvl="6">
      <w:start w:val="1"/>
      <w:numFmt w:val="decimal"/>
      <w:lvlText w:val="%1.%2.%3.%4.%5.%6.%7."/>
      <w:lvlJc w:val="left"/>
      <w:pPr>
        <w:tabs>
          <w:tab w:val="num" w:pos="7768"/>
        </w:tabs>
        <w:ind w:left="4528" w:hanging="1080"/>
      </w:pPr>
      <w:rPr>
        <w:rFonts w:hint="default"/>
      </w:rPr>
    </w:lvl>
    <w:lvl w:ilvl="7">
      <w:start w:val="1"/>
      <w:numFmt w:val="decimal"/>
      <w:lvlText w:val="%1.%2.%3.%4.%5.%6.%7.%8."/>
      <w:lvlJc w:val="left"/>
      <w:pPr>
        <w:tabs>
          <w:tab w:val="num" w:pos="8488"/>
        </w:tabs>
        <w:ind w:left="5032" w:hanging="1224"/>
      </w:pPr>
      <w:rPr>
        <w:rFonts w:hint="default"/>
      </w:rPr>
    </w:lvl>
    <w:lvl w:ilvl="8">
      <w:start w:val="1"/>
      <w:numFmt w:val="decimal"/>
      <w:lvlText w:val="%1.%2.%3.%4.%5.%6.%7.%8.%9."/>
      <w:lvlJc w:val="left"/>
      <w:pPr>
        <w:tabs>
          <w:tab w:val="num" w:pos="9568"/>
        </w:tabs>
        <w:ind w:left="5608"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C533504"/>
    <w:multiLevelType w:val="hybridMultilevel"/>
    <w:tmpl w:val="6786031A"/>
    <w:lvl w:ilvl="0" w:tplc="44D88410">
      <w:start w:val="1"/>
      <w:numFmt w:val="bullet"/>
      <w:pStyle w:val="Panelbullet1"/>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2" w15:restartNumberingAfterBreak="0">
    <w:nsid w:val="7B844C47"/>
    <w:multiLevelType w:val="hybridMultilevel"/>
    <w:tmpl w:val="B7B42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3"/>
  </w:num>
  <w:num w:numId="3">
    <w:abstractNumId w:val="19"/>
  </w:num>
  <w:num w:numId="4">
    <w:abstractNumId w:val="13"/>
  </w:num>
  <w:num w:numId="5">
    <w:abstractNumId w:val="14"/>
  </w:num>
  <w:num w:numId="6">
    <w:abstractNumId w:val="2"/>
  </w:num>
  <w:num w:numId="7">
    <w:abstractNumId w:val="5"/>
  </w:num>
  <w:num w:numId="8">
    <w:abstractNumId w:val="7"/>
  </w:num>
  <w:num w:numId="9">
    <w:abstractNumId w:val="9"/>
  </w:num>
  <w:num w:numId="10">
    <w:abstractNumId w:val="10"/>
  </w:num>
  <w:num w:numId="11">
    <w:abstractNumId w:val="17"/>
  </w:num>
  <w:num w:numId="12">
    <w:abstractNumId w:val="18"/>
  </w:num>
  <w:num w:numId="13">
    <w:abstractNumId w:val="15"/>
  </w:num>
  <w:num w:numId="14">
    <w:abstractNumId w:val="10"/>
    <w:lvlOverride w:ilvl="0">
      <w:startOverride w:val="2"/>
    </w:lvlOverride>
    <w:lvlOverride w:ilvl="1">
      <w:startOverride w:val="2"/>
    </w:lvlOverride>
  </w:num>
  <w:num w:numId="15">
    <w:abstractNumId w:val="8"/>
  </w:num>
  <w:num w:numId="16">
    <w:abstractNumId w:val="12"/>
  </w:num>
  <w:num w:numId="17">
    <w:abstractNumId w:val="11"/>
  </w:num>
  <w:num w:numId="18">
    <w:abstractNumId w:val="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4"/>
  </w:num>
  <w:num w:numId="25">
    <w:abstractNumId w:val="0"/>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46"/>
    <w:rsid w:val="00000441"/>
    <w:rsid w:val="000006E3"/>
    <w:rsid w:val="00002B7C"/>
    <w:rsid w:val="000046F1"/>
    <w:rsid w:val="00004C5E"/>
    <w:rsid w:val="0000641D"/>
    <w:rsid w:val="00006590"/>
    <w:rsid w:val="0000678C"/>
    <w:rsid w:val="000069A4"/>
    <w:rsid w:val="000069F9"/>
    <w:rsid w:val="00006B63"/>
    <w:rsid w:val="0000727D"/>
    <w:rsid w:val="0000771C"/>
    <w:rsid w:val="00007C10"/>
    <w:rsid w:val="000119FB"/>
    <w:rsid w:val="00013A70"/>
    <w:rsid w:val="00013F0C"/>
    <w:rsid w:val="00014990"/>
    <w:rsid w:val="00016A22"/>
    <w:rsid w:val="00016E5E"/>
    <w:rsid w:val="00017610"/>
    <w:rsid w:val="00017D4A"/>
    <w:rsid w:val="00017F00"/>
    <w:rsid w:val="00021751"/>
    <w:rsid w:val="00021BC9"/>
    <w:rsid w:val="00021DCE"/>
    <w:rsid w:val="00021FB0"/>
    <w:rsid w:val="000221AA"/>
    <w:rsid w:val="000229A0"/>
    <w:rsid w:val="00022C29"/>
    <w:rsid w:val="0002331F"/>
    <w:rsid w:val="00023F26"/>
    <w:rsid w:val="00023F3A"/>
    <w:rsid w:val="000249F8"/>
    <w:rsid w:val="00025E0A"/>
    <w:rsid w:val="00026E82"/>
    <w:rsid w:val="00027A46"/>
    <w:rsid w:val="00030676"/>
    <w:rsid w:val="00030714"/>
    <w:rsid w:val="00031442"/>
    <w:rsid w:val="0003322C"/>
    <w:rsid w:val="00034110"/>
    <w:rsid w:val="000357D0"/>
    <w:rsid w:val="0003582B"/>
    <w:rsid w:val="00035AC1"/>
    <w:rsid w:val="000368FC"/>
    <w:rsid w:val="000376EE"/>
    <w:rsid w:val="000421F8"/>
    <w:rsid w:val="0004226A"/>
    <w:rsid w:val="000422A7"/>
    <w:rsid w:val="00042FAD"/>
    <w:rsid w:val="000432F9"/>
    <w:rsid w:val="00045528"/>
    <w:rsid w:val="0005187A"/>
    <w:rsid w:val="00051D18"/>
    <w:rsid w:val="00052063"/>
    <w:rsid w:val="00052EAA"/>
    <w:rsid w:val="00053332"/>
    <w:rsid w:val="00053367"/>
    <w:rsid w:val="00053C38"/>
    <w:rsid w:val="00055C3E"/>
    <w:rsid w:val="00055DDF"/>
    <w:rsid w:val="00057724"/>
    <w:rsid w:val="000607FC"/>
    <w:rsid w:val="00060C09"/>
    <w:rsid w:val="000613D4"/>
    <w:rsid w:val="00061C83"/>
    <w:rsid w:val="0006624B"/>
    <w:rsid w:val="00066474"/>
    <w:rsid w:val="00066567"/>
    <w:rsid w:val="00066863"/>
    <w:rsid w:val="000678B3"/>
    <w:rsid w:val="00067C4C"/>
    <w:rsid w:val="000711F1"/>
    <w:rsid w:val="000712D8"/>
    <w:rsid w:val="0007147F"/>
    <w:rsid w:val="000725D8"/>
    <w:rsid w:val="00073DA8"/>
    <w:rsid w:val="00075210"/>
    <w:rsid w:val="000755E6"/>
    <w:rsid w:val="00076251"/>
    <w:rsid w:val="000764D3"/>
    <w:rsid w:val="000778F5"/>
    <w:rsid w:val="0008061F"/>
    <w:rsid w:val="00080680"/>
    <w:rsid w:val="00080A47"/>
    <w:rsid w:val="000818C7"/>
    <w:rsid w:val="00082F77"/>
    <w:rsid w:val="00084A26"/>
    <w:rsid w:val="00085C5A"/>
    <w:rsid w:val="00085CF9"/>
    <w:rsid w:val="000862FC"/>
    <w:rsid w:val="000863CD"/>
    <w:rsid w:val="00087323"/>
    <w:rsid w:val="000879ED"/>
    <w:rsid w:val="00090292"/>
    <w:rsid w:val="0009128A"/>
    <w:rsid w:val="00093649"/>
    <w:rsid w:val="00094E46"/>
    <w:rsid w:val="00095C83"/>
    <w:rsid w:val="00096246"/>
    <w:rsid w:val="00097337"/>
    <w:rsid w:val="000977C0"/>
    <w:rsid w:val="00097E02"/>
    <w:rsid w:val="000A0494"/>
    <w:rsid w:val="000A08D5"/>
    <w:rsid w:val="000A0A6E"/>
    <w:rsid w:val="000A1D38"/>
    <w:rsid w:val="000A2737"/>
    <w:rsid w:val="000A2A64"/>
    <w:rsid w:val="000A2D91"/>
    <w:rsid w:val="000A4016"/>
    <w:rsid w:val="000A4144"/>
    <w:rsid w:val="000A4A28"/>
    <w:rsid w:val="000A6C40"/>
    <w:rsid w:val="000B05BB"/>
    <w:rsid w:val="000B061D"/>
    <w:rsid w:val="000B149D"/>
    <w:rsid w:val="000B2D29"/>
    <w:rsid w:val="000B6302"/>
    <w:rsid w:val="000B70D6"/>
    <w:rsid w:val="000B77F2"/>
    <w:rsid w:val="000B7F7A"/>
    <w:rsid w:val="000C04A1"/>
    <w:rsid w:val="000C194F"/>
    <w:rsid w:val="000C19DB"/>
    <w:rsid w:val="000C2222"/>
    <w:rsid w:val="000C2BDA"/>
    <w:rsid w:val="000C2D51"/>
    <w:rsid w:val="000C3FF5"/>
    <w:rsid w:val="000C6296"/>
    <w:rsid w:val="000C709D"/>
    <w:rsid w:val="000C7343"/>
    <w:rsid w:val="000D0849"/>
    <w:rsid w:val="000D09ED"/>
    <w:rsid w:val="000D0A87"/>
    <w:rsid w:val="000D0FB1"/>
    <w:rsid w:val="000D11B8"/>
    <w:rsid w:val="000D124C"/>
    <w:rsid w:val="000D145B"/>
    <w:rsid w:val="000D20A3"/>
    <w:rsid w:val="000D3B75"/>
    <w:rsid w:val="000D3C7D"/>
    <w:rsid w:val="000D5A09"/>
    <w:rsid w:val="000D5CD6"/>
    <w:rsid w:val="000D6016"/>
    <w:rsid w:val="000D6A80"/>
    <w:rsid w:val="000D7185"/>
    <w:rsid w:val="000D7A72"/>
    <w:rsid w:val="000E0189"/>
    <w:rsid w:val="000E1CED"/>
    <w:rsid w:val="000E24BD"/>
    <w:rsid w:val="000E29D1"/>
    <w:rsid w:val="000E32E3"/>
    <w:rsid w:val="000E5765"/>
    <w:rsid w:val="000E697E"/>
    <w:rsid w:val="000E69C7"/>
    <w:rsid w:val="000E6F19"/>
    <w:rsid w:val="000F16DA"/>
    <w:rsid w:val="000F1E3F"/>
    <w:rsid w:val="000F2336"/>
    <w:rsid w:val="000F3CEA"/>
    <w:rsid w:val="000F3DBC"/>
    <w:rsid w:val="000F40E7"/>
    <w:rsid w:val="000F4473"/>
    <w:rsid w:val="000F48EC"/>
    <w:rsid w:val="000F4B37"/>
    <w:rsid w:val="000F4FC4"/>
    <w:rsid w:val="000F4FDA"/>
    <w:rsid w:val="000F5106"/>
    <w:rsid w:val="00100FC6"/>
    <w:rsid w:val="00101F34"/>
    <w:rsid w:val="00102C97"/>
    <w:rsid w:val="001033D5"/>
    <w:rsid w:val="0010432D"/>
    <w:rsid w:val="00104767"/>
    <w:rsid w:val="00105409"/>
    <w:rsid w:val="00107DBD"/>
    <w:rsid w:val="001111D4"/>
    <w:rsid w:val="00111642"/>
    <w:rsid w:val="001120AD"/>
    <w:rsid w:val="00112222"/>
    <w:rsid w:val="00113666"/>
    <w:rsid w:val="001140E0"/>
    <w:rsid w:val="00114579"/>
    <w:rsid w:val="00114C25"/>
    <w:rsid w:val="001169FE"/>
    <w:rsid w:val="00116D19"/>
    <w:rsid w:val="00121E78"/>
    <w:rsid w:val="001230AC"/>
    <w:rsid w:val="00123B47"/>
    <w:rsid w:val="00124604"/>
    <w:rsid w:val="00125061"/>
    <w:rsid w:val="001265C0"/>
    <w:rsid w:val="00130ADE"/>
    <w:rsid w:val="00131348"/>
    <w:rsid w:val="001316C5"/>
    <w:rsid w:val="001337B7"/>
    <w:rsid w:val="00133921"/>
    <w:rsid w:val="0013492E"/>
    <w:rsid w:val="00135027"/>
    <w:rsid w:val="00140C93"/>
    <w:rsid w:val="00142EB2"/>
    <w:rsid w:val="00143536"/>
    <w:rsid w:val="00143A28"/>
    <w:rsid w:val="00143F64"/>
    <w:rsid w:val="00144F44"/>
    <w:rsid w:val="00145B2F"/>
    <w:rsid w:val="001461CE"/>
    <w:rsid w:val="00150440"/>
    <w:rsid w:val="0015085A"/>
    <w:rsid w:val="00150F74"/>
    <w:rsid w:val="0015169A"/>
    <w:rsid w:val="00151D8E"/>
    <w:rsid w:val="00152070"/>
    <w:rsid w:val="00154109"/>
    <w:rsid w:val="001570BC"/>
    <w:rsid w:val="00157812"/>
    <w:rsid w:val="001579BF"/>
    <w:rsid w:val="00161759"/>
    <w:rsid w:val="00161AA0"/>
    <w:rsid w:val="00162ED9"/>
    <w:rsid w:val="001642A3"/>
    <w:rsid w:val="00165081"/>
    <w:rsid w:val="0016570D"/>
    <w:rsid w:val="001662BC"/>
    <w:rsid w:val="00167948"/>
    <w:rsid w:val="0017072D"/>
    <w:rsid w:val="00170B60"/>
    <w:rsid w:val="00170D25"/>
    <w:rsid w:val="00171110"/>
    <w:rsid w:val="0017143A"/>
    <w:rsid w:val="00171A2B"/>
    <w:rsid w:val="00172B7D"/>
    <w:rsid w:val="0017332D"/>
    <w:rsid w:val="00173F30"/>
    <w:rsid w:val="00174FE2"/>
    <w:rsid w:val="00175B2B"/>
    <w:rsid w:val="00175C19"/>
    <w:rsid w:val="00176FB2"/>
    <w:rsid w:val="001775E1"/>
    <w:rsid w:val="001823EB"/>
    <w:rsid w:val="00183823"/>
    <w:rsid w:val="00184577"/>
    <w:rsid w:val="001846D2"/>
    <w:rsid w:val="00184A2B"/>
    <w:rsid w:val="00184A64"/>
    <w:rsid w:val="00184C5D"/>
    <w:rsid w:val="001860A0"/>
    <w:rsid w:val="00186B95"/>
    <w:rsid w:val="0018716E"/>
    <w:rsid w:val="001872F5"/>
    <w:rsid w:val="001873CB"/>
    <w:rsid w:val="00187D8C"/>
    <w:rsid w:val="00190872"/>
    <w:rsid w:val="00190D83"/>
    <w:rsid w:val="00191B56"/>
    <w:rsid w:val="00193614"/>
    <w:rsid w:val="001937E9"/>
    <w:rsid w:val="00193945"/>
    <w:rsid w:val="00193965"/>
    <w:rsid w:val="00193AFF"/>
    <w:rsid w:val="001956FC"/>
    <w:rsid w:val="001957E0"/>
    <w:rsid w:val="00196ABF"/>
    <w:rsid w:val="0019718A"/>
    <w:rsid w:val="001A03AC"/>
    <w:rsid w:val="001A1658"/>
    <w:rsid w:val="001A1AE2"/>
    <w:rsid w:val="001A211A"/>
    <w:rsid w:val="001A29CE"/>
    <w:rsid w:val="001A2D76"/>
    <w:rsid w:val="001A553B"/>
    <w:rsid w:val="001A6BD9"/>
    <w:rsid w:val="001A77C8"/>
    <w:rsid w:val="001A7B34"/>
    <w:rsid w:val="001B0C9F"/>
    <w:rsid w:val="001B2DD8"/>
    <w:rsid w:val="001B4131"/>
    <w:rsid w:val="001B4BF3"/>
    <w:rsid w:val="001B54C7"/>
    <w:rsid w:val="001B56B1"/>
    <w:rsid w:val="001B7E00"/>
    <w:rsid w:val="001C0E6D"/>
    <w:rsid w:val="001C0EF4"/>
    <w:rsid w:val="001C0F80"/>
    <w:rsid w:val="001C3366"/>
    <w:rsid w:val="001C45EE"/>
    <w:rsid w:val="001C59E4"/>
    <w:rsid w:val="001C5EEC"/>
    <w:rsid w:val="001C78ED"/>
    <w:rsid w:val="001D0320"/>
    <w:rsid w:val="001D0720"/>
    <w:rsid w:val="001D0C0B"/>
    <w:rsid w:val="001D1D43"/>
    <w:rsid w:val="001D22B8"/>
    <w:rsid w:val="001D3F3E"/>
    <w:rsid w:val="001D49C5"/>
    <w:rsid w:val="001D6D87"/>
    <w:rsid w:val="001D7520"/>
    <w:rsid w:val="001E13FA"/>
    <w:rsid w:val="001E2368"/>
    <w:rsid w:val="001E27E5"/>
    <w:rsid w:val="001E2CAF"/>
    <w:rsid w:val="001E3596"/>
    <w:rsid w:val="001E36C1"/>
    <w:rsid w:val="001E3C57"/>
    <w:rsid w:val="001E4D37"/>
    <w:rsid w:val="001E605E"/>
    <w:rsid w:val="001E66C2"/>
    <w:rsid w:val="001E763A"/>
    <w:rsid w:val="001E7E32"/>
    <w:rsid w:val="001F1400"/>
    <w:rsid w:val="001F2A84"/>
    <w:rsid w:val="001F2E8D"/>
    <w:rsid w:val="001F436E"/>
    <w:rsid w:val="001F4699"/>
    <w:rsid w:val="001F6078"/>
    <w:rsid w:val="001F635B"/>
    <w:rsid w:val="001F7251"/>
    <w:rsid w:val="00201842"/>
    <w:rsid w:val="00201CFD"/>
    <w:rsid w:val="00202827"/>
    <w:rsid w:val="002034E1"/>
    <w:rsid w:val="00204F82"/>
    <w:rsid w:val="00204F93"/>
    <w:rsid w:val="00207017"/>
    <w:rsid w:val="0021081C"/>
    <w:rsid w:val="002119CD"/>
    <w:rsid w:val="00211B58"/>
    <w:rsid w:val="002159C9"/>
    <w:rsid w:val="0021664F"/>
    <w:rsid w:val="00216D41"/>
    <w:rsid w:val="002209DC"/>
    <w:rsid w:val="00220BEE"/>
    <w:rsid w:val="00220E00"/>
    <w:rsid w:val="002218BC"/>
    <w:rsid w:val="00222098"/>
    <w:rsid w:val="00222BEA"/>
    <w:rsid w:val="00222EAC"/>
    <w:rsid w:val="002232CA"/>
    <w:rsid w:val="00223C30"/>
    <w:rsid w:val="00224282"/>
    <w:rsid w:val="00225439"/>
    <w:rsid w:val="00225F9B"/>
    <w:rsid w:val="00226533"/>
    <w:rsid w:val="0023000A"/>
    <w:rsid w:val="00232061"/>
    <w:rsid w:val="00233421"/>
    <w:rsid w:val="00233B98"/>
    <w:rsid w:val="00233F88"/>
    <w:rsid w:val="00235945"/>
    <w:rsid w:val="00235CAB"/>
    <w:rsid w:val="00237B2E"/>
    <w:rsid w:val="00237B64"/>
    <w:rsid w:val="00241C46"/>
    <w:rsid w:val="00242347"/>
    <w:rsid w:val="00246300"/>
    <w:rsid w:val="00246E12"/>
    <w:rsid w:val="002511F3"/>
    <w:rsid w:val="0025128B"/>
    <w:rsid w:val="002513A2"/>
    <w:rsid w:val="00254EE2"/>
    <w:rsid w:val="00255085"/>
    <w:rsid w:val="002555BE"/>
    <w:rsid w:val="00255679"/>
    <w:rsid w:val="00255966"/>
    <w:rsid w:val="00256B06"/>
    <w:rsid w:val="00256C71"/>
    <w:rsid w:val="002577AC"/>
    <w:rsid w:val="00257B1C"/>
    <w:rsid w:val="00261199"/>
    <w:rsid w:val="002614EA"/>
    <w:rsid w:val="00261BCE"/>
    <w:rsid w:val="00265B0E"/>
    <w:rsid w:val="00266655"/>
    <w:rsid w:val="00267F26"/>
    <w:rsid w:val="0027009A"/>
    <w:rsid w:val="0027049D"/>
    <w:rsid w:val="002729AD"/>
    <w:rsid w:val="0027432B"/>
    <w:rsid w:val="00275D8B"/>
    <w:rsid w:val="00275DB9"/>
    <w:rsid w:val="00276FDB"/>
    <w:rsid w:val="0028148D"/>
    <w:rsid w:val="00281648"/>
    <w:rsid w:val="00282C30"/>
    <w:rsid w:val="00282D7E"/>
    <w:rsid w:val="002864B5"/>
    <w:rsid w:val="002868BE"/>
    <w:rsid w:val="00290445"/>
    <w:rsid w:val="00290EBA"/>
    <w:rsid w:val="002916BA"/>
    <w:rsid w:val="002916DA"/>
    <w:rsid w:val="00291ACB"/>
    <w:rsid w:val="00291E0F"/>
    <w:rsid w:val="00292044"/>
    <w:rsid w:val="00292B82"/>
    <w:rsid w:val="002931F3"/>
    <w:rsid w:val="00293811"/>
    <w:rsid w:val="0029459E"/>
    <w:rsid w:val="0029578B"/>
    <w:rsid w:val="00297259"/>
    <w:rsid w:val="00297710"/>
    <w:rsid w:val="002A151A"/>
    <w:rsid w:val="002A2687"/>
    <w:rsid w:val="002A4207"/>
    <w:rsid w:val="002A4222"/>
    <w:rsid w:val="002A578B"/>
    <w:rsid w:val="002A5B0E"/>
    <w:rsid w:val="002A5C23"/>
    <w:rsid w:val="002A5DD6"/>
    <w:rsid w:val="002B1AA9"/>
    <w:rsid w:val="002B2847"/>
    <w:rsid w:val="002B2999"/>
    <w:rsid w:val="002B3340"/>
    <w:rsid w:val="002B5772"/>
    <w:rsid w:val="002B6D1D"/>
    <w:rsid w:val="002C04A9"/>
    <w:rsid w:val="002C0551"/>
    <w:rsid w:val="002C08D2"/>
    <w:rsid w:val="002C09C5"/>
    <w:rsid w:val="002C1066"/>
    <w:rsid w:val="002C1255"/>
    <w:rsid w:val="002C175F"/>
    <w:rsid w:val="002C257D"/>
    <w:rsid w:val="002C2774"/>
    <w:rsid w:val="002C381D"/>
    <w:rsid w:val="002C3941"/>
    <w:rsid w:val="002C7102"/>
    <w:rsid w:val="002C7533"/>
    <w:rsid w:val="002C7F0E"/>
    <w:rsid w:val="002D1069"/>
    <w:rsid w:val="002D2864"/>
    <w:rsid w:val="002D6707"/>
    <w:rsid w:val="002D79A7"/>
    <w:rsid w:val="002E1578"/>
    <w:rsid w:val="002E24BC"/>
    <w:rsid w:val="002E3A2D"/>
    <w:rsid w:val="002E3D5D"/>
    <w:rsid w:val="002E3F68"/>
    <w:rsid w:val="002E42C7"/>
    <w:rsid w:val="002E56E3"/>
    <w:rsid w:val="002E5C16"/>
    <w:rsid w:val="002E73E7"/>
    <w:rsid w:val="002F0AA7"/>
    <w:rsid w:val="002F0D28"/>
    <w:rsid w:val="002F1B28"/>
    <w:rsid w:val="002F21BE"/>
    <w:rsid w:val="002F2583"/>
    <w:rsid w:val="002F279A"/>
    <w:rsid w:val="002F2C1A"/>
    <w:rsid w:val="002F4868"/>
    <w:rsid w:val="002F4F5B"/>
    <w:rsid w:val="002F68FE"/>
    <w:rsid w:val="00300DF8"/>
    <w:rsid w:val="00301148"/>
    <w:rsid w:val="00301198"/>
    <w:rsid w:val="00301487"/>
    <w:rsid w:val="00303156"/>
    <w:rsid w:val="0030349D"/>
    <w:rsid w:val="00304358"/>
    <w:rsid w:val="0030571A"/>
    <w:rsid w:val="00307450"/>
    <w:rsid w:val="00307743"/>
    <w:rsid w:val="0030794F"/>
    <w:rsid w:val="00307B3D"/>
    <w:rsid w:val="003107AB"/>
    <w:rsid w:val="0031127A"/>
    <w:rsid w:val="00313EEC"/>
    <w:rsid w:val="0031410C"/>
    <w:rsid w:val="00314535"/>
    <w:rsid w:val="00314E42"/>
    <w:rsid w:val="00315192"/>
    <w:rsid w:val="003154E8"/>
    <w:rsid w:val="00315C29"/>
    <w:rsid w:val="003164DD"/>
    <w:rsid w:val="00316533"/>
    <w:rsid w:val="0031664C"/>
    <w:rsid w:val="0031709A"/>
    <w:rsid w:val="00317F86"/>
    <w:rsid w:val="00320807"/>
    <w:rsid w:val="00322E59"/>
    <w:rsid w:val="00324997"/>
    <w:rsid w:val="003256B1"/>
    <w:rsid w:val="00331184"/>
    <w:rsid w:val="00331545"/>
    <w:rsid w:val="003316A8"/>
    <w:rsid w:val="00332D45"/>
    <w:rsid w:val="003330E6"/>
    <w:rsid w:val="0033318C"/>
    <w:rsid w:val="0033333E"/>
    <w:rsid w:val="00333830"/>
    <w:rsid w:val="00335442"/>
    <w:rsid w:val="003364D8"/>
    <w:rsid w:val="00336606"/>
    <w:rsid w:val="003368C0"/>
    <w:rsid w:val="003416B4"/>
    <w:rsid w:val="00341D46"/>
    <w:rsid w:val="00342422"/>
    <w:rsid w:val="0034257D"/>
    <w:rsid w:val="0034332F"/>
    <w:rsid w:val="00343439"/>
    <w:rsid w:val="00343B53"/>
    <w:rsid w:val="003450CE"/>
    <w:rsid w:val="003459E9"/>
    <w:rsid w:val="00345DFC"/>
    <w:rsid w:val="00346BA7"/>
    <w:rsid w:val="00347154"/>
    <w:rsid w:val="00351D8E"/>
    <w:rsid w:val="00354915"/>
    <w:rsid w:val="003555F7"/>
    <w:rsid w:val="00355895"/>
    <w:rsid w:val="00356255"/>
    <w:rsid w:val="00357826"/>
    <w:rsid w:val="003609D5"/>
    <w:rsid w:val="00361873"/>
    <w:rsid w:val="00362630"/>
    <w:rsid w:val="003643B9"/>
    <w:rsid w:val="00364E30"/>
    <w:rsid w:val="00367FA9"/>
    <w:rsid w:val="00370550"/>
    <w:rsid w:val="00371A9C"/>
    <w:rsid w:val="00372031"/>
    <w:rsid w:val="00373203"/>
    <w:rsid w:val="003737C4"/>
    <w:rsid w:val="003738C2"/>
    <w:rsid w:val="00374AB0"/>
    <w:rsid w:val="00375C06"/>
    <w:rsid w:val="00376AF1"/>
    <w:rsid w:val="00377AF7"/>
    <w:rsid w:val="003819AC"/>
    <w:rsid w:val="003838B8"/>
    <w:rsid w:val="00384125"/>
    <w:rsid w:val="00385254"/>
    <w:rsid w:val="00385A83"/>
    <w:rsid w:val="00385E85"/>
    <w:rsid w:val="00386491"/>
    <w:rsid w:val="0038657C"/>
    <w:rsid w:val="00386A97"/>
    <w:rsid w:val="0039118D"/>
    <w:rsid w:val="0039182E"/>
    <w:rsid w:val="00391AC8"/>
    <w:rsid w:val="00392FB4"/>
    <w:rsid w:val="00394DFF"/>
    <w:rsid w:val="0039579D"/>
    <w:rsid w:val="00395C05"/>
    <w:rsid w:val="00396746"/>
    <w:rsid w:val="00396A93"/>
    <w:rsid w:val="003A0250"/>
    <w:rsid w:val="003A04CD"/>
    <w:rsid w:val="003A11AB"/>
    <w:rsid w:val="003A1F14"/>
    <w:rsid w:val="003A365A"/>
    <w:rsid w:val="003A3974"/>
    <w:rsid w:val="003A3DA7"/>
    <w:rsid w:val="003A5838"/>
    <w:rsid w:val="003A5D8C"/>
    <w:rsid w:val="003A6B5E"/>
    <w:rsid w:val="003B035D"/>
    <w:rsid w:val="003B0BC2"/>
    <w:rsid w:val="003B1F83"/>
    <w:rsid w:val="003B37BB"/>
    <w:rsid w:val="003B65C1"/>
    <w:rsid w:val="003B75C2"/>
    <w:rsid w:val="003B79BB"/>
    <w:rsid w:val="003C36AC"/>
    <w:rsid w:val="003C373C"/>
    <w:rsid w:val="003C7A87"/>
    <w:rsid w:val="003C7EF9"/>
    <w:rsid w:val="003D35F6"/>
    <w:rsid w:val="003D5025"/>
    <w:rsid w:val="003D5615"/>
    <w:rsid w:val="003D68D5"/>
    <w:rsid w:val="003D7050"/>
    <w:rsid w:val="003D737D"/>
    <w:rsid w:val="003E14CF"/>
    <w:rsid w:val="003E232F"/>
    <w:rsid w:val="003E25CF"/>
    <w:rsid w:val="003E25E6"/>
    <w:rsid w:val="003E409F"/>
    <w:rsid w:val="003E684C"/>
    <w:rsid w:val="003E79B4"/>
    <w:rsid w:val="003F015E"/>
    <w:rsid w:val="003F168A"/>
    <w:rsid w:val="003F5048"/>
    <w:rsid w:val="003F587C"/>
    <w:rsid w:val="003F59C7"/>
    <w:rsid w:val="003F5D1B"/>
    <w:rsid w:val="003F7AF5"/>
    <w:rsid w:val="003F7DA7"/>
    <w:rsid w:val="004000E9"/>
    <w:rsid w:val="00400308"/>
    <w:rsid w:val="0040055B"/>
    <w:rsid w:val="00401150"/>
    <w:rsid w:val="004016DA"/>
    <w:rsid w:val="004035DA"/>
    <w:rsid w:val="0040532B"/>
    <w:rsid w:val="00406258"/>
    <w:rsid w:val="00407D59"/>
    <w:rsid w:val="00407E77"/>
    <w:rsid w:val="00411C15"/>
    <w:rsid w:val="0041257E"/>
    <w:rsid w:val="0041525E"/>
    <w:rsid w:val="00415939"/>
    <w:rsid w:val="00420742"/>
    <w:rsid w:val="00421005"/>
    <w:rsid w:val="0042397D"/>
    <w:rsid w:val="00426625"/>
    <w:rsid w:val="00426C73"/>
    <w:rsid w:val="00431039"/>
    <w:rsid w:val="00431372"/>
    <w:rsid w:val="00431996"/>
    <w:rsid w:val="00431D84"/>
    <w:rsid w:val="00433564"/>
    <w:rsid w:val="00433A69"/>
    <w:rsid w:val="00433E16"/>
    <w:rsid w:val="00434CDA"/>
    <w:rsid w:val="00434F98"/>
    <w:rsid w:val="00437CA3"/>
    <w:rsid w:val="0044027B"/>
    <w:rsid w:val="004408F8"/>
    <w:rsid w:val="00444993"/>
    <w:rsid w:val="00445E8B"/>
    <w:rsid w:val="0044648F"/>
    <w:rsid w:val="00446DA2"/>
    <w:rsid w:val="00446FF6"/>
    <w:rsid w:val="0045000D"/>
    <w:rsid w:val="00450260"/>
    <w:rsid w:val="00450EC4"/>
    <w:rsid w:val="004516CC"/>
    <w:rsid w:val="00453143"/>
    <w:rsid w:val="00454703"/>
    <w:rsid w:val="004562C2"/>
    <w:rsid w:val="0045723F"/>
    <w:rsid w:val="0045727F"/>
    <w:rsid w:val="00457843"/>
    <w:rsid w:val="00462002"/>
    <w:rsid w:val="0046212F"/>
    <w:rsid w:val="00462733"/>
    <w:rsid w:val="00463227"/>
    <w:rsid w:val="00463973"/>
    <w:rsid w:val="00465978"/>
    <w:rsid w:val="00466674"/>
    <w:rsid w:val="00466BCB"/>
    <w:rsid w:val="0046701C"/>
    <w:rsid w:val="00471113"/>
    <w:rsid w:val="00471200"/>
    <w:rsid w:val="004713FA"/>
    <w:rsid w:val="00471661"/>
    <w:rsid w:val="00472DD2"/>
    <w:rsid w:val="00472FF8"/>
    <w:rsid w:val="00473897"/>
    <w:rsid w:val="004755B3"/>
    <w:rsid w:val="00475F03"/>
    <w:rsid w:val="00476B09"/>
    <w:rsid w:val="00477C46"/>
    <w:rsid w:val="00480317"/>
    <w:rsid w:val="004804B3"/>
    <w:rsid w:val="00480D0B"/>
    <w:rsid w:val="004818EF"/>
    <w:rsid w:val="004819EB"/>
    <w:rsid w:val="00481E06"/>
    <w:rsid w:val="004820E9"/>
    <w:rsid w:val="00483119"/>
    <w:rsid w:val="0048361F"/>
    <w:rsid w:val="00483627"/>
    <w:rsid w:val="004845D0"/>
    <w:rsid w:val="004849BA"/>
    <w:rsid w:val="0048505F"/>
    <w:rsid w:val="004852FF"/>
    <w:rsid w:val="00485745"/>
    <w:rsid w:val="004858BD"/>
    <w:rsid w:val="00485BBC"/>
    <w:rsid w:val="004867C7"/>
    <w:rsid w:val="0048741A"/>
    <w:rsid w:val="00487DA4"/>
    <w:rsid w:val="004902AA"/>
    <w:rsid w:val="00490734"/>
    <w:rsid w:val="00490BF4"/>
    <w:rsid w:val="00491C09"/>
    <w:rsid w:val="00491D09"/>
    <w:rsid w:val="00492398"/>
    <w:rsid w:val="00494E73"/>
    <w:rsid w:val="004A1026"/>
    <w:rsid w:val="004A14F6"/>
    <w:rsid w:val="004A1DC0"/>
    <w:rsid w:val="004A2830"/>
    <w:rsid w:val="004A31A5"/>
    <w:rsid w:val="004A3E7E"/>
    <w:rsid w:val="004A4A45"/>
    <w:rsid w:val="004A5F44"/>
    <w:rsid w:val="004B0805"/>
    <w:rsid w:val="004B08C1"/>
    <w:rsid w:val="004B115C"/>
    <w:rsid w:val="004B37E4"/>
    <w:rsid w:val="004B4948"/>
    <w:rsid w:val="004B4FB1"/>
    <w:rsid w:val="004B5101"/>
    <w:rsid w:val="004B514C"/>
    <w:rsid w:val="004B6A44"/>
    <w:rsid w:val="004B7182"/>
    <w:rsid w:val="004B7597"/>
    <w:rsid w:val="004B7E95"/>
    <w:rsid w:val="004C00D8"/>
    <w:rsid w:val="004C2341"/>
    <w:rsid w:val="004C34E2"/>
    <w:rsid w:val="004C356A"/>
    <w:rsid w:val="004C3DAD"/>
    <w:rsid w:val="004C410A"/>
    <w:rsid w:val="004C5923"/>
    <w:rsid w:val="004C6116"/>
    <w:rsid w:val="004C6979"/>
    <w:rsid w:val="004C7C61"/>
    <w:rsid w:val="004D0DFD"/>
    <w:rsid w:val="004D1411"/>
    <w:rsid w:val="004D1FBE"/>
    <w:rsid w:val="004D458C"/>
    <w:rsid w:val="004D4A86"/>
    <w:rsid w:val="004D4E0F"/>
    <w:rsid w:val="004D5B62"/>
    <w:rsid w:val="004D5B75"/>
    <w:rsid w:val="004D7664"/>
    <w:rsid w:val="004E074F"/>
    <w:rsid w:val="004E2A9A"/>
    <w:rsid w:val="004E3FD6"/>
    <w:rsid w:val="004E583B"/>
    <w:rsid w:val="004E63AD"/>
    <w:rsid w:val="004E6427"/>
    <w:rsid w:val="004E6630"/>
    <w:rsid w:val="004E6CB3"/>
    <w:rsid w:val="004E7625"/>
    <w:rsid w:val="004E7E43"/>
    <w:rsid w:val="004E7EC4"/>
    <w:rsid w:val="004F072D"/>
    <w:rsid w:val="004F0D07"/>
    <w:rsid w:val="004F12F1"/>
    <w:rsid w:val="004F1662"/>
    <w:rsid w:val="004F1956"/>
    <w:rsid w:val="004F4743"/>
    <w:rsid w:val="004F58B3"/>
    <w:rsid w:val="004F5FC6"/>
    <w:rsid w:val="004F69FA"/>
    <w:rsid w:val="004F76CC"/>
    <w:rsid w:val="004F7E42"/>
    <w:rsid w:val="00500B64"/>
    <w:rsid w:val="005037B2"/>
    <w:rsid w:val="00503D54"/>
    <w:rsid w:val="0050442F"/>
    <w:rsid w:val="0050455E"/>
    <w:rsid w:val="005047AD"/>
    <w:rsid w:val="00504BB3"/>
    <w:rsid w:val="00506690"/>
    <w:rsid w:val="005066B3"/>
    <w:rsid w:val="005071C6"/>
    <w:rsid w:val="00510860"/>
    <w:rsid w:val="00510B1D"/>
    <w:rsid w:val="0051107D"/>
    <w:rsid w:val="0051254F"/>
    <w:rsid w:val="0051431C"/>
    <w:rsid w:val="0052053F"/>
    <w:rsid w:val="00520BCE"/>
    <w:rsid w:val="005227B5"/>
    <w:rsid w:val="005251AF"/>
    <w:rsid w:val="0052538F"/>
    <w:rsid w:val="00526C07"/>
    <w:rsid w:val="005273A6"/>
    <w:rsid w:val="00527533"/>
    <w:rsid w:val="00527E0E"/>
    <w:rsid w:val="005319D4"/>
    <w:rsid w:val="005323E9"/>
    <w:rsid w:val="00532CD9"/>
    <w:rsid w:val="00533141"/>
    <w:rsid w:val="00533202"/>
    <w:rsid w:val="0053387C"/>
    <w:rsid w:val="00534F74"/>
    <w:rsid w:val="005358B4"/>
    <w:rsid w:val="00536789"/>
    <w:rsid w:val="00536D2F"/>
    <w:rsid w:val="0053758F"/>
    <w:rsid w:val="00540052"/>
    <w:rsid w:val="00541121"/>
    <w:rsid w:val="0054146B"/>
    <w:rsid w:val="005421CE"/>
    <w:rsid w:val="00543DB4"/>
    <w:rsid w:val="00543E08"/>
    <w:rsid w:val="005449AD"/>
    <w:rsid w:val="00544B79"/>
    <w:rsid w:val="00544F2F"/>
    <w:rsid w:val="00545861"/>
    <w:rsid w:val="00546114"/>
    <w:rsid w:val="00547FC4"/>
    <w:rsid w:val="00550116"/>
    <w:rsid w:val="005505ED"/>
    <w:rsid w:val="005508FF"/>
    <w:rsid w:val="00550BBB"/>
    <w:rsid w:val="00552C71"/>
    <w:rsid w:val="0055327E"/>
    <w:rsid w:val="0055403C"/>
    <w:rsid w:val="00555003"/>
    <w:rsid w:val="0055689B"/>
    <w:rsid w:val="00563941"/>
    <w:rsid w:val="00564B04"/>
    <w:rsid w:val="00565BE4"/>
    <w:rsid w:val="00565FF5"/>
    <w:rsid w:val="00571160"/>
    <w:rsid w:val="00572470"/>
    <w:rsid w:val="00572AE2"/>
    <w:rsid w:val="00572DFC"/>
    <w:rsid w:val="00573059"/>
    <w:rsid w:val="00573CF0"/>
    <w:rsid w:val="005760B4"/>
    <w:rsid w:val="0057621E"/>
    <w:rsid w:val="00577B05"/>
    <w:rsid w:val="00577BA9"/>
    <w:rsid w:val="00580D6F"/>
    <w:rsid w:val="005810E1"/>
    <w:rsid w:val="005812C6"/>
    <w:rsid w:val="005817C1"/>
    <w:rsid w:val="00581F30"/>
    <w:rsid w:val="00585D69"/>
    <w:rsid w:val="005861D4"/>
    <w:rsid w:val="00586351"/>
    <w:rsid w:val="00587E16"/>
    <w:rsid w:val="0059122C"/>
    <w:rsid w:val="005912B7"/>
    <w:rsid w:val="005948FA"/>
    <w:rsid w:val="005959BE"/>
    <w:rsid w:val="00596210"/>
    <w:rsid w:val="00596286"/>
    <w:rsid w:val="00596999"/>
    <w:rsid w:val="00596CC2"/>
    <w:rsid w:val="00596E5C"/>
    <w:rsid w:val="00597D27"/>
    <w:rsid w:val="005A09DD"/>
    <w:rsid w:val="005A0A29"/>
    <w:rsid w:val="005A0F31"/>
    <w:rsid w:val="005A28A1"/>
    <w:rsid w:val="005A2921"/>
    <w:rsid w:val="005A4359"/>
    <w:rsid w:val="005A46D0"/>
    <w:rsid w:val="005A5315"/>
    <w:rsid w:val="005A6FB5"/>
    <w:rsid w:val="005B011F"/>
    <w:rsid w:val="005B05D5"/>
    <w:rsid w:val="005B0D80"/>
    <w:rsid w:val="005B1794"/>
    <w:rsid w:val="005B25E4"/>
    <w:rsid w:val="005B2F99"/>
    <w:rsid w:val="005B30C1"/>
    <w:rsid w:val="005B30C8"/>
    <w:rsid w:val="005B3173"/>
    <w:rsid w:val="005B428B"/>
    <w:rsid w:val="005B4908"/>
    <w:rsid w:val="005B5E93"/>
    <w:rsid w:val="005B7778"/>
    <w:rsid w:val="005C051F"/>
    <w:rsid w:val="005C2C88"/>
    <w:rsid w:val="005C30D6"/>
    <w:rsid w:val="005C3916"/>
    <w:rsid w:val="005C3C38"/>
    <w:rsid w:val="005C41AF"/>
    <w:rsid w:val="005C52A6"/>
    <w:rsid w:val="005C5A6B"/>
    <w:rsid w:val="005C5D36"/>
    <w:rsid w:val="005C66F4"/>
    <w:rsid w:val="005C6E7B"/>
    <w:rsid w:val="005C6EB4"/>
    <w:rsid w:val="005C762E"/>
    <w:rsid w:val="005D098C"/>
    <w:rsid w:val="005D2283"/>
    <w:rsid w:val="005D2B81"/>
    <w:rsid w:val="005D3FD9"/>
    <w:rsid w:val="005D45CC"/>
    <w:rsid w:val="005D4B74"/>
    <w:rsid w:val="005D5996"/>
    <w:rsid w:val="005D5BA6"/>
    <w:rsid w:val="005D6A27"/>
    <w:rsid w:val="005D7DBE"/>
    <w:rsid w:val="005E134E"/>
    <w:rsid w:val="005E137A"/>
    <w:rsid w:val="005E2139"/>
    <w:rsid w:val="005E2451"/>
    <w:rsid w:val="005E30C5"/>
    <w:rsid w:val="005E3380"/>
    <w:rsid w:val="005E46BB"/>
    <w:rsid w:val="005E49C8"/>
    <w:rsid w:val="005E7094"/>
    <w:rsid w:val="005F269A"/>
    <w:rsid w:val="005F661F"/>
    <w:rsid w:val="006001CC"/>
    <w:rsid w:val="0060078E"/>
    <w:rsid w:val="00602B4D"/>
    <w:rsid w:val="00603C94"/>
    <w:rsid w:val="006048E0"/>
    <w:rsid w:val="00604FAD"/>
    <w:rsid w:val="0060555B"/>
    <w:rsid w:val="00605628"/>
    <w:rsid w:val="0060662A"/>
    <w:rsid w:val="006068CD"/>
    <w:rsid w:val="00606C27"/>
    <w:rsid w:val="00606ECB"/>
    <w:rsid w:val="006077FE"/>
    <w:rsid w:val="00607BC8"/>
    <w:rsid w:val="00607E26"/>
    <w:rsid w:val="00612789"/>
    <w:rsid w:val="0061284F"/>
    <w:rsid w:val="0061308E"/>
    <w:rsid w:val="006130BD"/>
    <w:rsid w:val="00613D24"/>
    <w:rsid w:val="00614154"/>
    <w:rsid w:val="00614BDA"/>
    <w:rsid w:val="00614CFD"/>
    <w:rsid w:val="006162CD"/>
    <w:rsid w:val="006176DA"/>
    <w:rsid w:val="006204DB"/>
    <w:rsid w:val="006214A9"/>
    <w:rsid w:val="006216F5"/>
    <w:rsid w:val="00621AFB"/>
    <w:rsid w:val="00624326"/>
    <w:rsid w:val="0062589A"/>
    <w:rsid w:val="006307C7"/>
    <w:rsid w:val="006327B3"/>
    <w:rsid w:val="00632B82"/>
    <w:rsid w:val="006331B4"/>
    <w:rsid w:val="00633748"/>
    <w:rsid w:val="00633EB1"/>
    <w:rsid w:val="006343F3"/>
    <w:rsid w:val="00636966"/>
    <w:rsid w:val="006379D5"/>
    <w:rsid w:val="00640CF2"/>
    <w:rsid w:val="006417D6"/>
    <w:rsid w:val="006420D1"/>
    <w:rsid w:val="00642906"/>
    <w:rsid w:val="006433D3"/>
    <w:rsid w:val="00643582"/>
    <w:rsid w:val="0064391D"/>
    <w:rsid w:val="00643B75"/>
    <w:rsid w:val="00643BC5"/>
    <w:rsid w:val="006457EF"/>
    <w:rsid w:val="006505FA"/>
    <w:rsid w:val="00650F96"/>
    <w:rsid w:val="006512B7"/>
    <w:rsid w:val="00651C22"/>
    <w:rsid w:val="00655679"/>
    <w:rsid w:val="00655965"/>
    <w:rsid w:val="00655B4D"/>
    <w:rsid w:val="00655ED5"/>
    <w:rsid w:val="0065631D"/>
    <w:rsid w:val="0065716F"/>
    <w:rsid w:val="00657199"/>
    <w:rsid w:val="0066041E"/>
    <w:rsid w:val="00661F43"/>
    <w:rsid w:val="0066299A"/>
    <w:rsid w:val="00662A54"/>
    <w:rsid w:val="00663156"/>
    <w:rsid w:val="00664976"/>
    <w:rsid w:val="006656E3"/>
    <w:rsid w:val="00665734"/>
    <w:rsid w:val="00665EBF"/>
    <w:rsid w:val="00665FAD"/>
    <w:rsid w:val="00667421"/>
    <w:rsid w:val="00667D01"/>
    <w:rsid w:val="00671977"/>
    <w:rsid w:val="00671D80"/>
    <w:rsid w:val="00672EFB"/>
    <w:rsid w:val="00672F86"/>
    <w:rsid w:val="00673258"/>
    <w:rsid w:val="006739CF"/>
    <w:rsid w:val="00673B87"/>
    <w:rsid w:val="00673BC9"/>
    <w:rsid w:val="00674B84"/>
    <w:rsid w:val="00674BE3"/>
    <w:rsid w:val="00676D89"/>
    <w:rsid w:val="0067752C"/>
    <w:rsid w:val="006776A2"/>
    <w:rsid w:val="0068012C"/>
    <w:rsid w:val="006801A6"/>
    <w:rsid w:val="0068124B"/>
    <w:rsid w:val="00681610"/>
    <w:rsid w:val="0068343C"/>
    <w:rsid w:val="00685CCC"/>
    <w:rsid w:val="00685D36"/>
    <w:rsid w:val="00685FAA"/>
    <w:rsid w:val="006870BC"/>
    <w:rsid w:val="00687304"/>
    <w:rsid w:val="006902EC"/>
    <w:rsid w:val="006906A8"/>
    <w:rsid w:val="00692C71"/>
    <w:rsid w:val="006931A0"/>
    <w:rsid w:val="006935BC"/>
    <w:rsid w:val="00696233"/>
    <w:rsid w:val="0069694D"/>
    <w:rsid w:val="00696E55"/>
    <w:rsid w:val="006A0B0E"/>
    <w:rsid w:val="006A174E"/>
    <w:rsid w:val="006A3A9C"/>
    <w:rsid w:val="006A3CC5"/>
    <w:rsid w:val="006A4212"/>
    <w:rsid w:val="006A721F"/>
    <w:rsid w:val="006A7CCF"/>
    <w:rsid w:val="006B0581"/>
    <w:rsid w:val="006B0B13"/>
    <w:rsid w:val="006B0F36"/>
    <w:rsid w:val="006B2224"/>
    <w:rsid w:val="006B2C0D"/>
    <w:rsid w:val="006B30FD"/>
    <w:rsid w:val="006B366D"/>
    <w:rsid w:val="006B4004"/>
    <w:rsid w:val="006B4254"/>
    <w:rsid w:val="006B47A3"/>
    <w:rsid w:val="006B513F"/>
    <w:rsid w:val="006B5BC8"/>
    <w:rsid w:val="006B5BF7"/>
    <w:rsid w:val="006B5CB4"/>
    <w:rsid w:val="006B6DCF"/>
    <w:rsid w:val="006B791B"/>
    <w:rsid w:val="006B7985"/>
    <w:rsid w:val="006C0A22"/>
    <w:rsid w:val="006C195D"/>
    <w:rsid w:val="006C249D"/>
    <w:rsid w:val="006C2865"/>
    <w:rsid w:val="006C2922"/>
    <w:rsid w:val="006C299C"/>
    <w:rsid w:val="006C41A3"/>
    <w:rsid w:val="006C4793"/>
    <w:rsid w:val="006C6CD2"/>
    <w:rsid w:val="006D35F4"/>
    <w:rsid w:val="006D36FB"/>
    <w:rsid w:val="006D3F62"/>
    <w:rsid w:val="006D42ED"/>
    <w:rsid w:val="006D4B59"/>
    <w:rsid w:val="006D4B86"/>
    <w:rsid w:val="006D6BF2"/>
    <w:rsid w:val="006D6DB1"/>
    <w:rsid w:val="006D73F1"/>
    <w:rsid w:val="006D768A"/>
    <w:rsid w:val="006D792E"/>
    <w:rsid w:val="006D7F6A"/>
    <w:rsid w:val="006E08B1"/>
    <w:rsid w:val="006E2A29"/>
    <w:rsid w:val="006E3514"/>
    <w:rsid w:val="006E36F1"/>
    <w:rsid w:val="006E3A6D"/>
    <w:rsid w:val="006E4AC5"/>
    <w:rsid w:val="006E7647"/>
    <w:rsid w:val="006F014A"/>
    <w:rsid w:val="006F0F9F"/>
    <w:rsid w:val="006F162C"/>
    <w:rsid w:val="006F1DA8"/>
    <w:rsid w:val="006F2BD5"/>
    <w:rsid w:val="006F48C9"/>
    <w:rsid w:val="006F4CFA"/>
    <w:rsid w:val="006F5310"/>
    <w:rsid w:val="006F6757"/>
    <w:rsid w:val="006F696E"/>
    <w:rsid w:val="006F6B91"/>
    <w:rsid w:val="006F792A"/>
    <w:rsid w:val="00700594"/>
    <w:rsid w:val="007013BF"/>
    <w:rsid w:val="00701E22"/>
    <w:rsid w:val="00702B1B"/>
    <w:rsid w:val="00702BB5"/>
    <w:rsid w:val="007040CB"/>
    <w:rsid w:val="007046E8"/>
    <w:rsid w:val="007049D7"/>
    <w:rsid w:val="0070523B"/>
    <w:rsid w:val="0070588C"/>
    <w:rsid w:val="00706D35"/>
    <w:rsid w:val="00707609"/>
    <w:rsid w:val="00707D16"/>
    <w:rsid w:val="00711157"/>
    <w:rsid w:val="00713056"/>
    <w:rsid w:val="00713B49"/>
    <w:rsid w:val="007146EA"/>
    <w:rsid w:val="00714886"/>
    <w:rsid w:val="007151B3"/>
    <w:rsid w:val="00715E8A"/>
    <w:rsid w:val="00715F07"/>
    <w:rsid w:val="00717226"/>
    <w:rsid w:val="00720CCD"/>
    <w:rsid w:val="00720FDD"/>
    <w:rsid w:val="00722253"/>
    <w:rsid w:val="00722883"/>
    <w:rsid w:val="00722F07"/>
    <w:rsid w:val="00722FF1"/>
    <w:rsid w:val="00723AF0"/>
    <w:rsid w:val="00724A3B"/>
    <w:rsid w:val="00724D1E"/>
    <w:rsid w:val="00724F58"/>
    <w:rsid w:val="0072618B"/>
    <w:rsid w:val="00727911"/>
    <w:rsid w:val="0073007E"/>
    <w:rsid w:val="007311E2"/>
    <w:rsid w:val="00731E0D"/>
    <w:rsid w:val="00732519"/>
    <w:rsid w:val="0073365B"/>
    <w:rsid w:val="0073387A"/>
    <w:rsid w:val="007344AD"/>
    <w:rsid w:val="00734F5A"/>
    <w:rsid w:val="0073520C"/>
    <w:rsid w:val="00735BFC"/>
    <w:rsid w:val="00736871"/>
    <w:rsid w:val="00736958"/>
    <w:rsid w:val="00736D97"/>
    <w:rsid w:val="00737335"/>
    <w:rsid w:val="00737B10"/>
    <w:rsid w:val="00737CEF"/>
    <w:rsid w:val="00737DDA"/>
    <w:rsid w:val="00737EBC"/>
    <w:rsid w:val="00740961"/>
    <w:rsid w:val="007417F9"/>
    <w:rsid w:val="0074201D"/>
    <w:rsid w:val="007449BB"/>
    <w:rsid w:val="00746B57"/>
    <w:rsid w:val="00747455"/>
    <w:rsid w:val="007475C2"/>
    <w:rsid w:val="00747D90"/>
    <w:rsid w:val="00750803"/>
    <w:rsid w:val="00751CB9"/>
    <w:rsid w:val="007545FB"/>
    <w:rsid w:val="0075624F"/>
    <w:rsid w:val="007567ED"/>
    <w:rsid w:val="00756D96"/>
    <w:rsid w:val="007600CA"/>
    <w:rsid w:val="00763641"/>
    <w:rsid w:val="00763A57"/>
    <w:rsid w:val="007641A2"/>
    <w:rsid w:val="0076588C"/>
    <w:rsid w:val="007668BA"/>
    <w:rsid w:val="0076753A"/>
    <w:rsid w:val="00770596"/>
    <w:rsid w:val="0077277D"/>
    <w:rsid w:val="00772E6E"/>
    <w:rsid w:val="0077315E"/>
    <w:rsid w:val="007747D4"/>
    <w:rsid w:val="00774963"/>
    <w:rsid w:val="007750FC"/>
    <w:rsid w:val="007763CD"/>
    <w:rsid w:val="00780AB3"/>
    <w:rsid w:val="00781B7F"/>
    <w:rsid w:val="00782CBE"/>
    <w:rsid w:val="00782DCB"/>
    <w:rsid w:val="00784156"/>
    <w:rsid w:val="007844E7"/>
    <w:rsid w:val="00784810"/>
    <w:rsid w:val="007853DA"/>
    <w:rsid w:val="007860E5"/>
    <w:rsid w:val="00791535"/>
    <w:rsid w:val="00792110"/>
    <w:rsid w:val="007924B3"/>
    <w:rsid w:val="007927DB"/>
    <w:rsid w:val="00793320"/>
    <w:rsid w:val="007933B3"/>
    <w:rsid w:val="00794753"/>
    <w:rsid w:val="00794D72"/>
    <w:rsid w:val="00796250"/>
    <w:rsid w:val="0079656D"/>
    <w:rsid w:val="007A0196"/>
    <w:rsid w:val="007A048E"/>
    <w:rsid w:val="007A0777"/>
    <w:rsid w:val="007A113D"/>
    <w:rsid w:val="007A19AF"/>
    <w:rsid w:val="007A1E9D"/>
    <w:rsid w:val="007A2676"/>
    <w:rsid w:val="007A2801"/>
    <w:rsid w:val="007A2DFD"/>
    <w:rsid w:val="007A4EEE"/>
    <w:rsid w:val="007A6D85"/>
    <w:rsid w:val="007A6DAA"/>
    <w:rsid w:val="007A6E76"/>
    <w:rsid w:val="007A7EC8"/>
    <w:rsid w:val="007B032C"/>
    <w:rsid w:val="007B0997"/>
    <w:rsid w:val="007B1AF8"/>
    <w:rsid w:val="007B2A16"/>
    <w:rsid w:val="007B41DE"/>
    <w:rsid w:val="007B4B3F"/>
    <w:rsid w:val="007B787D"/>
    <w:rsid w:val="007B7B7B"/>
    <w:rsid w:val="007C27AF"/>
    <w:rsid w:val="007C3165"/>
    <w:rsid w:val="007C58D6"/>
    <w:rsid w:val="007C5B12"/>
    <w:rsid w:val="007C5F78"/>
    <w:rsid w:val="007C732D"/>
    <w:rsid w:val="007C7893"/>
    <w:rsid w:val="007D05B8"/>
    <w:rsid w:val="007D1008"/>
    <w:rsid w:val="007D3A7A"/>
    <w:rsid w:val="007D4576"/>
    <w:rsid w:val="007D5B27"/>
    <w:rsid w:val="007D5C80"/>
    <w:rsid w:val="007D62AE"/>
    <w:rsid w:val="007D76B5"/>
    <w:rsid w:val="007E013D"/>
    <w:rsid w:val="007E0ABE"/>
    <w:rsid w:val="007E12BB"/>
    <w:rsid w:val="007E2754"/>
    <w:rsid w:val="007E34F9"/>
    <w:rsid w:val="007E3EC1"/>
    <w:rsid w:val="007E4589"/>
    <w:rsid w:val="007E5818"/>
    <w:rsid w:val="007E59C2"/>
    <w:rsid w:val="007E60A8"/>
    <w:rsid w:val="007E61A7"/>
    <w:rsid w:val="007E65D7"/>
    <w:rsid w:val="007F0491"/>
    <w:rsid w:val="007F1B31"/>
    <w:rsid w:val="007F2891"/>
    <w:rsid w:val="007F30D9"/>
    <w:rsid w:val="007F4403"/>
    <w:rsid w:val="007F6B1A"/>
    <w:rsid w:val="007F70BC"/>
    <w:rsid w:val="0080089C"/>
    <w:rsid w:val="00801D49"/>
    <w:rsid w:val="00803318"/>
    <w:rsid w:val="00803456"/>
    <w:rsid w:val="00803505"/>
    <w:rsid w:val="00803DA3"/>
    <w:rsid w:val="0080401A"/>
    <w:rsid w:val="008044FC"/>
    <w:rsid w:val="00806783"/>
    <w:rsid w:val="00806979"/>
    <w:rsid w:val="00811BBD"/>
    <w:rsid w:val="00812119"/>
    <w:rsid w:val="00812232"/>
    <w:rsid w:val="00812976"/>
    <w:rsid w:val="00812FA9"/>
    <w:rsid w:val="008149C9"/>
    <w:rsid w:val="00814DEF"/>
    <w:rsid w:val="008155E1"/>
    <w:rsid w:val="00815A3F"/>
    <w:rsid w:val="00821A9C"/>
    <w:rsid w:val="0082239E"/>
    <w:rsid w:val="0082278B"/>
    <w:rsid w:val="00824E89"/>
    <w:rsid w:val="00825785"/>
    <w:rsid w:val="00825A87"/>
    <w:rsid w:val="00825A99"/>
    <w:rsid w:val="00826481"/>
    <w:rsid w:val="00826A95"/>
    <w:rsid w:val="00831B9B"/>
    <w:rsid w:val="0083456B"/>
    <w:rsid w:val="00835008"/>
    <w:rsid w:val="0083666F"/>
    <w:rsid w:val="0084051B"/>
    <w:rsid w:val="00840961"/>
    <w:rsid w:val="0084150F"/>
    <w:rsid w:val="0084159C"/>
    <w:rsid w:val="00842627"/>
    <w:rsid w:val="00842A7E"/>
    <w:rsid w:val="00844D3D"/>
    <w:rsid w:val="0084532E"/>
    <w:rsid w:val="00845810"/>
    <w:rsid w:val="00845F3C"/>
    <w:rsid w:val="00846159"/>
    <w:rsid w:val="0084638B"/>
    <w:rsid w:val="008476CA"/>
    <w:rsid w:val="008505C3"/>
    <w:rsid w:val="00851455"/>
    <w:rsid w:val="00851677"/>
    <w:rsid w:val="008522C6"/>
    <w:rsid w:val="00852CD5"/>
    <w:rsid w:val="00852E40"/>
    <w:rsid w:val="00854363"/>
    <w:rsid w:val="00855B42"/>
    <w:rsid w:val="00855E8A"/>
    <w:rsid w:val="0085650F"/>
    <w:rsid w:val="008573B9"/>
    <w:rsid w:val="00857A90"/>
    <w:rsid w:val="00857CDD"/>
    <w:rsid w:val="00860529"/>
    <w:rsid w:val="00860EA8"/>
    <w:rsid w:val="00864022"/>
    <w:rsid w:val="00864287"/>
    <w:rsid w:val="0086472B"/>
    <w:rsid w:val="00864B8F"/>
    <w:rsid w:val="008669C9"/>
    <w:rsid w:val="00867294"/>
    <w:rsid w:val="0087090E"/>
    <w:rsid w:val="008710A3"/>
    <w:rsid w:val="008710DB"/>
    <w:rsid w:val="008711BF"/>
    <w:rsid w:val="00871DAA"/>
    <w:rsid w:val="008733EC"/>
    <w:rsid w:val="0087368E"/>
    <w:rsid w:val="00873762"/>
    <w:rsid w:val="00873C48"/>
    <w:rsid w:val="00875720"/>
    <w:rsid w:val="0087626B"/>
    <w:rsid w:val="008800AD"/>
    <w:rsid w:val="008802D9"/>
    <w:rsid w:val="00880B03"/>
    <w:rsid w:val="00880B98"/>
    <w:rsid w:val="00881DEB"/>
    <w:rsid w:val="00881F26"/>
    <w:rsid w:val="008838A1"/>
    <w:rsid w:val="00884C38"/>
    <w:rsid w:val="00885FE9"/>
    <w:rsid w:val="0088685E"/>
    <w:rsid w:val="0088689E"/>
    <w:rsid w:val="00890FE1"/>
    <w:rsid w:val="00891794"/>
    <w:rsid w:val="00891929"/>
    <w:rsid w:val="00891D56"/>
    <w:rsid w:val="00891F14"/>
    <w:rsid w:val="0089229A"/>
    <w:rsid w:val="00892945"/>
    <w:rsid w:val="00893176"/>
    <w:rsid w:val="00895446"/>
    <w:rsid w:val="008955AF"/>
    <w:rsid w:val="00895CC7"/>
    <w:rsid w:val="0089653D"/>
    <w:rsid w:val="008A05E4"/>
    <w:rsid w:val="008A1D48"/>
    <w:rsid w:val="008A1D7B"/>
    <w:rsid w:val="008A2098"/>
    <w:rsid w:val="008A288A"/>
    <w:rsid w:val="008A32D1"/>
    <w:rsid w:val="008A57A0"/>
    <w:rsid w:val="008A7E20"/>
    <w:rsid w:val="008B03D8"/>
    <w:rsid w:val="008B1688"/>
    <w:rsid w:val="008B2218"/>
    <w:rsid w:val="008B28E9"/>
    <w:rsid w:val="008B47BA"/>
    <w:rsid w:val="008B54F2"/>
    <w:rsid w:val="008B5AF3"/>
    <w:rsid w:val="008B61CD"/>
    <w:rsid w:val="008B6562"/>
    <w:rsid w:val="008C0190"/>
    <w:rsid w:val="008C0437"/>
    <w:rsid w:val="008C19F2"/>
    <w:rsid w:val="008C2016"/>
    <w:rsid w:val="008C4C59"/>
    <w:rsid w:val="008C4CB3"/>
    <w:rsid w:val="008C4F0F"/>
    <w:rsid w:val="008C68D1"/>
    <w:rsid w:val="008C6CFD"/>
    <w:rsid w:val="008C7D07"/>
    <w:rsid w:val="008C7F38"/>
    <w:rsid w:val="008D2736"/>
    <w:rsid w:val="008D2C43"/>
    <w:rsid w:val="008D3941"/>
    <w:rsid w:val="008D3B9E"/>
    <w:rsid w:val="008D55C9"/>
    <w:rsid w:val="008D562F"/>
    <w:rsid w:val="008E1190"/>
    <w:rsid w:val="008E14F9"/>
    <w:rsid w:val="008E2978"/>
    <w:rsid w:val="008E377F"/>
    <w:rsid w:val="008E525B"/>
    <w:rsid w:val="008E5427"/>
    <w:rsid w:val="008E6805"/>
    <w:rsid w:val="008E710A"/>
    <w:rsid w:val="008E7460"/>
    <w:rsid w:val="008E7585"/>
    <w:rsid w:val="008F035E"/>
    <w:rsid w:val="008F0C7C"/>
    <w:rsid w:val="008F1251"/>
    <w:rsid w:val="008F2E5C"/>
    <w:rsid w:val="008F50C9"/>
    <w:rsid w:val="008F646F"/>
    <w:rsid w:val="00900658"/>
    <w:rsid w:val="00903B57"/>
    <w:rsid w:val="00905603"/>
    <w:rsid w:val="00906982"/>
    <w:rsid w:val="00906C2C"/>
    <w:rsid w:val="009075B8"/>
    <w:rsid w:val="009076D0"/>
    <w:rsid w:val="00910E15"/>
    <w:rsid w:val="00910E86"/>
    <w:rsid w:val="00910F4A"/>
    <w:rsid w:val="009133DC"/>
    <w:rsid w:val="00914F38"/>
    <w:rsid w:val="00915264"/>
    <w:rsid w:val="009163B1"/>
    <w:rsid w:val="00916F50"/>
    <w:rsid w:val="00917286"/>
    <w:rsid w:val="0091774F"/>
    <w:rsid w:val="0091776B"/>
    <w:rsid w:val="00920091"/>
    <w:rsid w:val="00920396"/>
    <w:rsid w:val="00922D4D"/>
    <w:rsid w:val="00924125"/>
    <w:rsid w:val="0092657D"/>
    <w:rsid w:val="00926B65"/>
    <w:rsid w:val="00930C93"/>
    <w:rsid w:val="0093281E"/>
    <w:rsid w:val="00932B67"/>
    <w:rsid w:val="00933768"/>
    <w:rsid w:val="00935018"/>
    <w:rsid w:val="0093671F"/>
    <w:rsid w:val="00937D0C"/>
    <w:rsid w:val="00937F0D"/>
    <w:rsid w:val="00937F77"/>
    <w:rsid w:val="00940DE2"/>
    <w:rsid w:val="00941D1F"/>
    <w:rsid w:val="0094366C"/>
    <w:rsid w:val="00943CDC"/>
    <w:rsid w:val="00944A63"/>
    <w:rsid w:val="00944AB9"/>
    <w:rsid w:val="00945C7D"/>
    <w:rsid w:val="00946090"/>
    <w:rsid w:val="0094666B"/>
    <w:rsid w:val="009469D9"/>
    <w:rsid w:val="00946A80"/>
    <w:rsid w:val="009479C0"/>
    <w:rsid w:val="00950640"/>
    <w:rsid w:val="00950668"/>
    <w:rsid w:val="00950914"/>
    <w:rsid w:val="00950C4C"/>
    <w:rsid w:val="00950C51"/>
    <w:rsid w:val="00951085"/>
    <w:rsid w:val="0095150C"/>
    <w:rsid w:val="00951585"/>
    <w:rsid w:val="00951973"/>
    <w:rsid w:val="0095252E"/>
    <w:rsid w:val="00952591"/>
    <w:rsid w:val="00952919"/>
    <w:rsid w:val="00952C90"/>
    <w:rsid w:val="00953ADF"/>
    <w:rsid w:val="00953B33"/>
    <w:rsid w:val="00953B55"/>
    <w:rsid w:val="009540F5"/>
    <w:rsid w:val="009568AF"/>
    <w:rsid w:val="00957255"/>
    <w:rsid w:val="00957E73"/>
    <w:rsid w:val="0096135C"/>
    <w:rsid w:val="009620D8"/>
    <w:rsid w:val="009627C7"/>
    <w:rsid w:val="00964C39"/>
    <w:rsid w:val="00964CBA"/>
    <w:rsid w:val="00965DAD"/>
    <w:rsid w:val="009665AA"/>
    <w:rsid w:val="00970E70"/>
    <w:rsid w:val="00972A83"/>
    <w:rsid w:val="00973E95"/>
    <w:rsid w:val="0097432F"/>
    <w:rsid w:val="009746D7"/>
    <w:rsid w:val="00974B02"/>
    <w:rsid w:val="009750B3"/>
    <w:rsid w:val="00976597"/>
    <w:rsid w:val="009803E6"/>
    <w:rsid w:val="009808B4"/>
    <w:rsid w:val="00981D43"/>
    <w:rsid w:val="00983EC3"/>
    <w:rsid w:val="00984821"/>
    <w:rsid w:val="009848C9"/>
    <w:rsid w:val="0098493A"/>
    <w:rsid w:val="00990ABD"/>
    <w:rsid w:val="009913EE"/>
    <w:rsid w:val="0099435B"/>
    <w:rsid w:val="00994AE0"/>
    <w:rsid w:val="00994C9B"/>
    <w:rsid w:val="00995C8E"/>
    <w:rsid w:val="00995F86"/>
    <w:rsid w:val="009961A7"/>
    <w:rsid w:val="00996F07"/>
    <w:rsid w:val="0099716A"/>
    <w:rsid w:val="009977D6"/>
    <w:rsid w:val="00997F3F"/>
    <w:rsid w:val="009A0323"/>
    <w:rsid w:val="009A03EA"/>
    <w:rsid w:val="009A0593"/>
    <w:rsid w:val="009A16D0"/>
    <w:rsid w:val="009A198B"/>
    <w:rsid w:val="009A1FD5"/>
    <w:rsid w:val="009A2797"/>
    <w:rsid w:val="009A2C14"/>
    <w:rsid w:val="009A3D97"/>
    <w:rsid w:val="009A3ED6"/>
    <w:rsid w:val="009A4E2D"/>
    <w:rsid w:val="009A598B"/>
    <w:rsid w:val="009A60D5"/>
    <w:rsid w:val="009A67F5"/>
    <w:rsid w:val="009A698B"/>
    <w:rsid w:val="009B0291"/>
    <w:rsid w:val="009B1D50"/>
    <w:rsid w:val="009B2D86"/>
    <w:rsid w:val="009B30B5"/>
    <w:rsid w:val="009B3F94"/>
    <w:rsid w:val="009B4C81"/>
    <w:rsid w:val="009B4D81"/>
    <w:rsid w:val="009B5E70"/>
    <w:rsid w:val="009B621A"/>
    <w:rsid w:val="009B63F2"/>
    <w:rsid w:val="009B672F"/>
    <w:rsid w:val="009B6EAB"/>
    <w:rsid w:val="009B718D"/>
    <w:rsid w:val="009B7D53"/>
    <w:rsid w:val="009C023B"/>
    <w:rsid w:val="009C05CB"/>
    <w:rsid w:val="009C09BB"/>
    <w:rsid w:val="009C0BCC"/>
    <w:rsid w:val="009C288F"/>
    <w:rsid w:val="009C3196"/>
    <w:rsid w:val="009C3FA3"/>
    <w:rsid w:val="009C43CE"/>
    <w:rsid w:val="009C45D9"/>
    <w:rsid w:val="009C4BDF"/>
    <w:rsid w:val="009C6058"/>
    <w:rsid w:val="009C68D2"/>
    <w:rsid w:val="009C6F32"/>
    <w:rsid w:val="009C7441"/>
    <w:rsid w:val="009C774B"/>
    <w:rsid w:val="009C7898"/>
    <w:rsid w:val="009D02C3"/>
    <w:rsid w:val="009D2BEF"/>
    <w:rsid w:val="009D36D4"/>
    <w:rsid w:val="009D44C2"/>
    <w:rsid w:val="009D46DA"/>
    <w:rsid w:val="009D509E"/>
    <w:rsid w:val="009D5168"/>
    <w:rsid w:val="009D7187"/>
    <w:rsid w:val="009D783B"/>
    <w:rsid w:val="009D7893"/>
    <w:rsid w:val="009E01DD"/>
    <w:rsid w:val="009E3AAF"/>
    <w:rsid w:val="009E3F5B"/>
    <w:rsid w:val="009E4B53"/>
    <w:rsid w:val="009E547A"/>
    <w:rsid w:val="009E603D"/>
    <w:rsid w:val="009E6622"/>
    <w:rsid w:val="009F1FB0"/>
    <w:rsid w:val="009F30C8"/>
    <w:rsid w:val="009F340E"/>
    <w:rsid w:val="009F4054"/>
    <w:rsid w:val="009F5D7E"/>
    <w:rsid w:val="009F68E2"/>
    <w:rsid w:val="009F6D91"/>
    <w:rsid w:val="00A016D6"/>
    <w:rsid w:val="00A01746"/>
    <w:rsid w:val="00A02F7D"/>
    <w:rsid w:val="00A03202"/>
    <w:rsid w:val="00A03791"/>
    <w:rsid w:val="00A06657"/>
    <w:rsid w:val="00A110BB"/>
    <w:rsid w:val="00A110ED"/>
    <w:rsid w:val="00A117F4"/>
    <w:rsid w:val="00A11A1C"/>
    <w:rsid w:val="00A121BB"/>
    <w:rsid w:val="00A12607"/>
    <w:rsid w:val="00A12DA0"/>
    <w:rsid w:val="00A134BA"/>
    <w:rsid w:val="00A15077"/>
    <w:rsid w:val="00A1552A"/>
    <w:rsid w:val="00A1666A"/>
    <w:rsid w:val="00A16DFA"/>
    <w:rsid w:val="00A17C0A"/>
    <w:rsid w:val="00A22FA7"/>
    <w:rsid w:val="00A235C9"/>
    <w:rsid w:val="00A238D0"/>
    <w:rsid w:val="00A27360"/>
    <w:rsid w:val="00A3098B"/>
    <w:rsid w:val="00A30AD1"/>
    <w:rsid w:val="00A31E19"/>
    <w:rsid w:val="00A33919"/>
    <w:rsid w:val="00A344B4"/>
    <w:rsid w:val="00A3601F"/>
    <w:rsid w:val="00A36968"/>
    <w:rsid w:val="00A369D2"/>
    <w:rsid w:val="00A40D46"/>
    <w:rsid w:val="00A41149"/>
    <w:rsid w:val="00A41416"/>
    <w:rsid w:val="00A43651"/>
    <w:rsid w:val="00A44006"/>
    <w:rsid w:val="00A44745"/>
    <w:rsid w:val="00A44F15"/>
    <w:rsid w:val="00A45701"/>
    <w:rsid w:val="00A46DCD"/>
    <w:rsid w:val="00A47B7B"/>
    <w:rsid w:val="00A47FAE"/>
    <w:rsid w:val="00A50621"/>
    <w:rsid w:val="00A50739"/>
    <w:rsid w:val="00A514F0"/>
    <w:rsid w:val="00A52815"/>
    <w:rsid w:val="00A52D7F"/>
    <w:rsid w:val="00A54175"/>
    <w:rsid w:val="00A5629D"/>
    <w:rsid w:val="00A56809"/>
    <w:rsid w:val="00A56D19"/>
    <w:rsid w:val="00A57E61"/>
    <w:rsid w:val="00A60072"/>
    <w:rsid w:val="00A60D9A"/>
    <w:rsid w:val="00A61480"/>
    <w:rsid w:val="00A63A07"/>
    <w:rsid w:val="00A63B2A"/>
    <w:rsid w:val="00A654A2"/>
    <w:rsid w:val="00A656CD"/>
    <w:rsid w:val="00A6624B"/>
    <w:rsid w:val="00A670B1"/>
    <w:rsid w:val="00A67143"/>
    <w:rsid w:val="00A67183"/>
    <w:rsid w:val="00A70079"/>
    <w:rsid w:val="00A707FE"/>
    <w:rsid w:val="00A731B4"/>
    <w:rsid w:val="00A7466A"/>
    <w:rsid w:val="00A7493D"/>
    <w:rsid w:val="00A76452"/>
    <w:rsid w:val="00A768E6"/>
    <w:rsid w:val="00A7776E"/>
    <w:rsid w:val="00A77C92"/>
    <w:rsid w:val="00A817C2"/>
    <w:rsid w:val="00A8199A"/>
    <w:rsid w:val="00A82205"/>
    <w:rsid w:val="00A82AED"/>
    <w:rsid w:val="00A83F5F"/>
    <w:rsid w:val="00A84DF8"/>
    <w:rsid w:val="00A859E7"/>
    <w:rsid w:val="00A861C1"/>
    <w:rsid w:val="00A86D3D"/>
    <w:rsid w:val="00A87D52"/>
    <w:rsid w:val="00A9013E"/>
    <w:rsid w:val="00A915F3"/>
    <w:rsid w:val="00A94B17"/>
    <w:rsid w:val="00A94F1F"/>
    <w:rsid w:val="00A95347"/>
    <w:rsid w:val="00A955F0"/>
    <w:rsid w:val="00A95978"/>
    <w:rsid w:val="00A97926"/>
    <w:rsid w:val="00AA09A3"/>
    <w:rsid w:val="00AA0C4B"/>
    <w:rsid w:val="00AA41BA"/>
    <w:rsid w:val="00AA471D"/>
    <w:rsid w:val="00AA4AE1"/>
    <w:rsid w:val="00AA4B1C"/>
    <w:rsid w:val="00AA52AC"/>
    <w:rsid w:val="00AA6188"/>
    <w:rsid w:val="00AA6DCB"/>
    <w:rsid w:val="00AA7E33"/>
    <w:rsid w:val="00AB02E2"/>
    <w:rsid w:val="00AB069A"/>
    <w:rsid w:val="00AB1C95"/>
    <w:rsid w:val="00AB1DD3"/>
    <w:rsid w:val="00AB265E"/>
    <w:rsid w:val="00AB2948"/>
    <w:rsid w:val="00AB39FA"/>
    <w:rsid w:val="00AB3B30"/>
    <w:rsid w:val="00AB426C"/>
    <w:rsid w:val="00AB451C"/>
    <w:rsid w:val="00AB4DC4"/>
    <w:rsid w:val="00AB59F2"/>
    <w:rsid w:val="00AC187C"/>
    <w:rsid w:val="00AC1E2A"/>
    <w:rsid w:val="00AC1E63"/>
    <w:rsid w:val="00AC31F5"/>
    <w:rsid w:val="00AC3B9D"/>
    <w:rsid w:val="00AC3E62"/>
    <w:rsid w:val="00AC5AF9"/>
    <w:rsid w:val="00AC6192"/>
    <w:rsid w:val="00AC6601"/>
    <w:rsid w:val="00AD1AC8"/>
    <w:rsid w:val="00AD1E3E"/>
    <w:rsid w:val="00AD2F03"/>
    <w:rsid w:val="00AD57FE"/>
    <w:rsid w:val="00AD6559"/>
    <w:rsid w:val="00AD6933"/>
    <w:rsid w:val="00AD6B7B"/>
    <w:rsid w:val="00AD6EB9"/>
    <w:rsid w:val="00AD73E1"/>
    <w:rsid w:val="00AD7CAB"/>
    <w:rsid w:val="00AE14EC"/>
    <w:rsid w:val="00AE16C9"/>
    <w:rsid w:val="00AE27DF"/>
    <w:rsid w:val="00AE314C"/>
    <w:rsid w:val="00AE3EF5"/>
    <w:rsid w:val="00AE4898"/>
    <w:rsid w:val="00AE4F2A"/>
    <w:rsid w:val="00AE5F33"/>
    <w:rsid w:val="00AF0AD5"/>
    <w:rsid w:val="00AF138C"/>
    <w:rsid w:val="00AF15E6"/>
    <w:rsid w:val="00AF17AD"/>
    <w:rsid w:val="00AF2ADA"/>
    <w:rsid w:val="00AF51E7"/>
    <w:rsid w:val="00AF6744"/>
    <w:rsid w:val="00AF69B9"/>
    <w:rsid w:val="00AF6E17"/>
    <w:rsid w:val="00AF77B9"/>
    <w:rsid w:val="00AF7EC8"/>
    <w:rsid w:val="00B01EE1"/>
    <w:rsid w:val="00B031A1"/>
    <w:rsid w:val="00B04A43"/>
    <w:rsid w:val="00B04D06"/>
    <w:rsid w:val="00B05556"/>
    <w:rsid w:val="00B05620"/>
    <w:rsid w:val="00B05FBE"/>
    <w:rsid w:val="00B0722A"/>
    <w:rsid w:val="00B10EFC"/>
    <w:rsid w:val="00B1126B"/>
    <w:rsid w:val="00B11977"/>
    <w:rsid w:val="00B12E05"/>
    <w:rsid w:val="00B12E47"/>
    <w:rsid w:val="00B12EBE"/>
    <w:rsid w:val="00B13445"/>
    <w:rsid w:val="00B151DA"/>
    <w:rsid w:val="00B16431"/>
    <w:rsid w:val="00B166A4"/>
    <w:rsid w:val="00B168A4"/>
    <w:rsid w:val="00B16D84"/>
    <w:rsid w:val="00B16FB8"/>
    <w:rsid w:val="00B219B7"/>
    <w:rsid w:val="00B22719"/>
    <w:rsid w:val="00B2463C"/>
    <w:rsid w:val="00B24B81"/>
    <w:rsid w:val="00B25038"/>
    <w:rsid w:val="00B26374"/>
    <w:rsid w:val="00B26E54"/>
    <w:rsid w:val="00B3159A"/>
    <w:rsid w:val="00B33261"/>
    <w:rsid w:val="00B33465"/>
    <w:rsid w:val="00B336EE"/>
    <w:rsid w:val="00B35609"/>
    <w:rsid w:val="00B35C09"/>
    <w:rsid w:val="00B3620D"/>
    <w:rsid w:val="00B36D9F"/>
    <w:rsid w:val="00B36E05"/>
    <w:rsid w:val="00B37014"/>
    <w:rsid w:val="00B379C5"/>
    <w:rsid w:val="00B40450"/>
    <w:rsid w:val="00B4183F"/>
    <w:rsid w:val="00B42198"/>
    <w:rsid w:val="00B421E0"/>
    <w:rsid w:val="00B42E5E"/>
    <w:rsid w:val="00B432A2"/>
    <w:rsid w:val="00B453A8"/>
    <w:rsid w:val="00B45954"/>
    <w:rsid w:val="00B468F4"/>
    <w:rsid w:val="00B46AD2"/>
    <w:rsid w:val="00B52D26"/>
    <w:rsid w:val="00B54509"/>
    <w:rsid w:val="00B54590"/>
    <w:rsid w:val="00B54F1D"/>
    <w:rsid w:val="00B554DC"/>
    <w:rsid w:val="00B61A7B"/>
    <w:rsid w:val="00B62C10"/>
    <w:rsid w:val="00B62EFD"/>
    <w:rsid w:val="00B64645"/>
    <w:rsid w:val="00B649A7"/>
    <w:rsid w:val="00B64BBE"/>
    <w:rsid w:val="00B655AB"/>
    <w:rsid w:val="00B67DE1"/>
    <w:rsid w:val="00B7025D"/>
    <w:rsid w:val="00B72D2E"/>
    <w:rsid w:val="00B73DC1"/>
    <w:rsid w:val="00B75159"/>
    <w:rsid w:val="00B77636"/>
    <w:rsid w:val="00B77D7A"/>
    <w:rsid w:val="00B77E25"/>
    <w:rsid w:val="00B80134"/>
    <w:rsid w:val="00B8189D"/>
    <w:rsid w:val="00B8193F"/>
    <w:rsid w:val="00B8473D"/>
    <w:rsid w:val="00B84B21"/>
    <w:rsid w:val="00B86258"/>
    <w:rsid w:val="00B86780"/>
    <w:rsid w:val="00B86FA1"/>
    <w:rsid w:val="00B870B6"/>
    <w:rsid w:val="00B87653"/>
    <w:rsid w:val="00B90E10"/>
    <w:rsid w:val="00B93115"/>
    <w:rsid w:val="00B94E44"/>
    <w:rsid w:val="00B956BA"/>
    <w:rsid w:val="00B96473"/>
    <w:rsid w:val="00B964CA"/>
    <w:rsid w:val="00BA0782"/>
    <w:rsid w:val="00BA31C4"/>
    <w:rsid w:val="00BA33A6"/>
    <w:rsid w:val="00BA434D"/>
    <w:rsid w:val="00BA4655"/>
    <w:rsid w:val="00BA46C0"/>
    <w:rsid w:val="00BA68A2"/>
    <w:rsid w:val="00BA729A"/>
    <w:rsid w:val="00BA77A5"/>
    <w:rsid w:val="00BA78B6"/>
    <w:rsid w:val="00BA7935"/>
    <w:rsid w:val="00BB047B"/>
    <w:rsid w:val="00BB05E4"/>
    <w:rsid w:val="00BB0606"/>
    <w:rsid w:val="00BB45BC"/>
    <w:rsid w:val="00BB4818"/>
    <w:rsid w:val="00BB4AF3"/>
    <w:rsid w:val="00BB6398"/>
    <w:rsid w:val="00BB6C0C"/>
    <w:rsid w:val="00BB7D68"/>
    <w:rsid w:val="00BC2238"/>
    <w:rsid w:val="00BC25EF"/>
    <w:rsid w:val="00BC2C5B"/>
    <w:rsid w:val="00BC2D36"/>
    <w:rsid w:val="00BC2DAF"/>
    <w:rsid w:val="00BC378C"/>
    <w:rsid w:val="00BC3ABB"/>
    <w:rsid w:val="00BC3DE9"/>
    <w:rsid w:val="00BC49F4"/>
    <w:rsid w:val="00BC4EFE"/>
    <w:rsid w:val="00BC4FD3"/>
    <w:rsid w:val="00BC6827"/>
    <w:rsid w:val="00BC6C7A"/>
    <w:rsid w:val="00BC7D9E"/>
    <w:rsid w:val="00BD0372"/>
    <w:rsid w:val="00BD32EF"/>
    <w:rsid w:val="00BD3B6B"/>
    <w:rsid w:val="00BD44F5"/>
    <w:rsid w:val="00BD4948"/>
    <w:rsid w:val="00BD4B12"/>
    <w:rsid w:val="00BD5B70"/>
    <w:rsid w:val="00BE03A1"/>
    <w:rsid w:val="00BE2BB3"/>
    <w:rsid w:val="00BE32E9"/>
    <w:rsid w:val="00BE4340"/>
    <w:rsid w:val="00BE48D4"/>
    <w:rsid w:val="00BE5C41"/>
    <w:rsid w:val="00BE5C58"/>
    <w:rsid w:val="00BE79CC"/>
    <w:rsid w:val="00BE7AC5"/>
    <w:rsid w:val="00BF0646"/>
    <w:rsid w:val="00BF18D4"/>
    <w:rsid w:val="00BF1C32"/>
    <w:rsid w:val="00BF291B"/>
    <w:rsid w:val="00BF3522"/>
    <w:rsid w:val="00BF3F9E"/>
    <w:rsid w:val="00BF4117"/>
    <w:rsid w:val="00BF5AC9"/>
    <w:rsid w:val="00BF6810"/>
    <w:rsid w:val="00BF76A6"/>
    <w:rsid w:val="00C00DCB"/>
    <w:rsid w:val="00C00FB7"/>
    <w:rsid w:val="00C01F23"/>
    <w:rsid w:val="00C03294"/>
    <w:rsid w:val="00C044BE"/>
    <w:rsid w:val="00C04BAB"/>
    <w:rsid w:val="00C0515F"/>
    <w:rsid w:val="00C0607B"/>
    <w:rsid w:val="00C06DEF"/>
    <w:rsid w:val="00C073F4"/>
    <w:rsid w:val="00C075A2"/>
    <w:rsid w:val="00C07D80"/>
    <w:rsid w:val="00C107CB"/>
    <w:rsid w:val="00C118C4"/>
    <w:rsid w:val="00C11CAE"/>
    <w:rsid w:val="00C11F58"/>
    <w:rsid w:val="00C120D7"/>
    <w:rsid w:val="00C1236B"/>
    <w:rsid w:val="00C12BAE"/>
    <w:rsid w:val="00C132D1"/>
    <w:rsid w:val="00C139CA"/>
    <w:rsid w:val="00C13A7D"/>
    <w:rsid w:val="00C13C99"/>
    <w:rsid w:val="00C14CF8"/>
    <w:rsid w:val="00C15C4D"/>
    <w:rsid w:val="00C1721B"/>
    <w:rsid w:val="00C17359"/>
    <w:rsid w:val="00C17E35"/>
    <w:rsid w:val="00C20D50"/>
    <w:rsid w:val="00C214C8"/>
    <w:rsid w:val="00C215AE"/>
    <w:rsid w:val="00C229A2"/>
    <w:rsid w:val="00C22E5A"/>
    <w:rsid w:val="00C232C2"/>
    <w:rsid w:val="00C23AFF"/>
    <w:rsid w:val="00C23FA8"/>
    <w:rsid w:val="00C241A8"/>
    <w:rsid w:val="00C241B4"/>
    <w:rsid w:val="00C24ABA"/>
    <w:rsid w:val="00C24EB9"/>
    <w:rsid w:val="00C254A8"/>
    <w:rsid w:val="00C254EF"/>
    <w:rsid w:val="00C264CB"/>
    <w:rsid w:val="00C26767"/>
    <w:rsid w:val="00C30B0B"/>
    <w:rsid w:val="00C31253"/>
    <w:rsid w:val="00C3461E"/>
    <w:rsid w:val="00C34AA1"/>
    <w:rsid w:val="00C35129"/>
    <w:rsid w:val="00C3532F"/>
    <w:rsid w:val="00C358A2"/>
    <w:rsid w:val="00C36360"/>
    <w:rsid w:val="00C37984"/>
    <w:rsid w:val="00C37D4C"/>
    <w:rsid w:val="00C37DD6"/>
    <w:rsid w:val="00C419DB"/>
    <w:rsid w:val="00C42741"/>
    <w:rsid w:val="00C42AE2"/>
    <w:rsid w:val="00C43DD0"/>
    <w:rsid w:val="00C44A49"/>
    <w:rsid w:val="00C46577"/>
    <w:rsid w:val="00C476F1"/>
    <w:rsid w:val="00C51429"/>
    <w:rsid w:val="00C5198C"/>
    <w:rsid w:val="00C51E8F"/>
    <w:rsid w:val="00C52938"/>
    <w:rsid w:val="00C52FC0"/>
    <w:rsid w:val="00C53F9E"/>
    <w:rsid w:val="00C559E9"/>
    <w:rsid w:val="00C56BC4"/>
    <w:rsid w:val="00C57515"/>
    <w:rsid w:val="00C57E5E"/>
    <w:rsid w:val="00C60571"/>
    <w:rsid w:val="00C608C1"/>
    <w:rsid w:val="00C61279"/>
    <w:rsid w:val="00C63D4E"/>
    <w:rsid w:val="00C63EA9"/>
    <w:rsid w:val="00C6479E"/>
    <w:rsid w:val="00C64BAD"/>
    <w:rsid w:val="00C665A0"/>
    <w:rsid w:val="00C67725"/>
    <w:rsid w:val="00C700F3"/>
    <w:rsid w:val="00C7092F"/>
    <w:rsid w:val="00C7342C"/>
    <w:rsid w:val="00C75832"/>
    <w:rsid w:val="00C759D4"/>
    <w:rsid w:val="00C76DDA"/>
    <w:rsid w:val="00C807B3"/>
    <w:rsid w:val="00C80A49"/>
    <w:rsid w:val="00C825C9"/>
    <w:rsid w:val="00C828B1"/>
    <w:rsid w:val="00C843DA"/>
    <w:rsid w:val="00C84A39"/>
    <w:rsid w:val="00C84A3D"/>
    <w:rsid w:val="00C86CC3"/>
    <w:rsid w:val="00C87D82"/>
    <w:rsid w:val="00C901B1"/>
    <w:rsid w:val="00C90EBC"/>
    <w:rsid w:val="00C91B69"/>
    <w:rsid w:val="00C92584"/>
    <w:rsid w:val="00C928A1"/>
    <w:rsid w:val="00C93418"/>
    <w:rsid w:val="00C936B8"/>
    <w:rsid w:val="00C9489F"/>
    <w:rsid w:val="00C94E42"/>
    <w:rsid w:val="00C95C40"/>
    <w:rsid w:val="00C95C50"/>
    <w:rsid w:val="00C96EDE"/>
    <w:rsid w:val="00C97015"/>
    <w:rsid w:val="00CA09B1"/>
    <w:rsid w:val="00CA1652"/>
    <w:rsid w:val="00CA1D04"/>
    <w:rsid w:val="00CA2A65"/>
    <w:rsid w:val="00CA3856"/>
    <w:rsid w:val="00CA5A3F"/>
    <w:rsid w:val="00CA60D3"/>
    <w:rsid w:val="00CA65AD"/>
    <w:rsid w:val="00CA67E0"/>
    <w:rsid w:val="00CB0122"/>
    <w:rsid w:val="00CB0269"/>
    <w:rsid w:val="00CB0833"/>
    <w:rsid w:val="00CB18F5"/>
    <w:rsid w:val="00CB3F0C"/>
    <w:rsid w:val="00CB4F16"/>
    <w:rsid w:val="00CB5AC4"/>
    <w:rsid w:val="00CB5FC2"/>
    <w:rsid w:val="00CC008E"/>
    <w:rsid w:val="00CC02ED"/>
    <w:rsid w:val="00CC07BF"/>
    <w:rsid w:val="00CC1229"/>
    <w:rsid w:val="00CC17DF"/>
    <w:rsid w:val="00CC5921"/>
    <w:rsid w:val="00CC5C13"/>
    <w:rsid w:val="00CC63EB"/>
    <w:rsid w:val="00CC6EA9"/>
    <w:rsid w:val="00CD022A"/>
    <w:rsid w:val="00CD03BE"/>
    <w:rsid w:val="00CD0707"/>
    <w:rsid w:val="00CD0DF7"/>
    <w:rsid w:val="00CD17B2"/>
    <w:rsid w:val="00CD1A25"/>
    <w:rsid w:val="00CD2658"/>
    <w:rsid w:val="00CD2770"/>
    <w:rsid w:val="00CD3EEC"/>
    <w:rsid w:val="00CD46AB"/>
    <w:rsid w:val="00CD49A3"/>
    <w:rsid w:val="00CD52FB"/>
    <w:rsid w:val="00CD65E7"/>
    <w:rsid w:val="00CD68A6"/>
    <w:rsid w:val="00CD7BFC"/>
    <w:rsid w:val="00CD7F4F"/>
    <w:rsid w:val="00CE2B95"/>
    <w:rsid w:val="00CE2F1A"/>
    <w:rsid w:val="00CE3273"/>
    <w:rsid w:val="00CE34DB"/>
    <w:rsid w:val="00CE3ADE"/>
    <w:rsid w:val="00CE452B"/>
    <w:rsid w:val="00CE4E0C"/>
    <w:rsid w:val="00CE5438"/>
    <w:rsid w:val="00CE700C"/>
    <w:rsid w:val="00CF0022"/>
    <w:rsid w:val="00CF0D86"/>
    <w:rsid w:val="00CF1877"/>
    <w:rsid w:val="00CF1A11"/>
    <w:rsid w:val="00CF1A34"/>
    <w:rsid w:val="00CF28D6"/>
    <w:rsid w:val="00CF30FC"/>
    <w:rsid w:val="00CF4286"/>
    <w:rsid w:val="00CF4FE5"/>
    <w:rsid w:val="00CF53ED"/>
    <w:rsid w:val="00CF5CB2"/>
    <w:rsid w:val="00CF7121"/>
    <w:rsid w:val="00CF71D8"/>
    <w:rsid w:val="00D013E1"/>
    <w:rsid w:val="00D01B9F"/>
    <w:rsid w:val="00D03B38"/>
    <w:rsid w:val="00D03F18"/>
    <w:rsid w:val="00D03F87"/>
    <w:rsid w:val="00D04076"/>
    <w:rsid w:val="00D04CD4"/>
    <w:rsid w:val="00D04ECF"/>
    <w:rsid w:val="00D054FD"/>
    <w:rsid w:val="00D07174"/>
    <w:rsid w:val="00D101DC"/>
    <w:rsid w:val="00D10332"/>
    <w:rsid w:val="00D118C7"/>
    <w:rsid w:val="00D12095"/>
    <w:rsid w:val="00D13D1B"/>
    <w:rsid w:val="00D13EEA"/>
    <w:rsid w:val="00D14152"/>
    <w:rsid w:val="00D173CC"/>
    <w:rsid w:val="00D20D78"/>
    <w:rsid w:val="00D21ACB"/>
    <w:rsid w:val="00D21AEC"/>
    <w:rsid w:val="00D22D06"/>
    <w:rsid w:val="00D22E28"/>
    <w:rsid w:val="00D23AFC"/>
    <w:rsid w:val="00D24772"/>
    <w:rsid w:val="00D263B2"/>
    <w:rsid w:val="00D26E91"/>
    <w:rsid w:val="00D2769F"/>
    <w:rsid w:val="00D306B4"/>
    <w:rsid w:val="00D34180"/>
    <w:rsid w:val="00D3441D"/>
    <w:rsid w:val="00D355C4"/>
    <w:rsid w:val="00D357DD"/>
    <w:rsid w:val="00D3612A"/>
    <w:rsid w:val="00D37703"/>
    <w:rsid w:val="00D37DBF"/>
    <w:rsid w:val="00D37F25"/>
    <w:rsid w:val="00D4007E"/>
    <w:rsid w:val="00D42F4F"/>
    <w:rsid w:val="00D44141"/>
    <w:rsid w:val="00D444E7"/>
    <w:rsid w:val="00D44703"/>
    <w:rsid w:val="00D44B04"/>
    <w:rsid w:val="00D468D9"/>
    <w:rsid w:val="00D46E9D"/>
    <w:rsid w:val="00D50FF8"/>
    <w:rsid w:val="00D52B4A"/>
    <w:rsid w:val="00D5341E"/>
    <w:rsid w:val="00D54E15"/>
    <w:rsid w:val="00D5604C"/>
    <w:rsid w:val="00D56A53"/>
    <w:rsid w:val="00D60042"/>
    <w:rsid w:val="00D6070F"/>
    <w:rsid w:val="00D62E87"/>
    <w:rsid w:val="00D6324F"/>
    <w:rsid w:val="00D63458"/>
    <w:rsid w:val="00D66983"/>
    <w:rsid w:val="00D66D37"/>
    <w:rsid w:val="00D67FEC"/>
    <w:rsid w:val="00D7187C"/>
    <w:rsid w:val="00D72442"/>
    <w:rsid w:val="00D726C2"/>
    <w:rsid w:val="00D73151"/>
    <w:rsid w:val="00D74ACA"/>
    <w:rsid w:val="00D74F84"/>
    <w:rsid w:val="00D750CC"/>
    <w:rsid w:val="00D7541E"/>
    <w:rsid w:val="00D758DC"/>
    <w:rsid w:val="00D76C28"/>
    <w:rsid w:val="00D800CC"/>
    <w:rsid w:val="00D801E1"/>
    <w:rsid w:val="00D80337"/>
    <w:rsid w:val="00D81367"/>
    <w:rsid w:val="00D819A2"/>
    <w:rsid w:val="00D821B0"/>
    <w:rsid w:val="00D82EA1"/>
    <w:rsid w:val="00D83328"/>
    <w:rsid w:val="00D838C5"/>
    <w:rsid w:val="00D84369"/>
    <w:rsid w:val="00D8458A"/>
    <w:rsid w:val="00D845C5"/>
    <w:rsid w:val="00D84C8F"/>
    <w:rsid w:val="00D85237"/>
    <w:rsid w:val="00D86013"/>
    <w:rsid w:val="00D865D8"/>
    <w:rsid w:val="00D8680A"/>
    <w:rsid w:val="00D87351"/>
    <w:rsid w:val="00D873AD"/>
    <w:rsid w:val="00D87EB3"/>
    <w:rsid w:val="00D90BEE"/>
    <w:rsid w:val="00D915CC"/>
    <w:rsid w:val="00D91AAC"/>
    <w:rsid w:val="00D91C06"/>
    <w:rsid w:val="00D91C9F"/>
    <w:rsid w:val="00D92C19"/>
    <w:rsid w:val="00D937E4"/>
    <w:rsid w:val="00D93FD1"/>
    <w:rsid w:val="00D94799"/>
    <w:rsid w:val="00D94F28"/>
    <w:rsid w:val="00DA08F5"/>
    <w:rsid w:val="00DA0C16"/>
    <w:rsid w:val="00DA2ADC"/>
    <w:rsid w:val="00DA65B2"/>
    <w:rsid w:val="00DA6786"/>
    <w:rsid w:val="00DB01E2"/>
    <w:rsid w:val="00DB0764"/>
    <w:rsid w:val="00DB176D"/>
    <w:rsid w:val="00DB3506"/>
    <w:rsid w:val="00DB4A66"/>
    <w:rsid w:val="00DB5008"/>
    <w:rsid w:val="00DB54CA"/>
    <w:rsid w:val="00DB6A1C"/>
    <w:rsid w:val="00DB7A9A"/>
    <w:rsid w:val="00DC3177"/>
    <w:rsid w:val="00DC3276"/>
    <w:rsid w:val="00DC38B2"/>
    <w:rsid w:val="00DC44E9"/>
    <w:rsid w:val="00DC6ADA"/>
    <w:rsid w:val="00DD13AB"/>
    <w:rsid w:val="00DD16D2"/>
    <w:rsid w:val="00DD17BB"/>
    <w:rsid w:val="00DD2841"/>
    <w:rsid w:val="00DD2C47"/>
    <w:rsid w:val="00DD2EB2"/>
    <w:rsid w:val="00DD37D8"/>
    <w:rsid w:val="00DD4498"/>
    <w:rsid w:val="00DD44CA"/>
    <w:rsid w:val="00DD47D5"/>
    <w:rsid w:val="00DD487A"/>
    <w:rsid w:val="00DD4CCE"/>
    <w:rsid w:val="00DD4EB5"/>
    <w:rsid w:val="00DD5902"/>
    <w:rsid w:val="00DD66C0"/>
    <w:rsid w:val="00DD6B22"/>
    <w:rsid w:val="00DD703C"/>
    <w:rsid w:val="00DE01A4"/>
    <w:rsid w:val="00DE05BF"/>
    <w:rsid w:val="00DE165A"/>
    <w:rsid w:val="00DE2053"/>
    <w:rsid w:val="00DE37ED"/>
    <w:rsid w:val="00DE3A53"/>
    <w:rsid w:val="00DE4597"/>
    <w:rsid w:val="00DE5BDA"/>
    <w:rsid w:val="00DE643F"/>
    <w:rsid w:val="00DE6638"/>
    <w:rsid w:val="00DE6710"/>
    <w:rsid w:val="00DE6B04"/>
    <w:rsid w:val="00DE7487"/>
    <w:rsid w:val="00DF0483"/>
    <w:rsid w:val="00DF0C0F"/>
    <w:rsid w:val="00DF1A91"/>
    <w:rsid w:val="00DF20A4"/>
    <w:rsid w:val="00DF3364"/>
    <w:rsid w:val="00DF37DD"/>
    <w:rsid w:val="00DF4925"/>
    <w:rsid w:val="00DF4A39"/>
    <w:rsid w:val="00DF57DC"/>
    <w:rsid w:val="00DF677F"/>
    <w:rsid w:val="00DF6840"/>
    <w:rsid w:val="00DF725D"/>
    <w:rsid w:val="00E010AB"/>
    <w:rsid w:val="00E015AD"/>
    <w:rsid w:val="00E0233F"/>
    <w:rsid w:val="00E02678"/>
    <w:rsid w:val="00E02BAD"/>
    <w:rsid w:val="00E032E1"/>
    <w:rsid w:val="00E050EC"/>
    <w:rsid w:val="00E05BC9"/>
    <w:rsid w:val="00E06262"/>
    <w:rsid w:val="00E0748A"/>
    <w:rsid w:val="00E10DA4"/>
    <w:rsid w:val="00E10DDF"/>
    <w:rsid w:val="00E119F5"/>
    <w:rsid w:val="00E11BF2"/>
    <w:rsid w:val="00E128A9"/>
    <w:rsid w:val="00E12A7F"/>
    <w:rsid w:val="00E143DA"/>
    <w:rsid w:val="00E14BA3"/>
    <w:rsid w:val="00E150E2"/>
    <w:rsid w:val="00E16744"/>
    <w:rsid w:val="00E17947"/>
    <w:rsid w:val="00E2028E"/>
    <w:rsid w:val="00E2054A"/>
    <w:rsid w:val="00E208B0"/>
    <w:rsid w:val="00E21B9F"/>
    <w:rsid w:val="00E22BB0"/>
    <w:rsid w:val="00E230A1"/>
    <w:rsid w:val="00E230E4"/>
    <w:rsid w:val="00E23836"/>
    <w:rsid w:val="00E247FB"/>
    <w:rsid w:val="00E24C1F"/>
    <w:rsid w:val="00E24E40"/>
    <w:rsid w:val="00E25953"/>
    <w:rsid w:val="00E259B1"/>
    <w:rsid w:val="00E27F5A"/>
    <w:rsid w:val="00E32BEA"/>
    <w:rsid w:val="00E32F5B"/>
    <w:rsid w:val="00E364D7"/>
    <w:rsid w:val="00E368AF"/>
    <w:rsid w:val="00E3799F"/>
    <w:rsid w:val="00E37DA2"/>
    <w:rsid w:val="00E4034F"/>
    <w:rsid w:val="00E4078D"/>
    <w:rsid w:val="00E4091B"/>
    <w:rsid w:val="00E4121B"/>
    <w:rsid w:val="00E417B7"/>
    <w:rsid w:val="00E42FA4"/>
    <w:rsid w:val="00E43ACF"/>
    <w:rsid w:val="00E4426B"/>
    <w:rsid w:val="00E45864"/>
    <w:rsid w:val="00E4622C"/>
    <w:rsid w:val="00E46D41"/>
    <w:rsid w:val="00E5095A"/>
    <w:rsid w:val="00E50D5F"/>
    <w:rsid w:val="00E51FFB"/>
    <w:rsid w:val="00E52A77"/>
    <w:rsid w:val="00E52DD3"/>
    <w:rsid w:val="00E52EA7"/>
    <w:rsid w:val="00E5471E"/>
    <w:rsid w:val="00E558A4"/>
    <w:rsid w:val="00E55CC7"/>
    <w:rsid w:val="00E55F66"/>
    <w:rsid w:val="00E5652F"/>
    <w:rsid w:val="00E5712D"/>
    <w:rsid w:val="00E576D9"/>
    <w:rsid w:val="00E57773"/>
    <w:rsid w:val="00E60814"/>
    <w:rsid w:val="00E63C49"/>
    <w:rsid w:val="00E65EA1"/>
    <w:rsid w:val="00E6605D"/>
    <w:rsid w:val="00E6611F"/>
    <w:rsid w:val="00E667C7"/>
    <w:rsid w:val="00E67610"/>
    <w:rsid w:val="00E67CBC"/>
    <w:rsid w:val="00E71221"/>
    <w:rsid w:val="00E72173"/>
    <w:rsid w:val="00E72EB8"/>
    <w:rsid w:val="00E74460"/>
    <w:rsid w:val="00E75AAE"/>
    <w:rsid w:val="00E75C99"/>
    <w:rsid w:val="00E77248"/>
    <w:rsid w:val="00E816B3"/>
    <w:rsid w:val="00E81EC5"/>
    <w:rsid w:val="00E82285"/>
    <w:rsid w:val="00E828DE"/>
    <w:rsid w:val="00E829D6"/>
    <w:rsid w:val="00E82AAD"/>
    <w:rsid w:val="00E830B7"/>
    <w:rsid w:val="00E87655"/>
    <w:rsid w:val="00E91635"/>
    <w:rsid w:val="00E9168B"/>
    <w:rsid w:val="00E923A0"/>
    <w:rsid w:val="00E9265B"/>
    <w:rsid w:val="00E92D1F"/>
    <w:rsid w:val="00E94FCA"/>
    <w:rsid w:val="00E95253"/>
    <w:rsid w:val="00E95F85"/>
    <w:rsid w:val="00E96102"/>
    <w:rsid w:val="00E96A4A"/>
    <w:rsid w:val="00E978F3"/>
    <w:rsid w:val="00E9798E"/>
    <w:rsid w:val="00EA0BDD"/>
    <w:rsid w:val="00EA1E6B"/>
    <w:rsid w:val="00EA3BA4"/>
    <w:rsid w:val="00EA486D"/>
    <w:rsid w:val="00EA5CE7"/>
    <w:rsid w:val="00EA6125"/>
    <w:rsid w:val="00EA71B2"/>
    <w:rsid w:val="00EA7287"/>
    <w:rsid w:val="00EB1BDD"/>
    <w:rsid w:val="00EB3228"/>
    <w:rsid w:val="00EB3AE6"/>
    <w:rsid w:val="00EB4487"/>
    <w:rsid w:val="00EB6302"/>
    <w:rsid w:val="00EB6C5C"/>
    <w:rsid w:val="00EB6C65"/>
    <w:rsid w:val="00EB6D01"/>
    <w:rsid w:val="00EC0435"/>
    <w:rsid w:val="00EC0F16"/>
    <w:rsid w:val="00EC2B22"/>
    <w:rsid w:val="00EC2B8A"/>
    <w:rsid w:val="00EC3D80"/>
    <w:rsid w:val="00EC6FE6"/>
    <w:rsid w:val="00EC7180"/>
    <w:rsid w:val="00EC750C"/>
    <w:rsid w:val="00EC7B38"/>
    <w:rsid w:val="00ED1D70"/>
    <w:rsid w:val="00ED209D"/>
    <w:rsid w:val="00ED418D"/>
    <w:rsid w:val="00ED4212"/>
    <w:rsid w:val="00ED4362"/>
    <w:rsid w:val="00ED4673"/>
    <w:rsid w:val="00ED46C4"/>
    <w:rsid w:val="00ED5D29"/>
    <w:rsid w:val="00ED5F88"/>
    <w:rsid w:val="00ED664B"/>
    <w:rsid w:val="00ED7359"/>
    <w:rsid w:val="00ED7454"/>
    <w:rsid w:val="00ED7C2E"/>
    <w:rsid w:val="00EE0F43"/>
    <w:rsid w:val="00EE27B0"/>
    <w:rsid w:val="00EE5111"/>
    <w:rsid w:val="00EE7DDE"/>
    <w:rsid w:val="00EF157F"/>
    <w:rsid w:val="00EF2699"/>
    <w:rsid w:val="00EF2730"/>
    <w:rsid w:val="00EF28D7"/>
    <w:rsid w:val="00EF4EBC"/>
    <w:rsid w:val="00EF7213"/>
    <w:rsid w:val="00EF78F0"/>
    <w:rsid w:val="00F01D63"/>
    <w:rsid w:val="00F02613"/>
    <w:rsid w:val="00F03786"/>
    <w:rsid w:val="00F049B7"/>
    <w:rsid w:val="00F04B80"/>
    <w:rsid w:val="00F05E37"/>
    <w:rsid w:val="00F05F4C"/>
    <w:rsid w:val="00F06988"/>
    <w:rsid w:val="00F07897"/>
    <w:rsid w:val="00F07B8D"/>
    <w:rsid w:val="00F07EF7"/>
    <w:rsid w:val="00F112AC"/>
    <w:rsid w:val="00F12A50"/>
    <w:rsid w:val="00F130AD"/>
    <w:rsid w:val="00F133B3"/>
    <w:rsid w:val="00F13492"/>
    <w:rsid w:val="00F1561E"/>
    <w:rsid w:val="00F15A2C"/>
    <w:rsid w:val="00F15FBB"/>
    <w:rsid w:val="00F16D89"/>
    <w:rsid w:val="00F2002D"/>
    <w:rsid w:val="00F211AA"/>
    <w:rsid w:val="00F22093"/>
    <w:rsid w:val="00F227E8"/>
    <w:rsid w:val="00F23825"/>
    <w:rsid w:val="00F23B42"/>
    <w:rsid w:val="00F24647"/>
    <w:rsid w:val="00F25CDE"/>
    <w:rsid w:val="00F26374"/>
    <w:rsid w:val="00F264CF"/>
    <w:rsid w:val="00F26A9F"/>
    <w:rsid w:val="00F306AF"/>
    <w:rsid w:val="00F30A74"/>
    <w:rsid w:val="00F30DE4"/>
    <w:rsid w:val="00F331B5"/>
    <w:rsid w:val="00F343D2"/>
    <w:rsid w:val="00F34A4F"/>
    <w:rsid w:val="00F34AF9"/>
    <w:rsid w:val="00F3609D"/>
    <w:rsid w:val="00F378EE"/>
    <w:rsid w:val="00F41068"/>
    <w:rsid w:val="00F4172A"/>
    <w:rsid w:val="00F41F3E"/>
    <w:rsid w:val="00F434D7"/>
    <w:rsid w:val="00F447BA"/>
    <w:rsid w:val="00F45645"/>
    <w:rsid w:val="00F45725"/>
    <w:rsid w:val="00F45CEC"/>
    <w:rsid w:val="00F45E6C"/>
    <w:rsid w:val="00F47B58"/>
    <w:rsid w:val="00F47BED"/>
    <w:rsid w:val="00F51200"/>
    <w:rsid w:val="00F526FD"/>
    <w:rsid w:val="00F5320F"/>
    <w:rsid w:val="00F53521"/>
    <w:rsid w:val="00F53991"/>
    <w:rsid w:val="00F53D34"/>
    <w:rsid w:val="00F55649"/>
    <w:rsid w:val="00F560DB"/>
    <w:rsid w:val="00F57140"/>
    <w:rsid w:val="00F61722"/>
    <w:rsid w:val="00F617C6"/>
    <w:rsid w:val="00F61CF5"/>
    <w:rsid w:val="00F6208E"/>
    <w:rsid w:val="00F66446"/>
    <w:rsid w:val="00F665BF"/>
    <w:rsid w:val="00F665FE"/>
    <w:rsid w:val="00F66A33"/>
    <w:rsid w:val="00F66D5F"/>
    <w:rsid w:val="00F66F7C"/>
    <w:rsid w:val="00F67322"/>
    <w:rsid w:val="00F67566"/>
    <w:rsid w:val="00F70BA5"/>
    <w:rsid w:val="00F71818"/>
    <w:rsid w:val="00F727CB"/>
    <w:rsid w:val="00F733C8"/>
    <w:rsid w:val="00F73842"/>
    <w:rsid w:val="00F73B39"/>
    <w:rsid w:val="00F741D2"/>
    <w:rsid w:val="00F74320"/>
    <w:rsid w:val="00F743D3"/>
    <w:rsid w:val="00F74453"/>
    <w:rsid w:val="00F74981"/>
    <w:rsid w:val="00F75C04"/>
    <w:rsid w:val="00F75D7B"/>
    <w:rsid w:val="00F769BF"/>
    <w:rsid w:val="00F77B7B"/>
    <w:rsid w:val="00F77C66"/>
    <w:rsid w:val="00F77D7B"/>
    <w:rsid w:val="00F80C81"/>
    <w:rsid w:val="00F810E0"/>
    <w:rsid w:val="00F8412C"/>
    <w:rsid w:val="00F85DA5"/>
    <w:rsid w:val="00F868BE"/>
    <w:rsid w:val="00F86A8D"/>
    <w:rsid w:val="00F90467"/>
    <w:rsid w:val="00F90692"/>
    <w:rsid w:val="00F92482"/>
    <w:rsid w:val="00F94C10"/>
    <w:rsid w:val="00F954D2"/>
    <w:rsid w:val="00F95772"/>
    <w:rsid w:val="00F97F09"/>
    <w:rsid w:val="00FA159F"/>
    <w:rsid w:val="00FA2420"/>
    <w:rsid w:val="00FA27ED"/>
    <w:rsid w:val="00FA2833"/>
    <w:rsid w:val="00FA2A52"/>
    <w:rsid w:val="00FA3BC1"/>
    <w:rsid w:val="00FA6D11"/>
    <w:rsid w:val="00FA7706"/>
    <w:rsid w:val="00FB2461"/>
    <w:rsid w:val="00FB2CA2"/>
    <w:rsid w:val="00FB4289"/>
    <w:rsid w:val="00FB4ADE"/>
    <w:rsid w:val="00FC0149"/>
    <w:rsid w:val="00FC1824"/>
    <w:rsid w:val="00FC2985"/>
    <w:rsid w:val="00FC4E47"/>
    <w:rsid w:val="00FC518C"/>
    <w:rsid w:val="00FC6E92"/>
    <w:rsid w:val="00FC7254"/>
    <w:rsid w:val="00FC7611"/>
    <w:rsid w:val="00FD008B"/>
    <w:rsid w:val="00FD0E0E"/>
    <w:rsid w:val="00FD12A2"/>
    <w:rsid w:val="00FD18C2"/>
    <w:rsid w:val="00FD2403"/>
    <w:rsid w:val="00FD2A23"/>
    <w:rsid w:val="00FD3264"/>
    <w:rsid w:val="00FD3621"/>
    <w:rsid w:val="00FD424D"/>
    <w:rsid w:val="00FD5803"/>
    <w:rsid w:val="00FD6B74"/>
    <w:rsid w:val="00FD6F5F"/>
    <w:rsid w:val="00FD7C55"/>
    <w:rsid w:val="00FE0495"/>
    <w:rsid w:val="00FE0B4E"/>
    <w:rsid w:val="00FE2CF0"/>
    <w:rsid w:val="00FE3646"/>
    <w:rsid w:val="00FE74C1"/>
    <w:rsid w:val="00FF0D60"/>
    <w:rsid w:val="00FF0FF8"/>
    <w:rsid w:val="00FF1752"/>
    <w:rsid w:val="00FF20D4"/>
    <w:rsid w:val="00FF2AF6"/>
    <w:rsid w:val="00FF36F2"/>
    <w:rsid w:val="00FF3F44"/>
    <w:rsid w:val="00FF491C"/>
    <w:rsid w:val="00FF5712"/>
    <w:rsid w:val="00FF5A91"/>
    <w:rsid w:val="00FF6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49"/>
    <o:shapelayout v:ext="edit">
      <o:idmap v:ext="edit" data="1"/>
    </o:shapelayout>
  </w:shapeDefaults>
  <w:decimalSymbol w:val="."/>
  <w:listSeparator w:val=","/>
  <w14:docId w14:val="332D7571"/>
  <w15:docId w15:val="{EE1B66C7-4E92-4545-AFD0-BD12824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905603"/>
    <w:rPr>
      <w:color w:val="605E5C"/>
      <w:shd w:val="clear" w:color="auto" w:fill="E1DFDD"/>
    </w:rPr>
  </w:style>
  <w:style w:type="character" w:styleId="UnresolvedMention">
    <w:name w:val="Unresolved Mention"/>
    <w:basedOn w:val="DefaultParagraphFont"/>
    <w:uiPriority w:val="99"/>
    <w:semiHidden/>
    <w:unhideWhenUsed/>
    <w:rsid w:val="008B54F2"/>
    <w:rPr>
      <w:color w:val="605E5C"/>
      <w:shd w:val="clear" w:color="auto" w:fill="E1DFDD"/>
    </w:rPr>
  </w:style>
  <w:style w:type="paragraph" w:styleId="Caption">
    <w:name w:val="caption"/>
    <w:basedOn w:val="NICEnormal"/>
    <w:next w:val="NICEnormal"/>
    <w:unhideWhenUsed/>
    <w:qFormat/>
    <w:rsid w:val="001A29CE"/>
    <w:pPr>
      <w:keepNext/>
      <w:spacing w:after="200"/>
    </w:pPr>
    <w:rPr>
      <w:b/>
      <w:bCs/>
      <w:iCs/>
      <w:szCs w:val="18"/>
    </w:rPr>
  </w:style>
  <w:style w:type="paragraph" w:customStyle="1" w:styleId="Numberedheading2">
    <w:name w:val="Numbered heading 2"/>
    <w:basedOn w:val="Heading2"/>
    <w:next w:val="NICEnormal"/>
    <w:link w:val="Numberedheading2Char"/>
    <w:rsid w:val="001A29CE"/>
    <w:pPr>
      <w:tabs>
        <w:tab w:val="clear" w:pos="1134"/>
      </w:tabs>
    </w:pPr>
    <w:rPr>
      <w:i w:val="0"/>
      <w:iCs w:val="0"/>
    </w:rPr>
  </w:style>
  <w:style w:type="character" w:customStyle="1" w:styleId="Numberedheading2Char">
    <w:name w:val="Numbered heading 2 Char"/>
    <w:basedOn w:val="Heading2Char"/>
    <w:link w:val="Numberedheading2"/>
    <w:rsid w:val="001A29CE"/>
    <w:rPr>
      <w:rFonts w:ascii="Arial" w:hAnsi="Arial" w:cs="Arial"/>
      <w:b/>
      <w:bCs/>
      <w:i w:val="0"/>
      <w:iCs w:val="0"/>
      <w:sz w:val="28"/>
      <w:szCs w:val="28"/>
      <w:lang w:val="en-GB" w:eastAsia="en-US" w:bidi="ar-SA"/>
    </w:rPr>
  </w:style>
  <w:style w:type="table" w:customStyle="1" w:styleId="PanelDefault">
    <w:name w:val="Panel (Default)"/>
    <w:basedOn w:val="TableNormal"/>
    <w:uiPriority w:val="99"/>
    <w:rsid w:val="001A29CE"/>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A29CE"/>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A29CE"/>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1A29CE"/>
    <w:pPr>
      <w:numPr>
        <w:numId w:val="1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1A29CE"/>
    <w:rPr>
      <w:color w:val="FFFFFF" w:themeColor="background1"/>
      <w:u w:val="single"/>
    </w:rPr>
  </w:style>
  <w:style w:type="paragraph" w:styleId="Quote">
    <w:name w:val="Quote"/>
    <w:basedOn w:val="NICEnormal"/>
    <w:next w:val="NICEnormal"/>
    <w:link w:val="QuoteChar"/>
    <w:uiPriority w:val="29"/>
    <w:qFormat/>
    <w:rsid w:val="001A29CE"/>
    <w:pPr>
      <w:spacing w:before="200" w:after="160"/>
      <w:ind w:left="864" w:right="864"/>
      <w:jc w:val="center"/>
    </w:pPr>
    <w:rPr>
      <w:iCs/>
    </w:rPr>
  </w:style>
  <w:style w:type="character" w:customStyle="1" w:styleId="QuoteChar">
    <w:name w:val="Quote Char"/>
    <w:basedOn w:val="DefaultParagraphFont"/>
    <w:link w:val="Quote"/>
    <w:uiPriority w:val="29"/>
    <w:rsid w:val="001A29CE"/>
    <w:rPr>
      <w:rFonts w:ascii="Arial" w:hAnsi="Arial"/>
      <w:iCs/>
      <w:sz w:val="24"/>
      <w:szCs w:val="24"/>
      <w:lang w:eastAsia="en-US"/>
    </w:rPr>
  </w:style>
  <w:style w:type="paragraph" w:customStyle="1" w:styleId="Tableheading">
    <w:name w:val="Table heading"/>
    <w:basedOn w:val="Tabletext"/>
    <w:qFormat/>
    <w:rsid w:val="001A29CE"/>
    <w:rPr>
      <w:b/>
    </w:rPr>
  </w:style>
  <w:style w:type="paragraph" w:customStyle="1" w:styleId="Tablebullet">
    <w:name w:val="Table bullet"/>
    <w:basedOn w:val="Tabletext"/>
    <w:qFormat/>
    <w:rsid w:val="001A29CE"/>
    <w:pPr>
      <w:numPr>
        <w:numId w:val="12"/>
      </w:numPr>
    </w:pPr>
  </w:style>
  <w:style w:type="paragraph" w:customStyle="1" w:styleId="Section412paragraphs">
    <w:name w:val="Section 4.1.2 paragraphs"/>
    <w:basedOn w:val="NICEnormal"/>
    <w:rsid w:val="001A29CE"/>
    <w:pPr>
      <w:numPr>
        <w:numId w:val="13"/>
      </w:numPr>
    </w:pPr>
  </w:style>
  <w:style w:type="paragraph" w:styleId="NormalWeb">
    <w:name w:val="Normal (Web)"/>
    <w:basedOn w:val="Normal"/>
    <w:uiPriority w:val="99"/>
    <w:unhideWhenUsed/>
    <w:rsid w:val="001A29C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0493107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305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34" TargetMode="External"/><Relationship Id="rId13" Type="http://schemas.openxmlformats.org/officeDocument/2006/relationships/hyperlink" Target="https://www.ahajournals.org/doi/10.1161/CIR.0b013e31829b2be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hst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d-members" TargetMode="External"/><Relationship Id="rId10" Type="http://schemas.openxmlformats.org/officeDocument/2006/relationships/hyperlink" Target="https://www.nice.org.uk/guidance/indevelopment/gid-ta10334/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icines.org.uk/emc/product/10893/smpc" TargetMode="External"/><Relationship Id="rId14" Type="http://schemas.openxmlformats.org/officeDocument/2006/relationships/hyperlink" Target="https://www.nice.org.uk/process/pmg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253E-BB36-4981-9044-B3E0F162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7132</Words>
  <Characters>40656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47693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Kirsty Pitt</dc:creator>
  <cp:keywords/>
  <cp:lastModifiedBy>Celia Mayers</cp:lastModifiedBy>
  <cp:revision>6</cp:revision>
  <cp:lastPrinted>2019-04-04T12:42:00Z</cp:lastPrinted>
  <dcterms:created xsi:type="dcterms:W3CDTF">2021-02-05T10:43:00Z</dcterms:created>
  <dcterms:modified xsi:type="dcterms:W3CDTF">2021-02-05T11:22:00Z</dcterms:modified>
</cp:coreProperties>
</file>