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6CF2C" w14:textId="3B76C269" w:rsidR="00A110CF" w:rsidRPr="00B61A4C" w:rsidRDefault="00A110CF" w:rsidP="00A110CF">
      <w:pPr>
        <w:pStyle w:val="Title1"/>
      </w:pPr>
      <w:r w:rsidRPr="00B61A4C">
        <w:t>20</w:t>
      </w:r>
      <w:r w:rsidR="00CF1748">
        <w:t>19</w:t>
      </w:r>
      <w:r w:rsidRPr="00B61A4C">
        <w:t xml:space="preserve"> surveillance </w:t>
      </w:r>
      <w:bookmarkStart w:id="0" w:name="_Hlk3980235"/>
      <w:r w:rsidRPr="00B61A4C">
        <w:t xml:space="preserve">of </w:t>
      </w:r>
      <w:r w:rsidR="00CF1748">
        <w:t>menopause</w:t>
      </w:r>
      <w:r w:rsidRPr="00B61A4C">
        <w:t xml:space="preserve"> (NICE</w:t>
      </w:r>
      <w:bookmarkEnd w:id="0"/>
      <w:r w:rsidRPr="00B61A4C">
        <w:t xml:space="preserve"> guideline </w:t>
      </w:r>
      <w:r w:rsidR="00CF1748">
        <w:t>NG23</w:t>
      </w:r>
      <w:r w:rsidRPr="00B61A4C">
        <w:t>)</w:t>
      </w:r>
    </w:p>
    <w:p w14:paraId="7D9B458F" w14:textId="77777777" w:rsidR="00786807" w:rsidRPr="00B61A4C" w:rsidRDefault="006E1060" w:rsidP="00DC11D3">
      <w:pPr>
        <w:pStyle w:val="Heading1"/>
      </w:pPr>
      <w:r w:rsidRPr="00B61A4C">
        <w:t>Surveillance</w:t>
      </w:r>
      <w:r w:rsidR="00786807" w:rsidRPr="00B61A4C">
        <w:t xml:space="preserve"> </w:t>
      </w:r>
      <w:r w:rsidR="00CF1748">
        <w:t>proposal</w:t>
      </w:r>
    </w:p>
    <w:p w14:paraId="48C86FB7" w14:textId="77777777" w:rsidR="00CF1748" w:rsidRDefault="00CF1748" w:rsidP="00904A7C">
      <w:pPr>
        <w:pStyle w:val="NICEnormal"/>
        <w:rPr>
          <w:lang w:val="en-GB"/>
        </w:rPr>
      </w:pPr>
      <w:r w:rsidRPr="00CF1748">
        <w:rPr>
          <w:lang w:val="en-GB"/>
        </w:rPr>
        <w:t xml:space="preserve">We propose to not update the guideline on </w:t>
      </w:r>
      <w:hyperlink r:id="rId8" w:history="1">
        <w:r w:rsidRPr="00CF1748">
          <w:rPr>
            <w:rStyle w:val="Hyperlink"/>
            <w:lang w:val="en-GB"/>
          </w:rPr>
          <w:t>menopause</w:t>
        </w:r>
      </w:hyperlink>
      <w:r w:rsidRPr="00CF1748">
        <w:rPr>
          <w:lang w:val="en-GB"/>
        </w:rPr>
        <w:t>.</w:t>
      </w:r>
    </w:p>
    <w:p w14:paraId="4C72A78E" w14:textId="73CF4763" w:rsidR="004816E5" w:rsidRPr="00B61A4C" w:rsidRDefault="00D52449" w:rsidP="00D52449">
      <w:pPr>
        <w:pStyle w:val="Heading2"/>
      </w:pPr>
      <w:r w:rsidRPr="00B61A4C">
        <w:t>Reason</w:t>
      </w:r>
      <w:r w:rsidR="00081C9E" w:rsidRPr="00B61A4C">
        <w:t>s</w:t>
      </w:r>
      <w:r w:rsidRPr="00B61A4C">
        <w:t xml:space="preserve"> for the </w:t>
      </w:r>
      <w:r w:rsidR="00AC1685">
        <w:t>proposal</w:t>
      </w:r>
      <w:r w:rsidR="00AC1685" w:rsidRPr="00B61A4C">
        <w:t xml:space="preserve"> </w:t>
      </w:r>
      <w:r w:rsidR="00CF1748">
        <w:t>not to update the guideline</w:t>
      </w:r>
    </w:p>
    <w:p w14:paraId="5872FD35" w14:textId="71F284FE" w:rsidR="00CF1748" w:rsidRPr="00CF1748" w:rsidRDefault="00CF1748" w:rsidP="00CF1748">
      <w:pPr>
        <w:pStyle w:val="Heading3"/>
      </w:pPr>
      <w:r w:rsidRPr="00CF1748">
        <w:t xml:space="preserve">Managing </w:t>
      </w:r>
      <w:r w:rsidR="004B632E">
        <w:t>urogenital atrophy</w:t>
      </w:r>
    </w:p>
    <w:p w14:paraId="4E68C181" w14:textId="75BA2BD5" w:rsidR="00CF1748" w:rsidRPr="00CF1748" w:rsidRDefault="00CF1748" w:rsidP="00AC1685">
      <w:pPr>
        <w:pStyle w:val="NICEnormal"/>
        <w:tabs>
          <w:tab w:val="left" w:pos="4253"/>
        </w:tabs>
      </w:pPr>
      <w:r w:rsidRPr="00CF1748">
        <w:t xml:space="preserve">We identified new evidence on ospemifene, which is licensed in the UK for treating urogenital atrophy in women who are not candidates for vaginal </w:t>
      </w:r>
      <w:proofErr w:type="spellStart"/>
      <w:r w:rsidRPr="00CF1748">
        <w:t>oestrogen</w:t>
      </w:r>
      <w:proofErr w:type="spellEnd"/>
      <w:r w:rsidRPr="00CF1748">
        <w:t xml:space="preserve">. At the time of guideline development, ospemifene had received </w:t>
      </w:r>
      <w:r w:rsidR="008937F2">
        <w:t xml:space="preserve">a UK </w:t>
      </w:r>
      <w:r w:rsidRPr="00CF1748">
        <w:t>marketing authorisation but information on its cost was not available for consideration in the related evidence review. The situation has changed because the treatment is now available (</w:t>
      </w:r>
      <w:r w:rsidR="00362ECD">
        <w:t>costing £39.50 for 28 tablets</w:t>
      </w:r>
      <w:r w:rsidRPr="00CF1748">
        <w:t xml:space="preserve">) and new evidence indicates that it may improve sexual function, vaginal dryness, and dyspareunia. </w:t>
      </w:r>
      <w:r w:rsidR="0002799A">
        <w:t xml:space="preserve">However, the new evidence did not report on adverse events associated with ospemifene. It was not possible to tell from the abstracts whether the effects were clinically meaningful, or durable. </w:t>
      </w:r>
    </w:p>
    <w:p w14:paraId="23D4573E" w14:textId="7FE4F0FE" w:rsidR="00CF1748" w:rsidRPr="00CF1748" w:rsidRDefault="00CF1748" w:rsidP="00CF1748">
      <w:pPr>
        <w:pStyle w:val="NICEnormal"/>
      </w:pPr>
      <w:r w:rsidRPr="00CF1748">
        <w:t>We also identified new evidence for prasterone</w:t>
      </w:r>
      <w:r w:rsidR="009237D9">
        <w:t xml:space="preserve"> use for up to 3 months.</w:t>
      </w:r>
      <w:r w:rsidRPr="00CF1748">
        <w:t xml:space="preserve"> </w:t>
      </w:r>
      <w:r w:rsidR="009237D9">
        <w:t>Prasterone</w:t>
      </w:r>
      <w:r w:rsidR="009237D9" w:rsidRPr="00CF1748">
        <w:t xml:space="preserve"> </w:t>
      </w:r>
      <w:r w:rsidRPr="00CF1748">
        <w:t>has recently been licensed in the UK</w:t>
      </w:r>
      <w:r w:rsidR="00362ECD">
        <w:t xml:space="preserve"> (costing £15.94 for 28 pessaries)</w:t>
      </w:r>
      <w:r w:rsidRPr="00CF1748">
        <w:t xml:space="preserve"> for treating vulvar and vaginal atrophy in postmenopausal women having moderate to severe symptoms.</w:t>
      </w:r>
      <w:r w:rsidR="009237D9">
        <w:t xml:space="preserve"> Further evidence on the effects with prasterone treatment longer than 3 months and longer-term safety data is needed before considering an update of the guideline to evaluate the role of prasterone for treating vaginal symptoms of the menopause.</w:t>
      </w:r>
    </w:p>
    <w:p w14:paraId="2423B626" w14:textId="160ABD2D" w:rsidR="00CF1748" w:rsidRPr="00CF1748" w:rsidRDefault="00CF1748" w:rsidP="00CF1748">
      <w:pPr>
        <w:pStyle w:val="NICEnormal"/>
      </w:pPr>
      <w:r w:rsidRPr="00CF1748">
        <w:t xml:space="preserve">The cost of prasterone is comparable with available intravaginal </w:t>
      </w:r>
      <w:proofErr w:type="spellStart"/>
      <w:r w:rsidRPr="00CF1748">
        <w:t>oestrogen</w:t>
      </w:r>
      <w:proofErr w:type="spellEnd"/>
      <w:r w:rsidRPr="00CF1748">
        <w:t xml:space="preserve"> pessaries, and although ospemifene is more expensive, its use is restricted to a smaller group of women for whom intravaginal </w:t>
      </w:r>
      <w:proofErr w:type="spellStart"/>
      <w:r w:rsidRPr="00CF1748">
        <w:t>oestrogen</w:t>
      </w:r>
      <w:proofErr w:type="spellEnd"/>
      <w:r w:rsidRPr="00CF1748">
        <w:t xml:space="preserve"> is not suitable. </w:t>
      </w:r>
      <w:bookmarkStart w:id="1" w:name="_Hlk15898252"/>
      <w:r w:rsidR="00362ECD">
        <w:t>Therefore, w</w:t>
      </w:r>
      <w:r w:rsidR="00362ECD" w:rsidRPr="00CF1748">
        <w:t xml:space="preserve">e </w:t>
      </w:r>
      <w:r w:rsidR="00362ECD">
        <w:t>do not expect these treatments to have a substantial impact on NHS resources.</w:t>
      </w:r>
      <w:r w:rsidR="00362ECD" w:rsidRPr="00CF1748">
        <w:t xml:space="preserve"> </w:t>
      </w:r>
      <w:bookmarkEnd w:id="1"/>
      <w:r w:rsidRPr="00CF1748">
        <w:t xml:space="preserve">Additionally, we are not aware of any new safety issues relating to other </w:t>
      </w:r>
      <w:r w:rsidR="009237D9">
        <w:t xml:space="preserve">currently recommended </w:t>
      </w:r>
      <w:r w:rsidRPr="00CF1748">
        <w:t xml:space="preserve">treatments for vaginal symptoms of </w:t>
      </w:r>
      <w:r w:rsidRPr="00CF1748">
        <w:lastRenderedPageBreak/>
        <w:t xml:space="preserve">menopause. For these reasons, we decided that an update was not necessary at this time. </w:t>
      </w:r>
    </w:p>
    <w:p w14:paraId="090F945E" w14:textId="1034314B" w:rsidR="00CF1748" w:rsidRPr="00CF1748" w:rsidRDefault="00CF1748" w:rsidP="00CF1748">
      <w:pPr>
        <w:pStyle w:val="NICEnormal"/>
      </w:pPr>
      <w:r w:rsidRPr="00CF1748">
        <w:t>New evidence for other treatments for short-term menopausal symptoms was identified</w:t>
      </w:r>
      <w:r w:rsidR="00362ECD">
        <w:t>:</w:t>
      </w:r>
      <w:r w:rsidRPr="00CF1748">
        <w:t xml:space="preserve"> including drug treatments, psychological treatments, and alternative medicine and complementary therapies. However, the evidence for these treatments did not indicate a need to update the guideline</w:t>
      </w:r>
      <w:r w:rsidR="0002799A">
        <w:t xml:space="preserve"> because each intervention was </w:t>
      </w:r>
      <w:r w:rsidR="00362ECD">
        <w:t>usually</w:t>
      </w:r>
      <w:r w:rsidR="0002799A">
        <w:t xml:space="preserve"> assessed in a single small trial</w:t>
      </w:r>
      <w:r w:rsidR="004B632E">
        <w:t>,</w:t>
      </w:r>
      <w:r w:rsidR="008937F2">
        <w:t xml:space="preserve"> which was deemed insufficient to change existing recommendations</w:t>
      </w:r>
      <w:r w:rsidRPr="00CF1748">
        <w:t>.</w:t>
      </w:r>
    </w:p>
    <w:p w14:paraId="35BB9558" w14:textId="77777777" w:rsidR="00CF1748" w:rsidRPr="00CF1748" w:rsidRDefault="00CF1748" w:rsidP="00CF1748">
      <w:pPr>
        <w:pStyle w:val="Heading3"/>
      </w:pPr>
      <w:r w:rsidRPr="00CF1748">
        <w:t>Long-term benefits and risks of hormone replacement therapy</w:t>
      </w:r>
    </w:p>
    <w:p w14:paraId="785D1779" w14:textId="77777777" w:rsidR="00CF1748" w:rsidRPr="00CF1748" w:rsidRDefault="00CF1748" w:rsidP="00CF1748">
      <w:pPr>
        <w:pStyle w:val="NICEnormal"/>
      </w:pPr>
      <w:r w:rsidRPr="00CF1748">
        <w:t>We identified new evidence on the long-term risks and benefits of hormone replacement therapy. This included areas covered by the guideline such as cardiovascular outcomes, cancer outcomes, osteoporosis and dementia. The findings were generally consistent with the guideline. New evidence did not suggest that an update of the guideline is needed to consider additional risks or benefits of hormone replacement therapy.</w:t>
      </w:r>
    </w:p>
    <w:p w14:paraId="773A9FB3" w14:textId="169196E7" w:rsidR="005D7CEB" w:rsidRPr="00B61A4C" w:rsidRDefault="005D7CEB" w:rsidP="005D7CEB">
      <w:pPr>
        <w:pStyle w:val="NICEnormal"/>
        <w:rPr>
          <w:lang w:val="en-GB"/>
        </w:rPr>
      </w:pPr>
      <w:r w:rsidRPr="00B61A4C">
        <w:rPr>
          <w:lang w:val="en-GB"/>
        </w:rPr>
        <w:t xml:space="preserve">For further details and a summary of all evidence identified in surveillance, see </w:t>
      </w:r>
      <w:hyperlink r:id="rId9" w:history="1">
        <w:r w:rsidR="00CF1748" w:rsidRPr="00255FA2">
          <w:rPr>
            <w:rStyle w:val="Hyperlink"/>
            <w:lang w:val="en-GB"/>
          </w:rPr>
          <w:t>summary of evidence from surveillance</w:t>
        </w:r>
      </w:hyperlink>
      <w:bookmarkStart w:id="2" w:name="_GoBack"/>
      <w:bookmarkEnd w:id="2"/>
      <w:r w:rsidRPr="00B61A4C">
        <w:rPr>
          <w:lang w:val="en-GB"/>
        </w:rPr>
        <w:t>.</w:t>
      </w:r>
    </w:p>
    <w:p w14:paraId="1F0DA0B9" w14:textId="5FFA407F" w:rsidR="00081C9E" w:rsidRPr="00B61A4C" w:rsidRDefault="00081C9E" w:rsidP="00081C9E">
      <w:pPr>
        <w:pStyle w:val="Heading1"/>
      </w:pPr>
      <w:r w:rsidRPr="00B61A4C">
        <w:t>Overview of 20</w:t>
      </w:r>
      <w:r w:rsidR="00CF1748">
        <w:t>19</w:t>
      </w:r>
      <w:r w:rsidRPr="00B61A4C">
        <w:t xml:space="preserve"> surveillance methods</w:t>
      </w:r>
    </w:p>
    <w:p w14:paraId="1D5063AF" w14:textId="77777777" w:rsidR="00CF1748" w:rsidRPr="00CF1748" w:rsidRDefault="00CF1748" w:rsidP="00CF1748">
      <w:pPr>
        <w:pStyle w:val="NICEnormal"/>
      </w:pPr>
      <w:r w:rsidRPr="00CF1748">
        <w:t xml:space="preserve">NICE’s surveillance team checked whether recommendations in </w:t>
      </w:r>
      <w:hyperlink r:id="rId10" w:history="1">
        <w:r w:rsidRPr="00CF1748">
          <w:rPr>
            <w:rStyle w:val="Hyperlink"/>
          </w:rPr>
          <w:t>menopause</w:t>
        </w:r>
      </w:hyperlink>
      <w:r w:rsidRPr="00CF1748">
        <w:t xml:space="preserve"> (NICE guideline NG23) remain up to date. </w:t>
      </w:r>
    </w:p>
    <w:p w14:paraId="300CF7AF" w14:textId="77777777" w:rsidR="00CF1748" w:rsidRPr="00CF1748" w:rsidRDefault="00CF1748" w:rsidP="00CF1748">
      <w:pPr>
        <w:pStyle w:val="NICEnormal"/>
      </w:pPr>
      <w:r w:rsidRPr="00CF1748">
        <w:t>The surveillance process consisted of:</w:t>
      </w:r>
    </w:p>
    <w:p w14:paraId="7C86B682" w14:textId="77777777" w:rsidR="00CF1748" w:rsidRPr="00CF1748" w:rsidRDefault="00CF1748" w:rsidP="00CF1748">
      <w:pPr>
        <w:pStyle w:val="Bulletleft1"/>
      </w:pPr>
      <w:r w:rsidRPr="00CF1748">
        <w:t>Feedback from topic experts via a questionnaire.</w:t>
      </w:r>
    </w:p>
    <w:p w14:paraId="5714936F" w14:textId="77777777" w:rsidR="00CF1748" w:rsidRPr="00CF1748" w:rsidRDefault="00CF1748" w:rsidP="00CF1748">
      <w:pPr>
        <w:pStyle w:val="Bulletleft1"/>
      </w:pPr>
      <w:r w:rsidRPr="00CF1748">
        <w:t>A search for new or updated Cochrane reviews.</w:t>
      </w:r>
    </w:p>
    <w:p w14:paraId="4B68ED0E" w14:textId="77777777" w:rsidR="00CF1748" w:rsidRPr="00CF1748" w:rsidRDefault="00CF1748" w:rsidP="00CF1748">
      <w:pPr>
        <w:pStyle w:val="Bulletleft1"/>
      </w:pPr>
      <w:r w:rsidRPr="00CF1748">
        <w:t>Examining related NICE guidance and quality standards and NIHR signals.</w:t>
      </w:r>
    </w:p>
    <w:p w14:paraId="135B02DD" w14:textId="77777777" w:rsidR="00CF1748" w:rsidRPr="00CF1748" w:rsidRDefault="00CF1748" w:rsidP="00CF1748">
      <w:pPr>
        <w:pStyle w:val="Bulletleft1"/>
      </w:pPr>
      <w:r w:rsidRPr="00CF1748">
        <w:t>A search for ongoing research.</w:t>
      </w:r>
    </w:p>
    <w:p w14:paraId="2589846B" w14:textId="77777777" w:rsidR="00CF1748" w:rsidRPr="00CF1748" w:rsidRDefault="00CF1748" w:rsidP="00CF1748">
      <w:pPr>
        <w:pStyle w:val="Bulletleft1"/>
      </w:pPr>
      <w:r w:rsidRPr="00CF1748">
        <w:t>Examining the NICE event tracker for relevant ongoing and published events.</w:t>
      </w:r>
    </w:p>
    <w:p w14:paraId="27A9D630" w14:textId="77777777" w:rsidR="00CF1748" w:rsidRPr="00CF1748" w:rsidRDefault="00CF1748" w:rsidP="00CF1748">
      <w:pPr>
        <w:pStyle w:val="Bulletleft1"/>
      </w:pPr>
      <w:r w:rsidRPr="00CF1748">
        <w:t>Literature searches to identify relevant evidence.</w:t>
      </w:r>
    </w:p>
    <w:p w14:paraId="398AB6B2" w14:textId="77777777" w:rsidR="00CF1748" w:rsidRPr="00CF1748" w:rsidRDefault="00CF1748" w:rsidP="00CF1748">
      <w:pPr>
        <w:pStyle w:val="Bulletleft1"/>
      </w:pPr>
      <w:r w:rsidRPr="00CF1748">
        <w:lastRenderedPageBreak/>
        <w:t>Assessing the new evidence against current recommendations to determine whether or not to update sections of the guideline, or the whole guideline.</w:t>
      </w:r>
    </w:p>
    <w:p w14:paraId="198F9A8A" w14:textId="77777777" w:rsidR="00CF1748" w:rsidRPr="00CF1748" w:rsidRDefault="00CF1748" w:rsidP="00CF1748">
      <w:pPr>
        <w:pStyle w:val="Bulletleft1last"/>
      </w:pPr>
      <w:r w:rsidRPr="00CF1748">
        <w:t>Consulting on the proposal with stakeholders (this document).</w:t>
      </w:r>
    </w:p>
    <w:p w14:paraId="35286BBD" w14:textId="77777777" w:rsidR="00CF1748" w:rsidRPr="00CF1748" w:rsidRDefault="00CF1748" w:rsidP="00CF1748">
      <w:pPr>
        <w:pStyle w:val="NICEnormal"/>
      </w:pPr>
      <w:r w:rsidRPr="00CF1748">
        <w:t xml:space="preserve">For further details about the process and the possible update decisions that are available, see </w:t>
      </w:r>
      <w:hyperlink r:id="rId11" w:history="1">
        <w:r w:rsidRPr="00CF1748">
          <w:rPr>
            <w:rStyle w:val="Hyperlink"/>
          </w:rPr>
          <w:t>ensuring that published guidelines are current and accurate</w:t>
        </w:r>
      </w:hyperlink>
      <w:r w:rsidRPr="00CF1748">
        <w:t xml:space="preserve"> in developing NICE guidelines: the manual.</w:t>
      </w:r>
    </w:p>
    <w:p w14:paraId="6546FB22" w14:textId="77777777" w:rsidR="008739B9" w:rsidRPr="00B61A4C" w:rsidRDefault="00B742F4" w:rsidP="00B742F4">
      <w:pPr>
        <w:pStyle w:val="Heading2"/>
      </w:pPr>
      <w:r w:rsidRPr="00B61A4C">
        <w:t>Evidence considered in surveillance</w:t>
      </w:r>
    </w:p>
    <w:p w14:paraId="77EADC52" w14:textId="77777777" w:rsidR="00CF1748" w:rsidRPr="00CF1748" w:rsidRDefault="00CF1748" w:rsidP="00CF1748">
      <w:pPr>
        <w:pStyle w:val="Heading3"/>
      </w:pPr>
      <w:r w:rsidRPr="00CF1748">
        <w:t>Search and selection strategy</w:t>
      </w:r>
    </w:p>
    <w:p w14:paraId="08131D45" w14:textId="77777777" w:rsidR="00CF1748" w:rsidRPr="00CF1748" w:rsidRDefault="00CF1748" w:rsidP="00CF1748">
      <w:pPr>
        <w:pStyle w:val="NICEnormal"/>
      </w:pPr>
      <w:r w:rsidRPr="00CF1748">
        <w:t xml:space="preserve">We searched for new evidence related to the whole guideline.  </w:t>
      </w:r>
    </w:p>
    <w:p w14:paraId="60568DB2" w14:textId="6782A3CA" w:rsidR="00CF1748" w:rsidRPr="00CF1748" w:rsidRDefault="00CF1748" w:rsidP="00CF1748">
      <w:pPr>
        <w:pStyle w:val="NICEnormal"/>
      </w:pPr>
      <w:r w:rsidRPr="00CF1748">
        <w:t>We found 1</w:t>
      </w:r>
      <w:r w:rsidR="00874665">
        <w:t>22</w:t>
      </w:r>
      <w:r w:rsidRPr="00CF1748">
        <w:t xml:space="preserve"> studies in a search for </w:t>
      </w:r>
      <w:proofErr w:type="spellStart"/>
      <w:r w:rsidRPr="00CF1748">
        <w:t>randomised</w:t>
      </w:r>
      <w:proofErr w:type="spellEnd"/>
      <w:r w:rsidRPr="00CF1748">
        <w:t xml:space="preserve"> controlled trials (RCTs), Cochrane reviews and observational studies published between 13 January 2015 and 07 May 2019. </w:t>
      </w:r>
    </w:p>
    <w:p w14:paraId="7386D741" w14:textId="77777777" w:rsidR="00CF1748" w:rsidRPr="00CF1748" w:rsidRDefault="00CF1748" w:rsidP="00CF1748">
      <w:pPr>
        <w:pStyle w:val="NICEnormal"/>
      </w:pPr>
      <w:r w:rsidRPr="00CF1748">
        <w:t>We also included 5 relevant studies from a total of 12 identified by topic experts, all of which were also identified by the searches.</w:t>
      </w:r>
    </w:p>
    <w:p w14:paraId="16FCC08B" w14:textId="00320FEF" w:rsidR="00CF1748" w:rsidRPr="00CF1748" w:rsidRDefault="00CF1748" w:rsidP="00CF1748">
      <w:pPr>
        <w:pStyle w:val="NICEnormal"/>
      </w:pPr>
      <w:r w:rsidRPr="00CF1748">
        <w:t>From all sources, we considered 1</w:t>
      </w:r>
      <w:r w:rsidR="00874665">
        <w:t>22</w:t>
      </w:r>
      <w:r w:rsidRPr="00CF1748">
        <w:t xml:space="preserve"> studies to be relevant to the guideline. </w:t>
      </w:r>
    </w:p>
    <w:p w14:paraId="79734592" w14:textId="77777777" w:rsidR="00CF1748" w:rsidRPr="00CF1748" w:rsidRDefault="00CF1748" w:rsidP="00CF1748">
      <w:pPr>
        <w:pStyle w:val="Heading4"/>
      </w:pPr>
      <w:r w:rsidRPr="00CF1748">
        <w:t>Selecting relevant studies</w:t>
      </w:r>
    </w:p>
    <w:p w14:paraId="5640F144" w14:textId="77777777" w:rsidR="00CF1748" w:rsidRPr="00CF1748" w:rsidRDefault="00CF1748" w:rsidP="00CF1748">
      <w:pPr>
        <w:pStyle w:val="NICEnormal"/>
      </w:pPr>
      <w:r w:rsidRPr="00CF1748">
        <w:t>We included RCTs that had at least 100 participants because of a large volume of small studies.</w:t>
      </w:r>
    </w:p>
    <w:p w14:paraId="21FBC2D0" w14:textId="77777777" w:rsidR="00B742F4" w:rsidRPr="00B61A4C" w:rsidRDefault="00B742F4" w:rsidP="00B742F4">
      <w:pPr>
        <w:pStyle w:val="Heading2"/>
      </w:pPr>
      <w:r w:rsidRPr="00B61A4C">
        <w:t>Ongoing research</w:t>
      </w:r>
    </w:p>
    <w:p w14:paraId="039B7EA2" w14:textId="77777777" w:rsidR="00CF1748" w:rsidRPr="00CF1748" w:rsidRDefault="00CF1748" w:rsidP="00CF1748">
      <w:pPr>
        <w:pStyle w:val="NICEnormal"/>
      </w:pPr>
      <w:r w:rsidRPr="00CF1748">
        <w:t>We checked for relevant ongoing research; of the ongoing studies identified, 2 studies were assessed as having the potential to change recommendations. Therefore, we plan to check the publication status regularly and evaluate the impact of the results on current recommendations as quickly as possible. These studies are:</w:t>
      </w:r>
    </w:p>
    <w:p w14:paraId="7F55CE56" w14:textId="77777777" w:rsidR="00CF1748" w:rsidRPr="00CF1748" w:rsidRDefault="00CF1748" w:rsidP="00CF1748">
      <w:pPr>
        <w:pStyle w:val="Bulletleft1"/>
      </w:pPr>
      <w:r w:rsidRPr="00CF1748">
        <w:t>Effect of Menopause Relief EP-40 in Women With Menopausal Symptoms (</w:t>
      </w:r>
      <w:hyperlink r:id="rId12" w:tooltip="Current version of study NCT03461380 on ClinicalTrials.gov" w:history="1">
        <w:r w:rsidRPr="00CF1748">
          <w:rPr>
            <w:rStyle w:val="Hyperlink"/>
          </w:rPr>
          <w:t>NCT03461380</w:t>
        </w:r>
      </w:hyperlink>
      <w:r w:rsidRPr="00CF1748">
        <w:t>)</w:t>
      </w:r>
    </w:p>
    <w:p w14:paraId="19D9B002" w14:textId="77777777" w:rsidR="00CF1748" w:rsidRPr="00CF1748" w:rsidRDefault="00CF1748" w:rsidP="00CF1748">
      <w:pPr>
        <w:pStyle w:val="Bulletleft2"/>
      </w:pPr>
      <w:r w:rsidRPr="00CF1748">
        <w:lastRenderedPageBreak/>
        <w:t>This randomised controlled trial is assessing complementary therapies, including two doses of standardised black cohosh. The guideline noted ‘there is some evidence that isoflavones or black cohosh may relieve vasomotor symptoms…’ but that ‘multiple preparations are available and their safety is uncertain, different preparations may vary and interactions with other medicines have been reported’. This ongoing study may provide further evidence in this area.</w:t>
      </w:r>
    </w:p>
    <w:p w14:paraId="4F41EC75" w14:textId="77777777" w:rsidR="00CF1748" w:rsidRPr="00CF1748" w:rsidRDefault="00CF1748" w:rsidP="00CF1748">
      <w:pPr>
        <w:pStyle w:val="Bulletleft1"/>
      </w:pPr>
      <w:r w:rsidRPr="00CF1748">
        <w:t xml:space="preserve">Can nurse delivered cognitive </w:t>
      </w:r>
      <w:proofErr w:type="spellStart"/>
      <w:r w:rsidRPr="00CF1748">
        <w:t>behavioural</w:t>
      </w:r>
      <w:proofErr w:type="spellEnd"/>
      <w:r w:rsidRPr="00CF1748">
        <w:t xml:space="preserve"> therapy reduce the impact of hot flushes and night sweats in women who have had breast cancer? (</w:t>
      </w:r>
      <w:hyperlink r:id="rId13" w:history="1">
        <w:r w:rsidRPr="00CF1748">
          <w:rPr>
            <w:rStyle w:val="Hyperlink"/>
          </w:rPr>
          <w:t>ISRCTN12824632</w:t>
        </w:r>
      </w:hyperlink>
      <w:r w:rsidRPr="00CF1748">
        <w:t>)</w:t>
      </w:r>
    </w:p>
    <w:p w14:paraId="2F191308" w14:textId="77777777" w:rsidR="00CF1748" w:rsidRPr="00CF1748" w:rsidRDefault="00CF1748" w:rsidP="00CF1748">
      <w:pPr>
        <w:pStyle w:val="Bulletleft2last"/>
      </w:pPr>
      <w:r w:rsidRPr="00CF1748">
        <w:t>This randomised controlled trial is assessing the effects of cognitive behavioural therapy on vasomotor symptoms of menopause.</w:t>
      </w:r>
    </w:p>
    <w:p w14:paraId="3E3C841C" w14:textId="77777777" w:rsidR="00C66E11" w:rsidRPr="00B61A4C" w:rsidRDefault="00C66E11" w:rsidP="00C66E11">
      <w:pPr>
        <w:pStyle w:val="Heading2"/>
      </w:pPr>
      <w:r w:rsidRPr="00B61A4C">
        <w:t>Intelligence gathered during surveillance</w:t>
      </w:r>
    </w:p>
    <w:p w14:paraId="32A4F440" w14:textId="77777777" w:rsidR="00C66E11" w:rsidRPr="00B61A4C" w:rsidRDefault="00C66E11" w:rsidP="00C66E11">
      <w:pPr>
        <w:pStyle w:val="Heading3"/>
      </w:pPr>
      <w:r w:rsidRPr="00B61A4C">
        <w:t>Views of topic experts</w:t>
      </w:r>
    </w:p>
    <w:p w14:paraId="138A6F21" w14:textId="77777777" w:rsidR="00352F66" w:rsidRPr="00352F66" w:rsidRDefault="00352F66" w:rsidP="00352F66">
      <w:pPr>
        <w:pStyle w:val="NICEnormal"/>
        <w:rPr>
          <w:lang w:val="en-GB"/>
        </w:rPr>
      </w:pPr>
      <w:bookmarkStart w:id="3" w:name="_Hlk3988848"/>
      <w:r w:rsidRPr="00352F66">
        <w:rPr>
          <w:lang w:val="en-GB"/>
        </w:rPr>
        <w:t xml:space="preserve">We considered the views of topic experts who </w:t>
      </w:r>
      <w:r w:rsidRPr="00352F66">
        <w:t xml:space="preserve">were recruited to the NICE Centre for Guidelines Expert Advisers Panel to represent their specialty. </w:t>
      </w:r>
      <w:r w:rsidRPr="00352F66">
        <w:rPr>
          <w:lang w:val="en-GB"/>
        </w:rPr>
        <w:t>For this surveillance review, topic experts completed a questionnaire about developments in evidence, policy and services related to the guideline</w:t>
      </w:r>
      <w:r w:rsidRPr="00352F66">
        <w:t>.</w:t>
      </w:r>
    </w:p>
    <w:p w14:paraId="40D5F77D" w14:textId="77777777" w:rsidR="00352F66" w:rsidRPr="00352F66" w:rsidRDefault="00352F66" w:rsidP="00352F66">
      <w:pPr>
        <w:pStyle w:val="NICEnormal"/>
      </w:pPr>
      <w:r w:rsidRPr="00352F66">
        <w:t xml:space="preserve">We sent questionnaires to 13 topic experts and received 7 responses. </w:t>
      </w:r>
      <w:bookmarkEnd w:id="3"/>
      <w:r w:rsidRPr="00352F66">
        <w:t xml:space="preserve">The topic experts who provided feedback were: GPs with a special interest in </w:t>
      </w:r>
      <w:proofErr w:type="spellStart"/>
      <w:r w:rsidRPr="00352F66">
        <w:t>gynaecology</w:t>
      </w:r>
      <w:proofErr w:type="spellEnd"/>
      <w:r w:rsidRPr="00352F66">
        <w:t xml:space="preserve"> and women’s health, nurse consultants in </w:t>
      </w:r>
      <w:proofErr w:type="spellStart"/>
      <w:r w:rsidRPr="00352F66">
        <w:t>gynaecology</w:t>
      </w:r>
      <w:proofErr w:type="spellEnd"/>
      <w:r w:rsidRPr="00352F66">
        <w:t xml:space="preserve">, consultant </w:t>
      </w:r>
      <w:proofErr w:type="spellStart"/>
      <w:r w:rsidRPr="00352F66">
        <w:t>gynaecologist</w:t>
      </w:r>
      <w:proofErr w:type="spellEnd"/>
      <w:r w:rsidRPr="00352F66">
        <w:t>, academic clinical psychologist, and a consultant medical oncologist with a special interest in breast cancer.</w:t>
      </w:r>
    </w:p>
    <w:p w14:paraId="6B846095" w14:textId="77777777" w:rsidR="00352F66" w:rsidRPr="00352F66" w:rsidRDefault="00352F66" w:rsidP="00352F66">
      <w:pPr>
        <w:pStyle w:val="NICEnormal"/>
      </w:pPr>
      <w:r w:rsidRPr="00352F66">
        <w:t xml:space="preserve">Overall, 3 topic experts thought that the guideline should be updated and 4 thought that an update was not necessary. The issues that topic experts thought could be addressed in an update were: </w:t>
      </w:r>
    </w:p>
    <w:p w14:paraId="507A1CBA" w14:textId="77777777" w:rsidR="00352F66" w:rsidRPr="00352F66" w:rsidRDefault="00352F66" w:rsidP="00352F66">
      <w:pPr>
        <w:pStyle w:val="Bulletleft1"/>
      </w:pPr>
      <w:r w:rsidRPr="00352F66">
        <w:t xml:space="preserve">Expanding on recommendations for women with breast cancer (and other hormone-dependent cancers), for example how treatments for vaginal atrophy might differ for women on tamoxifen and those on aromatase inhibitors. There is some overlap across NICE guidelines, particularly in the </w:t>
      </w:r>
      <w:r w:rsidRPr="00352F66">
        <w:lastRenderedPageBreak/>
        <w:t xml:space="preserve">guidelines on </w:t>
      </w:r>
      <w:hyperlink r:id="rId14" w:history="1">
        <w:r w:rsidRPr="00352F66">
          <w:rPr>
            <w:rStyle w:val="Hyperlink"/>
          </w:rPr>
          <w:t>early and locally advanced breast cancer</w:t>
        </w:r>
      </w:hyperlink>
      <w:r w:rsidRPr="00352F66">
        <w:t xml:space="preserve"> and </w:t>
      </w:r>
      <w:hyperlink r:id="rId15" w:history="1">
        <w:r w:rsidRPr="00352F66">
          <w:rPr>
            <w:rStyle w:val="Hyperlink"/>
          </w:rPr>
          <w:t>familial breast cancer</w:t>
        </w:r>
      </w:hyperlink>
      <w:r w:rsidRPr="00352F66">
        <w:t xml:space="preserve">. The guideline on menopause already has cross-references to the breast cancer guidelines. These guidelines have more detailed recommendations for women with or at risk of breast cancer who have treatment-related menopausal symptoms. We did not find sufficient new evidence to support an update of the menopause guideline in this area. </w:t>
      </w:r>
    </w:p>
    <w:p w14:paraId="77ACFB49" w14:textId="0221867C" w:rsidR="00352F66" w:rsidRPr="00352F66" w:rsidRDefault="00352F66" w:rsidP="00352F66">
      <w:pPr>
        <w:pStyle w:val="Bulletleft1"/>
      </w:pPr>
      <w:r w:rsidRPr="00352F66">
        <w:t>Alternative and complementary therapies were highlighted, but new evidence did not confirm a clear need to update in this area.</w:t>
      </w:r>
      <w:r w:rsidR="002B01D3">
        <w:t xml:space="preserve"> We found one ongoing study of black cohosh that may </w:t>
      </w:r>
      <w:r w:rsidR="002B01D3" w:rsidRPr="00CF1748">
        <w:t>provide further evidence in this area</w:t>
      </w:r>
      <w:r w:rsidR="002B01D3">
        <w:t>; we will regularly check for publication of results from this study.</w:t>
      </w:r>
    </w:p>
    <w:p w14:paraId="4231190E" w14:textId="27793DCF" w:rsidR="00352F66" w:rsidRPr="00352F66" w:rsidRDefault="00352F66" w:rsidP="00352F66">
      <w:pPr>
        <w:pStyle w:val="Bulletleft1"/>
      </w:pPr>
      <w:r w:rsidRPr="00352F66">
        <w:t xml:space="preserve">Psychological therapies for vasomotor symptoms and depression, but new evidence did not confirm a clear need to update in these areas. Postmenopausal women meeting criteria for </w:t>
      </w:r>
      <w:proofErr w:type="spellStart"/>
      <w:r w:rsidRPr="00352F66">
        <w:t>generalised</w:t>
      </w:r>
      <w:proofErr w:type="spellEnd"/>
      <w:r w:rsidRPr="00352F66">
        <w:t xml:space="preserve"> anxiety or depression should receive treatment according to the relevant NICE </w:t>
      </w:r>
      <w:proofErr w:type="spellStart"/>
      <w:proofErr w:type="gramStart"/>
      <w:r w:rsidRPr="00352F66">
        <w:t>guidelines.</w:t>
      </w:r>
      <w:r w:rsidR="000104B4">
        <w:t>We</w:t>
      </w:r>
      <w:proofErr w:type="spellEnd"/>
      <w:proofErr w:type="gramEnd"/>
      <w:r w:rsidR="000104B4">
        <w:t xml:space="preserve"> found an ongoing study of cognitive </w:t>
      </w:r>
      <w:proofErr w:type="spellStart"/>
      <w:r w:rsidR="000104B4">
        <w:t>behavioural</w:t>
      </w:r>
      <w:proofErr w:type="spellEnd"/>
      <w:r w:rsidR="000104B4">
        <w:t xml:space="preserve"> therapy for managing hot flushes and night sweats in women who have had breast cancer; we will regularly check for publication of results from this study.</w:t>
      </w:r>
    </w:p>
    <w:p w14:paraId="709AF989" w14:textId="77777777" w:rsidR="00352F66" w:rsidRPr="00352F66" w:rsidRDefault="00352F66" w:rsidP="00352F66">
      <w:pPr>
        <w:pStyle w:val="Bulletleft1last"/>
      </w:pPr>
      <w:r w:rsidRPr="00352F66">
        <w:t>Topic experts had conflicting views on the rate of uptake of the guideline in their local services.</w:t>
      </w:r>
    </w:p>
    <w:p w14:paraId="6CE4600D" w14:textId="77777777" w:rsidR="00585E90" w:rsidRPr="00B61A4C" w:rsidRDefault="00585E90" w:rsidP="00585E90">
      <w:pPr>
        <w:pStyle w:val="Heading3"/>
      </w:pPr>
      <w:r w:rsidRPr="00B61A4C">
        <w:t>Views of stakeholders</w:t>
      </w:r>
    </w:p>
    <w:p w14:paraId="0DC60261" w14:textId="09C80099" w:rsidR="00352F66" w:rsidRPr="00352F66" w:rsidRDefault="00352F66" w:rsidP="00352F66">
      <w:pPr>
        <w:pStyle w:val="NICEnormal"/>
      </w:pPr>
      <w:r w:rsidRPr="00352F66">
        <w:t xml:space="preserve">Stakeholders are consulted on all surveillance reviews except if the whole guideline will be updated and replaced. Because this surveillance proposal is to </w:t>
      </w:r>
      <w:r w:rsidR="009237D9">
        <w:t xml:space="preserve">not </w:t>
      </w:r>
      <w:r w:rsidRPr="00352F66">
        <w:t>update part of the guideline, we are consulting with stakeholders.</w:t>
      </w:r>
    </w:p>
    <w:p w14:paraId="005606D4" w14:textId="77777777" w:rsidR="00352F66" w:rsidRPr="00352F66" w:rsidRDefault="00352F66" w:rsidP="00352F66">
      <w:pPr>
        <w:pStyle w:val="NICEnormal"/>
      </w:pPr>
      <w:r w:rsidRPr="00352F66">
        <w:t xml:space="preserve">See </w:t>
      </w:r>
      <w:hyperlink r:id="rId16" w:history="1">
        <w:r w:rsidRPr="00352F66">
          <w:rPr>
            <w:rStyle w:val="Hyperlink"/>
          </w:rPr>
          <w:t>ensuring that published guidelines are current and accurate</w:t>
        </w:r>
      </w:hyperlink>
      <w:r w:rsidRPr="00352F66">
        <w:t xml:space="preserve"> in developing NICE guidelines: the manual for more details on our consultation processes.</w:t>
      </w:r>
    </w:p>
    <w:p w14:paraId="3A026D6B" w14:textId="77777777" w:rsidR="008739B9" w:rsidRPr="00B61A4C" w:rsidRDefault="008739B9" w:rsidP="005B4C6B">
      <w:pPr>
        <w:pStyle w:val="Heading2"/>
      </w:pPr>
      <w:r w:rsidRPr="00B61A4C">
        <w:t>Equalities</w:t>
      </w:r>
    </w:p>
    <w:p w14:paraId="0A2C756B" w14:textId="77777777" w:rsidR="008739B9" w:rsidRPr="00B61A4C" w:rsidRDefault="008739B9" w:rsidP="008739B9">
      <w:pPr>
        <w:pStyle w:val="NICEnormal"/>
        <w:rPr>
          <w:lang w:val="en-GB"/>
        </w:rPr>
      </w:pPr>
      <w:r w:rsidRPr="00B61A4C">
        <w:rPr>
          <w:lang w:val="en-GB"/>
        </w:rPr>
        <w:t>No equalities issues were identified during the surveillance process.</w:t>
      </w:r>
    </w:p>
    <w:p w14:paraId="66A151A6" w14:textId="77777777" w:rsidR="00642ECF" w:rsidRPr="00B61A4C" w:rsidRDefault="00642ECF" w:rsidP="005B4C6B">
      <w:pPr>
        <w:pStyle w:val="Heading2"/>
      </w:pPr>
      <w:r w:rsidRPr="00B61A4C">
        <w:t>Editorial amendments</w:t>
      </w:r>
    </w:p>
    <w:p w14:paraId="04839D11" w14:textId="77777777" w:rsidR="00352F66" w:rsidRPr="00352F66" w:rsidRDefault="00352F66" w:rsidP="00352F66">
      <w:pPr>
        <w:pStyle w:val="NICEnormal"/>
      </w:pPr>
      <w:r w:rsidRPr="00352F66">
        <w:t xml:space="preserve">During surveillance of the guideline we identified the following points in the guideline that should be amended. </w:t>
      </w:r>
    </w:p>
    <w:p w14:paraId="482D4D26" w14:textId="77777777" w:rsidR="00352F66" w:rsidRPr="00352F66" w:rsidRDefault="00352F66" w:rsidP="00352F66">
      <w:pPr>
        <w:pStyle w:val="NICEnormal"/>
      </w:pPr>
      <w:r w:rsidRPr="00352F66">
        <w:lastRenderedPageBreak/>
        <w:t>On the overview page the following text should be deleted:</w:t>
      </w:r>
    </w:p>
    <w:p w14:paraId="0CF57895" w14:textId="77777777" w:rsidR="00352F66" w:rsidRPr="00352F66" w:rsidRDefault="00352F66" w:rsidP="00352F66">
      <w:pPr>
        <w:pStyle w:val="NICEnormal"/>
      </w:pPr>
      <w:r w:rsidRPr="00352F66">
        <w:t xml:space="preserve">‘In </w:t>
      </w:r>
      <w:r w:rsidRPr="00352F66">
        <w:rPr>
          <w:b/>
          <w:bCs/>
        </w:rPr>
        <w:t>November 2015</w:t>
      </w:r>
      <w:r w:rsidRPr="00352F66">
        <w:t>, the Medicines and Healthcare products Regulatory Agency (MHRA) was consulting with marketing authorisation holders on amending the existing warning about the risk of ovarian cancer in the summary of product characteristics (SPC) information for hormone replacement therapy (HRT) products.’</w:t>
      </w:r>
    </w:p>
    <w:p w14:paraId="401FB46F" w14:textId="77777777" w:rsidR="00352F66" w:rsidRPr="00352F66" w:rsidRDefault="00352F66" w:rsidP="00352F66">
      <w:pPr>
        <w:pStyle w:val="NICEnormal"/>
      </w:pPr>
      <w:r w:rsidRPr="00352F66">
        <w:t xml:space="preserve">SPCs for HRT products have been updated in line with a </w:t>
      </w:r>
      <w:hyperlink r:id="rId17" w:history="1">
        <w:r w:rsidRPr="00352F66">
          <w:rPr>
            <w:rStyle w:val="Hyperlink"/>
          </w:rPr>
          <w:t>2015 European Medicines Agency recommendation</w:t>
        </w:r>
      </w:hyperlink>
      <w:r w:rsidRPr="00352F66">
        <w:t xml:space="preserve"> so this statement is now redundant.</w:t>
      </w:r>
    </w:p>
    <w:p w14:paraId="1B59EB08" w14:textId="77777777" w:rsidR="00352F66" w:rsidRPr="00352F66" w:rsidRDefault="00352F66" w:rsidP="00352F66">
      <w:pPr>
        <w:pStyle w:val="NICEnormal"/>
      </w:pPr>
      <w:r w:rsidRPr="00352F66">
        <w:t xml:space="preserve">In recommendation 1.4.25, the cross-reference to section 1.13 of the NICE guideline on </w:t>
      </w:r>
      <w:hyperlink r:id="rId18" w:tgtFrame="_top" w:history="1">
        <w:r w:rsidRPr="00352F66">
          <w:rPr>
            <w:rStyle w:val="Hyperlink"/>
          </w:rPr>
          <w:t>early and locally advanced breast cancer</w:t>
        </w:r>
      </w:hyperlink>
      <w:r w:rsidRPr="00352F66">
        <w:t xml:space="preserve"> should be amended because that guideline has been updated and the cross-reference is now out of date. The hyperlink should also be updated from the previous guideline so that users go directly to the updated guideline.</w:t>
      </w:r>
    </w:p>
    <w:p w14:paraId="499EBFDF" w14:textId="77777777" w:rsidR="00642ECF" w:rsidRPr="00B61A4C" w:rsidRDefault="00642ECF" w:rsidP="00642ECF">
      <w:pPr>
        <w:pStyle w:val="Heading2"/>
      </w:pPr>
      <w:r w:rsidRPr="00B61A4C">
        <w:t>Overall decision</w:t>
      </w:r>
    </w:p>
    <w:p w14:paraId="6A339ABC" w14:textId="5484729D" w:rsidR="00E926D7" w:rsidRPr="00B61A4C" w:rsidRDefault="00642ECF" w:rsidP="00DF7DB1">
      <w:pPr>
        <w:pStyle w:val="NICEnormal"/>
        <w:rPr>
          <w:lang w:val="en-GB"/>
        </w:rPr>
      </w:pPr>
      <w:r w:rsidRPr="00B61A4C">
        <w:rPr>
          <w:lang w:val="en-GB"/>
        </w:rPr>
        <w:t xml:space="preserve">After considering all evidence and other intelligence and the impact on current recommendations, we </w:t>
      </w:r>
      <w:r w:rsidR="00352F66">
        <w:rPr>
          <w:lang w:val="en-GB"/>
        </w:rPr>
        <w:t>propose</w:t>
      </w:r>
      <w:r w:rsidRPr="00B61A4C">
        <w:rPr>
          <w:lang w:val="en-GB"/>
        </w:rPr>
        <w:t xml:space="preserve"> that </w:t>
      </w:r>
      <w:r w:rsidR="00352F66">
        <w:rPr>
          <w:lang w:val="en-GB"/>
        </w:rPr>
        <w:t>no update</w:t>
      </w:r>
      <w:r w:rsidRPr="00B61A4C">
        <w:rPr>
          <w:lang w:val="en-GB"/>
        </w:rPr>
        <w:t xml:space="preserve"> is necessary.</w:t>
      </w:r>
    </w:p>
    <w:sectPr w:rsidR="00E926D7" w:rsidRPr="00B61A4C" w:rsidSect="009C6F32">
      <w:footerReference w:type="default" r:id="rId19"/>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6CF89" w14:textId="77777777" w:rsidR="00A80FBD" w:rsidRDefault="00A80FBD">
      <w:r>
        <w:separator/>
      </w:r>
    </w:p>
    <w:p w14:paraId="6B249462" w14:textId="77777777" w:rsidR="00A80FBD" w:rsidRDefault="00A80FBD"/>
    <w:p w14:paraId="755D56BB" w14:textId="77777777" w:rsidR="00A80FBD" w:rsidRDefault="00A80FBD"/>
    <w:p w14:paraId="18D529C4" w14:textId="77777777" w:rsidR="00A80FBD" w:rsidRDefault="00A80FBD"/>
  </w:endnote>
  <w:endnote w:type="continuationSeparator" w:id="0">
    <w:p w14:paraId="2CE329B7" w14:textId="77777777" w:rsidR="00A80FBD" w:rsidRDefault="00A80FBD">
      <w:r>
        <w:continuationSeparator/>
      </w:r>
    </w:p>
    <w:p w14:paraId="21C40ACE" w14:textId="77777777" w:rsidR="00A80FBD" w:rsidRDefault="00A80FBD"/>
    <w:p w14:paraId="78DF3296" w14:textId="77777777" w:rsidR="00A80FBD" w:rsidRDefault="00A80FBD"/>
    <w:p w14:paraId="25A495B6" w14:textId="77777777" w:rsidR="00A80FBD" w:rsidRDefault="00A80F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ato">
    <w:altName w:val="Segoe UI"/>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072E3" w14:textId="7D4DC886" w:rsidR="00D0524E" w:rsidRPr="0046194E" w:rsidRDefault="00352F66" w:rsidP="0046194E">
    <w:pPr>
      <w:pStyle w:val="Footer"/>
    </w:pPr>
    <w:r>
      <w:t>Consultation version of s</w:t>
    </w:r>
    <w:r w:rsidR="00D0524E" w:rsidRPr="008E5C71">
      <w:t xml:space="preserve">urveillance report </w:t>
    </w:r>
    <w:r>
      <w:t>August 2019</w:t>
    </w:r>
    <w:r w:rsidR="00D0524E">
      <w:t xml:space="preserve"> </w:t>
    </w:r>
    <w:r w:rsidR="00D0524E">
      <w:rPr>
        <w:rFonts w:cs="Arial"/>
      </w:rPr>
      <w:t xml:space="preserve">– </w:t>
    </w:r>
    <w:r>
      <w:t>Menopause</w:t>
    </w:r>
    <w:r w:rsidR="00D0524E" w:rsidRPr="008E5C71">
      <w:t xml:space="preserve"> </w:t>
    </w:r>
    <w:r w:rsidR="00D0524E">
      <w:tab/>
    </w:r>
    <w:r w:rsidR="00D0524E" w:rsidRPr="008E5C71">
      <w:rPr>
        <w:rFonts w:cs="Arial"/>
        <w:lang w:val="en-GB"/>
      </w:rPr>
      <w:fldChar w:fldCharType="begin"/>
    </w:r>
    <w:r w:rsidR="00D0524E" w:rsidRPr="00081C9E">
      <w:rPr>
        <w:rFonts w:cs="Arial"/>
        <w:lang w:val="en-GB"/>
      </w:rPr>
      <w:instrText xml:space="preserve"> PAGE   \* MERGEFORMAT </w:instrText>
    </w:r>
    <w:r w:rsidR="00D0524E" w:rsidRPr="008E5C71">
      <w:rPr>
        <w:rFonts w:cs="Arial"/>
        <w:lang w:val="en-GB"/>
      </w:rPr>
      <w:fldChar w:fldCharType="separate"/>
    </w:r>
    <w:r w:rsidR="00D0524E">
      <w:rPr>
        <w:rFonts w:cs="Arial"/>
      </w:rPr>
      <w:t>1</w:t>
    </w:r>
    <w:r w:rsidR="00D0524E" w:rsidRPr="008E5C71">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0A7FD" w14:textId="77777777" w:rsidR="00A80FBD" w:rsidRDefault="00A80FBD">
      <w:r>
        <w:separator/>
      </w:r>
    </w:p>
  </w:footnote>
  <w:footnote w:type="continuationSeparator" w:id="0">
    <w:p w14:paraId="6E1EFD75" w14:textId="77777777" w:rsidR="00A80FBD" w:rsidRDefault="00A80FBD">
      <w:r>
        <w:continuationSeparator/>
      </w:r>
    </w:p>
    <w:p w14:paraId="35EE6BF0" w14:textId="77777777" w:rsidR="00A80FBD" w:rsidRDefault="00A80FBD"/>
    <w:p w14:paraId="16AFA889" w14:textId="77777777" w:rsidR="00A80FBD" w:rsidRDefault="00A80FBD"/>
    <w:p w14:paraId="6BE15B25" w14:textId="77777777" w:rsidR="00A80FBD" w:rsidRDefault="00A80F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218F8"/>
    <w:multiLevelType w:val="multilevel"/>
    <w:tmpl w:val="5B1A6A94"/>
    <w:styleLink w:val="Survbullets"/>
    <w:lvl w:ilvl="0">
      <w:start w:val="1"/>
      <w:numFmt w:val="bullet"/>
      <w:lvlText w:val="•"/>
      <w:lvlJc w:val="left"/>
      <w:pPr>
        <w:ind w:left="851" w:hanging="567"/>
      </w:pPr>
      <w:rPr>
        <w:rFonts w:ascii="Lato" w:hAnsi="Lato" w:hint="default"/>
      </w:rPr>
    </w:lvl>
    <w:lvl w:ilvl="1">
      <w:start w:val="1"/>
      <w:numFmt w:val="bullet"/>
      <w:lvlText w:val="–"/>
      <w:lvlJc w:val="left"/>
      <w:pPr>
        <w:ind w:left="1418" w:hanging="567"/>
      </w:pPr>
      <w:rPr>
        <w:rFonts w:ascii="Lato" w:hAnsi="Lato" w:hint="default"/>
      </w:rPr>
    </w:lvl>
    <w:lvl w:ilvl="2">
      <w:start w:val="1"/>
      <w:numFmt w:val="bullet"/>
      <w:lvlText w:val="◊"/>
      <w:lvlJc w:val="left"/>
      <w:pPr>
        <w:ind w:left="1985" w:hanging="567"/>
      </w:pPr>
      <w:rPr>
        <w:rFonts w:ascii="Lato" w:hAnsi="Lato" w:hint="default"/>
        <w:color w:val="auto"/>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31C0122A"/>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0D6C1F60"/>
    <w:multiLevelType w:val="multilevel"/>
    <w:tmpl w:val="5B1A6A94"/>
    <w:numStyleLink w:val="Survbullets"/>
  </w:abstractNum>
  <w:abstractNum w:abstractNumId="4" w15:restartNumberingAfterBreak="0">
    <w:nsid w:val="10232F62"/>
    <w:multiLevelType w:val="multilevel"/>
    <w:tmpl w:val="227EBBAE"/>
    <w:styleLink w:val="Bodybullet"/>
    <w:lvl w:ilvl="0">
      <w:start w:val="1"/>
      <w:numFmt w:val="bullet"/>
      <w:pStyle w:val="Tablebullet1"/>
      <w:lvlText w:val="●"/>
      <w:lvlJc w:val="left"/>
      <w:pPr>
        <w:tabs>
          <w:tab w:val="num" w:pos="284"/>
        </w:tabs>
        <w:ind w:left="567" w:hanging="283"/>
      </w:pPr>
      <w:rPr>
        <w:rFonts w:ascii="Lato" w:hAnsi="Lato" w:hint="default"/>
        <w:color w:val="auto"/>
      </w:rPr>
    </w:lvl>
    <w:lvl w:ilvl="1">
      <w:start w:val="1"/>
      <w:numFmt w:val="bullet"/>
      <w:pStyle w:val="Bullet2"/>
      <w:lvlText w:val="–"/>
      <w:lvlJc w:val="left"/>
      <w:pPr>
        <w:tabs>
          <w:tab w:val="num" w:pos="568"/>
        </w:tabs>
        <w:ind w:left="851" w:hanging="283"/>
      </w:pPr>
      <w:rPr>
        <w:rFonts w:ascii="Lato" w:hAnsi="Lato" w:hint="default"/>
      </w:rPr>
    </w:lvl>
    <w:lvl w:ilvl="2">
      <w:start w:val="1"/>
      <w:numFmt w:val="bullet"/>
      <w:pStyle w:val="Bullet3"/>
      <w:lvlText w:val="◊"/>
      <w:lvlJc w:val="left"/>
      <w:pPr>
        <w:tabs>
          <w:tab w:val="num" w:pos="852"/>
        </w:tabs>
        <w:ind w:left="1135" w:hanging="283"/>
      </w:pPr>
      <w:rPr>
        <w:rFonts w:ascii="Lato" w:hAnsi="Lato" w:hint="default"/>
        <w:color w:val="auto"/>
      </w:rPr>
    </w:lvl>
    <w:lvl w:ilvl="3">
      <w:start w:val="1"/>
      <w:numFmt w:val="decimal"/>
      <w:lvlText w:val="(%4)"/>
      <w:lvlJc w:val="left"/>
      <w:pPr>
        <w:tabs>
          <w:tab w:val="num" w:pos="1136"/>
        </w:tabs>
        <w:ind w:left="1419" w:hanging="283"/>
      </w:pPr>
      <w:rPr>
        <w:rFonts w:hint="default"/>
      </w:rPr>
    </w:lvl>
    <w:lvl w:ilvl="4">
      <w:start w:val="1"/>
      <w:numFmt w:val="lowerLetter"/>
      <w:lvlText w:val="(%5)"/>
      <w:lvlJc w:val="left"/>
      <w:pPr>
        <w:tabs>
          <w:tab w:val="num" w:pos="1420"/>
        </w:tabs>
        <w:ind w:left="1703" w:hanging="283"/>
      </w:pPr>
      <w:rPr>
        <w:rFonts w:hint="default"/>
      </w:rPr>
    </w:lvl>
    <w:lvl w:ilvl="5">
      <w:start w:val="1"/>
      <w:numFmt w:val="lowerRoman"/>
      <w:lvlText w:val="(%6)"/>
      <w:lvlJc w:val="left"/>
      <w:pPr>
        <w:tabs>
          <w:tab w:val="num" w:pos="1704"/>
        </w:tabs>
        <w:ind w:left="1987" w:hanging="283"/>
      </w:pPr>
      <w:rPr>
        <w:rFonts w:hint="default"/>
      </w:rPr>
    </w:lvl>
    <w:lvl w:ilvl="6">
      <w:start w:val="1"/>
      <w:numFmt w:val="decimal"/>
      <w:lvlText w:val="%7."/>
      <w:lvlJc w:val="left"/>
      <w:pPr>
        <w:tabs>
          <w:tab w:val="num" w:pos="1988"/>
        </w:tabs>
        <w:ind w:left="2271" w:hanging="283"/>
      </w:pPr>
      <w:rPr>
        <w:rFonts w:hint="default"/>
      </w:rPr>
    </w:lvl>
    <w:lvl w:ilvl="7">
      <w:start w:val="1"/>
      <w:numFmt w:val="lowerLetter"/>
      <w:lvlText w:val="%8."/>
      <w:lvlJc w:val="left"/>
      <w:pPr>
        <w:tabs>
          <w:tab w:val="num" w:pos="2272"/>
        </w:tabs>
        <w:ind w:left="2555" w:hanging="283"/>
      </w:pPr>
      <w:rPr>
        <w:rFonts w:hint="default"/>
      </w:rPr>
    </w:lvl>
    <w:lvl w:ilvl="8">
      <w:start w:val="1"/>
      <w:numFmt w:val="lowerRoman"/>
      <w:lvlText w:val="%9."/>
      <w:lvlJc w:val="left"/>
      <w:pPr>
        <w:tabs>
          <w:tab w:val="num" w:pos="2556"/>
        </w:tabs>
        <w:ind w:left="2839" w:hanging="283"/>
      </w:pPr>
      <w:rPr>
        <w:rFonts w:hint="default"/>
      </w:rPr>
    </w:lvl>
  </w:abstractNum>
  <w:abstractNum w:abstractNumId="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82154F"/>
    <w:multiLevelType w:val="hybridMultilevel"/>
    <w:tmpl w:val="7C58E3B2"/>
    <w:lvl w:ilvl="0" w:tplc="6B96DAE0">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EC407C9"/>
    <w:multiLevelType w:val="multilevel"/>
    <w:tmpl w:val="2898A0B4"/>
    <w:lvl w:ilvl="0">
      <w:start w:val="1"/>
      <w:numFmt w:val="bullet"/>
      <w:pStyle w:val="Indentedbullet1"/>
      <w:lvlText w:val="●"/>
      <w:lvlJc w:val="left"/>
      <w:pPr>
        <w:tabs>
          <w:tab w:val="num" w:pos="1986"/>
        </w:tabs>
        <w:ind w:left="2269" w:hanging="283"/>
      </w:pPr>
      <w:rPr>
        <w:rFonts w:ascii="Lato" w:hAnsi="Lato" w:hint="default"/>
        <w:color w:val="auto"/>
      </w:rPr>
    </w:lvl>
    <w:lvl w:ilvl="1">
      <w:start w:val="1"/>
      <w:numFmt w:val="bullet"/>
      <w:pStyle w:val="Indentedbullet2"/>
      <w:lvlText w:val="–"/>
      <w:lvlJc w:val="left"/>
      <w:pPr>
        <w:tabs>
          <w:tab w:val="num" w:pos="2326"/>
        </w:tabs>
        <w:ind w:left="2553" w:hanging="283"/>
      </w:pPr>
      <w:rPr>
        <w:rFonts w:ascii="Lato" w:hAnsi="Lato" w:hint="default"/>
      </w:rPr>
    </w:lvl>
    <w:lvl w:ilvl="2">
      <w:start w:val="1"/>
      <w:numFmt w:val="bullet"/>
      <w:pStyle w:val="Indentedbullet3"/>
      <w:lvlText w:val="◊"/>
      <w:lvlJc w:val="left"/>
      <w:pPr>
        <w:tabs>
          <w:tab w:val="num" w:pos="2552"/>
        </w:tabs>
        <w:ind w:left="2837" w:hanging="283"/>
      </w:pPr>
      <w:rPr>
        <w:rFonts w:ascii="Lato" w:hAnsi="Lato" w:hint="default"/>
        <w:color w:val="auto"/>
      </w:rPr>
    </w:lvl>
    <w:lvl w:ilvl="3">
      <w:start w:val="1"/>
      <w:numFmt w:val="decimal"/>
      <w:lvlText w:val="(%4)"/>
      <w:lvlJc w:val="left"/>
      <w:pPr>
        <w:tabs>
          <w:tab w:val="num" w:pos="2894"/>
        </w:tabs>
        <w:ind w:left="3121" w:hanging="283"/>
      </w:pPr>
      <w:rPr>
        <w:rFonts w:hint="default"/>
      </w:rPr>
    </w:lvl>
    <w:lvl w:ilvl="4">
      <w:start w:val="1"/>
      <w:numFmt w:val="lowerLetter"/>
      <w:lvlText w:val="(%5)"/>
      <w:lvlJc w:val="left"/>
      <w:pPr>
        <w:tabs>
          <w:tab w:val="num" w:pos="3178"/>
        </w:tabs>
        <w:ind w:left="3405" w:hanging="283"/>
      </w:pPr>
      <w:rPr>
        <w:rFonts w:hint="default"/>
      </w:rPr>
    </w:lvl>
    <w:lvl w:ilvl="5">
      <w:start w:val="1"/>
      <w:numFmt w:val="lowerRoman"/>
      <w:lvlText w:val="(%6)"/>
      <w:lvlJc w:val="left"/>
      <w:pPr>
        <w:tabs>
          <w:tab w:val="num" w:pos="3462"/>
        </w:tabs>
        <w:ind w:left="3689" w:hanging="283"/>
      </w:pPr>
      <w:rPr>
        <w:rFonts w:hint="default"/>
      </w:rPr>
    </w:lvl>
    <w:lvl w:ilvl="6">
      <w:start w:val="1"/>
      <w:numFmt w:val="decimal"/>
      <w:lvlText w:val="%7."/>
      <w:lvlJc w:val="left"/>
      <w:pPr>
        <w:tabs>
          <w:tab w:val="num" w:pos="3746"/>
        </w:tabs>
        <w:ind w:left="3973" w:hanging="283"/>
      </w:pPr>
      <w:rPr>
        <w:rFonts w:hint="default"/>
      </w:rPr>
    </w:lvl>
    <w:lvl w:ilvl="7">
      <w:start w:val="1"/>
      <w:numFmt w:val="lowerLetter"/>
      <w:lvlText w:val="%8."/>
      <w:lvlJc w:val="left"/>
      <w:pPr>
        <w:tabs>
          <w:tab w:val="num" w:pos="4030"/>
        </w:tabs>
        <w:ind w:left="4257" w:hanging="283"/>
      </w:pPr>
      <w:rPr>
        <w:rFonts w:hint="default"/>
      </w:rPr>
    </w:lvl>
    <w:lvl w:ilvl="8">
      <w:start w:val="1"/>
      <w:numFmt w:val="lowerRoman"/>
      <w:lvlText w:val="%9."/>
      <w:lvlJc w:val="left"/>
      <w:pPr>
        <w:tabs>
          <w:tab w:val="num" w:pos="4314"/>
        </w:tabs>
        <w:ind w:left="4541" w:hanging="283"/>
      </w:pPr>
      <w:rPr>
        <w:rFonts w:hint="default"/>
      </w:rPr>
    </w:lvl>
  </w:abstractNum>
  <w:abstractNum w:abstractNumId="9"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7F707D"/>
    <w:multiLevelType w:val="hybridMultilevel"/>
    <w:tmpl w:val="B01CC2F0"/>
    <w:lvl w:ilvl="0" w:tplc="E2649A9E">
      <w:start w:val="1"/>
      <w:numFmt w:val="upperLetter"/>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9CC3584"/>
    <w:multiLevelType w:val="multilevel"/>
    <w:tmpl w:val="721069A2"/>
    <w:name w:val="numberedheadings"/>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2"/>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2A15143D"/>
    <w:multiLevelType w:val="multilevel"/>
    <w:tmpl w:val="AB008A40"/>
    <w:lvl w:ilvl="0">
      <w:start w:val="1"/>
      <w:numFmt w:val="bullet"/>
      <w:lvlText w:val=""/>
      <w:lvlJc w:val="left"/>
      <w:pPr>
        <w:tabs>
          <w:tab w:val="num" w:pos="-567"/>
        </w:tabs>
        <w:ind w:left="283" w:hanging="283"/>
      </w:pPr>
      <w:rPr>
        <w:rFonts w:ascii="Symbol" w:hAnsi="Symbol" w:hint="default"/>
        <w:color w:val="auto"/>
      </w:rPr>
    </w:lvl>
    <w:lvl w:ilvl="1">
      <w:start w:val="1"/>
      <w:numFmt w:val="bullet"/>
      <w:lvlText w:val=""/>
      <w:lvlJc w:val="left"/>
      <w:pPr>
        <w:tabs>
          <w:tab w:val="num" w:pos="-283"/>
        </w:tabs>
        <w:ind w:left="567" w:hanging="283"/>
      </w:pPr>
      <w:rPr>
        <w:rFonts w:ascii="Symbol" w:hAnsi="Symbol" w:hint="default"/>
      </w:rPr>
    </w:lvl>
    <w:lvl w:ilvl="2">
      <w:start w:val="1"/>
      <w:numFmt w:val="bullet"/>
      <w:lvlText w:val=""/>
      <w:lvlJc w:val="left"/>
      <w:pPr>
        <w:tabs>
          <w:tab w:val="num" w:pos="1"/>
        </w:tabs>
        <w:ind w:left="850" w:hanging="282"/>
      </w:pPr>
      <w:rPr>
        <w:rFonts w:ascii="Symbol" w:hAnsi="Symbol" w:hint="default"/>
        <w:color w:val="auto"/>
      </w:rPr>
    </w:lvl>
    <w:lvl w:ilvl="3">
      <w:start w:val="1"/>
      <w:numFmt w:val="decimal"/>
      <w:lvlText w:val="(%4)"/>
      <w:lvlJc w:val="left"/>
      <w:pPr>
        <w:tabs>
          <w:tab w:val="num" w:pos="285"/>
        </w:tabs>
        <w:ind w:left="285" w:firstLine="567"/>
      </w:pPr>
      <w:rPr>
        <w:rFonts w:hint="default"/>
      </w:rPr>
    </w:lvl>
    <w:lvl w:ilvl="4">
      <w:start w:val="1"/>
      <w:numFmt w:val="lowerLetter"/>
      <w:lvlText w:val="(%5)"/>
      <w:lvlJc w:val="left"/>
      <w:pPr>
        <w:tabs>
          <w:tab w:val="num" w:pos="569"/>
        </w:tabs>
        <w:ind w:left="569" w:firstLine="567"/>
      </w:pPr>
      <w:rPr>
        <w:rFonts w:hint="default"/>
      </w:rPr>
    </w:lvl>
    <w:lvl w:ilvl="5">
      <w:start w:val="1"/>
      <w:numFmt w:val="lowerRoman"/>
      <w:lvlText w:val="(%6)"/>
      <w:lvlJc w:val="left"/>
      <w:pPr>
        <w:tabs>
          <w:tab w:val="num" w:pos="853"/>
        </w:tabs>
        <w:ind w:left="853" w:firstLine="567"/>
      </w:pPr>
      <w:rPr>
        <w:rFonts w:hint="default"/>
      </w:rPr>
    </w:lvl>
    <w:lvl w:ilvl="6">
      <w:start w:val="1"/>
      <w:numFmt w:val="decimal"/>
      <w:lvlText w:val="%7."/>
      <w:lvlJc w:val="left"/>
      <w:pPr>
        <w:tabs>
          <w:tab w:val="num" w:pos="1137"/>
        </w:tabs>
        <w:ind w:left="1137" w:firstLine="567"/>
      </w:pPr>
      <w:rPr>
        <w:rFonts w:hint="default"/>
      </w:rPr>
    </w:lvl>
    <w:lvl w:ilvl="7">
      <w:start w:val="1"/>
      <w:numFmt w:val="lowerLetter"/>
      <w:lvlText w:val="%8."/>
      <w:lvlJc w:val="left"/>
      <w:pPr>
        <w:tabs>
          <w:tab w:val="num" w:pos="1421"/>
        </w:tabs>
        <w:ind w:left="1421" w:firstLine="567"/>
      </w:pPr>
      <w:rPr>
        <w:rFonts w:hint="default"/>
      </w:rPr>
    </w:lvl>
    <w:lvl w:ilvl="8">
      <w:start w:val="1"/>
      <w:numFmt w:val="lowerRoman"/>
      <w:lvlText w:val="%9."/>
      <w:lvlJc w:val="left"/>
      <w:pPr>
        <w:tabs>
          <w:tab w:val="num" w:pos="1705"/>
        </w:tabs>
        <w:ind w:left="1705" w:firstLine="567"/>
      </w:pPr>
      <w:rPr>
        <w:rFonts w:hint="default"/>
      </w:rPr>
    </w:lvl>
  </w:abstractNum>
  <w:abstractNum w:abstractNumId="13" w15:restartNumberingAfterBreak="0">
    <w:nsid w:val="357175EC"/>
    <w:multiLevelType w:val="multilevel"/>
    <w:tmpl w:val="227EBBAE"/>
    <w:numStyleLink w:val="Bodybullet"/>
  </w:abstractNum>
  <w:abstractNum w:abstractNumId="14"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5"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6" w15:restartNumberingAfterBreak="0">
    <w:nsid w:val="4ABD783C"/>
    <w:multiLevelType w:val="hybridMultilevel"/>
    <w:tmpl w:val="23A0264C"/>
    <w:lvl w:ilvl="0" w:tplc="DE0CF6EA">
      <w:start w:val="1"/>
      <w:numFmt w:val="upperRoman"/>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D8520C3"/>
    <w:multiLevelType w:val="hybridMultilevel"/>
    <w:tmpl w:val="9DA095F0"/>
    <w:lvl w:ilvl="0" w:tplc="6DD2B072">
      <w:start w:val="1"/>
      <w:numFmt w:val="decimalZero"/>
      <w:lvlText w:val="NQ - %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8" w15:restartNumberingAfterBreak="0">
    <w:nsid w:val="4D992738"/>
    <w:multiLevelType w:val="hybridMultilevel"/>
    <w:tmpl w:val="9104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86628E"/>
    <w:multiLevelType w:val="hybridMultilevel"/>
    <w:tmpl w:val="A15CD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2C286BF4">
      <w:start w:val="1"/>
      <w:numFmt w:val="bullet"/>
      <w:pStyle w:val="Instructions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88F36E6"/>
    <w:multiLevelType w:val="hybridMultilevel"/>
    <w:tmpl w:val="14320908"/>
    <w:lvl w:ilvl="0" w:tplc="4EEC47A6">
      <w:start w:val="1"/>
      <w:numFmt w:val="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3" w15:restartNumberingAfterBreak="0">
    <w:nsid w:val="6D73361B"/>
    <w:multiLevelType w:val="multilevel"/>
    <w:tmpl w:val="227EBBAE"/>
    <w:numStyleLink w:val="Bodybullet"/>
  </w:abstractNum>
  <w:abstractNum w:abstractNumId="24"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22"/>
  </w:num>
  <w:num w:numId="3">
    <w:abstractNumId w:val="14"/>
  </w:num>
  <w:num w:numId="4">
    <w:abstractNumId w:val="15"/>
  </w:num>
  <w:num w:numId="5">
    <w:abstractNumId w:val="1"/>
  </w:num>
  <w:num w:numId="6">
    <w:abstractNumId w:val="5"/>
  </w:num>
  <w:num w:numId="7">
    <w:abstractNumId w:val="11"/>
  </w:num>
  <w:num w:numId="8">
    <w:abstractNumId w:val="6"/>
  </w:num>
  <w:num w:numId="9">
    <w:abstractNumId w:val="9"/>
  </w:num>
  <w:num w:numId="10">
    <w:abstractNumId w:val="10"/>
  </w:num>
  <w:num w:numId="11">
    <w:abstractNumId w:val="16"/>
  </w:num>
  <w:num w:numId="12">
    <w:abstractNumId w:val="21"/>
  </w:num>
  <w:num w:numId="13">
    <w:abstractNumId w:val="7"/>
  </w:num>
  <w:num w:numId="14">
    <w:abstractNumId w:val="18"/>
  </w:num>
  <w:num w:numId="15">
    <w:abstractNumId w:val="17"/>
  </w:num>
  <w:num w:numId="16">
    <w:abstractNumId w:val="12"/>
  </w:num>
  <w:num w:numId="17">
    <w:abstractNumId w:val="0"/>
  </w:num>
  <w:num w:numId="18">
    <w:abstractNumId w:val="3"/>
  </w:num>
  <w:num w:numId="19">
    <w:abstractNumId w:val="8"/>
  </w:num>
  <w:num w:numId="20">
    <w:abstractNumId w:val="4"/>
  </w:num>
  <w:num w:numId="21">
    <w:abstractNumId w:val="13"/>
  </w:num>
  <w:num w:numId="22">
    <w:abstractNumId w:val="23"/>
  </w:num>
  <w:num w:numId="23">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748"/>
    <w:rsid w:val="000104B4"/>
    <w:rsid w:val="0001140D"/>
    <w:rsid w:val="000119FB"/>
    <w:rsid w:val="00012C7A"/>
    <w:rsid w:val="0001744D"/>
    <w:rsid w:val="0002799A"/>
    <w:rsid w:val="00031FB0"/>
    <w:rsid w:val="000430F0"/>
    <w:rsid w:val="00045E43"/>
    <w:rsid w:val="0005158A"/>
    <w:rsid w:val="00055B6C"/>
    <w:rsid w:val="00056644"/>
    <w:rsid w:val="00056E92"/>
    <w:rsid w:val="00080F8C"/>
    <w:rsid w:val="00080FAA"/>
    <w:rsid w:val="00081C9E"/>
    <w:rsid w:val="00092727"/>
    <w:rsid w:val="00092F0A"/>
    <w:rsid w:val="00094936"/>
    <w:rsid w:val="00097682"/>
    <w:rsid w:val="000D5F02"/>
    <w:rsid w:val="000E6640"/>
    <w:rsid w:val="000F3475"/>
    <w:rsid w:val="000F6F70"/>
    <w:rsid w:val="00101F34"/>
    <w:rsid w:val="00105238"/>
    <w:rsid w:val="00114DDA"/>
    <w:rsid w:val="00135CC1"/>
    <w:rsid w:val="00146436"/>
    <w:rsid w:val="001535E6"/>
    <w:rsid w:val="00161AA0"/>
    <w:rsid w:val="00164874"/>
    <w:rsid w:val="00165C3C"/>
    <w:rsid w:val="001661E3"/>
    <w:rsid w:val="00167EF8"/>
    <w:rsid w:val="0017053F"/>
    <w:rsid w:val="001724CB"/>
    <w:rsid w:val="00181362"/>
    <w:rsid w:val="00181DBE"/>
    <w:rsid w:val="001840E8"/>
    <w:rsid w:val="0019239A"/>
    <w:rsid w:val="001956FC"/>
    <w:rsid w:val="001B77E0"/>
    <w:rsid w:val="001D1484"/>
    <w:rsid w:val="001D658C"/>
    <w:rsid w:val="001E1ED1"/>
    <w:rsid w:val="001E4249"/>
    <w:rsid w:val="001E7C68"/>
    <w:rsid w:val="001F0F85"/>
    <w:rsid w:val="001F65FF"/>
    <w:rsid w:val="002079C4"/>
    <w:rsid w:val="00211FFF"/>
    <w:rsid w:val="00214DCA"/>
    <w:rsid w:val="0023483B"/>
    <w:rsid w:val="00235CAB"/>
    <w:rsid w:val="00236F03"/>
    <w:rsid w:val="0024130E"/>
    <w:rsid w:val="002447B5"/>
    <w:rsid w:val="00246FBB"/>
    <w:rsid w:val="00251979"/>
    <w:rsid w:val="00255FA2"/>
    <w:rsid w:val="00270B6C"/>
    <w:rsid w:val="00285132"/>
    <w:rsid w:val="0029106D"/>
    <w:rsid w:val="002973AB"/>
    <w:rsid w:val="002A20B3"/>
    <w:rsid w:val="002B01D3"/>
    <w:rsid w:val="002E56A2"/>
    <w:rsid w:val="003007CB"/>
    <w:rsid w:val="003070F7"/>
    <w:rsid w:val="00314C7D"/>
    <w:rsid w:val="0031664C"/>
    <w:rsid w:val="0032291B"/>
    <w:rsid w:val="003271D2"/>
    <w:rsid w:val="0033010D"/>
    <w:rsid w:val="003330E6"/>
    <w:rsid w:val="003338F6"/>
    <w:rsid w:val="00344446"/>
    <w:rsid w:val="00352F66"/>
    <w:rsid w:val="0035457E"/>
    <w:rsid w:val="00361E91"/>
    <w:rsid w:val="00362ECD"/>
    <w:rsid w:val="0037387C"/>
    <w:rsid w:val="0038275C"/>
    <w:rsid w:val="003A72CF"/>
    <w:rsid w:val="003B4518"/>
    <w:rsid w:val="003B5924"/>
    <w:rsid w:val="003B64A5"/>
    <w:rsid w:val="003C0ED0"/>
    <w:rsid w:val="003C2BB2"/>
    <w:rsid w:val="003C36AC"/>
    <w:rsid w:val="003D34F7"/>
    <w:rsid w:val="003D38AB"/>
    <w:rsid w:val="003E7808"/>
    <w:rsid w:val="003F034A"/>
    <w:rsid w:val="003F49DF"/>
    <w:rsid w:val="004029F2"/>
    <w:rsid w:val="00402AF5"/>
    <w:rsid w:val="00421160"/>
    <w:rsid w:val="00424C68"/>
    <w:rsid w:val="00436A91"/>
    <w:rsid w:val="00437C53"/>
    <w:rsid w:val="00442F40"/>
    <w:rsid w:val="00455120"/>
    <w:rsid w:val="0046194E"/>
    <w:rsid w:val="004816E5"/>
    <w:rsid w:val="004820E9"/>
    <w:rsid w:val="0048361F"/>
    <w:rsid w:val="00487261"/>
    <w:rsid w:val="00491631"/>
    <w:rsid w:val="004A67F9"/>
    <w:rsid w:val="004B42D8"/>
    <w:rsid w:val="004B514C"/>
    <w:rsid w:val="004B632E"/>
    <w:rsid w:val="004D22FA"/>
    <w:rsid w:val="004D2898"/>
    <w:rsid w:val="004E072D"/>
    <w:rsid w:val="004E67E2"/>
    <w:rsid w:val="004E712D"/>
    <w:rsid w:val="004F253D"/>
    <w:rsid w:val="00503D0F"/>
    <w:rsid w:val="00513350"/>
    <w:rsid w:val="00514448"/>
    <w:rsid w:val="0051700B"/>
    <w:rsid w:val="00526C07"/>
    <w:rsid w:val="00530407"/>
    <w:rsid w:val="00531881"/>
    <w:rsid w:val="00532CDC"/>
    <w:rsid w:val="005332E5"/>
    <w:rsid w:val="0053387C"/>
    <w:rsid w:val="0053480F"/>
    <w:rsid w:val="00536AA2"/>
    <w:rsid w:val="00571660"/>
    <w:rsid w:val="00571BE3"/>
    <w:rsid w:val="005754D7"/>
    <w:rsid w:val="0057559A"/>
    <w:rsid w:val="00585E90"/>
    <w:rsid w:val="00587BE2"/>
    <w:rsid w:val="0059471B"/>
    <w:rsid w:val="005A069A"/>
    <w:rsid w:val="005A68C6"/>
    <w:rsid w:val="005A6E91"/>
    <w:rsid w:val="005A73AD"/>
    <w:rsid w:val="005B0B4D"/>
    <w:rsid w:val="005B41FC"/>
    <w:rsid w:val="005B4C6B"/>
    <w:rsid w:val="005C051F"/>
    <w:rsid w:val="005C7481"/>
    <w:rsid w:val="005C762E"/>
    <w:rsid w:val="005D098C"/>
    <w:rsid w:val="005D77EB"/>
    <w:rsid w:val="005D7CEB"/>
    <w:rsid w:val="005E3570"/>
    <w:rsid w:val="005E432E"/>
    <w:rsid w:val="005E5D48"/>
    <w:rsid w:val="0060662A"/>
    <w:rsid w:val="00606856"/>
    <w:rsid w:val="00612789"/>
    <w:rsid w:val="00614BDA"/>
    <w:rsid w:val="00621326"/>
    <w:rsid w:val="00626974"/>
    <w:rsid w:val="006331B4"/>
    <w:rsid w:val="006343F3"/>
    <w:rsid w:val="006407F1"/>
    <w:rsid w:val="00642906"/>
    <w:rsid w:val="00642ECF"/>
    <w:rsid w:val="006457EF"/>
    <w:rsid w:val="006532EE"/>
    <w:rsid w:val="006724A9"/>
    <w:rsid w:val="006741B9"/>
    <w:rsid w:val="006805CB"/>
    <w:rsid w:val="00682E1A"/>
    <w:rsid w:val="006844E1"/>
    <w:rsid w:val="00691088"/>
    <w:rsid w:val="00691ECE"/>
    <w:rsid w:val="006A721F"/>
    <w:rsid w:val="006B6A39"/>
    <w:rsid w:val="006C6C20"/>
    <w:rsid w:val="006D73F1"/>
    <w:rsid w:val="006E1060"/>
    <w:rsid w:val="006E582D"/>
    <w:rsid w:val="006E6647"/>
    <w:rsid w:val="006E6F39"/>
    <w:rsid w:val="006F3EFF"/>
    <w:rsid w:val="007049D1"/>
    <w:rsid w:val="0070774C"/>
    <w:rsid w:val="00711782"/>
    <w:rsid w:val="00712694"/>
    <w:rsid w:val="00720048"/>
    <w:rsid w:val="0072359B"/>
    <w:rsid w:val="00725F74"/>
    <w:rsid w:val="00730BE1"/>
    <w:rsid w:val="00731113"/>
    <w:rsid w:val="00732519"/>
    <w:rsid w:val="0073524C"/>
    <w:rsid w:val="00736B57"/>
    <w:rsid w:val="00737923"/>
    <w:rsid w:val="007435EC"/>
    <w:rsid w:val="0075379D"/>
    <w:rsid w:val="0075762C"/>
    <w:rsid w:val="00786807"/>
    <w:rsid w:val="007A4EEE"/>
    <w:rsid w:val="007A55E6"/>
    <w:rsid w:val="007B24AF"/>
    <w:rsid w:val="007B32F0"/>
    <w:rsid w:val="007D343C"/>
    <w:rsid w:val="007D5150"/>
    <w:rsid w:val="007D7FE3"/>
    <w:rsid w:val="007E106D"/>
    <w:rsid w:val="007E6E9E"/>
    <w:rsid w:val="007E7032"/>
    <w:rsid w:val="007E7CEF"/>
    <w:rsid w:val="007F30BA"/>
    <w:rsid w:val="00840E39"/>
    <w:rsid w:val="008445BB"/>
    <w:rsid w:val="008505C3"/>
    <w:rsid w:val="0086472B"/>
    <w:rsid w:val="008739B9"/>
    <w:rsid w:val="00874665"/>
    <w:rsid w:val="00890E63"/>
    <w:rsid w:val="00891439"/>
    <w:rsid w:val="008937F2"/>
    <w:rsid w:val="008A58A0"/>
    <w:rsid w:val="008B39C2"/>
    <w:rsid w:val="008B66B7"/>
    <w:rsid w:val="008D2F19"/>
    <w:rsid w:val="008E5C71"/>
    <w:rsid w:val="008E7585"/>
    <w:rsid w:val="008F05E7"/>
    <w:rsid w:val="008F30AA"/>
    <w:rsid w:val="008F47F7"/>
    <w:rsid w:val="009040A2"/>
    <w:rsid w:val="00904A7C"/>
    <w:rsid w:val="0091427E"/>
    <w:rsid w:val="00914D77"/>
    <w:rsid w:val="009237D9"/>
    <w:rsid w:val="0092657D"/>
    <w:rsid w:val="009273A3"/>
    <w:rsid w:val="00937CEF"/>
    <w:rsid w:val="0094366C"/>
    <w:rsid w:val="00953ADF"/>
    <w:rsid w:val="009703F8"/>
    <w:rsid w:val="00973166"/>
    <w:rsid w:val="009746EF"/>
    <w:rsid w:val="00974B8F"/>
    <w:rsid w:val="00975BF2"/>
    <w:rsid w:val="0098198D"/>
    <w:rsid w:val="0099335F"/>
    <w:rsid w:val="0099646F"/>
    <w:rsid w:val="009B621A"/>
    <w:rsid w:val="009C3876"/>
    <w:rsid w:val="009C45D9"/>
    <w:rsid w:val="009C6F32"/>
    <w:rsid w:val="009C7568"/>
    <w:rsid w:val="009F6567"/>
    <w:rsid w:val="00A01001"/>
    <w:rsid w:val="00A04C86"/>
    <w:rsid w:val="00A05822"/>
    <w:rsid w:val="00A06657"/>
    <w:rsid w:val="00A110CF"/>
    <w:rsid w:val="00A1166D"/>
    <w:rsid w:val="00A323A9"/>
    <w:rsid w:val="00A37D91"/>
    <w:rsid w:val="00A46282"/>
    <w:rsid w:val="00A5719C"/>
    <w:rsid w:val="00A61757"/>
    <w:rsid w:val="00A619C6"/>
    <w:rsid w:val="00A7043B"/>
    <w:rsid w:val="00A80FBD"/>
    <w:rsid w:val="00A84B84"/>
    <w:rsid w:val="00A85034"/>
    <w:rsid w:val="00A86D3D"/>
    <w:rsid w:val="00AA45B7"/>
    <w:rsid w:val="00AB1EC2"/>
    <w:rsid w:val="00AB1F91"/>
    <w:rsid w:val="00AB2948"/>
    <w:rsid w:val="00AB39FA"/>
    <w:rsid w:val="00AB5EA2"/>
    <w:rsid w:val="00AC1685"/>
    <w:rsid w:val="00AC29C6"/>
    <w:rsid w:val="00AC4217"/>
    <w:rsid w:val="00AC456C"/>
    <w:rsid w:val="00AD23C2"/>
    <w:rsid w:val="00AD6933"/>
    <w:rsid w:val="00AD6B7B"/>
    <w:rsid w:val="00AF5853"/>
    <w:rsid w:val="00B0245C"/>
    <w:rsid w:val="00B13415"/>
    <w:rsid w:val="00B17DCB"/>
    <w:rsid w:val="00B20B97"/>
    <w:rsid w:val="00B21D0B"/>
    <w:rsid w:val="00B35250"/>
    <w:rsid w:val="00B35447"/>
    <w:rsid w:val="00B3655F"/>
    <w:rsid w:val="00B53F7B"/>
    <w:rsid w:val="00B550F3"/>
    <w:rsid w:val="00B56C80"/>
    <w:rsid w:val="00B60417"/>
    <w:rsid w:val="00B61A4C"/>
    <w:rsid w:val="00B742F4"/>
    <w:rsid w:val="00B759B6"/>
    <w:rsid w:val="00B76C72"/>
    <w:rsid w:val="00B77ED9"/>
    <w:rsid w:val="00B8138C"/>
    <w:rsid w:val="00B864F9"/>
    <w:rsid w:val="00B91B01"/>
    <w:rsid w:val="00B9606D"/>
    <w:rsid w:val="00BA2903"/>
    <w:rsid w:val="00BA4A42"/>
    <w:rsid w:val="00BA6E4A"/>
    <w:rsid w:val="00BA7A01"/>
    <w:rsid w:val="00BB047B"/>
    <w:rsid w:val="00BB17C6"/>
    <w:rsid w:val="00BB6398"/>
    <w:rsid w:val="00BC4C63"/>
    <w:rsid w:val="00BC5988"/>
    <w:rsid w:val="00BD0372"/>
    <w:rsid w:val="00BD4BF3"/>
    <w:rsid w:val="00BE4F06"/>
    <w:rsid w:val="00BE7CD3"/>
    <w:rsid w:val="00BF5319"/>
    <w:rsid w:val="00BF7CCB"/>
    <w:rsid w:val="00C05F13"/>
    <w:rsid w:val="00C07F49"/>
    <w:rsid w:val="00C139CA"/>
    <w:rsid w:val="00C445E0"/>
    <w:rsid w:val="00C462B6"/>
    <w:rsid w:val="00C51429"/>
    <w:rsid w:val="00C66E11"/>
    <w:rsid w:val="00C8069A"/>
    <w:rsid w:val="00C85E71"/>
    <w:rsid w:val="00CA2472"/>
    <w:rsid w:val="00CA551F"/>
    <w:rsid w:val="00CA6FFF"/>
    <w:rsid w:val="00CA7439"/>
    <w:rsid w:val="00CB4D1D"/>
    <w:rsid w:val="00CC02B1"/>
    <w:rsid w:val="00CC1B67"/>
    <w:rsid w:val="00CD370C"/>
    <w:rsid w:val="00CE71E1"/>
    <w:rsid w:val="00CF1748"/>
    <w:rsid w:val="00CF1995"/>
    <w:rsid w:val="00D04E24"/>
    <w:rsid w:val="00D0524E"/>
    <w:rsid w:val="00D1450C"/>
    <w:rsid w:val="00D25165"/>
    <w:rsid w:val="00D3612A"/>
    <w:rsid w:val="00D37703"/>
    <w:rsid w:val="00D37F25"/>
    <w:rsid w:val="00D44439"/>
    <w:rsid w:val="00D52449"/>
    <w:rsid w:val="00D60ACD"/>
    <w:rsid w:val="00D673A7"/>
    <w:rsid w:val="00D70A7D"/>
    <w:rsid w:val="00D70DFC"/>
    <w:rsid w:val="00D80E4B"/>
    <w:rsid w:val="00D8744F"/>
    <w:rsid w:val="00D9290D"/>
    <w:rsid w:val="00D94D25"/>
    <w:rsid w:val="00DA0A74"/>
    <w:rsid w:val="00DA3C71"/>
    <w:rsid w:val="00DB27D3"/>
    <w:rsid w:val="00DC11D3"/>
    <w:rsid w:val="00DD04C0"/>
    <w:rsid w:val="00DE32B1"/>
    <w:rsid w:val="00DE57B9"/>
    <w:rsid w:val="00DE643F"/>
    <w:rsid w:val="00DF7DB1"/>
    <w:rsid w:val="00E0320A"/>
    <w:rsid w:val="00E0748A"/>
    <w:rsid w:val="00E078CA"/>
    <w:rsid w:val="00E17BB2"/>
    <w:rsid w:val="00E20DD9"/>
    <w:rsid w:val="00E22614"/>
    <w:rsid w:val="00E22671"/>
    <w:rsid w:val="00E4622C"/>
    <w:rsid w:val="00E51FFB"/>
    <w:rsid w:val="00E55871"/>
    <w:rsid w:val="00E62CAC"/>
    <w:rsid w:val="00E64304"/>
    <w:rsid w:val="00E858F3"/>
    <w:rsid w:val="00E9069E"/>
    <w:rsid w:val="00E9076A"/>
    <w:rsid w:val="00E91D0F"/>
    <w:rsid w:val="00E91FED"/>
    <w:rsid w:val="00E926D7"/>
    <w:rsid w:val="00EA3B42"/>
    <w:rsid w:val="00EB6C33"/>
    <w:rsid w:val="00EC382E"/>
    <w:rsid w:val="00ED4A73"/>
    <w:rsid w:val="00EE28C0"/>
    <w:rsid w:val="00EE6BCF"/>
    <w:rsid w:val="00EF4FA7"/>
    <w:rsid w:val="00F01415"/>
    <w:rsid w:val="00F02ED4"/>
    <w:rsid w:val="00F1019D"/>
    <w:rsid w:val="00F26A9F"/>
    <w:rsid w:val="00F30733"/>
    <w:rsid w:val="00F358C9"/>
    <w:rsid w:val="00F40183"/>
    <w:rsid w:val="00F501C7"/>
    <w:rsid w:val="00F572CC"/>
    <w:rsid w:val="00F675FE"/>
    <w:rsid w:val="00F736B3"/>
    <w:rsid w:val="00F763DF"/>
    <w:rsid w:val="00F81216"/>
    <w:rsid w:val="00F931EF"/>
    <w:rsid w:val="00F933FC"/>
    <w:rsid w:val="00F9363C"/>
    <w:rsid w:val="00FA2F3E"/>
    <w:rsid w:val="00FA6443"/>
    <w:rsid w:val="00FC1C5C"/>
    <w:rsid w:val="00FC2C12"/>
    <w:rsid w:val="00FC402C"/>
    <w:rsid w:val="00FD17AF"/>
    <w:rsid w:val="00FD2172"/>
    <w:rsid w:val="00FD72D2"/>
    <w:rsid w:val="00FE132A"/>
    <w:rsid w:val="00FE623A"/>
    <w:rsid w:val="00FF01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D72190"/>
  <w15:docId w15:val="{C2479E46-92BA-48D5-83C9-7DC9A9627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1"/>
    <w:rsid w:val="0094366C"/>
    <w:pPr>
      <w:spacing w:after="240" w:line="360" w:lineRule="auto"/>
    </w:pPr>
    <w:rPr>
      <w:rFonts w:ascii="Arial" w:hAnsi="Arial"/>
      <w:sz w:val="24"/>
      <w:szCs w:val="24"/>
      <w:lang w:val="en-US" w:eastAsia="en-US"/>
    </w:rPr>
  </w:style>
  <w:style w:type="character" w:customStyle="1" w:styleId="NICEnormalChar1">
    <w:name w:val="NICE normal Char1"/>
    <w:basedOn w:val="DefaultParagraphFont"/>
    <w:link w:val="NICEnormal"/>
    <w:rsid w:val="0023483B"/>
    <w:rPr>
      <w:rFonts w:ascii="Arial" w:hAnsi="Arial"/>
      <w:sz w:val="24"/>
      <w:szCs w:val="24"/>
      <w:lang w:val="en-US" w:eastAsia="en-US"/>
    </w:rPr>
  </w:style>
  <w:style w:type="character" w:customStyle="1" w:styleId="Heading1Char">
    <w:name w:val="Heading 1 Char"/>
    <w:basedOn w:val="DefaultParagraphFont"/>
    <w:link w:val="Heading1"/>
    <w:rsid w:val="00AB2948"/>
    <w:rPr>
      <w:rFonts w:ascii="Arial" w:hAnsi="Arial" w:cs="Arial"/>
      <w:b/>
      <w:bCs/>
      <w:kern w:val="32"/>
      <w:sz w:val="32"/>
      <w:szCs w:val="32"/>
      <w:lang w:val="en-US" w:eastAsia="en-US" w:bidi="ar-SA"/>
    </w:rPr>
  </w:style>
  <w:style w:type="character" w:customStyle="1" w:styleId="Heading2Char">
    <w:name w:val="Heading 2 Char"/>
    <w:basedOn w:val="DefaultParagraphFont"/>
    <w:link w:val="Heading2"/>
    <w:rsid w:val="00D37703"/>
    <w:rPr>
      <w:rFonts w:ascii="Arial" w:hAnsi="Arial" w:cs="Arial"/>
      <w:b/>
      <w:bCs/>
      <w:i/>
      <w:iCs/>
      <w:sz w:val="28"/>
      <w:szCs w:val="28"/>
      <w:lang w:val="en-US" w:eastAsia="en-US" w:bidi="ar-SA"/>
    </w:rPr>
  </w:style>
  <w:style w:type="paragraph" w:customStyle="1" w:styleId="NICEnormalsinglespacing">
    <w:name w:val="NICE normal single spacing"/>
    <w:basedOn w:val="NICEnormal"/>
    <w:rsid w:val="005C762E"/>
    <w:pPr>
      <w:spacing w:line="240" w:lineRule="auto"/>
    </w:pPr>
  </w:style>
  <w:style w:type="paragraph" w:customStyle="1" w:styleId="Numberedheading1">
    <w:name w:val="Numbered heading 1"/>
    <w:basedOn w:val="Heading1"/>
    <w:next w:val="NICEnormal"/>
    <w:link w:val="Numberedheading1CharChar"/>
    <w:rsid w:val="00C51429"/>
    <w:pPr>
      <w:numPr>
        <w:numId w:val="7"/>
      </w:numPr>
    </w:pPr>
    <w:rPr>
      <w:szCs w:val="24"/>
    </w:rPr>
  </w:style>
  <w:style w:type="character" w:customStyle="1" w:styleId="Numberedheading1CharChar">
    <w:name w:val="Numbered heading 1 Char Char"/>
    <w:basedOn w:val="Heading1Char"/>
    <w:link w:val="Numberedheading1"/>
    <w:rsid w:val="00C51429"/>
    <w:rPr>
      <w:rFonts w:ascii="Arial" w:hAnsi="Arial" w:cs="Arial"/>
      <w:b/>
      <w:bCs/>
      <w:kern w:val="32"/>
      <w:sz w:val="32"/>
      <w:szCs w:val="24"/>
      <w:lang w:val="en-US" w:eastAsia="en-US" w:bidi="ar-SA"/>
    </w:rPr>
  </w:style>
  <w:style w:type="paragraph" w:customStyle="1" w:styleId="Numberedheading2">
    <w:name w:val="Numbered heading 2"/>
    <w:basedOn w:val="Heading2"/>
    <w:next w:val="NICEnormal"/>
    <w:link w:val="Numberedheading2Char"/>
    <w:rsid w:val="00C51429"/>
    <w:pPr>
      <w:numPr>
        <w:ilvl w:val="1"/>
        <w:numId w:val="7"/>
      </w:numPr>
    </w:p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Numberedlevel4text">
    <w:name w:val="Numbered level 4 text"/>
    <w:basedOn w:val="NICEnormal"/>
    <w:next w:val="NICEnormal"/>
    <w:rsid w:val="0092657D"/>
    <w:pPr>
      <w:numPr>
        <w:ilvl w:val="3"/>
        <w:numId w:val="7"/>
      </w:numPr>
    </w:pPr>
  </w:style>
  <w:style w:type="paragraph" w:customStyle="1" w:styleId="Numberedlevel3text">
    <w:name w:val="Numbered level 3 text"/>
    <w:basedOn w:val="Normal"/>
    <w:rsid w:val="00B91B01"/>
    <w:pPr>
      <w:tabs>
        <w:tab w:val="num" w:pos="1134"/>
      </w:tabs>
      <w:spacing w:after="240" w:line="360" w:lineRule="auto"/>
      <w:ind w:left="1134" w:hanging="1134"/>
    </w:pPr>
    <w:rPr>
      <w:rFonts w:ascii="Arial" w:hAnsi="Arial" w:cs="Arial"/>
      <w:bCs/>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rsid w:val="00D37F25"/>
    <w:pPr>
      <w:numPr>
        <w:numId w:val="6"/>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D3612A"/>
    <w:pPr>
      <w:numPr>
        <w:numId w:val="5"/>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Bulletleft1last">
    <w:name w:val="Bullet left 1 last"/>
    <w:basedOn w:val="NICEnormal"/>
    <w:rsid w:val="00953ADF"/>
    <w:pPr>
      <w:numPr>
        <w:numId w:val="8"/>
      </w:numPr>
    </w:pPr>
    <w:rPr>
      <w:rFonts w:cs="Arial"/>
    </w:rPr>
  </w:style>
  <w:style w:type="paragraph" w:styleId="BalloonText">
    <w:name w:val="Balloon Text"/>
    <w:basedOn w:val="Normal"/>
    <w:link w:val="BalloonTextChar"/>
    <w:semiHidden/>
    <w:unhideWhenUsed/>
    <w:rsid w:val="00B742F4"/>
    <w:rPr>
      <w:rFonts w:ascii="Segoe UI" w:hAnsi="Segoe UI" w:cs="Segoe UI"/>
      <w:sz w:val="18"/>
      <w:szCs w:val="18"/>
    </w:rPr>
  </w:style>
  <w:style w:type="paragraph" w:styleId="Footer">
    <w:name w:val="footer"/>
    <w:basedOn w:val="NICEnormalsinglespacing"/>
    <w:rsid w:val="00402AF5"/>
    <w:pPr>
      <w:tabs>
        <w:tab w:val="center" w:pos="4153"/>
        <w:tab w:val="right" w:pos="8306"/>
      </w:tabs>
      <w:spacing w:before="240" w:after="0"/>
    </w:pPr>
  </w:style>
  <w:style w:type="character" w:styleId="PageNumber">
    <w:name w:val="page number"/>
    <w:basedOn w:val="DefaultParagraphFont"/>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qFormat/>
    <w:rsid w:val="00BD0372"/>
    <w:pPr>
      <w:keepNext/>
      <w:spacing w:after="60"/>
    </w:pPr>
    <w:rPr>
      <w:sz w:val="22"/>
    </w:rPr>
  </w:style>
  <w:style w:type="paragraph" w:customStyle="1" w:styleId="Proofingtable">
    <w:name w:val="Proofing table"/>
    <w:basedOn w:val="Normal"/>
    <w:qFormat/>
    <w:rsid w:val="00251979"/>
    <w:pPr>
      <w:spacing w:before="60" w:after="60" w:line="288" w:lineRule="auto"/>
    </w:pPr>
    <w:rPr>
      <w:rFonts w:ascii="Arial" w:hAnsi="Arial"/>
      <w:sz w:val="18"/>
      <w:szCs w:val="20"/>
      <w:lang w:eastAsia="en-GB"/>
    </w:rPr>
  </w:style>
  <w:style w:type="paragraph" w:customStyle="1" w:styleId="Title1">
    <w:name w:val="Title 1"/>
    <w:basedOn w:val="Normal"/>
    <w:qFormat/>
    <w:rsid w:val="009F6567"/>
    <w:pPr>
      <w:keepNext/>
      <w:spacing w:before="240" w:after="240"/>
      <w:jc w:val="center"/>
      <w:outlineLvl w:val="0"/>
    </w:pPr>
    <w:rPr>
      <w:rFonts w:ascii="Arial" w:hAnsi="Arial" w:cs="Arial"/>
      <w:b/>
      <w:bCs/>
      <w:kern w:val="28"/>
      <w:sz w:val="40"/>
      <w:szCs w:val="32"/>
    </w:rPr>
  </w:style>
  <w:style w:type="paragraph" w:customStyle="1" w:styleId="Title2">
    <w:name w:val="Title 2"/>
    <w:basedOn w:val="Normal"/>
    <w:link w:val="Title2Char"/>
    <w:qFormat/>
    <w:rsid w:val="003A72CF"/>
    <w:pPr>
      <w:keepNext/>
      <w:spacing w:before="240" w:after="240"/>
      <w:jc w:val="center"/>
      <w:outlineLvl w:val="0"/>
    </w:pPr>
    <w:rPr>
      <w:rFonts w:ascii="Arial" w:hAnsi="Arial" w:cs="Arial"/>
      <w:b/>
      <w:bCs/>
      <w:kern w:val="28"/>
      <w:sz w:val="32"/>
      <w:szCs w:val="32"/>
    </w:rPr>
  </w:style>
  <w:style w:type="paragraph" w:customStyle="1" w:styleId="Guidanceissuedate">
    <w:name w:val="Guidance issue date"/>
    <w:basedOn w:val="NICEnormal"/>
    <w:qFormat/>
    <w:rsid w:val="003A72CF"/>
  </w:style>
  <w:style w:type="character" w:styleId="Hyperlink">
    <w:name w:val="Hyperlink"/>
    <w:basedOn w:val="DefaultParagraphFont"/>
    <w:rsid w:val="00CA551F"/>
    <w:rPr>
      <w:color w:val="0000FF" w:themeColor="hyperlink"/>
      <w:u w:val="single"/>
    </w:rPr>
  </w:style>
  <w:style w:type="character" w:styleId="CommentReference">
    <w:name w:val="annotation reference"/>
    <w:basedOn w:val="DefaultParagraphFont"/>
    <w:rsid w:val="00AC456C"/>
    <w:rPr>
      <w:rFonts w:ascii="Times New Roman" w:hAnsi="Times New Roman"/>
      <w:sz w:val="16"/>
      <w:szCs w:val="16"/>
      <w:lang w:val="en-GB"/>
    </w:rPr>
  </w:style>
  <w:style w:type="paragraph" w:styleId="CommentText">
    <w:name w:val="annotation text"/>
    <w:basedOn w:val="Normal"/>
    <w:link w:val="CommentTextChar"/>
    <w:unhideWhenUsed/>
    <w:rsid w:val="00251979"/>
    <w:rPr>
      <w:sz w:val="20"/>
      <w:szCs w:val="20"/>
    </w:rPr>
  </w:style>
  <w:style w:type="character" w:customStyle="1" w:styleId="CommentTextChar">
    <w:name w:val="Comment Text Char"/>
    <w:basedOn w:val="DefaultParagraphFont"/>
    <w:link w:val="CommentText"/>
    <w:rsid w:val="00251979"/>
    <w:rPr>
      <w:lang w:eastAsia="en-US"/>
    </w:rPr>
  </w:style>
  <w:style w:type="paragraph" w:styleId="CommentSubject">
    <w:name w:val="annotation subject"/>
    <w:basedOn w:val="CommentText"/>
    <w:next w:val="CommentText"/>
    <w:link w:val="CommentSubjectChar"/>
    <w:semiHidden/>
    <w:unhideWhenUsed/>
    <w:rsid w:val="00251979"/>
    <w:rPr>
      <w:b/>
      <w:bCs/>
    </w:rPr>
  </w:style>
  <w:style w:type="character" w:customStyle="1" w:styleId="CommentSubjectChar">
    <w:name w:val="Comment Subject Char"/>
    <w:basedOn w:val="CommentTextChar"/>
    <w:link w:val="CommentSubject"/>
    <w:semiHidden/>
    <w:rsid w:val="00251979"/>
    <w:rPr>
      <w:b/>
      <w:bCs/>
      <w:lang w:eastAsia="en-US"/>
    </w:rPr>
  </w:style>
  <w:style w:type="character" w:customStyle="1" w:styleId="BalloonTextChar">
    <w:name w:val="Balloon Text Char"/>
    <w:basedOn w:val="DefaultParagraphFont"/>
    <w:link w:val="BalloonText"/>
    <w:semiHidden/>
    <w:rsid w:val="00B742F4"/>
    <w:rPr>
      <w:rFonts w:ascii="Segoe UI" w:hAnsi="Segoe UI" w:cs="Segoe UI"/>
      <w:sz w:val="18"/>
      <w:szCs w:val="18"/>
      <w:lang w:eastAsia="en-US"/>
    </w:rPr>
  </w:style>
  <w:style w:type="table" w:styleId="TableGrid">
    <w:name w:val="Table Grid"/>
    <w:basedOn w:val="TableNormal"/>
    <w:rsid w:val="00FE6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DA0A74"/>
    <w:rPr>
      <w:color w:val="800080" w:themeColor="followedHyperlink"/>
      <w:u w:val="single"/>
    </w:rPr>
  </w:style>
  <w:style w:type="paragraph" w:styleId="Revision">
    <w:name w:val="Revision"/>
    <w:hidden/>
    <w:uiPriority w:val="99"/>
    <w:semiHidden/>
    <w:rsid w:val="005D77EB"/>
    <w:rPr>
      <w:sz w:val="24"/>
      <w:szCs w:val="24"/>
      <w:lang w:eastAsia="en-US"/>
    </w:rPr>
  </w:style>
  <w:style w:type="paragraph" w:customStyle="1" w:styleId="Bulletleft2last">
    <w:name w:val="Bullet left 2 last"/>
    <w:basedOn w:val="Bulletleft2"/>
    <w:rsid w:val="00A5719C"/>
    <w:pPr>
      <w:spacing w:after="240"/>
    </w:pPr>
  </w:style>
  <w:style w:type="paragraph" w:customStyle="1" w:styleId="Bulletleft3last">
    <w:name w:val="Bullet left 3 last"/>
    <w:basedOn w:val="Bulletleft3"/>
    <w:rsid w:val="00AB5EA2"/>
    <w:pPr>
      <w:spacing w:after="240"/>
    </w:pPr>
    <w:rPr>
      <w:szCs w:val="20"/>
    </w:rPr>
  </w:style>
  <w:style w:type="paragraph" w:customStyle="1" w:styleId="Instructionstext">
    <w:name w:val="Instructions text"/>
    <w:basedOn w:val="Normal"/>
    <w:rsid w:val="00904A7C"/>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rPr>
  </w:style>
  <w:style w:type="paragraph" w:customStyle="1" w:styleId="Instructionsheading">
    <w:name w:val="Instructions heading"/>
    <w:basedOn w:val="Normal"/>
    <w:rsid w:val="00904A7C"/>
    <w:pPr>
      <w:pBdr>
        <w:top w:val="single" w:sz="4" w:space="4" w:color="auto"/>
        <w:left w:val="single" w:sz="4" w:space="4" w:color="auto"/>
        <w:bottom w:val="single" w:sz="4" w:space="4" w:color="auto"/>
        <w:right w:val="single" w:sz="4" w:space="4" w:color="auto"/>
      </w:pBdr>
      <w:shd w:val="clear" w:color="auto" w:fill="FDE9D9"/>
      <w:spacing w:before="240" w:after="120" w:line="288" w:lineRule="auto"/>
    </w:pPr>
    <w:rPr>
      <w:rFonts w:ascii="Arial" w:hAnsi="Arial"/>
      <w:i/>
      <w:iCs/>
      <w:color w:val="0070C0"/>
      <w:kern w:val="32"/>
      <w:szCs w:val="20"/>
    </w:rPr>
  </w:style>
  <w:style w:type="paragraph" w:styleId="Header">
    <w:name w:val="header"/>
    <w:basedOn w:val="Normal"/>
    <w:link w:val="HeaderChar"/>
    <w:rsid w:val="00487261"/>
    <w:pPr>
      <w:tabs>
        <w:tab w:val="center" w:pos="4513"/>
        <w:tab w:val="right" w:pos="9026"/>
      </w:tabs>
    </w:pPr>
  </w:style>
  <w:style w:type="character" w:customStyle="1" w:styleId="HeaderChar">
    <w:name w:val="Header Char"/>
    <w:basedOn w:val="DefaultParagraphFont"/>
    <w:link w:val="Header"/>
    <w:rsid w:val="00487261"/>
    <w:rPr>
      <w:sz w:val="24"/>
      <w:szCs w:val="24"/>
      <w:lang w:eastAsia="en-US"/>
    </w:rPr>
  </w:style>
  <w:style w:type="paragraph" w:styleId="FootnoteText">
    <w:name w:val="footnote text"/>
    <w:basedOn w:val="Normal"/>
    <w:link w:val="FootnoteTextChar"/>
    <w:semiHidden/>
    <w:unhideWhenUsed/>
    <w:rsid w:val="0075379D"/>
    <w:rPr>
      <w:rFonts w:ascii="Arial" w:hAnsi="Arial"/>
      <w:sz w:val="20"/>
      <w:szCs w:val="20"/>
    </w:rPr>
  </w:style>
  <w:style w:type="character" w:customStyle="1" w:styleId="FootnoteTextChar">
    <w:name w:val="Footnote Text Char"/>
    <w:basedOn w:val="DefaultParagraphFont"/>
    <w:link w:val="FootnoteText"/>
    <w:semiHidden/>
    <w:rsid w:val="0075379D"/>
    <w:rPr>
      <w:rFonts w:ascii="Arial" w:hAnsi="Arial"/>
      <w:lang w:eastAsia="en-US"/>
    </w:rPr>
  </w:style>
  <w:style w:type="character" w:styleId="FootnoteReference">
    <w:name w:val="footnote reference"/>
    <w:basedOn w:val="DefaultParagraphFont"/>
    <w:semiHidden/>
    <w:unhideWhenUsed/>
    <w:rsid w:val="0075379D"/>
    <w:rPr>
      <w:vertAlign w:val="superscript"/>
    </w:rPr>
  </w:style>
  <w:style w:type="character" w:customStyle="1" w:styleId="Title2Char">
    <w:name w:val="Title 2 Char"/>
    <w:basedOn w:val="DefaultParagraphFont"/>
    <w:link w:val="Title2"/>
    <w:rsid w:val="00904A7C"/>
    <w:rPr>
      <w:rFonts w:ascii="Arial" w:hAnsi="Arial" w:cs="Arial"/>
      <w:b/>
      <w:bCs/>
      <w:kern w:val="28"/>
      <w:sz w:val="32"/>
      <w:szCs w:val="32"/>
      <w:lang w:eastAsia="en-US"/>
    </w:rPr>
  </w:style>
  <w:style w:type="character" w:customStyle="1" w:styleId="Bold">
    <w:name w:val="Bold"/>
    <w:uiPriority w:val="1"/>
    <w:qFormat/>
    <w:rsid w:val="00081C9E"/>
    <w:rPr>
      <w:b/>
      <w:color w:val="auto"/>
    </w:rPr>
  </w:style>
  <w:style w:type="table" w:customStyle="1" w:styleId="Surveillancetable">
    <w:name w:val="Surveillance table"/>
    <w:basedOn w:val="TableNormal"/>
    <w:uiPriority w:val="99"/>
    <w:rsid w:val="00081C9E"/>
    <w:rPr>
      <w:rFonts w:ascii="Lato" w:hAnsi="Lato"/>
      <w:sz w:val="18"/>
    </w:rPr>
    <w:tblPr>
      <w:tblBorders>
        <w:top w:val="single" w:sz="4" w:space="0" w:color="ADADAD"/>
        <w:left w:val="single" w:sz="4" w:space="0" w:color="ADADAD"/>
        <w:bottom w:val="single" w:sz="4" w:space="0" w:color="ADADAD"/>
        <w:right w:val="single" w:sz="4" w:space="0" w:color="ADADAD"/>
        <w:insideH w:val="single" w:sz="4" w:space="0" w:color="ADADAD"/>
        <w:insideV w:val="single" w:sz="4" w:space="0" w:color="ADADAD"/>
      </w:tblBorders>
      <w:tblCellMar>
        <w:top w:w="57" w:type="dxa"/>
        <w:left w:w="57" w:type="dxa"/>
        <w:bottom w:w="57" w:type="dxa"/>
        <w:right w:w="57" w:type="dxa"/>
      </w:tblCellMar>
    </w:tblPr>
    <w:tcPr>
      <w:shd w:val="clear" w:color="auto" w:fill="auto"/>
    </w:tcPr>
    <w:tblStylePr w:type="firstRow">
      <w:rPr>
        <w:rFonts w:ascii="Lato" w:hAnsi="Lato"/>
        <w:color w:val="FFFFFF" w:themeColor="background1"/>
      </w:rPr>
      <w:tblPr>
        <w:tblCellMar>
          <w:top w:w="57" w:type="dxa"/>
          <w:left w:w="57" w:type="dxa"/>
          <w:bottom w:w="57" w:type="dxa"/>
          <w:right w:w="57" w:type="dxa"/>
        </w:tblCellMar>
      </w:tblPr>
      <w:tcPr>
        <w:shd w:val="clear" w:color="auto" w:fill="004650"/>
      </w:tcPr>
    </w:tblStylePr>
  </w:style>
  <w:style w:type="table" w:styleId="TableGridLight">
    <w:name w:val="Grid Table Light"/>
    <w:basedOn w:val="TableNormal"/>
    <w:uiPriority w:val="40"/>
    <w:rsid w:val="00B742F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urvbullets">
    <w:name w:val="Surv bullets"/>
    <w:uiPriority w:val="99"/>
    <w:rsid w:val="00B742F4"/>
    <w:pPr>
      <w:numPr>
        <w:numId w:val="17"/>
      </w:numPr>
    </w:pPr>
  </w:style>
  <w:style w:type="paragraph" w:customStyle="1" w:styleId="Indentedbullet1">
    <w:name w:val="Indented bullet 1"/>
    <w:basedOn w:val="Normal"/>
    <w:qFormat/>
    <w:rsid w:val="00181DBE"/>
    <w:pPr>
      <w:numPr>
        <w:numId w:val="19"/>
      </w:numPr>
      <w:tabs>
        <w:tab w:val="clear" w:pos="1986"/>
        <w:tab w:val="num" w:pos="1418"/>
      </w:tabs>
      <w:spacing w:before="80" w:after="160" w:line="288" w:lineRule="auto"/>
      <w:ind w:left="1701"/>
    </w:pPr>
    <w:rPr>
      <w:rFonts w:ascii="Lato" w:hAnsi="Lato"/>
      <w:sz w:val="22"/>
    </w:rPr>
  </w:style>
  <w:style w:type="paragraph" w:customStyle="1" w:styleId="Indentedbullet2">
    <w:name w:val="Indented bullet 2"/>
    <w:basedOn w:val="Normal"/>
    <w:qFormat/>
    <w:rsid w:val="00181DBE"/>
    <w:pPr>
      <w:numPr>
        <w:ilvl w:val="1"/>
        <w:numId w:val="19"/>
      </w:numPr>
      <w:spacing w:before="80" w:after="160" w:line="288" w:lineRule="auto"/>
      <w:ind w:left="1985" w:hanging="284"/>
    </w:pPr>
    <w:rPr>
      <w:rFonts w:ascii="Lato" w:hAnsi="Lato"/>
      <w:sz w:val="22"/>
    </w:rPr>
  </w:style>
  <w:style w:type="paragraph" w:customStyle="1" w:styleId="Indentedbullet3">
    <w:name w:val="Indented bullet 3"/>
    <w:basedOn w:val="Normal"/>
    <w:qFormat/>
    <w:rsid w:val="00181DBE"/>
    <w:pPr>
      <w:numPr>
        <w:ilvl w:val="2"/>
        <w:numId w:val="19"/>
      </w:numPr>
      <w:spacing w:before="80" w:after="160" w:line="288" w:lineRule="auto"/>
      <w:ind w:left="2268"/>
    </w:pPr>
    <w:rPr>
      <w:rFonts w:ascii="Lato" w:hAnsi="Lato"/>
      <w:sz w:val="22"/>
    </w:rPr>
  </w:style>
  <w:style w:type="paragraph" w:customStyle="1" w:styleId="Bullet1">
    <w:name w:val="Bullet 1"/>
    <w:basedOn w:val="Normal"/>
    <w:rsid w:val="00092727"/>
    <w:pPr>
      <w:numPr>
        <w:numId w:val="21"/>
      </w:numPr>
      <w:spacing w:before="80" w:after="160" w:line="288" w:lineRule="auto"/>
    </w:pPr>
    <w:rPr>
      <w:rFonts w:ascii="Lato" w:hAnsi="Lato"/>
      <w:sz w:val="22"/>
    </w:rPr>
  </w:style>
  <w:style w:type="paragraph" w:customStyle="1" w:styleId="Bullet2">
    <w:name w:val="Bullet 2"/>
    <w:basedOn w:val="Normal"/>
    <w:qFormat/>
    <w:rsid w:val="00092727"/>
    <w:pPr>
      <w:numPr>
        <w:ilvl w:val="1"/>
        <w:numId w:val="21"/>
      </w:numPr>
      <w:tabs>
        <w:tab w:val="clear" w:pos="568"/>
        <w:tab w:val="num" w:pos="851"/>
      </w:tabs>
      <w:spacing w:before="80" w:after="160" w:line="288" w:lineRule="auto"/>
      <w:ind w:hanging="284"/>
    </w:pPr>
    <w:rPr>
      <w:rFonts w:ascii="Lato" w:hAnsi="Lato"/>
      <w:sz w:val="22"/>
    </w:rPr>
  </w:style>
  <w:style w:type="paragraph" w:customStyle="1" w:styleId="Bullet3">
    <w:name w:val="Bullet 3"/>
    <w:basedOn w:val="Normal"/>
    <w:qFormat/>
    <w:rsid w:val="00092727"/>
    <w:pPr>
      <w:numPr>
        <w:ilvl w:val="2"/>
        <w:numId w:val="21"/>
      </w:numPr>
      <w:spacing w:before="80" w:after="160" w:line="288" w:lineRule="auto"/>
    </w:pPr>
    <w:rPr>
      <w:rFonts w:ascii="Lato" w:hAnsi="Lato"/>
      <w:sz w:val="22"/>
    </w:rPr>
  </w:style>
  <w:style w:type="paragraph" w:customStyle="1" w:styleId="Tablebullet1">
    <w:name w:val="Table bullet 1"/>
    <w:basedOn w:val="Indentedbullet1"/>
    <w:rsid w:val="00092727"/>
    <w:pPr>
      <w:numPr>
        <w:numId w:val="22"/>
      </w:numPr>
      <w:ind w:left="284" w:hanging="284"/>
    </w:pPr>
    <w:rPr>
      <w:sz w:val="20"/>
    </w:rPr>
  </w:style>
  <w:style w:type="numbering" w:customStyle="1" w:styleId="Bodybullet">
    <w:name w:val="Body bullet"/>
    <w:uiPriority w:val="99"/>
    <w:rsid w:val="00092727"/>
    <w:pPr>
      <w:numPr>
        <w:numId w:val="20"/>
      </w:numPr>
    </w:pPr>
  </w:style>
  <w:style w:type="paragraph" w:customStyle="1" w:styleId="Instructionsbullet">
    <w:name w:val="Instructions bullet"/>
    <w:basedOn w:val="Instructionstext"/>
    <w:rsid w:val="00B8138C"/>
    <w:pPr>
      <w:numPr>
        <w:ilvl w:val="3"/>
        <w:numId w:val="23"/>
      </w:numPr>
      <w:spacing w:before="120" w:after="120"/>
      <w:ind w:left="426" w:hanging="426"/>
    </w:pPr>
  </w:style>
  <w:style w:type="character" w:styleId="UnresolvedMention">
    <w:name w:val="Unresolved Mention"/>
    <w:basedOn w:val="DefaultParagraphFont"/>
    <w:uiPriority w:val="99"/>
    <w:semiHidden/>
    <w:unhideWhenUsed/>
    <w:rsid w:val="00CF17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393752">
      <w:bodyDiv w:val="1"/>
      <w:marLeft w:val="0"/>
      <w:marRight w:val="0"/>
      <w:marTop w:val="0"/>
      <w:marBottom w:val="0"/>
      <w:divBdr>
        <w:top w:val="none" w:sz="0" w:space="0" w:color="auto"/>
        <w:left w:val="none" w:sz="0" w:space="0" w:color="auto"/>
        <w:bottom w:val="none" w:sz="0" w:space="0" w:color="auto"/>
        <w:right w:val="none" w:sz="0" w:space="0" w:color="auto"/>
      </w:divBdr>
    </w:div>
    <w:div w:id="294407525">
      <w:bodyDiv w:val="1"/>
      <w:marLeft w:val="0"/>
      <w:marRight w:val="0"/>
      <w:marTop w:val="0"/>
      <w:marBottom w:val="0"/>
      <w:divBdr>
        <w:top w:val="none" w:sz="0" w:space="0" w:color="auto"/>
        <w:left w:val="none" w:sz="0" w:space="0" w:color="auto"/>
        <w:bottom w:val="none" w:sz="0" w:space="0" w:color="auto"/>
        <w:right w:val="none" w:sz="0" w:space="0" w:color="auto"/>
      </w:divBdr>
    </w:div>
    <w:div w:id="883322714">
      <w:bodyDiv w:val="1"/>
      <w:marLeft w:val="0"/>
      <w:marRight w:val="0"/>
      <w:marTop w:val="0"/>
      <w:marBottom w:val="0"/>
      <w:divBdr>
        <w:top w:val="none" w:sz="0" w:space="0" w:color="auto"/>
        <w:left w:val="none" w:sz="0" w:space="0" w:color="auto"/>
        <w:bottom w:val="none" w:sz="0" w:space="0" w:color="auto"/>
        <w:right w:val="none" w:sz="0" w:space="0" w:color="auto"/>
      </w:divBdr>
    </w:div>
    <w:div w:id="1651977450">
      <w:bodyDiv w:val="1"/>
      <w:marLeft w:val="0"/>
      <w:marRight w:val="0"/>
      <w:marTop w:val="0"/>
      <w:marBottom w:val="0"/>
      <w:divBdr>
        <w:top w:val="none" w:sz="0" w:space="0" w:color="auto"/>
        <w:left w:val="none" w:sz="0" w:space="0" w:color="auto"/>
        <w:bottom w:val="none" w:sz="0" w:space="0" w:color="auto"/>
        <w:right w:val="none" w:sz="0" w:space="0" w:color="auto"/>
      </w:divBdr>
    </w:div>
    <w:div w:id="183830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23" TargetMode="External"/><Relationship Id="rId13" Type="http://schemas.openxmlformats.org/officeDocument/2006/relationships/hyperlink" Target="https://doi.org/10.1186/ISRCTN12824632" TargetMode="External"/><Relationship Id="rId18" Type="http://schemas.openxmlformats.org/officeDocument/2006/relationships/hyperlink" Target="http://www.nice.org.uk/guidance/cg8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linicaltrials.gov/show/NCT03461380" TargetMode="External"/><Relationship Id="rId17" Type="http://schemas.openxmlformats.org/officeDocument/2006/relationships/hyperlink" Target="https://www.ema.europa.eu/en/documents/prac-recommendation/prac-recommendations-signals-adopted-prac-meeting-30-november-3-december-2015_en.pdf" TargetMode="External"/><Relationship Id="rId2" Type="http://schemas.openxmlformats.org/officeDocument/2006/relationships/numbering" Target="numbering.xml"/><Relationship Id="rId16" Type="http://schemas.openxmlformats.org/officeDocument/2006/relationships/hyperlink" Target="https://www.nice.org.uk/process/pmg20/chapter/ensuring-that-published-guidelines-are-current-and-accurat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ocess/pmg20/chapter/ensuring-that-published-guidelines-are-current-and-accurate" TargetMode="External"/><Relationship Id="rId5" Type="http://schemas.openxmlformats.org/officeDocument/2006/relationships/webSettings" Target="webSettings.xml"/><Relationship Id="rId15" Type="http://schemas.openxmlformats.org/officeDocument/2006/relationships/hyperlink" Target="https://www.nice.org.uk/guidance/CG164" TargetMode="External"/><Relationship Id="rId10" Type="http://schemas.openxmlformats.org/officeDocument/2006/relationships/hyperlink" Target="https://www.nice.org.uk/guidance/ng23"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ice.org.uk/consultations/672/10/overview" TargetMode="External"/><Relationship Id="rId14" Type="http://schemas.openxmlformats.org/officeDocument/2006/relationships/hyperlink" Target="https://www.nice.org.uk/guidance/NG1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K:\1-Surveillance%20Team\Surveillance%20process%20and%20methods%202017\Templates\Surveillance%20report\Surveillance%20report%20template%20(Standard)%20-%20June%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D7950-237E-47A1-BBA0-CCCCE222A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Surveillance report template (Standard) - June 2019.dotx</Template>
  <TotalTime>450</TotalTime>
  <Pages>6</Pages>
  <Words>1604</Words>
  <Characters>9149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10732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Lynne Kincaid</dc:creator>
  <cp:lastModifiedBy>Martin Gallagher</cp:lastModifiedBy>
  <cp:revision>8</cp:revision>
  <cp:lastPrinted>2018-03-21T14:00:00Z</cp:lastPrinted>
  <dcterms:created xsi:type="dcterms:W3CDTF">2019-08-07T09:26:00Z</dcterms:created>
  <dcterms:modified xsi:type="dcterms:W3CDTF">2019-08-14T14:27:00Z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-664467835</vt:i4>
  </property>
</Properties>
</file>