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0E0666F2" w:rsidR="008D1F91" w:rsidRDefault="000963B2" w:rsidP="008D1F91">
      <w:pPr>
        <w:rPr>
          <w:rFonts w:ascii="Arial" w:eastAsia="Calibri" w:hAnsi="Arial" w:cs="Arial"/>
          <w:bCs/>
          <w:lang w:eastAsia="en-US"/>
        </w:rPr>
      </w:pPr>
      <w:r>
        <w:rPr>
          <w:rFonts w:ascii="Arial" w:eastAsia="Calibri" w:hAnsi="Arial" w:cs="Arial"/>
          <w:bCs/>
          <w:lang w:eastAsia="en-US"/>
        </w:rPr>
        <w:t xml:space="preserve">   </w:t>
      </w: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5FE52CE0" w:rsidR="005640F6" w:rsidRPr="00310467" w:rsidRDefault="00FD0B3E" w:rsidP="00A50587">
      <w:pPr>
        <w:pStyle w:val="Paragraphnonumbers"/>
        <w:spacing w:after="0"/>
        <w:jc w:val="center"/>
        <w:rPr>
          <w:b/>
          <w:bCs/>
          <w:sz w:val="32"/>
          <w:szCs w:val="32"/>
        </w:rPr>
      </w:pPr>
      <w:r>
        <w:rPr>
          <w:b/>
          <w:bCs/>
          <w:sz w:val="32"/>
          <w:szCs w:val="32"/>
        </w:rPr>
        <w:t>Kidney cancer</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7"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0" w:name="_Toc109224098"/>
    </w:p>
    <w:p w14:paraId="7E9D3265" w14:textId="29F9B1D4" w:rsidR="00570494" w:rsidRDefault="003778FE" w:rsidP="0096171A">
      <w:pPr>
        <w:pStyle w:val="Heading1"/>
      </w:pPr>
      <w:bookmarkStart w:id="1" w:name="_Toc138944320"/>
      <w:r>
        <w:lastRenderedPageBreak/>
        <w:t xml:space="preserve">STAGE </w:t>
      </w:r>
      <w:r w:rsidR="006320D4">
        <w:t>1</w:t>
      </w:r>
      <w:r w:rsidR="009C60B5">
        <w:t>.</w:t>
      </w:r>
      <w:r w:rsidR="00840E51">
        <w:t xml:space="preserve"> </w:t>
      </w:r>
      <w:r w:rsidR="006320D4">
        <w:t>Topic engagement</w:t>
      </w:r>
      <w:bookmarkEnd w:id="1"/>
      <w:r w:rsidR="00840E51">
        <w:t xml:space="preserve"> </w:t>
      </w:r>
      <w:r w:rsidR="005F14B5">
        <w:t xml:space="preserve">  </w:t>
      </w:r>
      <w:bookmarkEnd w:id="0"/>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tcPr>
          <w:p w14:paraId="5AEE2F16" w14:textId="32A95357" w:rsidR="00EB653E" w:rsidRPr="00451133" w:rsidRDefault="00EB653E" w:rsidP="00A44AB1">
            <w:pPr>
              <w:pStyle w:val="Paragraph"/>
              <w:numPr>
                <w:ilvl w:val="1"/>
                <w:numId w:val="9"/>
              </w:numPr>
            </w:pPr>
            <w:bookmarkStart w:id="2"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t xml:space="preserve">development of the </w:t>
            </w:r>
            <w:r w:rsidR="006320D4">
              <w:t>topic engagement proforma</w:t>
            </w:r>
            <w:r>
              <w:t>?</w:t>
            </w:r>
            <w:bookmarkEnd w:id="2"/>
          </w:p>
        </w:tc>
      </w:tr>
      <w:tr w:rsidR="00EB653E" w:rsidRPr="0078563E" w14:paraId="0F41CE24" w14:textId="77777777" w:rsidTr="00DC64E5">
        <w:trPr>
          <w:trHeight w:val="955"/>
        </w:trPr>
        <w:tc>
          <w:tcPr>
            <w:tcW w:w="9721" w:type="dxa"/>
          </w:tcPr>
          <w:p w14:paraId="75350D07" w14:textId="6AC001F9" w:rsidR="00EB653E" w:rsidRPr="00454575" w:rsidRDefault="00E53131" w:rsidP="00D20EB1">
            <w:pPr>
              <w:pStyle w:val="Paragraphnonumbers"/>
            </w:pPr>
            <w:r>
              <w:t xml:space="preserve">Review of the EHIA for the source guideline </w:t>
            </w:r>
            <w:hyperlink r:id="rId8" w:history="1">
              <w:r w:rsidRPr="00E53131">
                <w:rPr>
                  <w:rStyle w:val="Hyperlink"/>
                </w:rPr>
                <w:t>Kidney cancer: diagnosis and management. NICE guideline in development</w:t>
              </w:r>
            </w:hyperlink>
            <w:r>
              <w:t>. (Stages 2 &amp; 3)</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tcPr>
          <w:p w14:paraId="38E008E3" w14:textId="10F612BC" w:rsidR="001553E9" w:rsidRDefault="00242ABB" w:rsidP="00A44AB1">
            <w:pPr>
              <w:pStyle w:val="Paragraph"/>
              <w:numPr>
                <w:ilvl w:val="1"/>
                <w:numId w:val="9"/>
              </w:numPr>
            </w:pPr>
            <w:bookmarkStart w:id="3"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topic engagement proforma</w:t>
            </w:r>
            <w:r w:rsidR="0096171A" w:rsidRPr="0078563E">
              <w:t>?</w:t>
            </w:r>
            <w:bookmarkEnd w:id="3"/>
          </w:p>
        </w:tc>
      </w:tr>
      <w:tr w:rsidR="00694918" w:rsidRPr="00094590" w14:paraId="2B9FDC2E" w14:textId="77777777" w:rsidTr="001553E9">
        <w:tc>
          <w:tcPr>
            <w:tcW w:w="9704" w:type="dxa"/>
          </w:tcPr>
          <w:p w14:paraId="61B6873D" w14:textId="77777777" w:rsidR="002E0A2C" w:rsidRDefault="00A32D00" w:rsidP="00A44AB1">
            <w:pPr>
              <w:pStyle w:val="Paragraph"/>
              <w:numPr>
                <w:ilvl w:val="0"/>
                <w:numId w:val="8"/>
              </w:numPr>
              <w:spacing w:after="0"/>
            </w:pPr>
            <w:r w:rsidRPr="00DB31C3">
              <w:t xml:space="preserve">Protected characteristics outlined in the Equality Act 2010 </w:t>
            </w:r>
          </w:p>
          <w:p w14:paraId="2F88C752" w14:textId="77777777" w:rsidR="001E3D24" w:rsidRPr="00DB31C3" w:rsidRDefault="001E3D24" w:rsidP="001E3D24">
            <w:pPr>
              <w:pStyle w:val="Paragraph"/>
              <w:spacing w:after="0"/>
            </w:pPr>
          </w:p>
          <w:p w14:paraId="2C230570" w14:textId="77777777" w:rsidR="00B34582" w:rsidRDefault="002E0A2C" w:rsidP="00DC64E5">
            <w:pPr>
              <w:pStyle w:val="Paragraph"/>
              <w:spacing w:after="0"/>
              <w:ind w:left="357"/>
            </w:pPr>
            <w:r w:rsidRPr="00DB31C3">
              <w:t>A</w:t>
            </w:r>
            <w:r w:rsidR="00A32D00" w:rsidRPr="00DB31C3">
              <w:t>ge</w:t>
            </w:r>
            <w:r w:rsidRPr="00DB31C3">
              <w:t>:</w:t>
            </w:r>
            <w:r w:rsidR="001E3D24">
              <w:t xml:space="preserve"> </w:t>
            </w:r>
          </w:p>
          <w:p w14:paraId="7ACEF338" w14:textId="13075B4D" w:rsidR="001E3D24" w:rsidRDefault="008A0CE5" w:rsidP="008B7BD9">
            <w:pPr>
              <w:pStyle w:val="Bullets"/>
            </w:pPr>
            <w:r>
              <w:t>Some o</w:t>
            </w:r>
            <w:r w:rsidR="00F85BC1">
              <w:t xml:space="preserve">lder people may face difficulties engaging in and accessing healthcare due to physical health difficulties, living alone, lack of social and practical support, or living in a care home. Some may also have caring responsibilities that means they delay or cancel treatment. </w:t>
            </w:r>
            <w:r w:rsidR="002D0C3A">
              <w:t xml:space="preserve">Difficulties travelling to specialist or tertiary care centres, due to mobility issues, cost and availability of transport and in some cases the need to be accompanied by a </w:t>
            </w:r>
            <w:proofErr w:type="spellStart"/>
            <w:r w:rsidR="002D0C3A">
              <w:t>carer</w:t>
            </w:r>
            <w:proofErr w:type="spellEnd"/>
            <w:r w:rsidR="002D0C3A">
              <w:t>, may limit the availability of a full range of treatment options for some older people.</w:t>
            </w:r>
          </w:p>
          <w:p w14:paraId="7D162B87" w14:textId="10FC5FA8" w:rsidR="006E2B72" w:rsidRDefault="006E2B72" w:rsidP="00497BC0">
            <w:pPr>
              <w:pStyle w:val="Bullets"/>
            </w:pPr>
            <w:r>
              <w:t xml:space="preserve">Younger adults may face some additional costs associated with attending appointments, if they </w:t>
            </w:r>
            <w:proofErr w:type="gramStart"/>
            <w:r>
              <w:t>have to</w:t>
            </w:r>
            <w:proofErr w:type="gramEnd"/>
            <w:r>
              <w:t xml:space="preserve"> pay for childcare.</w:t>
            </w:r>
          </w:p>
          <w:p w14:paraId="709FA465" w14:textId="77777777" w:rsidR="001E3D24" w:rsidRPr="00DB31C3" w:rsidRDefault="001E3D24" w:rsidP="001E3D24">
            <w:pPr>
              <w:pStyle w:val="Bullets"/>
              <w:numPr>
                <w:ilvl w:val="0"/>
                <w:numId w:val="0"/>
              </w:numPr>
            </w:pPr>
          </w:p>
          <w:p w14:paraId="05F418F0" w14:textId="75A978BD" w:rsidR="00B34582" w:rsidRDefault="002E0A2C" w:rsidP="00854E4F">
            <w:pPr>
              <w:pStyle w:val="Paragraph"/>
              <w:spacing w:after="0"/>
              <w:ind w:left="357"/>
            </w:pPr>
            <w:r w:rsidRPr="00DB31C3">
              <w:t>D</w:t>
            </w:r>
            <w:r w:rsidR="00A32D00" w:rsidRPr="00DB31C3">
              <w:t>isability</w:t>
            </w:r>
            <w:r w:rsidRPr="00DB31C3">
              <w:t>:</w:t>
            </w:r>
            <w:r w:rsidR="00A32D00" w:rsidRPr="00DB31C3">
              <w:t xml:space="preserve"> </w:t>
            </w:r>
          </w:p>
          <w:p w14:paraId="34B83F26" w14:textId="3CCB1099" w:rsidR="00B10F2D" w:rsidRDefault="00E31A81" w:rsidP="00B10F2D">
            <w:pPr>
              <w:pStyle w:val="Bullets"/>
            </w:pPr>
            <w:r>
              <w:t xml:space="preserve">Some people with disabilities and their carers </w:t>
            </w:r>
            <w:r w:rsidR="00280E13">
              <w:t>m</w:t>
            </w:r>
            <w:r>
              <w:t>ay have additional needs for support. They may need information and advice to be provided in accessible</w:t>
            </w:r>
            <w:r w:rsidR="00093CAA">
              <w:t xml:space="preserve"> and alternative</w:t>
            </w:r>
            <w:r>
              <w:t xml:space="preserve"> formats. People with sensory impairments</w:t>
            </w:r>
            <w:r w:rsidR="003012DB">
              <w:t xml:space="preserve"> may not be able to access and use online resources and may need additional support to ensure they are able to participate fully in the decision-making process. Advocates, family members or carers may need to support decision-making or to make decisions on behalf of someone where legally allowed.</w:t>
            </w:r>
          </w:p>
          <w:p w14:paraId="5A2E3B34" w14:textId="599637AD" w:rsidR="00093CAA" w:rsidRDefault="00854E4F" w:rsidP="008A7069">
            <w:pPr>
              <w:pStyle w:val="Bullets"/>
            </w:pPr>
            <w:r>
              <w:t xml:space="preserve">Many people diagnosed with kidney cancer are older people. If they also have </w:t>
            </w:r>
            <w:proofErr w:type="gramStart"/>
            <w:r>
              <w:t>d</w:t>
            </w:r>
            <w:r w:rsidR="00093CAA">
              <w:t>ementia</w:t>
            </w:r>
            <w:proofErr w:type="gramEnd"/>
            <w:r w:rsidR="00093CAA">
              <w:t xml:space="preserve"> </w:t>
            </w:r>
            <w:r>
              <w:t xml:space="preserve">it </w:t>
            </w:r>
            <w:r w:rsidR="00093CAA">
              <w:t xml:space="preserve">can affect </w:t>
            </w:r>
            <w:r>
              <w:t>their</w:t>
            </w:r>
            <w:r w:rsidR="00093CAA">
              <w:t xml:space="preserve"> ability to understand and make decisions about treatment options and to comply with treatment.</w:t>
            </w:r>
          </w:p>
          <w:p w14:paraId="7AD116D1" w14:textId="5FEA1C55" w:rsidR="00093CAA" w:rsidRDefault="00093CAA" w:rsidP="004745B3">
            <w:pPr>
              <w:pStyle w:val="Bullets"/>
            </w:pPr>
            <w:r>
              <w:t xml:space="preserve">People with learning disabilities experience multiple inequalities in health. </w:t>
            </w:r>
            <w:r w:rsidR="00CE381B">
              <w:t xml:space="preserve">A </w:t>
            </w:r>
            <w:hyperlink r:id="rId9" w:history="1">
              <w:r w:rsidR="00CE381B" w:rsidRPr="00CE381B">
                <w:rPr>
                  <w:rStyle w:val="Hyperlink"/>
                </w:rPr>
                <w:t xml:space="preserve">2021 </w:t>
              </w:r>
              <w:r w:rsidRPr="00CE381B">
                <w:rPr>
                  <w:rStyle w:val="Hyperlink"/>
                </w:rPr>
                <w:t>report</w:t>
              </w:r>
            </w:hyperlink>
            <w:r>
              <w:t xml:space="preserve"> highlight</w:t>
            </w:r>
            <w:r w:rsidR="00CE381B">
              <w:t>ed</w:t>
            </w:r>
            <w:r>
              <w:t xml:space="preserve"> that 49% of deaths among people with a learning disability were rated as ‘avoidable’ compared to 22% among the general population. 8% of these avoidable deaths were linked to all cancers</w:t>
            </w:r>
            <w:r w:rsidR="00323C05">
              <w:t>.</w:t>
            </w:r>
          </w:p>
          <w:p w14:paraId="77BCFCFF" w14:textId="6ABA827D" w:rsidR="003012DB" w:rsidRDefault="003012DB" w:rsidP="00B10F2D">
            <w:pPr>
              <w:pStyle w:val="Bullets"/>
            </w:pPr>
            <w:r>
              <w:lastRenderedPageBreak/>
              <w:t>Some people with disabilities may need support to travel to and attend appointments and to receive treatments.</w:t>
            </w:r>
            <w:r w:rsidR="000719BC">
              <w:t xml:space="preserve"> Reasonable adjustments may be needed.</w:t>
            </w:r>
          </w:p>
          <w:p w14:paraId="7DFEFF6E" w14:textId="17954946" w:rsidR="003012DB" w:rsidRPr="00DB31C3" w:rsidRDefault="003012DB" w:rsidP="008F328C">
            <w:pPr>
              <w:pStyle w:val="Bullets"/>
            </w:pPr>
            <w:r>
              <w:t xml:space="preserve">Many people with cancer will experience depression or </w:t>
            </w:r>
            <w:r w:rsidR="00F06C17">
              <w:t>anxiety and</w:t>
            </w:r>
            <w:r>
              <w:t xml:space="preserve"> may require psychological assessment and intervention. Some people with cancer are not receiving timely access to mental health support. Barriers include lack of staff time and training in assessing needs for mental health support and lack of awareness as to the potential sources of support that might be available.</w:t>
            </w:r>
          </w:p>
          <w:p w14:paraId="45C356F9" w14:textId="77777777" w:rsidR="002E0A2C" w:rsidRDefault="002E0A2C" w:rsidP="002E0A2C">
            <w:pPr>
              <w:pStyle w:val="Paragraph"/>
              <w:spacing w:after="0"/>
              <w:ind w:left="360"/>
            </w:pPr>
            <w:r w:rsidRPr="00DB31C3">
              <w:t>G</w:t>
            </w:r>
            <w:r w:rsidR="00A32D00" w:rsidRPr="00DB31C3">
              <w:t>ender reassignment</w:t>
            </w:r>
            <w:r w:rsidRPr="00DB31C3">
              <w:t>:</w:t>
            </w:r>
          </w:p>
          <w:p w14:paraId="7EE4EBA2" w14:textId="74FA871F" w:rsidR="00B34582" w:rsidRPr="00DB31C3" w:rsidRDefault="00F06C17" w:rsidP="0054379D">
            <w:pPr>
              <w:pStyle w:val="Bullets"/>
            </w:pPr>
            <w:r>
              <w:t>Trans people undergoing diagnosis and treatment for cancer may have concerns about being treated with respect and dignity during discussions about gender identity and gender history, and concerns about being admitted to single or mixed-sex hospital wards. People who are undergoing transition may have concerns about the impact of cancer treatments on their plans for transition and concerns about the impact of any gender-affirming treatments on any treatments for cancer.</w:t>
            </w:r>
          </w:p>
          <w:p w14:paraId="60CB513F" w14:textId="77777777" w:rsidR="002E0A2C" w:rsidRDefault="002E0A2C" w:rsidP="002E0A2C">
            <w:pPr>
              <w:pStyle w:val="Paragraph"/>
              <w:spacing w:after="0"/>
              <w:ind w:left="360"/>
            </w:pPr>
            <w:r w:rsidRPr="00DB31C3">
              <w:t>P</w:t>
            </w:r>
            <w:r w:rsidR="00A32D00" w:rsidRPr="00DB31C3">
              <w:t>regnancy and maternity</w:t>
            </w:r>
            <w:r w:rsidRPr="00DB31C3">
              <w:t>:</w:t>
            </w:r>
          </w:p>
          <w:p w14:paraId="0F7579BB" w14:textId="10EF8A66" w:rsidR="001560A7" w:rsidRPr="00DB31C3" w:rsidRDefault="001560A7" w:rsidP="00911AA8">
            <w:pPr>
              <w:pStyle w:val="Bullets"/>
            </w:pPr>
            <w:r>
              <w:t>Most diagnostic tests and treatments for kidney cancer are likely to be delayed until after pregnancy. Many systemic anticancer drugs would mean breastfeeding would need to be avoided.</w:t>
            </w:r>
          </w:p>
          <w:p w14:paraId="3557CF2F" w14:textId="77777777" w:rsidR="002E0A2C" w:rsidRDefault="002E0A2C" w:rsidP="002E0A2C">
            <w:pPr>
              <w:pStyle w:val="Paragraph"/>
              <w:spacing w:after="0"/>
              <w:ind w:left="360"/>
            </w:pPr>
            <w:r w:rsidRPr="00DB31C3">
              <w:t>Ra</w:t>
            </w:r>
            <w:r w:rsidR="00A32D00" w:rsidRPr="00DB31C3">
              <w:t>ce</w:t>
            </w:r>
            <w:r w:rsidRPr="00DB31C3">
              <w:t>:</w:t>
            </w:r>
            <w:r w:rsidR="00A32D00" w:rsidRPr="00DB31C3">
              <w:t xml:space="preserve"> </w:t>
            </w:r>
          </w:p>
          <w:p w14:paraId="340DD9CA" w14:textId="42A9F0C0" w:rsidR="00962098" w:rsidRDefault="00962098" w:rsidP="00962098">
            <w:pPr>
              <w:pStyle w:val="Bullets"/>
            </w:pPr>
            <w:r>
              <w:t>Women from some minority ethnic groups have some cultural barriers to reporting cancer-related symptoms</w:t>
            </w:r>
            <w:r w:rsidR="00786337">
              <w:t>, including kidney cancer,</w:t>
            </w:r>
            <w:r>
              <w:t xml:space="preserve"> to healthcare professionals.</w:t>
            </w:r>
          </w:p>
          <w:p w14:paraId="7028C0DC" w14:textId="20039569" w:rsidR="00962098" w:rsidRPr="00DB31C3" w:rsidRDefault="00962098" w:rsidP="0001089A">
            <w:pPr>
              <w:pStyle w:val="Bullets"/>
            </w:pPr>
            <w:r>
              <w:t>Limited English proficiency may mean that some people face additional challenges in navigating the healthcare system and in understanding and making informed choices about treatment options. Some people may need additional support in this area and for information to be provided in alternative</w:t>
            </w:r>
            <w:r w:rsidR="00CE381B">
              <w:t xml:space="preserve"> languages and</w:t>
            </w:r>
            <w:r>
              <w:t xml:space="preserve"> formats.</w:t>
            </w:r>
          </w:p>
          <w:p w14:paraId="60653C0E" w14:textId="77777777" w:rsidR="002E0A2C" w:rsidRDefault="002E0A2C" w:rsidP="002E0A2C">
            <w:pPr>
              <w:pStyle w:val="Paragraph"/>
              <w:spacing w:after="0"/>
              <w:ind w:left="360"/>
            </w:pPr>
            <w:r w:rsidRPr="00DB31C3">
              <w:t>R</w:t>
            </w:r>
            <w:r w:rsidR="00A32D00" w:rsidRPr="00DB31C3">
              <w:t>eligion or belief</w:t>
            </w:r>
            <w:r w:rsidRPr="00DB31C3">
              <w:t>:</w:t>
            </w:r>
          </w:p>
          <w:p w14:paraId="052AA30A" w14:textId="3246D8E2" w:rsidR="0000450E" w:rsidRPr="00DB31C3" w:rsidRDefault="0000450E" w:rsidP="00C47315">
            <w:pPr>
              <w:pStyle w:val="Bullets"/>
            </w:pPr>
            <w:r>
              <w:t xml:space="preserve">Some people have cultural and religious preferences </w:t>
            </w:r>
            <w:r w:rsidR="00D1712F">
              <w:t xml:space="preserve">that may prevent them discussing some of the symptoms of kidney cancer such as blood in their urine, with their doctor. Some people may also have preferences </w:t>
            </w:r>
            <w:r>
              <w:t>to keep their kidneys and so have partial nephrectomies.</w:t>
            </w:r>
          </w:p>
          <w:p w14:paraId="1B9A3635" w14:textId="5BE0CF22" w:rsidR="002E0A2C" w:rsidRDefault="002E0A2C" w:rsidP="002E0A2C">
            <w:pPr>
              <w:pStyle w:val="Paragraph"/>
              <w:spacing w:after="0"/>
              <w:ind w:left="360"/>
            </w:pPr>
            <w:r w:rsidRPr="00DB31C3">
              <w:t>Se</w:t>
            </w:r>
            <w:r w:rsidR="00A32D00" w:rsidRPr="00DB31C3">
              <w:t>x</w:t>
            </w:r>
            <w:r w:rsidRPr="00DB31C3">
              <w:t>:</w:t>
            </w:r>
          </w:p>
          <w:p w14:paraId="2832E07A" w14:textId="7C1422FA" w:rsidR="00812A20" w:rsidRPr="00DB31C3" w:rsidRDefault="00323C05" w:rsidP="00AD7A8D">
            <w:pPr>
              <w:pStyle w:val="Bullets"/>
            </w:pPr>
            <w:r>
              <w:t>A</w:t>
            </w:r>
            <w:r w:rsidR="00812A20">
              <w:t xml:space="preserve"> study by </w:t>
            </w:r>
            <w:hyperlink r:id="rId10" w:history="1">
              <w:r w:rsidR="00812A20" w:rsidRPr="00CB60B6">
                <w:rPr>
                  <w:rStyle w:val="Hyperlink"/>
                </w:rPr>
                <w:t>Zhou et al 2019</w:t>
              </w:r>
            </w:hyperlink>
            <w:r w:rsidR="00812A20">
              <w:t xml:space="preserve"> in high-income countries, found that women were more likely than men to experience delays in diagnosis</w:t>
            </w:r>
            <w:r w:rsidR="00786337">
              <w:t xml:space="preserve"> of kidney cancer</w:t>
            </w:r>
            <w:r w:rsidR="00812A20">
              <w:t>. Kidney cancer in both sexes tends to be diagnosed either through incidental findings of investigations for other conditions, or at advanced stages.</w:t>
            </w:r>
          </w:p>
          <w:p w14:paraId="1E0A74AF" w14:textId="063EB3CF" w:rsidR="00A32D00" w:rsidRDefault="002E0A2C" w:rsidP="002E0A2C">
            <w:pPr>
              <w:pStyle w:val="Paragraph"/>
              <w:spacing w:after="0"/>
              <w:ind w:left="360"/>
            </w:pPr>
            <w:r w:rsidRPr="00DB31C3">
              <w:lastRenderedPageBreak/>
              <w:t>S</w:t>
            </w:r>
            <w:r w:rsidR="00A32D00" w:rsidRPr="00DB31C3">
              <w:t>exual orientation</w:t>
            </w:r>
            <w:r w:rsidRPr="00DB31C3">
              <w:t>:</w:t>
            </w:r>
          </w:p>
          <w:p w14:paraId="7DABE4F9" w14:textId="7A469E56" w:rsidR="00CB60B6" w:rsidRDefault="00CB60B6" w:rsidP="00CB60B6">
            <w:pPr>
              <w:pStyle w:val="Bullets"/>
            </w:pPr>
            <w:r>
              <w:t>No specific issues identified.</w:t>
            </w:r>
          </w:p>
          <w:p w14:paraId="71864DA9" w14:textId="77777777" w:rsidR="001E3D24" w:rsidRPr="00DB31C3" w:rsidRDefault="001E3D24" w:rsidP="002E0A2C">
            <w:pPr>
              <w:pStyle w:val="Paragraph"/>
              <w:spacing w:after="0"/>
              <w:ind w:left="360"/>
            </w:pPr>
          </w:p>
          <w:p w14:paraId="3BA395E4" w14:textId="11011329" w:rsidR="00A32D00" w:rsidRDefault="00A32D00" w:rsidP="00A44AB1">
            <w:pPr>
              <w:pStyle w:val="Paragraph"/>
              <w:numPr>
                <w:ilvl w:val="0"/>
                <w:numId w:val="8"/>
              </w:numPr>
              <w:spacing w:after="0"/>
            </w:pPr>
            <w:r w:rsidRPr="00DB31C3">
              <w:t xml:space="preserve">Socioeconomic status and deprivation </w:t>
            </w:r>
          </w:p>
          <w:p w14:paraId="58870136" w14:textId="45BBE47F" w:rsidR="00CB60B6" w:rsidRDefault="00CB60B6" w:rsidP="0080372B">
            <w:pPr>
              <w:pStyle w:val="Bullets"/>
            </w:pPr>
            <w:r>
              <w:t xml:space="preserve">The incidence of kidney cancer and mortality from kidney cancer is linked to deprivation, </w:t>
            </w:r>
            <w:proofErr w:type="gramStart"/>
            <w:r>
              <w:t>in particular</w:t>
            </w:r>
            <w:r w:rsidR="00323C05">
              <w:t xml:space="preserve"> </w:t>
            </w:r>
            <w:r>
              <w:t>among</w:t>
            </w:r>
            <w:proofErr w:type="gramEnd"/>
            <w:r>
              <w:t xml:space="preserve"> women. In England, the incidence of kidney cancer in women is 40% higher in the most deprived quintile compared to the least deprived quintile. In men, the incidence is 17% higher. Mortality from kidney cancer is 44% higher for females and 28% higher for males from the most deprived quintiles when compared to the least deprived quintiles (</w:t>
            </w:r>
            <w:hyperlink r:id="rId11" w:anchor="heading-Five" w:history="1">
              <w:r w:rsidRPr="00EA2178">
                <w:rPr>
                  <w:rStyle w:val="Hyperlink"/>
                </w:rPr>
                <w:t>Cancer Research UK</w:t>
              </w:r>
            </w:hyperlink>
            <w:r>
              <w:t xml:space="preserve">). </w:t>
            </w:r>
          </w:p>
          <w:p w14:paraId="1271A831" w14:textId="76A34BC0" w:rsidR="00CB60B6" w:rsidRDefault="00CB60B6" w:rsidP="00323C05">
            <w:pPr>
              <w:pStyle w:val="Bullets"/>
              <w:spacing w:after="0"/>
            </w:pPr>
            <w:r>
              <w:t>People on lower incomes may find it harder to take time off work to attend</w:t>
            </w:r>
            <w:r w:rsidR="00EA2178">
              <w:t xml:space="preserve"> </w:t>
            </w:r>
            <w:r>
              <w:t>appointments, for example, if they are on zero-hours contracts or only have access to</w:t>
            </w:r>
            <w:r w:rsidR="00EA2178">
              <w:t xml:space="preserve"> </w:t>
            </w:r>
            <w:r>
              <w:t>statutory sick pay. People on lower incomes or who live in areas of deprivation may</w:t>
            </w:r>
            <w:r w:rsidR="00EA2178">
              <w:t xml:space="preserve"> </w:t>
            </w:r>
            <w:r>
              <w:t>have reduced access to online resources offering information and support</w:t>
            </w:r>
            <w:r w:rsidR="00EA2178">
              <w:t>.</w:t>
            </w:r>
          </w:p>
          <w:p w14:paraId="1F12C84B" w14:textId="77777777" w:rsidR="00786337" w:rsidRPr="00DB31C3" w:rsidRDefault="00786337" w:rsidP="00786337">
            <w:pPr>
              <w:pStyle w:val="Bullets"/>
              <w:numPr>
                <w:ilvl w:val="0"/>
                <w:numId w:val="0"/>
              </w:numPr>
              <w:spacing w:after="0"/>
              <w:ind w:left="1174"/>
            </w:pPr>
          </w:p>
          <w:p w14:paraId="0D60D0BC" w14:textId="48F9AD8D" w:rsidR="00A32D00" w:rsidRDefault="00A32D00" w:rsidP="00A44AB1">
            <w:pPr>
              <w:pStyle w:val="Paragraph"/>
              <w:numPr>
                <w:ilvl w:val="0"/>
                <w:numId w:val="8"/>
              </w:numPr>
              <w:spacing w:after="0"/>
            </w:pPr>
            <w:r w:rsidRPr="00DB31C3">
              <w:t>Geographical area variation</w:t>
            </w:r>
          </w:p>
          <w:p w14:paraId="5503E177" w14:textId="6A562B73" w:rsidR="00D1712F" w:rsidRDefault="00D1712F" w:rsidP="000E78F6">
            <w:pPr>
              <w:pStyle w:val="Bullets"/>
            </w:pPr>
            <w:r>
              <w:t xml:space="preserve">An audit of kidney cancer services carried out in England by </w:t>
            </w:r>
            <w:hyperlink r:id="rId12" w:history="1">
              <w:r w:rsidRPr="00EA2178">
                <w:rPr>
                  <w:rStyle w:val="Hyperlink"/>
                </w:rPr>
                <w:t>Kidney Cancer UK</w:t>
              </w:r>
            </w:hyperlink>
            <w:r>
              <w:t xml:space="preserve"> in 2022 based on 2017-18 data, found marked </w:t>
            </w:r>
            <w:r w:rsidR="00DD2A8E">
              <w:t xml:space="preserve">geographical </w:t>
            </w:r>
            <w:r>
              <w:t xml:space="preserve">variation in the quality of kidney cancer services when analysed by NHS Trust and Cancer Alliance. These occurred throughout the pathway and included variations in the proportion of diagnoses made at a stage when tumours were curable, the type of surgery patients received for tumours at a particular stage, and the proportion of patients with metastatic kidney cancer that received systemic pharmacotherapies. The audit confirmed that variations in treatments offered and the timing with which they are offered, affects survival rates. </w:t>
            </w:r>
          </w:p>
          <w:p w14:paraId="5944B38E" w14:textId="5039F4D0" w:rsidR="00D1712F" w:rsidRDefault="00D1712F" w:rsidP="008A55B2">
            <w:pPr>
              <w:pStyle w:val="Bullets"/>
            </w:pPr>
            <w:r>
              <w:t xml:space="preserve">The results of an annual </w:t>
            </w:r>
            <w:r w:rsidR="00323C05">
              <w:t xml:space="preserve">kidney cancer </w:t>
            </w:r>
            <w:r>
              <w:t xml:space="preserve">patient survey highlighted variation in practice, particularly around the provision of mental wellbeing support for </w:t>
            </w:r>
            <w:r w:rsidR="00323C05">
              <w:t>people</w:t>
            </w:r>
            <w:r>
              <w:t xml:space="preserve"> with kidney cancer (</w:t>
            </w:r>
            <w:hyperlink r:id="rId13" w:history="1">
              <w:r w:rsidRPr="00D1712F">
                <w:rPr>
                  <w:rStyle w:val="Hyperlink"/>
                </w:rPr>
                <w:t>Kidney Cancer UK 2022</w:t>
              </w:r>
            </w:hyperlink>
            <w:r>
              <w:t>).</w:t>
            </w:r>
          </w:p>
          <w:p w14:paraId="3349140F" w14:textId="3E5FAF94" w:rsidR="00CB60B6" w:rsidRPr="00DB31C3" w:rsidRDefault="00EA2178" w:rsidP="002D2C25">
            <w:pPr>
              <w:pStyle w:val="Bullets"/>
            </w:pPr>
            <w:r>
              <w:t xml:space="preserve">A study by </w:t>
            </w:r>
            <w:hyperlink r:id="rId14" w:history="1">
              <w:r w:rsidRPr="00EA2178">
                <w:rPr>
                  <w:rStyle w:val="Hyperlink"/>
                </w:rPr>
                <w:t>Harrison et al 2023</w:t>
              </w:r>
            </w:hyperlink>
            <w:r>
              <w:t xml:space="preserve"> focused on follow-up care after surgery for kidney cancer and identified concerns about variations in the content and quality of follow-up care, among different hospitals and treatment centres in the UK. In addition, there is regional variation in access to care. People who do not live near tertiary centres may not be offered all options for the management of kidney cancer if they are not available locally. Difficulties in travelling longer distances due to cost, disabilities, or caring responsibilities, may limit some people’s access to a broader range of treatment options.</w:t>
            </w:r>
          </w:p>
          <w:p w14:paraId="284C1645" w14:textId="49044C00" w:rsidR="00EF1567" w:rsidRDefault="00A32D00" w:rsidP="00A44AB1">
            <w:pPr>
              <w:pStyle w:val="Paragraph"/>
              <w:numPr>
                <w:ilvl w:val="0"/>
                <w:numId w:val="8"/>
              </w:numPr>
            </w:pPr>
            <w:r w:rsidRPr="00DB31C3">
              <w:t>Inclusion health and vulnerable groups</w:t>
            </w:r>
            <w:r w:rsidR="00247034" w:rsidRPr="00DB31C3">
              <w:t xml:space="preserve"> </w:t>
            </w:r>
          </w:p>
          <w:p w14:paraId="1D75A587" w14:textId="4A3B56C3" w:rsidR="00B25AB1" w:rsidRPr="00B25AB1" w:rsidRDefault="00B25AB1" w:rsidP="00B25AB1">
            <w:pPr>
              <w:pStyle w:val="Bullets"/>
            </w:pPr>
            <w:r>
              <w:lastRenderedPageBreak/>
              <w:t xml:space="preserve">Some people have </w:t>
            </w:r>
            <w:r w:rsidR="00B7644E">
              <w:t>low</w:t>
            </w:r>
            <w:r w:rsidRPr="00B25AB1">
              <w:t xml:space="preserve"> health literacy </w:t>
            </w:r>
            <w:r>
              <w:t>which</w:t>
            </w:r>
            <w:r w:rsidR="00D62B86">
              <w:t xml:space="preserve"> </w:t>
            </w:r>
            <w:r w:rsidRPr="00B25AB1">
              <w:t xml:space="preserve">may result </w:t>
            </w:r>
            <w:r w:rsidR="00D62B86">
              <w:t xml:space="preserve">in them </w:t>
            </w:r>
            <w:r w:rsidRPr="00B25AB1">
              <w:t xml:space="preserve">presenting with later-stage cancers </w:t>
            </w:r>
            <w:r w:rsidR="008A0CE5">
              <w:t>(</w:t>
            </w:r>
            <w:hyperlink r:id="rId15" w:history="1">
              <w:r w:rsidR="008A0CE5" w:rsidRPr="00890B1B">
                <w:rPr>
                  <w:rStyle w:val="Hyperlink"/>
                </w:rPr>
                <w:t>Davis et al. 20</w:t>
              </w:r>
              <w:r w:rsidR="00890B1B" w:rsidRPr="00890B1B">
                <w:rPr>
                  <w:rStyle w:val="Hyperlink"/>
                </w:rPr>
                <w:t>02</w:t>
              </w:r>
            </w:hyperlink>
            <w:r w:rsidR="008A0CE5">
              <w:t xml:space="preserve">) </w:t>
            </w:r>
            <w:r w:rsidRPr="00B25AB1">
              <w:t>and requiring more extensive treatment. In addition, people with low levels of literacy and health literacy may find it harder to understand the treatment options that are available to them. Information may need to be provided in accessible formats and face-to-face appointments held, to ensure that they are able to fully engage in the decision-making process and make informed choices about treatment options.</w:t>
            </w:r>
          </w:p>
          <w:p w14:paraId="64A867B8" w14:textId="72EE6C61" w:rsidR="00EF1567" w:rsidRPr="00247034" w:rsidRDefault="00D1712F" w:rsidP="00323C05">
            <w:pPr>
              <w:pStyle w:val="Bullets"/>
              <w:rPr>
                <w:i/>
                <w:iCs/>
              </w:rPr>
            </w:pPr>
            <w:r>
              <w:t>Some people may have limited access to or difficulty using technology which can be a barrier to being able to use online resources providing information and support about kidney cancer.</w:t>
            </w:r>
            <w:r w:rsidR="00A71AB8">
              <w:t xml:space="preserve"> Some people may need additional support to access and use online resources, or where internet access is unavailable or limited, resources may need to be provided via alternative means.</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tcPr>
          <w:p w14:paraId="466DB04B" w14:textId="0B8A3024" w:rsidR="00694918" w:rsidRPr="00094590" w:rsidRDefault="00694918" w:rsidP="00A44AB1">
            <w:pPr>
              <w:pStyle w:val="Paragraph"/>
              <w:numPr>
                <w:ilvl w:val="1"/>
                <w:numId w:val="9"/>
              </w:numPr>
              <w:rPr>
                <w:rFonts w:cs="Arial"/>
              </w:rPr>
            </w:pPr>
            <w:bookmarkStart w:id="4"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4"/>
          </w:p>
        </w:tc>
      </w:tr>
      <w:tr w:rsidR="00694918" w:rsidRPr="00094590" w14:paraId="2F2C4AFA" w14:textId="77777777" w:rsidTr="008609AE">
        <w:trPr>
          <w:trHeight w:val="3392"/>
        </w:trPr>
        <w:tc>
          <w:tcPr>
            <w:tcW w:w="9704" w:type="dxa"/>
          </w:tcPr>
          <w:p w14:paraId="29DD8B38" w14:textId="77777777" w:rsidR="00694918" w:rsidRDefault="00694918" w:rsidP="00EB653E">
            <w:pPr>
              <w:pStyle w:val="Paragraph"/>
              <w:spacing w:after="0"/>
            </w:pPr>
          </w:p>
          <w:p w14:paraId="3332B2C5" w14:textId="4471596B" w:rsidR="00694918" w:rsidRDefault="001D70A2" w:rsidP="001D70A2">
            <w:pPr>
              <w:pStyle w:val="Paragraph"/>
            </w:pPr>
            <w:r w:rsidRPr="001D70A2">
              <w:t xml:space="preserve">The equality and health inequality issues identified in </w:t>
            </w:r>
            <w:r>
              <w:t xml:space="preserve">section </w:t>
            </w:r>
            <w:r w:rsidRPr="001D70A2">
              <w:t>1.2 could inform comments on</w:t>
            </w:r>
            <w:r w:rsidR="005A166F">
              <w:t xml:space="preserve"> an</w:t>
            </w:r>
            <w:r w:rsidRPr="001D70A2">
              <w:t xml:space="preserve"> area of priority for quality improvement from stakeholders. The issues identified in section 1.2 could also be used to inform </w:t>
            </w:r>
            <w:r>
              <w:t xml:space="preserve">the </w:t>
            </w:r>
            <w:r w:rsidRPr="001D70A2">
              <w:t>focus of quality statements, quality measures or equality and diversity considerations for statements once topic engagement comments have been received from stakeholders</w:t>
            </w:r>
            <w:r>
              <w:t xml:space="preserve"> and considered by the committee.</w:t>
            </w:r>
          </w:p>
          <w:p w14:paraId="3B00F7B9" w14:textId="43F81839" w:rsidR="00694918" w:rsidRDefault="001D70A2" w:rsidP="008609AE">
            <w:pPr>
              <w:pStyle w:val="Paragraph"/>
            </w:pPr>
            <w:r>
              <w:t>The quality standard will be developed alongside the guideline</w:t>
            </w:r>
            <w:r w:rsidR="008609AE">
              <w:t xml:space="preserve"> and if recommendations are made to address equality issues in the </w:t>
            </w:r>
            <w:r>
              <w:t>area</w:t>
            </w:r>
            <w:r w:rsidR="008609AE">
              <w:t>s</w:t>
            </w:r>
            <w:r>
              <w:t xml:space="preserve"> </w:t>
            </w:r>
            <w:r w:rsidR="008609AE">
              <w:t xml:space="preserve">prioritised </w:t>
            </w:r>
            <w:r>
              <w:t>for the quality standard th</w:t>
            </w:r>
            <w:r w:rsidR="008609AE">
              <w:t>ese will be considered in development of the statement and supporting information.</w:t>
            </w:r>
            <w:r>
              <w:t xml:space="preserve"> </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tcPr>
          <w:p w14:paraId="62E9BAC7" w14:textId="69874389" w:rsidR="00537554" w:rsidRPr="000D39D9" w:rsidRDefault="00537554" w:rsidP="00A44AB1">
            <w:pPr>
              <w:pStyle w:val="Paragraph"/>
              <w:numPr>
                <w:ilvl w:val="1"/>
                <w:numId w:val="9"/>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tcPr>
          <w:p w14:paraId="4EA45C5E" w14:textId="15ED046D" w:rsidR="00451133" w:rsidRPr="00DA13AC" w:rsidRDefault="004B140D" w:rsidP="00EE296E">
            <w:pPr>
              <w:pStyle w:val="Paragraph"/>
              <w:spacing w:after="0"/>
              <w:rPr>
                <w:i/>
              </w:rPr>
            </w:pPr>
            <w:r w:rsidRPr="004B140D">
              <w:t>The stakeholder list for topic engagement includes organisations that can help to explore equality and health inequalities issues</w:t>
            </w:r>
            <w:r>
              <w:t>. We will be using the stakeholder list developed with the NICE Public Involvement Programme (PIP) for the guideline which includes organisations focussed on engagement and participation by people who have lived experience of kidney cancer.</w:t>
            </w:r>
            <w:r w:rsidR="00F96E99">
              <w:tab/>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tcPr>
          <w:p w14:paraId="5125968B" w14:textId="0536D144" w:rsidR="00651308" w:rsidRPr="000D39D9" w:rsidRDefault="00651308" w:rsidP="00A44AB1">
            <w:pPr>
              <w:pStyle w:val="Paragraph"/>
              <w:numPr>
                <w:ilvl w:val="1"/>
                <w:numId w:val="9"/>
              </w:numPr>
              <w:rPr>
                <w:rFonts w:cs="Arial"/>
              </w:rPr>
            </w:pPr>
            <w:r w:rsidRPr="00DA13AC">
              <w:lastRenderedPageBreak/>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1553E9">
        <w:trPr>
          <w:trHeight w:val="3433"/>
        </w:trPr>
        <w:tc>
          <w:tcPr>
            <w:tcW w:w="9719" w:type="dxa"/>
          </w:tcPr>
          <w:p w14:paraId="7E84046B" w14:textId="5342E96D" w:rsidR="00C94D35" w:rsidRPr="00C94D35" w:rsidRDefault="00C94D35" w:rsidP="00C94D35">
            <w:pPr>
              <w:pStyle w:val="Paragraph"/>
            </w:pPr>
            <w:r w:rsidRPr="00C94D35">
              <w:t>Lay committee members with lived experience will be asked for input at committee meetings and key points through development of the quality standard.</w:t>
            </w:r>
          </w:p>
          <w:p w14:paraId="6084572A" w14:textId="77777777" w:rsidR="00651308" w:rsidRDefault="00C94D35" w:rsidP="00C94D35">
            <w:pPr>
              <w:pStyle w:val="Paragraph"/>
            </w:pPr>
            <w:r w:rsidRPr="00C94D35">
              <w:t>We will work with key patient stakeholders and actively contact these organisations, alongside contact via the NICE public involvement programme, for response to topic engagement and consultation on the draft quality standard. We will ensure their views are presented to the committee.</w:t>
            </w:r>
          </w:p>
          <w:p w14:paraId="5667D10B" w14:textId="637A492F" w:rsidR="0022195C" w:rsidRDefault="0022195C" w:rsidP="00C94D35">
            <w:pPr>
              <w:pStyle w:val="Paragraph"/>
            </w:pPr>
            <w:r>
              <w:t xml:space="preserve">We will include </w:t>
            </w:r>
            <w:r w:rsidR="009A4335">
              <w:t xml:space="preserve">any </w:t>
            </w:r>
            <w:r>
              <w:t>evidence of inequality issues in the briefing paper that will be considered by the guideline committee when considering areas to include in the quality standard.</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tcPr>
          <w:p w14:paraId="0B9FF55D" w14:textId="5F518B25" w:rsidR="00843091" w:rsidRDefault="00242ABB" w:rsidP="00A44AB1">
            <w:pPr>
              <w:pStyle w:val="Paragraph"/>
              <w:numPr>
                <w:ilvl w:val="1"/>
                <w:numId w:val="9"/>
              </w:numPr>
            </w:pPr>
            <w:r>
              <w:rPr>
                <w:rFonts w:cs="Arial"/>
              </w:rPr>
              <w:t xml:space="preserve"> </w:t>
            </w:r>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p>
        </w:tc>
      </w:tr>
      <w:tr w:rsidR="00451133" w:rsidRPr="00094590" w14:paraId="51FC9179" w14:textId="77777777" w:rsidTr="00B025EB">
        <w:trPr>
          <w:trHeight w:val="1408"/>
        </w:trPr>
        <w:tc>
          <w:tcPr>
            <w:tcW w:w="9731" w:type="dxa"/>
          </w:tcPr>
          <w:p w14:paraId="15AEEF3B" w14:textId="710104F5" w:rsidR="00427C7C" w:rsidRDefault="00DC64E5" w:rsidP="00DC64E5">
            <w:pPr>
              <w:pStyle w:val="Paragraph"/>
            </w:pPr>
            <w:r w:rsidRPr="00DC64E5">
              <w:t xml:space="preserve">Kidney cancers in children are not included </w:t>
            </w:r>
            <w:r w:rsidR="00427C7C">
              <w:t xml:space="preserve">in the scope for this quality standard </w:t>
            </w:r>
            <w:r w:rsidRPr="00DC64E5">
              <w:t>because they are managed and treated as paediatric cancers in a different pathway.</w:t>
            </w:r>
            <w:r w:rsidR="00427C7C">
              <w:t xml:space="preserve"> </w:t>
            </w:r>
            <w:r w:rsidR="00427C7C" w:rsidRPr="00427C7C">
              <w:t xml:space="preserve">There is a published quality standard on the care of </w:t>
            </w:r>
            <w:hyperlink r:id="rId16" w:history="1">
              <w:r w:rsidR="00427C7C" w:rsidRPr="00786337">
                <w:rPr>
                  <w:rStyle w:val="Hyperlink"/>
                </w:rPr>
                <w:t>children and young people with cancer (QS55)</w:t>
              </w:r>
            </w:hyperlink>
            <w:r w:rsidR="00427C7C" w:rsidRPr="00427C7C">
              <w:t>.</w:t>
            </w:r>
          </w:p>
          <w:p w14:paraId="694688D7" w14:textId="731C5D9B" w:rsidR="00451133" w:rsidRPr="00BD63F3" w:rsidRDefault="00427C7C" w:rsidP="00DC64E5">
            <w:pPr>
              <w:pStyle w:val="Paragraph"/>
            </w:pPr>
            <w:r w:rsidRPr="00427C7C">
              <w:t>The exclusion will not have further impact on people affected by the equality and health inequalities issues identified</w:t>
            </w:r>
            <w:r>
              <w:t>.</w:t>
            </w:r>
          </w:p>
        </w:tc>
      </w:tr>
    </w:tbl>
    <w:p w14:paraId="6165A1FA" w14:textId="77777777" w:rsidR="00843091" w:rsidRDefault="00843091" w:rsidP="00C14F15">
      <w:pPr>
        <w:pStyle w:val="Paragraphnonumbers"/>
        <w:rPr>
          <w:rFonts w:cs="Arial"/>
        </w:rPr>
      </w:pPr>
    </w:p>
    <w:p w14:paraId="32D28A73" w14:textId="6A55F19A"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DC64E5">
        <w:rPr>
          <w:rFonts w:cs="Arial"/>
        </w:rPr>
        <w:t>Melanie Carr</w:t>
      </w:r>
    </w:p>
    <w:p w14:paraId="52163644" w14:textId="77777777" w:rsidR="001431B0" w:rsidRPr="0078563E" w:rsidRDefault="001431B0" w:rsidP="001431B0">
      <w:pPr>
        <w:pStyle w:val="Paragraphnonumbers"/>
        <w:spacing w:after="0"/>
        <w:rPr>
          <w:rFonts w:cs="Arial"/>
        </w:rPr>
      </w:pPr>
    </w:p>
    <w:p w14:paraId="392CBC66" w14:textId="1B590E66"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DC64E5">
        <w:rPr>
          <w:rFonts w:cs="Arial"/>
        </w:rPr>
        <w:t>22/01/2024</w:t>
      </w:r>
    </w:p>
    <w:p w14:paraId="62CF53E5" w14:textId="77777777" w:rsidR="001431B0" w:rsidRDefault="001431B0" w:rsidP="001431B0">
      <w:pPr>
        <w:pStyle w:val="Paragraphnonumbers"/>
        <w:spacing w:after="0"/>
        <w:rPr>
          <w:rFonts w:cs="Arial"/>
        </w:rPr>
      </w:pPr>
    </w:p>
    <w:p w14:paraId="46D256C1" w14:textId="2614931A"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1D7873">
        <w:rPr>
          <w:rFonts w:cs="Arial"/>
        </w:rPr>
        <w:t>Mark Minchin</w:t>
      </w:r>
    </w:p>
    <w:p w14:paraId="0E56F1E6" w14:textId="77777777" w:rsidR="001431B0" w:rsidRPr="0078563E" w:rsidRDefault="001431B0" w:rsidP="001431B0">
      <w:pPr>
        <w:pStyle w:val="Paragraphnonumbers"/>
        <w:spacing w:after="0"/>
        <w:rPr>
          <w:rFonts w:cs="Arial"/>
        </w:rPr>
      </w:pPr>
    </w:p>
    <w:p w14:paraId="388AB87B" w14:textId="6C609041"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1D7873" w:rsidRPr="001D7873">
        <w:rPr>
          <w:rFonts w:cs="Arial"/>
        </w:rPr>
        <w:t>01</w:t>
      </w:r>
      <w:r w:rsidRPr="001D7873">
        <w:rPr>
          <w:rFonts w:cs="Arial"/>
        </w:rPr>
        <w:t>/</w:t>
      </w:r>
      <w:r w:rsidR="001D7873" w:rsidRPr="001D7873">
        <w:rPr>
          <w:rFonts w:cs="Arial"/>
        </w:rPr>
        <w:t>02</w:t>
      </w:r>
      <w:r w:rsidRPr="001D7873">
        <w:rPr>
          <w:rFonts w:cs="Arial"/>
        </w:rPr>
        <w:t>/</w:t>
      </w:r>
      <w:r w:rsidR="001D7873" w:rsidRPr="001D7873">
        <w:rPr>
          <w:rFonts w:cs="Arial"/>
        </w:rPr>
        <w:t>2024</w:t>
      </w:r>
    </w:p>
    <w:p w14:paraId="5F650468" w14:textId="6828404A" w:rsidR="00CE3DF3" w:rsidRDefault="00CE3DF3">
      <w:pPr>
        <w:rPr>
          <w:rStyle w:val="cf01"/>
          <w:b/>
          <w:bCs/>
          <w:kern w:val="32"/>
        </w:rPr>
      </w:pPr>
      <w:r>
        <w:rPr>
          <w:rStyle w:val="cf01"/>
        </w:rPr>
        <w:br w:type="page"/>
      </w:r>
    </w:p>
    <w:p w14:paraId="3DD91F1B" w14:textId="77777777" w:rsidR="00CE3DF3" w:rsidRDefault="00CE3DF3" w:rsidP="00CE3DF3">
      <w:pPr>
        <w:pStyle w:val="Heading1"/>
      </w:pPr>
      <w:bookmarkStart w:id="5" w:name="_Toc138944321"/>
      <w:bookmarkStart w:id="6" w:name="_Toc109224100"/>
      <w:r>
        <w:lastRenderedPageBreak/>
        <w:t>STAGE 2. Consultation</w:t>
      </w:r>
      <w:bookmarkEnd w:id="5"/>
      <w:r w:rsidRPr="001B335E">
        <w:t xml:space="preserve"> </w:t>
      </w:r>
      <w:bookmarkEnd w:id="6"/>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E3DF3" w:rsidRPr="0078563E" w14:paraId="3446FD12" w14:textId="77777777" w:rsidTr="000C31D0">
        <w:trPr>
          <w:trHeight w:val="932"/>
        </w:trPr>
        <w:tc>
          <w:tcPr>
            <w:tcW w:w="9736" w:type="dxa"/>
          </w:tcPr>
          <w:p w14:paraId="6E725C2C" w14:textId="77777777" w:rsidR="00CE3DF3" w:rsidRPr="0078563E" w:rsidRDefault="00CE3DF3" w:rsidP="00A44AB1">
            <w:pPr>
              <w:pStyle w:val="Paragraph"/>
              <w:numPr>
                <w:ilvl w:val="1"/>
                <w:numId w:val="10"/>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Pr>
                <w:rFonts w:cs="Arial"/>
              </w:rPr>
              <w:t>1</w:t>
            </w:r>
            <w:r w:rsidRPr="008F19F0">
              <w:rPr>
                <w:rFonts w:cs="Arial"/>
              </w:rPr>
              <w:t>.2)?</w:t>
            </w:r>
          </w:p>
        </w:tc>
      </w:tr>
      <w:tr w:rsidR="00CE3DF3" w:rsidRPr="0078563E" w14:paraId="14DE2134" w14:textId="77777777" w:rsidTr="000C31D0">
        <w:trPr>
          <w:trHeight w:val="2168"/>
        </w:trPr>
        <w:tc>
          <w:tcPr>
            <w:tcW w:w="9736" w:type="dxa"/>
          </w:tcPr>
          <w:p w14:paraId="077DC31E" w14:textId="47A2A116" w:rsidR="00CE3DF3" w:rsidRDefault="00890B1B" w:rsidP="007650D5">
            <w:pPr>
              <w:pStyle w:val="Paragraphnonumbers"/>
            </w:pPr>
            <w:r>
              <w:t xml:space="preserve">Five </w:t>
            </w:r>
            <w:r w:rsidR="00212A72">
              <w:t xml:space="preserve">stakeholders responded to topic engagement, including </w:t>
            </w:r>
            <w:r w:rsidR="007650D5">
              <w:t>national NHS organisations</w:t>
            </w:r>
            <w:r w:rsidR="00212A72">
              <w:t xml:space="preserve">, 2 </w:t>
            </w:r>
            <w:r w:rsidR="00742CA9">
              <w:t>of the key voluntary organisations specialising in supporting people with kidney cancer</w:t>
            </w:r>
            <w:r w:rsidR="00212A72">
              <w:t xml:space="preserve">, 1 professional </w:t>
            </w:r>
            <w:r w:rsidR="007650D5">
              <w:t xml:space="preserve">body </w:t>
            </w:r>
            <w:r w:rsidR="0042145A">
              <w:t>and 1 research organisation.</w:t>
            </w:r>
            <w:r w:rsidR="007650D5">
              <w:t xml:space="preserve"> Guideline committee members also responded to topic engagement, including 2 lay members.</w:t>
            </w:r>
          </w:p>
          <w:p w14:paraId="094E1DE9" w14:textId="42E0F2B0" w:rsidR="007650D5" w:rsidRPr="007650D5" w:rsidRDefault="007326EB" w:rsidP="00C931AB">
            <w:pPr>
              <w:pStyle w:val="Paragraphnonumbers"/>
            </w:pPr>
            <w:r>
              <w:t xml:space="preserve">Stakeholders highlighted </w:t>
            </w:r>
            <w:proofErr w:type="gramStart"/>
            <w:r>
              <w:t>a number of</w:t>
            </w:r>
            <w:proofErr w:type="gramEnd"/>
            <w:r>
              <w:t xml:space="preserve"> topic specific </w:t>
            </w:r>
            <w:r w:rsidR="00C931AB">
              <w:t xml:space="preserve">health inequality issues which are included in section 2.2. They also highlighted the general need for services to be accessible and for reasonable adjustments to made to ensure people </w:t>
            </w:r>
            <w:proofErr w:type="gramStart"/>
            <w:r w:rsidR="00C931AB">
              <w:t>are able to</w:t>
            </w:r>
            <w:proofErr w:type="gramEnd"/>
            <w:r w:rsidR="00C931AB">
              <w:t xml:space="preserve"> access the support and care they need.</w:t>
            </w:r>
          </w:p>
        </w:tc>
      </w:tr>
    </w:tbl>
    <w:p w14:paraId="28AC8C27" w14:textId="77777777" w:rsidR="00CE3DF3" w:rsidRPr="00BF1C2F" w:rsidRDefault="00CE3DF3" w:rsidP="00CE3DF3">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E3DF3" w:rsidRPr="0078563E" w14:paraId="7B14772F" w14:textId="77777777" w:rsidTr="000C31D0">
        <w:tc>
          <w:tcPr>
            <w:tcW w:w="9747" w:type="dxa"/>
          </w:tcPr>
          <w:p w14:paraId="7E8979D9" w14:textId="77777777" w:rsidR="00CE3DF3" w:rsidRPr="00003A98" w:rsidRDefault="00CE3DF3" w:rsidP="000C31D0">
            <w:pPr>
              <w:pStyle w:val="Paragraph"/>
              <w:spacing w:after="0"/>
            </w:pPr>
            <w:bookmarkStart w:id="7" w:name="_Hlk110608537"/>
            <w:r>
              <w:t xml:space="preserve">2.2 </w:t>
            </w:r>
            <w:r w:rsidRPr="00003A98">
              <w:t xml:space="preserve">From the </w:t>
            </w:r>
            <w:r>
              <w:t>topic engagement exercise and the committee’s considerations thereof</w:t>
            </w:r>
            <w:r w:rsidRPr="00003A98">
              <w:t>, what were the main equalit</w:t>
            </w:r>
            <w:r>
              <w:t>y</w:t>
            </w:r>
            <w:r w:rsidRPr="00003A98">
              <w:t xml:space="preserve"> and health inequalities issues identified? </w:t>
            </w:r>
            <w:bookmarkEnd w:id="7"/>
          </w:p>
        </w:tc>
      </w:tr>
      <w:tr w:rsidR="00CE3DF3" w:rsidRPr="0078563E" w14:paraId="6F6CE0CF" w14:textId="77777777" w:rsidTr="003424B4">
        <w:trPr>
          <w:trHeight w:val="4810"/>
        </w:trPr>
        <w:tc>
          <w:tcPr>
            <w:tcW w:w="9747" w:type="dxa"/>
          </w:tcPr>
          <w:p w14:paraId="736A6C55" w14:textId="012F6071" w:rsidR="005F04E1" w:rsidRDefault="005F04E1" w:rsidP="005F04E1">
            <w:pPr>
              <w:pStyle w:val="Paragraph"/>
            </w:pPr>
            <w:r>
              <w:t xml:space="preserve">The following issues relevant to the quality standard were highlighted </w:t>
            </w:r>
            <w:r w:rsidR="00BB7EFD">
              <w:t xml:space="preserve">by stakeholders </w:t>
            </w:r>
            <w:r>
              <w:t>either at topic engagement or during development of the guideline.</w:t>
            </w:r>
          </w:p>
          <w:p w14:paraId="6C371156" w14:textId="698A22EA" w:rsidR="00C931AB" w:rsidRPr="00C931AB" w:rsidRDefault="00C931AB" w:rsidP="00C931AB">
            <w:pPr>
              <w:pStyle w:val="Heading3"/>
            </w:pPr>
            <w:r w:rsidRPr="00C931AB">
              <w:t>Age</w:t>
            </w:r>
          </w:p>
          <w:p w14:paraId="104ACB82" w14:textId="3BA5D4E7" w:rsidR="007650D5" w:rsidRDefault="007650D5" w:rsidP="00C931AB">
            <w:pPr>
              <w:pStyle w:val="Paragraph"/>
            </w:pPr>
            <w:r>
              <w:t xml:space="preserve">Younger people </w:t>
            </w:r>
            <w:r w:rsidR="005F04E1">
              <w:t xml:space="preserve">are </w:t>
            </w:r>
            <w:r>
              <w:t>more likely to experience diagnostic delay</w:t>
            </w:r>
            <w:r w:rsidR="00305A40">
              <w:t xml:space="preserve"> as cancer is less common in younger people. </w:t>
            </w:r>
            <w:r w:rsidR="00D86A6D">
              <w:t xml:space="preserve">Younger people are more likely to have consulted a doctor 3 or 4 times before </w:t>
            </w:r>
            <w:r w:rsidR="005F04E1">
              <w:t>referral,</w:t>
            </w:r>
            <w:r w:rsidR="00D86A6D">
              <w:t xml:space="preserve"> and they may be referred through a less urgent route compared to older people.</w:t>
            </w:r>
          </w:p>
          <w:p w14:paraId="6281EC89" w14:textId="6838C11A" w:rsidR="00BB7EFD" w:rsidRDefault="00BB7EFD" w:rsidP="00C931AB">
            <w:pPr>
              <w:pStyle w:val="Paragraph"/>
            </w:pPr>
            <w:r>
              <w:t>P</w:t>
            </w:r>
            <w:r w:rsidRPr="00BB7EFD">
              <w:t>eople diagnosed with RCC at a young age, especially those with a heritable RCC predisposition syndrome, may receive imaging for surveillance and / or follow-up for long or repeated periods over their lifetime. These groups will face cumulative risks from any imaging (such as radiation from CT).</w:t>
            </w:r>
          </w:p>
          <w:p w14:paraId="07D6A633" w14:textId="601CD4B4" w:rsidR="00C931AB" w:rsidRPr="00C931AB" w:rsidRDefault="00C931AB" w:rsidP="00C931AB">
            <w:pPr>
              <w:pStyle w:val="Heading3"/>
            </w:pPr>
            <w:r w:rsidRPr="00C931AB">
              <w:t>Disability</w:t>
            </w:r>
          </w:p>
          <w:p w14:paraId="206DEF34" w14:textId="5DDADB0A" w:rsidR="007650D5" w:rsidRDefault="005F04E1" w:rsidP="00C931AB">
            <w:pPr>
              <w:pStyle w:val="Paragraph"/>
            </w:pPr>
            <w:r>
              <w:t>P</w:t>
            </w:r>
            <w:r w:rsidR="007650D5" w:rsidRPr="008528B0">
              <w:t xml:space="preserve">eople with localised renal cell carcinoma who </w:t>
            </w:r>
            <w:proofErr w:type="gramStart"/>
            <w:r w:rsidR="007650D5" w:rsidRPr="008528B0">
              <w:t>are not able to</w:t>
            </w:r>
            <w:proofErr w:type="gramEnd"/>
            <w:r w:rsidR="007650D5" w:rsidRPr="008528B0">
              <w:t xml:space="preserve"> or do not wish to have surgery, e.g. because they are frail or have comorbidities, are not being given the option to discuss </w:t>
            </w:r>
            <w:r w:rsidR="00F935C2">
              <w:t>all treatment options</w:t>
            </w:r>
            <w:r w:rsidR="007650D5">
              <w:t xml:space="preserve">.  </w:t>
            </w:r>
            <w:r w:rsidR="007650D5" w:rsidRPr="008528B0">
              <w:t>Instead, they have no option</w:t>
            </w:r>
            <w:r w:rsidR="004B19C4">
              <w:t>s except</w:t>
            </w:r>
            <w:r w:rsidR="007650D5" w:rsidRPr="008528B0">
              <w:t xml:space="preserve"> active surveillance and then palliative care</w:t>
            </w:r>
            <w:r>
              <w:t>.</w:t>
            </w:r>
          </w:p>
          <w:p w14:paraId="57E430C4" w14:textId="65D46D68" w:rsidR="002C4621" w:rsidRDefault="002C4621" w:rsidP="00C931AB">
            <w:pPr>
              <w:pStyle w:val="Paragraph"/>
            </w:pPr>
            <w:r w:rsidRPr="002C4621">
              <w:t>CT and MRI machines have an upper weight limit due to safety and the design of the equipment. Therefore, some people with obesity may have reduced options available for imaging for diagnosing RCC, for conducting active surveillance or follow-up after treatment.</w:t>
            </w:r>
          </w:p>
          <w:p w14:paraId="601D493B" w14:textId="77777777" w:rsidR="002C4621" w:rsidRDefault="002C4621" w:rsidP="002C4621">
            <w:pPr>
              <w:pStyle w:val="Heading3"/>
            </w:pPr>
            <w:r>
              <w:lastRenderedPageBreak/>
              <w:t>Pregnancy and maternity</w:t>
            </w:r>
          </w:p>
          <w:p w14:paraId="5E8F3AEB" w14:textId="3AFF2600" w:rsidR="002C4621" w:rsidRPr="00ED168F" w:rsidRDefault="002C4621" w:rsidP="002C4621">
            <w:pPr>
              <w:pStyle w:val="Paragraph"/>
            </w:pPr>
            <w:r>
              <w:t>Most diagnostic tests and treatments for RCC are likely to be delayed until after pregnancy. The guideline committee noted that this would apply to some types of imaging conducted as part of active surveillance or follow-up after treatment as well.</w:t>
            </w:r>
          </w:p>
          <w:p w14:paraId="2449F4D9" w14:textId="77777777" w:rsidR="002C4621" w:rsidRDefault="002C4621" w:rsidP="00F935C2">
            <w:pPr>
              <w:pStyle w:val="Heading3"/>
            </w:pPr>
            <w:r w:rsidRPr="00640390">
              <w:t>Socio-economic deprivation</w:t>
            </w:r>
          </w:p>
          <w:p w14:paraId="4442E18E" w14:textId="77777777" w:rsidR="002C4621" w:rsidRDefault="002C4621" w:rsidP="002C4621">
            <w:pPr>
              <w:pStyle w:val="Paragraph"/>
            </w:pPr>
            <w:r>
              <w:t>It has been noted in sections above that p</w:t>
            </w:r>
            <w:r w:rsidRPr="007D6B74">
              <w:t xml:space="preserve">eople on lower incomes may find it harder to take time off work to attend appointments, for example, if they are on zero-hours contracts or only have access to statutory sick pay. </w:t>
            </w:r>
            <w:r>
              <w:t xml:space="preserve">The committee noted that this may be particularly relevant to people undergoing active surveillance or follow-up after treatment, both of which usually require repeated appointments over </w:t>
            </w:r>
            <w:proofErr w:type="gramStart"/>
            <w:r>
              <w:t>a number of</w:t>
            </w:r>
            <w:proofErr w:type="gramEnd"/>
            <w:r>
              <w:t xml:space="preserve"> years.</w:t>
            </w:r>
          </w:p>
          <w:p w14:paraId="54D3CB51" w14:textId="77777777" w:rsidR="002C4621" w:rsidRPr="00640390" w:rsidRDefault="002C4621" w:rsidP="002C4621">
            <w:pPr>
              <w:pStyle w:val="Paragraph"/>
              <w:rPr>
                <w:b/>
                <w:bCs/>
              </w:rPr>
            </w:pPr>
            <w:r>
              <w:t>The expense of travel for diagnosis or management options which may only be offered at tertiary centres – for example biopsy, partial nephrectomy, minimally invasive radical nephrectomy – can also create barriers to access. Difficulty attending appointments may be exacerbated by other equalities issues such as disability or caring responsibilities, creating cumulative burden.</w:t>
            </w:r>
          </w:p>
          <w:p w14:paraId="2EB39F49" w14:textId="18061924" w:rsidR="00CE3DF3" w:rsidRDefault="00C931AB" w:rsidP="00C931AB">
            <w:pPr>
              <w:pStyle w:val="Heading3"/>
            </w:pPr>
            <w:r>
              <w:t>Geographical variation</w:t>
            </w:r>
          </w:p>
          <w:p w14:paraId="2AA0A1D3" w14:textId="7ACC5138" w:rsidR="00C31B0A" w:rsidRPr="00C31B0A" w:rsidRDefault="002C4621" w:rsidP="003424B4">
            <w:pPr>
              <w:pStyle w:val="Paragraph"/>
            </w:pPr>
            <w:r>
              <w:t>V</w:t>
            </w:r>
            <w:r w:rsidRPr="002C4621">
              <w:t>ariations in quality of care due to regional variation in availability of some options for management of kidney cancer</w:t>
            </w:r>
            <w:r>
              <w:t xml:space="preserve"> were highlighted many times by stakeholders</w:t>
            </w:r>
            <w:r w:rsidRPr="002C4621">
              <w:t xml:space="preserve">. They noted that availability of contrast-enhanced ultrasound for diagnosis of RCC is limited due to availability of trained radiologists to conduct the scan. </w:t>
            </w:r>
            <w:r w:rsidR="00E25C2E">
              <w:t>T</w:t>
            </w:r>
            <w:r w:rsidR="00E25C2E" w:rsidRPr="00E25C2E">
              <w:t>he infrastructure and staffing to deliver a biopsy service is variable across UK</w:t>
            </w:r>
            <w:r w:rsidRPr="002C4621">
              <w:t>. Some surgeries for treating RCC – such as partial</w:t>
            </w:r>
            <w:r w:rsidR="00E25C2E">
              <w:t xml:space="preserve"> robotic</w:t>
            </w:r>
            <w:r w:rsidRPr="002C4621">
              <w:t xml:space="preserve"> nephrectomy, minimally invasive total nephrectomy, and cytoreductive nephrectomy – are still most often offered at specialist or tertiary centres. There is also limited availability of Clinical Nurse Specialists (CNS). This presents barriers to access for people living in rural or remote areas, or far away from tertiary centres. Other equalities characteristics which may make travel difficult will exacerbate these issues.</w:t>
            </w:r>
            <w:r w:rsidR="003424B4">
              <w:t xml:space="preserve"> </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3DF3" w14:paraId="7EB72920" w14:textId="77777777" w:rsidTr="000C31D0">
        <w:trPr>
          <w:trHeight w:val="598"/>
        </w:trPr>
        <w:tc>
          <w:tcPr>
            <w:tcW w:w="9781" w:type="dxa"/>
          </w:tcPr>
          <w:p w14:paraId="3EF95824" w14:textId="77777777" w:rsidR="00CE3DF3" w:rsidRDefault="00CE3DF3" w:rsidP="00A44AB1">
            <w:pPr>
              <w:pStyle w:val="Paragraph"/>
              <w:numPr>
                <w:ilvl w:val="1"/>
                <w:numId w:val="11"/>
              </w:numPr>
              <w:spacing w:after="0"/>
            </w:pPr>
            <w:bookmarkStart w:id="8" w:name="_Hlk110608933"/>
            <w:r>
              <w:lastRenderedPageBreak/>
              <w:t xml:space="preserve"> </w:t>
            </w:r>
            <w:bookmarkStart w:id="9" w:name="_Hlk161151855"/>
            <w:r w:rsidRPr="000C6FAB">
              <w:t xml:space="preserve">How have the committee’s considerations of equality and health inequalities issues identified in </w:t>
            </w:r>
            <w:r>
              <w:t>1.2 and 2.2</w:t>
            </w:r>
            <w:r w:rsidRPr="000C6FAB">
              <w:t xml:space="preserve"> been reflected in the</w:t>
            </w:r>
            <w:r>
              <w:t xml:space="preserve"> quality standard</w:t>
            </w:r>
            <w:r w:rsidRPr="000C6FAB">
              <w:t xml:space="preserve">? </w:t>
            </w:r>
            <w:bookmarkEnd w:id="9"/>
            <w:r w:rsidRPr="000C6FAB">
              <w:t xml:space="preserve"> </w:t>
            </w:r>
            <w:bookmarkEnd w:id="8"/>
          </w:p>
        </w:tc>
      </w:tr>
      <w:tr w:rsidR="00CE3DF3" w14:paraId="64F30EA7" w14:textId="77777777" w:rsidTr="000C31D0">
        <w:trPr>
          <w:trHeight w:val="3846"/>
        </w:trPr>
        <w:tc>
          <w:tcPr>
            <w:tcW w:w="9781" w:type="dxa"/>
          </w:tcPr>
          <w:p w14:paraId="1767C928" w14:textId="28B1D0A9" w:rsidR="00CE3DF3" w:rsidRDefault="00CC578A" w:rsidP="000C31D0">
            <w:pPr>
              <w:pStyle w:val="Paragraph"/>
            </w:pPr>
            <w:r>
              <w:t xml:space="preserve">The statements in the draft quality standard were prioritised to address geographical variation in </w:t>
            </w:r>
            <w:r w:rsidR="00AA1F06">
              <w:t xml:space="preserve">the </w:t>
            </w:r>
            <w:r>
              <w:t>quality of care for people with kidney cancer.</w:t>
            </w:r>
            <w:r w:rsidR="000963B2">
              <w:t xml:space="preserve"> The draft quality standard includes a diversity, equality and language section which</w:t>
            </w:r>
            <w:r w:rsidR="00632BA3">
              <w:t xml:space="preserve"> highlights the importance of providing accessible information</w:t>
            </w:r>
            <w:r w:rsidR="000067E8">
              <w:t xml:space="preserve"> and providing access to interpreters or advocates if needed</w:t>
            </w:r>
            <w:r w:rsidR="00632BA3">
              <w:t>.</w:t>
            </w:r>
            <w:r w:rsidR="000963B2">
              <w:t xml:space="preserve"> </w:t>
            </w:r>
            <w:r w:rsidR="00FC2AA6">
              <w:t xml:space="preserve"> </w:t>
            </w:r>
            <w:r w:rsidR="00030A25">
              <w:t>Specific e</w:t>
            </w:r>
            <w:r w:rsidR="00FC2AA6">
              <w:t xml:space="preserve">quality and diversity considerations have </w:t>
            </w:r>
            <w:r w:rsidR="00632BA3">
              <w:t xml:space="preserve">also </w:t>
            </w:r>
            <w:r w:rsidR="00FC2AA6">
              <w:t>been added to statements as follows:</w:t>
            </w:r>
          </w:p>
          <w:p w14:paraId="088457A4" w14:textId="7DE7451D" w:rsidR="005D7DF1" w:rsidRDefault="005D7DF1" w:rsidP="00FC2AA6">
            <w:pPr>
              <w:pStyle w:val="Bullets"/>
            </w:pPr>
            <w:r>
              <w:t xml:space="preserve">Statement 2 on biopsy and statement </w:t>
            </w:r>
            <w:r w:rsidR="004B19C4">
              <w:t>5</w:t>
            </w:r>
            <w:r>
              <w:t xml:space="preserve"> on uro-oncology multidisciplinary team to ensure that all people who are suitable are offered biopsy or SACT regardless of where they live, even if they need to travel to another hospital for it.</w:t>
            </w:r>
          </w:p>
          <w:p w14:paraId="305BDFEC" w14:textId="4E8EC173" w:rsidR="00CC578A" w:rsidRDefault="00FC2AA6" w:rsidP="00FC2AA6">
            <w:pPr>
              <w:pStyle w:val="Bullets"/>
            </w:pPr>
            <w:r>
              <w:lastRenderedPageBreak/>
              <w:t>S</w:t>
            </w:r>
            <w:r w:rsidR="00AA1F06">
              <w:t xml:space="preserve">tatement 2 on biopsy, statement 4 on </w:t>
            </w:r>
            <w:r w:rsidR="004B19C4">
              <w:t>surgery</w:t>
            </w:r>
            <w:r w:rsidR="00AA1F06">
              <w:t xml:space="preserve"> with curative intent</w:t>
            </w:r>
            <w:r w:rsidR="005D7DF1">
              <w:t xml:space="preserve">, </w:t>
            </w:r>
            <w:r w:rsidR="004B19C4">
              <w:t>statement 5 on follow-up imaging and statement 6</w:t>
            </w:r>
            <w:r w:rsidR="005D7DF1">
              <w:t xml:space="preserve"> on </w:t>
            </w:r>
            <w:r w:rsidR="00A92D36">
              <w:t xml:space="preserve">specialist </w:t>
            </w:r>
            <w:r w:rsidR="005D7DF1">
              <w:t xml:space="preserve">uro-oncology multidisciplinary team </w:t>
            </w:r>
            <w:r>
              <w:t xml:space="preserve">- </w:t>
            </w:r>
            <w:r w:rsidR="00CC578A">
              <w:t xml:space="preserve">to ensure that people </w:t>
            </w:r>
            <w:r w:rsidR="00A92D36">
              <w:t>should be</w:t>
            </w:r>
            <w:r w:rsidR="00CC578A">
              <w:t xml:space="preserve"> made aware that they may be eligible for the NHS healthcare travel costs scheme.</w:t>
            </w:r>
          </w:p>
          <w:p w14:paraId="36B5E010" w14:textId="4A57854A" w:rsidR="00FC2AA6" w:rsidRDefault="00FC2AA6" w:rsidP="00FC2AA6">
            <w:pPr>
              <w:pStyle w:val="Bullets"/>
            </w:pPr>
            <w:r>
              <w:t xml:space="preserve">Statement 4 on </w:t>
            </w:r>
            <w:r w:rsidR="004B19C4">
              <w:t>surgery</w:t>
            </w:r>
            <w:r>
              <w:t xml:space="preserve"> with curative intent</w:t>
            </w:r>
            <w:r w:rsidR="00F96615">
              <w:t xml:space="preserve"> </w:t>
            </w:r>
            <w:r>
              <w:t xml:space="preserve">- </w:t>
            </w:r>
            <w:r w:rsidRPr="00FC2AA6">
              <w:t xml:space="preserve">Healthcare professionals should ensure that people with RCC are not excluded from </w:t>
            </w:r>
            <w:r w:rsidR="004B19C4">
              <w:t>surgery</w:t>
            </w:r>
            <w:r w:rsidRPr="00FC2AA6">
              <w:t xml:space="preserve"> with curative intent because of their age</w:t>
            </w:r>
            <w:r w:rsidR="00AF3D3A">
              <w:t>, disability or where they live</w:t>
            </w:r>
            <w:r w:rsidRPr="00FC2AA6">
              <w:t>. They should support people to consider all the treatment options carefully</w:t>
            </w:r>
            <w:r w:rsidR="005D7DF1">
              <w:t xml:space="preserve">, even if they </w:t>
            </w:r>
            <w:r w:rsidR="004B19C4">
              <w:t xml:space="preserve">will </w:t>
            </w:r>
            <w:r w:rsidR="005D7DF1">
              <w:t>need to travel to another hospital,</w:t>
            </w:r>
            <w:r w:rsidRPr="00FC2AA6">
              <w:t xml:space="preserve"> before deciding which option suits them best.</w:t>
            </w:r>
          </w:p>
          <w:p w14:paraId="458171AE" w14:textId="37BF23BE" w:rsidR="000862E8" w:rsidRDefault="000862E8" w:rsidP="00FC2AA6">
            <w:pPr>
              <w:pStyle w:val="Bullets"/>
            </w:pPr>
            <w:r>
              <w:t xml:space="preserve">Statement </w:t>
            </w:r>
            <w:r w:rsidR="004B19C4">
              <w:t>5</w:t>
            </w:r>
            <w:r>
              <w:t xml:space="preserve"> on follow-up imaging - </w:t>
            </w:r>
            <w:r w:rsidRPr="000862E8">
              <w:t>People diagnosed with RCC at a young age, especially those with a heritable RCC predisposition syndrome, may receive imaging for follow-up for long or repeated periods over their lifetime. They will face cumulative risks from any imaging such as radiation from CT. Healthcare professionals should consider this when considering imaging modality and in developing a follow- up plan.</w:t>
            </w:r>
          </w:p>
          <w:p w14:paraId="53B1BED7" w14:textId="6528D05D" w:rsidR="00CC578A" w:rsidRPr="003424B4" w:rsidRDefault="000862E8" w:rsidP="00A92D36">
            <w:pPr>
              <w:pStyle w:val="Bullets"/>
            </w:pPr>
            <w:r>
              <w:t xml:space="preserve">Statement </w:t>
            </w:r>
            <w:r w:rsidR="004B19C4">
              <w:t>5</w:t>
            </w:r>
            <w:r>
              <w:t xml:space="preserve"> on follow-up imaging- </w:t>
            </w:r>
            <w:r w:rsidRPr="000862E8">
              <w:t xml:space="preserve">Follow-up imaging may need to be </w:t>
            </w:r>
            <w:r w:rsidR="003D3617" w:rsidRPr="000862E8">
              <w:t>delayed,</w:t>
            </w:r>
            <w:r w:rsidRPr="000862E8">
              <w:t xml:space="preserve"> </w:t>
            </w:r>
            <w:r w:rsidR="005D7DF1">
              <w:t xml:space="preserve">or a different type of imaging may need to be used </w:t>
            </w:r>
            <w:r w:rsidRPr="000862E8">
              <w:t>for people who are pregnan</w:t>
            </w:r>
            <w:r>
              <w:t>t.</w:t>
            </w:r>
          </w:p>
        </w:tc>
      </w:tr>
    </w:tbl>
    <w:p w14:paraId="5B86009F" w14:textId="77777777" w:rsidR="00CE3DF3" w:rsidRDefault="00CE3DF3" w:rsidP="00CE3DF3">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3DF3" w14:paraId="3520EA2F" w14:textId="77777777" w:rsidTr="000C31D0">
        <w:trPr>
          <w:trHeight w:val="408"/>
        </w:trPr>
        <w:tc>
          <w:tcPr>
            <w:tcW w:w="9781" w:type="dxa"/>
          </w:tcPr>
          <w:p w14:paraId="3ED2B971" w14:textId="77777777" w:rsidR="00CE3DF3" w:rsidRPr="00750D21" w:rsidRDefault="00CE3DF3" w:rsidP="00A44AB1">
            <w:pPr>
              <w:pStyle w:val="Paragraph"/>
              <w:numPr>
                <w:ilvl w:val="1"/>
                <w:numId w:val="11"/>
              </w:numPr>
              <w:spacing w:after="0"/>
            </w:pPr>
            <w:bookmarkStart w:id="10" w:name="_Hlk110610089"/>
            <w:r>
              <w:rPr>
                <w:rFonts w:cs="Arial"/>
              </w:rPr>
              <w:t xml:space="preserve"> </w:t>
            </w:r>
            <w:r w:rsidRPr="007A114F">
              <w:rPr>
                <w:rFonts w:cs="Arial"/>
              </w:rPr>
              <w:t xml:space="preserve">Could any draft </w:t>
            </w:r>
            <w:r>
              <w:rPr>
                <w:rFonts w:cs="Arial"/>
              </w:rPr>
              <w:t>quality statements</w:t>
            </w:r>
            <w:r w:rsidRPr="007A114F">
              <w:rPr>
                <w:rFonts w:cs="Arial"/>
              </w:rPr>
              <w:t xml:space="preserve"> </w:t>
            </w:r>
            <w:r>
              <w:rPr>
                <w:rFonts w:cs="Arial"/>
              </w:rPr>
              <w:t>potentially increase inequalities?</w:t>
            </w:r>
            <w:bookmarkEnd w:id="10"/>
          </w:p>
        </w:tc>
      </w:tr>
      <w:tr w:rsidR="00CE3DF3" w14:paraId="7EF26FA4" w14:textId="77777777" w:rsidTr="00C164DF">
        <w:trPr>
          <w:trHeight w:val="688"/>
        </w:trPr>
        <w:tc>
          <w:tcPr>
            <w:tcW w:w="9781" w:type="dxa"/>
          </w:tcPr>
          <w:p w14:paraId="4AC4E783" w14:textId="19C701D2" w:rsidR="00CE3DF3" w:rsidRPr="001661AC" w:rsidRDefault="002A4DA7" w:rsidP="000C31D0">
            <w:pPr>
              <w:pStyle w:val="Paragraph"/>
            </w:pPr>
            <w:r>
              <w:rPr>
                <w:rFonts w:cs="Arial"/>
              </w:rPr>
              <w:t>T</w:t>
            </w:r>
            <w:r w:rsidR="00F55005">
              <w:rPr>
                <w:rFonts w:cs="Arial"/>
              </w:rPr>
              <w:t>he statements on biopsy (st</w:t>
            </w:r>
            <w:r w:rsidR="00305D6F">
              <w:rPr>
                <w:rFonts w:cs="Arial"/>
              </w:rPr>
              <w:t xml:space="preserve">atement </w:t>
            </w:r>
            <w:r w:rsidR="00F55005">
              <w:rPr>
                <w:rFonts w:cs="Arial"/>
              </w:rPr>
              <w:t>2), treatment with curative intent (st</w:t>
            </w:r>
            <w:r w:rsidR="00305D6F">
              <w:rPr>
                <w:rFonts w:cs="Arial"/>
              </w:rPr>
              <w:t xml:space="preserve">atement </w:t>
            </w:r>
            <w:r w:rsidR="00F55005">
              <w:rPr>
                <w:rFonts w:cs="Arial"/>
              </w:rPr>
              <w:t xml:space="preserve">4), </w:t>
            </w:r>
            <w:r w:rsidR="00305D6F">
              <w:rPr>
                <w:rFonts w:cs="Arial"/>
              </w:rPr>
              <w:t xml:space="preserve">follow-up imaging (statement 5) and </w:t>
            </w:r>
            <w:r w:rsidR="00F55005">
              <w:rPr>
                <w:rFonts w:cs="Arial"/>
              </w:rPr>
              <w:t>uro-oncology multidisciplinary team (st</w:t>
            </w:r>
            <w:r w:rsidR="00305D6F">
              <w:rPr>
                <w:rFonts w:cs="Arial"/>
              </w:rPr>
              <w:t>atement 6</w:t>
            </w:r>
            <w:r w:rsidR="00F55005">
              <w:rPr>
                <w:rFonts w:cs="Arial"/>
              </w:rPr>
              <w:t xml:space="preserve">) </w:t>
            </w:r>
            <w:r w:rsidR="00F55005" w:rsidRPr="00F55005">
              <w:rPr>
                <w:rFonts w:cs="Arial"/>
              </w:rPr>
              <w:t xml:space="preserve">could potentially increase inequalities where types of imaging or treatments are only available in bigger specialist centres. </w:t>
            </w:r>
            <w:r w:rsidR="00F55005">
              <w:rPr>
                <w:rFonts w:cs="Arial"/>
              </w:rPr>
              <w:t xml:space="preserve">The statements emphasise that </w:t>
            </w:r>
            <w:r w:rsidR="00F55005" w:rsidRPr="00F55005">
              <w:rPr>
                <w:rFonts w:cs="Arial"/>
              </w:rPr>
              <w:t xml:space="preserve">people </w:t>
            </w:r>
            <w:r w:rsidR="00F55005">
              <w:rPr>
                <w:rFonts w:cs="Arial"/>
              </w:rPr>
              <w:t xml:space="preserve">should be told about the </w:t>
            </w:r>
            <w:r w:rsidR="00F55005" w:rsidRPr="00F55005">
              <w:rPr>
                <w:rFonts w:cs="Arial"/>
              </w:rPr>
              <w:t xml:space="preserve">full range of options and can be referred </w:t>
            </w:r>
            <w:r w:rsidR="00F55005">
              <w:rPr>
                <w:rFonts w:cs="Arial"/>
              </w:rPr>
              <w:t>to another hospital for it. N</w:t>
            </w:r>
            <w:r w:rsidR="00F55005" w:rsidRPr="00F55005">
              <w:rPr>
                <w:rFonts w:cs="Arial"/>
              </w:rPr>
              <w:t>ot everyone will be able to travel</w:t>
            </w:r>
            <w:r w:rsidR="00F55005">
              <w:rPr>
                <w:rFonts w:cs="Arial"/>
              </w:rPr>
              <w:t>, howeve</w:t>
            </w:r>
            <w:r>
              <w:rPr>
                <w:rFonts w:cs="Arial"/>
              </w:rPr>
              <w:t xml:space="preserve">r, so may not be able to </w:t>
            </w:r>
            <w:r w:rsidR="00714AD2">
              <w:rPr>
                <w:rFonts w:cs="Arial"/>
              </w:rPr>
              <w:t>access</w:t>
            </w:r>
            <w:r>
              <w:rPr>
                <w:rFonts w:cs="Arial"/>
              </w:rPr>
              <w:t xml:space="preserve"> the treatment or imaging </w:t>
            </w:r>
            <w:r w:rsidR="00714AD2">
              <w:rPr>
                <w:rFonts w:cs="Arial"/>
              </w:rPr>
              <w:t>in another hospital</w:t>
            </w:r>
            <w:r w:rsidR="001F5BE3">
              <w:rPr>
                <w:rFonts w:cs="Arial"/>
              </w:rPr>
              <w:t>,</w:t>
            </w:r>
            <w:r w:rsidR="00714AD2">
              <w:rPr>
                <w:rFonts w:cs="Arial"/>
              </w:rPr>
              <w:t xml:space="preserve"> even if they would like to</w:t>
            </w:r>
            <w:r w:rsidR="00F55005" w:rsidRPr="00F55005">
              <w:rPr>
                <w:rFonts w:cs="Arial"/>
              </w:rPr>
              <w:t>.</w:t>
            </w:r>
          </w:p>
        </w:tc>
      </w:tr>
    </w:tbl>
    <w:p w14:paraId="35B1EBBA" w14:textId="77777777" w:rsidR="00CE3DF3" w:rsidRDefault="00CE3DF3" w:rsidP="00CE3DF3">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3DF3" w14:paraId="5B46948F" w14:textId="77777777" w:rsidTr="000C31D0">
        <w:trPr>
          <w:trHeight w:val="1397"/>
        </w:trPr>
        <w:tc>
          <w:tcPr>
            <w:tcW w:w="9781" w:type="dxa"/>
          </w:tcPr>
          <w:p w14:paraId="05AD0FDF" w14:textId="77777777" w:rsidR="00CE3DF3" w:rsidRPr="00482EF3" w:rsidRDefault="00CE3DF3" w:rsidP="00A44AB1">
            <w:pPr>
              <w:pStyle w:val="Paragraph"/>
              <w:numPr>
                <w:ilvl w:val="1"/>
                <w:numId w:val="11"/>
              </w:numPr>
              <w:spacing w:after="0"/>
            </w:pPr>
            <w:bookmarkStart w:id="11" w:name="_Hlk161151895"/>
            <w:r w:rsidRPr="00482EF3">
              <w:t xml:space="preserve">Based on the equality and health inequalities issues identified in </w:t>
            </w:r>
            <w:r>
              <w:t>1</w:t>
            </w:r>
            <w:r w:rsidRPr="00482EF3">
              <w:t>.2</w:t>
            </w:r>
            <w:r>
              <w:t xml:space="preserve"> </w:t>
            </w:r>
            <w:r w:rsidRPr="00482EF3">
              <w:t xml:space="preserve">and </w:t>
            </w:r>
            <w:r>
              <w:t>2</w:t>
            </w:r>
            <w:r w:rsidRPr="00482EF3">
              <w:t>.</w:t>
            </w:r>
            <w:r>
              <w:t>2</w:t>
            </w:r>
            <w:r w:rsidRPr="00482EF3">
              <w:t xml:space="preserve">, do you have </w:t>
            </w:r>
            <w:r w:rsidRPr="003D03EE">
              <w:t>representation from relevant stakeholder groups</w:t>
            </w:r>
            <w:r w:rsidRPr="00482EF3">
              <w:t xml:space="preserve"> for the </w:t>
            </w:r>
            <w:r>
              <w:t>quality standard</w:t>
            </w:r>
            <w:r w:rsidRPr="00482EF3">
              <w:t xml:space="preserve"> consultation process, including groups who are known to be affected by these issues? If not, what plans are in place to ensure relevant stakeholders are represented and included?  </w:t>
            </w:r>
            <w:bookmarkEnd w:id="11"/>
          </w:p>
        </w:tc>
      </w:tr>
      <w:tr w:rsidR="00CE3DF3" w14:paraId="40300689" w14:textId="77777777" w:rsidTr="005B36CA">
        <w:trPr>
          <w:trHeight w:val="814"/>
        </w:trPr>
        <w:tc>
          <w:tcPr>
            <w:tcW w:w="9781" w:type="dxa"/>
          </w:tcPr>
          <w:p w14:paraId="3DBE14C8" w14:textId="7106C78E" w:rsidR="00CE3DF3" w:rsidRPr="005B36CA" w:rsidRDefault="005B36CA" w:rsidP="000C31D0">
            <w:pPr>
              <w:pStyle w:val="Paragraph"/>
              <w:spacing w:after="0"/>
              <w:rPr>
                <w:iCs/>
              </w:rPr>
            </w:pPr>
            <w:r w:rsidRPr="005B36CA">
              <w:rPr>
                <w:iCs/>
              </w:rPr>
              <w:t xml:space="preserve">We have relevant stakeholders registered for this topic and </w:t>
            </w:r>
            <w:proofErr w:type="gramStart"/>
            <w:r w:rsidRPr="005B36CA">
              <w:rPr>
                <w:iCs/>
              </w:rPr>
              <w:t>a number of</w:t>
            </w:r>
            <w:proofErr w:type="gramEnd"/>
            <w:r w:rsidRPr="005B36CA">
              <w:rPr>
                <w:iCs/>
              </w:rPr>
              <w:t xml:space="preserve"> key stakeholders will be contacted for comment</w:t>
            </w:r>
            <w:r>
              <w:rPr>
                <w:iCs/>
              </w:rPr>
              <w:t>.</w:t>
            </w:r>
          </w:p>
        </w:tc>
      </w:tr>
    </w:tbl>
    <w:p w14:paraId="0D77935C" w14:textId="77777777" w:rsidR="00CE3DF3" w:rsidRDefault="00CE3DF3" w:rsidP="00CE3DF3">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E3DF3" w:rsidRPr="00094590" w14:paraId="68DF28E4" w14:textId="77777777" w:rsidTr="000C31D0">
        <w:trPr>
          <w:trHeight w:val="525"/>
        </w:trPr>
        <w:tc>
          <w:tcPr>
            <w:tcW w:w="9719" w:type="dxa"/>
          </w:tcPr>
          <w:p w14:paraId="3F5CDEE1" w14:textId="77777777" w:rsidR="00CE3DF3" w:rsidRPr="00094590" w:rsidRDefault="00CE3DF3" w:rsidP="00A44AB1">
            <w:pPr>
              <w:pStyle w:val="Paragraph"/>
              <w:numPr>
                <w:ilvl w:val="1"/>
                <w:numId w:val="11"/>
              </w:numPr>
              <w:spacing w:after="0"/>
              <w:rPr>
                <w:rFonts w:cs="Arial"/>
              </w:rPr>
            </w:pPr>
            <w:bookmarkStart w:id="12" w:name="_Hlk161151945"/>
            <w:r>
              <w:t>What questions will you ask at the stakeholder consultation about the impact of the quality standard on equality and health inequalities?</w:t>
            </w:r>
            <w:bookmarkEnd w:id="12"/>
          </w:p>
        </w:tc>
      </w:tr>
      <w:tr w:rsidR="00CE3DF3" w:rsidRPr="00094590" w14:paraId="66A26181" w14:textId="77777777" w:rsidTr="005B36CA">
        <w:trPr>
          <w:trHeight w:val="958"/>
        </w:trPr>
        <w:tc>
          <w:tcPr>
            <w:tcW w:w="9719" w:type="dxa"/>
          </w:tcPr>
          <w:p w14:paraId="543093C9" w14:textId="6CB6B24A" w:rsidR="00CE3DF3" w:rsidRDefault="005B36CA" w:rsidP="000C31D0">
            <w:pPr>
              <w:pStyle w:val="Paragraphnonumbers"/>
            </w:pPr>
            <w:r>
              <w:lastRenderedPageBreak/>
              <w:t>The standard consultation question asking for comments on the EHIA and equality considerations will be included.</w:t>
            </w:r>
          </w:p>
        </w:tc>
      </w:tr>
    </w:tbl>
    <w:p w14:paraId="7E8389BF" w14:textId="77777777" w:rsidR="00CE3DF3" w:rsidRPr="0078563E" w:rsidRDefault="00CE3DF3" w:rsidP="00CE3DF3">
      <w:pPr>
        <w:pStyle w:val="Paragraphnonumbers"/>
        <w:rPr>
          <w:rFonts w:cs="Arial"/>
          <w:b/>
        </w:rPr>
      </w:pPr>
    </w:p>
    <w:p w14:paraId="17485635" w14:textId="723A5AC1" w:rsidR="00CE3DF3" w:rsidRPr="001431B0" w:rsidRDefault="00CE3DF3" w:rsidP="00CE3DF3">
      <w:pPr>
        <w:pStyle w:val="Paragraphnonumbers"/>
        <w:spacing w:after="0"/>
        <w:rPr>
          <w:rFonts w:cs="Arial"/>
        </w:rPr>
      </w:pPr>
      <w:r w:rsidRPr="001431B0">
        <w:rPr>
          <w:rFonts w:cs="Arial"/>
        </w:rPr>
        <w:t xml:space="preserve">Completed by lead analyst: </w:t>
      </w:r>
      <w:r w:rsidR="005B36CA">
        <w:rPr>
          <w:rFonts w:cs="Arial"/>
        </w:rPr>
        <w:t>Melanie Carr</w:t>
      </w:r>
    </w:p>
    <w:p w14:paraId="4D1FDF6F" w14:textId="77777777" w:rsidR="00CE3DF3" w:rsidRPr="001431B0" w:rsidRDefault="00CE3DF3" w:rsidP="00CE3DF3">
      <w:pPr>
        <w:pStyle w:val="Paragraphnonumbers"/>
        <w:spacing w:after="0"/>
        <w:rPr>
          <w:rFonts w:cs="Arial"/>
        </w:rPr>
      </w:pPr>
    </w:p>
    <w:p w14:paraId="5ACB774B" w14:textId="74C64E9A" w:rsidR="00CE3DF3" w:rsidRPr="001431B0" w:rsidRDefault="00CE3DF3" w:rsidP="00CE3DF3">
      <w:pPr>
        <w:pStyle w:val="Paragraphnonumbers"/>
        <w:spacing w:after="0"/>
        <w:rPr>
          <w:rFonts w:cs="Arial"/>
        </w:rPr>
      </w:pPr>
      <w:r w:rsidRPr="001431B0">
        <w:rPr>
          <w:rFonts w:cs="Arial"/>
        </w:rPr>
        <w:t xml:space="preserve">Date: </w:t>
      </w:r>
      <w:r w:rsidR="005B36CA">
        <w:rPr>
          <w:rFonts w:cs="Arial"/>
        </w:rPr>
        <w:t>16/07/2025</w:t>
      </w:r>
    </w:p>
    <w:p w14:paraId="4AAC6D82" w14:textId="77777777" w:rsidR="00CE3DF3" w:rsidRPr="001431B0" w:rsidRDefault="00CE3DF3" w:rsidP="00CE3DF3">
      <w:pPr>
        <w:pStyle w:val="Paragraphnonumbers"/>
        <w:spacing w:after="0"/>
        <w:rPr>
          <w:rFonts w:cs="Arial"/>
        </w:rPr>
      </w:pPr>
    </w:p>
    <w:p w14:paraId="53F1F854" w14:textId="72330AAB" w:rsidR="00CE3DF3" w:rsidRPr="001431B0" w:rsidRDefault="00CE3DF3" w:rsidP="00CE3DF3">
      <w:pPr>
        <w:pStyle w:val="Paragraphnonumbers"/>
        <w:spacing w:after="0"/>
        <w:rPr>
          <w:rFonts w:cs="Arial"/>
        </w:rPr>
      </w:pPr>
      <w:r w:rsidRPr="001431B0">
        <w:rPr>
          <w:rFonts w:cs="Arial"/>
        </w:rPr>
        <w:t xml:space="preserve">Approved by committee chair: </w:t>
      </w:r>
      <w:r w:rsidR="00AF1D21">
        <w:rPr>
          <w:rFonts w:cs="Arial"/>
        </w:rPr>
        <w:t>Rebecca Payne</w:t>
      </w:r>
    </w:p>
    <w:p w14:paraId="04D0A222" w14:textId="77777777" w:rsidR="00CE3DF3" w:rsidRPr="001431B0" w:rsidRDefault="00CE3DF3" w:rsidP="00CE3DF3">
      <w:pPr>
        <w:pStyle w:val="Paragraphnonumbers"/>
        <w:spacing w:after="0"/>
        <w:rPr>
          <w:rFonts w:cs="Arial"/>
        </w:rPr>
      </w:pPr>
    </w:p>
    <w:p w14:paraId="52E8B03E" w14:textId="4DCDBA02" w:rsidR="00CE3DF3" w:rsidRPr="001431B0" w:rsidRDefault="00CE3DF3" w:rsidP="00CE3DF3">
      <w:pPr>
        <w:pStyle w:val="Paragraphnonumbers"/>
        <w:spacing w:after="0"/>
        <w:rPr>
          <w:rFonts w:cs="Arial"/>
        </w:rPr>
      </w:pPr>
      <w:r w:rsidRPr="001431B0">
        <w:rPr>
          <w:rFonts w:cs="Arial"/>
        </w:rPr>
        <w:t xml:space="preserve">Date:  </w:t>
      </w:r>
      <w:r w:rsidR="00AF1D21">
        <w:rPr>
          <w:rFonts w:cs="Arial"/>
        </w:rPr>
        <w:t>05/08/2025</w:t>
      </w:r>
      <w:r w:rsidRPr="001431B0">
        <w:rPr>
          <w:rFonts w:cs="Arial"/>
        </w:rPr>
        <w:t xml:space="preserve"> </w:t>
      </w:r>
    </w:p>
    <w:p w14:paraId="43BE15B6" w14:textId="77777777" w:rsidR="00CE3DF3" w:rsidRPr="001431B0" w:rsidRDefault="00CE3DF3" w:rsidP="00CE3DF3">
      <w:pPr>
        <w:pStyle w:val="Paragraphnonumbers"/>
        <w:spacing w:after="0"/>
        <w:rPr>
          <w:rFonts w:cs="Arial"/>
        </w:rPr>
      </w:pPr>
    </w:p>
    <w:p w14:paraId="6E53C320" w14:textId="278AA4E1" w:rsidR="00CE3DF3" w:rsidRPr="001431B0" w:rsidRDefault="00CE3DF3" w:rsidP="00CE3DF3">
      <w:pPr>
        <w:pStyle w:val="Paragraphnonumbers"/>
        <w:spacing w:after="0"/>
        <w:rPr>
          <w:rFonts w:cs="Arial"/>
        </w:rPr>
      </w:pPr>
      <w:r w:rsidRPr="001431B0">
        <w:rPr>
          <w:rFonts w:cs="Arial"/>
        </w:rPr>
        <w:t xml:space="preserve">Approved by NICE quality assurance lead: </w:t>
      </w:r>
      <w:r w:rsidR="003D3617" w:rsidRPr="003D3617">
        <w:rPr>
          <w:rFonts w:cs="Arial"/>
        </w:rPr>
        <w:t>Mark Minchin</w:t>
      </w:r>
    </w:p>
    <w:p w14:paraId="1E71A4ED" w14:textId="77777777" w:rsidR="00CE3DF3" w:rsidRPr="001431B0" w:rsidRDefault="00CE3DF3" w:rsidP="00CE3DF3">
      <w:pPr>
        <w:pStyle w:val="Paragraphnonumbers"/>
        <w:spacing w:after="0"/>
        <w:rPr>
          <w:rFonts w:cs="Arial"/>
        </w:rPr>
      </w:pPr>
    </w:p>
    <w:p w14:paraId="08D0ED25" w14:textId="3777C4AE" w:rsidR="00070FFF" w:rsidRDefault="00CE3DF3" w:rsidP="00CE3DF3">
      <w:pPr>
        <w:pStyle w:val="Paragraphnonumbers"/>
        <w:spacing w:after="0"/>
        <w:rPr>
          <w:rFonts w:cs="Arial"/>
        </w:rPr>
      </w:pPr>
      <w:r w:rsidRPr="001431B0">
        <w:rPr>
          <w:rFonts w:cs="Arial"/>
        </w:rPr>
        <w:t xml:space="preserve">Date: </w:t>
      </w:r>
      <w:r w:rsidR="003D3617">
        <w:rPr>
          <w:rFonts w:cs="Arial"/>
        </w:rPr>
        <w:t>20</w:t>
      </w:r>
      <w:r w:rsidRPr="001431B0">
        <w:rPr>
          <w:rFonts w:cs="Arial"/>
        </w:rPr>
        <w:t>/</w:t>
      </w:r>
      <w:r w:rsidR="003D3617">
        <w:rPr>
          <w:rFonts w:cs="Arial"/>
        </w:rPr>
        <w:t>08</w:t>
      </w:r>
      <w:r w:rsidRPr="001431B0">
        <w:rPr>
          <w:rFonts w:cs="Arial"/>
        </w:rPr>
        <w:t>/</w:t>
      </w:r>
      <w:r w:rsidR="003D3617">
        <w:rPr>
          <w:rFonts w:cs="Arial"/>
        </w:rPr>
        <w:t>2025</w:t>
      </w:r>
    </w:p>
    <w:p w14:paraId="08C11A4F" w14:textId="77777777" w:rsidR="00070FFF" w:rsidRDefault="00070FFF">
      <w:pPr>
        <w:rPr>
          <w:rFonts w:ascii="Arial" w:hAnsi="Arial" w:cs="Arial"/>
        </w:rPr>
      </w:pPr>
      <w:r>
        <w:rPr>
          <w:rFonts w:cs="Arial"/>
        </w:rPr>
        <w:br w:type="page"/>
      </w:r>
    </w:p>
    <w:p w14:paraId="0701507A" w14:textId="77777777" w:rsidR="00456D7C" w:rsidRDefault="00456D7C" w:rsidP="00456D7C">
      <w:pPr>
        <w:pStyle w:val="Heading1"/>
      </w:pPr>
      <w:bookmarkStart w:id="13" w:name="_Toc109224101"/>
      <w:bookmarkStart w:id="14" w:name="_Toc138944322"/>
      <w:r>
        <w:lastRenderedPageBreak/>
        <w:t xml:space="preserve">STAGE 3. </w:t>
      </w:r>
      <w:bookmarkEnd w:id="13"/>
      <w:r>
        <w:t>Final quality standard</w:t>
      </w:r>
      <w:bookmarkEnd w:id="14"/>
    </w:p>
    <w:p w14:paraId="58790E58" w14:textId="4418E01C" w:rsidR="00456D7C" w:rsidRPr="00F82FE9" w:rsidRDefault="00456D7C" w:rsidP="00F82FE9">
      <w:pPr>
        <w:pStyle w:val="Paragraphnonumbers"/>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6D7C" w14:paraId="19227C55" w14:textId="77777777" w:rsidTr="008D6925">
        <w:trPr>
          <w:trHeight w:val="598"/>
        </w:trPr>
        <w:tc>
          <w:tcPr>
            <w:tcW w:w="9781" w:type="dxa"/>
          </w:tcPr>
          <w:p w14:paraId="37281E63" w14:textId="77777777" w:rsidR="00456D7C" w:rsidRDefault="00456D7C" w:rsidP="00A44AB1">
            <w:pPr>
              <w:pStyle w:val="Paragraph"/>
              <w:numPr>
                <w:ilvl w:val="1"/>
                <w:numId w:val="12"/>
              </w:numPr>
              <w:spacing w:after="0"/>
            </w:pPr>
            <w:r w:rsidRPr="003D03EE">
              <w:t>How inclusive was the consultation process</w:t>
            </w:r>
            <w:r w:rsidRPr="00482EF3">
              <w:t xml:space="preserve"> on</w:t>
            </w:r>
            <w:r>
              <w:t xml:space="preserve"> the draft quality standard </w:t>
            </w:r>
            <w:r w:rsidRPr="00C90B04">
              <w:t xml:space="preserve">in terms of response from groups (identified in box </w:t>
            </w:r>
            <w:r>
              <w:t>1</w:t>
            </w:r>
            <w:r w:rsidRPr="00C90B04">
              <w:t>.</w:t>
            </w:r>
            <w:r>
              <w:t>2 and 2.2</w:t>
            </w:r>
            <w:r w:rsidRPr="00C90B04">
              <w:t>) who may experience inequalities related to the topic?</w:t>
            </w:r>
          </w:p>
        </w:tc>
      </w:tr>
      <w:tr w:rsidR="00456D7C" w14:paraId="3E61D4D9" w14:textId="77777777" w:rsidTr="00577C84">
        <w:trPr>
          <w:trHeight w:val="416"/>
        </w:trPr>
        <w:tc>
          <w:tcPr>
            <w:tcW w:w="9781" w:type="dxa"/>
          </w:tcPr>
          <w:p w14:paraId="7872D046" w14:textId="6F78E57A" w:rsidR="007B0EF6" w:rsidRPr="00ED0FE0" w:rsidRDefault="00ED0FE0" w:rsidP="008D6925">
            <w:pPr>
              <w:pStyle w:val="Paragraphnonumbers"/>
            </w:pPr>
            <w:r w:rsidRPr="00ED0FE0">
              <w:t xml:space="preserve">The </w:t>
            </w:r>
            <w:r>
              <w:t>consultation was held for 2 additional weeks (6</w:t>
            </w:r>
            <w:r w:rsidR="00723B1E">
              <w:t xml:space="preserve"> weeks</w:t>
            </w:r>
            <w:r>
              <w:t xml:space="preserve"> in total) because the quality standard is being developed </w:t>
            </w:r>
            <w:r w:rsidR="009732C9">
              <w:t>in parallel with</w:t>
            </w:r>
            <w:r>
              <w:t xml:space="preserve"> the guideline. </w:t>
            </w:r>
          </w:p>
          <w:p w14:paraId="747F0013" w14:textId="0FC69C7A" w:rsidR="00ED0FE0" w:rsidRPr="00F5204C" w:rsidRDefault="00ED0FE0" w:rsidP="00ED0FE0">
            <w:pPr>
              <w:pStyle w:val="Paragraphnonumbers"/>
              <w:rPr>
                <w:rFonts w:cs="Arial"/>
              </w:rPr>
            </w:pPr>
            <w:r w:rsidRPr="00836BD7">
              <w:rPr>
                <w:rFonts w:cs="Arial"/>
              </w:rPr>
              <w:t xml:space="preserve">Consultation comments were received from </w:t>
            </w:r>
            <w:r>
              <w:rPr>
                <w:rFonts w:cs="Arial"/>
              </w:rPr>
              <w:t>12</w:t>
            </w:r>
            <w:r w:rsidRPr="00836BD7">
              <w:rPr>
                <w:rFonts w:cs="Arial"/>
              </w:rPr>
              <w:t xml:space="preserve"> </w:t>
            </w:r>
            <w:r>
              <w:rPr>
                <w:rFonts w:cs="Arial"/>
              </w:rPr>
              <w:t xml:space="preserve">stakeholder </w:t>
            </w:r>
            <w:r w:rsidRPr="00836BD7">
              <w:rPr>
                <w:rFonts w:cs="Arial"/>
              </w:rPr>
              <w:t xml:space="preserve">organisations, which included </w:t>
            </w:r>
            <w:r w:rsidRPr="00F5204C">
              <w:rPr>
                <w:rFonts w:cs="Arial"/>
              </w:rPr>
              <w:t>national organisations, professional bodies and others. 3 charities (</w:t>
            </w:r>
            <w:r w:rsidR="00F5204C">
              <w:rPr>
                <w:rFonts w:cs="Arial"/>
              </w:rPr>
              <w:t>Action Kidney Cancer, Kidney Cancer UK and Kidney Research UK</w:t>
            </w:r>
            <w:r w:rsidR="005F08D5">
              <w:rPr>
                <w:rFonts w:cs="Arial"/>
              </w:rPr>
              <w:t xml:space="preserve">) responded. </w:t>
            </w:r>
          </w:p>
          <w:p w14:paraId="4732D1B0" w14:textId="5EDB7B2E" w:rsidR="00ED0FE0" w:rsidRDefault="00DF0130" w:rsidP="00ED0FE0">
            <w:pPr>
              <w:pStyle w:val="Paragraphnonumbers"/>
            </w:pPr>
            <w:r>
              <w:rPr>
                <w:rFonts w:cs="Arial"/>
              </w:rPr>
              <w:t>Eight</w:t>
            </w:r>
            <w:r w:rsidR="00ED0FE0" w:rsidRPr="00B12D6F">
              <w:rPr>
                <w:rFonts w:cs="Arial"/>
              </w:rPr>
              <w:t xml:space="preserve"> stakeholders raised issues relating to inequalities (</w:t>
            </w:r>
            <w:r w:rsidR="005F08D5" w:rsidRPr="00B12D6F">
              <w:rPr>
                <w:rFonts w:cs="Arial"/>
              </w:rPr>
              <w:t xml:space="preserve">Action Kidney Cancer, </w:t>
            </w:r>
            <w:r w:rsidR="00F5204C" w:rsidRPr="00B12D6F">
              <w:rPr>
                <w:rFonts w:cs="Arial"/>
              </w:rPr>
              <w:t xml:space="preserve">Association of Clinical Psychologists </w:t>
            </w:r>
            <w:r w:rsidR="00ED0FE0" w:rsidRPr="00B12D6F">
              <w:rPr>
                <w:rFonts w:cs="Arial"/>
              </w:rPr>
              <w:t>(</w:t>
            </w:r>
            <w:r w:rsidR="00F5204C" w:rsidRPr="00B12D6F">
              <w:rPr>
                <w:rFonts w:cs="Arial"/>
              </w:rPr>
              <w:t>ACP-UK</w:t>
            </w:r>
            <w:r w:rsidR="00ED0FE0" w:rsidRPr="00B12D6F">
              <w:rPr>
                <w:rFonts w:cs="Arial"/>
              </w:rPr>
              <w:t>),</w:t>
            </w:r>
            <w:r w:rsidR="005F08D5" w:rsidRPr="00B12D6F">
              <w:rPr>
                <w:rFonts w:cs="Arial"/>
              </w:rPr>
              <w:t xml:space="preserve"> </w:t>
            </w:r>
            <w:r w:rsidR="005F08D5" w:rsidRPr="00B12D6F">
              <w:t>British Uro-oncology Group (BUG),</w:t>
            </w:r>
            <w:r w:rsidR="00ED0FE0" w:rsidRPr="00B12D6F">
              <w:rPr>
                <w:rFonts w:cs="Arial"/>
              </w:rPr>
              <w:t xml:space="preserve"> </w:t>
            </w:r>
            <w:r w:rsidR="005F08D5" w:rsidRPr="00B12D6F">
              <w:rPr>
                <w:rFonts w:cs="Arial"/>
              </w:rPr>
              <w:t xml:space="preserve">Kidney Cancer UK, </w:t>
            </w:r>
            <w:r w:rsidR="00F5204C" w:rsidRPr="00B12D6F">
              <w:t>NHS England - Mental Health Learning Disability &amp; Autism</w:t>
            </w:r>
            <w:r w:rsidR="00ED0FE0" w:rsidRPr="00B12D6F">
              <w:rPr>
                <w:rFonts w:cs="Arial"/>
              </w:rPr>
              <w:t xml:space="preserve">, </w:t>
            </w:r>
            <w:r w:rsidR="00F5204C" w:rsidRPr="00B12D6F">
              <w:rPr>
                <w:rFonts w:cs="Arial"/>
                <w:bCs/>
              </w:rPr>
              <w:t>Merck Sharp &amp; Dohme (UK) Limited, Royal College of Nursing</w:t>
            </w:r>
            <w:r w:rsidR="009732C9">
              <w:rPr>
                <w:rFonts w:cs="Arial"/>
                <w:bCs/>
              </w:rPr>
              <w:t>,</w:t>
            </w:r>
            <w:r w:rsidR="00F5204C" w:rsidRPr="00B12D6F">
              <w:rPr>
                <w:rFonts w:cs="Arial"/>
                <w:bCs/>
              </w:rPr>
              <w:t xml:space="preserve"> and</w:t>
            </w:r>
            <w:r w:rsidR="00F5204C" w:rsidRPr="00B12D6F">
              <w:rPr>
                <w:rFonts w:cs="Arial"/>
              </w:rPr>
              <w:t xml:space="preserve"> </w:t>
            </w:r>
            <w:r w:rsidR="00F5204C" w:rsidRPr="00B12D6F">
              <w:t>Society and College of Radiographers.</w:t>
            </w:r>
          </w:p>
          <w:p w14:paraId="6B676C3C" w14:textId="2A590FE4" w:rsidR="007E5FB8" w:rsidRDefault="007E5FB8" w:rsidP="00ED0FE0">
            <w:pPr>
              <w:pStyle w:val="Paragraphnonumbers"/>
            </w:pPr>
            <w:r>
              <w:t xml:space="preserve">Stakeholders highlighted </w:t>
            </w:r>
            <w:proofErr w:type="gramStart"/>
            <w:r>
              <w:t>a number of</w:t>
            </w:r>
            <w:proofErr w:type="gramEnd"/>
            <w:r>
              <w:t xml:space="preserve"> topic</w:t>
            </w:r>
            <w:r w:rsidR="00BC705F">
              <w:t>-</w:t>
            </w:r>
            <w:r>
              <w:t>specific health inequality issues</w:t>
            </w:r>
            <w:r w:rsidR="00BC705F">
              <w:t>,</w:t>
            </w:r>
            <w:r>
              <w:t xml:space="preserve"> which are included in section 3.2. </w:t>
            </w:r>
            <w:r w:rsidR="00BC705F">
              <w:t>Stakeholders again, as at topic engagement,</w:t>
            </w:r>
            <w:r>
              <w:t xml:space="preserve"> highlighted the general need for services to be accessible and reasonable adjustments to ensure</w:t>
            </w:r>
            <w:r w:rsidR="00BC705F">
              <w:t xml:space="preserve"> that</w:t>
            </w:r>
            <w:r>
              <w:t xml:space="preserve"> people </w:t>
            </w:r>
            <w:r w:rsidR="00BC705F">
              <w:t xml:space="preserve">can </w:t>
            </w:r>
            <w:r>
              <w:t>access the support and care they need.</w:t>
            </w:r>
          </w:p>
          <w:p w14:paraId="7B7F4ACB" w14:textId="2FAFC326" w:rsidR="00541419" w:rsidRDefault="000767BD" w:rsidP="00ED0FE0">
            <w:pPr>
              <w:pStyle w:val="Paragraphnonumbers"/>
            </w:pPr>
            <w:r>
              <w:t>A wide range of general</w:t>
            </w:r>
            <w:r w:rsidR="007E5FB8">
              <w:t xml:space="preserve"> issues was raised, with a number relating to aspects of measurement and data collection.  </w:t>
            </w:r>
            <w:r w:rsidR="007E5FB8" w:rsidDel="007E5FB8">
              <w:t xml:space="preserve"> </w:t>
            </w:r>
          </w:p>
          <w:p w14:paraId="2EF67086" w14:textId="77777777" w:rsidR="00994A98" w:rsidRDefault="00541419" w:rsidP="00994A98">
            <w:pPr>
              <w:pStyle w:val="Paragraphnonumbers"/>
            </w:pPr>
            <w:r>
              <w:t xml:space="preserve">(1) </w:t>
            </w:r>
            <w:r w:rsidR="007E5FB8">
              <w:t>Multiple stakeholders</w:t>
            </w:r>
            <w:r w:rsidR="000767BD">
              <w:t xml:space="preserve"> highlight</w:t>
            </w:r>
            <w:r w:rsidR="00FF350F">
              <w:t>ed</w:t>
            </w:r>
            <w:r w:rsidR="000767BD">
              <w:t xml:space="preserve"> the importance of stratifying achievement data </w:t>
            </w:r>
            <w:r w:rsidR="00321C1D">
              <w:t>according to</w:t>
            </w:r>
            <w:r w:rsidR="000767BD">
              <w:t xml:space="preserve"> a range of equality </w:t>
            </w:r>
            <w:r w:rsidR="007E5FB8">
              <w:t>variables</w:t>
            </w:r>
            <w:r w:rsidR="00321C1D">
              <w:t>.</w:t>
            </w:r>
            <w:r w:rsidR="00C000B9">
              <w:t xml:space="preserve"> </w:t>
            </w:r>
            <w:r w:rsidR="00321C1D">
              <w:t>S</w:t>
            </w:r>
            <w:r w:rsidR="00B04A97">
              <w:t xml:space="preserve">ome </w:t>
            </w:r>
            <w:r w:rsidR="00C000B9">
              <w:t>protected characteristics</w:t>
            </w:r>
            <w:r w:rsidR="00B04A97">
              <w:t xml:space="preserve"> (as outlined by the 2010 Equality Act)</w:t>
            </w:r>
            <w:r w:rsidR="00C000B9">
              <w:t>, socioeconomic status</w:t>
            </w:r>
            <w:r w:rsidR="00D94433">
              <w:t xml:space="preserve"> and</w:t>
            </w:r>
            <w:r w:rsidR="00C000B9">
              <w:t xml:space="preserve"> deprivation, geographical area variation, and inclusion and vulnerable health groups (those who need additional support to mitigate language barriers)</w:t>
            </w:r>
            <w:r w:rsidR="00321C1D">
              <w:t xml:space="preserve"> were </w:t>
            </w:r>
            <w:r w:rsidR="00FF350F">
              <w:t>given as examples</w:t>
            </w:r>
            <w:r w:rsidR="00C000B9">
              <w:t>.</w:t>
            </w:r>
            <w:r w:rsidR="00B04A97">
              <w:t xml:space="preserve"> </w:t>
            </w:r>
            <w:r w:rsidR="00994A98">
              <w:t xml:space="preserve"> There were also specific suggestions: to (a) proactively collect data for disability and ethnicity at key pathway points (these were unspecified), to prevent bias in audits (b) monitor achievement of statement 3 by </w:t>
            </w:r>
            <w:r w:rsidR="00994A98" w:rsidRPr="00DD2BED">
              <w:t>area, age, geography, integrated care board (ICB), ethnicity</w:t>
            </w:r>
            <w:r w:rsidR="00994A98">
              <w:t xml:space="preserve"> and additional unspecified variables, to enable </w:t>
            </w:r>
            <w:r w:rsidR="00994A98" w:rsidRPr="00DD2BED">
              <w:t xml:space="preserve">healthcare providers </w:t>
            </w:r>
            <w:r w:rsidR="00994A98">
              <w:t xml:space="preserve">to </w:t>
            </w:r>
            <w:r w:rsidR="00994A98" w:rsidRPr="00DD2BED">
              <w:t>pinpoint areas to improve.</w:t>
            </w:r>
          </w:p>
          <w:p w14:paraId="7F4E3BF2" w14:textId="03E5ABDE" w:rsidR="00517830" w:rsidRDefault="00FF350F" w:rsidP="007B0EF6">
            <w:pPr>
              <w:pStyle w:val="Paragraphnonumbers"/>
            </w:pPr>
            <w:r>
              <w:t xml:space="preserve">This suggestion has </w:t>
            </w:r>
            <w:r w:rsidR="00B04A97">
              <w:t>not been progressed</w:t>
            </w:r>
            <w:r w:rsidR="007B0EF6">
              <w:t xml:space="preserve"> because the </w:t>
            </w:r>
            <w:r w:rsidR="00321C1D">
              <w:t>committee</w:t>
            </w:r>
            <w:r w:rsidR="007B0EF6">
              <w:t xml:space="preserve"> did not identify specific groups or adjustments</w:t>
            </w:r>
            <w:r w:rsidR="00D94433">
              <w:t xml:space="preserve"> arising from these general suggestions</w:t>
            </w:r>
            <w:r w:rsidR="00B04A97">
              <w:t xml:space="preserve">. </w:t>
            </w:r>
            <w:r w:rsidR="00B031C3">
              <w:t xml:space="preserve">Some data sources highlighted in the quality standard present data segmented by various equality variables, including one or more of age and deprivation (Cancer Patient Experience Survey and </w:t>
            </w:r>
            <w:hyperlink r:id="rId17" w:history="1">
              <w:r w:rsidR="00B031C3">
                <w:rPr>
                  <w:rStyle w:val="Hyperlink"/>
                </w:rPr>
                <w:t>data on Cancer survival in England</w:t>
              </w:r>
            </w:hyperlink>
            <w:r w:rsidR="00B031C3">
              <w:t xml:space="preserve">).  </w:t>
            </w:r>
            <w:r w:rsidR="00404630">
              <w:t xml:space="preserve">Further, all quality statements highlight that </w:t>
            </w:r>
            <w:r w:rsidR="00A51E8C">
              <w:t>measures</w:t>
            </w:r>
            <w:r w:rsidR="00A51E8C" w:rsidRPr="00A51E8C">
              <w:t xml:space="preserve"> are examples of how the statement can be measured</w:t>
            </w:r>
            <w:r w:rsidR="00D94433">
              <w:t xml:space="preserve">. They </w:t>
            </w:r>
            <w:r w:rsidR="00A51E8C" w:rsidRPr="00A51E8C">
              <w:t xml:space="preserve">can be adapted </w:t>
            </w:r>
            <w:r w:rsidR="00A51E8C" w:rsidRPr="00A51E8C">
              <w:lastRenderedPageBreak/>
              <w:t>and used flexibl</w:t>
            </w:r>
            <w:r w:rsidR="00A51E8C">
              <w:t xml:space="preserve">y; some </w:t>
            </w:r>
            <w:r w:rsidR="00A51E8C" w:rsidRPr="00A51E8C">
              <w:t xml:space="preserve">localities may want to focus on equality of care depending on local needs, for example, by assessing care for </w:t>
            </w:r>
            <w:r w:rsidR="00A51E8C">
              <w:t>specific</w:t>
            </w:r>
            <w:r w:rsidR="00A51E8C" w:rsidRPr="00A51E8C">
              <w:t xml:space="preserve"> socioeconomic or ethnic groups.</w:t>
            </w:r>
            <w:r w:rsidR="007B0EF6">
              <w:t xml:space="preserve">  </w:t>
            </w:r>
          </w:p>
          <w:p w14:paraId="6C84A56B" w14:textId="18FC58FA" w:rsidR="00A51E8C" w:rsidRDefault="00D94433" w:rsidP="00ED0FE0">
            <w:pPr>
              <w:pStyle w:val="Paragraphnonumbers"/>
            </w:pPr>
            <w:r>
              <w:t>(a</w:t>
            </w:r>
            <w:r w:rsidR="00A51E8C">
              <w:t>)</w:t>
            </w:r>
            <w:r w:rsidR="00D45EDD">
              <w:t xml:space="preserve"> Q</w:t>
            </w:r>
            <w:r w:rsidR="00A51E8C" w:rsidRPr="00A51E8C">
              <w:t>uality statements focus on actions that demonstrate high quality care and support for patients rather than on collecting dat</w:t>
            </w:r>
            <w:r w:rsidR="00A51E8C">
              <w:t>a</w:t>
            </w:r>
            <w:r>
              <w:t xml:space="preserve">; </w:t>
            </w:r>
            <w:r w:rsidR="00A51E8C">
              <w:t>(</w:t>
            </w:r>
            <w:r>
              <w:t>b</w:t>
            </w:r>
            <w:r w:rsidR="00A51E8C">
              <w:t xml:space="preserve">) the committee did not identify barriers in relation to these groups </w:t>
            </w:r>
            <w:r w:rsidR="00FF350F">
              <w:t xml:space="preserve">relevant </w:t>
            </w:r>
            <w:r w:rsidR="00A51E8C">
              <w:t xml:space="preserve">to provision of a </w:t>
            </w:r>
            <w:r>
              <w:t>clinical nurse specialist (</w:t>
            </w:r>
            <w:r w:rsidR="00A51E8C">
              <w:t>CNS</w:t>
            </w:r>
            <w:r>
              <w:t>)</w:t>
            </w:r>
            <w:r w:rsidR="00A51E8C">
              <w:t xml:space="preserve">. </w:t>
            </w:r>
            <w:r w:rsidR="00092867">
              <w:t>Further, the published version of t</w:t>
            </w:r>
            <w:r w:rsidR="00A51E8C">
              <w:t>he statement references a</w:t>
            </w:r>
            <w:r>
              <w:t>n</w:t>
            </w:r>
            <w:r w:rsidR="00A51E8C">
              <w:t xml:space="preserve"> improvement intervention</w:t>
            </w:r>
            <w:r>
              <w:t xml:space="preserve"> </w:t>
            </w:r>
            <w:r w:rsidR="00FF350F">
              <w:t xml:space="preserve">in </w:t>
            </w:r>
            <w:r>
              <w:t>the National Kidney Cancer Audit (January 2026)</w:t>
            </w:r>
            <w:r w:rsidR="00FF350F">
              <w:t xml:space="preserve">. </w:t>
            </w:r>
            <w:r w:rsidR="007E5FB8">
              <w:t xml:space="preserve">It </w:t>
            </w:r>
            <w:r w:rsidR="00A51E8C">
              <w:t>aims to i</w:t>
            </w:r>
            <w:r w:rsidR="00A51E8C" w:rsidRPr="00A51E8C">
              <w:t>ncrease the proportion of patients receiving care from a CNS</w:t>
            </w:r>
            <w:r w:rsidR="00A51E8C">
              <w:t xml:space="preserve"> and </w:t>
            </w:r>
            <w:r>
              <w:t xml:space="preserve">to </w:t>
            </w:r>
            <w:r w:rsidR="00A51E8C">
              <w:t>address</w:t>
            </w:r>
            <w:r w:rsidR="00A51E8C" w:rsidRPr="00A51E8C">
              <w:t xml:space="preserve"> variation in CNS provision</w:t>
            </w:r>
            <w:r>
              <w:t>.</w:t>
            </w:r>
            <w:r w:rsidR="00541419" w:rsidRPr="00541419">
              <w:t xml:space="preserve"> </w:t>
            </w:r>
            <w:r w:rsidR="00541419">
              <w:t xml:space="preserve">Data is expected to be available to show </w:t>
            </w:r>
            <w:r w:rsidR="00541419" w:rsidRPr="00541419">
              <w:t>regional variation in the patterns of kidney cancer care across England and Wales</w:t>
            </w:r>
            <w:r w:rsidR="00FF350F">
              <w:t>.</w:t>
            </w:r>
            <w:r w:rsidR="00541419">
              <w:t xml:space="preserve"> </w:t>
            </w:r>
          </w:p>
          <w:p w14:paraId="5C9756C7" w14:textId="76BA6F62" w:rsidR="00101C9E" w:rsidRDefault="00D94433" w:rsidP="00ED0FE0">
            <w:pPr>
              <w:pStyle w:val="Paragraphnonumbers"/>
            </w:pPr>
            <w:r>
              <w:t>(</w:t>
            </w:r>
            <w:r w:rsidR="00055882">
              <w:t>2</w:t>
            </w:r>
            <w:r>
              <w:t>) T</w:t>
            </w:r>
            <w:r w:rsidR="000767BD">
              <w:t>he importance of</w:t>
            </w:r>
            <w:r w:rsidR="007B0EF6">
              <w:t xml:space="preserve"> a range of</w:t>
            </w:r>
            <w:r w:rsidR="000767BD">
              <w:t xml:space="preserve"> </w:t>
            </w:r>
            <w:r w:rsidR="007E5FB8">
              <w:t xml:space="preserve">specific </w:t>
            </w:r>
            <w:r w:rsidR="000767BD">
              <w:t>adjustments</w:t>
            </w:r>
            <w:r w:rsidR="00D45EDD">
              <w:t xml:space="preserve"> </w:t>
            </w:r>
            <w:r>
              <w:t xml:space="preserve">to care to </w:t>
            </w:r>
            <w:r w:rsidR="00D45EDD">
              <w:t>help</w:t>
            </w:r>
            <w:r>
              <w:t xml:space="preserve"> reduce health inequalities </w:t>
            </w:r>
            <w:r w:rsidR="00994A98">
              <w:t xml:space="preserve">was </w:t>
            </w:r>
            <w:r>
              <w:t>highlighted</w:t>
            </w:r>
            <w:r w:rsidR="007B0EF6">
              <w:t>. These includ</w:t>
            </w:r>
            <w:r w:rsidR="00D45EDD">
              <w:t>e</w:t>
            </w:r>
            <w:r w:rsidR="00101C9E">
              <w:t xml:space="preserve"> flagging the need for longer appointments, </w:t>
            </w:r>
            <w:r w:rsidR="000767BD">
              <w:t>support</w:t>
            </w:r>
            <w:r w:rsidR="007B0EF6">
              <w:t>ing</w:t>
            </w:r>
            <w:r w:rsidR="000767BD">
              <w:t xml:space="preserve"> effective communication </w:t>
            </w:r>
            <w:r w:rsidR="00FF350F">
              <w:t>with</w:t>
            </w:r>
            <w:r w:rsidR="00FF350F" w:rsidRPr="000767BD">
              <w:t xml:space="preserve"> </w:t>
            </w:r>
            <w:r w:rsidR="000767BD" w:rsidRPr="000767BD">
              <w:t>adults with additional communication needs</w:t>
            </w:r>
            <w:r w:rsidR="00FF350F">
              <w:t>,</w:t>
            </w:r>
            <w:r w:rsidR="00055882">
              <w:t xml:space="preserve"> </w:t>
            </w:r>
            <w:r w:rsidR="00517830">
              <w:t xml:space="preserve">making non-digital options </w:t>
            </w:r>
            <w:r>
              <w:t xml:space="preserve">available </w:t>
            </w:r>
            <w:r w:rsidR="00517830">
              <w:t>for booking appointments</w:t>
            </w:r>
            <w:r>
              <w:t>, providing quiet spaces</w:t>
            </w:r>
            <w:r w:rsidR="008809AA">
              <w:t xml:space="preserve"> </w:t>
            </w:r>
            <w:r w:rsidR="00101C9E">
              <w:t xml:space="preserve">and involving carers. </w:t>
            </w:r>
            <w:r w:rsidR="00517830" w:rsidRPr="00D94433">
              <w:t xml:space="preserve">The need to flag interpreter availability was </w:t>
            </w:r>
            <w:r w:rsidR="00D45EDD">
              <w:t xml:space="preserve">also </w:t>
            </w:r>
            <w:r w:rsidR="00517830" w:rsidRPr="00D94433">
              <w:t>noted.</w:t>
            </w:r>
            <w:r w:rsidR="00517830">
              <w:t xml:space="preserve"> </w:t>
            </w:r>
          </w:p>
          <w:p w14:paraId="346A5584" w14:textId="79007354" w:rsidR="00517830" w:rsidRDefault="00517830" w:rsidP="00517830">
            <w:pPr>
              <w:pStyle w:val="Paragraphnonumbers"/>
              <w:rPr>
                <w:rFonts w:cs="Arial"/>
              </w:rPr>
            </w:pPr>
            <w:r w:rsidRPr="00232D6D">
              <w:rPr>
                <w:rFonts w:cs="Arial"/>
              </w:rPr>
              <w:t xml:space="preserve">No amendments </w:t>
            </w:r>
            <w:r>
              <w:rPr>
                <w:rFonts w:cs="Arial"/>
              </w:rPr>
              <w:t>h</w:t>
            </w:r>
            <w:r w:rsidRPr="00232D6D">
              <w:rPr>
                <w:rFonts w:cs="Arial"/>
              </w:rPr>
              <w:t xml:space="preserve">ave been made in response to these suggestions. The diversity, equality and language section of the quality standard </w:t>
            </w:r>
            <w:r w:rsidR="00FF350F">
              <w:rPr>
                <w:rFonts w:cs="Arial"/>
              </w:rPr>
              <w:t>covers all statements and</w:t>
            </w:r>
            <w:r w:rsidR="008809AA">
              <w:rPr>
                <w:rFonts w:cs="Arial"/>
              </w:rPr>
              <w:t xml:space="preserve"> it</w:t>
            </w:r>
            <w:r w:rsidR="00FF350F">
              <w:rPr>
                <w:rFonts w:cs="Arial"/>
              </w:rPr>
              <w:t xml:space="preserve"> </w:t>
            </w:r>
            <w:r w:rsidRPr="00232D6D">
              <w:rPr>
                <w:rFonts w:cs="Arial"/>
              </w:rPr>
              <w:t xml:space="preserve">highlights the </w:t>
            </w:r>
            <w:hyperlink r:id="rId18" w:history="1">
              <w:r w:rsidR="008809AA">
                <w:rPr>
                  <w:rStyle w:val="Hyperlink"/>
                </w:rPr>
                <w:t>NHS Accessible Information Standard (AIS)</w:t>
              </w:r>
            </w:hyperlink>
            <w:r w:rsidR="00FF350F">
              <w:t>. The latter</w:t>
            </w:r>
            <w:r w:rsidR="008809AA">
              <w:t xml:space="preserve"> </w:t>
            </w:r>
            <w:r w:rsidR="007E5FB8">
              <w:rPr>
                <w:rFonts w:cs="Arial"/>
              </w:rPr>
              <w:t xml:space="preserve">details how care can be adjusted </w:t>
            </w:r>
            <w:r w:rsidR="00055882">
              <w:rPr>
                <w:rFonts w:cs="Arial"/>
              </w:rPr>
              <w:t xml:space="preserve">to meet </w:t>
            </w:r>
            <w:r w:rsidRPr="000767BD">
              <w:t>additional needs</w:t>
            </w:r>
            <w:r w:rsidR="00055882">
              <w:t>, including</w:t>
            </w:r>
            <w:r>
              <w:t xml:space="preserve"> </w:t>
            </w:r>
            <w:r w:rsidR="008809AA">
              <w:t>supporting a range of ways for people to communicate with a service</w:t>
            </w:r>
            <w:r>
              <w:t xml:space="preserve">, communication aids such as </w:t>
            </w:r>
            <w:r w:rsidRPr="000767BD">
              <w:t>British Sign Language</w:t>
            </w:r>
            <w:r>
              <w:t xml:space="preserve"> and </w:t>
            </w:r>
            <w:r w:rsidRPr="000767BD">
              <w:t>Easy Rea</w:t>
            </w:r>
            <w:r>
              <w:t>d, supporting carer involvement</w:t>
            </w:r>
            <w:r w:rsidR="00D45EDD">
              <w:t xml:space="preserve"> and</w:t>
            </w:r>
            <w:r>
              <w:t xml:space="preserve"> access to an interpreter. </w:t>
            </w:r>
            <w:r w:rsidR="00D45EDD">
              <w:t xml:space="preserve">Provision of quiet spaces, </w:t>
            </w:r>
            <w:r w:rsidR="00CC69BD">
              <w:t>while waiting for</w:t>
            </w:r>
            <w:r w:rsidR="00D45EDD">
              <w:t xml:space="preserve"> appointments, is covered by legislation (the Equality Act (2010)</w:t>
            </w:r>
            <w:r w:rsidR="00CC69BD">
              <w:t xml:space="preserve"> (</w:t>
            </w:r>
            <w:hyperlink r:id="rId19" w:history="1">
              <w:r w:rsidR="00CC69BD" w:rsidRPr="00CC69BD">
                <w:rPr>
                  <w:rStyle w:val="Hyperlink"/>
                </w:rPr>
                <w:t>NHS England, Learning disability and autism, summary of reasonable adjustments</w:t>
              </w:r>
            </w:hyperlink>
            <w:r w:rsidR="00CC69BD">
              <w:t>)</w:t>
            </w:r>
            <w:r w:rsidR="00B67CA1">
              <w:t xml:space="preserve"> and</w:t>
            </w:r>
            <w:r w:rsidR="00CC69BD">
              <w:t xml:space="preserve"> </w:t>
            </w:r>
            <w:r w:rsidR="00D45EDD">
              <w:t>applies to all health and social care</w:t>
            </w:r>
            <w:r w:rsidR="00B67CA1">
              <w:t xml:space="preserve"> organisations</w:t>
            </w:r>
            <w:r w:rsidR="00D45EDD">
              <w:t xml:space="preserve">. </w:t>
            </w:r>
            <w:r w:rsidRPr="00232D6D">
              <w:rPr>
                <w:rFonts w:cs="Arial"/>
              </w:rPr>
              <w:t xml:space="preserve">Further, individualised care is covered by </w:t>
            </w:r>
            <w:hyperlink r:id="rId20" w:history="1">
              <w:r w:rsidRPr="00232D6D">
                <w:rPr>
                  <w:rStyle w:val="Hyperlink"/>
                  <w:rFonts w:cs="Arial"/>
                </w:rPr>
                <w:t>NICE’s quality standard on patient experience in adult NHS services QS15</w:t>
              </w:r>
            </w:hyperlink>
            <w:r w:rsidRPr="00232D6D">
              <w:rPr>
                <w:rFonts w:cs="Arial"/>
              </w:rPr>
              <w:t>, statement 4</w:t>
            </w:r>
            <w:r w:rsidR="00D94433">
              <w:rPr>
                <w:rFonts w:cs="Arial"/>
              </w:rPr>
              <w:t xml:space="preserve"> and it is also </w:t>
            </w:r>
            <w:r w:rsidR="00D94433" w:rsidRPr="00DE047B">
              <w:rPr>
                <w:rFonts w:cs="Arial"/>
              </w:rPr>
              <w:t xml:space="preserve">expected that healthcare professionals would have knowledge, skills and expertise to provide </w:t>
            </w:r>
            <w:r w:rsidR="00D94433">
              <w:rPr>
                <w:rFonts w:cs="Arial"/>
              </w:rPr>
              <w:t>care</w:t>
            </w:r>
            <w:r w:rsidR="00D94433" w:rsidRPr="00DE047B">
              <w:rPr>
                <w:rFonts w:cs="Arial"/>
              </w:rPr>
              <w:t xml:space="preserve"> to all patients</w:t>
            </w:r>
            <w:r w:rsidR="00B67CA1">
              <w:rPr>
                <w:rFonts w:cs="Arial"/>
              </w:rPr>
              <w:t>.</w:t>
            </w:r>
            <w:r w:rsidR="00CC69BD">
              <w:rPr>
                <w:rFonts w:cs="Arial"/>
              </w:rPr>
              <w:t xml:space="preserve"> </w:t>
            </w:r>
            <w:r w:rsidR="00B67CA1">
              <w:rPr>
                <w:rFonts w:cs="Arial"/>
              </w:rPr>
              <w:t>S</w:t>
            </w:r>
            <w:r w:rsidR="00CC69BD">
              <w:rPr>
                <w:rFonts w:cs="Arial"/>
              </w:rPr>
              <w:t>ection 1.2 of the EHIA</w:t>
            </w:r>
            <w:r w:rsidR="00B67CA1">
              <w:rPr>
                <w:rFonts w:cs="Arial"/>
              </w:rPr>
              <w:t xml:space="preserve"> already</w:t>
            </w:r>
            <w:r w:rsidR="00D45EDD">
              <w:rPr>
                <w:rFonts w:cs="Arial"/>
              </w:rPr>
              <w:t xml:space="preserve"> highlights </w:t>
            </w:r>
            <w:r w:rsidR="00CC69BD">
              <w:rPr>
                <w:rFonts w:cs="Arial"/>
              </w:rPr>
              <w:t xml:space="preserve">need to meet the </w:t>
            </w:r>
            <w:r w:rsidR="00D45EDD">
              <w:rPr>
                <w:rFonts w:cs="Arial"/>
              </w:rPr>
              <w:t>additional information needs of people with disabilities including those with sensory disabilities</w:t>
            </w:r>
            <w:r w:rsidR="00CC69BD">
              <w:rPr>
                <w:rFonts w:cs="Arial"/>
              </w:rPr>
              <w:t>.</w:t>
            </w:r>
          </w:p>
          <w:p w14:paraId="40533E9D" w14:textId="59B29BA4" w:rsidR="006740AF" w:rsidRDefault="00D45EDD" w:rsidP="00232D6D">
            <w:pPr>
              <w:pStyle w:val="Paragraphnonumbers"/>
              <w:rPr>
                <w:rFonts w:cs="Arial"/>
              </w:rPr>
            </w:pPr>
            <w:r>
              <w:rPr>
                <w:rFonts w:cs="Arial"/>
              </w:rPr>
              <w:t xml:space="preserve">(3) </w:t>
            </w:r>
            <w:r w:rsidR="006740AF" w:rsidRPr="006740AF">
              <w:rPr>
                <w:rFonts w:cs="Arial"/>
              </w:rPr>
              <w:t xml:space="preserve">A stakeholder </w:t>
            </w:r>
            <w:r w:rsidR="00E21229">
              <w:rPr>
                <w:rFonts w:cs="Arial"/>
              </w:rPr>
              <w:t xml:space="preserve">again </w:t>
            </w:r>
            <w:r w:rsidR="006740AF" w:rsidRPr="006740AF">
              <w:rPr>
                <w:rFonts w:cs="Arial"/>
              </w:rPr>
              <w:t>raised the importance of making reasonable adjustments for people with a learning disability and autistic people</w:t>
            </w:r>
            <w:r w:rsidR="006740AF">
              <w:rPr>
                <w:rFonts w:cs="Arial"/>
              </w:rPr>
              <w:t xml:space="preserve"> (see section 1.2)</w:t>
            </w:r>
            <w:r w:rsidR="006740AF" w:rsidRPr="006740AF">
              <w:rPr>
                <w:rFonts w:cs="Arial"/>
              </w:rPr>
              <w:t>. The comment mentioned diagnostic overshadowing, where symptoms of physical ill health are mistakenly attributed to a mental health or behavioural problem, or to the person’s learning disability or autism diagnosis. </w:t>
            </w:r>
          </w:p>
          <w:p w14:paraId="0CADE14E" w14:textId="4EEBD465" w:rsidR="00232D6D" w:rsidRPr="00232D6D" w:rsidRDefault="00232D6D" w:rsidP="00232D6D">
            <w:pPr>
              <w:pStyle w:val="Paragraphnonumbers"/>
              <w:rPr>
                <w:rFonts w:cs="Arial"/>
              </w:rPr>
            </w:pPr>
            <w:r w:rsidRPr="00232D6D">
              <w:rPr>
                <w:rFonts w:cs="Arial"/>
              </w:rPr>
              <w:t xml:space="preserve">Their comment also highlighted the importance of adjusting clinical care, such as using a thumb prick to take a blood sample. </w:t>
            </w:r>
          </w:p>
          <w:p w14:paraId="03D53DA4" w14:textId="0C462C6D" w:rsidR="001809B1" w:rsidRDefault="00232D6D" w:rsidP="00ED0FE0">
            <w:pPr>
              <w:pStyle w:val="Paragraphnonumbers"/>
              <w:rPr>
                <w:rFonts w:cs="Arial"/>
              </w:rPr>
            </w:pPr>
            <w:r w:rsidRPr="00232D6D">
              <w:rPr>
                <w:rFonts w:cs="Arial"/>
              </w:rPr>
              <w:t xml:space="preserve">No amendments to statement 1 have been made in response to these suggestions. The diversity, equality and language section of the quality standard highlights the </w:t>
            </w:r>
            <w:hyperlink r:id="rId21" w:history="1">
              <w:r>
                <w:rPr>
                  <w:rStyle w:val="Hyperlink"/>
                </w:rPr>
                <w:t>NHS Accessible Information Standard</w:t>
              </w:r>
            </w:hyperlink>
            <w:r w:rsidR="00517830">
              <w:t xml:space="preserve">, which includes information on how to support additional </w:t>
            </w:r>
            <w:r w:rsidR="00517830">
              <w:lastRenderedPageBreak/>
              <w:t xml:space="preserve">communication needs. </w:t>
            </w:r>
            <w:r w:rsidRPr="00232D6D">
              <w:rPr>
                <w:rFonts w:cs="Arial"/>
              </w:rPr>
              <w:t xml:space="preserve">Further, individualised care is covered by </w:t>
            </w:r>
            <w:hyperlink r:id="rId22" w:history="1">
              <w:r w:rsidRPr="00232D6D">
                <w:rPr>
                  <w:rStyle w:val="Hyperlink"/>
                  <w:rFonts w:cs="Arial"/>
                </w:rPr>
                <w:t>NICE’s quality standard on patient experience in adult NHS services QS15</w:t>
              </w:r>
            </w:hyperlink>
            <w:r w:rsidRPr="00232D6D">
              <w:rPr>
                <w:rFonts w:cs="Arial"/>
              </w:rPr>
              <w:t>, statement 4</w:t>
            </w:r>
            <w:r w:rsidR="00CC69BD">
              <w:rPr>
                <w:rFonts w:cs="Arial"/>
              </w:rPr>
              <w:t xml:space="preserve"> and it is also </w:t>
            </w:r>
            <w:r w:rsidR="00CC69BD" w:rsidRPr="00DE047B">
              <w:rPr>
                <w:rFonts w:cs="Arial"/>
              </w:rPr>
              <w:t xml:space="preserve">expected that healthcare professionals would have knowledge, skills and expertise to provide </w:t>
            </w:r>
            <w:r w:rsidR="00CC69BD">
              <w:rPr>
                <w:rFonts w:cs="Arial"/>
              </w:rPr>
              <w:t>care</w:t>
            </w:r>
            <w:r w:rsidR="00CC69BD" w:rsidRPr="00DE047B">
              <w:rPr>
                <w:rFonts w:cs="Arial"/>
              </w:rPr>
              <w:t xml:space="preserve"> to all patients</w:t>
            </w:r>
            <w:r w:rsidRPr="00232D6D">
              <w:rPr>
                <w:rFonts w:cs="Arial"/>
              </w:rPr>
              <w:t>. Taking a blood sample forms part of assessment for suspected kidney cancer but is not specific to this condition; therefore, reference to this specific health inequality and corresponding</w:t>
            </w:r>
            <w:r w:rsidR="00CC69BD">
              <w:rPr>
                <w:rFonts w:cs="Arial"/>
              </w:rPr>
              <w:t xml:space="preserve"> suggested</w:t>
            </w:r>
            <w:r w:rsidRPr="00232D6D">
              <w:rPr>
                <w:rFonts w:cs="Arial"/>
              </w:rPr>
              <w:t xml:space="preserve"> adjustment</w:t>
            </w:r>
            <w:r w:rsidR="008660DA">
              <w:rPr>
                <w:rFonts w:cs="Arial"/>
              </w:rPr>
              <w:t>s</w:t>
            </w:r>
            <w:r w:rsidRPr="00232D6D">
              <w:rPr>
                <w:rFonts w:cs="Arial"/>
              </w:rPr>
              <w:t xml:space="preserve"> is not included in the statement.</w:t>
            </w:r>
            <w:r w:rsidR="001809B1">
              <w:rPr>
                <w:rFonts w:cs="Arial"/>
              </w:rPr>
              <w:t xml:space="preserve"> </w:t>
            </w:r>
          </w:p>
          <w:p w14:paraId="6A7A39C4" w14:textId="67F66A3A" w:rsidR="00D465A2" w:rsidRDefault="00D465A2" w:rsidP="00D465A2">
            <w:pPr>
              <w:pStyle w:val="Paragraphnonumbers"/>
              <w:rPr>
                <w:rFonts w:cs="Arial"/>
              </w:rPr>
            </w:pPr>
            <w:r>
              <w:t xml:space="preserve">(4) </w:t>
            </w:r>
            <w:r w:rsidR="00DD2A8E">
              <w:rPr>
                <w:rFonts w:cs="Arial"/>
              </w:rPr>
              <w:t>Some stakeholders</w:t>
            </w:r>
            <w:r w:rsidR="00DD2A8E" w:rsidRPr="00605B5D">
              <w:rPr>
                <w:rFonts w:cs="Arial"/>
              </w:rPr>
              <w:t xml:space="preserve"> highlighted </w:t>
            </w:r>
            <w:r w:rsidR="00DD2A8E">
              <w:rPr>
                <w:rFonts w:cs="Arial"/>
              </w:rPr>
              <w:t xml:space="preserve">that </w:t>
            </w:r>
            <w:r w:rsidR="00DD2A8E" w:rsidRPr="00605B5D">
              <w:rPr>
                <w:rFonts w:cs="Arial"/>
              </w:rPr>
              <w:t xml:space="preserve">people experiencing socioeconomic inequalities and health inequalities </w:t>
            </w:r>
            <w:r w:rsidR="00DD2A8E">
              <w:rPr>
                <w:rFonts w:cs="Arial"/>
              </w:rPr>
              <w:t>may not present to their GP at the first possible signs of kidney cancer and therefore the suggestion was made that</w:t>
            </w:r>
            <w:r w:rsidR="00425E20">
              <w:rPr>
                <w:rFonts w:cs="Arial"/>
              </w:rPr>
              <w:t xml:space="preserve"> it is important to</w:t>
            </w:r>
            <w:r w:rsidRPr="00605B5D">
              <w:rPr>
                <w:rFonts w:cs="Arial"/>
              </w:rPr>
              <w:t xml:space="preserve"> </w:t>
            </w:r>
            <w:r w:rsidR="00425E20">
              <w:rPr>
                <w:rFonts w:cs="Arial"/>
              </w:rPr>
              <w:t>increase</w:t>
            </w:r>
            <w:r w:rsidR="00425E20" w:rsidRPr="00605B5D">
              <w:rPr>
                <w:rFonts w:cs="Arial"/>
              </w:rPr>
              <w:t xml:space="preserve"> </w:t>
            </w:r>
            <w:r w:rsidRPr="00605B5D">
              <w:rPr>
                <w:rFonts w:cs="Arial"/>
              </w:rPr>
              <w:t>awareness of kidney cancer signs and symptoms among the public to ensure that people present to their GP at the first sign of possible kidney cancer.  Targeted prompts in areas of high deprivation and translated leaflets for areas with low levels of literacy were suggested as specific strategies.</w:t>
            </w:r>
            <w:r>
              <w:rPr>
                <w:rFonts w:cs="Arial"/>
              </w:rPr>
              <w:t xml:space="preserve"> </w:t>
            </w:r>
          </w:p>
          <w:p w14:paraId="78B52223" w14:textId="3083BCCC" w:rsidR="00D465A2" w:rsidRDefault="00D465A2" w:rsidP="00D465A2">
            <w:pPr>
              <w:pStyle w:val="Paragraphnonumbers"/>
              <w:rPr>
                <w:rFonts w:cs="Arial"/>
              </w:rPr>
            </w:pPr>
            <w:r>
              <w:t>Improving awareness of symptoms of kidney cancer</w:t>
            </w:r>
            <w:r w:rsidR="00C14350">
              <w:t xml:space="preserve"> among the public</w:t>
            </w:r>
            <w:r>
              <w:t xml:space="preserve"> was </w:t>
            </w:r>
            <w:r w:rsidR="00EA1B2B">
              <w:t xml:space="preserve">previously </w:t>
            </w:r>
            <w:r>
              <w:t xml:space="preserve">considered as an area for potential statement development at topic engagement (as detailed in the </w:t>
            </w:r>
            <w:hyperlink r:id="rId23" w:history="1">
              <w:r w:rsidRPr="008E27BB">
                <w:rPr>
                  <w:rStyle w:val="Hyperlink"/>
                </w:rPr>
                <w:t>briefing paper</w:t>
              </w:r>
            </w:hyperlink>
            <w:r>
              <w:t xml:space="preserve">). No recommendations </w:t>
            </w:r>
            <w:r>
              <w:rPr>
                <w:rFonts w:cs="Arial"/>
              </w:rPr>
              <w:t xml:space="preserve">were </w:t>
            </w:r>
            <w:r>
              <w:t>identified during the prioritisation process</w:t>
            </w:r>
            <w:r w:rsidR="008660DA">
              <w:t>, so a statement could not be developed</w:t>
            </w:r>
            <w:r>
              <w:t xml:space="preserve">. The committee confirmed </w:t>
            </w:r>
            <w:r w:rsidR="008660DA">
              <w:t xml:space="preserve">at the post-consultation meeting </w:t>
            </w:r>
            <w:r>
              <w:t xml:space="preserve">that </w:t>
            </w:r>
            <w:r w:rsidR="008660DA">
              <w:t xml:space="preserve">this </w:t>
            </w:r>
            <w:r>
              <w:t xml:space="preserve">area </w:t>
            </w:r>
            <w:r w:rsidR="003E0210">
              <w:t xml:space="preserve">therefore would </w:t>
            </w:r>
            <w:r>
              <w:t>not be included in the published quality standard.</w:t>
            </w:r>
          </w:p>
          <w:p w14:paraId="00971088" w14:textId="244BD741" w:rsidR="00AA7E78" w:rsidRPr="00FC1887" w:rsidRDefault="00D465A2" w:rsidP="00836515">
            <w:pPr>
              <w:pStyle w:val="Paragraph"/>
            </w:pPr>
            <w:r>
              <w:rPr>
                <w:rFonts w:cs="Arial"/>
              </w:rPr>
              <w:t xml:space="preserve">(5) </w:t>
            </w:r>
            <w:r w:rsidR="00541419">
              <w:rPr>
                <w:rFonts w:cs="Arial"/>
              </w:rPr>
              <w:t xml:space="preserve"> </w:t>
            </w:r>
            <w:r w:rsidR="00E21229">
              <w:t>Health inequalities that may be experienced by t</w:t>
            </w:r>
            <w:r w:rsidR="00E21229" w:rsidRPr="007C7916">
              <w:t>rans people</w:t>
            </w:r>
            <w:r w:rsidR="00E21229">
              <w:t xml:space="preserve"> </w:t>
            </w:r>
            <w:r w:rsidR="00E21229" w:rsidRPr="007C7916">
              <w:t xml:space="preserve">during </w:t>
            </w:r>
            <w:r w:rsidR="00E21229">
              <w:t xml:space="preserve">diagnosis and treatment and potential impact of cancer treatment on gender affirming treatment, and vice versa, are highlighted in section 1.2 but the committee did not address these issues further in relation to the quality standard. </w:t>
            </w:r>
          </w:p>
        </w:tc>
      </w:tr>
    </w:tbl>
    <w:p w14:paraId="4A2F5F73" w14:textId="77777777" w:rsidR="00456D7C" w:rsidRDefault="00456D7C" w:rsidP="00456D7C">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6D7C" w14:paraId="071A04D7" w14:textId="77777777" w:rsidTr="008D6925">
        <w:tc>
          <w:tcPr>
            <w:tcW w:w="9781" w:type="dxa"/>
          </w:tcPr>
          <w:p w14:paraId="166DA32F" w14:textId="77777777" w:rsidR="00456D7C" w:rsidRPr="00C70B5E" w:rsidRDefault="00456D7C" w:rsidP="00A44AB1">
            <w:pPr>
              <w:pStyle w:val="Paragraph"/>
              <w:numPr>
                <w:ilvl w:val="1"/>
                <w:numId w:val="12"/>
              </w:numPr>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456D7C" w14:paraId="03E4393F" w14:textId="77777777" w:rsidTr="0025629D">
        <w:trPr>
          <w:trHeight w:val="699"/>
        </w:trPr>
        <w:tc>
          <w:tcPr>
            <w:tcW w:w="9781" w:type="dxa"/>
          </w:tcPr>
          <w:p w14:paraId="618C18B7" w14:textId="3DF9F29D" w:rsidR="00456D7C" w:rsidRPr="00FC1887" w:rsidRDefault="0073328B" w:rsidP="00836515">
            <w:pPr>
              <w:pStyle w:val="Paragraph"/>
              <w:spacing w:after="0"/>
              <w:rPr>
                <w:b/>
                <w:bCs/>
              </w:rPr>
            </w:pPr>
            <w:r>
              <w:rPr>
                <w:b/>
                <w:bCs/>
              </w:rPr>
              <w:t xml:space="preserve">1) </w:t>
            </w:r>
            <w:r w:rsidR="00456D7C" w:rsidRPr="00FC1887">
              <w:rPr>
                <w:b/>
                <w:bCs/>
              </w:rPr>
              <w:t xml:space="preserve">Protected characteristics outlined in the Equality Act 2010 </w:t>
            </w:r>
          </w:p>
          <w:p w14:paraId="08DE9967" w14:textId="786A9868" w:rsidR="00102838" w:rsidRPr="00102838" w:rsidRDefault="00102838" w:rsidP="00102838">
            <w:pPr>
              <w:pStyle w:val="Paragraph"/>
              <w:spacing w:after="0"/>
              <w:ind w:left="360"/>
            </w:pPr>
          </w:p>
          <w:p w14:paraId="7EF55E9C" w14:textId="1E8B8537" w:rsidR="004F26DD" w:rsidRPr="009F5918" w:rsidRDefault="00072C04" w:rsidP="004F26DD">
            <w:pPr>
              <w:pStyle w:val="Paragraph"/>
            </w:pPr>
            <w:r>
              <w:t>P</w:t>
            </w:r>
            <w:r w:rsidR="004F26DD">
              <w:t>regnancy and maternity, religion or belief and sexual orientation: no further issues were identified.</w:t>
            </w:r>
          </w:p>
          <w:p w14:paraId="7936F1BE" w14:textId="6FB9AB94" w:rsidR="00AA7E78" w:rsidRDefault="00AA7E78" w:rsidP="00097B59">
            <w:pPr>
              <w:pStyle w:val="Paragraph"/>
              <w:rPr>
                <w:b/>
                <w:bCs/>
              </w:rPr>
            </w:pPr>
            <w:r>
              <w:rPr>
                <w:b/>
                <w:bCs/>
              </w:rPr>
              <w:t xml:space="preserve">Disability </w:t>
            </w:r>
          </w:p>
          <w:p w14:paraId="4EFA3C6F" w14:textId="3922C1A7" w:rsidR="003B6648" w:rsidRDefault="003B6648" w:rsidP="00097B59">
            <w:pPr>
              <w:pStyle w:val="Paragraph"/>
            </w:pPr>
            <w:r>
              <w:t xml:space="preserve">A stakeholder highlighted that travel coordination is important as a reasonable adjustment  for adults with disabilities. </w:t>
            </w:r>
          </w:p>
          <w:p w14:paraId="26E728AE" w14:textId="646032A1" w:rsidR="003B6648" w:rsidRDefault="003B6648" w:rsidP="00097B59">
            <w:pPr>
              <w:pStyle w:val="Paragraph"/>
            </w:pPr>
            <w:r>
              <w:t xml:space="preserve">This has been addressed as described in sections 2.1 and 2.3. </w:t>
            </w:r>
          </w:p>
          <w:p w14:paraId="38367C37" w14:textId="7290D237" w:rsidR="00072C04" w:rsidRDefault="00072C04" w:rsidP="00097B59">
            <w:pPr>
              <w:pStyle w:val="Paragraph"/>
              <w:rPr>
                <w:b/>
                <w:bCs/>
              </w:rPr>
            </w:pPr>
            <w:r>
              <w:rPr>
                <w:b/>
                <w:bCs/>
              </w:rPr>
              <w:lastRenderedPageBreak/>
              <w:t>Gender reassignment</w:t>
            </w:r>
          </w:p>
          <w:p w14:paraId="36637C02" w14:textId="54286D72" w:rsidR="00072C04" w:rsidRPr="00E67A93" w:rsidRDefault="00072C04" w:rsidP="00097B59">
            <w:pPr>
              <w:pStyle w:val="Paragraph"/>
              <w:rPr>
                <w:b/>
                <w:bCs/>
              </w:rPr>
            </w:pPr>
            <w:r>
              <w:t>At consultation, a stakeholder highlighted the</w:t>
            </w:r>
            <w:r w:rsidRPr="00B12D6F">
              <w:t xml:space="preserve"> importance of understanding gender in terms </w:t>
            </w:r>
            <w:bookmarkStart w:id="15" w:name="_Hlk221545202"/>
            <w:r w:rsidRPr="00B12D6F">
              <w:t>of non-binary patients and how to approach them about urinary health</w:t>
            </w:r>
            <w:bookmarkEnd w:id="15"/>
            <w:r>
              <w:t xml:space="preserve"> but did not specify how this suggestion was relevant to kidney cancer, or those at greater risk of developing it, specifically</w:t>
            </w:r>
            <w:r w:rsidRPr="00B12D6F">
              <w:t xml:space="preserve">.  This comment was presented to the </w:t>
            </w:r>
            <w:r>
              <w:t>committee. They noted that u</w:t>
            </w:r>
            <w:r w:rsidRPr="00B12D6F">
              <w:t>rinary health, for any population, is out of scope for this quality standard</w:t>
            </w:r>
            <w:r>
              <w:t>.</w:t>
            </w:r>
          </w:p>
          <w:p w14:paraId="1151EF8B" w14:textId="1CAE54FF" w:rsidR="00FC1887" w:rsidRDefault="00456D7C" w:rsidP="00836515">
            <w:pPr>
              <w:pStyle w:val="Paragraph"/>
            </w:pPr>
            <w:r w:rsidRPr="00FC1887">
              <w:rPr>
                <w:b/>
                <w:bCs/>
              </w:rPr>
              <w:t>Ag</w:t>
            </w:r>
            <w:r w:rsidR="00FC1887">
              <w:rPr>
                <w:b/>
                <w:bCs/>
              </w:rPr>
              <w:t>e</w:t>
            </w:r>
            <w:r w:rsidR="004603CB" w:rsidRPr="00102838">
              <w:t xml:space="preserve"> </w:t>
            </w:r>
          </w:p>
          <w:p w14:paraId="578AA02B" w14:textId="2FF3B625" w:rsidR="00AA7E78" w:rsidRDefault="00AA7E78" w:rsidP="00AA7E78">
            <w:pPr>
              <w:pStyle w:val="Paragraphnonumbers"/>
            </w:pPr>
            <w:r>
              <w:t>Younger age:</w:t>
            </w:r>
          </w:p>
          <w:p w14:paraId="5AD7A1AF" w14:textId="57A5C904" w:rsidR="00AA7E78" w:rsidRDefault="00AA7E78" w:rsidP="00AA7E78">
            <w:pPr>
              <w:pStyle w:val="Paragraphnonumbers"/>
            </w:pPr>
            <w:r>
              <w:t xml:space="preserve">(1) A stakeholder </w:t>
            </w:r>
            <w:r w:rsidR="008660DA">
              <w:t>highlighted</w:t>
            </w:r>
            <w:r>
              <w:t xml:space="preserve"> that it is important that MRI s</w:t>
            </w:r>
            <w:r w:rsidR="004F26DD">
              <w:t>l</w:t>
            </w:r>
            <w:r>
              <w:t>ots are available for younger people with kidney cancer and those with heritable syndromes</w:t>
            </w:r>
            <w:r w:rsidR="00056189">
              <w:t>.</w:t>
            </w:r>
            <w:r>
              <w:t xml:space="preserve"> </w:t>
            </w:r>
          </w:p>
          <w:p w14:paraId="04ABC7BF" w14:textId="2B1ACBE9" w:rsidR="00AA7E78" w:rsidRPr="00085998" w:rsidRDefault="00AA7E78" w:rsidP="00AA7E78">
            <w:pPr>
              <w:pStyle w:val="Paragraphnonumbers"/>
            </w:pPr>
            <w:r>
              <w:t>This</w:t>
            </w:r>
            <w:r w:rsidR="008660DA">
              <w:t xml:space="preserve"> issue had</w:t>
            </w:r>
            <w:r>
              <w:t xml:space="preserve"> </w:t>
            </w:r>
            <w:r w:rsidR="008660DA">
              <w:t xml:space="preserve">been previously </w:t>
            </w:r>
            <w:r>
              <w:t xml:space="preserve">raised and addressed, as described in </w:t>
            </w:r>
            <w:r w:rsidR="001D0F05">
              <w:t>section 2</w:t>
            </w:r>
            <w:r w:rsidR="00912426">
              <w:t xml:space="preserve">. </w:t>
            </w:r>
          </w:p>
          <w:p w14:paraId="7E838CD9" w14:textId="494A2ED3" w:rsidR="00AA7E78" w:rsidRDefault="00AA7E78" w:rsidP="00AA7E78">
            <w:pPr>
              <w:pStyle w:val="Paragraph"/>
            </w:pPr>
            <w:r>
              <w:t xml:space="preserve">(2) </w:t>
            </w:r>
            <w:r w:rsidR="00300FE7">
              <w:t xml:space="preserve">A stakeholder highlighted that the standard does not cover </w:t>
            </w:r>
            <w:r w:rsidR="00300FE7" w:rsidRPr="00300FE7">
              <w:t xml:space="preserve">monitoring </w:t>
            </w:r>
            <w:r w:rsidR="00D465A2">
              <w:t xml:space="preserve">for </w:t>
            </w:r>
            <w:r w:rsidR="00300FE7">
              <w:t xml:space="preserve">those with </w:t>
            </w:r>
            <w:r w:rsidR="00300FE7" w:rsidRPr="00300FE7">
              <w:t xml:space="preserve">RCC </w:t>
            </w:r>
            <w:r w:rsidR="00300FE7">
              <w:t xml:space="preserve">before receiving </w:t>
            </w:r>
            <w:r w:rsidR="00300FE7" w:rsidRPr="00300FE7">
              <w:t>treatment</w:t>
            </w:r>
            <w:r w:rsidR="00D465A2">
              <w:t xml:space="preserve"> or not </w:t>
            </w:r>
            <w:r w:rsidR="00056189">
              <w:t xml:space="preserve">those who are not </w:t>
            </w:r>
            <w:r w:rsidR="00D465A2">
              <w:t>having treatment</w:t>
            </w:r>
            <w:r w:rsidR="00300FE7" w:rsidRPr="00300FE7">
              <w:t>.</w:t>
            </w:r>
            <w:r w:rsidR="00300FE7">
              <w:t xml:space="preserve"> </w:t>
            </w:r>
            <w:r w:rsidR="00D465A2">
              <w:t xml:space="preserve">Younger age </w:t>
            </w:r>
            <w:r w:rsidR="00F95B30">
              <w:t>is</w:t>
            </w:r>
            <w:r w:rsidR="00300FE7">
              <w:t xml:space="preserve"> associated with heritable </w:t>
            </w:r>
            <w:r w:rsidR="00300FE7" w:rsidRPr="008B793F">
              <w:t>syndromes</w:t>
            </w:r>
            <w:r w:rsidR="00300FE7">
              <w:t xml:space="preserve"> and undergoing </w:t>
            </w:r>
            <w:r w:rsidR="00D465A2">
              <w:t xml:space="preserve">active </w:t>
            </w:r>
            <w:r w:rsidR="00300FE7">
              <w:t>surveillance</w:t>
            </w:r>
            <w:r w:rsidR="00F95B30">
              <w:t xml:space="preserve"> for their syndrome</w:t>
            </w:r>
            <w:r w:rsidR="00300FE7">
              <w:t xml:space="preserve">. </w:t>
            </w:r>
          </w:p>
          <w:p w14:paraId="10AA65E3" w14:textId="75E09748" w:rsidR="00AA7E78" w:rsidRDefault="00AA7E78" w:rsidP="00AA7E78">
            <w:pPr>
              <w:pStyle w:val="Paragraph"/>
            </w:pPr>
            <w:r>
              <w:t xml:space="preserve">This suggestion was not progressed, because the committee did not prioritise active surveillance as an area for statement development. </w:t>
            </w:r>
          </w:p>
          <w:p w14:paraId="369C996E" w14:textId="77777777" w:rsidR="00AA7E78" w:rsidRDefault="00AA7E78" w:rsidP="00AA7E78">
            <w:pPr>
              <w:pStyle w:val="Paragraph"/>
            </w:pPr>
            <w:r>
              <w:t xml:space="preserve">(3) A stakeholder suggested that the equality and diversity considerations section in statement 5 should highlight more strongly that contrast-based ultrasound (CEUS) could be used rather than CT, to mitigate the impact the cumulative risk of radiation exposure in people diagnosed at a young age. </w:t>
            </w:r>
          </w:p>
          <w:p w14:paraId="5D084E44" w14:textId="1C7FC7CC" w:rsidR="00AA7E78" w:rsidRDefault="00AA7E78" w:rsidP="00AA7E78">
            <w:pPr>
              <w:pStyle w:val="Paragraph"/>
            </w:pPr>
            <w:r>
              <w:t>This suggestion has not been progressed because it is not supported by guideline recommendations. The equality and diversity section in statement 5 highlights the importance of h</w:t>
            </w:r>
            <w:r w:rsidRPr="007A2641">
              <w:t>ealthcare professionals consider</w:t>
            </w:r>
            <w:r>
              <w:t>ing radiation exposure when</w:t>
            </w:r>
            <w:r w:rsidRPr="007A2641">
              <w:t xml:space="preserve"> </w:t>
            </w:r>
            <w:r>
              <w:t>choosing</w:t>
            </w:r>
            <w:r w:rsidRPr="007A2641">
              <w:t xml:space="preserve"> imaging </w:t>
            </w:r>
            <w:r>
              <w:t>type</w:t>
            </w:r>
            <w:r w:rsidRPr="007A2641">
              <w:t xml:space="preserve"> and developing a follow-up plan</w:t>
            </w:r>
            <w:r>
              <w:t xml:space="preserve"> </w:t>
            </w:r>
            <w:r w:rsidR="00056189">
              <w:t xml:space="preserve">for </w:t>
            </w:r>
            <w:r>
              <w:t>people diagnosed at a young age</w:t>
            </w:r>
            <w:r w:rsidR="00D465A2">
              <w:t xml:space="preserve">, in line with recommendations in </w:t>
            </w:r>
            <w:r w:rsidR="00056189">
              <w:t xml:space="preserve">NICE’s </w:t>
            </w:r>
            <w:r w:rsidR="00D465A2">
              <w:t>guideline</w:t>
            </w:r>
            <w:r w:rsidR="001D0F05">
              <w:t xml:space="preserve"> on kidney cancer</w:t>
            </w:r>
            <w:r w:rsidRPr="007A2641">
              <w:t>.</w:t>
            </w:r>
          </w:p>
          <w:p w14:paraId="710260CB" w14:textId="3BE58AE9" w:rsidR="00AA7E78" w:rsidRDefault="00AA7E78" w:rsidP="00836515">
            <w:pPr>
              <w:pStyle w:val="Paragraph"/>
            </w:pPr>
            <w:r>
              <w:t>Older age:</w:t>
            </w:r>
          </w:p>
          <w:p w14:paraId="1CD16943" w14:textId="0F54A30C" w:rsidR="00923D20" w:rsidRDefault="00923D20" w:rsidP="00836515">
            <w:pPr>
              <w:pStyle w:val="Paragraphnonumbers"/>
            </w:pPr>
            <w:r>
              <w:t>Section 1 notes</w:t>
            </w:r>
            <w:r w:rsidR="00BE1229">
              <w:t xml:space="preserve"> health inequalities relating to</w:t>
            </w:r>
            <w:r>
              <w:t xml:space="preserve"> </w:t>
            </w:r>
            <w:r w:rsidR="00BE1229">
              <w:t xml:space="preserve">delayed diagnosis in </w:t>
            </w:r>
            <w:r w:rsidRPr="00923D20">
              <w:t>women</w:t>
            </w:r>
            <w:r w:rsidR="00BE1229">
              <w:t>. Additional</w:t>
            </w:r>
            <w:r w:rsidR="001D0F05">
              <w:t>ly,</w:t>
            </w:r>
            <w:r w:rsidR="00BE1229">
              <w:t xml:space="preserve"> and more specific</w:t>
            </w:r>
            <w:r w:rsidR="00056189">
              <w:t>al</w:t>
            </w:r>
            <w:r w:rsidR="00BE1229">
              <w:t xml:space="preserve"> to this, a</w:t>
            </w:r>
            <w:r>
              <w:t xml:space="preserve"> committee member highlighted a</w:t>
            </w:r>
            <w:r w:rsidR="00056189">
              <w:t xml:space="preserve">n </w:t>
            </w:r>
            <w:r>
              <w:t>issue relevant to both age and sex, as intersecting health inequality issues:</w:t>
            </w:r>
            <w:r w:rsidR="001D0F05">
              <w:t xml:space="preserve"> that</w:t>
            </w:r>
            <w:r>
              <w:t xml:space="preserve"> although incidence of kidney cancer is higher in men than women, women of menopausal age are likely to have recurrent UTI attributed to menopausal symptoms. Healthcare professionals should therefore be particularly aware </w:t>
            </w:r>
            <w:r w:rsidR="00AA7E78">
              <w:t>that</w:t>
            </w:r>
            <w:r>
              <w:t xml:space="preserve"> recurrent UTI in this group</w:t>
            </w:r>
            <w:r w:rsidR="00AA7E78">
              <w:t xml:space="preserve"> may indicate symptoms </w:t>
            </w:r>
            <w:r w:rsidR="001D0F05">
              <w:t xml:space="preserve">(as per statement 1) </w:t>
            </w:r>
            <w:r w:rsidR="00AA7E78">
              <w:t>of suspected kidney cancer</w:t>
            </w:r>
            <w:r>
              <w:t xml:space="preserve">.  </w:t>
            </w:r>
          </w:p>
          <w:p w14:paraId="38C9989C" w14:textId="1CAEE1A9" w:rsidR="00AA7E78" w:rsidRDefault="004B16D4" w:rsidP="00836515">
            <w:pPr>
              <w:pStyle w:val="Paragraph"/>
            </w:pPr>
            <w:r w:rsidRPr="004B16D4">
              <w:lastRenderedPageBreak/>
              <w:t xml:space="preserve">An equality and diversity considerations section has been added to </w:t>
            </w:r>
            <w:r>
              <w:t>statement 1</w:t>
            </w:r>
            <w:r w:rsidR="00923D20">
              <w:t xml:space="preserve"> to </w:t>
            </w:r>
            <w:r w:rsidR="00BE1229">
              <w:t>highlight</w:t>
            </w:r>
            <w:r w:rsidR="00056189">
              <w:t xml:space="preserve"> this issue, to aid implementation. </w:t>
            </w:r>
            <w:r w:rsidR="00BE1229">
              <w:t xml:space="preserve"> </w:t>
            </w:r>
          </w:p>
          <w:p w14:paraId="2323FFE6" w14:textId="2737C57A" w:rsidR="001D0F05" w:rsidRDefault="001D0F05" w:rsidP="001D0F05">
            <w:pPr>
              <w:pStyle w:val="Paragraphnonumbers"/>
            </w:pPr>
            <w:r>
              <w:rPr>
                <w:b/>
                <w:bCs/>
              </w:rPr>
              <w:t xml:space="preserve">Race: </w:t>
            </w:r>
            <w:r>
              <w:t>During discussion of process measure of statement 1, a committee member highlighted that v</w:t>
            </w:r>
            <w:r w:rsidRPr="001675CA">
              <w:t xml:space="preserve">ariation </w:t>
            </w:r>
            <w:r>
              <w:t xml:space="preserve">between </w:t>
            </w:r>
            <w:r w:rsidRPr="001675CA">
              <w:t xml:space="preserve">ethnic groups </w:t>
            </w:r>
            <w:r>
              <w:t>may exist in relation to</w:t>
            </w:r>
            <w:r w:rsidR="0073328B">
              <w:t xml:space="preserve"> (pre-referral)</w:t>
            </w:r>
            <w:r>
              <w:t xml:space="preserve"> presentation in primary care. Some groups may be less likely to present). The committee member highlighted a targeted community intervention, mobile targeted case-finding, held in different localities </w:t>
            </w:r>
            <w:r w:rsidR="0073328B">
              <w:t xml:space="preserve">relevant </w:t>
            </w:r>
            <w:r>
              <w:t xml:space="preserve">to this topic. This health inequality and strategy is not referenced in statement 1 because the statement focuses on recognition of symptoms and referral in primary care, consistent with </w:t>
            </w:r>
            <w:r w:rsidR="008E27BB">
              <w:t>NICE’s guideline on suspected cancer: recognition and referral (NG12)</w:t>
            </w:r>
            <w:r>
              <w:t xml:space="preserve">. No recommendations on raising public awareness were identified, as noted in the consultation summary report and </w:t>
            </w:r>
            <w:r w:rsidR="0073328B">
              <w:t xml:space="preserve"> this EHIA, section </w:t>
            </w:r>
            <w:r>
              <w:t xml:space="preserve">3.1.     </w:t>
            </w:r>
          </w:p>
          <w:p w14:paraId="2474F4B9" w14:textId="5D2926A9" w:rsidR="0073328B" w:rsidRPr="00541419" w:rsidRDefault="0073328B" w:rsidP="001D0F05">
            <w:pPr>
              <w:pStyle w:val="Paragraphnonumbers"/>
            </w:pPr>
            <w:r>
              <w:t xml:space="preserve">Also see </w:t>
            </w:r>
            <w:r>
              <w:rPr>
                <w:b/>
                <w:bCs/>
              </w:rPr>
              <w:t>Socioeconomic status and deprivation</w:t>
            </w:r>
            <w:r>
              <w:t>; this is an intersecting health inequality.</w:t>
            </w:r>
          </w:p>
          <w:p w14:paraId="4E7D2A57" w14:textId="30771CCA" w:rsidR="00D465A2" w:rsidRDefault="00456D7C" w:rsidP="00D465A2">
            <w:pPr>
              <w:pStyle w:val="Paragraphnonumbers"/>
            </w:pPr>
            <w:r w:rsidRPr="00FC1887">
              <w:rPr>
                <w:b/>
                <w:bCs/>
              </w:rPr>
              <w:t>Sex</w:t>
            </w:r>
            <w:r w:rsidRPr="005830CD">
              <w:rPr>
                <w:i/>
                <w:iCs/>
              </w:rPr>
              <w:t>:</w:t>
            </w:r>
            <w:r w:rsidR="004603CB" w:rsidRPr="005830CD">
              <w:rPr>
                <w:i/>
                <w:iCs/>
              </w:rPr>
              <w:t xml:space="preserve"> </w:t>
            </w:r>
            <w:bookmarkStart w:id="16" w:name="_Hlk218518276"/>
            <w:r w:rsidR="005830CD">
              <w:rPr>
                <w:i/>
                <w:iCs/>
              </w:rPr>
              <w:t xml:space="preserve"> </w:t>
            </w:r>
            <w:r w:rsidR="00D465A2">
              <w:t xml:space="preserve">Section 1 notes health inequalities relating to delayed diagnosis in </w:t>
            </w:r>
            <w:r w:rsidR="00D465A2" w:rsidRPr="00923D20">
              <w:t>women</w:t>
            </w:r>
            <w:r w:rsidR="0054586C">
              <w:t xml:space="preserve">, as noted for ‘older age’; </w:t>
            </w:r>
            <w:r w:rsidR="001D0F05">
              <w:t>this is an intersecting health inequality.</w:t>
            </w:r>
          </w:p>
          <w:p w14:paraId="17C77FD3" w14:textId="1FAD7E24" w:rsidR="001D0F05" w:rsidRDefault="001D0F05" w:rsidP="001D0F05">
            <w:pPr>
              <w:pStyle w:val="Paragraph"/>
            </w:pPr>
            <w:r w:rsidRPr="004B16D4">
              <w:t xml:space="preserve">An equality and diversity considerations section has been added to </w:t>
            </w:r>
            <w:r>
              <w:t xml:space="preserve">statement 1 to highlight this issue, to aid implementation.  </w:t>
            </w:r>
          </w:p>
          <w:bookmarkEnd w:id="16"/>
          <w:p w14:paraId="024270B2" w14:textId="09995692" w:rsidR="00FF6AC8" w:rsidRDefault="003B6648" w:rsidP="00836515">
            <w:pPr>
              <w:pStyle w:val="Paragraph"/>
              <w:spacing w:after="0"/>
            </w:pPr>
            <w:r w:rsidRPr="00836515">
              <w:rPr>
                <w:b/>
                <w:bCs/>
              </w:rPr>
              <w:t xml:space="preserve">2) </w:t>
            </w:r>
            <w:r w:rsidR="00456D7C" w:rsidRPr="003B6648">
              <w:rPr>
                <w:b/>
                <w:bCs/>
              </w:rPr>
              <w:t>Socioeconomic status and deprivation (for example, variation by area deprivation such as Index of Multiple Deprivation, National Statistics Socio-economic Classification, employment status, income)</w:t>
            </w:r>
            <w:r w:rsidR="005830CD" w:rsidRPr="003B6648">
              <w:rPr>
                <w:b/>
                <w:bCs/>
              </w:rPr>
              <w:t>:</w:t>
            </w:r>
            <w:r w:rsidR="00012D61">
              <w:t>.</w:t>
            </w:r>
            <w:r w:rsidR="0073328B">
              <w:t xml:space="preserve">Also see </w:t>
            </w:r>
            <w:r w:rsidR="0073328B">
              <w:rPr>
                <w:b/>
                <w:bCs/>
              </w:rPr>
              <w:t>Race</w:t>
            </w:r>
            <w:r w:rsidR="0073328B">
              <w:t>; this is an intersecting health inequality.</w:t>
            </w:r>
          </w:p>
          <w:p w14:paraId="6F499E53" w14:textId="77777777" w:rsidR="0073328B" w:rsidRPr="005830CD" w:rsidRDefault="0073328B" w:rsidP="00836515">
            <w:pPr>
              <w:pStyle w:val="Paragraph"/>
              <w:spacing w:after="0"/>
              <w:rPr>
                <w:highlight w:val="lightGray"/>
              </w:rPr>
            </w:pPr>
          </w:p>
          <w:p w14:paraId="1B2FCF4F" w14:textId="0CE97A18" w:rsidR="00456D7C" w:rsidRPr="003B6648" w:rsidRDefault="003B6648" w:rsidP="00836515">
            <w:pPr>
              <w:pStyle w:val="Paragraph"/>
              <w:spacing w:after="0"/>
              <w:rPr>
                <w:b/>
                <w:bCs/>
              </w:rPr>
            </w:pPr>
            <w:r>
              <w:rPr>
                <w:b/>
                <w:bCs/>
              </w:rPr>
              <w:t xml:space="preserve">3) </w:t>
            </w:r>
            <w:r w:rsidR="00456D7C" w:rsidRPr="003B6648">
              <w:rPr>
                <w:b/>
                <w:bCs/>
              </w:rPr>
              <w:t>Geographical area variation</w:t>
            </w:r>
            <w:r w:rsidR="00841A9B" w:rsidRPr="003B6648">
              <w:rPr>
                <w:b/>
                <w:bCs/>
              </w:rPr>
              <w:t>:</w:t>
            </w:r>
            <w:r w:rsidR="00456D7C" w:rsidRPr="003B6648">
              <w:rPr>
                <w:b/>
                <w:bCs/>
              </w:rPr>
              <w:t xml:space="preserve"> (for example, geographical differences in epidemiology or service provision- urban/rural, coastal, north/south)</w:t>
            </w:r>
          </w:p>
          <w:p w14:paraId="293B1D8F" w14:textId="77777777" w:rsidR="003B6648" w:rsidRDefault="00DE41F0" w:rsidP="007C7916">
            <w:pPr>
              <w:pStyle w:val="Paragraph"/>
              <w:tabs>
                <w:tab w:val="clear" w:pos="567"/>
                <w:tab w:val="left" w:pos="351"/>
              </w:tabs>
              <w:spacing w:after="0"/>
              <w:ind w:left="351" w:hanging="426"/>
            </w:pPr>
            <w:r>
              <w:t xml:space="preserve">    </w:t>
            </w:r>
          </w:p>
          <w:p w14:paraId="6CA59D94" w14:textId="30C72999" w:rsidR="00B41E1A" w:rsidRDefault="00DE41F0" w:rsidP="00B41E1A">
            <w:pPr>
              <w:pStyle w:val="Paragraph"/>
              <w:tabs>
                <w:tab w:val="clear" w:pos="567"/>
                <w:tab w:val="left" w:pos="-75"/>
              </w:tabs>
              <w:spacing w:after="0"/>
              <w:ind w:left="67" w:hanging="142"/>
            </w:pPr>
            <w:r>
              <w:t xml:space="preserve">  </w:t>
            </w:r>
            <w:r w:rsidR="00994A98" w:rsidRPr="00994A98">
              <w:t>A stakeholder comment suggested that increased use of CEUS could improve equity of access over use of CT and MRI only, because CEUS is more readily available in community settings. The comment was deemed to be more relevant for the guideline and discussed with the guideline committee who made no changes to the recommendations. To align with the guideline, no changes were made to quality statements 1 and 5 which reference imaging.</w:t>
            </w:r>
          </w:p>
          <w:p w14:paraId="6C20F12B" w14:textId="77777777" w:rsidR="00B41E1A" w:rsidRDefault="00B41E1A" w:rsidP="00B41E1A">
            <w:pPr>
              <w:pStyle w:val="Paragraph"/>
              <w:tabs>
                <w:tab w:val="clear" w:pos="567"/>
                <w:tab w:val="left" w:pos="-75"/>
              </w:tabs>
              <w:spacing w:after="0"/>
            </w:pPr>
            <w:r>
              <w:t xml:space="preserve"> </w:t>
            </w:r>
          </w:p>
          <w:p w14:paraId="6DC1F477" w14:textId="24D3392A" w:rsidR="006E66FB" w:rsidRDefault="00B41E1A" w:rsidP="00836515">
            <w:pPr>
              <w:pStyle w:val="Paragraph"/>
              <w:spacing w:after="0"/>
            </w:pPr>
            <w:r w:rsidRPr="00B41E1A">
              <w:t>Therefore, no changes were made to the recommendations</w:t>
            </w:r>
            <w:r>
              <w:t xml:space="preserve"> or quality statements 1 or 5, which reference imaging. </w:t>
            </w:r>
          </w:p>
          <w:p w14:paraId="6EAB5ECE" w14:textId="77777777" w:rsidR="000503AC" w:rsidRDefault="000503AC" w:rsidP="00836515">
            <w:pPr>
              <w:pStyle w:val="Paragraph"/>
              <w:spacing w:after="0"/>
            </w:pPr>
          </w:p>
          <w:p w14:paraId="0E10BE50" w14:textId="04114074" w:rsidR="003B6648" w:rsidRPr="003B6648" w:rsidRDefault="003B6648" w:rsidP="00836515">
            <w:pPr>
              <w:pStyle w:val="Paragraph"/>
              <w:rPr>
                <w:b/>
                <w:bCs/>
              </w:rPr>
            </w:pPr>
            <w:r w:rsidRPr="00836515">
              <w:rPr>
                <w:b/>
                <w:bCs/>
              </w:rPr>
              <w:t>(4)</w:t>
            </w:r>
            <w:r>
              <w:t xml:space="preserve"> </w:t>
            </w:r>
            <w:r w:rsidR="00456D7C" w:rsidRPr="003B6648">
              <w:rPr>
                <w:b/>
                <w:b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456D7C" w:rsidRPr="00836515">
              <w:t>)</w:t>
            </w:r>
            <w:r w:rsidR="007B0EF6" w:rsidRPr="00836515">
              <w:t>:</w:t>
            </w:r>
            <w:r w:rsidR="007B0EF6">
              <w:t xml:space="preserve"> </w:t>
            </w:r>
            <w:r>
              <w:br/>
            </w:r>
            <w:r>
              <w:br/>
            </w:r>
            <w:r w:rsidRPr="00836515">
              <w:lastRenderedPageBreak/>
              <w:t xml:space="preserve">A stakeholder highlighted that travel coordination is important as a reasonable adjustment  for adults with </w:t>
            </w:r>
            <w:r>
              <w:t>severe frailty</w:t>
            </w:r>
            <w:r w:rsidRPr="00836515">
              <w:t>.</w:t>
            </w:r>
            <w:r w:rsidRPr="003B6648">
              <w:rPr>
                <w:b/>
                <w:bCs/>
              </w:rPr>
              <w:t xml:space="preserve"> </w:t>
            </w:r>
          </w:p>
          <w:p w14:paraId="2DC1EE6B" w14:textId="383086F3" w:rsidR="00B11FE3" w:rsidRPr="00560F6C" w:rsidRDefault="003B6648" w:rsidP="00836515">
            <w:pPr>
              <w:pStyle w:val="Paragraph"/>
              <w:rPr>
                <w:i/>
                <w:iCs/>
              </w:rPr>
            </w:pPr>
            <w:r>
              <w:t>The committee noted this comment but did not suggest that this group should be referenced</w:t>
            </w:r>
            <w:r w:rsidR="00585A80">
              <w:t xml:space="preserve"> specifically</w:t>
            </w:r>
            <w:r w:rsidR="00541419">
              <w:t xml:space="preserve"> in any statements. </w:t>
            </w:r>
            <w:r w:rsidR="00585A80">
              <w:t>It is, as noted in the guideline EHIA, associated with older age, and as such can be considered as an intersecting</w:t>
            </w:r>
            <w:r w:rsidR="0054586C">
              <w:t xml:space="preserve"> health inequality</w:t>
            </w:r>
            <w:r w:rsidR="0073328B">
              <w:t xml:space="preserve">. </w:t>
            </w:r>
            <w:proofErr w:type="gramStart"/>
            <w:r w:rsidR="0073328B">
              <w:t>This</w:t>
            </w:r>
            <w:r w:rsidR="00585A80">
              <w:t>,</w:t>
            </w:r>
            <w:proofErr w:type="gramEnd"/>
            <w:r w:rsidR="00585A80">
              <w:t xml:space="preserve"> </w:t>
            </w:r>
            <w:r w:rsidR="0073328B">
              <w:t>has already been</w:t>
            </w:r>
            <w:r w:rsidR="0054586C">
              <w:t xml:space="preserve"> raised and </w:t>
            </w:r>
            <w:r w:rsidR="00585A80">
              <w:t xml:space="preserve">addressed as detailed in </w:t>
            </w:r>
            <w:r w:rsidR="0073328B">
              <w:t>section 2</w:t>
            </w:r>
            <w:r w:rsidR="00585A80">
              <w:t xml:space="preserve">. The importance of </w:t>
            </w:r>
            <w:r w:rsidR="00F95B30">
              <w:t xml:space="preserve">offering biopsy to all adults, and </w:t>
            </w:r>
            <w:r w:rsidR="00585A80">
              <w:t xml:space="preserve">supporting </w:t>
            </w:r>
            <w:r w:rsidR="00F95B30">
              <w:t xml:space="preserve">older </w:t>
            </w:r>
            <w:r w:rsidR="00585A80">
              <w:t>adults, through information about travel costs, to attend for biopsy</w:t>
            </w:r>
            <w:r w:rsidR="00F95B30">
              <w:t xml:space="preserve"> </w:t>
            </w:r>
            <w:r w:rsidR="0073328B">
              <w:t xml:space="preserve">and for SACT </w:t>
            </w:r>
            <w:r w:rsidR="00F95B30">
              <w:t>is highlighted in the equality and diversity section of statement 2</w:t>
            </w:r>
            <w:r w:rsidR="0073328B">
              <w:t xml:space="preserve"> and 6, respectively</w:t>
            </w:r>
            <w:r w:rsidR="00F95B30">
              <w:t xml:space="preserve">. </w:t>
            </w:r>
            <w:r w:rsidR="00585A80">
              <w:t xml:space="preserve"> </w:t>
            </w:r>
          </w:p>
        </w:tc>
      </w:tr>
    </w:tbl>
    <w:p w14:paraId="6574C61B" w14:textId="77777777" w:rsidR="00456D7C" w:rsidRDefault="00456D7C" w:rsidP="00456D7C">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6D7C" w14:paraId="0BBF91FF" w14:textId="77777777" w:rsidTr="008D6925">
        <w:trPr>
          <w:trHeight w:val="598"/>
        </w:trPr>
        <w:tc>
          <w:tcPr>
            <w:tcW w:w="9781" w:type="dxa"/>
          </w:tcPr>
          <w:p w14:paraId="4BE0D7B1" w14:textId="77777777" w:rsidR="00456D7C" w:rsidRDefault="00456D7C" w:rsidP="00A44AB1">
            <w:pPr>
              <w:pStyle w:val="Paragraph"/>
              <w:numPr>
                <w:ilvl w:val="1"/>
                <w:numId w:val="12"/>
              </w:numPr>
              <w:spacing w:after="0"/>
              <w:ind w:left="567" w:hanging="567"/>
            </w:pPr>
            <w:r w:rsidRPr="00482EF3">
              <w:t xml:space="preserve">If any </w:t>
            </w:r>
            <w:r>
              <w:t>quality statements</w:t>
            </w:r>
            <w:r w:rsidRPr="00482EF3">
              <w:t xml:space="preserve"> have changed after consultation, how could these changes impact on equality and health inequalities issues?</w:t>
            </w:r>
            <w:r w:rsidRPr="0078563E">
              <w:rPr>
                <w:rFonts w:cs="Arial"/>
              </w:rPr>
              <w:t xml:space="preserve"> </w:t>
            </w:r>
          </w:p>
        </w:tc>
      </w:tr>
      <w:tr w:rsidR="00456D7C" w14:paraId="62D5F8CA" w14:textId="77777777" w:rsidTr="00851766">
        <w:trPr>
          <w:trHeight w:val="690"/>
        </w:trPr>
        <w:tc>
          <w:tcPr>
            <w:tcW w:w="9781" w:type="dxa"/>
          </w:tcPr>
          <w:p w14:paraId="76364875" w14:textId="3B8E1FE3" w:rsidR="00097B59" w:rsidRDefault="00753CB9" w:rsidP="008D6925">
            <w:pPr>
              <w:pStyle w:val="Paragraph"/>
            </w:pPr>
            <w:r w:rsidRPr="008B793F">
              <w:t xml:space="preserve">No changes </w:t>
            </w:r>
            <w:r w:rsidR="003208C6">
              <w:t>to statements that impact the equality and health inequalities issues were made (no changes to populations or interventions</w:t>
            </w:r>
            <w:r w:rsidR="00097B59">
              <w:t xml:space="preserve"> in statement</w:t>
            </w:r>
            <w:r w:rsidR="00D11B8A">
              <w:t>s</w:t>
            </w:r>
            <w:r w:rsidR="00097B59">
              <w:t xml:space="preserve"> 1 to 5</w:t>
            </w:r>
            <w:r w:rsidR="003208C6">
              <w:t>).</w:t>
            </w:r>
          </w:p>
          <w:p w14:paraId="4F509E4E" w14:textId="3ED4DBF2" w:rsidR="00097B59" w:rsidRPr="008B793F" w:rsidRDefault="00097B59" w:rsidP="008D6925">
            <w:pPr>
              <w:pStyle w:val="Paragraph"/>
            </w:pPr>
            <w:r>
              <w:t xml:space="preserve">Statement 6 has been updated to align with post-consultation amendments to the guideline, to reflect that use of SACT is not discussed at a specialist MDT but at a </w:t>
            </w:r>
            <w:r w:rsidR="00DF48C6">
              <w:t xml:space="preserve">uro-oncology </w:t>
            </w:r>
            <w:r>
              <w:t>MDT.</w:t>
            </w:r>
            <w:r w:rsidR="00BC6B28">
              <w:t xml:space="preserve"> </w:t>
            </w:r>
          </w:p>
        </w:tc>
      </w:tr>
    </w:tbl>
    <w:p w14:paraId="45B65126" w14:textId="77777777" w:rsidR="00456D7C" w:rsidRDefault="00456D7C" w:rsidP="00456D7C">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6D7C" w14:paraId="745D1BCB" w14:textId="77777777" w:rsidTr="008D6925">
        <w:trPr>
          <w:trHeight w:val="1113"/>
        </w:trPr>
        <w:tc>
          <w:tcPr>
            <w:tcW w:w="9781" w:type="dxa"/>
          </w:tcPr>
          <w:p w14:paraId="7E53EAA1" w14:textId="77777777" w:rsidR="00456D7C" w:rsidRDefault="00456D7C" w:rsidP="00A44AB1">
            <w:pPr>
              <w:pStyle w:val="Paragraph"/>
              <w:numPr>
                <w:ilvl w:val="1"/>
                <w:numId w:val="12"/>
              </w:numPr>
              <w:spacing w:after="0"/>
              <w:ind w:left="567" w:hanging="567"/>
            </w:pPr>
            <w:r w:rsidRPr="008A7F87">
              <w:t xml:space="preserve">Following the consultation on the draft </w:t>
            </w:r>
            <w:r>
              <w:t>quality standard</w:t>
            </w:r>
            <w:r w:rsidRPr="008A7F87">
              <w:t xml:space="preserve"> and response to question</w:t>
            </w:r>
            <w:r>
              <w:t>s</w:t>
            </w:r>
            <w:r w:rsidRPr="008A7F87">
              <w:t xml:space="preserve"> </w:t>
            </w:r>
            <w:r>
              <w:t>2</w:t>
            </w:r>
            <w:r w:rsidRPr="008A7F87">
              <w:t>.</w:t>
            </w:r>
            <w:r>
              <w:t>2</w:t>
            </w:r>
            <w:r w:rsidRPr="008A7F87">
              <w:t xml:space="preserve"> and </w:t>
            </w:r>
            <w:r>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t>quality standard</w:t>
            </w:r>
            <w:r w:rsidRPr="008A7F87">
              <w:t xml:space="preserve">?   </w:t>
            </w:r>
          </w:p>
        </w:tc>
      </w:tr>
      <w:tr w:rsidR="00456D7C" w14:paraId="2B5548DA" w14:textId="77777777" w:rsidTr="00C000B9">
        <w:trPr>
          <w:trHeight w:val="427"/>
        </w:trPr>
        <w:tc>
          <w:tcPr>
            <w:tcW w:w="9781" w:type="dxa"/>
          </w:tcPr>
          <w:p w14:paraId="33003DF2" w14:textId="4F828639" w:rsidR="00456D7C" w:rsidRPr="0043059E" w:rsidRDefault="0043059E" w:rsidP="008D6925">
            <w:pPr>
              <w:pStyle w:val="Paragraph"/>
              <w:rPr>
                <w:strike/>
              </w:rPr>
            </w:pPr>
            <w:r w:rsidRPr="004A1F08">
              <w:rPr>
                <w:rFonts w:cs="Arial"/>
              </w:rPr>
              <w:t xml:space="preserve">No additional areas have been included in the quality standard following consultation. </w:t>
            </w:r>
          </w:p>
        </w:tc>
      </w:tr>
    </w:tbl>
    <w:p w14:paraId="01D8A82B" w14:textId="77777777" w:rsidR="00456D7C" w:rsidRDefault="00456D7C" w:rsidP="00456D7C">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6D7C" w14:paraId="078A2B0E" w14:textId="77777777" w:rsidTr="008D6925">
        <w:trPr>
          <w:trHeight w:val="1113"/>
        </w:trPr>
        <w:tc>
          <w:tcPr>
            <w:tcW w:w="9781" w:type="dxa"/>
          </w:tcPr>
          <w:p w14:paraId="6FB82C58" w14:textId="77777777" w:rsidR="00456D7C" w:rsidRDefault="00456D7C" w:rsidP="00A44AB1">
            <w:pPr>
              <w:pStyle w:val="Paragraph"/>
              <w:numPr>
                <w:ilvl w:val="1"/>
                <w:numId w:val="12"/>
              </w:numPr>
              <w:spacing w:after="0"/>
              <w:ind w:left="567" w:hanging="567"/>
            </w:pPr>
            <w:r>
              <w:t>Please provide a summary of the key equality and health inequalities</w:t>
            </w:r>
            <w:r w:rsidRPr="008A7F87">
              <w:t xml:space="preserve"> </w:t>
            </w:r>
            <w:r>
              <w:t xml:space="preserve">issues that should be highlighted in the guidance executive report before sign-off of the final quality standard. </w:t>
            </w:r>
          </w:p>
        </w:tc>
      </w:tr>
      <w:tr w:rsidR="00456D7C" w14:paraId="2216DB3B" w14:textId="77777777" w:rsidTr="00851766">
        <w:trPr>
          <w:trHeight w:val="574"/>
        </w:trPr>
        <w:tc>
          <w:tcPr>
            <w:tcW w:w="9781" w:type="dxa"/>
          </w:tcPr>
          <w:p w14:paraId="5AA25EAC" w14:textId="25121BD6" w:rsidR="0025629D" w:rsidRPr="00872AFB" w:rsidRDefault="0073328B" w:rsidP="00C000B9">
            <w:pPr>
              <w:pStyle w:val="Paragraph"/>
            </w:pPr>
            <w:r>
              <w:t>None</w:t>
            </w:r>
            <w:r w:rsidR="005F6B6B">
              <w:t>.</w:t>
            </w:r>
            <w:r w:rsidR="00C000B9">
              <w:t xml:space="preserve">  </w:t>
            </w:r>
          </w:p>
        </w:tc>
      </w:tr>
    </w:tbl>
    <w:p w14:paraId="61E52BBE" w14:textId="77777777" w:rsidR="00456D7C" w:rsidRDefault="00456D7C" w:rsidP="00456D7C">
      <w:pPr>
        <w:pStyle w:val="Paragraph"/>
      </w:pPr>
    </w:p>
    <w:p w14:paraId="2FCBF28A" w14:textId="247C1990" w:rsidR="00456D7C" w:rsidRPr="001431B0" w:rsidRDefault="00456D7C" w:rsidP="00456D7C">
      <w:pPr>
        <w:pStyle w:val="Paragraphnonumbers"/>
        <w:spacing w:after="0"/>
        <w:rPr>
          <w:rFonts w:cs="Arial"/>
        </w:rPr>
      </w:pPr>
      <w:r w:rsidRPr="001431B0">
        <w:rPr>
          <w:rFonts w:cs="Arial"/>
        </w:rPr>
        <w:t xml:space="preserve">Completed by lead analyst: </w:t>
      </w:r>
      <w:r w:rsidR="00A71E34">
        <w:rPr>
          <w:rFonts w:cs="Arial"/>
        </w:rPr>
        <w:t>Rachel Gick</w:t>
      </w:r>
    </w:p>
    <w:p w14:paraId="3E245BCB" w14:textId="77777777" w:rsidR="00456D7C" w:rsidRPr="001431B0" w:rsidRDefault="00456D7C" w:rsidP="00456D7C">
      <w:pPr>
        <w:pStyle w:val="Paragraphnonumbers"/>
        <w:spacing w:after="0"/>
        <w:rPr>
          <w:rFonts w:cs="Arial"/>
        </w:rPr>
      </w:pPr>
    </w:p>
    <w:p w14:paraId="13E2556A" w14:textId="487695FF" w:rsidR="00456D7C" w:rsidRPr="001431B0" w:rsidRDefault="00456D7C" w:rsidP="00456D7C">
      <w:pPr>
        <w:pStyle w:val="Paragraphnonumbers"/>
        <w:spacing w:after="0"/>
        <w:rPr>
          <w:rFonts w:cs="Arial"/>
        </w:rPr>
      </w:pPr>
      <w:r w:rsidRPr="001431B0">
        <w:rPr>
          <w:rFonts w:cs="Arial"/>
        </w:rPr>
        <w:t xml:space="preserve">Date: </w:t>
      </w:r>
      <w:r w:rsidR="00D35F14">
        <w:rPr>
          <w:rFonts w:cs="Arial"/>
        </w:rPr>
        <w:t xml:space="preserve">6 February </w:t>
      </w:r>
      <w:r w:rsidR="00AD6763">
        <w:rPr>
          <w:rFonts w:cs="Arial"/>
        </w:rPr>
        <w:t>2026</w:t>
      </w:r>
    </w:p>
    <w:p w14:paraId="6CF36EBD" w14:textId="77777777" w:rsidR="00456D7C" w:rsidRPr="001431B0" w:rsidRDefault="00456D7C" w:rsidP="00456D7C">
      <w:pPr>
        <w:pStyle w:val="Paragraphnonumbers"/>
        <w:spacing w:after="0"/>
        <w:rPr>
          <w:rFonts w:cs="Arial"/>
        </w:rPr>
      </w:pPr>
    </w:p>
    <w:p w14:paraId="51EC4172" w14:textId="2526476C" w:rsidR="00456D7C" w:rsidRPr="001431B0" w:rsidRDefault="00456D7C" w:rsidP="00456D7C">
      <w:pPr>
        <w:pStyle w:val="Paragraphnonumbers"/>
        <w:spacing w:after="0"/>
        <w:rPr>
          <w:rFonts w:cs="Arial"/>
        </w:rPr>
      </w:pPr>
      <w:r w:rsidRPr="001431B0">
        <w:rPr>
          <w:rFonts w:cs="Arial"/>
        </w:rPr>
        <w:t xml:space="preserve">Approved by </w:t>
      </w:r>
      <w:r w:rsidR="002E5522">
        <w:rPr>
          <w:rFonts w:cs="Arial"/>
        </w:rPr>
        <w:t xml:space="preserve">the working group </w:t>
      </w:r>
      <w:r w:rsidRPr="001431B0">
        <w:rPr>
          <w:rFonts w:cs="Arial"/>
        </w:rPr>
        <w:t xml:space="preserve">chair: </w:t>
      </w:r>
      <w:r w:rsidR="003563C8">
        <w:rPr>
          <w:rFonts w:cs="Arial"/>
        </w:rPr>
        <w:t>Rebecca Payne</w:t>
      </w:r>
    </w:p>
    <w:p w14:paraId="6F9784C2" w14:textId="77777777" w:rsidR="00456D7C" w:rsidRPr="001431B0" w:rsidRDefault="00456D7C" w:rsidP="00456D7C">
      <w:pPr>
        <w:pStyle w:val="Paragraphnonumbers"/>
        <w:spacing w:after="0"/>
        <w:rPr>
          <w:rFonts w:cs="Arial"/>
        </w:rPr>
      </w:pPr>
    </w:p>
    <w:p w14:paraId="22CCF838" w14:textId="6DF1578D" w:rsidR="00456D7C" w:rsidRPr="001431B0" w:rsidRDefault="00456D7C" w:rsidP="00456D7C">
      <w:pPr>
        <w:pStyle w:val="Paragraphnonumbers"/>
        <w:spacing w:after="0"/>
        <w:rPr>
          <w:rFonts w:cs="Arial"/>
        </w:rPr>
      </w:pPr>
      <w:r w:rsidRPr="001431B0">
        <w:rPr>
          <w:rFonts w:cs="Arial"/>
        </w:rPr>
        <w:lastRenderedPageBreak/>
        <w:t xml:space="preserve">Date:  </w:t>
      </w:r>
      <w:r w:rsidR="003563C8">
        <w:rPr>
          <w:rFonts w:cs="Arial"/>
        </w:rPr>
        <w:t>29</w:t>
      </w:r>
      <w:r w:rsidRPr="001431B0">
        <w:rPr>
          <w:rFonts w:cs="Arial"/>
        </w:rPr>
        <w:t>/</w:t>
      </w:r>
      <w:r w:rsidR="003563C8">
        <w:rPr>
          <w:rFonts w:cs="Arial"/>
        </w:rPr>
        <w:t>01</w:t>
      </w:r>
      <w:r w:rsidRPr="001431B0">
        <w:rPr>
          <w:rFonts w:cs="Arial"/>
        </w:rPr>
        <w:t>/</w:t>
      </w:r>
      <w:r w:rsidR="003563C8">
        <w:rPr>
          <w:rFonts w:cs="Arial"/>
        </w:rPr>
        <w:t>2026</w:t>
      </w:r>
      <w:r w:rsidRPr="001431B0">
        <w:rPr>
          <w:rFonts w:cs="Arial"/>
        </w:rPr>
        <w:t xml:space="preserve"> </w:t>
      </w:r>
    </w:p>
    <w:p w14:paraId="2C5B4BFE" w14:textId="77777777" w:rsidR="00456D7C" w:rsidRPr="001431B0" w:rsidRDefault="00456D7C" w:rsidP="00456D7C">
      <w:pPr>
        <w:pStyle w:val="Paragraphnonumbers"/>
        <w:spacing w:after="0"/>
        <w:rPr>
          <w:rFonts w:cs="Arial"/>
        </w:rPr>
      </w:pPr>
    </w:p>
    <w:p w14:paraId="457F2C56" w14:textId="6A365F2B" w:rsidR="00456D7C" w:rsidRPr="001431B0" w:rsidRDefault="00456D7C" w:rsidP="00456D7C">
      <w:pPr>
        <w:pStyle w:val="Paragraphnonumbers"/>
        <w:spacing w:after="0"/>
        <w:rPr>
          <w:rFonts w:cs="Arial"/>
        </w:rPr>
      </w:pPr>
      <w:r w:rsidRPr="001431B0">
        <w:rPr>
          <w:rFonts w:cs="Arial"/>
        </w:rPr>
        <w:t xml:space="preserve">Approved by NICE quality assurance lead: </w:t>
      </w:r>
      <w:r w:rsidR="00570A35">
        <w:rPr>
          <w:rFonts w:cs="Arial"/>
        </w:rPr>
        <w:t>Mark Minchin</w:t>
      </w:r>
    </w:p>
    <w:p w14:paraId="3AD4A9A6" w14:textId="77777777" w:rsidR="00456D7C" w:rsidRPr="001431B0" w:rsidRDefault="00456D7C" w:rsidP="00456D7C">
      <w:pPr>
        <w:pStyle w:val="Paragraphnonumbers"/>
        <w:spacing w:after="0"/>
        <w:rPr>
          <w:rFonts w:cs="Arial"/>
        </w:rPr>
      </w:pPr>
    </w:p>
    <w:p w14:paraId="0B7D06F2" w14:textId="5508C56A" w:rsidR="00570A35" w:rsidRDefault="00456D7C" w:rsidP="00456D7C">
      <w:pPr>
        <w:pStyle w:val="Paragraphnonumbers"/>
        <w:spacing w:after="0"/>
        <w:rPr>
          <w:rFonts w:cs="Arial"/>
        </w:rPr>
      </w:pPr>
      <w:r w:rsidRPr="001431B0">
        <w:rPr>
          <w:rFonts w:cs="Arial"/>
        </w:rPr>
        <w:t xml:space="preserve">Date: </w:t>
      </w:r>
      <w:r w:rsidR="00570A35">
        <w:rPr>
          <w:rFonts w:cs="Arial"/>
        </w:rPr>
        <w:t>13</w:t>
      </w:r>
      <w:r w:rsidRPr="001431B0">
        <w:rPr>
          <w:rFonts w:cs="Arial"/>
        </w:rPr>
        <w:t>/</w:t>
      </w:r>
      <w:r w:rsidR="00570A35">
        <w:rPr>
          <w:rFonts w:cs="Arial"/>
        </w:rPr>
        <w:t>02</w:t>
      </w:r>
      <w:r w:rsidRPr="001431B0">
        <w:rPr>
          <w:rFonts w:cs="Arial"/>
        </w:rPr>
        <w:t>/</w:t>
      </w:r>
      <w:r w:rsidR="00570A35">
        <w:rPr>
          <w:rFonts w:cs="Arial"/>
        </w:rPr>
        <w:t>2026</w:t>
      </w:r>
    </w:p>
    <w:p w14:paraId="2CCAD15A" w14:textId="77777777" w:rsidR="00570A35" w:rsidRDefault="00570A35">
      <w:pPr>
        <w:rPr>
          <w:rFonts w:ascii="Arial" w:hAnsi="Arial" w:cs="Arial"/>
        </w:rPr>
      </w:pPr>
      <w:r>
        <w:rPr>
          <w:rFonts w:cs="Arial"/>
        </w:rPr>
        <w:br w:type="page"/>
      </w:r>
    </w:p>
    <w:p w14:paraId="46769263" w14:textId="77777777" w:rsidR="00570A35" w:rsidRPr="001431B0" w:rsidRDefault="00570A35" w:rsidP="00570A35">
      <w:pPr>
        <w:pStyle w:val="Heading1"/>
        <w:rPr>
          <w:highlight w:val="lightGray"/>
        </w:rPr>
      </w:pPr>
      <w:bookmarkStart w:id="17" w:name="_Toc109224102"/>
      <w:bookmarkStart w:id="18" w:name="_Toc138944323"/>
      <w:r>
        <w:lastRenderedPageBreak/>
        <w:t xml:space="preserve">STAGE 4. </w:t>
      </w:r>
      <w:r w:rsidRPr="000F355E">
        <w:t xml:space="preserve">After </w:t>
      </w:r>
      <w:r>
        <w:t>g</w:t>
      </w:r>
      <w:r w:rsidRPr="000F355E">
        <w:t xml:space="preserve">uidance </w:t>
      </w:r>
      <w:r>
        <w:t>e</w:t>
      </w:r>
      <w:r w:rsidRPr="000F355E">
        <w:t>xecutive amendments</w:t>
      </w:r>
      <w:r w:rsidRPr="0078563E">
        <w:rPr>
          <w:rFonts w:cs="Arial"/>
          <w:b w:val="0"/>
        </w:rPr>
        <w:t xml:space="preserve"> </w:t>
      </w:r>
      <w:bookmarkEnd w:id="17"/>
      <w:bookmarkEnd w:id="18"/>
    </w:p>
    <w:p w14:paraId="4DDAC6EA" w14:textId="77D72F43" w:rsidR="00570A35" w:rsidRDefault="00570A35" w:rsidP="00570A35">
      <w:pPr>
        <w:pStyle w:val="Heading2"/>
        <w:spacing w:after="24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70A35" w14:paraId="7A91E87B" w14:textId="77777777" w:rsidTr="00A74FD3">
        <w:trPr>
          <w:trHeight w:val="553"/>
        </w:trPr>
        <w:tc>
          <w:tcPr>
            <w:tcW w:w="9781" w:type="dxa"/>
          </w:tcPr>
          <w:p w14:paraId="5D0DEEE0" w14:textId="77777777" w:rsidR="00570A35" w:rsidRDefault="00570A35" w:rsidP="00570A35">
            <w:pPr>
              <w:pStyle w:val="Paragraph"/>
              <w:numPr>
                <w:ilvl w:val="1"/>
                <w:numId w:val="32"/>
              </w:numPr>
              <w:spacing w:after="0"/>
            </w:pPr>
            <w:r w:rsidRPr="0078563E">
              <w:rPr>
                <w:rFonts w:cs="Arial"/>
              </w:rPr>
              <w:t>Outline</w:t>
            </w:r>
            <w:r>
              <w:rPr>
                <w:rFonts w:cs="Arial"/>
              </w:rPr>
              <w:t xml:space="preserve"> any</w:t>
            </w:r>
            <w:r w:rsidRPr="0078563E">
              <w:rPr>
                <w:rFonts w:cs="Arial"/>
              </w:rPr>
              <w:t xml:space="preserve"> amendments </w:t>
            </w:r>
            <w:r>
              <w:rPr>
                <w:rFonts w:cs="Arial"/>
              </w:rPr>
              <w:t xml:space="preserve">related to equality and health inequalities issues suggested </w:t>
            </w:r>
            <w:r w:rsidRPr="0078563E">
              <w:rPr>
                <w:rFonts w:cs="Arial"/>
              </w:rPr>
              <w:t xml:space="preserve">by </w:t>
            </w:r>
            <w:r>
              <w:rPr>
                <w:rFonts w:cs="Arial"/>
              </w:rPr>
              <w:t>g</w:t>
            </w:r>
            <w:r w:rsidRPr="0078563E">
              <w:rPr>
                <w:rFonts w:cs="Arial"/>
              </w:rPr>
              <w:t xml:space="preserve">uidance </w:t>
            </w:r>
            <w:r>
              <w:rPr>
                <w:rFonts w:cs="Arial"/>
              </w:rPr>
              <w:t>ex</w:t>
            </w:r>
            <w:r w:rsidRPr="0078563E">
              <w:rPr>
                <w:rFonts w:cs="Arial"/>
              </w:rPr>
              <w:t xml:space="preserve">ecutive </w:t>
            </w:r>
            <w:r>
              <w:rPr>
                <w:rFonts w:cs="Arial"/>
              </w:rPr>
              <w:t>and what the outcome was.</w:t>
            </w:r>
          </w:p>
        </w:tc>
      </w:tr>
      <w:tr w:rsidR="00570A35" w14:paraId="295B1B87" w14:textId="77777777" w:rsidTr="00A74FD3">
        <w:trPr>
          <w:trHeight w:val="4531"/>
        </w:trPr>
        <w:tc>
          <w:tcPr>
            <w:tcW w:w="9781" w:type="dxa"/>
          </w:tcPr>
          <w:p w14:paraId="4A90A01B" w14:textId="7F63D4B4" w:rsidR="00570A35" w:rsidRPr="002004E2" w:rsidRDefault="00570A35" w:rsidP="00A74FD3">
            <w:pPr>
              <w:pStyle w:val="Paragraph"/>
              <w:rPr>
                <w:i/>
                <w:iCs/>
              </w:rPr>
            </w:pPr>
            <w:r w:rsidRPr="00570A35">
              <w:t>None</w:t>
            </w:r>
            <w:r>
              <w:rPr>
                <w:i/>
                <w:iCs/>
              </w:rPr>
              <w:t xml:space="preserve"> </w:t>
            </w:r>
          </w:p>
        </w:tc>
      </w:tr>
    </w:tbl>
    <w:p w14:paraId="273BDD37" w14:textId="77777777" w:rsidR="00570A35" w:rsidRPr="0078563E" w:rsidRDefault="00570A35" w:rsidP="00570A35">
      <w:pPr>
        <w:pStyle w:val="Paragraphnonumbers"/>
        <w:rPr>
          <w:rFonts w:cs="Arial"/>
          <w:b/>
        </w:rPr>
      </w:pPr>
    </w:p>
    <w:p w14:paraId="3EA25249" w14:textId="653AACE0" w:rsidR="00570A35" w:rsidRPr="001431B0" w:rsidRDefault="00570A35" w:rsidP="00570A35">
      <w:pPr>
        <w:pStyle w:val="Paragraphnonumbers"/>
        <w:spacing w:after="0"/>
        <w:rPr>
          <w:rFonts w:cs="Arial"/>
        </w:rPr>
      </w:pPr>
      <w:r w:rsidRPr="001431B0">
        <w:rPr>
          <w:rFonts w:cs="Arial"/>
        </w:rPr>
        <w:t xml:space="preserve">Completed by lead analyst: </w:t>
      </w:r>
      <w:r>
        <w:rPr>
          <w:rFonts w:cs="Arial"/>
        </w:rPr>
        <w:t>Rachel Gick</w:t>
      </w:r>
    </w:p>
    <w:p w14:paraId="743B830C" w14:textId="77777777" w:rsidR="00570A35" w:rsidRPr="001431B0" w:rsidRDefault="00570A35" w:rsidP="00570A35">
      <w:pPr>
        <w:pStyle w:val="Paragraphnonumbers"/>
        <w:spacing w:after="0"/>
        <w:rPr>
          <w:rFonts w:cs="Arial"/>
        </w:rPr>
      </w:pPr>
    </w:p>
    <w:p w14:paraId="2A1F5CF8" w14:textId="337092BD" w:rsidR="00570A35" w:rsidRPr="001431B0" w:rsidRDefault="00570A35" w:rsidP="00570A35">
      <w:pPr>
        <w:pStyle w:val="Paragraphnonumbers"/>
        <w:spacing w:after="0"/>
        <w:rPr>
          <w:rFonts w:cs="Arial"/>
        </w:rPr>
      </w:pPr>
      <w:r w:rsidRPr="001431B0">
        <w:rPr>
          <w:rFonts w:cs="Arial"/>
        </w:rPr>
        <w:t xml:space="preserve">Date: </w:t>
      </w:r>
      <w:r>
        <w:rPr>
          <w:rFonts w:cs="Arial"/>
        </w:rPr>
        <w:t>27/02/2026</w:t>
      </w:r>
    </w:p>
    <w:p w14:paraId="3CDCF69F" w14:textId="2285709A" w:rsidR="00570A35" w:rsidRPr="001431B0" w:rsidRDefault="00570A35" w:rsidP="00570A35">
      <w:pPr>
        <w:pStyle w:val="Paragraphnonumbers"/>
        <w:spacing w:after="0"/>
        <w:rPr>
          <w:rFonts w:cs="Arial"/>
        </w:rPr>
      </w:pPr>
      <w:r w:rsidRPr="001431B0">
        <w:rPr>
          <w:rFonts w:cs="Arial"/>
        </w:rPr>
        <w:t xml:space="preserve">Approved by NICE quality assurance lead: </w:t>
      </w:r>
      <w:r>
        <w:rPr>
          <w:rFonts w:cs="Arial"/>
        </w:rPr>
        <w:t>Mark Minchin</w:t>
      </w:r>
    </w:p>
    <w:p w14:paraId="03EE1725" w14:textId="77777777" w:rsidR="00570A35" w:rsidRPr="001431B0" w:rsidRDefault="00570A35" w:rsidP="00570A35">
      <w:pPr>
        <w:pStyle w:val="Paragraphnonumbers"/>
        <w:spacing w:after="0"/>
        <w:rPr>
          <w:rFonts w:cs="Arial"/>
        </w:rPr>
      </w:pPr>
    </w:p>
    <w:p w14:paraId="5FFA90B3" w14:textId="00BA257F" w:rsidR="00570A35" w:rsidRPr="001431B0" w:rsidRDefault="00570A35" w:rsidP="00570A35">
      <w:pPr>
        <w:pStyle w:val="Paragraphnonumbers"/>
        <w:spacing w:after="0"/>
        <w:rPr>
          <w:rFonts w:cs="Arial"/>
        </w:rPr>
      </w:pPr>
      <w:r w:rsidRPr="001431B0">
        <w:rPr>
          <w:rFonts w:cs="Arial"/>
        </w:rPr>
        <w:t xml:space="preserve">Date: </w:t>
      </w:r>
      <w:r>
        <w:rPr>
          <w:rFonts w:cs="Arial"/>
        </w:rPr>
        <w:t>27/02/2026</w:t>
      </w:r>
    </w:p>
    <w:p w14:paraId="2F871175" w14:textId="77777777" w:rsidR="00456D7C" w:rsidRDefault="00456D7C" w:rsidP="00456D7C">
      <w:pPr>
        <w:pStyle w:val="Paragraphnonumbers"/>
        <w:spacing w:after="0"/>
        <w:rPr>
          <w:rFonts w:cs="Arial"/>
        </w:rPr>
      </w:pPr>
    </w:p>
    <w:p w14:paraId="01B5933E" w14:textId="77777777" w:rsidR="00070FFF" w:rsidRDefault="00070FFF" w:rsidP="00456D7C">
      <w:pPr>
        <w:pStyle w:val="Paragraphnonumbers"/>
        <w:spacing w:after="0"/>
        <w:rPr>
          <w:rFonts w:cs="Arial"/>
        </w:rPr>
      </w:pPr>
    </w:p>
    <w:p w14:paraId="4B28FCDF" w14:textId="6753DCE9" w:rsidR="00070FFF" w:rsidRDefault="00070FFF" w:rsidP="00070FFF">
      <w:pPr>
        <w:pStyle w:val="pf0"/>
        <w:rPr>
          <w:rStyle w:val="cf01"/>
        </w:rPr>
      </w:pPr>
      <w:r>
        <w:rPr>
          <w:rStyle w:val="cf01"/>
        </w:rPr>
        <w:t xml:space="preserve">© </w:t>
      </w:r>
      <w:r w:rsidRPr="00427C7C">
        <w:rPr>
          <w:rStyle w:val="cf01"/>
        </w:rPr>
        <w:t>NICE</w:t>
      </w:r>
      <w:r>
        <w:rPr>
          <w:rStyle w:val="cf01"/>
        </w:rPr>
        <w:t xml:space="preserve"> 202</w:t>
      </w:r>
      <w:r w:rsidR="005B4FCC">
        <w:rPr>
          <w:rStyle w:val="cf01"/>
        </w:rPr>
        <w:t>6</w:t>
      </w:r>
      <w:r>
        <w:rPr>
          <w:rStyle w:val="cf01"/>
        </w:rPr>
        <w:t xml:space="preserve">. All rights reserved. Subject to </w:t>
      </w:r>
      <w:hyperlink r:id="rId24" w:anchor="notice-of-rights" w:history="1">
        <w:r>
          <w:rPr>
            <w:rStyle w:val="cf01"/>
            <w:color w:val="0000FF"/>
            <w:u w:val="single"/>
          </w:rPr>
          <w:t>Notice of rights</w:t>
        </w:r>
      </w:hyperlink>
      <w:r>
        <w:rPr>
          <w:rStyle w:val="cf01"/>
        </w:rPr>
        <w:t>.</w:t>
      </w:r>
    </w:p>
    <w:p w14:paraId="02DBF3EA" w14:textId="77777777" w:rsidR="00070FFF" w:rsidRPr="001431B0" w:rsidRDefault="00070FFF" w:rsidP="00456D7C">
      <w:pPr>
        <w:pStyle w:val="Paragraphnonumbers"/>
        <w:spacing w:after="0"/>
        <w:rPr>
          <w:rFonts w:cs="Arial"/>
        </w:rPr>
      </w:pPr>
    </w:p>
    <w:p w14:paraId="7BC505F8" w14:textId="568029E2" w:rsidR="00DA0765" w:rsidRPr="003D03EE" w:rsidRDefault="00456D7C" w:rsidP="00456D7C">
      <w:pPr>
        <w:pStyle w:val="pf0"/>
        <w:rPr>
          <w:b/>
          <w:kern w:val="32"/>
          <w:sz w:val="28"/>
        </w:rPr>
      </w:pPr>
      <w:r>
        <w:br w:type="page"/>
      </w:r>
    </w:p>
    <w:sectPr w:rsidR="00DA0765" w:rsidRPr="003D03EE" w:rsidSect="00636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B0BA" w14:textId="77777777" w:rsidR="004B5C7E" w:rsidRDefault="004B5C7E" w:rsidP="00446BEE">
      <w:r>
        <w:separator/>
      </w:r>
    </w:p>
  </w:endnote>
  <w:endnote w:type="continuationSeparator" w:id="0">
    <w:p w14:paraId="670E5122" w14:textId="77777777" w:rsidR="004B5C7E" w:rsidRDefault="004B5C7E" w:rsidP="00446BEE">
      <w:r>
        <w:continuationSeparator/>
      </w:r>
    </w:p>
  </w:endnote>
  <w:endnote w:type="continuationNotice" w:id="1">
    <w:p w14:paraId="08F6A54A" w14:textId="77777777" w:rsidR="004B5C7E" w:rsidRDefault="004B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BEB2" w14:textId="77777777" w:rsidR="004B5C7E" w:rsidRDefault="004B5C7E" w:rsidP="00446BEE">
      <w:r>
        <w:separator/>
      </w:r>
    </w:p>
  </w:footnote>
  <w:footnote w:type="continuationSeparator" w:id="0">
    <w:p w14:paraId="523542BD" w14:textId="77777777" w:rsidR="004B5C7E" w:rsidRDefault="004B5C7E" w:rsidP="00446BEE">
      <w:r>
        <w:continuationSeparator/>
      </w:r>
    </w:p>
  </w:footnote>
  <w:footnote w:type="continuationNotice" w:id="1">
    <w:p w14:paraId="2FA3BFA2" w14:textId="77777777" w:rsidR="004B5C7E" w:rsidRDefault="004B5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906"/>
    <w:multiLevelType w:val="hybridMultilevel"/>
    <w:tmpl w:val="871C9E3E"/>
    <w:lvl w:ilvl="0" w:tplc="4D9CE6CE">
      <w:start w:val="1"/>
      <w:numFmt w:val="decimal"/>
      <w:lvlText w:val="%1)"/>
      <w:lvlJc w:val="left"/>
      <w:pPr>
        <w:ind w:left="1020" w:hanging="360"/>
      </w:pPr>
    </w:lvl>
    <w:lvl w:ilvl="1" w:tplc="FFBC86DA">
      <w:start w:val="1"/>
      <w:numFmt w:val="decimal"/>
      <w:lvlText w:val="%2)"/>
      <w:lvlJc w:val="left"/>
      <w:pPr>
        <w:ind w:left="1020" w:hanging="360"/>
      </w:pPr>
    </w:lvl>
    <w:lvl w:ilvl="2" w:tplc="C540B71C">
      <w:start w:val="1"/>
      <w:numFmt w:val="decimal"/>
      <w:lvlText w:val="%3)"/>
      <w:lvlJc w:val="left"/>
      <w:pPr>
        <w:ind w:left="1020" w:hanging="360"/>
      </w:pPr>
    </w:lvl>
    <w:lvl w:ilvl="3" w:tplc="27BE0D20">
      <w:start w:val="1"/>
      <w:numFmt w:val="decimal"/>
      <w:lvlText w:val="%4)"/>
      <w:lvlJc w:val="left"/>
      <w:pPr>
        <w:ind w:left="1020" w:hanging="360"/>
      </w:pPr>
    </w:lvl>
    <w:lvl w:ilvl="4" w:tplc="E82EE2C2">
      <w:start w:val="1"/>
      <w:numFmt w:val="decimal"/>
      <w:lvlText w:val="%5)"/>
      <w:lvlJc w:val="left"/>
      <w:pPr>
        <w:ind w:left="1020" w:hanging="360"/>
      </w:pPr>
    </w:lvl>
    <w:lvl w:ilvl="5" w:tplc="CD80609E">
      <w:start w:val="1"/>
      <w:numFmt w:val="decimal"/>
      <w:lvlText w:val="%6)"/>
      <w:lvlJc w:val="left"/>
      <w:pPr>
        <w:ind w:left="1020" w:hanging="360"/>
      </w:pPr>
    </w:lvl>
    <w:lvl w:ilvl="6" w:tplc="F8BCC51A">
      <w:start w:val="1"/>
      <w:numFmt w:val="decimal"/>
      <w:lvlText w:val="%7)"/>
      <w:lvlJc w:val="left"/>
      <w:pPr>
        <w:ind w:left="1020" w:hanging="360"/>
      </w:pPr>
    </w:lvl>
    <w:lvl w:ilvl="7" w:tplc="02DE7DF0">
      <w:start w:val="1"/>
      <w:numFmt w:val="decimal"/>
      <w:lvlText w:val="%8)"/>
      <w:lvlJc w:val="left"/>
      <w:pPr>
        <w:ind w:left="1020" w:hanging="360"/>
      </w:pPr>
    </w:lvl>
    <w:lvl w:ilvl="8" w:tplc="F1E47840">
      <w:start w:val="1"/>
      <w:numFmt w:val="decimal"/>
      <w:lvlText w:val="%9)"/>
      <w:lvlJc w:val="left"/>
      <w:pPr>
        <w:ind w:left="1020" w:hanging="360"/>
      </w:pPr>
    </w:lvl>
  </w:abstractNum>
  <w:abstractNum w:abstractNumId="1" w15:restartNumberingAfterBreak="0">
    <w:nsid w:val="05A11770"/>
    <w:multiLevelType w:val="hybridMultilevel"/>
    <w:tmpl w:val="D818BD86"/>
    <w:lvl w:ilvl="0" w:tplc="53822032">
      <w:start w:val="1"/>
      <w:numFmt w:val="bullet"/>
      <w:lvlText w:val=""/>
      <w:lvlJc w:val="left"/>
      <w:pPr>
        <w:ind w:left="1440" w:hanging="360"/>
      </w:pPr>
      <w:rPr>
        <w:rFonts w:ascii="Symbol" w:hAnsi="Symbol"/>
      </w:rPr>
    </w:lvl>
    <w:lvl w:ilvl="1" w:tplc="AA9A87EA">
      <w:start w:val="1"/>
      <w:numFmt w:val="bullet"/>
      <w:lvlText w:val=""/>
      <w:lvlJc w:val="left"/>
      <w:pPr>
        <w:ind w:left="1440" w:hanging="360"/>
      </w:pPr>
      <w:rPr>
        <w:rFonts w:ascii="Symbol" w:hAnsi="Symbol"/>
      </w:rPr>
    </w:lvl>
    <w:lvl w:ilvl="2" w:tplc="B9D6B646">
      <w:start w:val="1"/>
      <w:numFmt w:val="bullet"/>
      <w:lvlText w:val=""/>
      <w:lvlJc w:val="left"/>
      <w:pPr>
        <w:ind w:left="1440" w:hanging="360"/>
      </w:pPr>
      <w:rPr>
        <w:rFonts w:ascii="Symbol" w:hAnsi="Symbol"/>
      </w:rPr>
    </w:lvl>
    <w:lvl w:ilvl="3" w:tplc="46FCB882">
      <w:start w:val="1"/>
      <w:numFmt w:val="bullet"/>
      <w:lvlText w:val=""/>
      <w:lvlJc w:val="left"/>
      <w:pPr>
        <w:ind w:left="1440" w:hanging="360"/>
      </w:pPr>
      <w:rPr>
        <w:rFonts w:ascii="Symbol" w:hAnsi="Symbol"/>
      </w:rPr>
    </w:lvl>
    <w:lvl w:ilvl="4" w:tplc="E3DE49F0">
      <w:start w:val="1"/>
      <w:numFmt w:val="bullet"/>
      <w:lvlText w:val=""/>
      <w:lvlJc w:val="left"/>
      <w:pPr>
        <w:ind w:left="1440" w:hanging="360"/>
      </w:pPr>
      <w:rPr>
        <w:rFonts w:ascii="Symbol" w:hAnsi="Symbol"/>
      </w:rPr>
    </w:lvl>
    <w:lvl w:ilvl="5" w:tplc="F1225184">
      <w:start w:val="1"/>
      <w:numFmt w:val="bullet"/>
      <w:lvlText w:val=""/>
      <w:lvlJc w:val="left"/>
      <w:pPr>
        <w:ind w:left="1440" w:hanging="360"/>
      </w:pPr>
      <w:rPr>
        <w:rFonts w:ascii="Symbol" w:hAnsi="Symbol"/>
      </w:rPr>
    </w:lvl>
    <w:lvl w:ilvl="6" w:tplc="954AE4AA">
      <w:start w:val="1"/>
      <w:numFmt w:val="bullet"/>
      <w:lvlText w:val=""/>
      <w:lvlJc w:val="left"/>
      <w:pPr>
        <w:ind w:left="1440" w:hanging="360"/>
      </w:pPr>
      <w:rPr>
        <w:rFonts w:ascii="Symbol" w:hAnsi="Symbol"/>
      </w:rPr>
    </w:lvl>
    <w:lvl w:ilvl="7" w:tplc="E0DC0500">
      <w:start w:val="1"/>
      <w:numFmt w:val="bullet"/>
      <w:lvlText w:val=""/>
      <w:lvlJc w:val="left"/>
      <w:pPr>
        <w:ind w:left="1440" w:hanging="360"/>
      </w:pPr>
      <w:rPr>
        <w:rFonts w:ascii="Symbol" w:hAnsi="Symbol"/>
      </w:rPr>
    </w:lvl>
    <w:lvl w:ilvl="8" w:tplc="28BC3146">
      <w:start w:val="1"/>
      <w:numFmt w:val="bullet"/>
      <w:lvlText w:val=""/>
      <w:lvlJc w:val="left"/>
      <w:pPr>
        <w:ind w:left="1440" w:hanging="360"/>
      </w:pPr>
      <w:rPr>
        <w:rFonts w:ascii="Symbol" w:hAnsi="Symbol"/>
      </w:rPr>
    </w:lvl>
  </w:abstractNum>
  <w:abstractNum w:abstractNumId="2"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6"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7" w15:restartNumberingAfterBreak="0">
    <w:nsid w:val="2C463A63"/>
    <w:multiLevelType w:val="hybridMultilevel"/>
    <w:tmpl w:val="2C7E48BC"/>
    <w:lvl w:ilvl="0" w:tplc="D518AA6C">
      <w:start w:val="1"/>
      <w:numFmt w:val="decimal"/>
      <w:lvlText w:val="%1)"/>
      <w:lvlJc w:val="left"/>
      <w:pPr>
        <w:ind w:left="1020" w:hanging="360"/>
      </w:pPr>
    </w:lvl>
    <w:lvl w:ilvl="1" w:tplc="732CFD98">
      <w:start w:val="1"/>
      <w:numFmt w:val="decimal"/>
      <w:lvlText w:val="%2)"/>
      <w:lvlJc w:val="left"/>
      <w:pPr>
        <w:ind w:left="1020" w:hanging="360"/>
      </w:pPr>
    </w:lvl>
    <w:lvl w:ilvl="2" w:tplc="3E90AF6A">
      <w:start w:val="1"/>
      <w:numFmt w:val="decimal"/>
      <w:lvlText w:val="%3)"/>
      <w:lvlJc w:val="left"/>
      <w:pPr>
        <w:ind w:left="1020" w:hanging="360"/>
      </w:pPr>
    </w:lvl>
    <w:lvl w:ilvl="3" w:tplc="0A408C90">
      <w:start w:val="1"/>
      <w:numFmt w:val="decimal"/>
      <w:lvlText w:val="%4)"/>
      <w:lvlJc w:val="left"/>
      <w:pPr>
        <w:ind w:left="1020" w:hanging="360"/>
      </w:pPr>
    </w:lvl>
    <w:lvl w:ilvl="4" w:tplc="E96A25E0">
      <w:start w:val="1"/>
      <w:numFmt w:val="decimal"/>
      <w:lvlText w:val="%5)"/>
      <w:lvlJc w:val="left"/>
      <w:pPr>
        <w:ind w:left="1020" w:hanging="360"/>
      </w:pPr>
    </w:lvl>
    <w:lvl w:ilvl="5" w:tplc="5F54A46E">
      <w:start w:val="1"/>
      <w:numFmt w:val="decimal"/>
      <w:lvlText w:val="%6)"/>
      <w:lvlJc w:val="left"/>
      <w:pPr>
        <w:ind w:left="1020" w:hanging="360"/>
      </w:pPr>
    </w:lvl>
    <w:lvl w:ilvl="6" w:tplc="AC1A0D7A">
      <w:start w:val="1"/>
      <w:numFmt w:val="decimal"/>
      <w:lvlText w:val="%7)"/>
      <w:lvlJc w:val="left"/>
      <w:pPr>
        <w:ind w:left="1020" w:hanging="360"/>
      </w:pPr>
    </w:lvl>
    <w:lvl w:ilvl="7" w:tplc="5CA248F4">
      <w:start w:val="1"/>
      <w:numFmt w:val="decimal"/>
      <w:lvlText w:val="%8)"/>
      <w:lvlJc w:val="left"/>
      <w:pPr>
        <w:ind w:left="1020" w:hanging="360"/>
      </w:pPr>
    </w:lvl>
    <w:lvl w:ilvl="8" w:tplc="3E56E5AC">
      <w:start w:val="1"/>
      <w:numFmt w:val="decimal"/>
      <w:lvlText w:val="%9)"/>
      <w:lvlJc w:val="left"/>
      <w:pPr>
        <w:ind w:left="1020" w:hanging="360"/>
      </w:pPr>
    </w:lvl>
  </w:abstractNum>
  <w:abstractNum w:abstractNumId="8" w15:restartNumberingAfterBreak="0">
    <w:nsid w:val="30FB507C"/>
    <w:multiLevelType w:val="hybridMultilevel"/>
    <w:tmpl w:val="B036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62A0D"/>
    <w:multiLevelType w:val="hybridMultilevel"/>
    <w:tmpl w:val="D32866B2"/>
    <w:lvl w:ilvl="0" w:tplc="3F02BCF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84249"/>
    <w:multiLevelType w:val="hybridMultilevel"/>
    <w:tmpl w:val="68B6A6FC"/>
    <w:lvl w:ilvl="0" w:tplc="8C507B5C">
      <w:start w:val="1"/>
      <w:numFmt w:val="decimal"/>
      <w:lvlText w:val="%1)"/>
      <w:lvlJc w:val="left"/>
      <w:pPr>
        <w:ind w:left="1020" w:hanging="360"/>
      </w:pPr>
    </w:lvl>
    <w:lvl w:ilvl="1" w:tplc="F4064F5E">
      <w:start w:val="1"/>
      <w:numFmt w:val="decimal"/>
      <w:lvlText w:val="%2)"/>
      <w:lvlJc w:val="left"/>
      <w:pPr>
        <w:ind w:left="1020" w:hanging="360"/>
      </w:pPr>
    </w:lvl>
    <w:lvl w:ilvl="2" w:tplc="5A84EFC4">
      <w:start w:val="1"/>
      <w:numFmt w:val="decimal"/>
      <w:lvlText w:val="%3)"/>
      <w:lvlJc w:val="left"/>
      <w:pPr>
        <w:ind w:left="1020" w:hanging="360"/>
      </w:pPr>
    </w:lvl>
    <w:lvl w:ilvl="3" w:tplc="BCDE077A">
      <w:start w:val="1"/>
      <w:numFmt w:val="decimal"/>
      <w:lvlText w:val="%4)"/>
      <w:lvlJc w:val="left"/>
      <w:pPr>
        <w:ind w:left="1020" w:hanging="360"/>
      </w:pPr>
    </w:lvl>
    <w:lvl w:ilvl="4" w:tplc="41B650DE">
      <w:start w:val="1"/>
      <w:numFmt w:val="decimal"/>
      <w:lvlText w:val="%5)"/>
      <w:lvlJc w:val="left"/>
      <w:pPr>
        <w:ind w:left="1020" w:hanging="360"/>
      </w:pPr>
    </w:lvl>
    <w:lvl w:ilvl="5" w:tplc="AC7A745A">
      <w:start w:val="1"/>
      <w:numFmt w:val="decimal"/>
      <w:lvlText w:val="%6)"/>
      <w:lvlJc w:val="left"/>
      <w:pPr>
        <w:ind w:left="1020" w:hanging="360"/>
      </w:pPr>
    </w:lvl>
    <w:lvl w:ilvl="6" w:tplc="4024F8A6">
      <w:start w:val="1"/>
      <w:numFmt w:val="decimal"/>
      <w:lvlText w:val="%7)"/>
      <w:lvlJc w:val="left"/>
      <w:pPr>
        <w:ind w:left="1020" w:hanging="360"/>
      </w:pPr>
    </w:lvl>
    <w:lvl w:ilvl="7" w:tplc="7B6EA814">
      <w:start w:val="1"/>
      <w:numFmt w:val="decimal"/>
      <w:lvlText w:val="%8)"/>
      <w:lvlJc w:val="left"/>
      <w:pPr>
        <w:ind w:left="1020" w:hanging="360"/>
      </w:pPr>
    </w:lvl>
    <w:lvl w:ilvl="8" w:tplc="B4804610">
      <w:start w:val="1"/>
      <w:numFmt w:val="decimal"/>
      <w:lvlText w:val="%9)"/>
      <w:lvlJc w:val="left"/>
      <w:pPr>
        <w:ind w:left="1020" w:hanging="360"/>
      </w:pPr>
    </w:lvl>
  </w:abstractNum>
  <w:abstractNum w:abstractNumId="11" w15:restartNumberingAfterBreak="0">
    <w:nsid w:val="3DFC3167"/>
    <w:multiLevelType w:val="hybridMultilevel"/>
    <w:tmpl w:val="D3CCC9DE"/>
    <w:lvl w:ilvl="0" w:tplc="C8D2B7C4">
      <w:start w:val="1"/>
      <w:numFmt w:val="decimal"/>
      <w:lvlText w:val="%1)"/>
      <w:lvlJc w:val="left"/>
      <w:pPr>
        <w:ind w:left="1020" w:hanging="360"/>
      </w:pPr>
    </w:lvl>
    <w:lvl w:ilvl="1" w:tplc="88383138">
      <w:start w:val="1"/>
      <w:numFmt w:val="decimal"/>
      <w:lvlText w:val="%2)"/>
      <w:lvlJc w:val="left"/>
      <w:pPr>
        <w:ind w:left="1020" w:hanging="360"/>
      </w:pPr>
    </w:lvl>
    <w:lvl w:ilvl="2" w:tplc="84DEA1EA">
      <w:start w:val="1"/>
      <w:numFmt w:val="decimal"/>
      <w:lvlText w:val="%3)"/>
      <w:lvlJc w:val="left"/>
      <w:pPr>
        <w:ind w:left="1020" w:hanging="360"/>
      </w:pPr>
    </w:lvl>
    <w:lvl w:ilvl="3" w:tplc="231EB384">
      <w:start w:val="1"/>
      <w:numFmt w:val="decimal"/>
      <w:lvlText w:val="%4)"/>
      <w:lvlJc w:val="left"/>
      <w:pPr>
        <w:ind w:left="1020" w:hanging="360"/>
      </w:pPr>
    </w:lvl>
    <w:lvl w:ilvl="4" w:tplc="426CBD04">
      <w:start w:val="1"/>
      <w:numFmt w:val="decimal"/>
      <w:lvlText w:val="%5)"/>
      <w:lvlJc w:val="left"/>
      <w:pPr>
        <w:ind w:left="1020" w:hanging="360"/>
      </w:pPr>
    </w:lvl>
    <w:lvl w:ilvl="5" w:tplc="D3A05622">
      <w:start w:val="1"/>
      <w:numFmt w:val="decimal"/>
      <w:lvlText w:val="%6)"/>
      <w:lvlJc w:val="left"/>
      <w:pPr>
        <w:ind w:left="1020" w:hanging="360"/>
      </w:pPr>
    </w:lvl>
    <w:lvl w:ilvl="6" w:tplc="D5C2017C">
      <w:start w:val="1"/>
      <w:numFmt w:val="decimal"/>
      <w:lvlText w:val="%7)"/>
      <w:lvlJc w:val="left"/>
      <w:pPr>
        <w:ind w:left="1020" w:hanging="360"/>
      </w:pPr>
    </w:lvl>
    <w:lvl w:ilvl="7" w:tplc="4E383238">
      <w:start w:val="1"/>
      <w:numFmt w:val="decimal"/>
      <w:lvlText w:val="%8)"/>
      <w:lvlJc w:val="left"/>
      <w:pPr>
        <w:ind w:left="1020" w:hanging="360"/>
      </w:pPr>
    </w:lvl>
    <w:lvl w:ilvl="8" w:tplc="0646ECD4">
      <w:start w:val="1"/>
      <w:numFmt w:val="decimal"/>
      <w:lvlText w:val="%9)"/>
      <w:lvlJc w:val="left"/>
      <w:pPr>
        <w:ind w:left="1020" w:hanging="360"/>
      </w:pPr>
    </w:lvl>
  </w:abstractNum>
  <w:abstractNum w:abstractNumId="12" w15:restartNumberingAfterBreak="0">
    <w:nsid w:val="3DFF20C8"/>
    <w:multiLevelType w:val="hybridMultilevel"/>
    <w:tmpl w:val="86FCE0E6"/>
    <w:lvl w:ilvl="0" w:tplc="56C2A352">
      <w:start w:val="1"/>
      <w:numFmt w:val="decimal"/>
      <w:lvlText w:val="%1)"/>
      <w:lvlJc w:val="left"/>
      <w:pPr>
        <w:ind w:left="1020" w:hanging="360"/>
      </w:pPr>
    </w:lvl>
    <w:lvl w:ilvl="1" w:tplc="000E5180">
      <w:start w:val="1"/>
      <w:numFmt w:val="decimal"/>
      <w:lvlText w:val="%2)"/>
      <w:lvlJc w:val="left"/>
      <w:pPr>
        <w:ind w:left="1020" w:hanging="360"/>
      </w:pPr>
    </w:lvl>
    <w:lvl w:ilvl="2" w:tplc="30B4B8B8">
      <w:start w:val="1"/>
      <w:numFmt w:val="decimal"/>
      <w:lvlText w:val="%3)"/>
      <w:lvlJc w:val="left"/>
      <w:pPr>
        <w:ind w:left="1020" w:hanging="360"/>
      </w:pPr>
    </w:lvl>
    <w:lvl w:ilvl="3" w:tplc="E87C8756">
      <w:start w:val="1"/>
      <w:numFmt w:val="decimal"/>
      <w:lvlText w:val="%4)"/>
      <w:lvlJc w:val="left"/>
      <w:pPr>
        <w:ind w:left="1020" w:hanging="360"/>
      </w:pPr>
    </w:lvl>
    <w:lvl w:ilvl="4" w:tplc="926EECB8">
      <w:start w:val="1"/>
      <w:numFmt w:val="decimal"/>
      <w:lvlText w:val="%5)"/>
      <w:lvlJc w:val="left"/>
      <w:pPr>
        <w:ind w:left="1020" w:hanging="360"/>
      </w:pPr>
    </w:lvl>
    <w:lvl w:ilvl="5" w:tplc="F96AE372">
      <w:start w:val="1"/>
      <w:numFmt w:val="decimal"/>
      <w:lvlText w:val="%6)"/>
      <w:lvlJc w:val="left"/>
      <w:pPr>
        <w:ind w:left="1020" w:hanging="360"/>
      </w:pPr>
    </w:lvl>
    <w:lvl w:ilvl="6" w:tplc="25C8F5A2">
      <w:start w:val="1"/>
      <w:numFmt w:val="decimal"/>
      <w:lvlText w:val="%7)"/>
      <w:lvlJc w:val="left"/>
      <w:pPr>
        <w:ind w:left="1020" w:hanging="360"/>
      </w:pPr>
    </w:lvl>
    <w:lvl w:ilvl="7" w:tplc="12628D1C">
      <w:start w:val="1"/>
      <w:numFmt w:val="decimal"/>
      <w:lvlText w:val="%8)"/>
      <w:lvlJc w:val="left"/>
      <w:pPr>
        <w:ind w:left="1020" w:hanging="360"/>
      </w:pPr>
    </w:lvl>
    <w:lvl w:ilvl="8" w:tplc="D278BDA6">
      <w:start w:val="1"/>
      <w:numFmt w:val="decimal"/>
      <w:lvlText w:val="%9)"/>
      <w:lvlJc w:val="left"/>
      <w:pPr>
        <w:ind w:left="1020" w:hanging="360"/>
      </w:pPr>
    </w:lvl>
  </w:abstractNum>
  <w:abstractNum w:abstractNumId="13" w15:restartNumberingAfterBreak="0">
    <w:nsid w:val="3E753E27"/>
    <w:multiLevelType w:val="hybridMultilevel"/>
    <w:tmpl w:val="5772101E"/>
    <w:lvl w:ilvl="0" w:tplc="C11AA89A">
      <w:start w:val="1"/>
      <w:numFmt w:val="decimal"/>
      <w:lvlText w:val="%1)"/>
      <w:lvlJc w:val="left"/>
      <w:pPr>
        <w:ind w:left="1020" w:hanging="360"/>
      </w:pPr>
    </w:lvl>
    <w:lvl w:ilvl="1" w:tplc="B2B68EBC">
      <w:start w:val="1"/>
      <w:numFmt w:val="decimal"/>
      <w:lvlText w:val="%2)"/>
      <w:lvlJc w:val="left"/>
      <w:pPr>
        <w:ind w:left="1020" w:hanging="360"/>
      </w:pPr>
    </w:lvl>
    <w:lvl w:ilvl="2" w:tplc="6D20FA5C">
      <w:start w:val="1"/>
      <w:numFmt w:val="decimal"/>
      <w:lvlText w:val="%3)"/>
      <w:lvlJc w:val="left"/>
      <w:pPr>
        <w:ind w:left="1020" w:hanging="360"/>
      </w:pPr>
    </w:lvl>
    <w:lvl w:ilvl="3" w:tplc="271A525C">
      <w:start w:val="1"/>
      <w:numFmt w:val="decimal"/>
      <w:lvlText w:val="%4)"/>
      <w:lvlJc w:val="left"/>
      <w:pPr>
        <w:ind w:left="1020" w:hanging="360"/>
      </w:pPr>
    </w:lvl>
    <w:lvl w:ilvl="4" w:tplc="2CD8C43E">
      <w:start w:val="1"/>
      <w:numFmt w:val="decimal"/>
      <w:lvlText w:val="%5)"/>
      <w:lvlJc w:val="left"/>
      <w:pPr>
        <w:ind w:left="1020" w:hanging="360"/>
      </w:pPr>
    </w:lvl>
    <w:lvl w:ilvl="5" w:tplc="27766040">
      <w:start w:val="1"/>
      <w:numFmt w:val="decimal"/>
      <w:lvlText w:val="%6)"/>
      <w:lvlJc w:val="left"/>
      <w:pPr>
        <w:ind w:left="1020" w:hanging="360"/>
      </w:pPr>
    </w:lvl>
    <w:lvl w:ilvl="6" w:tplc="E8EE9764">
      <w:start w:val="1"/>
      <w:numFmt w:val="decimal"/>
      <w:lvlText w:val="%7)"/>
      <w:lvlJc w:val="left"/>
      <w:pPr>
        <w:ind w:left="1020" w:hanging="360"/>
      </w:pPr>
    </w:lvl>
    <w:lvl w:ilvl="7" w:tplc="4B2400F2">
      <w:start w:val="1"/>
      <w:numFmt w:val="decimal"/>
      <w:lvlText w:val="%8)"/>
      <w:lvlJc w:val="left"/>
      <w:pPr>
        <w:ind w:left="1020" w:hanging="360"/>
      </w:pPr>
    </w:lvl>
    <w:lvl w:ilvl="8" w:tplc="BB82F6B0">
      <w:start w:val="1"/>
      <w:numFmt w:val="decimal"/>
      <w:lvlText w:val="%9)"/>
      <w:lvlJc w:val="left"/>
      <w:pPr>
        <w:ind w:left="1020" w:hanging="360"/>
      </w:pPr>
    </w:lvl>
  </w:abstractNum>
  <w:abstractNum w:abstractNumId="14" w15:restartNumberingAfterBreak="0">
    <w:nsid w:val="44C57F53"/>
    <w:multiLevelType w:val="hybridMultilevel"/>
    <w:tmpl w:val="D098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37858"/>
    <w:multiLevelType w:val="hybridMultilevel"/>
    <w:tmpl w:val="57527982"/>
    <w:lvl w:ilvl="0" w:tplc="F31E6408">
      <w:start w:val="1"/>
      <w:numFmt w:val="decimal"/>
      <w:lvlText w:val="%1)"/>
      <w:lvlJc w:val="left"/>
      <w:pPr>
        <w:ind w:left="1020" w:hanging="360"/>
      </w:pPr>
    </w:lvl>
    <w:lvl w:ilvl="1" w:tplc="109A23F2">
      <w:start w:val="1"/>
      <w:numFmt w:val="decimal"/>
      <w:lvlText w:val="%2)"/>
      <w:lvlJc w:val="left"/>
      <w:pPr>
        <w:ind w:left="1020" w:hanging="360"/>
      </w:pPr>
    </w:lvl>
    <w:lvl w:ilvl="2" w:tplc="56A0AC08">
      <w:start w:val="1"/>
      <w:numFmt w:val="decimal"/>
      <w:lvlText w:val="%3)"/>
      <w:lvlJc w:val="left"/>
      <w:pPr>
        <w:ind w:left="1020" w:hanging="360"/>
      </w:pPr>
    </w:lvl>
    <w:lvl w:ilvl="3" w:tplc="4748FF46">
      <w:start w:val="1"/>
      <w:numFmt w:val="decimal"/>
      <w:lvlText w:val="%4)"/>
      <w:lvlJc w:val="left"/>
      <w:pPr>
        <w:ind w:left="1020" w:hanging="360"/>
      </w:pPr>
    </w:lvl>
    <w:lvl w:ilvl="4" w:tplc="E81AB30C">
      <w:start w:val="1"/>
      <w:numFmt w:val="decimal"/>
      <w:lvlText w:val="%5)"/>
      <w:lvlJc w:val="left"/>
      <w:pPr>
        <w:ind w:left="1020" w:hanging="360"/>
      </w:pPr>
    </w:lvl>
    <w:lvl w:ilvl="5" w:tplc="4AFAAE72">
      <w:start w:val="1"/>
      <w:numFmt w:val="decimal"/>
      <w:lvlText w:val="%6)"/>
      <w:lvlJc w:val="left"/>
      <w:pPr>
        <w:ind w:left="1020" w:hanging="360"/>
      </w:pPr>
    </w:lvl>
    <w:lvl w:ilvl="6" w:tplc="DE1A2282">
      <w:start w:val="1"/>
      <w:numFmt w:val="decimal"/>
      <w:lvlText w:val="%7)"/>
      <w:lvlJc w:val="left"/>
      <w:pPr>
        <w:ind w:left="1020" w:hanging="360"/>
      </w:pPr>
    </w:lvl>
    <w:lvl w:ilvl="7" w:tplc="513A813E">
      <w:start w:val="1"/>
      <w:numFmt w:val="decimal"/>
      <w:lvlText w:val="%8)"/>
      <w:lvlJc w:val="left"/>
      <w:pPr>
        <w:ind w:left="1020" w:hanging="360"/>
      </w:pPr>
    </w:lvl>
    <w:lvl w:ilvl="8" w:tplc="B374EF06">
      <w:start w:val="1"/>
      <w:numFmt w:val="decimal"/>
      <w:lvlText w:val="%9)"/>
      <w:lvlJc w:val="left"/>
      <w:pPr>
        <w:ind w:left="1020" w:hanging="360"/>
      </w:pPr>
    </w:lvl>
  </w:abstractNum>
  <w:abstractNum w:abstractNumId="16" w15:restartNumberingAfterBreak="0">
    <w:nsid w:val="53B92BEC"/>
    <w:multiLevelType w:val="hybridMultilevel"/>
    <w:tmpl w:val="637E77FC"/>
    <w:lvl w:ilvl="0" w:tplc="70C0ECA8">
      <w:start w:val="1"/>
      <w:numFmt w:val="decimal"/>
      <w:lvlText w:val="%1)"/>
      <w:lvlJc w:val="left"/>
      <w:pPr>
        <w:ind w:left="1020" w:hanging="360"/>
      </w:pPr>
    </w:lvl>
    <w:lvl w:ilvl="1" w:tplc="84A07694">
      <w:start w:val="1"/>
      <w:numFmt w:val="decimal"/>
      <w:lvlText w:val="%2)"/>
      <w:lvlJc w:val="left"/>
      <w:pPr>
        <w:ind w:left="1020" w:hanging="360"/>
      </w:pPr>
    </w:lvl>
    <w:lvl w:ilvl="2" w:tplc="A9D84AAC">
      <w:start w:val="1"/>
      <w:numFmt w:val="decimal"/>
      <w:lvlText w:val="%3)"/>
      <w:lvlJc w:val="left"/>
      <w:pPr>
        <w:ind w:left="1020" w:hanging="360"/>
      </w:pPr>
    </w:lvl>
    <w:lvl w:ilvl="3" w:tplc="0FD23092">
      <w:start w:val="1"/>
      <w:numFmt w:val="decimal"/>
      <w:lvlText w:val="%4)"/>
      <w:lvlJc w:val="left"/>
      <w:pPr>
        <w:ind w:left="1020" w:hanging="360"/>
      </w:pPr>
    </w:lvl>
    <w:lvl w:ilvl="4" w:tplc="CE02C4F8">
      <w:start w:val="1"/>
      <w:numFmt w:val="decimal"/>
      <w:lvlText w:val="%5)"/>
      <w:lvlJc w:val="left"/>
      <w:pPr>
        <w:ind w:left="1020" w:hanging="360"/>
      </w:pPr>
    </w:lvl>
    <w:lvl w:ilvl="5" w:tplc="F80A5EB2">
      <w:start w:val="1"/>
      <w:numFmt w:val="decimal"/>
      <w:lvlText w:val="%6)"/>
      <w:lvlJc w:val="left"/>
      <w:pPr>
        <w:ind w:left="1020" w:hanging="360"/>
      </w:pPr>
    </w:lvl>
    <w:lvl w:ilvl="6" w:tplc="2FA4FB04">
      <w:start w:val="1"/>
      <w:numFmt w:val="decimal"/>
      <w:lvlText w:val="%7)"/>
      <w:lvlJc w:val="left"/>
      <w:pPr>
        <w:ind w:left="1020" w:hanging="360"/>
      </w:pPr>
    </w:lvl>
    <w:lvl w:ilvl="7" w:tplc="683E8792">
      <w:start w:val="1"/>
      <w:numFmt w:val="decimal"/>
      <w:lvlText w:val="%8)"/>
      <w:lvlJc w:val="left"/>
      <w:pPr>
        <w:ind w:left="1020" w:hanging="360"/>
      </w:pPr>
    </w:lvl>
    <w:lvl w:ilvl="8" w:tplc="5680BCBC">
      <w:start w:val="1"/>
      <w:numFmt w:val="decimal"/>
      <w:lvlText w:val="%9)"/>
      <w:lvlJc w:val="left"/>
      <w:pPr>
        <w:ind w:left="1020" w:hanging="360"/>
      </w:pPr>
    </w:lvl>
  </w:abstractNum>
  <w:abstractNum w:abstractNumId="17" w15:restartNumberingAfterBreak="0">
    <w:nsid w:val="55666A2C"/>
    <w:multiLevelType w:val="hybridMultilevel"/>
    <w:tmpl w:val="C70EF470"/>
    <w:lvl w:ilvl="0" w:tplc="18A6FF64">
      <w:start w:val="1"/>
      <w:numFmt w:val="bullet"/>
      <w:lvlText w:val=""/>
      <w:lvlJc w:val="left"/>
      <w:pPr>
        <w:ind w:left="1440" w:hanging="360"/>
      </w:pPr>
      <w:rPr>
        <w:rFonts w:ascii="Symbol" w:hAnsi="Symbol"/>
      </w:rPr>
    </w:lvl>
    <w:lvl w:ilvl="1" w:tplc="53B0F906">
      <w:start w:val="1"/>
      <w:numFmt w:val="bullet"/>
      <w:lvlText w:val=""/>
      <w:lvlJc w:val="left"/>
      <w:pPr>
        <w:ind w:left="1440" w:hanging="360"/>
      </w:pPr>
      <w:rPr>
        <w:rFonts w:ascii="Symbol" w:hAnsi="Symbol"/>
      </w:rPr>
    </w:lvl>
    <w:lvl w:ilvl="2" w:tplc="E4088E44">
      <w:start w:val="1"/>
      <w:numFmt w:val="bullet"/>
      <w:lvlText w:val=""/>
      <w:lvlJc w:val="left"/>
      <w:pPr>
        <w:ind w:left="1440" w:hanging="360"/>
      </w:pPr>
      <w:rPr>
        <w:rFonts w:ascii="Symbol" w:hAnsi="Symbol"/>
      </w:rPr>
    </w:lvl>
    <w:lvl w:ilvl="3" w:tplc="566A7E80">
      <w:start w:val="1"/>
      <w:numFmt w:val="bullet"/>
      <w:lvlText w:val=""/>
      <w:lvlJc w:val="left"/>
      <w:pPr>
        <w:ind w:left="1440" w:hanging="360"/>
      </w:pPr>
      <w:rPr>
        <w:rFonts w:ascii="Symbol" w:hAnsi="Symbol"/>
      </w:rPr>
    </w:lvl>
    <w:lvl w:ilvl="4" w:tplc="7B167D70">
      <w:start w:val="1"/>
      <w:numFmt w:val="bullet"/>
      <w:lvlText w:val=""/>
      <w:lvlJc w:val="left"/>
      <w:pPr>
        <w:ind w:left="1440" w:hanging="360"/>
      </w:pPr>
      <w:rPr>
        <w:rFonts w:ascii="Symbol" w:hAnsi="Symbol"/>
      </w:rPr>
    </w:lvl>
    <w:lvl w:ilvl="5" w:tplc="B0067A7E">
      <w:start w:val="1"/>
      <w:numFmt w:val="bullet"/>
      <w:lvlText w:val=""/>
      <w:lvlJc w:val="left"/>
      <w:pPr>
        <w:ind w:left="1440" w:hanging="360"/>
      </w:pPr>
      <w:rPr>
        <w:rFonts w:ascii="Symbol" w:hAnsi="Symbol"/>
      </w:rPr>
    </w:lvl>
    <w:lvl w:ilvl="6" w:tplc="9670AC4E">
      <w:start w:val="1"/>
      <w:numFmt w:val="bullet"/>
      <w:lvlText w:val=""/>
      <w:lvlJc w:val="left"/>
      <w:pPr>
        <w:ind w:left="1440" w:hanging="360"/>
      </w:pPr>
      <w:rPr>
        <w:rFonts w:ascii="Symbol" w:hAnsi="Symbol"/>
      </w:rPr>
    </w:lvl>
    <w:lvl w:ilvl="7" w:tplc="BFC4628A">
      <w:start w:val="1"/>
      <w:numFmt w:val="bullet"/>
      <w:lvlText w:val=""/>
      <w:lvlJc w:val="left"/>
      <w:pPr>
        <w:ind w:left="1440" w:hanging="360"/>
      </w:pPr>
      <w:rPr>
        <w:rFonts w:ascii="Symbol" w:hAnsi="Symbol"/>
      </w:rPr>
    </w:lvl>
    <w:lvl w:ilvl="8" w:tplc="C9A4181C">
      <w:start w:val="1"/>
      <w:numFmt w:val="bullet"/>
      <w:lvlText w:val=""/>
      <w:lvlJc w:val="left"/>
      <w:pPr>
        <w:ind w:left="1440" w:hanging="360"/>
      </w:pPr>
      <w:rPr>
        <w:rFonts w:ascii="Symbol" w:hAnsi="Symbol"/>
      </w:rPr>
    </w:lvl>
  </w:abstractNum>
  <w:abstractNum w:abstractNumId="18" w15:restartNumberingAfterBreak="0">
    <w:nsid w:val="57B17C86"/>
    <w:multiLevelType w:val="hybridMultilevel"/>
    <w:tmpl w:val="FE780F00"/>
    <w:lvl w:ilvl="0" w:tplc="E62AA034">
      <w:start w:val="1"/>
      <w:numFmt w:val="decimal"/>
      <w:lvlText w:val="%1)"/>
      <w:lvlJc w:val="left"/>
      <w:pPr>
        <w:ind w:left="360" w:hanging="360"/>
      </w:pPr>
      <w:rPr>
        <w:rFonts w:hint="default"/>
        <w:b w:val="0"/>
        <w:bCs w:val="0"/>
        <w:i w:val="0"/>
        <w:i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DFB27E6"/>
    <w:multiLevelType w:val="hybridMultilevel"/>
    <w:tmpl w:val="CC7C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67FB5108"/>
    <w:multiLevelType w:val="hybridMultilevel"/>
    <w:tmpl w:val="C9122ADE"/>
    <w:lvl w:ilvl="0" w:tplc="E2708CFC">
      <w:start w:val="1"/>
      <w:numFmt w:val="bullet"/>
      <w:lvlText w:val=""/>
      <w:lvlJc w:val="left"/>
      <w:pPr>
        <w:ind w:left="1440" w:hanging="360"/>
      </w:pPr>
      <w:rPr>
        <w:rFonts w:ascii="Symbol" w:hAnsi="Symbol"/>
      </w:rPr>
    </w:lvl>
    <w:lvl w:ilvl="1" w:tplc="393057AE">
      <w:start w:val="1"/>
      <w:numFmt w:val="bullet"/>
      <w:lvlText w:val=""/>
      <w:lvlJc w:val="left"/>
      <w:pPr>
        <w:ind w:left="1440" w:hanging="360"/>
      </w:pPr>
      <w:rPr>
        <w:rFonts w:ascii="Symbol" w:hAnsi="Symbol"/>
      </w:rPr>
    </w:lvl>
    <w:lvl w:ilvl="2" w:tplc="012A1C0E">
      <w:start w:val="1"/>
      <w:numFmt w:val="bullet"/>
      <w:lvlText w:val=""/>
      <w:lvlJc w:val="left"/>
      <w:pPr>
        <w:ind w:left="1440" w:hanging="360"/>
      </w:pPr>
      <w:rPr>
        <w:rFonts w:ascii="Symbol" w:hAnsi="Symbol"/>
      </w:rPr>
    </w:lvl>
    <w:lvl w:ilvl="3" w:tplc="BE4036A2">
      <w:start w:val="1"/>
      <w:numFmt w:val="bullet"/>
      <w:lvlText w:val=""/>
      <w:lvlJc w:val="left"/>
      <w:pPr>
        <w:ind w:left="1440" w:hanging="360"/>
      </w:pPr>
      <w:rPr>
        <w:rFonts w:ascii="Symbol" w:hAnsi="Symbol"/>
      </w:rPr>
    </w:lvl>
    <w:lvl w:ilvl="4" w:tplc="662E4838">
      <w:start w:val="1"/>
      <w:numFmt w:val="bullet"/>
      <w:lvlText w:val=""/>
      <w:lvlJc w:val="left"/>
      <w:pPr>
        <w:ind w:left="1440" w:hanging="360"/>
      </w:pPr>
      <w:rPr>
        <w:rFonts w:ascii="Symbol" w:hAnsi="Symbol"/>
      </w:rPr>
    </w:lvl>
    <w:lvl w:ilvl="5" w:tplc="1C626534">
      <w:start w:val="1"/>
      <w:numFmt w:val="bullet"/>
      <w:lvlText w:val=""/>
      <w:lvlJc w:val="left"/>
      <w:pPr>
        <w:ind w:left="1440" w:hanging="360"/>
      </w:pPr>
      <w:rPr>
        <w:rFonts w:ascii="Symbol" w:hAnsi="Symbol"/>
      </w:rPr>
    </w:lvl>
    <w:lvl w:ilvl="6" w:tplc="E7CAEA04">
      <w:start w:val="1"/>
      <w:numFmt w:val="bullet"/>
      <w:lvlText w:val=""/>
      <w:lvlJc w:val="left"/>
      <w:pPr>
        <w:ind w:left="1440" w:hanging="360"/>
      </w:pPr>
      <w:rPr>
        <w:rFonts w:ascii="Symbol" w:hAnsi="Symbol"/>
      </w:rPr>
    </w:lvl>
    <w:lvl w:ilvl="7" w:tplc="5D923502">
      <w:start w:val="1"/>
      <w:numFmt w:val="bullet"/>
      <w:lvlText w:val=""/>
      <w:lvlJc w:val="left"/>
      <w:pPr>
        <w:ind w:left="1440" w:hanging="360"/>
      </w:pPr>
      <w:rPr>
        <w:rFonts w:ascii="Symbol" w:hAnsi="Symbol"/>
      </w:rPr>
    </w:lvl>
    <w:lvl w:ilvl="8" w:tplc="E3BC1F0E">
      <w:start w:val="1"/>
      <w:numFmt w:val="bullet"/>
      <w:lvlText w:val=""/>
      <w:lvlJc w:val="left"/>
      <w:pPr>
        <w:ind w:left="1440" w:hanging="360"/>
      </w:pPr>
      <w:rPr>
        <w:rFonts w:ascii="Symbol" w:hAnsi="Symbol"/>
      </w:rPr>
    </w:lvl>
  </w:abstractNum>
  <w:abstractNum w:abstractNumId="23" w15:restartNumberingAfterBreak="0">
    <w:nsid w:val="696F2189"/>
    <w:multiLevelType w:val="hybridMultilevel"/>
    <w:tmpl w:val="F102671C"/>
    <w:lvl w:ilvl="0" w:tplc="35960CCE">
      <w:start w:val="1"/>
      <w:numFmt w:val="bullet"/>
      <w:pStyle w:val="Bullets"/>
      <w:lvlText w:val=""/>
      <w:lvlJc w:val="left"/>
      <w:pPr>
        <w:ind w:left="1174" w:hanging="454"/>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B97657"/>
    <w:multiLevelType w:val="hybridMultilevel"/>
    <w:tmpl w:val="8D96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9" w15:restartNumberingAfterBreak="0">
    <w:nsid w:val="72255452"/>
    <w:multiLevelType w:val="hybridMultilevel"/>
    <w:tmpl w:val="851C284C"/>
    <w:lvl w:ilvl="0" w:tplc="C1A8CFD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001E19"/>
    <w:multiLevelType w:val="hybridMultilevel"/>
    <w:tmpl w:val="4FD8A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3"/>
  </w:num>
  <w:num w:numId="2" w16cid:durableId="1236670440">
    <w:abstractNumId w:val="5"/>
  </w:num>
  <w:num w:numId="3" w16cid:durableId="1918830326">
    <w:abstractNumId w:val="21"/>
  </w:num>
  <w:num w:numId="4" w16cid:durableId="1849562648">
    <w:abstractNumId w:val="27"/>
  </w:num>
  <w:num w:numId="5" w16cid:durableId="360518129">
    <w:abstractNumId w:val="26"/>
  </w:num>
  <w:num w:numId="6" w16cid:durableId="987831213">
    <w:abstractNumId w:val="6"/>
  </w:num>
  <w:num w:numId="7" w16cid:durableId="940183058">
    <w:abstractNumId w:val="28"/>
  </w:num>
  <w:num w:numId="8" w16cid:durableId="175115875">
    <w:abstractNumId w:val="3"/>
  </w:num>
  <w:num w:numId="9" w16cid:durableId="1564372752">
    <w:abstractNumId w:val="31"/>
  </w:num>
  <w:num w:numId="10" w16cid:durableId="1519781089">
    <w:abstractNumId w:val="24"/>
  </w:num>
  <w:num w:numId="11" w16cid:durableId="1448887418">
    <w:abstractNumId w:val="4"/>
  </w:num>
  <w:num w:numId="12" w16cid:durableId="1455443758">
    <w:abstractNumId w:val="20"/>
  </w:num>
  <w:num w:numId="13" w16cid:durableId="2045325553">
    <w:abstractNumId w:val="18"/>
  </w:num>
  <w:num w:numId="14" w16cid:durableId="391659324">
    <w:abstractNumId w:val="9"/>
  </w:num>
  <w:num w:numId="15" w16cid:durableId="1919166041">
    <w:abstractNumId w:val="29"/>
  </w:num>
  <w:num w:numId="16" w16cid:durableId="1671299544">
    <w:abstractNumId w:val="25"/>
  </w:num>
  <w:num w:numId="17" w16cid:durableId="880628676">
    <w:abstractNumId w:val="19"/>
  </w:num>
  <w:num w:numId="18" w16cid:durableId="535970888">
    <w:abstractNumId w:val="8"/>
  </w:num>
  <w:num w:numId="19" w16cid:durableId="852576447">
    <w:abstractNumId w:val="17"/>
  </w:num>
  <w:num w:numId="20" w16cid:durableId="1358853668">
    <w:abstractNumId w:val="22"/>
  </w:num>
  <w:num w:numId="21" w16cid:durableId="1757970186">
    <w:abstractNumId w:val="30"/>
  </w:num>
  <w:num w:numId="22" w16cid:durableId="1300646201">
    <w:abstractNumId w:val="14"/>
  </w:num>
  <w:num w:numId="23" w16cid:durableId="1308975109">
    <w:abstractNumId w:val="1"/>
  </w:num>
  <w:num w:numId="24" w16cid:durableId="1333416601">
    <w:abstractNumId w:val="0"/>
  </w:num>
  <w:num w:numId="25" w16cid:durableId="1566792860">
    <w:abstractNumId w:val="7"/>
  </w:num>
  <w:num w:numId="26" w16cid:durableId="205722825">
    <w:abstractNumId w:val="12"/>
  </w:num>
  <w:num w:numId="27" w16cid:durableId="542013879">
    <w:abstractNumId w:val="10"/>
  </w:num>
  <w:num w:numId="28" w16cid:durableId="472720935">
    <w:abstractNumId w:val="11"/>
  </w:num>
  <w:num w:numId="29" w16cid:durableId="640617678">
    <w:abstractNumId w:val="13"/>
  </w:num>
  <w:num w:numId="30" w16cid:durableId="138772117">
    <w:abstractNumId w:val="16"/>
  </w:num>
  <w:num w:numId="31" w16cid:durableId="1007485411">
    <w:abstractNumId w:val="15"/>
  </w:num>
  <w:num w:numId="32" w16cid:durableId="7139638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450E"/>
    <w:rsid w:val="000053F8"/>
    <w:rsid w:val="00005F33"/>
    <w:rsid w:val="000067E8"/>
    <w:rsid w:val="0000789E"/>
    <w:rsid w:val="00010E2D"/>
    <w:rsid w:val="00012B14"/>
    <w:rsid w:val="00012D61"/>
    <w:rsid w:val="0001418F"/>
    <w:rsid w:val="0001580E"/>
    <w:rsid w:val="00017A1C"/>
    <w:rsid w:val="00017D75"/>
    <w:rsid w:val="00020E22"/>
    <w:rsid w:val="000224F4"/>
    <w:rsid w:val="000240B1"/>
    <w:rsid w:val="000241A8"/>
    <w:rsid w:val="00024D0A"/>
    <w:rsid w:val="00025DBE"/>
    <w:rsid w:val="00025EC6"/>
    <w:rsid w:val="00027E7D"/>
    <w:rsid w:val="00030A25"/>
    <w:rsid w:val="00032DDF"/>
    <w:rsid w:val="000336E8"/>
    <w:rsid w:val="00034358"/>
    <w:rsid w:val="0003499B"/>
    <w:rsid w:val="000366B0"/>
    <w:rsid w:val="00037CE1"/>
    <w:rsid w:val="000413A2"/>
    <w:rsid w:val="00042DF4"/>
    <w:rsid w:val="00043CD1"/>
    <w:rsid w:val="00045644"/>
    <w:rsid w:val="000471DE"/>
    <w:rsid w:val="000472DC"/>
    <w:rsid w:val="000503AC"/>
    <w:rsid w:val="0005043C"/>
    <w:rsid w:val="00050454"/>
    <w:rsid w:val="00050F15"/>
    <w:rsid w:val="000528AA"/>
    <w:rsid w:val="000532E8"/>
    <w:rsid w:val="00054200"/>
    <w:rsid w:val="00054DF9"/>
    <w:rsid w:val="00055882"/>
    <w:rsid w:val="00055BC9"/>
    <w:rsid w:val="00056189"/>
    <w:rsid w:val="00060A91"/>
    <w:rsid w:val="00066EDA"/>
    <w:rsid w:val="00067C36"/>
    <w:rsid w:val="00070065"/>
    <w:rsid w:val="00070C6C"/>
    <w:rsid w:val="00070E12"/>
    <w:rsid w:val="00070FFF"/>
    <w:rsid w:val="000719BC"/>
    <w:rsid w:val="00071E7C"/>
    <w:rsid w:val="00072C04"/>
    <w:rsid w:val="000732ED"/>
    <w:rsid w:val="00073DD6"/>
    <w:rsid w:val="00073F3F"/>
    <w:rsid w:val="00075ECD"/>
    <w:rsid w:val="000767BD"/>
    <w:rsid w:val="0008249E"/>
    <w:rsid w:val="00082A6E"/>
    <w:rsid w:val="0008315D"/>
    <w:rsid w:val="0008333F"/>
    <w:rsid w:val="00083846"/>
    <w:rsid w:val="00083B0B"/>
    <w:rsid w:val="000862E8"/>
    <w:rsid w:val="0008759D"/>
    <w:rsid w:val="000902A4"/>
    <w:rsid w:val="00090450"/>
    <w:rsid w:val="00090E06"/>
    <w:rsid w:val="00090EBF"/>
    <w:rsid w:val="00092867"/>
    <w:rsid w:val="00092974"/>
    <w:rsid w:val="00093B0F"/>
    <w:rsid w:val="00093CAA"/>
    <w:rsid w:val="00094590"/>
    <w:rsid w:val="000963B2"/>
    <w:rsid w:val="00096E9B"/>
    <w:rsid w:val="00097B59"/>
    <w:rsid w:val="000A144E"/>
    <w:rsid w:val="000A3E7F"/>
    <w:rsid w:val="000A4FEE"/>
    <w:rsid w:val="000A66D6"/>
    <w:rsid w:val="000B1868"/>
    <w:rsid w:val="000B5939"/>
    <w:rsid w:val="000B78CA"/>
    <w:rsid w:val="000C29CE"/>
    <w:rsid w:val="000C2CB9"/>
    <w:rsid w:val="000C3521"/>
    <w:rsid w:val="000C36A2"/>
    <w:rsid w:val="000C4269"/>
    <w:rsid w:val="000C55E2"/>
    <w:rsid w:val="000C6256"/>
    <w:rsid w:val="000C6FAB"/>
    <w:rsid w:val="000C7673"/>
    <w:rsid w:val="000D00BD"/>
    <w:rsid w:val="000D39D9"/>
    <w:rsid w:val="000D55A8"/>
    <w:rsid w:val="000D6403"/>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1C9E"/>
    <w:rsid w:val="00102838"/>
    <w:rsid w:val="00102D6C"/>
    <w:rsid w:val="001060A0"/>
    <w:rsid w:val="00106948"/>
    <w:rsid w:val="00107273"/>
    <w:rsid w:val="0011183F"/>
    <w:rsid w:val="00111CCE"/>
    <w:rsid w:val="001121E3"/>
    <w:rsid w:val="001134E7"/>
    <w:rsid w:val="001157B9"/>
    <w:rsid w:val="00121427"/>
    <w:rsid w:val="0012636A"/>
    <w:rsid w:val="001277BE"/>
    <w:rsid w:val="00130898"/>
    <w:rsid w:val="0013103A"/>
    <w:rsid w:val="001314A8"/>
    <w:rsid w:val="00132B16"/>
    <w:rsid w:val="00135DFB"/>
    <w:rsid w:val="00137396"/>
    <w:rsid w:val="00141E9B"/>
    <w:rsid w:val="0014211F"/>
    <w:rsid w:val="0014267F"/>
    <w:rsid w:val="0014271F"/>
    <w:rsid w:val="001431B0"/>
    <w:rsid w:val="001477A9"/>
    <w:rsid w:val="00154E4C"/>
    <w:rsid w:val="001553E9"/>
    <w:rsid w:val="001560A7"/>
    <w:rsid w:val="00157BDA"/>
    <w:rsid w:val="001607C9"/>
    <w:rsid w:val="00163BFD"/>
    <w:rsid w:val="0016466B"/>
    <w:rsid w:val="00165556"/>
    <w:rsid w:val="001661AC"/>
    <w:rsid w:val="001675CA"/>
    <w:rsid w:val="00170504"/>
    <w:rsid w:val="001710AD"/>
    <w:rsid w:val="0017149E"/>
    <w:rsid w:val="0017169E"/>
    <w:rsid w:val="001720FD"/>
    <w:rsid w:val="00172ECB"/>
    <w:rsid w:val="00173681"/>
    <w:rsid w:val="00173AC8"/>
    <w:rsid w:val="00177047"/>
    <w:rsid w:val="0018006C"/>
    <w:rsid w:val="001809B1"/>
    <w:rsid w:val="00181A4A"/>
    <w:rsid w:val="00182034"/>
    <w:rsid w:val="00184F53"/>
    <w:rsid w:val="00185532"/>
    <w:rsid w:val="00191F0E"/>
    <w:rsid w:val="001933D2"/>
    <w:rsid w:val="00194121"/>
    <w:rsid w:val="00194940"/>
    <w:rsid w:val="00197954"/>
    <w:rsid w:val="001A0D39"/>
    <w:rsid w:val="001A3FAE"/>
    <w:rsid w:val="001A5139"/>
    <w:rsid w:val="001A6AD4"/>
    <w:rsid w:val="001A6B73"/>
    <w:rsid w:val="001B0EE9"/>
    <w:rsid w:val="001B14A7"/>
    <w:rsid w:val="001B335E"/>
    <w:rsid w:val="001B4BD9"/>
    <w:rsid w:val="001B50CB"/>
    <w:rsid w:val="001B65B3"/>
    <w:rsid w:val="001B6DBC"/>
    <w:rsid w:val="001B715D"/>
    <w:rsid w:val="001C0CC9"/>
    <w:rsid w:val="001C3A55"/>
    <w:rsid w:val="001C4836"/>
    <w:rsid w:val="001D0F05"/>
    <w:rsid w:val="001D2FCF"/>
    <w:rsid w:val="001D31CF"/>
    <w:rsid w:val="001D4416"/>
    <w:rsid w:val="001D4937"/>
    <w:rsid w:val="001D70A2"/>
    <w:rsid w:val="001D7873"/>
    <w:rsid w:val="001E20D3"/>
    <w:rsid w:val="001E2C47"/>
    <w:rsid w:val="001E3D24"/>
    <w:rsid w:val="001E4305"/>
    <w:rsid w:val="001E61FF"/>
    <w:rsid w:val="001E6C4E"/>
    <w:rsid w:val="001E7677"/>
    <w:rsid w:val="001E7EA5"/>
    <w:rsid w:val="001F186D"/>
    <w:rsid w:val="001F4C2E"/>
    <w:rsid w:val="001F56B9"/>
    <w:rsid w:val="001F5BE3"/>
    <w:rsid w:val="001F64C1"/>
    <w:rsid w:val="002004E2"/>
    <w:rsid w:val="00201ED2"/>
    <w:rsid w:val="002024BA"/>
    <w:rsid w:val="00202664"/>
    <w:rsid w:val="002029A6"/>
    <w:rsid w:val="00202E9C"/>
    <w:rsid w:val="00203E1B"/>
    <w:rsid w:val="00203F4A"/>
    <w:rsid w:val="00204710"/>
    <w:rsid w:val="002047CC"/>
    <w:rsid w:val="00204D61"/>
    <w:rsid w:val="00205F17"/>
    <w:rsid w:val="002063FF"/>
    <w:rsid w:val="00206A36"/>
    <w:rsid w:val="00206FD1"/>
    <w:rsid w:val="00210A86"/>
    <w:rsid w:val="00210AFB"/>
    <w:rsid w:val="00212A72"/>
    <w:rsid w:val="002138DD"/>
    <w:rsid w:val="00216888"/>
    <w:rsid w:val="0022195C"/>
    <w:rsid w:val="00222ADD"/>
    <w:rsid w:val="00223163"/>
    <w:rsid w:val="00224896"/>
    <w:rsid w:val="002274F5"/>
    <w:rsid w:val="00230224"/>
    <w:rsid w:val="00231F35"/>
    <w:rsid w:val="00232D6D"/>
    <w:rsid w:val="00233552"/>
    <w:rsid w:val="0023546E"/>
    <w:rsid w:val="002406A6"/>
    <w:rsid w:val="002408EA"/>
    <w:rsid w:val="00240BCD"/>
    <w:rsid w:val="00241AFE"/>
    <w:rsid w:val="00242002"/>
    <w:rsid w:val="00242ABB"/>
    <w:rsid w:val="00242ECF"/>
    <w:rsid w:val="002459B4"/>
    <w:rsid w:val="00246552"/>
    <w:rsid w:val="00247034"/>
    <w:rsid w:val="0024719E"/>
    <w:rsid w:val="0025004B"/>
    <w:rsid w:val="00252B9F"/>
    <w:rsid w:val="0025629D"/>
    <w:rsid w:val="00257FCB"/>
    <w:rsid w:val="00260995"/>
    <w:rsid w:val="0026199E"/>
    <w:rsid w:val="00264ACF"/>
    <w:rsid w:val="00265FAC"/>
    <w:rsid w:val="00266729"/>
    <w:rsid w:val="00267C47"/>
    <w:rsid w:val="00267E25"/>
    <w:rsid w:val="00273AA7"/>
    <w:rsid w:val="00277BA4"/>
    <w:rsid w:val="002805A0"/>
    <w:rsid w:val="00280E13"/>
    <w:rsid w:val="00281913"/>
    <w:rsid w:val="002819D7"/>
    <w:rsid w:val="002827F8"/>
    <w:rsid w:val="00283BDA"/>
    <w:rsid w:val="00285C02"/>
    <w:rsid w:val="00286F5F"/>
    <w:rsid w:val="0029049A"/>
    <w:rsid w:val="002919F3"/>
    <w:rsid w:val="00291FFC"/>
    <w:rsid w:val="00294127"/>
    <w:rsid w:val="00294C17"/>
    <w:rsid w:val="002964AC"/>
    <w:rsid w:val="002A0044"/>
    <w:rsid w:val="002A0DFC"/>
    <w:rsid w:val="002A0F2A"/>
    <w:rsid w:val="002A1134"/>
    <w:rsid w:val="002A3B45"/>
    <w:rsid w:val="002A4DA7"/>
    <w:rsid w:val="002A503E"/>
    <w:rsid w:val="002A5240"/>
    <w:rsid w:val="002A555A"/>
    <w:rsid w:val="002B0E8D"/>
    <w:rsid w:val="002B1CCB"/>
    <w:rsid w:val="002B2817"/>
    <w:rsid w:val="002B3000"/>
    <w:rsid w:val="002C059B"/>
    <w:rsid w:val="002C1A7E"/>
    <w:rsid w:val="002C20BB"/>
    <w:rsid w:val="002C272A"/>
    <w:rsid w:val="002C4621"/>
    <w:rsid w:val="002C66E0"/>
    <w:rsid w:val="002D0A75"/>
    <w:rsid w:val="002D0C3A"/>
    <w:rsid w:val="002D3376"/>
    <w:rsid w:val="002D36ED"/>
    <w:rsid w:val="002D44CE"/>
    <w:rsid w:val="002D4C17"/>
    <w:rsid w:val="002D4E4E"/>
    <w:rsid w:val="002D7324"/>
    <w:rsid w:val="002E016D"/>
    <w:rsid w:val="002E0A2C"/>
    <w:rsid w:val="002E4DCF"/>
    <w:rsid w:val="002E5522"/>
    <w:rsid w:val="002E5724"/>
    <w:rsid w:val="002E7EC9"/>
    <w:rsid w:val="002F30AC"/>
    <w:rsid w:val="00300FE7"/>
    <w:rsid w:val="003012DB"/>
    <w:rsid w:val="00303133"/>
    <w:rsid w:val="00305A40"/>
    <w:rsid w:val="00305D6F"/>
    <w:rsid w:val="00310467"/>
    <w:rsid w:val="00310638"/>
    <w:rsid w:val="00311204"/>
    <w:rsid w:val="00311656"/>
    <w:rsid w:val="00311ED0"/>
    <w:rsid w:val="00316C88"/>
    <w:rsid w:val="003208C6"/>
    <w:rsid w:val="00321400"/>
    <w:rsid w:val="00321A30"/>
    <w:rsid w:val="00321C1D"/>
    <w:rsid w:val="003235D8"/>
    <w:rsid w:val="00323C05"/>
    <w:rsid w:val="0032543B"/>
    <w:rsid w:val="003258AB"/>
    <w:rsid w:val="00326FD2"/>
    <w:rsid w:val="003321AE"/>
    <w:rsid w:val="00335B0F"/>
    <w:rsid w:val="0033615E"/>
    <w:rsid w:val="0033752D"/>
    <w:rsid w:val="003424B4"/>
    <w:rsid w:val="003455B4"/>
    <w:rsid w:val="003501DC"/>
    <w:rsid w:val="00351EC1"/>
    <w:rsid w:val="0035212E"/>
    <w:rsid w:val="003542E8"/>
    <w:rsid w:val="00355A4C"/>
    <w:rsid w:val="003563C8"/>
    <w:rsid w:val="00356F7D"/>
    <w:rsid w:val="00360652"/>
    <w:rsid w:val="003648C5"/>
    <w:rsid w:val="0036785C"/>
    <w:rsid w:val="003715A5"/>
    <w:rsid w:val="003722FA"/>
    <w:rsid w:val="00373F5F"/>
    <w:rsid w:val="00374246"/>
    <w:rsid w:val="00376F28"/>
    <w:rsid w:val="003778FE"/>
    <w:rsid w:val="003814C0"/>
    <w:rsid w:val="003844A5"/>
    <w:rsid w:val="00384F8C"/>
    <w:rsid w:val="0038531C"/>
    <w:rsid w:val="003856F3"/>
    <w:rsid w:val="00386DC4"/>
    <w:rsid w:val="003871B2"/>
    <w:rsid w:val="003912AE"/>
    <w:rsid w:val="00391E36"/>
    <w:rsid w:val="0039265E"/>
    <w:rsid w:val="003926DC"/>
    <w:rsid w:val="00392E57"/>
    <w:rsid w:val="0039515F"/>
    <w:rsid w:val="00395CF6"/>
    <w:rsid w:val="00396A79"/>
    <w:rsid w:val="00397625"/>
    <w:rsid w:val="003A0077"/>
    <w:rsid w:val="003A010D"/>
    <w:rsid w:val="003A08C5"/>
    <w:rsid w:val="003A65F7"/>
    <w:rsid w:val="003B05C7"/>
    <w:rsid w:val="003B3B81"/>
    <w:rsid w:val="003B3FFC"/>
    <w:rsid w:val="003B6648"/>
    <w:rsid w:val="003C1DE9"/>
    <w:rsid w:val="003C3B0A"/>
    <w:rsid w:val="003C3E98"/>
    <w:rsid w:val="003C5F1A"/>
    <w:rsid w:val="003C7AAF"/>
    <w:rsid w:val="003D03EE"/>
    <w:rsid w:val="003D3617"/>
    <w:rsid w:val="003D4FF1"/>
    <w:rsid w:val="003D5119"/>
    <w:rsid w:val="003D5821"/>
    <w:rsid w:val="003D6A0E"/>
    <w:rsid w:val="003E0210"/>
    <w:rsid w:val="003E30AB"/>
    <w:rsid w:val="003E650A"/>
    <w:rsid w:val="003F09BE"/>
    <w:rsid w:val="003F4009"/>
    <w:rsid w:val="003F4F50"/>
    <w:rsid w:val="003F6EAE"/>
    <w:rsid w:val="003F74DA"/>
    <w:rsid w:val="003F7538"/>
    <w:rsid w:val="00401D44"/>
    <w:rsid w:val="00404630"/>
    <w:rsid w:val="004051B3"/>
    <w:rsid w:val="004066E3"/>
    <w:rsid w:val="00406F68"/>
    <w:rsid w:val="004075B6"/>
    <w:rsid w:val="00407D0C"/>
    <w:rsid w:val="00410BF0"/>
    <w:rsid w:val="00412901"/>
    <w:rsid w:val="00413A21"/>
    <w:rsid w:val="00413B6D"/>
    <w:rsid w:val="00416AA6"/>
    <w:rsid w:val="00420326"/>
    <w:rsid w:val="00420952"/>
    <w:rsid w:val="0042101C"/>
    <w:rsid w:val="0042145A"/>
    <w:rsid w:val="00421AD0"/>
    <w:rsid w:val="00422109"/>
    <w:rsid w:val="00422895"/>
    <w:rsid w:val="004249E1"/>
    <w:rsid w:val="0042574D"/>
    <w:rsid w:val="00425E20"/>
    <w:rsid w:val="00427416"/>
    <w:rsid w:val="00427C7C"/>
    <w:rsid w:val="0043059E"/>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575"/>
    <w:rsid w:val="00454DA6"/>
    <w:rsid w:val="00455908"/>
    <w:rsid w:val="00456D7C"/>
    <w:rsid w:val="004603CB"/>
    <w:rsid w:val="00460B06"/>
    <w:rsid w:val="00464579"/>
    <w:rsid w:val="00466CF3"/>
    <w:rsid w:val="00472E5D"/>
    <w:rsid w:val="00474B42"/>
    <w:rsid w:val="00481591"/>
    <w:rsid w:val="00482E6D"/>
    <w:rsid w:val="00482EF3"/>
    <w:rsid w:val="0048317C"/>
    <w:rsid w:val="0048608B"/>
    <w:rsid w:val="00486634"/>
    <w:rsid w:val="00486A0C"/>
    <w:rsid w:val="004874F3"/>
    <w:rsid w:val="004948F2"/>
    <w:rsid w:val="004957A2"/>
    <w:rsid w:val="00497425"/>
    <w:rsid w:val="004A0041"/>
    <w:rsid w:val="004A1E7C"/>
    <w:rsid w:val="004B140D"/>
    <w:rsid w:val="004B16D4"/>
    <w:rsid w:val="004B19C4"/>
    <w:rsid w:val="004B5A10"/>
    <w:rsid w:val="004B5C7E"/>
    <w:rsid w:val="004C5A80"/>
    <w:rsid w:val="004C7498"/>
    <w:rsid w:val="004D0952"/>
    <w:rsid w:val="004D0CE2"/>
    <w:rsid w:val="004D1B7D"/>
    <w:rsid w:val="004D1BEE"/>
    <w:rsid w:val="004D56C5"/>
    <w:rsid w:val="004D5EDB"/>
    <w:rsid w:val="004E0B1B"/>
    <w:rsid w:val="004E13F9"/>
    <w:rsid w:val="004E25C7"/>
    <w:rsid w:val="004E3358"/>
    <w:rsid w:val="004E33F0"/>
    <w:rsid w:val="004E4586"/>
    <w:rsid w:val="004E579F"/>
    <w:rsid w:val="004F26DD"/>
    <w:rsid w:val="004F5C74"/>
    <w:rsid w:val="004F71FF"/>
    <w:rsid w:val="004F741B"/>
    <w:rsid w:val="005025A1"/>
    <w:rsid w:val="00502D36"/>
    <w:rsid w:val="00502E47"/>
    <w:rsid w:val="005049FA"/>
    <w:rsid w:val="00506471"/>
    <w:rsid w:val="0050675B"/>
    <w:rsid w:val="005070D1"/>
    <w:rsid w:val="00507D4F"/>
    <w:rsid w:val="00510006"/>
    <w:rsid w:val="005133DD"/>
    <w:rsid w:val="00513A10"/>
    <w:rsid w:val="00515B94"/>
    <w:rsid w:val="005165D0"/>
    <w:rsid w:val="00516E2E"/>
    <w:rsid w:val="00517830"/>
    <w:rsid w:val="005222F8"/>
    <w:rsid w:val="005223D6"/>
    <w:rsid w:val="005243AA"/>
    <w:rsid w:val="0052486C"/>
    <w:rsid w:val="005313FB"/>
    <w:rsid w:val="005316E3"/>
    <w:rsid w:val="005331B9"/>
    <w:rsid w:val="005340EE"/>
    <w:rsid w:val="00534713"/>
    <w:rsid w:val="0053660D"/>
    <w:rsid w:val="0053680E"/>
    <w:rsid w:val="00537554"/>
    <w:rsid w:val="00541419"/>
    <w:rsid w:val="00541CF3"/>
    <w:rsid w:val="005424A6"/>
    <w:rsid w:val="0054407E"/>
    <w:rsid w:val="00544490"/>
    <w:rsid w:val="005456D9"/>
    <w:rsid w:val="0054586C"/>
    <w:rsid w:val="00550201"/>
    <w:rsid w:val="005509D6"/>
    <w:rsid w:val="00551518"/>
    <w:rsid w:val="0055171A"/>
    <w:rsid w:val="00560F6C"/>
    <w:rsid w:val="00562E35"/>
    <w:rsid w:val="0056396A"/>
    <w:rsid w:val="005640F6"/>
    <w:rsid w:val="0056677C"/>
    <w:rsid w:val="005667A4"/>
    <w:rsid w:val="00570494"/>
    <w:rsid w:val="00570A35"/>
    <w:rsid w:val="0057339A"/>
    <w:rsid w:val="00576330"/>
    <w:rsid w:val="00577C84"/>
    <w:rsid w:val="00582F11"/>
    <w:rsid w:val="005830CD"/>
    <w:rsid w:val="00585A80"/>
    <w:rsid w:val="00585FFE"/>
    <w:rsid w:val="00586D0E"/>
    <w:rsid w:val="00586E8A"/>
    <w:rsid w:val="00590493"/>
    <w:rsid w:val="00591766"/>
    <w:rsid w:val="00593134"/>
    <w:rsid w:val="00593F08"/>
    <w:rsid w:val="00595686"/>
    <w:rsid w:val="00596692"/>
    <w:rsid w:val="00597222"/>
    <w:rsid w:val="005A166F"/>
    <w:rsid w:val="005A2389"/>
    <w:rsid w:val="005A4151"/>
    <w:rsid w:val="005A5D38"/>
    <w:rsid w:val="005A6DD2"/>
    <w:rsid w:val="005A7423"/>
    <w:rsid w:val="005A7D55"/>
    <w:rsid w:val="005B1A47"/>
    <w:rsid w:val="005B1BF8"/>
    <w:rsid w:val="005B36CA"/>
    <w:rsid w:val="005B4FCC"/>
    <w:rsid w:val="005B700C"/>
    <w:rsid w:val="005C06D2"/>
    <w:rsid w:val="005C0C58"/>
    <w:rsid w:val="005C3E8B"/>
    <w:rsid w:val="005C5307"/>
    <w:rsid w:val="005C7663"/>
    <w:rsid w:val="005C7BF6"/>
    <w:rsid w:val="005D147B"/>
    <w:rsid w:val="005D1724"/>
    <w:rsid w:val="005D1841"/>
    <w:rsid w:val="005D2057"/>
    <w:rsid w:val="005D2B77"/>
    <w:rsid w:val="005D48E9"/>
    <w:rsid w:val="005D4BEA"/>
    <w:rsid w:val="005D56CE"/>
    <w:rsid w:val="005D67FD"/>
    <w:rsid w:val="005D737B"/>
    <w:rsid w:val="005D740B"/>
    <w:rsid w:val="005D7A9E"/>
    <w:rsid w:val="005D7DF1"/>
    <w:rsid w:val="005E045D"/>
    <w:rsid w:val="005E068D"/>
    <w:rsid w:val="005E1E0A"/>
    <w:rsid w:val="005E3114"/>
    <w:rsid w:val="005E33F7"/>
    <w:rsid w:val="005E3DD4"/>
    <w:rsid w:val="005E5803"/>
    <w:rsid w:val="005E76E6"/>
    <w:rsid w:val="005F04E1"/>
    <w:rsid w:val="005F08D5"/>
    <w:rsid w:val="005F14B5"/>
    <w:rsid w:val="005F28BE"/>
    <w:rsid w:val="005F4B93"/>
    <w:rsid w:val="005F5FB9"/>
    <w:rsid w:val="005F6B6B"/>
    <w:rsid w:val="005F7738"/>
    <w:rsid w:val="00605097"/>
    <w:rsid w:val="00605B5D"/>
    <w:rsid w:val="006060CC"/>
    <w:rsid w:val="006141F5"/>
    <w:rsid w:val="00614200"/>
    <w:rsid w:val="00615B44"/>
    <w:rsid w:val="006166ED"/>
    <w:rsid w:val="00620721"/>
    <w:rsid w:val="00620D93"/>
    <w:rsid w:val="006210D3"/>
    <w:rsid w:val="00621355"/>
    <w:rsid w:val="006218D9"/>
    <w:rsid w:val="00621B2D"/>
    <w:rsid w:val="0062386B"/>
    <w:rsid w:val="006243B8"/>
    <w:rsid w:val="006248D8"/>
    <w:rsid w:val="0062513E"/>
    <w:rsid w:val="00627DDA"/>
    <w:rsid w:val="006314CB"/>
    <w:rsid w:val="006320D4"/>
    <w:rsid w:val="00632BA3"/>
    <w:rsid w:val="00635022"/>
    <w:rsid w:val="00635C91"/>
    <w:rsid w:val="00636759"/>
    <w:rsid w:val="0064116E"/>
    <w:rsid w:val="0064134F"/>
    <w:rsid w:val="0064518F"/>
    <w:rsid w:val="006461FE"/>
    <w:rsid w:val="00647E28"/>
    <w:rsid w:val="00651308"/>
    <w:rsid w:val="006544A3"/>
    <w:rsid w:val="006625C9"/>
    <w:rsid w:val="006630EA"/>
    <w:rsid w:val="00663DE9"/>
    <w:rsid w:val="006641B7"/>
    <w:rsid w:val="0066517A"/>
    <w:rsid w:val="00666CA3"/>
    <w:rsid w:val="00667191"/>
    <w:rsid w:val="0066741D"/>
    <w:rsid w:val="0067036D"/>
    <w:rsid w:val="00670E51"/>
    <w:rsid w:val="00671A46"/>
    <w:rsid w:val="00673B53"/>
    <w:rsid w:val="00673CB2"/>
    <w:rsid w:val="006740AF"/>
    <w:rsid w:val="00674AEA"/>
    <w:rsid w:val="006766ED"/>
    <w:rsid w:val="006777C7"/>
    <w:rsid w:val="00677A91"/>
    <w:rsid w:val="00680F6A"/>
    <w:rsid w:val="00682298"/>
    <w:rsid w:val="0068254E"/>
    <w:rsid w:val="00683234"/>
    <w:rsid w:val="00685A8F"/>
    <w:rsid w:val="006921E1"/>
    <w:rsid w:val="00692309"/>
    <w:rsid w:val="006928D5"/>
    <w:rsid w:val="006931A3"/>
    <w:rsid w:val="00694525"/>
    <w:rsid w:val="00694918"/>
    <w:rsid w:val="006949BF"/>
    <w:rsid w:val="006A242A"/>
    <w:rsid w:val="006A309E"/>
    <w:rsid w:val="006A4E89"/>
    <w:rsid w:val="006A546A"/>
    <w:rsid w:val="006A69ED"/>
    <w:rsid w:val="006A6E06"/>
    <w:rsid w:val="006A6E09"/>
    <w:rsid w:val="006B0238"/>
    <w:rsid w:val="006B0239"/>
    <w:rsid w:val="006B0855"/>
    <w:rsid w:val="006B10E8"/>
    <w:rsid w:val="006B202A"/>
    <w:rsid w:val="006B25CB"/>
    <w:rsid w:val="006B3487"/>
    <w:rsid w:val="006B665F"/>
    <w:rsid w:val="006C1200"/>
    <w:rsid w:val="006C1A86"/>
    <w:rsid w:val="006C1BA1"/>
    <w:rsid w:val="006D0362"/>
    <w:rsid w:val="006D650E"/>
    <w:rsid w:val="006D70ED"/>
    <w:rsid w:val="006E2970"/>
    <w:rsid w:val="006E2B72"/>
    <w:rsid w:val="006E4FCD"/>
    <w:rsid w:val="006E510A"/>
    <w:rsid w:val="006E5133"/>
    <w:rsid w:val="006E5F32"/>
    <w:rsid w:val="006E66FB"/>
    <w:rsid w:val="006E6D13"/>
    <w:rsid w:val="006E7763"/>
    <w:rsid w:val="006F19CE"/>
    <w:rsid w:val="006F37C8"/>
    <w:rsid w:val="006F4B25"/>
    <w:rsid w:val="006F50EA"/>
    <w:rsid w:val="006F5291"/>
    <w:rsid w:val="006F5E5D"/>
    <w:rsid w:val="006F6496"/>
    <w:rsid w:val="006F7681"/>
    <w:rsid w:val="007028B0"/>
    <w:rsid w:val="00702AFD"/>
    <w:rsid w:val="00702B7E"/>
    <w:rsid w:val="0070482A"/>
    <w:rsid w:val="0070537F"/>
    <w:rsid w:val="007055EA"/>
    <w:rsid w:val="00711675"/>
    <w:rsid w:val="007126D3"/>
    <w:rsid w:val="00712D18"/>
    <w:rsid w:val="00712E9A"/>
    <w:rsid w:val="007148C4"/>
    <w:rsid w:val="00714AD2"/>
    <w:rsid w:val="007230BA"/>
    <w:rsid w:val="00723B1E"/>
    <w:rsid w:val="00727692"/>
    <w:rsid w:val="0073266D"/>
    <w:rsid w:val="007326EB"/>
    <w:rsid w:val="0073328B"/>
    <w:rsid w:val="00733590"/>
    <w:rsid w:val="00733CB1"/>
    <w:rsid w:val="00735089"/>
    <w:rsid w:val="00736348"/>
    <w:rsid w:val="0073697C"/>
    <w:rsid w:val="00742CA9"/>
    <w:rsid w:val="007433C5"/>
    <w:rsid w:val="00744DB7"/>
    <w:rsid w:val="007464D0"/>
    <w:rsid w:val="00747CAD"/>
    <w:rsid w:val="00750457"/>
    <w:rsid w:val="00750D21"/>
    <w:rsid w:val="00753CB9"/>
    <w:rsid w:val="007565FA"/>
    <w:rsid w:val="0075686E"/>
    <w:rsid w:val="00756F51"/>
    <w:rsid w:val="0075772E"/>
    <w:rsid w:val="00757C9D"/>
    <w:rsid w:val="00757EE8"/>
    <w:rsid w:val="00760908"/>
    <w:rsid w:val="00761BAE"/>
    <w:rsid w:val="00761DFB"/>
    <w:rsid w:val="007650D5"/>
    <w:rsid w:val="007668C4"/>
    <w:rsid w:val="007703B3"/>
    <w:rsid w:val="00770818"/>
    <w:rsid w:val="00770DCA"/>
    <w:rsid w:val="0077156B"/>
    <w:rsid w:val="00775419"/>
    <w:rsid w:val="007769ED"/>
    <w:rsid w:val="00780224"/>
    <w:rsid w:val="007828A5"/>
    <w:rsid w:val="00782B9C"/>
    <w:rsid w:val="0078447B"/>
    <w:rsid w:val="0078563E"/>
    <w:rsid w:val="00786337"/>
    <w:rsid w:val="00787958"/>
    <w:rsid w:val="007901DF"/>
    <w:rsid w:val="007913D8"/>
    <w:rsid w:val="007A114F"/>
    <w:rsid w:val="007A15AC"/>
    <w:rsid w:val="007A1877"/>
    <w:rsid w:val="007A4157"/>
    <w:rsid w:val="007A44D6"/>
    <w:rsid w:val="007A611A"/>
    <w:rsid w:val="007B0EF6"/>
    <w:rsid w:val="007B2281"/>
    <w:rsid w:val="007B3C7A"/>
    <w:rsid w:val="007B6C26"/>
    <w:rsid w:val="007C37A9"/>
    <w:rsid w:val="007C3E90"/>
    <w:rsid w:val="007C40A1"/>
    <w:rsid w:val="007C41E1"/>
    <w:rsid w:val="007C5EC1"/>
    <w:rsid w:val="007C728B"/>
    <w:rsid w:val="007C7916"/>
    <w:rsid w:val="007D04FD"/>
    <w:rsid w:val="007D0E31"/>
    <w:rsid w:val="007D0E8D"/>
    <w:rsid w:val="007D1EE7"/>
    <w:rsid w:val="007D3D2F"/>
    <w:rsid w:val="007D73AA"/>
    <w:rsid w:val="007E0493"/>
    <w:rsid w:val="007E0EB1"/>
    <w:rsid w:val="007E3B7D"/>
    <w:rsid w:val="007E5FB8"/>
    <w:rsid w:val="007E7325"/>
    <w:rsid w:val="007E7674"/>
    <w:rsid w:val="007F0B5E"/>
    <w:rsid w:val="007F238D"/>
    <w:rsid w:val="007F53EB"/>
    <w:rsid w:val="007F7266"/>
    <w:rsid w:val="0080359E"/>
    <w:rsid w:val="008036A2"/>
    <w:rsid w:val="00803903"/>
    <w:rsid w:val="00804BE9"/>
    <w:rsid w:val="0080636B"/>
    <w:rsid w:val="008076E9"/>
    <w:rsid w:val="00807F16"/>
    <w:rsid w:val="00810832"/>
    <w:rsid w:val="00810E51"/>
    <w:rsid w:val="00812A20"/>
    <w:rsid w:val="00813423"/>
    <w:rsid w:val="00815F19"/>
    <w:rsid w:val="00816246"/>
    <w:rsid w:val="0082314F"/>
    <w:rsid w:val="008231A7"/>
    <w:rsid w:val="00823A51"/>
    <w:rsid w:val="0082475F"/>
    <w:rsid w:val="0082511C"/>
    <w:rsid w:val="00832032"/>
    <w:rsid w:val="008342B0"/>
    <w:rsid w:val="00835F9D"/>
    <w:rsid w:val="00836515"/>
    <w:rsid w:val="00837CD9"/>
    <w:rsid w:val="00840E51"/>
    <w:rsid w:val="00841A9B"/>
    <w:rsid w:val="00843091"/>
    <w:rsid w:val="008433A7"/>
    <w:rsid w:val="00851766"/>
    <w:rsid w:val="0085227A"/>
    <w:rsid w:val="008528B0"/>
    <w:rsid w:val="008532BB"/>
    <w:rsid w:val="00854AE3"/>
    <w:rsid w:val="00854E4F"/>
    <w:rsid w:val="008569F3"/>
    <w:rsid w:val="00856C8A"/>
    <w:rsid w:val="008609AE"/>
    <w:rsid w:val="00861357"/>
    <w:rsid w:val="00861B92"/>
    <w:rsid w:val="00861E78"/>
    <w:rsid w:val="008660DA"/>
    <w:rsid w:val="00872AFB"/>
    <w:rsid w:val="0087571A"/>
    <w:rsid w:val="008801F4"/>
    <w:rsid w:val="008809AA"/>
    <w:rsid w:val="00880FE0"/>
    <w:rsid w:val="008814FB"/>
    <w:rsid w:val="0088416D"/>
    <w:rsid w:val="00884392"/>
    <w:rsid w:val="008843D7"/>
    <w:rsid w:val="00890B1B"/>
    <w:rsid w:val="00894C9F"/>
    <w:rsid w:val="00895C24"/>
    <w:rsid w:val="008A08A2"/>
    <w:rsid w:val="008A0CE5"/>
    <w:rsid w:val="008A1C6A"/>
    <w:rsid w:val="008A6492"/>
    <w:rsid w:val="008A7F87"/>
    <w:rsid w:val="008B19DF"/>
    <w:rsid w:val="008B3C84"/>
    <w:rsid w:val="008B5091"/>
    <w:rsid w:val="008B793F"/>
    <w:rsid w:val="008B7E48"/>
    <w:rsid w:val="008C585C"/>
    <w:rsid w:val="008C5B58"/>
    <w:rsid w:val="008C5E9C"/>
    <w:rsid w:val="008C757D"/>
    <w:rsid w:val="008D1F91"/>
    <w:rsid w:val="008D40CD"/>
    <w:rsid w:val="008D5C98"/>
    <w:rsid w:val="008E0B5A"/>
    <w:rsid w:val="008E1741"/>
    <w:rsid w:val="008E27BB"/>
    <w:rsid w:val="008E46B8"/>
    <w:rsid w:val="008F19F0"/>
    <w:rsid w:val="008F1D5A"/>
    <w:rsid w:val="008F2F94"/>
    <w:rsid w:val="008F4CA8"/>
    <w:rsid w:val="008F5E30"/>
    <w:rsid w:val="009000EF"/>
    <w:rsid w:val="00901998"/>
    <w:rsid w:val="00901F9C"/>
    <w:rsid w:val="009044E1"/>
    <w:rsid w:val="00905479"/>
    <w:rsid w:val="00912426"/>
    <w:rsid w:val="009132A7"/>
    <w:rsid w:val="00914D7F"/>
    <w:rsid w:val="00915AE6"/>
    <w:rsid w:val="009170E3"/>
    <w:rsid w:val="009215F2"/>
    <w:rsid w:val="00923D20"/>
    <w:rsid w:val="009255B8"/>
    <w:rsid w:val="009322F0"/>
    <w:rsid w:val="00932D54"/>
    <w:rsid w:val="00933BA4"/>
    <w:rsid w:val="00934246"/>
    <w:rsid w:val="009447C5"/>
    <w:rsid w:val="00944BD2"/>
    <w:rsid w:val="009460D8"/>
    <w:rsid w:val="0094728C"/>
    <w:rsid w:val="00950EE2"/>
    <w:rsid w:val="00951620"/>
    <w:rsid w:val="00952177"/>
    <w:rsid w:val="00954608"/>
    <w:rsid w:val="009548E5"/>
    <w:rsid w:val="009605DF"/>
    <w:rsid w:val="00961079"/>
    <w:rsid w:val="0096171A"/>
    <w:rsid w:val="00962098"/>
    <w:rsid w:val="009623B5"/>
    <w:rsid w:val="009648D8"/>
    <w:rsid w:val="00964DF6"/>
    <w:rsid w:val="00965244"/>
    <w:rsid w:val="00965AEE"/>
    <w:rsid w:val="00967AE0"/>
    <w:rsid w:val="00971385"/>
    <w:rsid w:val="009719BA"/>
    <w:rsid w:val="00972056"/>
    <w:rsid w:val="00972BD3"/>
    <w:rsid w:val="009732C9"/>
    <w:rsid w:val="009733BD"/>
    <w:rsid w:val="00974B04"/>
    <w:rsid w:val="00975299"/>
    <w:rsid w:val="00980E31"/>
    <w:rsid w:val="009836BF"/>
    <w:rsid w:val="00983DAF"/>
    <w:rsid w:val="0098723D"/>
    <w:rsid w:val="0099215A"/>
    <w:rsid w:val="00993860"/>
    <w:rsid w:val="00994311"/>
    <w:rsid w:val="00994A98"/>
    <w:rsid w:val="0099728D"/>
    <w:rsid w:val="00997792"/>
    <w:rsid w:val="009A070B"/>
    <w:rsid w:val="009A2431"/>
    <w:rsid w:val="009A4335"/>
    <w:rsid w:val="009B06BC"/>
    <w:rsid w:val="009B0F82"/>
    <w:rsid w:val="009B6547"/>
    <w:rsid w:val="009B7B99"/>
    <w:rsid w:val="009C033C"/>
    <w:rsid w:val="009C1A75"/>
    <w:rsid w:val="009C3B38"/>
    <w:rsid w:val="009C5B79"/>
    <w:rsid w:val="009C60B5"/>
    <w:rsid w:val="009C6894"/>
    <w:rsid w:val="009C6B62"/>
    <w:rsid w:val="009C748C"/>
    <w:rsid w:val="009C7677"/>
    <w:rsid w:val="009C7F08"/>
    <w:rsid w:val="009D0C73"/>
    <w:rsid w:val="009E32C7"/>
    <w:rsid w:val="009E36E9"/>
    <w:rsid w:val="009E545F"/>
    <w:rsid w:val="009E6081"/>
    <w:rsid w:val="009E6439"/>
    <w:rsid w:val="009E680B"/>
    <w:rsid w:val="009F05BB"/>
    <w:rsid w:val="009F182F"/>
    <w:rsid w:val="009F1B51"/>
    <w:rsid w:val="009F5918"/>
    <w:rsid w:val="009F6413"/>
    <w:rsid w:val="00A00B99"/>
    <w:rsid w:val="00A02944"/>
    <w:rsid w:val="00A06127"/>
    <w:rsid w:val="00A07B88"/>
    <w:rsid w:val="00A11A9F"/>
    <w:rsid w:val="00A13329"/>
    <w:rsid w:val="00A15723"/>
    <w:rsid w:val="00A15A1F"/>
    <w:rsid w:val="00A16521"/>
    <w:rsid w:val="00A24239"/>
    <w:rsid w:val="00A246B1"/>
    <w:rsid w:val="00A25095"/>
    <w:rsid w:val="00A25AF1"/>
    <w:rsid w:val="00A26BF5"/>
    <w:rsid w:val="00A27309"/>
    <w:rsid w:val="00A3281B"/>
    <w:rsid w:val="00A32D00"/>
    <w:rsid w:val="00A331A8"/>
    <w:rsid w:val="00A3325A"/>
    <w:rsid w:val="00A35647"/>
    <w:rsid w:val="00A35AE1"/>
    <w:rsid w:val="00A36CF4"/>
    <w:rsid w:val="00A410EC"/>
    <w:rsid w:val="00A43013"/>
    <w:rsid w:val="00A4326C"/>
    <w:rsid w:val="00A44AAB"/>
    <w:rsid w:val="00A44AB1"/>
    <w:rsid w:val="00A5044D"/>
    <w:rsid w:val="00A50587"/>
    <w:rsid w:val="00A51E8C"/>
    <w:rsid w:val="00A52D07"/>
    <w:rsid w:val="00A53BC2"/>
    <w:rsid w:val="00A5793D"/>
    <w:rsid w:val="00A67E60"/>
    <w:rsid w:val="00A702A9"/>
    <w:rsid w:val="00A70368"/>
    <w:rsid w:val="00A70B33"/>
    <w:rsid w:val="00A71AB8"/>
    <w:rsid w:val="00A71D8B"/>
    <w:rsid w:val="00A71E34"/>
    <w:rsid w:val="00A7373D"/>
    <w:rsid w:val="00A74CAA"/>
    <w:rsid w:val="00A76BF6"/>
    <w:rsid w:val="00A776EB"/>
    <w:rsid w:val="00A82634"/>
    <w:rsid w:val="00A8266B"/>
    <w:rsid w:val="00A82B4D"/>
    <w:rsid w:val="00A85EF2"/>
    <w:rsid w:val="00A919B2"/>
    <w:rsid w:val="00A92706"/>
    <w:rsid w:val="00A92D36"/>
    <w:rsid w:val="00A94453"/>
    <w:rsid w:val="00AA1F06"/>
    <w:rsid w:val="00AA31A4"/>
    <w:rsid w:val="00AA3C58"/>
    <w:rsid w:val="00AA4A17"/>
    <w:rsid w:val="00AA7E78"/>
    <w:rsid w:val="00AB03D5"/>
    <w:rsid w:val="00AB07B2"/>
    <w:rsid w:val="00AB0EFF"/>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D6763"/>
    <w:rsid w:val="00AE1EF2"/>
    <w:rsid w:val="00AE205D"/>
    <w:rsid w:val="00AE36D0"/>
    <w:rsid w:val="00AF108A"/>
    <w:rsid w:val="00AF1BE5"/>
    <w:rsid w:val="00AF1D21"/>
    <w:rsid w:val="00AF3D3A"/>
    <w:rsid w:val="00AF7399"/>
    <w:rsid w:val="00AF7B61"/>
    <w:rsid w:val="00AF7D51"/>
    <w:rsid w:val="00B014E3"/>
    <w:rsid w:val="00B025EB"/>
    <w:rsid w:val="00B02E55"/>
    <w:rsid w:val="00B031C3"/>
    <w:rsid w:val="00B036C1"/>
    <w:rsid w:val="00B03C58"/>
    <w:rsid w:val="00B03DBB"/>
    <w:rsid w:val="00B04A97"/>
    <w:rsid w:val="00B0537F"/>
    <w:rsid w:val="00B06BE9"/>
    <w:rsid w:val="00B100BD"/>
    <w:rsid w:val="00B10F2D"/>
    <w:rsid w:val="00B11FE3"/>
    <w:rsid w:val="00B12D6F"/>
    <w:rsid w:val="00B13653"/>
    <w:rsid w:val="00B14AA1"/>
    <w:rsid w:val="00B14DC6"/>
    <w:rsid w:val="00B14DF7"/>
    <w:rsid w:val="00B15318"/>
    <w:rsid w:val="00B15C5F"/>
    <w:rsid w:val="00B15DCA"/>
    <w:rsid w:val="00B172DE"/>
    <w:rsid w:val="00B17503"/>
    <w:rsid w:val="00B20BBE"/>
    <w:rsid w:val="00B213DC"/>
    <w:rsid w:val="00B21E2D"/>
    <w:rsid w:val="00B22CD4"/>
    <w:rsid w:val="00B2402A"/>
    <w:rsid w:val="00B24C34"/>
    <w:rsid w:val="00B25AB1"/>
    <w:rsid w:val="00B26D64"/>
    <w:rsid w:val="00B26DD5"/>
    <w:rsid w:val="00B271CF"/>
    <w:rsid w:val="00B30D34"/>
    <w:rsid w:val="00B313F8"/>
    <w:rsid w:val="00B32FA2"/>
    <w:rsid w:val="00B34582"/>
    <w:rsid w:val="00B375D3"/>
    <w:rsid w:val="00B377E9"/>
    <w:rsid w:val="00B4164C"/>
    <w:rsid w:val="00B41E1A"/>
    <w:rsid w:val="00B47301"/>
    <w:rsid w:val="00B50444"/>
    <w:rsid w:val="00B52163"/>
    <w:rsid w:val="00B5431F"/>
    <w:rsid w:val="00B55E63"/>
    <w:rsid w:val="00B56A8E"/>
    <w:rsid w:val="00B6217A"/>
    <w:rsid w:val="00B63082"/>
    <w:rsid w:val="00B63443"/>
    <w:rsid w:val="00B63993"/>
    <w:rsid w:val="00B6728A"/>
    <w:rsid w:val="00B67688"/>
    <w:rsid w:val="00B67CA1"/>
    <w:rsid w:val="00B736F4"/>
    <w:rsid w:val="00B742D9"/>
    <w:rsid w:val="00B750DF"/>
    <w:rsid w:val="00B75B42"/>
    <w:rsid w:val="00B75F8C"/>
    <w:rsid w:val="00B7644E"/>
    <w:rsid w:val="00B77255"/>
    <w:rsid w:val="00B807B9"/>
    <w:rsid w:val="00B80A69"/>
    <w:rsid w:val="00B818CD"/>
    <w:rsid w:val="00B850E4"/>
    <w:rsid w:val="00B9082E"/>
    <w:rsid w:val="00B91C46"/>
    <w:rsid w:val="00B92895"/>
    <w:rsid w:val="00B92DB8"/>
    <w:rsid w:val="00B93D48"/>
    <w:rsid w:val="00B94D73"/>
    <w:rsid w:val="00B95D9B"/>
    <w:rsid w:val="00B97D48"/>
    <w:rsid w:val="00BA1056"/>
    <w:rsid w:val="00BA1A91"/>
    <w:rsid w:val="00BA2251"/>
    <w:rsid w:val="00BA2ED7"/>
    <w:rsid w:val="00BA3243"/>
    <w:rsid w:val="00BA4546"/>
    <w:rsid w:val="00BB0042"/>
    <w:rsid w:val="00BB127A"/>
    <w:rsid w:val="00BB18D3"/>
    <w:rsid w:val="00BB30A5"/>
    <w:rsid w:val="00BB3A5A"/>
    <w:rsid w:val="00BB62D5"/>
    <w:rsid w:val="00BB7EFD"/>
    <w:rsid w:val="00BC0BE5"/>
    <w:rsid w:val="00BC153A"/>
    <w:rsid w:val="00BC186C"/>
    <w:rsid w:val="00BC1EC3"/>
    <w:rsid w:val="00BC4028"/>
    <w:rsid w:val="00BC6B28"/>
    <w:rsid w:val="00BC705F"/>
    <w:rsid w:val="00BC7E62"/>
    <w:rsid w:val="00BD0CAA"/>
    <w:rsid w:val="00BD2E05"/>
    <w:rsid w:val="00BD5661"/>
    <w:rsid w:val="00BD599B"/>
    <w:rsid w:val="00BD5DED"/>
    <w:rsid w:val="00BD63F3"/>
    <w:rsid w:val="00BE1229"/>
    <w:rsid w:val="00BE1EA5"/>
    <w:rsid w:val="00BE22D9"/>
    <w:rsid w:val="00BE4A0B"/>
    <w:rsid w:val="00BE596F"/>
    <w:rsid w:val="00BF1534"/>
    <w:rsid w:val="00BF1564"/>
    <w:rsid w:val="00BF1BF5"/>
    <w:rsid w:val="00BF1C2F"/>
    <w:rsid w:val="00BF36A0"/>
    <w:rsid w:val="00BF3D81"/>
    <w:rsid w:val="00BF5BF6"/>
    <w:rsid w:val="00BF6A2F"/>
    <w:rsid w:val="00BF7FE0"/>
    <w:rsid w:val="00C000B9"/>
    <w:rsid w:val="00C0033F"/>
    <w:rsid w:val="00C03400"/>
    <w:rsid w:val="00C04380"/>
    <w:rsid w:val="00C04B6F"/>
    <w:rsid w:val="00C04C54"/>
    <w:rsid w:val="00C10894"/>
    <w:rsid w:val="00C12C16"/>
    <w:rsid w:val="00C1346F"/>
    <w:rsid w:val="00C13F45"/>
    <w:rsid w:val="00C14350"/>
    <w:rsid w:val="00C14A9D"/>
    <w:rsid w:val="00C14F15"/>
    <w:rsid w:val="00C16471"/>
    <w:rsid w:val="00C164DF"/>
    <w:rsid w:val="00C16AD0"/>
    <w:rsid w:val="00C20BC6"/>
    <w:rsid w:val="00C21AFC"/>
    <w:rsid w:val="00C21C9B"/>
    <w:rsid w:val="00C22C9A"/>
    <w:rsid w:val="00C242A1"/>
    <w:rsid w:val="00C249B9"/>
    <w:rsid w:val="00C266CC"/>
    <w:rsid w:val="00C27B35"/>
    <w:rsid w:val="00C30015"/>
    <w:rsid w:val="00C31B0A"/>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B88"/>
    <w:rsid w:val="00C67DD8"/>
    <w:rsid w:val="00C70B5E"/>
    <w:rsid w:val="00C722CC"/>
    <w:rsid w:val="00C72429"/>
    <w:rsid w:val="00C75740"/>
    <w:rsid w:val="00C7721D"/>
    <w:rsid w:val="00C81104"/>
    <w:rsid w:val="00C82D91"/>
    <w:rsid w:val="00C84125"/>
    <w:rsid w:val="00C843C9"/>
    <w:rsid w:val="00C84ACF"/>
    <w:rsid w:val="00C86044"/>
    <w:rsid w:val="00C87D66"/>
    <w:rsid w:val="00C906C1"/>
    <w:rsid w:val="00C90DD9"/>
    <w:rsid w:val="00C931AB"/>
    <w:rsid w:val="00C943A9"/>
    <w:rsid w:val="00C94D35"/>
    <w:rsid w:val="00C9536F"/>
    <w:rsid w:val="00C96411"/>
    <w:rsid w:val="00C97841"/>
    <w:rsid w:val="00C97F0A"/>
    <w:rsid w:val="00CA1918"/>
    <w:rsid w:val="00CA1D9B"/>
    <w:rsid w:val="00CA20EB"/>
    <w:rsid w:val="00CA3836"/>
    <w:rsid w:val="00CA3E4A"/>
    <w:rsid w:val="00CB0497"/>
    <w:rsid w:val="00CB0E35"/>
    <w:rsid w:val="00CB1435"/>
    <w:rsid w:val="00CB3858"/>
    <w:rsid w:val="00CB3B42"/>
    <w:rsid w:val="00CB42F9"/>
    <w:rsid w:val="00CB5671"/>
    <w:rsid w:val="00CB60B6"/>
    <w:rsid w:val="00CB7D61"/>
    <w:rsid w:val="00CC0123"/>
    <w:rsid w:val="00CC1DDA"/>
    <w:rsid w:val="00CC3ACC"/>
    <w:rsid w:val="00CC3F1D"/>
    <w:rsid w:val="00CC3FD6"/>
    <w:rsid w:val="00CC43B4"/>
    <w:rsid w:val="00CC578A"/>
    <w:rsid w:val="00CC69BD"/>
    <w:rsid w:val="00CC6D55"/>
    <w:rsid w:val="00CD2896"/>
    <w:rsid w:val="00CD39B6"/>
    <w:rsid w:val="00CD6C61"/>
    <w:rsid w:val="00CD77E9"/>
    <w:rsid w:val="00CE08A1"/>
    <w:rsid w:val="00CE1CFF"/>
    <w:rsid w:val="00CE2EE9"/>
    <w:rsid w:val="00CE381B"/>
    <w:rsid w:val="00CE3DF3"/>
    <w:rsid w:val="00CE682F"/>
    <w:rsid w:val="00CE6CCE"/>
    <w:rsid w:val="00CE6FC2"/>
    <w:rsid w:val="00CF1191"/>
    <w:rsid w:val="00CF58B7"/>
    <w:rsid w:val="00CF771B"/>
    <w:rsid w:val="00CF7F7A"/>
    <w:rsid w:val="00D01580"/>
    <w:rsid w:val="00D0460E"/>
    <w:rsid w:val="00D05B58"/>
    <w:rsid w:val="00D0663C"/>
    <w:rsid w:val="00D10B71"/>
    <w:rsid w:val="00D11B8A"/>
    <w:rsid w:val="00D12317"/>
    <w:rsid w:val="00D13423"/>
    <w:rsid w:val="00D13D7B"/>
    <w:rsid w:val="00D13DE1"/>
    <w:rsid w:val="00D14044"/>
    <w:rsid w:val="00D14C01"/>
    <w:rsid w:val="00D14D16"/>
    <w:rsid w:val="00D153BF"/>
    <w:rsid w:val="00D1712F"/>
    <w:rsid w:val="00D20EB1"/>
    <w:rsid w:val="00D21CB2"/>
    <w:rsid w:val="00D2292A"/>
    <w:rsid w:val="00D2468C"/>
    <w:rsid w:val="00D2615B"/>
    <w:rsid w:val="00D26ACF"/>
    <w:rsid w:val="00D27A84"/>
    <w:rsid w:val="00D27D6D"/>
    <w:rsid w:val="00D30D6E"/>
    <w:rsid w:val="00D31B4B"/>
    <w:rsid w:val="00D31EEC"/>
    <w:rsid w:val="00D3366E"/>
    <w:rsid w:val="00D33C60"/>
    <w:rsid w:val="00D33D31"/>
    <w:rsid w:val="00D34A24"/>
    <w:rsid w:val="00D3510B"/>
    <w:rsid w:val="00D351C1"/>
    <w:rsid w:val="00D356FF"/>
    <w:rsid w:val="00D35EFB"/>
    <w:rsid w:val="00D35F14"/>
    <w:rsid w:val="00D37222"/>
    <w:rsid w:val="00D37E8D"/>
    <w:rsid w:val="00D40D4C"/>
    <w:rsid w:val="00D422F8"/>
    <w:rsid w:val="00D428B7"/>
    <w:rsid w:val="00D45DD4"/>
    <w:rsid w:val="00D45EDD"/>
    <w:rsid w:val="00D46394"/>
    <w:rsid w:val="00D465A2"/>
    <w:rsid w:val="00D504B3"/>
    <w:rsid w:val="00D51155"/>
    <w:rsid w:val="00D543CB"/>
    <w:rsid w:val="00D56A65"/>
    <w:rsid w:val="00D56C48"/>
    <w:rsid w:val="00D613AC"/>
    <w:rsid w:val="00D62B86"/>
    <w:rsid w:val="00D62C1C"/>
    <w:rsid w:val="00D650DF"/>
    <w:rsid w:val="00D653FA"/>
    <w:rsid w:val="00D679B3"/>
    <w:rsid w:val="00D70033"/>
    <w:rsid w:val="00D72ECA"/>
    <w:rsid w:val="00D73090"/>
    <w:rsid w:val="00D732FC"/>
    <w:rsid w:val="00D73676"/>
    <w:rsid w:val="00D746FE"/>
    <w:rsid w:val="00D7564C"/>
    <w:rsid w:val="00D8277C"/>
    <w:rsid w:val="00D82982"/>
    <w:rsid w:val="00D84873"/>
    <w:rsid w:val="00D858AE"/>
    <w:rsid w:val="00D86A6D"/>
    <w:rsid w:val="00D86BF0"/>
    <w:rsid w:val="00D87EDC"/>
    <w:rsid w:val="00D927F6"/>
    <w:rsid w:val="00D93469"/>
    <w:rsid w:val="00D93623"/>
    <w:rsid w:val="00D93B85"/>
    <w:rsid w:val="00D94433"/>
    <w:rsid w:val="00D97EA1"/>
    <w:rsid w:val="00DA0765"/>
    <w:rsid w:val="00DA0BCC"/>
    <w:rsid w:val="00DA12C2"/>
    <w:rsid w:val="00DA13AC"/>
    <w:rsid w:val="00DA1A98"/>
    <w:rsid w:val="00DA46AF"/>
    <w:rsid w:val="00DA66EA"/>
    <w:rsid w:val="00DA67D8"/>
    <w:rsid w:val="00DA6E38"/>
    <w:rsid w:val="00DA7D74"/>
    <w:rsid w:val="00DB0C68"/>
    <w:rsid w:val="00DB1FFE"/>
    <w:rsid w:val="00DB31C3"/>
    <w:rsid w:val="00DC45B4"/>
    <w:rsid w:val="00DC51BB"/>
    <w:rsid w:val="00DC64E5"/>
    <w:rsid w:val="00DD1E97"/>
    <w:rsid w:val="00DD2A8E"/>
    <w:rsid w:val="00DD3C48"/>
    <w:rsid w:val="00DD7AFC"/>
    <w:rsid w:val="00DE1EEC"/>
    <w:rsid w:val="00DE22F7"/>
    <w:rsid w:val="00DE2E6B"/>
    <w:rsid w:val="00DE3C33"/>
    <w:rsid w:val="00DE41F0"/>
    <w:rsid w:val="00DE50A9"/>
    <w:rsid w:val="00DE59B5"/>
    <w:rsid w:val="00DF0130"/>
    <w:rsid w:val="00DF198B"/>
    <w:rsid w:val="00DF1C24"/>
    <w:rsid w:val="00DF46C0"/>
    <w:rsid w:val="00DF48C6"/>
    <w:rsid w:val="00DF5C59"/>
    <w:rsid w:val="00DF6EDF"/>
    <w:rsid w:val="00E027F5"/>
    <w:rsid w:val="00E0450A"/>
    <w:rsid w:val="00E069B5"/>
    <w:rsid w:val="00E07998"/>
    <w:rsid w:val="00E07F42"/>
    <w:rsid w:val="00E10D44"/>
    <w:rsid w:val="00E1272E"/>
    <w:rsid w:val="00E13AF5"/>
    <w:rsid w:val="00E13B44"/>
    <w:rsid w:val="00E21229"/>
    <w:rsid w:val="00E21AA7"/>
    <w:rsid w:val="00E222D4"/>
    <w:rsid w:val="00E2475D"/>
    <w:rsid w:val="00E25C2E"/>
    <w:rsid w:val="00E30F37"/>
    <w:rsid w:val="00E31A81"/>
    <w:rsid w:val="00E3419E"/>
    <w:rsid w:val="00E36ACC"/>
    <w:rsid w:val="00E37AAC"/>
    <w:rsid w:val="00E40FDC"/>
    <w:rsid w:val="00E4189A"/>
    <w:rsid w:val="00E41AFF"/>
    <w:rsid w:val="00E42A4F"/>
    <w:rsid w:val="00E44019"/>
    <w:rsid w:val="00E444D5"/>
    <w:rsid w:val="00E46F4F"/>
    <w:rsid w:val="00E5053F"/>
    <w:rsid w:val="00E505D8"/>
    <w:rsid w:val="00E50893"/>
    <w:rsid w:val="00E51920"/>
    <w:rsid w:val="00E523F8"/>
    <w:rsid w:val="00E52DE1"/>
    <w:rsid w:val="00E5308E"/>
    <w:rsid w:val="00E53131"/>
    <w:rsid w:val="00E532AE"/>
    <w:rsid w:val="00E55889"/>
    <w:rsid w:val="00E566C7"/>
    <w:rsid w:val="00E64120"/>
    <w:rsid w:val="00E660A1"/>
    <w:rsid w:val="00E66195"/>
    <w:rsid w:val="00E67A93"/>
    <w:rsid w:val="00E70E9A"/>
    <w:rsid w:val="00E724EC"/>
    <w:rsid w:val="00E74A2F"/>
    <w:rsid w:val="00E8158D"/>
    <w:rsid w:val="00E818D7"/>
    <w:rsid w:val="00E843F8"/>
    <w:rsid w:val="00E84EE4"/>
    <w:rsid w:val="00E86240"/>
    <w:rsid w:val="00E86E74"/>
    <w:rsid w:val="00E879E0"/>
    <w:rsid w:val="00E90451"/>
    <w:rsid w:val="00E931F3"/>
    <w:rsid w:val="00E94CA0"/>
    <w:rsid w:val="00E96631"/>
    <w:rsid w:val="00E97263"/>
    <w:rsid w:val="00E972D1"/>
    <w:rsid w:val="00EA07AF"/>
    <w:rsid w:val="00EA1B2B"/>
    <w:rsid w:val="00EA2178"/>
    <w:rsid w:val="00EA3908"/>
    <w:rsid w:val="00EA3CCF"/>
    <w:rsid w:val="00EA4531"/>
    <w:rsid w:val="00EA4B3A"/>
    <w:rsid w:val="00EA5934"/>
    <w:rsid w:val="00EA59F9"/>
    <w:rsid w:val="00EA5BD0"/>
    <w:rsid w:val="00EA6C0D"/>
    <w:rsid w:val="00EA7617"/>
    <w:rsid w:val="00EB0B04"/>
    <w:rsid w:val="00EB17A4"/>
    <w:rsid w:val="00EB32A0"/>
    <w:rsid w:val="00EB4DCF"/>
    <w:rsid w:val="00EB653E"/>
    <w:rsid w:val="00EB7CAE"/>
    <w:rsid w:val="00EC3654"/>
    <w:rsid w:val="00EC399D"/>
    <w:rsid w:val="00EC39DD"/>
    <w:rsid w:val="00EC53A7"/>
    <w:rsid w:val="00ED0FE0"/>
    <w:rsid w:val="00ED2696"/>
    <w:rsid w:val="00ED2B09"/>
    <w:rsid w:val="00ED5348"/>
    <w:rsid w:val="00ED774C"/>
    <w:rsid w:val="00EE0B0F"/>
    <w:rsid w:val="00EE296E"/>
    <w:rsid w:val="00EE44E4"/>
    <w:rsid w:val="00EE6ED2"/>
    <w:rsid w:val="00EE719C"/>
    <w:rsid w:val="00EF0088"/>
    <w:rsid w:val="00EF1567"/>
    <w:rsid w:val="00EF1597"/>
    <w:rsid w:val="00EF22E6"/>
    <w:rsid w:val="00EF24E5"/>
    <w:rsid w:val="00EF3412"/>
    <w:rsid w:val="00EF4B90"/>
    <w:rsid w:val="00EF5126"/>
    <w:rsid w:val="00F009F4"/>
    <w:rsid w:val="00F00FFB"/>
    <w:rsid w:val="00F01D57"/>
    <w:rsid w:val="00F055F1"/>
    <w:rsid w:val="00F06675"/>
    <w:rsid w:val="00F06C17"/>
    <w:rsid w:val="00F100D1"/>
    <w:rsid w:val="00F11B13"/>
    <w:rsid w:val="00F11C4D"/>
    <w:rsid w:val="00F21331"/>
    <w:rsid w:val="00F228BD"/>
    <w:rsid w:val="00F22A09"/>
    <w:rsid w:val="00F2374A"/>
    <w:rsid w:val="00F23999"/>
    <w:rsid w:val="00F2753D"/>
    <w:rsid w:val="00F372E0"/>
    <w:rsid w:val="00F401F8"/>
    <w:rsid w:val="00F40ADD"/>
    <w:rsid w:val="00F465E3"/>
    <w:rsid w:val="00F46ABC"/>
    <w:rsid w:val="00F46CB9"/>
    <w:rsid w:val="00F4791E"/>
    <w:rsid w:val="00F5029A"/>
    <w:rsid w:val="00F50BAC"/>
    <w:rsid w:val="00F5204C"/>
    <w:rsid w:val="00F52B02"/>
    <w:rsid w:val="00F54523"/>
    <w:rsid w:val="00F55005"/>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2FE9"/>
    <w:rsid w:val="00F8310C"/>
    <w:rsid w:val="00F843E3"/>
    <w:rsid w:val="00F85BC1"/>
    <w:rsid w:val="00F8734C"/>
    <w:rsid w:val="00F90088"/>
    <w:rsid w:val="00F900F4"/>
    <w:rsid w:val="00F90BB4"/>
    <w:rsid w:val="00F935C2"/>
    <w:rsid w:val="00F93E37"/>
    <w:rsid w:val="00F94A3D"/>
    <w:rsid w:val="00F950D2"/>
    <w:rsid w:val="00F95115"/>
    <w:rsid w:val="00F95B30"/>
    <w:rsid w:val="00F96615"/>
    <w:rsid w:val="00F96E99"/>
    <w:rsid w:val="00FA2066"/>
    <w:rsid w:val="00FA2C5A"/>
    <w:rsid w:val="00FA3587"/>
    <w:rsid w:val="00FA4BEB"/>
    <w:rsid w:val="00FA7E31"/>
    <w:rsid w:val="00FB01BE"/>
    <w:rsid w:val="00FB363A"/>
    <w:rsid w:val="00FB3F63"/>
    <w:rsid w:val="00FC00BD"/>
    <w:rsid w:val="00FC1887"/>
    <w:rsid w:val="00FC2AA6"/>
    <w:rsid w:val="00FC2D11"/>
    <w:rsid w:val="00FC6087"/>
    <w:rsid w:val="00FC6230"/>
    <w:rsid w:val="00FC678E"/>
    <w:rsid w:val="00FD0B3E"/>
    <w:rsid w:val="00FD0BF8"/>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350F"/>
    <w:rsid w:val="00FF61E7"/>
    <w:rsid w:val="00FF6AC8"/>
    <w:rsid w:val="00FF6C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qFormat/>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paragraph" w:customStyle="1" w:styleId="Tabletext">
    <w:name w:val="Table text"/>
    <w:basedOn w:val="Normal"/>
    <w:rsid w:val="00456D7C"/>
    <w:pPr>
      <w:spacing w:before="60" w:after="8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398" TargetMode="External"/><Relationship Id="rId13" Type="http://schemas.openxmlformats.org/officeDocument/2006/relationships/hyperlink" Target="https://www.kcuk.org.uk/wp-content/uploads/2023/02/KCUK_Report-2022_EMAIL-1.pdf" TargetMode="External"/><Relationship Id="rId18" Type="http://schemas.openxmlformats.org/officeDocument/2006/relationships/hyperlink" Target="https://www.england.nhs.uk/about/equality/equality-hub/patient-equalities-programme/equality-frameworks-and-information-standards/accessibleinf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ngland.nhs.uk/about/equality/equality-hub/patient-equalities-programme/equality-frameworks-and-information-standards/accessibleinfo/" TargetMode="External"/><Relationship Id="rId7" Type="http://schemas.openxmlformats.org/officeDocument/2006/relationships/hyperlink" Target="https://www.nice.org.uk/standards-and-indicators/timeline-developing-quality-standards" TargetMode="External"/><Relationship Id="rId12" Type="http://schemas.openxmlformats.org/officeDocument/2006/relationships/hyperlink" Target="https://www.clinicaloncologyonline.net/article/S0936-6555(24)00324-8/fulltext" TargetMode="External"/><Relationship Id="rId17" Type="http://schemas.openxmlformats.org/officeDocument/2006/relationships/hyperlink" Target="https://digital.nhs.uk/data-and-information/publications/statistical/cancer-survival-in-england/cancers-diagnosed-2016-to-2020-followed-up-to-20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ice.org.uk/guidance/qs55" TargetMode="External"/><Relationship Id="rId20" Type="http://schemas.openxmlformats.org/officeDocument/2006/relationships/hyperlink" Target="https://www.nice.org.uk/guidance/qs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researchuk.org/health-professional/cancer-statistics/statistics-by-cancer-type/kidney-cancer/incidence" TargetMode="External"/><Relationship Id="rId24" Type="http://schemas.openxmlformats.org/officeDocument/2006/relationships/hyperlink" Target="https://www.nice.org.uk/terms-and-conditions" TargetMode="External"/><Relationship Id="rId5" Type="http://schemas.openxmlformats.org/officeDocument/2006/relationships/footnotes" Target="footnotes.xml"/><Relationship Id="rId15" Type="http://schemas.openxmlformats.org/officeDocument/2006/relationships/hyperlink" Target="https://pubmed.ncbi.nlm.nih.gov/12018928/" TargetMode="External"/><Relationship Id="rId23" Type="http://schemas.openxmlformats.org/officeDocument/2006/relationships/hyperlink" Target="https://www.nice.org.uk/guidance/indevelopment/gid-qs10186/documents" TargetMode="External"/><Relationship Id="rId10" Type="http://schemas.openxmlformats.org/officeDocument/2006/relationships/hyperlink" Target="https://bmjopen.bmj.com/content/9/10/e029143" TargetMode="External"/><Relationship Id="rId19" Type="http://schemas.openxmlformats.org/officeDocument/2006/relationships/hyperlink" Target="https://www.england.nhs.uk/learning-disabilities/improving-health/reasonable-adjustments/" TargetMode="External"/><Relationship Id="rId4" Type="http://schemas.openxmlformats.org/officeDocument/2006/relationships/webSettings" Target="webSettings.xml"/><Relationship Id="rId9" Type="http://schemas.openxmlformats.org/officeDocument/2006/relationships/hyperlink" Target="https://www.kcl.ac.uk/ioppn/assets/fans-dept/leder-main-report-hyperlinked.pdf" TargetMode="External"/><Relationship Id="rId14" Type="http://schemas.openxmlformats.org/officeDocument/2006/relationships/hyperlink" Target="https://bjui-journals.onlinelibrary.wiley.com/doi/full/10.1111/bju.15982" TargetMode="External"/><Relationship Id="rId22" Type="http://schemas.openxmlformats.org/officeDocument/2006/relationships/hyperlink" Target="https://www.nice.org.uk/guidance/q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5485</Words>
  <Characters>30940</Characters>
  <Application>Microsoft Office Word</Application>
  <DocSecurity>0</DocSecurity>
  <Lines>595</Lines>
  <Paragraphs>202</Paragraphs>
  <ScaleCrop>false</ScaleCrop>
  <Company/>
  <LinksUpToDate>false</LinksUpToDate>
  <CharactersWithSpaces>36223</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2026-03-18T08:34:00Z</dcterms:created>
  <dcterms:modified xsi:type="dcterms:W3CDTF">2026-03-18T08:35:00Z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2026-03-18T08:35:34Z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5aa9c7d5-db9c-4066-9a13-d5ad63677b8d</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ies>
</file>