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6A182" w14:textId="77777777" w:rsidR="00587925" w:rsidRDefault="00C879E6" w:rsidP="00587925">
      <w:pPr>
        <w:pStyle w:val="Title"/>
      </w:pPr>
      <w:r>
        <w:t>NATIONAL INSTITUTE FOR HEALTH AND C</w:t>
      </w:r>
      <w:r w:rsidR="00671BA1">
        <w:t>ARE</w:t>
      </w:r>
      <w:r>
        <w:t xml:space="preserve"> EXCELLENCE</w:t>
      </w:r>
    </w:p>
    <w:p w14:paraId="39EEB452" w14:textId="77777777" w:rsidR="00C341B7" w:rsidRDefault="00C341B7" w:rsidP="00C341B7">
      <w:pPr>
        <w:pStyle w:val="Title"/>
      </w:pPr>
      <w:r>
        <w:t>HEALTH TECHNOLOGY APPRAISAL PROGRAMME</w:t>
      </w:r>
    </w:p>
    <w:p w14:paraId="158888D9" w14:textId="77777777" w:rsidR="00587925" w:rsidRDefault="00587925" w:rsidP="00587925">
      <w:pPr>
        <w:pStyle w:val="Title"/>
      </w:pPr>
      <w:r>
        <w:t xml:space="preserve">Equality impact assessment – Guidance </w:t>
      </w:r>
      <w:r w:rsidR="0006094B">
        <w:t>d</w:t>
      </w:r>
      <w:r>
        <w:t>evelopment</w:t>
      </w:r>
    </w:p>
    <w:p w14:paraId="31F6B30B" w14:textId="64AD9665" w:rsidR="00587925" w:rsidRDefault="00587925" w:rsidP="00587925">
      <w:pPr>
        <w:pStyle w:val="Title"/>
      </w:pPr>
      <w:r>
        <w:t xml:space="preserve">STA </w:t>
      </w:r>
      <w:bookmarkStart w:id="0" w:name="_Hlk198126241"/>
      <w:r w:rsidR="001D643A" w:rsidRPr="001D643A">
        <w:t>Teplizumab for delaying the onset of stage 3 type 1 diabetes in people 8 years and over with stage 2 type 1 diabetes</w:t>
      </w:r>
    </w:p>
    <w:bookmarkEnd w:id="0"/>
    <w:p w14:paraId="603F680A" w14:textId="77777777" w:rsidR="00587925" w:rsidRDefault="005D5E17" w:rsidP="00C879E6">
      <w:pPr>
        <w:pStyle w:val="Paragraphnonumbers"/>
      </w:pPr>
      <w:r>
        <w:t xml:space="preserve">The </w:t>
      </w:r>
      <w:r w:rsidR="00587925">
        <w:t xml:space="preserve">impact on equality has been assessed during this appraisal according to the principles of the NICE </w:t>
      </w:r>
      <w:r w:rsidR="00D85018">
        <w:t>e</w:t>
      </w:r>
      <w:r w:rsidR="00587925">
        <w:t>quality scheme.</w:t>
      </w:r>
    </w:p>
    <w:p w14:paraId="7B872690" w14:textId="77777777" w:rsidR="00587925" w:rsidRDefault="00587925" w:rsidP="00C879E6">
      <w:pPr>
        <w:pStyle w:val="Heading1"/>
      </w:pPr>
      <w:r>
        <w:t>Consultation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9B6CB9" w:rsidRPr="009B6CB9" w14:paraId="379F4A98" w14:textId="77777777" w:rsidTr="002341D7">
        <w:tc>
          <w:tcPr>
            <w:tcW w:w="8414" w:type="dxa"/>
          </w:tcPr>
          <w:p w14:paraId="0ADF67D7" w14:textId="77777777" w:rsidR="009B6CB9" w:rsidRPr="009B6CB9" w:rsidRDefault="009B6CB9" w:rsidP="00B525C5">
            <w:pPr>
              <w:pStyle w:val="Paragraph"/>
              <w:numPr>
                <w:ilvl w:val="0"/>
                <w:numId w:val="21"/>
              </w:numPr>
              <w:ind w:left="709" w:hanging="709"/>
            </w:pPr>
            <w:r w:rsidRPr="009B6CB9">
              <w:t xml:space="preserve">Have the potential equality issues identified during the scoping process been addressed by the </w:t>
            </w:r>
            <w:r w:rsidR="00B525C5">
              <w:t>c</w:t>
            </w:r>
            <w:r w:rsidRPr="009B6CB9">
              <w:t>ommittee</w:t>
            </w:r>
            <w:r w:rsidR="005A1027">
              <w:t>, and, if so, how</w:t>
            </w:r>
            <w:r w:rsidRPr="009B6CB9">
              <w:t>?</w:t>
            </w:r>
          </w:p>
        </w:tc>
      </w:tr>
      <w:tr w:rsidR="009B6CB9" w:rsidRPr="009B6CB9" w14:paraId="3B045A5B" w14:textId="77777777" w:rsidTr="002341D7">
        <w:tc>
          <w:tcPr>
            <w:tcW w:w="8414" w:type="dxa"/>
          </w:tcPr>
          <w:p w14:paraId="2F922A55" w14:textId="67AACF99" w:rsidR="00406949" w:rsidRDefault="00E55F50" w:rsidP="00E55F50">
            <w:pPr>
              <w:pStyle w:val="Bulletindent1"/>
            </w:pPr>
            <w:r>
              <w:t xml:space="preserve">The following </w:t>
            </w:r>
            <w:r w:rsidR="00406949">
              <w:t xml:space="preserve">potential equality </w:t>
            </w:r>
            <w:r>
              <w:t xml:space="preserve">issues </w:t>
            </w:r>
            <w:r w:rsidR="00406949">
              <w:t>were identified at scoping stage:</w:t>
            </w:r>
          </w:p>
          <w:p w14:paraId="2D7AA687" w14:textId="7A448E77" w:rsidR="00406949" w:rsidRDefault="00406949" w:rsidP="00FC4F04">
            <w:pPr>
              <w:pStyle w:val="Bulletindent1"/>
              <w:numPr>
                <w:ilvl w:val="0"/>
                <w:numId w:val="23"/>
              </w:numPr>
              <w:tabs>
                <w:tab w:val="num" w:pos="1418"/>
              </w:tabs>
              <w:ind w:left="1418" w:hanging="284"/>
            </w:pPr>
            <w:r>
              <w:t xml:space="preserve">Stakeholders noted that teplizumab could be more cost effective in people younger than </w:t>
            </w:r>
            <w:proofErr w:type="gramStart"/>
            <w:r>
              <w:t>18, and</w:t>
            </w:r>
            <w:proofErr w:type="gramEnd"/>
            <w:r>
              <w:t xml:space="preserve"> suggested that subgroups based on age could be considered.</w:t>
            </w:r>
          </w:p>
          <w:p w14:paraId="171E3455" w14:textId="77777777" w:rsidR="00FC4F04" w:rsidRPr="00CB4B11" w:rsidRDefault="00FC4F04" w:rsidP="00FC4F04">
            <w:pPr>
              <w:pStyle w:val="Bulletindent1"/>
              <w:numPr>
                <w:ilvl w:val="0"/>
                <w:numId w:val="23"/>
              </w:numPr>
              <w:tabs>
                <w:tab w:val="num" w:pos="1418"/>
              </w:tabs>
              <w:ind w:left="1418" w:hanging="284"/>
            </w:pPr>
            <w:r w:rsidRPr="00CB4B11">
              <w:t>Some people may find engaging with insulin therapy difficult (</w:t>
            </w:r>
            <w:r>
              <w:t>including</w:t>
            </w:r>
            <w:r w:rsidRPr="00CB4B11">
              <w:t xml:space="preserve"> people who are neurodivergent or </w:t>
            </w:r>
            <w:r>
              <w:t>have</w:t>
            </w:r>
            <w:r w:rsidRPr="00CB4B11">
              <w:t xml:space="preserve"> learning difficulties)</w:t>
            </w:r>
            <w:r>
              <w:t>, so</w:t>
            </w:r>
            <w:r w:rsidRPr="00CB4B11">
              <w:t xml:space="preserve"> delaying progression may be particularly beneficial in these groups.</w:t>
            </w:r>
          </w:p>
          <w:p w14:paraId="7CCA69A2" w14:textId="77777777" w:rsidR="00FC4F04" w:rsidRPr="00CB4B11" w:rsidRDefault="00FC4F04" w:rsidP="00FC4F04">
            <w:pPr>
              <w:pStyle w:val="Bulletindent1"/>
              <w:numPr>
                <w:ilvl w:val="0"/>
                <w:numId w:val="23"/>
              </w:numPr>
              <w:tabs>
                <w:tab w:val="num" w:pos="1418"/>
              </w:tabs>
              <w:ind w:left="1418" w:hanging="284"/>
            </w:pPr>
            <w:r w:rsidRPr="00CB4B11">
              <w:t xml:space="preserve">People living in more deprived areas may benefit more from teplizumab </w:t>
            </w:r>
            <w:r>
              <w:t>because of</w:t>
            </w:r>
            <w:r w:rsidRPr="00CB4B11">
              <w:t xml:space="preserve"> having fewer opportunities for participation in structured diabetes education and specialist diabetes services.</w:t>
            </w:r>
          </w:p>
          <w:p w14:paraId="7C435400" w14:textId="77777777" w:rsidR="00FC4F04" w:rsidRPr="00CB4B11" w:rsidRDefault="00FC4F04" w:rsidP="00FC4F04">
            <w:pPr>
              <w:pStyle w:val="Bulletindent1"/>
              <w:numPr>
                <w:ilvl w:val="0"/>
                <w:numId w:val="23"/>
              </w:numPr>
              <w:tabs>
                <w:tab w:val="num" w:pos="1418"/>
              </w:tabs>
              <w:ind w:left="1418" w:hanging="284"/>
            </w:pPr>
            <w:r w:rsidRPr="00CB4B11">
              <w:t xml:space="preserve">There may be potential barriers to accessing teplizumab </w:t>
            </w:r>
            <w:r>
              <w:t>because of</w:t>
            </w:r>
            <w:r w:rsidRPr="00CB4B11">
              <w:t xml:space="preserve"> a lack of a national screening programme, particularly in areas with limited healthcare resources. Variation in access may introduce inequalities based on geography, education</w:t>
            </w:r>
            <w:r>
              <w:t xml:space="preserve"> or </w:t>
            </w:r>
            <w:r w:rsidRPr="00CB4B11">
              <w:t>knowledge of early-stage diabetes.</w:t>
            </w:r>
          </w:p>
          <w:p w14:paraId="58EE8CFA" w14:textId="793E675A" w:rsidR="00FC4F04" w:rsidRDefault="00FC4F04" w:rsidP="00FC4F04">
            <w:pPr>
              <w:pStyle w:val="Bulletindent1"/>
              <w:numPr>
                <w:ilvl w:val="0"/>
                <w:numId w:val="23"/>
              </w:numPr>
              <w:tabs>
                <w:tab w:val="num" w:pos="1418"/>
              </w:tabs>
              <w:ind w:left="1418" w:hanging="284"/>
            </w:pPr>
            <w:r w:rsidRPr="00CB4B11">
              <w:lastRenderedPageBreak/>
              <w:t>First</w:t>
            </w:r>
            <w:r>
              <w:t>-</w:t>
            </w:r>
            <w:r w:rsidRPr="00CB4B11">
              <w:t>degree relatives of people with T1D are more likely to have been screened for pancreatic islet autoantibodies.</w:t>
            </w:r>
            <w:r w:rsidR="008901F6">
              <w:br/>
            </w:r>
          </w:p>
          <w:p w14:paraId="74FD787D" w14:textId="5E97EC8D" w:rsidR="00A04BDE" w:rsidRDefault="00FC4F04" w:rsidP="00FC4F04">
            <w:pPr>
              <w:pStyle w:val="Bulletindent1last"/>
              <w:tabs>
                <w:tab w:val="num" w:pos="1418"/>
              </w:tabs>
            </w:pPr>
            <w:r w:rsidRPr="00CB4B11">
              <w:t>Age</w:t>
            </w:r>
            <w:r w:rsidR="008901F6">
              <w:t xml:space="preserve"> and</w:t>
            </w:r>
            <w:r w:rsidRPr="00CB4B11">
              <w:t xml:space="preserve"> disability are protected characteristics under the Equality Act 2010. But the committee noted that teplizumab was being considered within its full marketing authorisation and issues related to differences in prevalence or incidence of a </w:t>
            </w:r>
            <w:r>
              <w:t>condition</w:t>
            </w:r>
            <w:r w:rsidRPr="00CB4B11">
              <w:t>, or access to care, are not issues that can be addressed by a NICE technology appraisal recommendation</w:t>
            </w:r>
            <w:r>
              <w:t>.</w:t>
            </w:r>
            <w:r w:rsidR="00EB1350">
              <w:t xml:space="preserve"> </w:t>
            </w:r>
            <w:r w:rsidR="001859D5">
              <w:t xml:space="preserve">The committee was not able to </w:t>
            </w:r>
            <w:r w:rsidR="00DE3E3A">
              <w:t xml:space="preserve">make recommendations regarding a national screening programme. </w:t>
            </w:r>
            <w:r w:rsidR="00EB1350">
              <w:t xml:space="preserve">It </w:t>
            </w:r>
            <w:proofErr w:type="gramStart"/>
            <w:r w:rsidR="00EB1350">
              <w:t>took into account</w:t>
            </w:r>
            <w:proofErr w:type="gramEnd"/>
            <w:r w:rsidR="00EB1350">
              <w:t xml:space="preserve"> the potential </w:t>
            </w:r>
            <w:proofErr w:type="gramStart"/>
            <w:r w:rsidR="00EB1350">
              <w:t>particular benefits</w:t>
            </w:r>
            <w:proofErr w:type="gramEnd"/>
            <w:r w:rsidR="00EB1350">
              <w:t xml:space="preserve"> of teplizumab in some population groups in its decision making</w:t>
            </w:r>
          </w:p>
        </w:tc>
      </w:tr>
    </w:tbl>
    <w:p w14:paraId="310B3425" w14:textId="77777777" w:rsidR="00B6372C" w:rsidRPr="00C879E6" w:rsidRDefault="00B6372C" w:rsidP="00C879E6"/>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9B6CB9" w:rsidRPr="009B6CB9" w14:paraId="3C1721CF" w14:textId="77777777" w:rsidTr="002341D7">
        <w:tc>
          <w:tcPr>
            <w:tcW w:w="8414" w:type="dxa"/>
          </w:tcPr>
          <w:p w14:paraId="15DC362D" w14:textId="77777777" w:rsidR="009B6CB9" w:rsidRPr="009B6CB9" w:rsidRDefault="009B6CB9" w:rsidP="00B525C5">
            <w:pPr>
              <w:pStyle w:val="Paragraph"/>
            </w:pPr>
            <w:r w:rsidRPr="009B6CB9">
              <w:t xml:space="preserve">Have any other </w:t>
            </w:r>
            <w:r w:rsidR="00E412AD">
              <w:t xml:space="preserve">potential </w:t>
            </w:r>
            <w:r w:rsidRPr="009B6CB9">
              <w:t>equality issues been raised in the submissions, expert statements or academic report, and</w:t>
            </w:r>
            <w:r w:rsidR="00EA1EC9">
              <w:t>, if so,</w:t>
            </w:r>
            <w:r w:rsidRPr="009B6CB9">
              <w:t xml:space="preserve"> how has the </w:t>
            </w:r>
            <w:r w:rsidR="00B525C5">
              <w:t>c</w:t>
            </w:r>
            <w:r w:rsidRPr="009B6CB9">
              <w:t>ommittee addressed these?</w:t>
            </w:r>
          </w:p>
        </w:tc>
      </w:tr>
      <w:tr w:rsidR="009B6CB9" w:rsidRPr="009B6CB9" w14:paraId="5A0F064D" w14:textId="77777777" w:rsidTr="002341D7">
        <w:tc>
          <w:tcPr>
            <w:tcW w:w="8414" w:type="dxa"/>
          </w:tcPr>
          <w:p w14:paraId="114C7D21" w14:textId="77777777" w:rsidR="00A04BDE" w:rsidRDefault="00FC4F04" w:rsidP="002341D7">
            <w:pPr>
              <w:pStyle w:val="Paragraphnonumbers"/>
              <w:rPr>
                <w:rFonts w:cs="Arial"/>
              </w:rPr>
            </w:pPr>
            <w:r>
              <w:rPr>
                <w:rFonts w:cs="Arial"/>
              </w:rPr>
              <w:t>The following additional issues were identified during the appraisal:</w:t>
            </w:r>
          </w:p>
          <w:p w14:paraId="5C3F2BB6" w14:textId="77777777" w:rsidR="00FC4F04" w:rsidRDefault="00FC4F04" w:rsidP="008901F6">
            <w:pPr>
              <w:pStyle w:val="ListParagraph"/>
              <w:numPr>
                <w:ilvl w:val="0"/>
                <w:numId w:val="24"/>
              </w:numPr>
              <w:spacing w:line="276" w:lineRule="auto"/>
              <w:rPr>
                <w:rFonts w:ascii="Arial" w:hAnsi="Arial" w:cs="Arial"/>
              </w:rPr>
            </w:pPr>
            <w:r w:rsidRPr="00FC4F04">
              <w:rPr>
                <w:rFonts w:ascii="Arial" w:hAnsi="Arial" w:cs="Arial"/>
              </w:rPr>
              <w:t>The clinical effectiveness data is mainly based on White populations. But there are differences in continuous glucose monitoring and diabetes progression across ethnic groups that may influence the effectiveness of teplizumab.</w:t>
            </w:r>
          </w:p>
          <w:p w14:paraId="59380F2E" w14:textId="77777777" w:rsidR="008901F6" w:rsidRDefault="00406949" w:rsidP="008901F6">
            <w:pPr>
              <w:pStyle w:val="Bulletindent1"/>
              <w:numPr>
                <w:ilvl w:val="0"/>
                <w:numId w:val="24"/>
              </w:numPr>
              <w:spacing w:line="276" w:lineRule="auto"/>
            </w:pPr>
            <w:r>
              <w:t>Young people</w:t>
            </w:r>
            <w:r w:rsidRPr="00CB4B11">
              <w:t xml:space="preserve"> and young</w:t>
            </w:r>
            <w:r>
              <w:t>er</w:t>
            </w:r>
            <w:r w:rsidRPr="00CB4B11">
              <w:t xml:space="preserve"> adults are at higher risk of more severe </w:t>
            </w:r>
            <w:r>
              <w:t>T1D</w:t>
            </w:r>
            <w:r w:rsidRPr="00CB4B11" w:rsidDel="00AE00AB">
              <w:t xml:space="preserve"> </w:t>
            </w:r>
            <w:r w:rsidRPr="00CB4B11">
              <w:t xml:space="preserve">and premature death from T1D </w:t>
            </w:r>
            <w:r>
              <w:t>compared with</w:t>
            </w:r>
            <w:r w:rsidRPr="00CB4B11">
              <w:t xml:space="preserve"> the general population</w:t>
            </w:r>
            <w:r>
              <w:t>, so</w:t>
            </w:r>
            <w:r w:rsidRPr="00CB4B11">
              <w:t xml:space="preserve"> there may be additional benefit in this population.</w:t>
            </w:r>
          </w:p>
          <w:p w14:paraId="0131190B" w14:textId="77777777" w:rsidR="00FC4F04" w:rsidRPr="008901F6" w:rsidRDefault="00FC4F04" w:rsidP="008901F6">
            <w:pPr>
              <w:pStyle w:val="Bulletindent1"/>
              <w:numPr>
                <w:ilvl w:val="0"/>
                <w:numId w:val="24"/>
              </w:numPr>
              <w:spacing w:line="276" w:lineRule="auto"/>
            </w:pPr>
            <w:r w:rsidRPr="008901F6">
              <w:rPr>
                <w:rFonts w:cs="Arial"/>
              </w:rPr>
              <w:t>The 14-day infusion course of teplizumab could cause difficulties because of the cost of travel and accommodation</w:t>
            </w:r>
            <w:r w:rsidR="00406949" w:rsidRPr="008901F6">
              <w:rPr>
                <w:rFonts w:cs="Arial"/>
              </w:rPr>
              <w:t>.</w:t>
            </w:r>
          </w:p>
          <w:p w14:paraId="683EF61A" w14:textId="77777777" w:rsidR="008901F6" w:rsidRDefault="008901F6" w:rsidP="008901F6">
            <w:pPr>
              <w:pStyle w:val="Bulletindent1"/>
              <w:spacing w:line="276" w:lineRule="auto"/>
              <w:rPr>
                <w:rFonts w:cs="Arial"/>
              </w:rPr>
            </w:pPr>
          </w:p>
          <w:p w14:paraId="428DA1A9" w14:textId="2527C65F" w:rsidR="008901F6" w:rsidRDefault="008901F6" w:rsidP="008901F6">
            <w:pPr>
              <w:pStyle w:val="Bulletindent1"/>
              <w:spacing w:line="276" w:lineRule="auto"/>
              <w:rPr>
                <w:rFonts w:cs="Arial"/>
              </w:rPr>
            </w:pPr>
            <w:r>
              <w:t>Ethnicity and a</w:t>
            </w:r>
            <w:r w:rsidRPr="00CB4B11">
              <w:t>ge</w:t>
            </w:r>
            <w:r>
              <w:t xml:space="preserve"> </w:t>
            </w:r>
            <w:r w:rsidRPr="00CB4B11">
              <w:t xml:space="preserve">are protected characteristics under the Equality Act 2010. But the committee noted that teplizumab was being considered within its full marketing authorisation and issues related to differences in prevalence or incidence of a </w:t>
            </w:r>
            <w:r>
              <w:t>condition</w:t>
            </w:r>
            <w:r w:rsidRPr="00CB4B11">
              <w:t>, or access to care, are not issues that can be addressed by a NICE technology appraisal recommendation</w:t>
            </w:r>
            <w:r w:rsidR="00EB1350" w:rsidRPr="00CB4B11">
              <w:t>.</w:t>
            </w:r>
            <w:r w:rsidR="00EB1350">
              <w:t xml:space="preserve"> It took into account the potential particular benefits of teplizumab in some population groups in its decision making</w:t>
            </w:r>
          </w:p>
          <w:p w14:paraId="5E78C449" w14:textId="23679E7E" w:rsidR="008901F6" w:rsidRPr="008901F6" w:rsidRDefault="008901F6" w:rsidP="008901F6">
            <w:pPr>
              <w:pStyle w:val="Bulletindent1"/>
              <w:spacing w:line="276" w:lineRule="auto"/>
            </w:pPr>
          </w:p>
        </w:tc>
      </w:tr>
    </w:tbl>
    <w:p w14:paraId="0D719363" w14:textId="77777777" w:rsidR="00B6372C" w:rsidRPr="00C879E6" w:rsidRDefault="00B6372C" w:rsidP="00C879E6"/>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9B6CB9" w:rsidRPr="009B6CB9" w14:paraId="229D48E4" w14:textId="77777777" w:rsidTr="002341D7">
        <w:tc>
          <w:tcPr>
            <w:tcW w:w="8414" w:type="dxa"/>
          </w:tcPr>
          <w:p w14:paraId="59300784" w14:textId="77777777" w:rsidR="009B6CB9" w:rsidRPr="009B6CB9" w:rsidRDefault="009B6CB9" w:rsidP="00B525C5">
            <w:pPr>
              <w:pStyle w:val="Paragraph"/>
            </w:pPr>
            <w:r w:rsidRPr="009B6CB9">
              <w:lastRenderedPageBreak/>
              <w:t xml:space="preserve">Have any other </w:t>
            </w:r>
            <w:r w:rsidR="00E412AD">
              <w:t xml:space="preserve">potential </w:t>
            </w:r>
            <w:r w:rsidRPr="009B6CB9">
              <w:t xml:space="preserve">equality issues been identified by the </w:t>
            </w:r>
            <w:r w:rsidR="00B525C5">
              <w:t>c</w:t>
            </w:r>
            <w:r w:rsidRPr="009B6CB9">
              <w:t>ommittee, and</w:t>
            </w:r>
            <w:r w:rsidR="00EA1EC9">
              <w:t>, if so,</w:t>
            </w:r>
            <w:r w:rsidRPr="009B6CB9">
              <w:t xml:space="preserve"> how has the </w:t>
            </w:r>
            <w:r w:rsidR="00B525C5">
              <w:t>c</w:t>
            </w:r>
            <w:r w:rsidRPr="009B6CB9">
              <w:t>ommittee addressed these?</w:t>
            </w:r>
          </w:p>
        </w:tc>
      </w:tr>
      <w:tr w:rsidR="009B6CB9" w:rsidRPr="009B6CB9" w14:paraId="78E8B442" w14:textId="77777777" w:rsidTr="002341D7">
        <w:tc>
          <w:tcPr>
            <w:tcW w:w="8414" w:type="dxa"/>
          </w:tcPr>
          <w:p w14:paraId="070228ED" w14:textId="6D91881D" w:rsidR="00FC4F04" w:rsidRPr="00406949" w:rsidRDefault="00B94837" w:rsidP="002341D7">
            <w:pPr>
              <w:pStyle w:val="Paragraphnonumbers"/>
            </w:pPr>
            <w:r w:rsidRPr="00B94837">
              <w:t>The committee noted that caregiver responsibilities for T1D may disproportionately fall on women</w:t>
            </w:r>
            <w:r w:rsidR="00EB1350">
              <w:t xml:space="preserve"> </w:t>
            </w:r>
            <w:r w:rsidR="00EB1350" w:rsidRPr="00EB1350">
              <w:t>and that delaying the onset of T1D may mitigate this additional caregiver burden</w:t>
            </w:r>
            <w:r>
              <w:t>.</w:t>
            </w:r>
            <w:r w:rsidR="00EB1350">
              <w:t xml:space="preserve"> </w:t>
            </w:r>
            <w:r w:rsidR="00FC4F04">
              <w:rPr>
                <w:rFonts w:cs="Tahoma"/>
              </w:rPr>
              <w:t xml:space="preserve">Sex is a protected characteristic under the </w:t>
            </w:r>
            <w:r w:rsidR="00FC4F04" w:rsidRPr="00FC4F04">
              <w:rPr>
                <w:rFonts w:cs="Tahoma"/>
              </w:rPr>
              <w:t>Equality Act 2010</w:t>
            </w:r>
            <w:r w:rsidR="00FC4F04">
              <w:rPr>
                <w:rFonts w:cs="Tahoma"/>
              </w:rPr>
              <w:t>.</w:t>
            </w:r>
            <w:r w:rsidR="00AE6957">
              <w:rPr>
                <w:rFonts w:cs="Tahoma"/>
              </w:rPr>
              <w:t xml:space="preserve"> </w:t>
            </w:r>
            <w:r w:rsidR="00EB1350">
              <w:rPr>
                <w:rFonts w:cs="Tahoma"/>
              </w:rPr>
              <w:t>The committee</w:t>
            </w:r>
            <w:r w:rsidR="00EB1350" w:rsidRPr="00EB1350">
              <w:rPr>
                <w:rFonts w:cs="Tahoma"/>
              </w:rPr>
              <w:t xml:space="preserve"> took into account the potential particular benefits of teplizumab in some population groups in its decision making</w:t>
            </w:r>
            <w:r w:rsidR="00EB1350">
              <w:rPr>
                <w:rFonts w:cs="Tahoma"/>
              </w:rPr>
              <w:t>.</w:t>
            </w:r>
          </w:p>
        </w:tc>
      </w:tr>
    </w:tbl>
    <w:p w14:paraId="12582F9B" w14:textId="77777777" w:rsidR="00B6372C" w:rsidRPr="00C879E6" w:rsidRDefault="00B6372C" w:rsidP="00C879E6"/>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9B6CB9" w:rsidRPr="009B6CB9" w14:paraId="608C62B9" w14:textId="77777777" w:rsidTr="002341D7">
        <w:tc>
          <w:tcPr>
            <w:tcW w:w="8414" w:type="dxa"/>
          </w:tcPr>
          <w:p w14:paraId="5C2708E0" w14:textId="77777777" w:rsidR="009B6CB9" w:rsidRPr="009B6CB9" w:rsidRDefault="009B6CB9" w:rsidP="005A1027">
            <w:pPr>
              <w:pStyle w:val="Paragraph"/>
            </w:pPr>
            <w:r w:rsidRPr="009B6CB9">
              <w:t>Do the preliminary recommendations make it more difficult in practice for a specific group to access the technology compared with other groups? If so, what are the barriers to</w:t>
            </w:r>
            <w:r w:rsidR="000E679D">
              <w:t>, or difficulties with,</w:t>
            </w:r>
            <w:r w:rsidRPr="009B6CB9">
              <w:t xml:space="preserve"> access for the specific group?  </w:t>
            </w:r>
          </w:p>
        </w:tc>
      </w:tr>
      <w:tr w:rsidR="009B6CB9" w:rsidRPr="009B6CB9" w14:paraId="116A1D6E" w14:textId="77777777" w:rsidTr="002341D7">
        <w:tc>
          <w:tcPr>
            <w:tcW w:w="8414" w:type="dxa"/>
          </w:tcPr>
          <w:p w14:paraId="04B43BE3" w14:textId="79E39FD1" w:rsidR="00A04BDE" w:rsidRPr="002341D7" w:rsidRDefault="00FC4F04" w:rsidP="002341D7">
            <w:pPr>
              <w:pStyle w:val="Paragraphnonumbers"/>
              <w:rPr>
                <w:rFonts w:ascii="Tahoma" w:hAnsi="Tahoma" w:cs="Tahoma"/>
                <w:sz w:val="16"/>
                <w:szCs w:val="16"/>
              </w:rPr>
            </w:pPr>
            <w:r>
              <w:t>No, the draft recommendations do not recommend the technology.</w:t>
            </w:r>
          </w:p>
        </w:tc>
      </w:tr>
    </w:tbl>
    <w:p w14:paraId="2EF7ADA6" w14:textId="77777777" w:rsidR="00B6372C" w:rsidRDefault="00B6372C" w:rsidP="00C879E6"/>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0E679D" w:rsidRPr="009B6CB9" w14:paraId="5D737C8E" w14:textId="77777777" w:rsidTr="001F2FE7">
        <w:tc>
          <w:tcPr>
            <w:tcW w:w="8414" w:type="dxa"/>
          </w:tcPr>
          <w:p w14:paraId="6ECD84FB" w14:textId="77777777" w:rsidR="000E679D" w:rsidRPr="009B6CB9" w:rsidRDefault="000E679D" w:rsidP="001F2FE7">
            <w:pPr>
              <w:pStyle w:val="Paragraph"/>
            </w:pPr>
            <w:r>
              <w:t>Is there potential for the preliminary recommendations to have an adverse impact on people with disabilities because of something that is a consequence of the disability</w:t>
            </w:r>
            <w:r w:rsidRPr="009B6CB9">
              <w:t>?</w:t>
            </w:r>
          </w:p>
        </w:tc>
      </w:tr>
      <w:tr w:rsidR="00FC4F04" w:rsidRPr="009B6CB9" w14:paraId="2F50ACDF" w14:textId="77777777" w:rsidTr="001F2FE7">
        <w:tc>
          <w:tcPr>
            <w:tcW w:w="8414" w:type="dxa"/>
          </w:tcPr>
          <w:p w14:paraId="327E38AA" w14:textId="5986B0AD" w:rsidR="00FC4F04" w:rsidRDefault="00FC4F04" w:rsidP="00FC4F04">
            <w:pPr>
              <w:pStyle w:val="Paragraphnonumbers"/>
            </w:pPr>
            <w:r>
              <w:t>No, the draft recommendations do not recommend the technology.</w:t>
            </w:r>
          </w:p>
        </w:tc>
      </w:tr>
    </w:tbl>
    <w:p w14:paraId="4504BC0E" w14:textId="77777777" w:rsidR="000E679D" w:rsidRDefault="000E679D" w:rsidP="00C879E6"/>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9B6CB9" w:rsidRPr="009B6CB9" w14:paraId="1BFC710A" w14:textId="77777777" w:rsidTr="002341D7">
        <w:tc>
          <w:tcPr>
            <w:tcW w:w="8414" w:type="dxa"/>
          </w:tcPr>
          <w:p w14:paraId="61AF4524" w14:textId="77777777" w:rsidR="009B6CB9" w:rsidRPr="009B6CB9" w:rsidRDefault="009B6CB9" w:rsidP="00B525C5">
            <w:pPr>
              <w:pStyle w:val="Paragraph"/>
            </w:pPr>
            <w:r w:rsidRPr="009B6CB9">
              <w:t xml:space="preserve">Are there any recommendations or explanations that the </w:t>
            </w:r>
            <w:r w:rsidR="00B525C5">
              <w:t>c</w:t>
            </w:r>
            <w:r w:rsidRPr="009B6CB9">
              <w:t>ommittee could make to remove or alleviate barriers to</w:t>
            </w:r>
            <w:r w:rsidR="000E679D">
              <w:t>, or difficulties with,</w:t>
            </w:r>
            <w:r w:rsidRPr="009B6CB9">
              <w:t xml:space="preserve"> access identified in question</w:t>
            </w:r>
            <w:r w:rsidR="000E679D">
              <w:t>s</w:t>
            </w:r>
            <w:r w:rsidRPr="009B6CB9">
              <w:t xml:space="preserve"> 4</w:t>
            </w:r>
            <w:r w:rsidR="000E679D">
              <w:t xml:space="preserve"> or 5</w:t>
            </w:r>
            <w:r w:rsidRPr="009B6CB9">
              <w:t>, or otherwise fulfil NICE’s obligations to promote equality?</w:t>
            </w:r>
          </w:p>
        </w:tc>
      </w:tr>
      <w:tr w:rsidR="009B6CB9" w:rsidRPr="009B6CB9" w14:paraId="32D79F0F" w14:textId="77777777" w:rsidTr="002341D7">
        <w:tc>
          <w:tcPr>
            <w:tcW w:w="8414" w:type="dxa"/>
          </w:tcPr>
          <w:p w14:paraId="3E8942E2" w14:textId="72676BE4" w:rsidR="00A04BDE" w:rsidRDefault="00FC4F04" w:rsidP="002341D7">
            <w:pPr>
              <w:pStyle w:val="Paragraphnonumbers"/>
            </w:pPr>
            <w:r>
              <w:t>No.</w:t>
            </w:r>
          </w:p>
        </w:tc>
      </w:tr>
    </w:tbl>
    <w:p w14:paraId="14FDDCD1" w14:textId="77777777" w:rsidR="009B6CB9" w:rsidRPr="00C879E6" w:rsidRDefault="009B6CB9" w:rsidP="00C879E6"/>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9B6CB9" w:rsidRPr="009B6CB9" w14:paraId="0DEC0A37" w14:textId="77777777" w:rsidTr="002341D7">
        <w:tc>
          <w:tcPr>
            <w:tcW w:w="8414" w:type="dxa"/>
          </w:tcPr>
          <w:p w14:paraId="6A0CF3A6" w14:textId="495C427C" w:rsidR="009B6CB9" w:rsidRPr="009B6CB9" w:rsidRDefault="009B6CB9" w:rsidP="00B525C5">
            <w:pPr>
              <w:pStyle w:val="Paragraph"/>
            </w:pPr>
            <w:r w:rsidRPr="009B6CB9">
              <w:t xml:space="preserve">Have the </w:t>
            </w:r>
            <w:r w:rsidR="00B525C5">
              <w:t>c</w:t>
            </w:r>
            <w:r w:rsidRPr="009B6CB9">
              <w:t xml:space="preserve">ommittee’s considerations of equality issues been described in the </w:t>
            </w:r>
            <w:r w:rsidR="00CA2D1F" w:rsidRPr="001D643A">
              <w:t>draft guidance</w:t>
            </w:r>
            <w:r w:rsidRPr="001D643A">
              <w:t>, and</w:t>
            </w:r>
            <w:r w:rsidRPr="009B6CB9">
              <w:t>, if so, where?</w:t>
            </w:r>
          </w:p>
        </w:tc>
      </w:tr>
      <w:tr w:rsidR="009B6CB9" w:rsidRPr="009B6CB9" w14:paraId="33DCD0B2" w14:textId="77777777" w:rsidTr="002341D7">
        <w:tc>
          <w:tcPr>
            <w:tcW w:w="8414" w:type="dxa"/>
          </w:tcPr>
          <w:p w14:paraId="33508A77" w14:textId="3CD0CAEB" w:rsidR="00A04BDE" w:rsidRPr="002341D7" w:rsidRDefault="001D643A" w:rsidP="002341D7">
            <w:pPr>
              <w:pStyle w:val="Paragraphnonumbers"/>
              <w:rPr>
                <w:rFonts w:ascii="Tahoma" w:hAnsi="Tahoma" w:cs="Tahoma"/>
                <w:sz w:val="16"/>
                <w:szCs w:val="16"/>
              </w:rPr>
            </w:pPr>
            <w:r>
              <w:lastRenderedPageBreak/>
              <w:t>Yes (section 3.16)</w:t>
            </w:r>
          </w:p>
        </w:tc>
      </w:tr>
    </w:tbl>
    <w:p w14:paraId="393F11DC" w14:textId="77777777" w:rsidR="009B6CB9" w:rsidRPr="00C879E6" w:rsidRDefault="009B6CB9" w:rsidP="00C879E6"/>
    <w:p w14:paraId="439CEC8E" w14:textId="05F7CC8B" w:rsidR="00B6372C" w:rsidRDefault="001F6FF5" w:rsidP="006D5D87">
      <w:pPr>
        <w:pStyle w:val="Paragraphnonumbers"/>
      </w:pPr>
      <w:r>
        <w:rPr>
          <w:b/>
        </w:rPr>
        <w:t>Approved b</w:t>
      </w:r>
      <w:r w:rsidR="005A1027">
        <w:rPr>
          <w:b/>
        </w:rPr>
        <w:t>y</w:t>
      </w:r>
      <w:r>
        <w:rPr>
          <w:b/>
        </w:rPr>
        <w:t xml:space="preserve"> </w:t>
      </w:r>
      <w:r w:rsidR="00587925" w:rsidRPr="00D432B6">
        <w:rPr>
          <w:b/>
        </w:rPr>
        <w:t>Associate Director (name):</w:t>
      </w:r>
      <w:r w:rsidR="00587925">
        <w:t xml:space="preserve"> </w:t>
      </w:r>
      <w:r w:rsidR="00420C7C">
        <w:t>Ian Watson</w:t>
      </w:r>
    </w:p>
    <w:p w14:paraId="762BCFEF" w14:textId="5A63DCFE" w:rsidR="00587925" w:rsidRDefault="00587925" w:rsidP="006D5D87">
      <w:pPr>
        <w:pStyle w:val="Paragraphnonumbers"/>
      </w:pPr>
      <w:r w:rsidRPr="00D432B6">
        <w:rPr>
          <w:b/>
        </w:rPr>
        <w:t>Date:</w:t>
      </w:r>
      <w:r>
        <w:t xml:space="preserve"> </w:t>
      </w:r>
      <w:r w:rsidR="00420C7C">
        <w:t>7 August 2025</w:t>
      </w:r>
    </w:p>
    <w:sectPr w:rsidR="00587925" w:rsidSect="00FD6D6B">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9E677" w14:textId="77777777" w:rsidR="00A43258" w:rsidRDefault="00A43258" w:rsidP="00446BEE">
      <w:r>
        <w:separator/>
      </w:r>
    </w:p>
  </w:endnote>
  <w:endnote w:type="continuationSeparator" w:id="0">
    <w:p w14:paraId="65F5B270" w14:textId="77777777" w:rsidR="00A43258" w:rsidRDefault="00A4325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56ED" w14:textId="77777777" w:rsidR="001F2FE7" w:rsidRDefault="001F2FE7">
    <w:pPr>
      <w:pStyle w:val="Footer"/>
    </w:pPr>
    <w:r>
      <w:t xml:space="preserve">Technology </w:t>
    </w:r>
    <w:r w:rsidR="0095492F">
      <w:t>a</w:t>
    </w:r>
    <w:r>
      <w:t>ppraisals: Guidance development</w:t>
    </w:r>
  </w:p>
  <w:p w14:paraId="65918DC6" w14:textId="07359623" w:rsidR="001F2FE7" w:rsidRDefault="001F2FE7">
    <w:pPr>
      <w:pStyle w:val="Footer"/>
    </w:pPr>
    <w:r>
      <w:t xml:space="preserve">Equality impact assessment for the </w:t>
    </w:r>
    <w:r w:rsidR="0095492F" w:rsidRPr="001D643A">
      <w:t>s</w:t>
    </w:r>
    <w:r w:rsidRPr="001D643A">
      <w:t>ingle</w:t>
    </w:r>
    <w:r>
      <w:t xml:space="preserve"> </w:t>
    </w:r>
    <w:r w:rsidR="0095492F">
      <w:t>t</w:t>
    </w:r>
    <w:r>
      <w:t xml:space="preserve">echnology </w:t>
    </w:r>
    <w:r w:rsidR="0095492F">
      <w:t>a</w:t>
    </w:r>
    <w:r>
      <w:t xml:space="preserve">ppraisal of </w:t>
    </w:r>
    <w:r w:rsidR="001D643A">
      <w:t>t</w:t>
    </w:r>
    <w:r w:rsidR="001D643A" w:rsidRPr="001D643A">
      <w:t>eplizumab for delaying the onset of stage 3 type 1 diabetes in people 8 years and over with stage 2 type 1 diabetes</w:t>
    </w:r>
    <w:r>
      <w:tab/>
    </w:r>
    <w:r w:rsidR="00671BA1">
      <w:fldChar w:fldCharType="begin"/>
    </w:r>
    <w:r w:rsidR="00671BA1">
      <w:instrText xml:space="preserve"> PAGE </w:instrText>
    </w:r>
    <w:r w:rsidR="00671BA1">
      <w:fldChar w:fldCharType="separate"/>
    </w:r>
    <w:r w:rsidR="00CC7938">
      <w:rPr>
        <w:noProof/>
      </w:rPr>
      <w:t>2</w:t>
    </w:r>
    <w:r w:rsidR="00671BA1">
      <w:rPr>
        <w:noProof/>
      </w:rPr>
      <w:fldChar w:fldCharType="end"/>
    </w:r>
    <w:r>
      <w:t xml:space="preserve"> of </w:t>
    </w:r>
    <w:r w:rsidR="00CC7938">
      <w:fldChar w:fldCharType="begin"/>
    </w:r>
    <w:r w:rsidR="00CC7938">
      <w:instrText xml:space="preserve"> NUMPAGES  </w:instrText>
    </w:r>
    <w:r w:rsidR="00CC7938">
      <w:fldChar w:fldCharType="separate"/>
    </w:r>
    <w:r w:rsidR="00CC7938">
      <w:rPr>
        <w:noProof/>
      </w:rPr>
      <w:t>5</w:t>
    </w:r>
    <w:r w:rsidR="00CC7938">
      <w:rPr>
        <w:noProof/>
      </w:rPr>
      <w:fldChar w:fldCharType="end"/>
    </w:r>
  </w:p>
  <w:p w14:paraId="1BF8D04E" w14:textId="005BD5ED" w:rsidR="001F2FE7" w:rsidRDefault="001F2FE7">
    <w:pPr>
      <w:pStyle w:val="Footer"/>
    </w:pPr>
    <w:r>
      <w:t xml:space="preserve">Issue date: </w:t>
    </w:r>
    <w:r w:rsidR="00B47421">
      <w:t>August</w:t>
    </w:r>
    <w:r w:rsidR="001D643A">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99AAD" w14:textId="77777777" w:rsidR="00A43258" w:rsidRDefault="00A43258" w:rsidP="00446BEE">
      <w:r>
        <w:separator/>
      </w:r>
    </w:p>
  </w:footnote>
  <w:footnote w:type="continuationSeparator" w:id="0">
    <w:p w14:paraId="62CA9590" w14:textId="77777777" w:rsidR="00A43258" w:rsidRDefault="00A43258"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208"/>
        </w:tabs>
        <w:ind w:left="1208"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B40FD"/>
    <w:multiLevelType w:val="hybridMultilevel"/>
    <w:tmpl w:val="ED84821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A3334E"/>
    <w:multiLevelType w:val="hybridMultilevel"/>
    <w:tmpl w:val="F2B6E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9045656">
    <w:abstractNumId w:val="12"/>
  </w:num>
  <w:num w:numId="2" w16cid:durableId="875048127">
    <w:abstractNumId w:val="13"/>
  </w:num>
  <w:num w:numId="3" w16cid:durableId="1816750532">
    <w:abstractNumId w:val="13"/>
    <w:lvlOverride w:ilvl="0">
      <w:startOverride w:val="1"/>
    </w:lvlOverride>
  </w:num>
  <w:num w:numId="4" w16cid:durableId="878470101">
    <w:abstractNumId w:val="13"/>
    <w:lvlOverride w:ilvl="0">
      <w:startOverride w:val="1"/>
    </w:lvlOverride>
  </w:num>
  <w:num w:numId="5" w16cid:durableId="1986860837">
    <w:abstractNumId w:val="13"/>
    <w:lvlOverride w:ilvl="0">
      <w:startOverride w:val="1"/>
    </w:lvlOverride>
  </w:num>
  <w:num w:numId="6" w16cid:durableId="2146385111">
    <w:abstractNumId w:val="13"/>
    <w:lvlOverride w:ilvl="0">
      <w:startOverride w:val="1"/>
    </w:lvlOverride>
  </w:num>
  <w:num w:numId="7" w16cid:durableId="1939407236">
    <w:abstractNumId w:val="13"/>
    <w:lvlOverride w:ilvl="0">
      <w:startOverride w:val="1"/>
    </w:lvlOverride>
  </w:num>
  <w:num w:numId="8" w16cid:durableId="268437866">
    <w:abstractNumId w:val="9"/>
  </w:num>
  <w:num w:numId="9" w16cid:durableId="1968508613">
    <w:abstractNumId w:val="7"/>
  </w:num>
  <w:num w:numId="10" w16cid:durableId="964048214">
    <w:abstractNumId w:val="6"/>
  </w:num>
  <w:num w:numId="11" w16cid:durableId="2143569162">
    <w:abstractNumId w:val="5"/>
  </w:num>
  <w:num w:numId="12" w16cid:durableId="198248973">
    <w:abstractNumId w:val="4"/>
  </w:num>
  <w:num w:numId="13" w16cid:durableId="218172812">
    <w:abstractNumId w:val="8"/>
  </w:num>
  <w:num w:numId="14" w16cid:durableId="1220896833">
    <w:abstractNumId w:val="3"/>
  </w:num>
  <w:num w:numId="15" w16cid:durableId="469055668">
    <w:abstractNumId w:val="2"/>
  </w:num>
  <w:num w:numId="16" w16cid:durableId="758983758">
    <w:abstractNumId w:val="1"/>
  </w:num>
  <w:num w:numId="17" w16cid:durableId="979001591">
    <w:abstractNumId w:val="0"/>
  </w:num>
  <w:num w:numId="18" w16cid:durableId="21909197">
    <w:abstractNumId w:val="11"/>
  </w:num>
  <w:num w:numId="19" w16cid:durableId="368339833">
    <w:abstractNumId w:val="11"/>
    <w:lvlOverride w:ilvl="0">
      <w:startOverride w:val="1"/>
    </w:lvlOverride>
  </w:num>
  <w:num w:numId="20" w16cid:durableId="1204320435">
    <w:abstractNumId w:val="12"/>
    <w:lvlOverride w:ilvl="0">
      <w:startOverride w:val="1"/>
    </w:lvlOverride>
  </w:num>
  <w:num w:numId="21" w16cid:durableId="114447442">
    <w:abstractNumId w:val="12"/>
    <w:lvlOverride w:ilvl="0">
      <w:startOverride w:val="1"/>
    </w:lvlOverride>
  </w:num>
  <w:num w:numId="22" w16cid:durableId="2026789756">
    <w:abstractNumId w:val="12"/>
    <w:lvlOverride w:ilvl="0">
      <w:startOverride w:val="1"/>
    </w:lvlOverride>
  </w:num>
  <w:num w:numId="23" w16cid:durableId="430592438">
    <w:abstractNumId w:val="10"/>
  </w:num>
  <w:num w:numId="24" w16cid:durableId="127866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258"/>
    <w:rsid w:val="00014CA6"/>
    <w:rsid w:val="00024D0A"/>
    <w:rsid w:val="00054AB0"/>
    <w:rsid w:val="0006094B"/>
    <w:rsid w:val="00070065"/>
    <w:rsid w:val="000B5939"/>
    <w:rsid w:val="000E679D"/>
    <w:rsid w:val="001134E7"/>
    <w:rsid w:val="00134FDA"/>
    <w:rsid w:val="00137841"/>
    <w:rsid w:val="001571C1"/>
    <w:rsid w:val="00163FB7"/>
    <w:rsid w:val="0017169E"/>
    <w:rsid w:val="00173760"/>
    <w:rsid w:val="001859D5"/>
    <w:rsid w:val="001A23E4"/>
    <w:rsid w:val="001A25C9"/>
    <w:rsid w:val="001A2EC0"/>
    <w:rsid w:val="001B65B3"/>
    <w:rsid w:val="001D3E14"/>
    <w:rsid w:val="001D643A"/>
    <w:rsid w:val="001F2FE7"/>
    <w:rsid w:val="001F34B0"/>
    <w:rsid w:val="001F6FF5"/>
    <w:rsid w:val="002341D7"/>
    <w:rsid w:val="002408EA"/>
    <w:rsid w:val="00260A67"/>
    <w:rsid w:val="00267DE7"/>
    <w:rsid w:val="00270605"/>
    <w:rsid w:val="00290BBA"/>
    <w:rsid w:val="002C1A7E"/>
    <w:rsid w:val="002F143B"/>
    <w:rsid w:val="002F2EEF"/>
    <w:rsid w:val="0030425D"/>
    <w:rsid w:val="00311ED0"/>
    <w:rsid w:val="003722FA"/>
    <w:rsid w:val="00377277"/>
    <w:rsid w:val="003B1C33"/>
    <w:rsid w:val="003C7138"/>
    <w:rsid w:val="003C7627"/>
    <w:rsid w:val="003C7AAF"/>
    <w:rsid w:val="003E12B1"/>
    <w:rsid w:val="003E4C4B"/>
    <w:rsid w:val="003F2EC0"/>
    <w:rsid w:val="00406949"/>
    <w:rsid w:val="004075B6"/>
    <w:rsid w:val="00420952"/>
    <w:rsid w:val="00420C7C"/>
    <w:rsid w:val="004234E3"/>
    <w:rsid w:val="00436BF6"/>
    <w:rsid w:val="00446BEE"/>
    <w:rsid w:val="004E52F4"/>
    <w:rsid w:val="005025A1"/>
    <w:rsid w:val="00502C4B"/>
    <w:rsid w:val="005105A6"/>
    <w:rsid w:val="00524CB5"/>
    <w:rsid w:val="0056793C"/>
    <w:rsid w:val="00587925"/>
    <w:rsid w:val="005A1027"/>
    <w:rsid w:val="005D5E17"/>
    <w:rsid w:val="00615C34"/>
    <w:rsid w:val="0065081E"/>
    <w:rsid w:val="00664889"/>
    <w:rsid w:val="00671BA1"/>
    <w:rsid w:val="00672F1C"/>
    <w:rsid w:val="006921E1"/>
    <w:rsid w:val="006D3E00"/>
    <w:rsid w:val="006D55A6"/>
    <w:rsid w:val="006D5D87"/>
    <w:rsid w:val="00736348"/>
    <w:rsid w:val="00770B9A"/>
    <w:rsid w:val="007C4753"/>
    <w:rsid w:val="00821D81"/>
    <w:rsid w:val="008600BF"/>
    <w:rsid w:val="008901F6"/>
    <w:rsid w:val="008A71F7"/>
    <w:rsid w:val="008C7B81"/>
    <w:rsid w:val="00925F15"/>
    <w:rsid w:val="0095492F"/>
    <w:rsid w:val="009A588B"/>
    <w:rsid w:val="009B6CB9"/>
    <w:rsid w:val="009E680B"/>
    <w:rsid w:val="009F7239"/>
    <w:rsid w:val="00A04BDE"/>
    <w:rsid w:val="00A11450"/>
    <w:rsid w:val="00A15A1F"/>
    <w:rsid w:val="00A3325A"/>
    <w:rsid w:val="00A40337"/>
    <w:rsid w:val="00A43258"/>
    <w:rsid w:val="00A756BB"/>
    <w:rsid w:val="00A84D1E"/>
    <w:rsid w:val="00AB68EA"/>
    <w:rsid w:val="00AE6957"/>
    <w:rsid w:val="00AF108A"/>
    <w:rsid w:val="00B02E55"/>
    <w:rsid w:val="00B47421"/>
    <w:rsid w:val="00B525C5"/>
    <w:rsid w:val="00B572B7"/>
    <w:rsid w:val="00B6372C"/>
    <w:rsid w:val="00B72F60"/>
    <w:rsid w:val="00B730A7"/>
    <w:rsid w:val="00B8205D"/>
    <w:rsid w:val="00B94837"/>
    <w:rsid w:val="00BA7708"/>
    <w:rsid w:val="00BE5835"/>
    <w:rsid w:val="00BF01A4"/>
    <w:rsid w:val="00BF7FE0"/>
    <w:rsid w:val="00C26E85"/>
    <w:rsid w:val="00C341B7"/>
    <w:rsid w:val="00C40886"/>
    <w:rsid w:val="00C47DDE"/>
    <w:rsid w:val="00C75E16"/>
    <w:rsid w:val="00C8651C"/>
    <w:rsid w:val="00C879E6"/>
    <w:rsid w:val="00CA2D1F"/>
    <w:rsid w:val="00CC7938"/>
    <w:rsid w:val="00CE1FB3"/>
    <w:rsid w:val="00CE368D"/>
    <w:rsid w:val="00CF58B7"/>
    <w:rsid w:val="00D1402D"/>
    <w:rsid w:val="00D351C1"/>
    <w:rsid w:val="00D432B6"/>
    <w:rsid w:val="00D647E9"/>
    <w:rsid w:val="00D81433"/>
    <w:rsid w:val="00D85018"/>
    <w:rsid w:val="00D86BF0"/>
    <w:rsid w:val="00D9694A"/>
    <w:rsid w:val="00DD012C"/>
    <w:rsid w:val="00DE3E3A"/>
    <w:rsid w:val="00E1298E"/>
    <w:rsid w:val="00E1677A"/>
    <w:rsid w:val="00E248C5"/>
    <w:rsid w:val="00E257B1"/>
    <w:rsid w:val="00E412AD"/>
    <w:rsid w:val="00E51920"/>
    <w:rsid w:val="00E55F50"/>
    <w:rsid w:val="00E64120"/>
    <w:rsid w:val="00EA1EC9"/>
    <w:rsid w:val="00EB1350"/>
    <w:rsid w:val="00F055F1"/>
    <w:rsid w:val="00F17D8C"/>
    <w:rsid w:val="00F33821"/>
    <w:rsid w:val="00F376A3"/>
    <w:rsid w:val="00F6310E"/>
    <w:rsid w:val="00FC10ED"/>
    <w:rsid w:val="00FC2D11"/>
    <w:rsid w:val="00FC4F04"/>
    <w:rsid w:val="00FC6230"/>
    <w:rsid w:val="00FD6D6B"/>
    <w:rsid w:val="00FD7367"/>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E2D06"/>
  <w15:docId w15:val="{E8C70B4F-8C3D-4CB4-8E5D-F1A0AE49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2F2EEF"/>
    <w:rPr>
      <w:sz w:val="24"/>
      <w:szCs w:val="24"/>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after="240" w:line="276" w:lineRule="auto"/>
      <w:ind w:left="709" w:hanging="709"/>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6921E1"/>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A23E4"/>
    <w:pPr>
      <w:numPr>
        <w:numId w:val="18"/>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rsid w:val="00163FB7"/>
    <w:rPr>
      <w:sz w:val="16"/>
      <w:szCs w:val="16"/>
    </w:rPr>
  </w:style>
  <w:style w:type="paragraph" w:styleId="CommentText">
    <w:name w:val="annotation text"/>
    <w:basedOn w:val="Normal"/>
    <w:link w:val="CommentTextChar"/>
    <w:semiHidden/>
    <w:rsid w:val="00163FB7"/>
    <w:rPr>
      <w:sz w:val="20"/>
      <w:szCs w:val="20"/>
    </w:rPr>
  </w:style>
  <w:style w:type="character" w:customStyle="1" w:styleId="CommentTextChar">
    <w:name w:val="Comment Text Char"/>
    <w:basedOn w:val="DefaultParagraphFont"/>
    <w:link w:val="CommentText"/>
    <w:semiHidden/>
    <w:rsid w:val="00163FB7"/>
  </w:style>
  <w:style w:type="paragraph" w:styleId="CommentSubject">
    <w:name w:val="annotation subject"/>
    <w:basedOn w:val="CommentText"/>
    <w:next w:val="CommentText"/>
    <w:link w:val="CommentSubjectChar"/>
    <w:semiHidden/>
    <w:rsid w:val="00163FB7"/>
    <w:rPr>
      <w:b/>
      <w:bCs/>
    </w:rPr>
  </w:style>
  <w:style w:type="character" w:customStyle="1" w:styleId="CommentSubjectChar">
    <w:name w:val="Comment Subject Char"/>
    <w:basedOn w:val="CommentTextChar"/>
    <w:link w:val="CommentSubject"/>
    <w:semiHidden/>
    <w:rsid w:val="00163FB7"/>
    <w:rPr>
      <w:b/>
      <w:bCs/>
    </w:rPr>
  </w:style>
  <w:style w:type="paragraph" w:customStyle="1" w:styleId="Bulletindent1">
    <w:name w:val="Bullet indent 1"/>
    <w:basedOn w:val="Normal"/>
    <w:link w:val="Bulletindent1Char"/>
    <w:qFormat/>
    <w:rsid w:val="00FC4F04"/>
    <w:pPr>
      <w:spacing w:line="360" w:lineRule="auto"/>
    </w:pPr>
    <w:rPr>
      <w:rFonts w:ascii="Arial" w:hAnsi="Arial"/>
      <w:lang w:eastAsia="en-US"/>
    </w:rPr>
  </w:style>
  <w:style w:type="character" w:customStyle="1" w:styleId="Bulletindent1Char">
    <w:name w:val="Bullet indent 1 Char"/>
    <w:link w:val="Bulletindent1"/>
    <w:rsid w:val="00FC4F04"/>
    <w:rPr>
      <w:rFonts w:ascii="Arial" w:hAnsi="Arial"/>
      <w:sz w:val="24"/>
      <w:szCs w:val="24"/>
      <w:lang w:eastAsia="en-US"/>
    </w:rPr>
  </w:style>
  <w:style w:type="paragraph" w:customStyle="1" w:styleId="Bulletindent1last">
    <w:name w:val="Bullet indent 1 last"/>
    <w:basedOn w:val="Normal"/>
    <w:next w:val="Normal"/>
    <w:qFormat/>
    <w:rsid w:val="00FC4F04"/>
    <w:pPr>
      <w:spacing w:after="240" w:line="360" w:lineRule="auto"/>
    </w:pPr>
    <w:rPr>
      <w:rFonts w:ascii="Arial" w:hAnsi="Arial"/>
      <w:lang w:eastAsia="en-US"/>
    </w:rPr>
  </w:style>
  <w:style w:type="paragraph" w:styleId="ListParagraph">
    <w:name w:val="List Paragraph"/>
    <w:basedOn w:val="Normal"/>
    <w:uiPriority w:val="34"/>
    <w:semiHidden/>
    <w:qFormat/>
    <w:rsid w:val="00FC4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2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164B6419967F4F9BC885BCC38080FE" ma:contentTypeVersion="13" ma:contentTypeDescription="Create a new document." ma:contentTypeScope="" ma:versionID="ede7ead2bbbce03a149f766d30657cd4">
  <xsd:schema xmlns:xsd="http://www.w3.org/2001/XMLSchema" xmlns:xs="http://www.w3.org/2001/XMLSchema" xmlns:p="http://schemas.microsoft.com/office/2006/metadata/properties" xmlns:ns2="6113f790-c252-4bfe-890a-0e01b9de803a" xmlns:ns3="0eb656aa-4e79-4e95-9076-bc119a23e0cc" targetNamespace="http://schemas.microsoft.com/office/2006/metadata/properties" ma:root="true" ma:fieldsID="79195824eaa224afd3314d6e5a88e675" ns2:_="" ns3:_="">
    <xsd:import namespace="6113f790-c252-4bfe-890a-0e01b9de803a"/>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3f790-c252-4bfe-890a-0e01b9de8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d3fad2-883a-4eaf-9e1c-8c20d986e5dc}" ma:internalName="TaxCatchAll" ma:showField="CatchAllData" ma:web="c484c3bf-3e79-421f-a326-5c77b32e9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6113f790-c252-4bfe-890a-0e01b9de80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8EAD30-E1B1-4266-A037-553154249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3f790-c252-4bfe-890a-0e01b9de803a"/>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40D5D0-C6D2-4070-B6BD-5DBDA5667501}">
  <ds:schemaRefs>
    <ds:schemaRef ds:uri="http://purl.org/dc/terms/"/>
    <ds:schemaRef ds:uri="http://schemas.openxmlformats.org/package/2006/metadata/core-properties"/>
    <ds:schemaRef ds:uri="http://purl.org/dc/elements/1.1/"/>
    <ds:schemaRef ds:uri="6113f790-c252-4bfe-890a-0e01b9de803a"/>
    <ds:schemaRef ds:uri="http://schemas.microsoft.com/office/2006/documentManagement/types"/>
    <ds:schemaRef ds:uri="http://schemas.microsoft.com/office/infopath/2007/PartnerControls"/>
    <ds:schemaRef ds:uri="http://www.w3.org/XML/1998/namespace"/>
    <ds:schemaRef ds:uri="0eb656aa-4e79-4e95-9076-bc119a23e0c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B1DCDC2-3B31-440F-B535-467FBE83B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724</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Jafferally</dc:creator>
  <cp:keywords/>
  <dc:description/>
  <cp:lastModifiedBy>Ian Watson</cp:lastModifiedBy>
  <cp:revision>6</cp:revision>
  <dcterms:created xsi:type="dcterms:W3CDTF">2025-08-07T08:42:00Z</dcterms:created>
  <dcterms:modified xsi:type="dcterms:W3CDTF">2025-08-07T18:25:00Z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0x010100C3164B6419967F4F9BC885BCC38080FE</vt:lpwstr>
  </property>
  <property fmtid="{D5CDD505-2E9C-101B-9397-08002B2CF9AE}" pid="3" name="Order">
    <vt:r8>68435300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MSIP_Label_c69d85d5-6d9e-4305-a294-1f636ec0f2d6_Enabled">
    <vt:lpwstr>true</vt:lpwstr>
  </property>
  <property fmtid="{D5CDD505-2E9C-101B-9397-08002B2CF9AE}" pid="12" name="MSIP_Label_c69d85d5-6d9e-4305-a294-1f636ec0f2d6_SetDate">
    <vt:lpwstr>2025-05-14T13:46:53Z</vt:lpwstr>
  </property>
  <property fmtid="{D5CDD505-2E9C-101B-9397-08002B2CF9AE}" pid="13" name="MSIP_Label_c69d85d5-6d9e-4305-a294-1f636ec0f2d6_Method">
    <vt:lpwstr>Standard</vt:lpwstr>
  </property>
  <property fmtid="{D5CDD505-2E9C-101B-9397-08002B2CF9AE}" pid="14" name="MSIP_Label_c69d85d5-6d9e-4305-a294-1f636ec0f2d6_Name">
    <vt:lpwstr>OFFICIAL</vt:lpwstr>
  </property>
  <property fmtid="{D5CDD505-2E9C-101B-9397-08002B2CF9AE}" pid="15" name="MSIP_Label_c69d85d5-6d9e-4305-a294-1f636ec0f2d6_SiteId">
    <vt:lpwstr>6030f479-b342-472d-a5dd-740ff7538de9</vt:lpwstr>
  </property>
  <property fmtid="{D5CDD505-2E9C-101B-9397-08002B2CF9AE}" pid="16" name="MSIP_Label_c69d85d5-6d9e-4305-a294-1f636ec0f2d6_ActionId">
    <vt:lpwstr>be7f0cc4-5456-4133-8d74-b48d4df8b6b4</vt:lpwstr>
  </property>
  <property fmtid="{D5CDD505-2E9C-101B-9397-08002B2CF9AE}" pid="17" name="MSIP_Label_c69d85d5-6d9e-4305-a294-1f636ec0f2d6_ContentBits">
    <vt:lpwstr>0</vt:lpwstr>
  </property>
  <property fmtid="{D5CDD505-2E9C-101B-9397-08002B2CF9AE}" pid="18" name="MSIP_Label_c69d85d5-6d9e-4305-a294-1f636ec0f2d6_Tag">
    <vt:lpwstr>10, 3, 0, 1</vt:lpwstr>
  </property>
</Properties>
</file>