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A3843" w14:textId="77777777" w:rsidR="000F2D8A" w:rsidRPr="000F2D8A" w:rsidRDefault="000F2D8A" w:rsidP="003253AC">
      <w:pPr>
        <w:pStyle w:val="Title2"/>
      </w:pPr>
      <w:r w:rsidRPr="000F2D8A">
        <w:t>NATIONAL INSTITUTE FOR HEALTH AND C</w:t>
      </w:r>
      <w:r w:rsidR="00E877D5">
        <w:t>ARE</w:t>
      </w:r>
      <w:r w:rsidRPr="000F2D8A">
        <w:t xml:space="preserve"> EXCELLENCE</w:t>
      </w:r>
    </w:p>
    <w:p w14:paraId="6E9D3A14" w14:textId="77777777" w:rsidR="000F2D8A" w:rsidRPr="000F2D8A" w:rsidRDefault="000F2D8A" w:rsidP="003253AC">
      <w:pPr>
        <w:pStyle w:val="Title2"/>
      </w:pPr>
      <w:r w:rsidRPr="000F2D8A">
        <w:t>Appraisal consultation document</w:t>
      </w:r>
    </w:p>
    <w:p w14:paraId="20CA0602" w14:textId="7B1D2BA4" w:rsidR="00BB0F00" w:rsidRDefault="005A29CB" w:rsidP="00B01F01">
      <w:pPr>
        <w:pStyle w:val="Title1"/>
      </w:pPr>
      <w:r w:rsidRPr="005A29CB">
        <w:t>Dacomitinib for untreated EGFR</w:t>
      </w:r>
      <w:r w:rsidR="00A26995">
        <w:t xml:space="preserve"> mutation</w:t>
      </w:r>
      <w:r w:rsidRPr="005A29CB">
        <w:t xml:space="preserve">-positive non-small-cell lung cancer </w:t>
      </w:r>
    </w:p>
    <w:p w14:paraId="01552E35" w14:textId="77777777" w:rsidR="00652DB1" w:rsidRDefault="00652DB1" w:rsidP="00D05460">
      <w:pPr>
        <w:pStyle w:val="NICE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BB0F00" w14:paraId="44CAAFE3" w14:textId="77777777" w:rsidTr="003A7701">
        <w:tc>
          <w:tcPr>
            <w:tcW w:w="8529" w:type="dxa"/>
            <w:shd w:val="clear" w:color="auto" w:fill="auto"/>
          </w:tcPr>
          <w:p w14:paraId="3BDA5290" w14:textId="77777777" w:rsidR="00BB0F00" w:rsidRPr="00BB0F00" w:rsidRDefault="00BB0F00" w:rsidP="003A7701">
            <w:pPr>
              <w:pStyle w:val="NICEnormalsinglespacing"/>
            </w:pPr>
            <w:r w:rsidRPr="00BB0F00">
              <w:t>The Department of Health</w:t>
            </w:r>
            <w:r w:rsidR="008804C5">
              <w:t xml:space="preserve"> and Social Care</w:t>
            </w:r>
            <w:r w:rsidRPr="00BB0F00">
              <w:t xml:space="preserve"> has asked the National Institute for Health and Care Excellence (NICE) to produce guidance on using </w:t>
            </w:r>
            <w:r w:rsidR="00530440">
              <w:t>dacomitinib</w:t>
            </w:r>
            <w:r w:rsidRPr="00BB0F00">
              <w:t xml:space="preserve"> in the NHS in England. he </w:t>
            </w:r>
            <w:r w:rsidR="009A7EF6">
              <w:t>a</w:t>
            </w:r>
            <w:r w:rsidRPr="00BB0F00">
              <w:t xml:space="preserve">ppraisal </w:t>
            </w:r>
            <w:r w:rsidR="009A7EF6">
              <w:t>c</w:t>
            </w:r>
            <w:r w:rsidRPr="00BB0F00">
              <w:t>ommittee has considered the evidence submitted and the views of non-</w:t>
            </w:r>
            <w:r w:rsidR="00B01F01">
              <w:t>company</w:t>
            </w:r>
            <w:r w:rsidRPr="00BB0F00">
              <w:t xml:space="preserve"> consultees and commentators, clinical </w:t>
            </w:r>
            <w:r w:rsidR="00F62396">
              <w:t>experts</w:t>
            </w:r>
            <w:r w:rsidRPr="00BB0F00">
              <w:t xml:space="preserve"> and patient experts. </w:t>
            </w:r>
          </w:p>
          <w:p w14:paraId="419E37B4" w14:textId="23185FC7" w:rsidR="00BB0F00" w:rsidRPr="00BB0F00" w:rsidRDefault="00BB0F00" w:rsidP="003A7701">
            <w:pPr>
              <w:pStyle w:val="NICEnormalsinglespacing"/>
            </w:pPr>
            <w:r w:rsidRPr="003A7701">
              <w:rPr>
                <w:b/>
              </w:rPr>
              <w:t>This document has been prepared for consultation with the consultees.</w:t>
            </w:r>
            <w:r w:rsidRPr="00BB0F00">
              <w:t xml:space="preserve"> It summarises the evidence and views that have been </w:t>
            </w:r>
            <w:r w:rsidR="00F100AA" w:rsidRPr="00BB0F00">
              <w:t>considered and</w:t>
            </w:r>
            <w:r w:rsidRPr="00BB0F00">
              <w:t xml:space="preserve"> sets out the recommendations made by the </w:t>
            </w:r>
            <w:r w:rsidR="00335FF9">
              <w:t>c</w:t>
            </w:r>
            <w:r w:rsidRPr="00BB0F00">
              <w:t xml:space="preserve">ommittee. NICE invites comments from the consultees and commentators for this appraisal </w:t>
            </w:r>
            <w:r w:rsidR="000D24AA" w:rsidRPr="00981B9F">
              <w:t>and the public. This document should be read along with the evidence (</w:t>
            </w:r>
            <w:r w:rsidR="00D539F7">
              <w:t xml:space="preserve">see </w:t>
            </w:r>
            <w:r w:rsidR="000D24AA" w:rsidRPr="00981B9F">
              <w:t xml:space="preserve">the </w:t>
            </w:r>
            <w:hyperlink r:id="rId8" w:history="1">
              <w:r w:rsidR="00254D10" w:rsidRPr="00D81AD5">
                <w:rPr>
                  <w:rStyle w:val="Hyperlink"/>
                </w:rPr>
                <w:t>committee</w:t>
              </w:r>
              <w:r w:rsidR="00254D10" w:rsidRPr="0095434A">
                <w:rPr>
                  <w:rStyle w:val="Hyperlink"/>
                </w:rPr>
                <w:t xml:space="preserve"> papers</w:t>
              </w:r>
            </w:hyperlink>
            <w:r w:rsidR="000D24AA" w:rsidRPr="00981B9F">
              <w:t>).</w:t>
            </w:r>
          </w:p>
          <w:p w14:paraId="6DCBCE14" w14:textId="77777777" w:rsidR="00BB0F00" w:rsidRPr="00BB0F00" w:rsidRDefault="00BB0F00" w:rsidP="003A7701">
            <w:pPr>
              <w:pStyle w:val="NICEnormalsinglespacing"/>
            </w:pPr>
            <w:r w:rsidRPr="00BB0F00">
              <w:t xml:space="preserve">The </w:t>
            </w:r>
            <w:r w:rsidR="009A7EF6">
              <w:t>appraisal c</w:t>
            </w:r>
            <w:r w:rsidRPr="00BB0F00">
              <w:t>ommittee is interested in receiving comments on the following:</w:t>
            </w:r>
          </w:p>
          <w:p w14:paraId="3EADBF5D" w14:textId="77777777" w:rsidR="00BB0F00" w:rsidRPr="00276C00" w:rsidRDefault="00BB0F00" w:rsidP="00276C00">
            <w:pPr>
              <w:pStyle w:val="Bulletleft1"/>
              <w:spacing w:line="240" w:lineRule="auto"/>
            </w:pPr>
            <w:r w:rsidRPr="00276C00">
              <w:t>Has all of the relevant evidence been taken into account?</w:t>
            </w:r>
          </w:p>
          <w:p w14:paraId="2A93346B" w14:textId="77777777" w:rsidR="00BB0F00" w:rsidRPr="00276C00" w:rsidRDefault="00BB0F00" w:rsidP="00276C00">
            <w:pPr>
              <w:pStyle w:val="Bulletleft1"/>
              <w:spacing w:line="240" w:lineRule="auto"/>
            </w:pPr>
            <w:r w:rsidRPr="00276C00">
              <w:t>Are the summaries of clinical and cost effectiveness reasonable interpretations of the evidence?</w:t>
            </w:r>
          </w:p>
          <w:p w14:paraId="6C4EBA58" w14:textId="77777777" w:rsidR="00BB0F00" w:rsidRPr="00276C00" w:rsidRDefault="00BB0F00" w:rsidP="00276C00">
            <w:pPr>
              <w:pStyle w:val="Bulletleft1"/>
              <w:spacing w:line="240" w:lineRule="auto"/>
            </w:pPr>
            <w:r w:rsidRPr="00276C00">
              <w:t>Are the recommendations sound and a suitable basis for guidance to the NHS?</w:t>
            </w:r>
          </w:p>
          <w:p w14:paraId="234FBB21" w14:textId="77777777" w:rsidR="00BB0F00" w:rsidRPr="00276C00" w:rsidRDefault="00BB0F00" w:rsidP="00276C00">
            <w:pPr>
              <w:pStyle w:val="Bulletleft1"/>
              <w:spacing w:line="240" w:lineRule="auto"/>
            </w:pPr>
            <w:r w:rsidRPr="00276C00">
              <w:t>Are there any aspects of the recommendations that need particular consideration to ensure we avoid unlawful discrimination against any group of people on the grounds of race, gender, disability, religion or belief, sexual orientation, age, gender reassignment, pregnancy and maternity?</w:t>
            </w:r>
          </w:p>
        </w:tc>
      </w:tr>
    </w:tbl>
    <w:p w14:paraId="2ECA7B92" w14:textId="77777777" w:rsidR="00BB0F00" w:rsidRDefault="00B01F01" w:rsidP="00652DB1">
      <w:pPr>
        <w:pStyle w:val="Numberedlevel2text"/>
        <w:numPr>
          <w:ilvl w:val="0"/>
          <w:numId w:val="0"/>
        </w:numPr>
        <w:ind w:left="1134"/>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9"/>
      </w:tblGrid>
      <w:tr w:rsidR="00BB0F00" w14:paraId="0498E0D2" w14:textId="77777777" w:rsidTr="003A7701">
        <w:tc>
          <w:tcPr>
            <w:tcW w:w="8529" w:type="dxa"/>
            <w:shd w:val="clear" w:color="auto" w:fill="auto"/>
          </w:tcPr>
          <w:p w14:paraId="28F35D4B" w14:textId="77777777" w:rsidR="00BB0F00" w:rsidRPr="00276C00" w:rsidRDefault="00BB0F00" w:rsidP="00276C00">
            <w:pPr>
              <w:pStyle w:val="NICEnormalsinglespacing"/>
              <w:rPr>
                <w:b/>
                <w:bCs/>
              </w:rPr>
            </w:pPr>
            <w:r w:rsidRPr="00276C00">
              <w:rPr>
                <w:b/>
                <w:bCs/>
              </w:rPr>
              <w:lastRenderedPageBreak/>
              <w:t xml:space="preserve">Note that this document is not NICE's final guidance on </w:t>
            </w:r>
            <w:r w:rsidR="008D150E">
              <w:rPr>
                <w:b/>
                <w:bCs/>
              </w:rPr>
              <w:t>dacomitinib</w:t>
            </w:r>
            <w:r w:rsidRPr="00276C00">
              <w:rPr>
                <w:b/>
                <w:bCs/>
              </w:rPr>
              <w:t>. The recommendations in section 1 may change after consultation.</w:t>
            </w:r>
          </w:p>
          <w:p w14:paraId="1B4EC424" w14:textId="77777777" w:rsidR="00BB0F00" w:rsidRPr="00276C00" w:rsidRDefault="00BB0F00" w:rsidP="00276C00">
            <w:pPr>
              <w:pStyle w:val="NICEnormalsinglespacing"/>
            </w:pPr>
            <w:r w:rsidRPr="00276C00">
              <w:t>After consultation:</w:t>
            </w:r>
          </w:p>
          <w:p w14:paraId="37C74DE7" w14:textId="77777777" w:rsidR="00BB0F00" w:rsidRPr="00276C00" w:rsidRDefault="00BB0F00" w:rsidP="00276C00">
            <w:pPr>
              <w:pStyle w:val="Bulletleft1"/>
              <w:spacing w:line="240" w:lineRule="auto"/>
            </w:pPr>
            <w:r w:rsidRPr="00276C00">
              <w:t xml:space="preserve">The </w:t>
            </w:r>
            <w:r w:rsidR="009A7EF6">
              <w:t>a</w:t>
            </w:r>
            <w:r w:rsidRPr="00276C00">
              <w:t xml:space="preserve">ppraisal </w:t>
            </w:r>
            <w:r w:rsidR="009A7EF6">
              <w:t>c</w:t>
            </w:r>
            <w:r w:rsidRPr="00276C00">
              <w:t>ommittee will meet again to consider the evidence, this appraisal consultation document and comments from the consultees.</w:t>
            </w:r>
          </w:p>
          <w:p w14:paraId="740472ED" w14:textId="77777777" w:rsidR="00BB0F00" w:rsidRPr="00276C00" w:rsidRDefault="00BB0F00" w:rsidP="00276C00">
            <w:pPr>
              <w:pStyle w:val="Bulletleft1"/>
              <w:spacing w:line="240" w:lineRule="auto"/>
            </w:pPr>
            <w:r w:rsidRPr="00276C00">
              <w:t xml:space="preserve">At that meeting, the </w:t>
            </w:r>
            <w:r w:rsidR="009A7EF6">
              <w:t>c</w:t>
            </w:r>
            <w:r w:rsidRPr="00276C00">
              <w:t>ommittee will also consider comments made by people who are not consultees.</w:t>
            </w:r>
          </w:p>
          <w:p w14:paraId="69B9F065" w14:textId="77777777" w:rsidR="00BB0F00" w:rsidRPr="00276C00" w:rsidRDefault="00BB0F00" w:rsidP="00276C00">
            <w:pPr>
              <w:pStyle w:val="Bulletleft1"/>
              <w:spacing w:line="240" w:lineRule="auto"/>
            </w:pPr>
            <w:r w:rsidRPr="00276C00">
              <w:t xml:space="preserve">After considering these comments, the </w:t>
            </w:r>
            <w:r w:rsidR="009A7EF6">
              <w:t>c</w:t>
            </w:r>
            <w:r w:rsidRPr="00276C00">
              <w:t>ommittee will prepare the final appraisal d</w:t>
            </w:r>
            <w:r w:rsidR="002316F1">
              <w:t>ocument</w:t>
            </w:r>
            <w:r w:rsidRPr="00276C00">
              <w:t>.</w:t>
            </w:r>
          </w:p>
          <w:p w14:paraId="1D484E1A" w14:textId="77777777" w:rsidR="00BB0F00" w:rsidRPr="00BB0F00" w:rsidRDefault="00BB0F00" w:rsidP="00276C00">
            <w:pPr>
              <w:pStyle w:val="Bulletleft1last"/>
              <w:spacing w:line="240" w:lineRule="auto"/>
            </w:pPr>
            <w:r w:rsidRPr="00BB0F00">
              <w:t xml:space="preserve">Subject to any appeal by consultees, the </w:t>
            </w:r>
            <w:r w:rsidR="005C22B1" w:rsidRPr="00276C00">
              <w:t>final appraisal d</w:t>
            </w:r>
            <w:r w:rsidR="002316F1">
              <w:t>ocument</w:t>
            </w:r>
            <w:r w:rsidRPr="00BB0F00">
              <w:t xml:space="preserve"> may be used as the </w:t>
            </w:r>
            <w:r w:rsidRPr="00276C00">
              <w:t>basis</w:t>
            </w:r>
            <w:r w:rsidRPr="00BB0F00">
              <w:t xml:space="preserve"> for NICE’s guidance on using </w:t>
            </w:r>
            <w:r w:rsidR="00530440">
              <w:t xml:space="preserve">dacomitinib </w:t>
            </w:r>
            <w:r w:rsidRPr="00BB0F00">
              <w:t xml:space="preserve">in the NHS in England. </w:t>
            </w:r>
          </w:p>
          <w:p w14:paraId="79E8F523" w14:textId="77777777" w:rsidR="00BB0F00" w:rsidRPr="00276C00" w:rsidRDefault="00BB0F00" w:rsidP="00276C00">
            <w:pPr>
              <w:pStyle w:val="NICEnormalsinglespacing"/>
            </w:pPr>
            <w:r w:rsidRPr="00276C00">
              <w:t xml:space="preserve">For further details, see </w:t>
            </w:r>
            <w:r w:rsidR="002760B9">
              <w:t>NICE’s</w:t>
            </w:r>
            <w:r w:rsidRPr="00276C00">
              <w:t xml:space="preserve"> </w:t>
            </w:r>
            <w:hyperlink r:id="rId9" w:history="1">
              <w:r w:rsidR="00BB781C" w:rsidRPr="00021681">
                <w:rPr>
                  <w:rStyle w:val="Hyperlink"/>
                </w:rPr>
                <w:t>guide to the processes of technology appraisal</w:t>
              </w:r>
            </w:hyperlink>
            <w:r w:rsidRPr="00276C00">
              <w:t>.</w:t>
            </w:r>
          </w:p>
          <w:p w14:paraId="79113AAB" w14:textId="77777777" w:rsidR="00BB0F00" w:rsidRPr="00276C00" w:rsidRDefault="00BB0F00" w:rsidP="00276C00">
            <w:pPr>
              <w:pStyle w:val="NICEnormalsinglespacing"/>
              <w:rPr>
                <w:b/>
                <w:bCs/>
              </w:rPr>
            </w:pPr>
            <w:r w:rsidRPr="00276C00">
              <w:rPr>
                <w:b/>
                <w:bCs/>
              </w:rPr>
              <w:t>The key dates for this appraisal are:</w:t>
            </w:r>
          </w:p>
          <w:p w14:paraId="2504B52C" w14:textId="1BB08DFF" w:rsidR="00BB0F00" w:rsidRPr="00276C00" w:rsidRDefault="00BB0F00" w:rsidP="00276C00">
            <w:pPr>
              <w:pStyle w:val="NICEnormalsinglespacing"/>
            </w:pPr>
            <w:r w:rsidRPr="00276C00">
              <w:t xml:space="preserve">Closing date for comments: </w:t>
            </w:r>
            <w:r w:rsidR="00134198">
              <w:t>9 May 2019</w:t>
            </w:r>
          </w:p>
          <w:p w14:paraId="40A726FC" w14:textId="5F443671" w:rsidR="00BB0F00" w:rsidRPr="00276C00" w:rsidRDefault="00BB0F00" w:rsidP="008048B0">
            <w:pPr>
              <w:pStyle w:val="NICEnormalsinglespacing"/>
            </w:pPr>
            <w:r w:rsidRPr="00276C00">
              <w:t xml:space="preserve">Second </w:t>
            </w:r>
            <w:r w:rsidR="009A7EF6">
              <w:t>a</w:t>
            </w:r>
            <w:r w:rsidRPr="00276C00">
              <w:t xml:space="preserve">ppraisal </w:t>
            </w:r>
            <w:r w:rsidR="009A7EF6">
              <w:t>c</w:t>
            </w:r>
            <w:r w:rsidRPr="00276C00">
              <w:t xml:space="preserve">ommittee meeting: </w:t>
            </w:r>
            <w:r w:rsidR="00134198">
              <w:t>23 May 2019</w:t>
            </w:r>
          </w:p>
          <w:p w14:paraId="678F6EC1" w14:textId="791F07DE" w:rsidR="00BB0F00" w:rsidRPr="00276C00" w:rsidRDefault="00DE644A" w:rsidP="008048B0">
            <w:pPr>
              <w:pStyle w:val="NICEnormalsinglespacing"/>
            </w:pPr>
            <w:r w:rsidRPr="00276C00">
              <w:t xml:space="preserve">Details of membership of the </w:t>
            </w:r>
            <w:r>
              <w:t>a</w:t>
            </w:r>
            <w:r w:rsidRPr="00276C00">
              <w:t xml:space="preserve">ppraisal </w:t>
            </w:r>
            <w:r>
              <w:t>c</w:t>
            </w:r>
            <w:r w:rsidRPr="00276C00">
              <w:t xml:space="preserve">ommittee are given in section </w:t>
            </w:r>
            <w:r w:rsidR="00254D10">
              <w:t>5</w:t>
            </w:r>
            <w:r>
              <w:t>.</w:t>
            </w:r>
          </w:p>
        </w:tc>
      </w:tr>
    </w:tbl>
    <w:p w14:paraId="77F591AE" w14:textId="77777777" w:rsidR="00BB0F00" w:rsidRDefault="00BB0F00" w:rsidP="00BB0F00">
      <w:pPr>
        <w:pStyle w:val="NICEnormal"/>
      </w:pPr>
    </w:p>
    <w:p w14:paraId="22E2C5A9" w14:textId="77777777" w:rsidR="000F2D8A" w:rsidRPr="000F2D8A" w:rsidRDefault="00B01F01" w:rsidP="00B76ABD">
      <w:pPr>
        <w:pStyle w:val="Numberedheading1"/>
      </w:pPr>
      <w:r>
        <w:br w:type="page"/>
      </w:r>
      <w:r w:rsidR="00B8229E">
        <w:lastRenderedPageBreak/>
        <w:t>R</w:t>
      </w:r>
      <w:r w:rsidR="000F2D8A" w:rsidRPr="000F2D8A">
        <w:t>ecommendations</w:t>
      </w:r>
    </w:p>
    <w:p w14:paraId="70C5AB33" w14:textId="56E97FD7" w:rsidR="00917A30" w:rsidRPr="00FC6109" w:rsidRDefault="005A29CB" w:rsidP="00FC6109">
      <w:pPr>
        <w:pStyle w:val="Numberedlevel2text"/>
      </w:pPr>
      <w:r w:rsidRPr="00F826B0">
        <w:t xml:space="preserve">Dacomitinib </w:t>
      </w:r>
      <w:r w:rsidR="00CE0399" w:rsidRPr="00F826B0">
        <w:t xml:space="preserve">is </w:t>
      </w:r>
      <w:r w:rsidR="005C22B1" w:rsidRPr="00F826B0">
        <w:t xml:space="preserve">not </w:t>
      </w:r>
      <w:r w:rsidR="00CE0399" w:rsidRPr="00F826B0">
        <w:t xml:space="preserve">recommended, within its marketing authorisation, for </w:t>
      </w:r>
      <w:r w:rsidRPr="00F826B0">
        <w:t xml:space="preserve">untreated </w:t>
      </w:r>
      <w:r w:rsidR="00F673BB" w:rsidRPr="00F673BB">
        <w:t xml:space="preserve">locally advanced or metastatic </w:t>
      </w:r>
      <w:r w:rsidR="00C206FA">
        <w:rPr>
          <w:lang w:val="en-GB"/>
        </w:rPr>
        <w:t xml:space="preserve">epidermal growth factor receptor (EGFR) mutation-positive </w:t>
      </w:r>
      <w:r w:rsidR="00F673BB" w:rsidRPr="00F673BB">
        <w:t xml:space="preserve">non-small-cell lung cancer </w:t>
      </w:r>
      <w:r w:rsidR="009410D0">
        <w:rPr>
          <w:lang w:val="en-GB"/>
        </w:rPr>
        <w:t xml:space="preserve">(NSCLC) </w:t>
      </w:r>
      <w:r w:rsidR="0025214E">
        <w:rPr>
          <w:lang w:val="en-GB"/>
        </w:rPr>
        <w:t>in adults</w:t>
      </w:r>
      <w:r w:rsidRPr="00FC6109">
        <w:t xml:space="preserve">. </w:t>
      </w:r>
    </w:p>
    <w:p w14:paraId="6A45B651" w14:textId="77777777" w:rsidR="006A2D99" w:rsidRPr="00F826B0" w:rsidRDefault="00C94F0A" w:rsidP="00FC6109">
      <w:pPr>
        <w:pStyle w:val="Numberedlevel2text"/>
      </w:pPr>
      <w:r w:rsidRPr="00FC6109">
        <w:t>This</w:t>
      </w:r>
      <w:r w:rsidR="001A166C" w:rsidRPr="00FC6109">
        <w:t xml:space="preserve"> r</w:t>
      </w:r>
      <w:r w:rsidR="0004792B" w:rsidRPr="00FC6109">
        <w:t>ecommendation</w:t>
      </w:r>
      <w:r w:rsidR="001A166C" w:rsidRPr="00FC6109">
        <w:t xml:space="preserve"> </w:t>
      </w:r>
      <w:r w:rsidR="0004792B" w:rsidRPr="00FC6109">
        <w:t>is</w:t>
      </w:r>
      <w:r w:rsidR="001A166C" w:rsidRPr="00FC6109">
        <w:t xml:space="preserve"> </w:t>
      </w:r>
      <w:r w:rsidRPr="00FC6109">
        <w:t xml:space="preserve">not intended to affect </w:t>
      </w:r>
      <w:r w:rsidRPr="00F826B0">
        <w:t xml:space="preserve">treatment with </w:t>
      </w:r>
      <w:r w:rsidR="001A166C" w:rsidRPr="00FC6109">
        <w:t>dacomitinib t</w:t>
      </w:r>
      <w:r w:rsidR="0004792B" w:rsidRPr="00FC6109">
        <w:t xml:space="preserve">hat </w:t>
      </w:r>
      <w:r w:rsidRPr="00F826B0">
        <w:t>was started in the NHS before this guidance was published</w:t>
      </w:r>
      <w:r w:rsidRPr="00FC6109">
        <w:t xml:space="preserve">. </w:t>
      </w:r>
      <w:r w:rsidR="001A166C" w:rsidRPr="00FC6109">
        <w:t>People having</w:t>
      </w:r>
      <w:r w:rsidR="0004792B" w:rsidRPr="00FC6109">
        <w:t xml:space="preserve"> t</w:t>
      </w:r>
      <w:r w:rsidRPr="00FC6109">
        <w:t xml:space="preserve">reatment </w:t>
      </w:r>
      <w:r w:rsidR="0004792B" w:rsidRPr="00FC6109">
        <w:t>outside this</w:t>
      </w:r>
      <w:r w:rsidR="001A166C" w:rsidRPr="00FC6109">
        <w:t xml:space="preserve"> </w:t>
      </w:r>
      <w:r w:rsidR="0004792B" w:rsidRPr="00FC6109">
        <w:t>recommendation</w:t>
      </w:r>
      <w:r w:rsidR="001A166C" w:rsidRPr="00FC6109">
        <w:t xml:space="preserve"> </w:t>
      </w:r>
      <w:r w:rsidRPr="00FC6109">
        <w:t xml:space="preserve">may </w:t>
      </w:r>
      <w:r w:rsidRPr="00F826B0">
        <w:t xml:space="preserve">continue </w:t>
      </w:r>
      <w:r w:rsidRPr="00FC6109">
        <w:t xml:space="preserve">without change to </w:t>
      </w:r>
      <w:r w:rsidR="0004792B" w:rsidRPr="00FC6109">
        <w:t>the</w:t>
      </w:r>
      <w:r w:rsidRPr="00FC6109">
        <w:t xml:space="preserve"> funding arrangements in place for them before this guidance was published</w:t>
      </w:r>
      <w:r w:rsidR="0004792B" w:rsidRPr="00FC6109">
        <w:t>,</w:t>
      </w:r>
      <w:r w:rsidRPr="00F826B0">
        <w:t xml:space="preserve"> until they and their NHS clinician consider it appropriate to stop. </w:t>
      </w:r>
    </w:p>
    <w:p w14:paraId="0F7025C2" w14:textId="77777777" w:rsidR="00D7603E" w:rsidRPr="004C37C2" w:rsidRDefault="00D7603E" w:rsidP="004C37C2">
      <w:pPr>
        <w:pStyle w:val="NICEnormal"/>
        <w:rPr>
          <w:b/>
        </w:rPr>
      </w:pPr>
      <w:r w:rsidRPr="004C37C2">
        <w:rPr>
          <w:b/>
        </w:rPr>
        <w:t>Why the committee made these recommendations</w:t>
      </w:r>
    </w:p>
    <w:p w14:paraId="6C75894C" w14:textId="56DA3F6F" w:rsidR="0089074C" w:rsidRDefault="00C206FA" w:rsidP="00341FD4">
      <w:pPr>
        <w:pStyle w:val="Numberedlevel2text"/>
        <w:numPr>
          <w:ilvl w:val="0"/>
          <w:numId w:val="0"/>
        </w:numPr>
        <w:ind w:left="1134"/>
        <w:rPr>
          <w:lang w:val="en-US"/>
        </w:rPr>
      </w:pPr>
      <w:r>
        <w:rPr>
          <w:lang w:val="en-US"/>
        </w:rPr>
        <w:t>L</w:t>
      </w:r>
      <w:r w:rsidR="00A57C2C" w:rsidRPr="00A57C2C">
        <w:rPr>
          <w:lang w:val="en-US"/>
        </w:rPr>
        <w:t xml:space="preserve">ocally advanced or metastatic </w:t>
      </w:r>
      <w:r>
        <w:rPr>
          <w:lang w:val="en-US"/>
        </w:rPr>
        <w:t>EGFR</w:t>
      </w:r>
      <w:r w:rsidR="000C1EC3">
        <w:rPr>
          <w:lang w:val="en-US"/>
        </w:rPr>
        <w:t xml:space="preserve"> mutation-</w:t>
      </w:r>
      <w:r>
        <w:rPr>
          <w:lang w:val="en-US"/>
        </w:rPr>
        <w:t xml:space="preserve">positive </w:t>
      </w:r>
      <w:r w:rsidR="00A57C2C">
        <w:rPr>
          <w:lang w:val="en-US"/>
        </w:rPr>
        <w:t>NSCLC</w:t>
      </w:r>
      <w:r w:rsidR="0089074C">
        <w:rPr>
          <w:lang w:val="en-US"/>
        </w:rPr>
        <w:t xml:space="preserve"> is usually first treated with afatinib</w:t>
      </w:r>
      <w:r w:rsidR="00C022B8">
        <w:rPr>
          <w:lang w:val="en-US"/>
        </w:rPr>
        <w:t xml:space="preserve">, </w:t>
      </w:r>
      <w:r w:rsidR="00CC3FCA">
        <w:rPr>
          <w:lang w:val="en-US"/>
        </w:rPr>
        <w:t>erlotinib</w:t>
      </w:r>
      <w:r w:rsidR="00C022B8">
        <w:rPr>
          <w:lang w:val="en-US"/>
        </w:rPr>
        <w:t xml:space="preserve"> or gefitinib</w:t>
      </w:r>
      <w:r w:rsidR="0089074C">
        <w:rPr>
          <w:lang w:val="en-US"/>
        </w:rPr>
        <w:t xml:space="preserve">. </w:t>
      </w:r>
    </w:p>
    <w:p w14:paraId="64597056" w14:textId="28961C71" w:rsidR="00D511CA" w:rsidRDefault="0016393D" w:rsidP="00341FD4">
      <w:pPr>
        <w:pStyle w:val="Numberedlevel2text"/>
        <w:numPr>
          <w:ilvl w:val="0"/>
          <w:numId w:val="0"/>
        </w:numPr>
        <w:ind w:left="1134"/>
      </w:pPr>
      <w:r w:rsidRPr="008D1D1B">
        <w:rPr>
          <w:lang w:val="en-US"/>
        </w:rPr>
        <w:t>E</w:t>
      </w:r>
      <w:r w:rsidR="00D511CA" w:rsidRPr="008D1D1B">
        <w:t xml:space="preserve">vidence </w:t>
      </w:r>
      <w:r w:rsidRPr="008D1D1B">
        <w:rPr>
          <w:lang w:val="en-US"/>
        </w:rPr>
        <w:t xml:space="preserve">from a </w:t>
      </w:r>
      <w:r w:rsidR="00BF06E7" w:rsidRPr="00FC6109">
        <w:rPr>
          <w:lang w:val="en-US"/>
        </w:rPr>
        <w:t>random</w:t>
      </w:r>
      <w:r w:rsidR="00A63C51" w:rsidRPr="00FC6109">
        <w:rPr>
          <w:lang w:val="en-US"/>
        </w:rPr>
        <w:t xml:space="preserve">ised controlled trial </w:t>
      </w:r>
      <w:r w:rsidR="008D1D1B">
        <w:rPr>
          <w:lang w:val="en-US"/>
        </w:rPr>
        <w:t>s</w:t>
      </w:r>
      <w:r w:rsidR="00CC4097">
        <w:rPr>
          <w:lang w:val="en-US"/>
        </w:rPr>
        <w:t xml:space="preserve">uggests </w:t>
      </w:r>
      <w:r w:rsidR="00D511CA" w:rsidRPr="008D1D1B">
        <w:t>that</w:t>
      </w:r>
      <w:r w:rsidR="0089074C" w:rsidRPr="008D1D1B">
        <w:rPr>
          <w:lang w:val="en-US"/>
        </w:rPr>
        <w:t xml:space="preserve"> </w:t>
      </w:r>
      <w:r w:rsidR="00A02114" w:rsidRPr="008D1D1B">
        <w:rPr>
          <w:lang w:val="en-US"/>
        </w:rPr>
        <w:t xml:space="preserve">people </w:t>
      </w:r>
      <w:r w:rsidR="00880C0F" w:rsidRPr="008D1D1B">
        <w:rPr>
          <w:lang w:val="en-US"/>
        </w:rPr>
        <w:t xml:space="preserve">who take </w:t>
      </w:r>
      <w:r w:rsidR="0089074C" w:rsidRPr="008D1D1B">
        <w:rPr>
          <w:lang w:val="en-US"/>
        </w:rPr>
        <w:t>dacomitinib</w:t>
      </w:r>
      <w:r w:rsidR="00D511CA" w:rsidRPr="008D1D1B">
        <w:t xml:space="preserve"> </w:t>
      </w:r>
      <w:r w:rsidR="00052BA8" w:rsidRPr="008D1D1B">
        <w:rPr>
          <w:lang w:val="en-US"/>
        </w:rPr>
        <w:t>live</w:t>
      </w:r>
      <w:r w:rsidR="00A02114" w:rsidRPr="008D1D1B">
        <w:rPr>
          <w:lang w:val="en-US"/>
        </w:rPr>
        <w:t xml:space="preserve"> longer </w:t>
      </w:r>
      <w:r w:rsidR="00A63C51" w:rsidRPr="00FC6109">
        <w:rPr>
          <w:lang w:val="en-US"/>
        </w:rPr>
        <w:t>than people who take gefitinib</w:t>
      </w:r>
      <w:r w:rsidR="00A02114" w:rsidRPr="008D1D1B">
        <w:rPr>
          <w:lang w:val="en-US"/>
        </w:rPr>
        <w:t xml:space="preserve">. They also live longer </w:t>
      </w:r>
      <w:r w:rsidR="00CC4097">
        <w:rPr>
          <w:lang w:val="en-US"/>
        </w:rPr>
        <w:t>before their disease gets worse</w:t>
      </w:r>
      <w:r w:rsidR="00A02114" w:rsidRPr="008D1D1B">
        <w:rPr>
          <w:lang w:val="en-US"/>
        </w:rPr>
        <w:t>.</w:t>
      </w:r>
      <w:r w:rsidR="00FD523F" w:rsidRPr="008D1D1B">
        <w:rPr>
          <w:lang w:val="en-US"/>
        </w:rPr>
        <w:t xml:space="preserve"> B</w:t>
      </w:r>
      <w:r w:rsidR="00FD523F" w:rsidRPr="008D1D1B">
        <w:t xml:space="preserve">ut there is no direct evidence comparing </w:t>
      </w:r>
      <w:r w:rsidR="00FD523F" w:rsidRPr="008D1D1B">
        <w:rPr>
          <w:lang w:val="en-US"/>
        </w:rPr>
        <w:t xml:space="preserve">dacomitinib </w:t>
      </w:r>
      <w:r w:rsidR="00FD523F" w:rsidRPr="008D1D1B">
        <w:t>with afatinib, which may be more effective than</w:t>
      </w:r>
      <w:r w:rsidR="00CC4097">
        <w:rPr>
          <w:lang w:val="en-US"/>
        </w:rPr>
        <w:t xml:space="preserve"> erlotinib and</w:t>
      </w:r>
      <w:r w:rsidR="00FD523F" w:rsidRPr="008D1D1B">
        <w:t xml:space="preserve"> gefitinib.</w:t>
      </w:r>
    </w:p>
    <w:p w14:paraId="5637826F" w14:textId="052BF5B8" w:rsidR="00D511CA" w:rsidRDefault="0016393D" w:rsidP="008D1D1B">
      <w:pPr>
        <w:pStyle w:val="Numberedlevel2text"/>
        <w:numPr>
          <w:ilvl w:val="0"/>
          <w:numId w:val="0"/>
        </w:numPr>
        <w:ind w:left="1134"/>
      </w:pPr>
      <w:r w:rsidRPr="008D1D1B">
        <w:rPr>
          <w:lang w:val="en-US"/>
        </w:rPr>
        <w:t>T</w:t>
      </w:r>
      <w:r w:rsidR="00D511CA">
        <w:t xml:space="preserve">here is </w:t>
      </w:r>
      <w:r w:rsidRPr="008D1D1B">
        <w:rPr>
          <w:lang w:val="en-US"/>
        </w:rPr>
        <w:t xml:space="preserve">also </w:t>
      </w:r>
      <w:r w:rsidR="0089074C" w:rsidRPr="008D1D1B">
        <w:rPr>
          <w:lang w:val="en-US"/>
        </w:rPr>
        <w:t xml:space="preserve">uncertainty </w:t>
      </w:r>
      <w:r w:rsidR="00D511CA">
        <w:t>about the assumptions used in the cost-effectiveness modelling, including</w:t>
      </w:r>
      <w:r w:rsidR="008D1D1B" w:rsidRPr="008D1D1B">
        <w:rPr>
          <w:lang w:val="en-US"/>
        </w:rPr>
        <w:t xml:space="preserve"> about utility values, the treatments used after disease progression</w:t>
      </w:r>
      <w:r w:rsidR="008D1D1B" w:rsidRPr="00486F8B">
        <w:rPr>
          <w:lang w:val="en-US"/>
        </w:rPr>
        <w:t xml:space="preserve">, how survival has been extrapolated and </w:t>
      </w:r>
      <w:r w:rsidR="008D1D1B" w:rsidRPr="00767324">
        <w:rPr>
          <w:lang w:val="en-US"/>
        </w:rPr>
        <w:t>the results of the indirect comparisons.</w:t>
      </w:r>
      <w:r w:rsidR="00D511CA">
        <w:t xml:space="preserve"> </w:t>
      </w:r>
    </w:p>
    <w:p w14:paraId="64B947B7" w14:textId="027E47A0" w:rsidR="00254D10" w:rsidRDefault="00254D10" w:rsidP="00254D10">
      <w:pPr>
        <w:pStyle w:val="Numberedlevel2text"/>
        <w:numPr>
          <w:ilvl w:val="0"/>
          <w:numId w:val="0"/>
        </w:numPr>
        <w:tabs>
          <w:tab w:val="left" w:pos="720"/>
        </w:tabs>
        <w:ind w:left="1134"/>
        <w:rPr>
          <w:sz w:val="20"/>
          <w:szCs w:val="20"/>
        </w:rPr>
      </w:pPr>
      <w:r>
        <w:rPr>
          <w:lang w:val="en-US"/>
        </w:rPr>
        <w:t xml:space="preserve">Dacomitinib does not meet NICE’s criteria to be considered a life-extending treatment at the end of life. It also does not meet NICE’s criteria to be included in the Cancer Drugs Fund. </w:t>
      </w:r>
      <w:r>
        <w:t xml:space="preserve">The most plausible cost-effectiveness estimates are above what NICE normally considers an acceptable use of NHS resources. </w:t>
      </w:r>
      <w:r>
        <w:rPr>
          <w:lang w:val="en-US"/>
        </w:rPr>
        <w:t xml:space="preserve">So </w:t>
      </w:r>
      <w:r>
        <w:t>dacomitinib is not recommended.</w:t>
      </w:r>
    </w:p>
    <w:p w14:paraId="7D492449" w14:textId="77777777" w:rsidR="00254D10" w:rsidRDefault="00254D10" w:rsidP="008D1D1B">
      <w:pPr>
        <w:pStyle w:val="Numberedlevel2text"/>
        <w:numPr>
          <w:ilvl w:val="0"/>
          <w:numId w:val="0"/>
        </w:numPr>
        <w:ind w:left="1134"/>
      </w:pPr>
    </w:p>
    <w:p w14:paraId="43FEF5E3" w14:textId="77777777" w:rsidR="000F2D8A" w:rsidRDefault="00E06FDE" w:rsidP="003253AC">
      <w:pPr>
        <w:pStyle w:val="Numberedheading1"/>
      </w:pPr>
      <w:r>
        <w:t xml:space="preserve">Information about </w:t>
      </w:r>
      <w:r w:rsidR="001A166C">
        <w:t>dacomitinib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444"/>
      </w:tblGrid>
      <w:tr w:rsidR="0050276F" w14:paraId="3B7AA2D5" w14:textId="77777777" w:rsidTr="00FF52F3">
        <w:tc>
          <w:tcPr>
            <w:tcW w:w="3085" w:type="dxa"/>
            <w:shd w:val="clear" w:color="auto" w:fill="auto"/>
          </w:tcPr>
          <w:p w14:paraId="272BD770" w14:textId="62131A48" w:rsidR="0050276F" w:rsidRPr="00F826B0" w:rsidRDefault="008D150E" w:rsidP="007A1B41">
            <w:pPr>
              <w:pStyle w:val="Tabletext"/>
              <w:rPr>
                <w:b/>
              </w:rPr>
            </w:pPr>
            <w:r w:rsidRPr="00FC6109">
              <w:rPr>
                <w:b/>
              </w:rPr>
              <w:t xml:space="preserve">Anticipated </w:t>
            </w:r>
            <w:r w:rsidR="00F826B0" w:rsidRPr="00FC6109">
              <w:rPr>
                <w:b/>
              </w:rPr>
              <w:t>m</w:t>
            </w:r>
            <w:r w:rsidRPr="00FC6109">
              <w:rPr>
                <w:b/>
              </w:rPr>
              <w:t xml:space="preserve">arketing </w:t>
            </w:r>
            <w:r w:rsidR="00F826B0" w:rsidRPr="00FC6109">
              <w:rPr>
                <w:b/>
              </w:rPr>
              <w:t>a</w:t>
            </w:r>
            <w:r w:rsidRPr="00FC6109">
              <w:rPr>
                <w:b/>
              </w:rPr>
              <w:t>uthorisation</w:t>
            </w:r>
            <w:r w:rsidR="00F826B0">
              <w:rPr>
                <w:b/>
              </w:rPr>
              <w:t xml:space="preserve"> indication</w:t>
            </w:r>
          </w:p>
        </w:tc>
        <w:tc>
          <w:tcPr>
            <w:tcW w:w="5444" w:type="dxa"/>
            <w:shd w:val="clear" w:color="auto" w:fill="auto"/>
          </w:tcPr>
          <w:p w14:paraId="61740898" w14:textId="01E2DF81" w:rsidR="009264EA" w:rsidRDefault="009264EA" w:rsidP="00745ED4">
            <w:pPr>
              <w:pStyle w:val="Tabletext"/>
            </w:pPr>
            <w:r>
              <w:t xml:space="preserve">On </w:t>
            </w:r>
            <w:r w:rsidR="00F01A57">
              <w:t>31</w:t>
            </w:r>
            <w:r w:rsidR="00F826B0">
              <w:t xml:space="preserve"> </w:t>
            </w:r>
            <w:r w:rsidR="00F01A57">
              <w:t>January 2019</w:t>
            </w:r>
            <w:r w:rsidR="00401432">
              <w:t xml:space="preserve">, </w:t>
            </w:r>
            <w:r>
              <w:t xml:space="preserve">the Committee for Medicinal Products for Human Use (CHMP) adopted a positive opinion, recommending the granting of a marketing authorisation for the medicinal product </w:t>
            </w:r>
            <w:r w:rsidR="001A166C">
              <w:t>dacomitinib</w:t>
            </w:r>
            <w:r w:rsidR="0053000D">
              <w:t xml:space="preserve"> (Vizimpro, Pfizer)</w:t>
            </w:r>
            <w:r w:rsidR="00F826B0">
              <w:t xml:space="preserve">, intended </w:t>
            </w:r>
            <w:r w:rsidR="00F01A57">
              <w:t xml:space="preserve">for the </w:t>
            </w:r>
            <w:r w:rsidR="00267910">
              <w:t xml:space="preserve">first-line </w:t>
            </w:r>
            <w:r w:rsidR="00F01A57">
              <w:t>tre</w:t>
            </w:r>
            <w:r w:rsidR="00F01A57" w:rsidRPr="00F01A57">
              <w:t xml:space="preserve">atment of </w:t>
            </w:r>
            <w:r w:rsidR="00B6796B">
              <w:t xml:space="preserve">adult patients with </w:t>
            </w:r>
            <w:r w:rsidR="00F01A57" w:rsidRPr="00F01A57">
              <w:t>locally advanced or metastatic non-small</w:t>
            </w:r>
            <w:r w:rsidR="009D6E90">
              <w:t>-</w:t>
            </w:r>
            <w:r w:rsidR="00F01A57" w:rsidRPr="00F01A57">
              <w:t xml:space="preserve">cell lung cancer </w:t>
            </w:r>
            <w:r w:rsidR="00B6796B">
              <w:t xml:space="preserve">(NSCLC) </w:t>
            </w:r>
            <w:r w:rsidR="00F01A57" w:rsidRPr="00F01A57">
              <w:t>with epidermal growth factor receptor (EGFR)</w:t>
            </w:r>
            <w:r w:rsidR="00F826B0">
              <w:t>-</w:t>
            </w:r>
            <w:r w:rsidR="00F01A57" w:rsidRPr="00F01A57">
              <w:t xml:space="preserve">activating mutations. </w:t>
            </w:r>
          </w:p>
        </w:tc>
      </w:tr>
      <w:tr w:rsidR="0050276F" w14:paraId="548E66B8" w14:textId="77777777" w:rsidTr="00FF52F3">
        <w:tc>
          <w:tcPr>
            <w:tcW w:w="3085" w:type="dxa"/>
            <w:shd w:val="clear" w:color="auto" w:fill="auto"/>
          </w:tcPr>
          <w:p w14:paraId="6AC5A9A1" w14:textId="77777777" w:rsidR="0050276F" w:rsidRPr="00FB6CBF" w:rsidRDefault="004B00E7" w:rsidP="00FF52F3">
            <w:pPr>
              <w:pStyle w:val="Tabletext"/>
              <w:rPr>
                <w:b/>
              </w:rPr>
            </w:pPr>
            <w:r>
              <w:rPr>
                <w:b/>
              </w:rPr>
              <w:t>Dosage in the marketing authorisation</w:t>
            </w:r>
          </w:p>
        </w:tc>
        <w:tc>
          <w:tcPr>
            <w:tcW w:w="5444" w:type="dxa"/>
            <w:shd w:val="clear" w:color="auto" w:fill="auto"/>
          </w:tcPr>
          <w:p w14:paraId="3C09870A" w14:textId="574C0D9F" w:rsidR="0050276F" w:rsidRDefault="001A166C" w:rsidP="00C37225">
            <w:pPr>
              <w:pStyle w:val="Tabletext"/>
            </w:pPr>
            <w:r>
              <w:t>Based on the company submission</w:t>
            </w:r>
            <w:r w:rsidR="00F01A57">
              <w:t xml:space="preserve">, dacomitinib is given orally at a </w:t>
            </w:r>
            <w:r w:rsidR="00F01A57" w:rsidRPr="00F01A57">
              <w:t>dosage of 4</w:t>
            </w:r>
            <w:r w:rsidR="00F01A57">
              <w:t>5</w:t>
            </w:r>
            <w:r w:rsidR="00F01A57" w:rsidRPr="00F01A57">
              <w:t xml:space="preserve"> mg </w:t>
            </w:r>
            <w:r w:rsidRPr="001A166C">
              <w:t>until disease progression or unacceptable toxicity</w:t>
            </w:r>
            <w:r w:rsidR="00F826B0">
              <w:t xml:space="preserve">. Dacomitinib is </w:t>
            </w:r>
            <w:r w:rsidR="00F826B0" w:rsidRPr="00F01A57">
              <w:t xml:space="preserve">available in </w:t>
            </w:r>
            <w:r w:rsidR="00F826B0">
              <w:t>3</w:t>
            </w:r>
            <w:r w:rsidR="00F826B0" w:rsidRPr="00F01A57">
              <w:t xml:space="preserve"> dose strengths</w:t>
            </w:r>
            <w:r w:rsidR="00F826B0">
              <w:t xml:space="preserve">: </w:t>
            </w:r>
            <w:r w:rsidR="00F826B0" w:rsidRPr="00F01A57">
              <w:t>45</w:t>
            </w:r>
            <w:r w:rsidR="00F826B0">
              <w:t> </w:t>
            </w:r>
            <w:r w:rsidR="00F826B0" w:rsidRPr="00F01A57">
              <w:t>mg, 30</w:t>
            </w:r>
            <w:r w:rsidR="00F826B0">
              <w:t> </w:t>
            </w:r>
            <w:r w:rsidR="00F826B0" w:rsidRPr="00F01A57">
              <w:t>mg and 15</w:t>
            </w:r>
            <w:r w:rsidR="00F826B0">
              <w:t> </w:t>
            </w:r>
            <w:r w:rsidR="00F826B0" w:rsidRPr="00F01A57">
              <w:t>mg</w:t>
            </w:r>
            <w:r w:rsidR="00F826B0">
              <w:t>.</w:t>
            </w:r>
          </w:p>
        </w:tc>
      </w:tr>
      <w:tr w:rsidR="0050276F" w14:paraId="2DF4FCE6" w14:textId="77777777" w:rsidTr="00FF52F3">
        <w:tc>
          <w:tcPr>
            <w:tcW w:w="3085" w:type="dxa"/>
            <w:shd w:val="clear" w:color="auto" w:fill="auto"/>
          </w:tcPr>
          <w:p w14:paraId="760783BF" w14:textId="77777777" w:rsidR="0050276F" w:rsidRPr="00FB6CBF" w:rsidRDefault="0050276F" w:rsidP="00FF52F3">
            <w:pPr>
              <w:pStyle w:val="Tabletext"/>
              <w:rPr>
                <w:b/>
              </w:rPr>
            </w:pPr>
            <w:r w:rsidRPr="00FB6CBF">
              <w:rPr>
                <w:b/>
              </w:rPr>
              <w:t>Price</w:t>
            </w:r>
          </w:p>
        </w:tc>
        <w:tc>
          <w:tcPr>
            <w:tcW w:w="5444" w:type="dxa"/>
            <w:shd w:val="clear" w:color="auto" w:fill="auto"/>
          </w:tcPr>
          <w:p w14:paraId="1A202020" w14:textId="4C95EF04" w:rsidR="00401432" w:rsidRDefault="00401432" w:rsidP="00575FB6">
            <w:pPr>
              <w:pStyle w:val="Tabletext"/>
            </w:pPr>
            <w:r w:rsidRPr="00401432">
              <w:t>The price was submitted as commercial in confidence.</w:t>
            </w:r>
          </w:p>
          <w:p w14:paraId="2478161C" w14:textId="2EFF3FB3" w:rsidR="004669B5" w:rsidRDefault="00443146" w:rsidP="00F826B0">
            <w:pPr>
              <w:pStyle w:val="Tabletext"/>
            </w:pPr>
            <w:r>
              <w:t>The company has a commercial arrangement</w:t>
            </w:r>
            <w:r w:rsidR="001C725B">
              <w:t>,</w:t>
            </w:r>
            <w:r>
              <w:t xml:space="preserve"> </w:t>
            </w:r>
            <w:r w:rsidR="00575FB6">
              <w:t>which would</w:t>
            </w:r>
            <w:r w:rsidR="001032BC">
              <w:t xml:space="preserve"> have</w:t>
            </w:r>
            <w:r w:rsidR="00575FB6">
              <w:t xml:space="preserve"> appl</w:t>
            </w:r>
            <w:r w:rsidR="001032BC">
              <w:t>ied</w:t>
            </w:r>
            <w:r w:rsidR="00575FB6">
              <w:t xml:space="preserve"> if the technology had been recommended.</w:t>
            </w:r>
          </w:p>
        </w:tc>
      </w:tr>
    </w:tbl>
    <w:p w14:paraId="2A96DD65" w14:textId="77777777" w:rsidR="0050276F" w:rsidRPr="0050276F" w:rsidRDefault="0050276F" w:rsidP="0050276F">
      <w:pPr>
        <w:pStyle w:val="Numberedlevel2text"/>
        <w:numPr>
          <w:ilvl w:val="0"/>
          <w:numId w:val="0"/>
        </w:numPr>
        <w:ind w:left="1134"/>
      </w:pPr>
    </w:p>
    <w:p w14:paraId="78B83D5C" w14:textId="77777777" w:rsidR="00C67912" w:rsidRPr="000F2D8A" w:rsidRDefault="00C67912" w:rsidP="00C67912">
      <w:pPr>
        <w:pStyle w:val="Numberedheading1"/>
      </w:pPr>
      <w:r w:rsidRPr="000F2D8A">
        <w:t>Co</w:t>
      </w:r>
      <w:r>
        <w:t>mmittee discussion</w:t>
      </w:r>
    </w:p>
    <w:p w14:paraId="4F16F22D" w14:textId="066524EB" w:rsidR="00346492" w:rsidRPr="00346492" w:rsidRDefault="000F2D8A" w:rsidP="006759F6">
      <w:pPr>
        <w:pStyle w:val="NICEnormal"/>
      </w:pPr>
      <w:r w:rsidRPr="000F2D8A">
        <w:t xml:space="preserve">The </w:t>
      </w:r>
      <w:r w:rsidR="0094534D">
        <w:t>a</w:t>
      </w:r>
      <w:r w:rsidRPr="000F2D8A">
        <w:t xml:space="preserve">ppraisal </w:t>
      </w:r>
      <w:r w:rsidR="0094534D">
        <w:t>c</w:t>
      </w:r>
      <w:r w:rsidRPr="000F2D8A">
        <w:t xml:space="preserve">ommittee </w:t>
      </w:r>
      <w:r w:rsidR="00AC42A4">
        <w:t xml:space="preserve">(section </w:t>
      </w:r>
      <w:r w:rsidR="00F826B0">
        <w:t>5</w:t>
      </w:r>
      <w:r w:rsidR="00AC42A4">
        <w:t xml:space="preserve">) </w:t>
      </w:r>
      <w:r w:rsidRPr="000F2D8A">
        <w:t xml:space="preserve">considered </w:t>
      </w:r>
      <w:r w:rsidR="0053000D" w:rsidRPr="007D7F83">
        <w:t xml:space="preserve">evidence </w:t>
      </w:r>
      <w:r w:rsidR="0053000D" w:rsidRPr="006032BF">
        <w:t>submitted</w:t>
      </w:r>
      <w:r w:rsidR="0053000D" w:rsidRPr="007D7F83">
        <w:t xml:space="preserve"> by </w:t>
      </w:r>
      <w:r w:rsidR="0053000D">
        <w:t>Pfizer a</w:t>
      </w:r>
      <w:r w:rsidR="0053000D" w:rsidRPr="007D7F83">
        <w:t xml:space="preserve">nd a review of this submission by the </w:t>
      </w:r>
      <w:r w:rsidR="0053000D">
        <w:t>e</w:t>
      </w:r>
      <w:r w:rsidR="0053000D" w:rsidRPr="007D7F83">
        <w:t xml:space="preserve">vidence </w:t>
      </w:r>
      <w:r w:rsidR="0053000D">
        <w:t>r</w:t>
      </w:r>
      <w:r w:rsidR="0053000D" w:rsidRPr="007D7F83">
        <w:t xml:space="preserve">eview </w:t>
      </w:r>
      <w:r w:rsidR="0053000D">
        <w:t>g</w:t>
      </w:r>
      <w:r w:rsidR="0053000D" w:rsidRPr="007D7F83">
        <w:t>roup (ERG).</w:t>
      </w:r>
      <w:r w:rsidR="0053000D">
        <w:t xml:space="preserve"> </w:t>
      </w:r>
      <w:r w:rsidR="004B6779">
        <w:t xml:space="preserve">See the </w:t>
      </w:r>
      <w:hyperlink r:id="rId10" w:history="1">
        <w:r w:rsidR="00346492" w:rsidRPr="00D81AD5">
          <w:rPr>
            <w:rStyle w:val="Hyperlink"/>
          </w:rPr>
          <w:t>committee</w:t>
        </w:r>
        <w:r w:rsidR="00434677" w:rsidRPr="0095434A">
          <w:rPr>
            <w:rStyle w:val="Hyperlink"/>
          </w:rPr>
          <w:t xml:space="preserve"> papers</w:t>
        </w:r>
      </w:hyperlink>
      <w:r w:rsidR="004B6779">
        <w:t xml:space="preserve"> for full details of the evidence.</w:t>
      </w:r>
    </w:p>
    <w:p w14:paraId="3E5576A6" w14:textId="77777777" w:rsidR="00C67912" w:rsidRDefault="003074B2" w:rsidP="003074B2">
      <w:pPr>
        <w:pStyle w:val="Heading2"/>
      </w:pPr>
      <w:r>
        <w:t>Clinical need</w:t>
      </w:r>
      <w:r w:rsidR="00C67912">
        <w:t xml:space="preserve"> </w:t>
      </w:r>
    </w:p>
    <w:p w14:paraId="6FB59106" w14:textId="5231E7F7" w:rsidR="00C67912" w:rsidRPr="00AE3728" w:rsidRDefault="00F826B0" w:rsidP="006E1B4A">
      <w:pPr>
        <w:pStyle w:val="Heading3"/>
      </w:pPr>
      <w:r>
        <w:t>People would welcome a</w:t>
      </w:r>
      <w:r w:rsidR="003074B2" w:rsidRPr="003074B2">
        <w:t xml:space="preserve"> new treatment option</w:t>
      </w:r>
    </w:p>
    <w:p w14:paraId="23898167" w14:textId="69896E62" w:rsidR="005447A3" w:rsidRDefault="008D150E" w:rsidP="005447A3">
      <w:pPr>
        <w:pStyle w:val="Numberedlevel2text"/>
        <w:rPr>
          <w:lang w:val="en-GB"/>
        </w:rPr>
      </w:pPr>
      <w:r w:rsidRPr="005447A3">
        <w:rPr>
          <w:lang w:val="en-GB"/>
        </w:rPr>
        <w:t xml:space="preserve">The </w:t>
      </w:r>
      <w:r w:rsidR="003074B2" w:rsidRPr="003074B2">
        <w:t xml:space="preserve">patient experts </w:t>
      </w:r>
      <w:r w:rsidR="00DC56FD">
        <w:rPr>
          <w:lang w:val="en-US"/>
        </w:rPr>
        <w:t>highlighted</w:t>
      </w:r>
      <w:r w:rsidR="003074B2" w:rsidRPr="003074B2">
        <w:t xml:space="preserve"> </w:t>
      </w:r>
      <w:r w:rsidR="003074B2" w:rsidRPr="005447A3">
        <w:rPr>
          <w:lang w:val="en-GB"/>
        </w:rPr>
        <w:t xml:space="preserve">that </w:t>
      </w:r>
      <w:r w:rsidR="00254D10" w:rsidRPr="00F01A57">
        <w:t xml:space="preserve">epidermal growth factor receptor </w:t>
      </w:r>
      <w:r w:rsidR="00254D10">
        <w:rPr>
          <w:lang w:val="en-US"/>
        </w:rPr>
        <w:t>(</w:t>
      </w:r>
      <w:r w:rsidRPr="005447A3">
        <w:rPr>
          <w:lang w:val="en-GB"/>
        </w:rPr>
        <w:t>EGFR</w:t>
      </w:r>
      <w:r w:rsidR="00254D10">
        <w:rPr>
          <w:lang w:val="en-GB"/>
        </w:rPr>
        <w:t>)</w:t>
      </w:r>
      <w:r w:rsidR="007E339B">
        <w:rPr>
          <w:lang w:val="en-GB"/>
        </w:rPr>
        <w:t xml:space="preserve"> mutation</w:t>
      </w:r>
      <w:r w:rsidR="00DC56FD">
        <w:rPr>
          <w:lang w:val="en-GB"/>
        </w:rPr>
        <w:t>-</w:t>
      </w:r>
      <w:r w:rsidRPr="005447A3">
        <w:rPr>
          <w:lang w:val="en-GB"/>
        </w:rPr>
        <w:t xml:space="preserve">positive </w:t>
      </w:r>
      <w:r w:rsidR="00DC56FD">
        <w:rPr>
          <w:lang w:val="en-GB"/>
        </w:rPr>
        <w:t>non-small-cell lung cancer (</w:t>
      </w:r>
      <w:r w:rsidRPr="005447A3">
        <w:rPr>
          <w:lang w:val="en-GB"/>
        </w:rPr>
        <w:t>NSCLC</w:t>
      </w:r>
      <w:r w:rsidR="00DC56FD">
        <w:rPr>
          <w:lang w:val="en-GB"/>
        </w:rPr>
        <w:t>)</w:t>
      </w:r>
      <w:r w:rsidRPr="005447A3">
        <w:rPr>
          <w:lang w:val="en-GB"/>
        </w:rPr>
        <w:t xml:space="preserve"> tend</w:t>
      </w:r>
      <w:r w:rsidR="00DC56FD">
        <w:rPr>
          <w:lang w:val="en-GB"/>
        </w:rPr>
        <w:t>s</w:t>
      </w:r>
      <w:r w:rsidRPr="005447A3">
        <w:rPr>
          <w:lang w:val="en-GB"/>
        </w:rPr>
        <w:t xml:space="preserve"> to present late</w:t>
      </w:r>
      <w:r w:rsidR="00DC56FD">
        <w:rPr>
          <w:lang w:val="en-GB"/>
        </w:rPr>
        <w:t>, so people</w:t>
      </w:r>
      <w:r w:rsidRPr="005447A3">
        <w:rPr>
          <w:lang w:val="en-GB"/>
        </w:rPr>
        <w:t xml:space="preserve"> have more advanced disease at diagnosis</w:t>
      </w:r>
      <w:r w:rsidR="00DC56FD">
        <w:rPr>
          <w:lang w:val="en-GB"/>
        </w:rPr>
        <w:t xml:space="preserve"> compared with the wider NSCLC population</w:t>
      </w:r>
      <w:r w:rsidRPr="005447A3">
        <w:rPr>
          <w:lang w:val="en-GB"/>
        </w:rPr>
        <w:t>. The</w:t>
      </w:r>
      <w:r w:rsidR="00DC56FD">
        <w:rPr>
          <w:lang w:val="en-GB"/>
        </w:rPr>
        <w:t xml:space="preserve"> patient experts also noted that </w:t>
      </w:r>
      <w:r w:rsidR="005447A3" w:rsidRPr="005447A3">
        <w:rPr>
          <w:lang w:val="en-GB"/>
        </w:rPr>
        <w:t xml:space="preserve">dacomitinib </w:t>
      </w:r>
      <w:r w:rsidR="00DC56FD">
        <w:rPr>
          <w:lang w:val="en-GB"/>
        </w:rPr>
        <w:t>may</w:t>
      </w:r>
      <w:r w:rsidR="005447A3" w:rsidRPr="005447A3">
        <w:rPr>
          <w:lang w:val="en-GB"/>
        </w:rPr>
        <w:t xml:space="preserve"> improve overall survival</w:t>
      </w:r>
      <w:r w:rsidR="00DC56FD">
        <w:rPr>
          <w:lang w:val="en-GB"/>
        </w:rPr>
        <w:t xml:space="preserve">, which is especially </w:t>
      </w:r>
      <w:r w:rsidRPr="008D150E">
        <w:rPr>
          <w:lang w:val="en-GB"/>
        </w:rPr>
        <w:t>importan</w:t>
      </w:r>
      <w:r w:rsidR="00DC56FD">
        <w:rPr>
          <w:lang w:val="en-GB"/>
        </w:rPr>
        <w:t>t</w:t>
      </w:r>
      <w:r w:rsidRPr="008D150E">
        <w:rPr>
          <w:lang w:val="en-GB"/>
        </w:rPr>
        <w:t xml:space="preserve"> to </w:t>
      </w:r>
      <w:r w:rsidRPr="005447A3">
        <w:rPr>
          <w:lang w:val="en-GB"/>
        </w:rPr>
        <w:t>patients a</w:t>
      </w:r>
      <w:r w:rsidRPr="008D150E">
        <w:rPr>
          <w:lang w:val="en-GB"/>
        </w:rPr>
        <w:t>nd their families</w:t>
      </w:r>
      <w:r w:rsidRPr="005447A3">
        <w:rPr>
          <w:lang w:val="en-GB"/>
        </w:rPr>
        <w:t>.</w:t>
      </w:r>
      <w:r w:rsidR="005447A3">
        <w:rPr>
          <w:lang w:val="en-GB"/>
        </w:rPr>
        <w:t xml:space="preserve"> </w:t>
      </w:r>
      <w:r w:rsidR="005447A3" w:rsidRPr="005447A3">
        <w:rPr>
          <w:lang w:val="en-GB"/>
        </w:rPr>
        <w:t xml:space="preserve">The committee agreed that </w:t>
      </w:r>
      <w:r w:rsidR="000F6EC9">
        <w:rPr>
          <w:lang w:val="en-GB"/>
        </w:rPr>
        <w:t xml:space="preserve">people </w:t>
      </w:r>
      <w:r w:rsidR="000F6EC9">
        <w:rPr>
          <w:lang w:val="en-GB"/>
        </w:rPr>
        <w:lastRenderedPageBreak/>
        <w:t>with EGFR</w:t>
      </w:r>
      <w:r w:rsidR="006513FE">
        <w:rPr>
          <w:lang w:val="en-GB"/>
        </w:rPr>
        <w:t xml:space="preserve"> mutation</w:t>
      </w:r>
      <w:r w:rsidR="000F6EC9">
        <w:rPr>
          <w:lang w:val="en-GB"/>
        </w:rPr>
        <w:t>-positive NSCLC would welcome additional</w:t>
      </w:r>
      <w:r w:rsidR="000F6EC9" w:rsidRPr="005447A3">
        <w:rPr>
          <w:lang w:val="en-GB"/>
        </w:rPr>
        <w:t xml:space="preserve"> </w:t>
      </w:r>
      <w:r w:rsidR="005447A3" w:rsidRPr="005447A3">
        <w:rPr>
          <w:lang w:val="en-GB"/>
        </w:rPr>
        <w:t xml:space="preserve">treatment options </w:t>
      </w:r>
      <w:r w:rsidR="000F6EC9">
        <w:rPr>
          <w:lang w:val="en-GB"/>
        </w:rPr>
        <w:t>that</w:t>
      </w:r>
      <w:r w:rsidR="005447A3" w:rsidRPr="005447A3">
        <w:rPr>
          <w:lang w:val="en-GB"/>
        </w:rPr>
        <w:t xml:space="preserve"> </w:t>
      </w:r>
      <w:r w:rsidR="005447A3">
        <w:rPr>
          <w:lang w:val="en-GB"/>
        </w:rPr>
        <w:t>improv</w:t>
      </w:r>
      <w:r w:rsidR="000F6EC9">
        <w:rPr>
          <w:lang w:val="en-GB"/>
        </w:rPr>
        <w:t>e</w:t>
      </w:r>
      <w:r w:rsidR="005447A3">
        <w:rPr>
          <w:lang w:val="en-GB"/>
        </w:rPr>
        <w:t xml:space="preserve"> overall survival.</w:t>
      </w:r>
    </w:p>
    <w:p w14:paraId="6D360762" w14:textId="77777777" w:rsidR="005447A3" w:rsidRDefault="005447A3" w:rsidP="005447A3">
      <w:pPr>
        <w:pStyle w:val="Heading2"/>
        <w:rPr>
          <w:lang w:val="en-GB"/>
        </w:rPr>
      </w:pPr>
      <w:r>
        <w:t>Clinical management</w:t>
      </w:r>
    </w:p>
    <w:p w14:paraId="4CC638EE" w14:textId="400175BE" w:rsidR="00530440" w:rsidRPr="00530440" w:rsidRDefault="00530440" w:rsidP="00530440">
      <w:pPr>
        <w:pStyle w:val="Heading3"/>
      </w:pPr>
      <w:r>
        <w:t>Erlotinib, gefitinib and afatinib are appropriate comparators</w:t>
      </w:r>
    </w:p>
    <w:p w14:paraId="6B82E5E3" w14:textId="7F78797B" w:rsidR="00530440" w:rsidRDefault="007E64B3" w:rsidP="00530440">
      <w:pPr>
        <w:pStyle w:val="Numberedlevel2text"/>
        <w:rPr>
          <w:lang w:val="en-GB"/>
        </w:rPr>
      </w:pPr>
      <w:r w:rsidRPr="00B840FD">
        <w:t xml:space="preserve">The clinical </w:t>
      </w:r>
      <w:r w:rsidR="00A278A5" w:rsidRPr="00B840FD">
        <w:t xml:space="preserve">experts </w:t>
      </w:r>
      <w:r w:rsidR="00EC54D9">
        <w:rPr>
          <w:lang w:val="en-US"/>
        </w:rPr>
        <w:t xml:space="preserve">explained </w:t>
      </w:r>
      <w:r w:rsidRPr="00B840FD">
        <w:t xml:space="preserve">that </w:t>
      </w:r>
      <w:r w:rsidR="00366ABE">
        <w:rPr>
          <w:lang w:val="en-US"/>
        </w:rPr>
        <w:t xml:space="preserve">in line with NICE guidance, </w:t>
      </w:r>
      <w:r w:rsidR="009410D0">
        <w:rPr>
          <w:lang w:val="en-US"/>
        </w:rPr>
        <w:t xml:space="preserve">locally advanced or metastatic </w:t>
      </w:r>
      <w:r w:rsidRPr="00B840FD">
        <w:t>EGFR</w:t>
      </w:r>
      <w:r w:rsidR="007E339B">
        <w:rPr>
          <w:lang w:val="en-GB"/>
        </w:rPr>
        <w:t xml:space="preserve"> mutation</w:t>
      </w:r>
      <w:r w:rsidR="003442B7">
        <w:rPr>
          <w:lang w:val="en-GB"/>
        </w:rPr>
        <w:t>-</w:t>
      </w:r>
      <w:r w:rsidRPr="00B840FD">
        <w:t xml:space="preserve">positive </w:t>
      </w:r>
      <w:r w:rsidR="00EC54D9">
        <w:rPr>
          <w:lang w:val="en-US"/>
        </w:rPr>
        <w:t xml:space="preserve">NSCLC is usually first treated with </w:t>
      </w:r>
      <w:r w:rsidRPr="00B840FD">
        <w:t>a tyrosine kinase inhibitor</w:t>
      </w:r>
      <w:r w:rsidR="00254D10">
        <w:rPr>
          <w:lang w:val="en-US"/>
        </w:rPr>
        <w:t xml:space="preserve"> such as</w:t>
      </w:r>
      <w:r w:rsidR="0071343D">
        <w:rPr>
          <w:lang w:val="en-US"/>
        </w:rPr>
        <w:t xml:space="preserve"> </w:t>
      </w:r>
      <w:hyperlink r:id="rId11" w:history="1">
        <w:r w:rsidR="0071343D" w:rsidRPr="0071343D">
          <w:rPr>
            <w:rStyle w:val="Hyperlink"/>
            <w:lang w:val="en-GB"/>
          </w:rPr>
          <w:t>e</w:t>
        </w:r>
        <w:r w:rsidRPr="0071343D">
          <w:rPr>
            <w:rStyle w:val="Hyperlink"/>
            <w:lang w:val="en-GB"/>
          </w:rPr>
          <w:t>rlotinib</w:t>
        </w:r>
      </w:hyperlink>
      <w:r w:rsidR="0071343D" w:rsidRPr="00FC6109">
        <w:t xml:space="preserve">, </w:t>
      </w:r>
      <w:hyperlink r:id="rId12" w:history="1">
        <w:r w:rsidR="0071343D" w:rsidRPr="0071343D">
          <w:rPr>
            <w:rStyle w:val="Hyperlink"/>
            <w:lang w:val="en-US"/>
          </w:rPr>
          <w:t>gefitinib</w:t>
        </w:r>
      </w:hyperlink>
      <w:r w:rsidR="0071343D">
        <w:rPr>
          <w:lang w:val="en-US"/>
        </w:rPr>
        <w:t xml:space="preserve"> </w:t>
      </w:r>
      <w:r w:rsidR="00254D10">
        <w:rPr>
          <w:lang w:val="en-US"/>
        </w:rPr>
        <w:t>or</w:t>
      </w:r>
      <w:r w:rsidR="0071343D">
        <w:rPr>
          <w:lang w:val="en-US"/>
        </w:rPr>
        <w:t xml:space="preserve"> </w:t>
      </w:r>
      <w:hyperlink r:id="rId13" w:history="1">
        <w:r w:rsidR="0071343D" w:rsidRPr="0071343D">
          <w:rPr>
            <w:rStyle w:val="Hyperlink"/>
            <w:lang w:val="en-US"/>
          </w:rPr>
          <w:t>afatinib</w:t>
        </w:r>
      </w:hyperlink>
      <w:r w:rsidR="0071343D">
        <w:rPr>
          <w:lang w:val="en-US"/>
        </w:rPr>
        <w:t xml:space="preserve">. </w:t>
      </w:r>
      <w:r w:rsidR="00A278A5" w:rsidRPr="00B840FD">
        <w:t xml:space="preserve">The committee understood that afatinib </w:t>
      </w:r>
      <w:r w:rsidR="0071343D">
        <w:rPr>
          <w:lang w:val="en-US"/>
        </w:rPr>
        <w:t>is</w:t>
      </w:r>
      <w:r w:rsidR="0071343D" w:rsidRPr="00B840FD">
        <w:t xml:space="preserve"> </w:t>
      </w:r>
      <w:r w:rsidR="0071343D">
        <w:rPr>
          <w:lang w:val="en-US"/>
        </w:rPr>
        <w:t xml:space="preserve">more common </w:t>
      </w:r>
      <w:r w:rsidR="00A278A5" w:rsidRPr="00B840FD">
        <w:t xml:space="preserve">in NHS clinical practice in England because as a second-generation tyrosine kinase inhibitor it </w:t>
      </w:r>
      <w:r w:rsidR="0071547A">
        <w:rPr>
          <w:lang w:val="en-US"/>
        </w:rPr>
        <w:t>is better than</w:t>
      </w:r>
      <w:r w:rsidR="00B840FD" w:rsidRPr="00B840FD">
        <w:t xml:space="preserve"> </w:t>
      </w:r>
      <w:r w:rsidR="0071343D">
        <w:rPr>
          <w:lang w:val="en-US"/>
        </w:rPr>
        <w:t xml:space="preserve">both </w:t>
      </w:r>
      <w:r w:rsidR="00B840FD" w:rsidRPr="00B840FD">
        <w:t>erlotinib and gefitinib (first</w:t>
      </w:r>
      <w:r w:rsidR="0071343D">
        <w:rPr>
          <w:lang w:val="en-US"/>
        </w:rPr>
        <w:t>-</w:t>
      </w:r>
      <w:r w:rsidR="00B840FD" w:rsidRPr="00B840FD">
        <w:t xml:space="preserve">generation tyrosine kinase inhibitors) in </w:t>
      </w:r>
      <w:r w:rsidR="0071547A">
        <w:rPr>
          <w:lang w:val="en-US"/>
        </w:rPr>
        <w:t xml:space="preserve">terms of </w:t>
      </w:r>
      <w:r w:rsidR="00B840FD" w:rsidRPr="00B840FD">
        <w:t>prolonging progression-free survival</w:t>
      </w:r>
      <w:r w:rsidR="00B840FD">
        <w:t xml:space="preserve">. The committee also understood that afatinib </w:t>
      </w:r>
      <w:r w:rsidR="0071343D">
        <w:rPr>
          <w:lang w:val="en-US"/>
        </w:rPr>
        <w:t>is associated with</w:t>
      </w:r>
      <w:r w:rsidR="0071343D">
        <w:t xml:space="preserve"> </w:t>
      </w:r>
      <w:r w:rsidR="00B840FD">
        <w:t xml:space="preserve">more adverse events than </w:t>
      </w:r>
      <w:r w:rsidR="00B840FD" w:rsidRPr="00B840FD">
        <w:t xml:space="preserve">erlotinib </w:t>
      </w:r>
      <w:r w:rsidR="00B840FD">
        <w:t xml:space="preserve">and </w:t>
      </w:r>
      <w:r w:rsidR="00B840FD" w:rsidRPr="00B840FD">
        <w:t>gefitinib</w:t>
      </w:r>
      <w:r w:rsidR="0071343D">
        <w:rPr>
          <w:lang w:val="en-US"/>
        </w:rPr>
        <w:t>,</w:t>
      </w:r>
      <w:r w:rsidR="00B840FD">
        <w:t xml:space="preserve"> </w:t>
      </w:r>
      <w:r w:rsidR="0071343D">
        <w:rPr>
          <w:lang w:val="en-US"/>
        </w:rPr>
        <w:t>so it is generally only</w:t>
      </w:r>
      <w:r w:rsidR="00B840FD" w:rsidRPr="00B840FD">
        <w:t xml:space="preserve"> offered to p</w:t>
      </w:r>
      <w:r w:rsidR="007D7E6F">
        <w:rPr>
          <w:lang w:val="en-US"/>
        </w:rPr>
        <w:t>eople</w:t>
      </w:r>
      <w:r w:rsidR="00B840FD" w:rsidRPr="00B840FD">
        <w:t xml:space="preserve"> </w:t>
      </w:r>
      <w:r w:rsidR="0071343D">
        <w:rPr>
          <w:lang w:val="en-US"/>
        </w:rPr>
        <w:t>with</w:t>
      </w:r>
      <w:r w:rsidR="00B840FD">
        <w:t xml:space="preserve"> good</w:t>
      </w:r>
      <w:r w:rsidR="0071343D">
        <w:rPr>
          <w:lang w:val="en-US"/>
        </w:rPr>
        <w:t xml:space="preserve"> </w:t>
      </w:r>
      <w:r w:rsidR="0071343D">
        <w:rPr>
          <w:rFonts w:cs="Arial"/>
          <w:color w:val="222222"/>
          <w:shd w:val="clear" w:color="auto" w:fill="FFFFFF"/>
        </w:rPr>
        <w:t>Eastern Cooperative Oncology Group</w:t>
      </w:r>
      <w:r w:rsidR="0071343D">
        <w:rPr>
          <w:rFonts w:cs="Arial"/>
          <w:color w:val="222222"/>
          <w:shd w:val="clear" w:color="auto" w:fill="FFFFFF"/>
          <w:lang w:val="en-US"/>
        </w:rPr>
        <w:t xml:space="preserve"> (</w:t>
      </w:r>
      <w:r w:rsidR="00B840FD">
        <w:t>ECOG</w:t>
      </w:r>
      <w:r w:rsidR="0071343D">
        <w:rPr>
          <w:lang w:val="en-US"/>
        </w:rPr>
        <w:t>)</w:t>
      </w:r>
      <w:r w:rsidR="00B840FD">
        <w:t xml:space="preserve"> performance status. The clinical experts </w:t>
      </w:r>
      <w:r w:rsidR="00A81525">
        <w:rPr>
          <w:lang w:val="en-US"/>
        </w:rPr>
        <w:t xml:space="preserve">explained </w:t>
      </w:r>
      <w:r w:rsidR="00B840FD">
        <w:t xml:space="preserve">that </w:t>
      </w:r>
      <w:r w:rsidR="00306299">
        <w:rPr>
          <w:lang w:val="en-US"/>
        </w:rPr>
        <w:t xml:space="preserve">this would also be the case for </w:t>
      </w:r>
      <w:r w:rsidR="00B840FD">
        <w:t>dacomitinib</w:t>
      </w:r>
      <w:r w:rsidR="00306299">
        <w:rPr>
          <w:lang w:val="en-US"/>
        </w:rPr>
        <w:t xml:space="preserve">. </w:t>
      </w:r>
      <w:r w:rsidR="00530440">
        <w:t xml:space="preserve">The committee </w:t>
      </w:r>
      <w:r w:rsidR="00FD4C0B">
        <w:rPr>
          <w:lang w:val="en-GB"/>
        </w:rPr>
        <w:t xml:space="preserve">agreed </w:t>
      </w:r>
      <w:r w:rsidR="00530440">
        <w:t>that</w:t>
      </w:r>
      <w:r w:rsidR="00530440">
        <w:rPr>
          <w:lang w:val="en-GB"/>
        </w:rPr>
        <w:t xml:space="preserve"> although afatinib </w:t>
      </w:r>
      <w:r w:rsidR="00306299">
        <w:rPr>
          <w:lang w:val="en-GB"/>
        </w:rPr>
        <w:t>is</w:t>
      </w:r>
      <w:r w:rsidR="00530440">
        <w:rPr>
          <w:lang w:val="en-GB"/>
        </w:rPr>
        <w:t xml:space="preserve"> the most commonly used tyrosine kinase inhibitor</w:t>
      </w:r>
      <w:r w:rsidR="00FD4C0B">
        <w:rPr>
          <w:lang w:val="en-GB"/>
        </w:rPr>
        <w:t xml:space="preserve"> and ha</w:t>
      </w:r>
      <w:r w:rsidR="00306299">
        <w:rPr>
          <w:lang w:val="en-GB"/>
        </w:rPr>
        <w:t>s</w:t>
      </w:r>
      <w:r w:rsidR="00FD4C0B">
        <w:rPr>
          <w:lang w:val="en-GB"/>
        </w:rPr>
        <w:t xml:space="preserve"> a similar adverse</w:t>
      </w:r>
      <w:r w:rsidR="009D6E90">
        <w:rPr>
          <w:lang w:val="en-GB"/>
        </w:rPr>
        <w:t>-</w:t>
      </w:r>
      <w:r w:rsidR="00FD4C0B">
        <w:rPr>
          <w:lang w:val="en-GB"/>
        </w:rPr>
        <w:t xml:space="preserve">event profile to dacomitinib, </w:t>
      </w:r>
      <w:r w:rsidR="00530440">
        <w:rPr>
          <w:lang w:val="en-GB"/>
        </w:rPr>
        <w:t>gefitinib</w:t>
      </w:r>
      <w:r w:rsidR="00FD4C0B">
        <w:rPr>
          <w:lang w:val="en-GB"/>
        </w:rPr>
        <w:t xml:space="preserve"> and e</w:t>
      </w:r>
      <w:r w:rsidR="00530440">
        <w:rPr>
          <w:lang w:val="en-GB"/>
        </w:rPr>
        <w:t xml:space="preserve">rlotinib </w:t>
      </w:r>
      <w:r w:rsidR="00535B0C">
        <w:rPr>
          <w:lang w:val="en-GB"/>
        </w:rPr>
        <w:t>were also</w:t>
      </w:r>
      <w:r w:rsidR="00FD4C0B">
        <w:rPr>
          <w:lang w:val="en-GB"/>
        </w:rPr>
        <w:t xml:space="preserve"> </w:t>
      </w:r>
      <w:r w:rsidR="004105C3" w:rsidRPr="004105C3">
        <w:rPr>
          <w:lang w:val="en-GB"/>
        </w:rPr>
        <w:t xml:space="preserve">used in established NHS practice in England and </w:t>
      </w:r>
      <w:r w:rsidR="00535B0C">
        <w:rPr>
          <w:lang w:val="en-GB"/>
        </w:rPr>
        <w:t>so were</w:t>
      </w:r>
      <w:r w:rsidR="004105C3" w:rsidRPr="004105C3">
        <w:rPr>
          <w:lang w:val="en-GB"/>
        </w:rPr>
        <w:t xml:space="preserve"> </w:t>
      </w:r>
      <w:r w:rsidR="00FD4C0B">
        <w:rPr>
          <w:lang w:val="en-GB"/>
        </w:rPr>
        <w:t xml:space="preserve">listed as comparators in the final scope issued by NICE. </w:t>
      </w:r>
    </w:p>
    <w:p w14:paraId="17BA3718" w14:textId="07D97E79" w:rsidR="008B2A7D" w:rsidRDefault="008B2A7D" w:rsidP="008B2A7D">
      <w:pPr>
        <w:pStyle w:val="Heading2"/>
      </w:pPr>
      <w:r>
        <w:t xml:space="preserve">Clinical </w:t>
      </w:r>
      <w:r w:rsidR="00306299">
        <w:t>e</w:t>
      </w:r>
      <w:r>
        <w:t>vidence</w:t>
      </w:r>
    </w:p>
    <w:p w14:paraId="0CACE782" w14:textId="233A7FF3" w:rsidR="00CC4DBE" w:rsidRDefault="00306299" w:rsidP="00B847B5">
      <w:pPr>
        <w:pStyle w:val="Heading3"/>
      </w:pPr>
      <w:r>
        <w:t xml:space="preserve">Evidence from </w:t>
      </w:r>
      <w:r w:rsidR="00B847B5" w:rsidRPr="00B847B5">
        <w:t>an open</w:t>
      </w:r>
      <w:r>
        <w:t>-</w:t>
      </w:r>
      <w:r w:rsidR="00B847B5" w:rsidRPr="00B847B5">
        <w:t>label randomised controlled trial</w:t>
      </w:r>
      <w:r>
        <w:t xml:space="preserve"> is relevant and high quality</w:t>
      </w:r>
    </w:p>
    <w:p w14:paraId="0ED50E13" w14:textId="1B39E981" w:rsidR="005D260D" w:rsidRDefault="00CC4DBE" w:rsidP="005D260D">
      <w:pPr>
        <w:pStyle w:val="Numberedlevel2text"/>
        <w:rPr>
          <w:lang w:val="en-GB"/>
        </w:rPr>
      </w:pPr>
      <w:r w:rsidRPr="00CC4DBE">
        <w:t xml:space="preserve">The main clinical evidence came from </w:t>
      </w:r>
      <w:r w:rsidR="00306299">
        <w:rPr>
          <w:lang w:val="en-US"/>
        </w:rPr>
        <w:t xml:space="preserve">ARCHER 1050, </w:t>
      </w:r>
      <w:r w:rsidRPr="00CC4DBE">
        <w:t>a multicentre</w:t>
      </w:r>
      <w:r w:rsidR="00306299">
        <w:rPr>
          <w:lang w:val="en-US"/>
        </w:rPr>
        <w:t>,</w:t>
      </w:r>
      <w:r w:rsidRPr="00CC4DBE">
        <w:t xml:space="preserve"> open-label</w:t>
      </w:r>
      <w:r w:rsidR="00306299">
        <w:rPr>
          <w:lang w:val="en-US"/>
        </w:rPr>
        <w:t>,</w:t>
      </w:r>
      <w:r w:rsidRPr="00CC4DBE">
        <w:t xml:space="preserve"> phase </w:t>
      </w:r>
      <w:r w:rsidR="00306299">
        <w:rPr>
          <w:lang w:val="en-US"/>
        </w:rPr>
        <w:t>III</w:t>
      </w:r>
      <w:r w:rsidRPr="00CC4DBE">
        <w:t xml:space="preserve"> randomised controlled trial</w:t>
      </w:r>
      <w:r w:rsidR="00306299">
        <w:rPr>
          <w:lang w:val="en-US"/>
        </w:rPr>
        <w:t>. It</w:t>
      </w:r>
      <w:r w:rsidRPr="00CC4DBE">
        <w:t xml:space="preserve"> compared the efficacy and safety of dacomitinib (n=227) with gefitinib (n=225) in adults with untreated </w:t>
      </w:r>
      <w:bookmarkStart w:id="0" w:name="_Hlk5111075"/>
      <w:r w:rsidR="00A57C2C">
        <w:rPr>
          <w:lang w:val="en-GB"/>
        </w:rPr>
        <w:t>l</w:t>
      </w:r>
      <w:r w:rsidR="00A57C2C" w:rsidRPr="00A57C2C">
        <w:rPr>
          <w:lang w:val="en-GB"/>
        </w:rPr>
        <w:t>ocally advanced or metastatic</w:t>
      </w:r>
      <w:r w:rsidR="00D452F1">
        <w:rPr>
          <w:lang w:val="en-GB"/>
        </w:rPr>
        <w:t xml:space="preserve"> EGFR </w:t>
      </w:r>
      <w:r w:rsidR="007E339B">
        <w:rPr>
          <w:lang w:val="en-GB"/>
        </w:rPr>
        <w:t>mutation-</w:t>
      </w:r>
      <w:r w:rsidR="00D452F1">
        <w:rPr>
          <w:lang w:val="en-GB"/>
        </w:rPr>
        <w:t>positive</w:t>
      </w:r>
      <w:r w:rsidR="00C206FA">
        <w:rPr>
          <w:lang w:val="en-GB"/>
        </w:rPr>
        <w:t xml:space="preserve"> NSCLC</w:t>
      </w:r>
      <w:r w:rsidR="00D452F1">
        <w:rPr>
          <w:lang w:val="en-GB"/>
        </w:rPr>
        <w:t xml:space="preserve"> </w:t>
      </w:r>
      <w:bookmarkStart w:id="1" w:name="_GoBack"/>
      <w:r w:rsidR="00D452F1">
        <w:rPr>
          <w:lang w:val="en-GB"/>
        </w:rPr>
        <w:t>(</w:t>
      </w:r>
      <w:r w:rsidR="00C43928">
        <w:rPr>
          <w:lang w:val="en-GB"/>
        </w:rPr>
        <w:t>p</w:t>
      </w:r>
      <w:bookmarkEnd w:id="1"/>
      <w:r w:rsidR="00C43928">
        <w:rPr>
          <w:lang w:val="en-GB"/>
        </w:rPr>
        <w:t xml:space="preserve">atients had </w:t>
      </w:r>
      <w:r w:rsidR="00D452F1">
        <w:rPr>
          <w:lang w:val="en-GB"/>
        </w:rPr>
        <w:t>either the</w:t>
      </w:r>
      <w:r w:rsidR="00D452F1" w:rsidRPr="00D452F1">
        <w:t xml:space="preserve"> </w:t>
      </w:r>
      <w:r w:rsidR="00D452F1" w:rsidRPr="00D452F1">
        <w:rPr>
          <w:lang w:val="en-GB"/>
        </w:rPr>
        <w:t>exon</w:t>
      </w:r>
      <w:r w:rsidR="00C206FA">
        <w:rPr>
          <w:lang w:val="en-GB"/>
        </w:rPr>
        <w:t xml:space="preserve"> </w:t>
      </w:r>
      <w:r w:rsidR="00D452F1" w:rsidRPr="00D452F1">
        <w:rPr>
          <w:lang w:val="en-GB"/>
        </w:rPr>
        <w:t xml:space="preserve">19 deletion or exon 21 </w:t>
      </w:r>
      <w:r w:rsidR="00C206FA">
        <w:rPr>
          <w:lang w:val="en-GB"/>
        </w:rPr>
        <w:t>[</w:t>
      </w:r>
      <w:r w:rsidR="00D452F1" w:rsidRPr="00D452F1">
        <w:rPr>
          <w:lang w:val="en-GB"/>
        </w:rPr>
        <w:t>L858R</w:t>
      </w:r>
      <w:r w:rsidR="00C206FA">
        <w:rPr>
          <w:lang w:val="en-GB"/>
        </w:rPr>
        <w:t>]</w:t>
      </w:r>
      <w:r w:rsidR="00D452F1" w:rsidRPr="00D452F1">
        <w:rPr>
          <w:lang w:val="en-GB"/>
        </w:rPr>
        <w:t xml:space="preserve"> </w:t>
      </w:r>
      <w:r w:rsidR="00C206FA">
        <w:rPr>
          <w:lang w:val="en-GB"/>
        </w:rPr>
        <w:t xml:space="preserve">EGFR </w:t>
      </w:r>
      <w:r w:rsidR="00D452F1" w:rsidRPr="00D452F1">
        <w:rPr>
          <w:lang w:val="en-GB"/>
        </w:rPr>
        <w:t>mutatio</w:t>
      </w:r>
      <w:r w:rsidR="00D452F1">
        <w:rPr>
          <w:lang w:val="en-GB"/>
        </w:rPr>
        <w:t>n</w:t>
      </w:r>
      <w:r w:rsidR="00C206FA">
        <w:rPr>
          <w:lang w:val="en-GB"/>
        </w:rPr>
        <w:t>s</w:t>
      </w:r>
      <w:r w:rsidR="00D452F1">
        <w:rPr>
          <w:lang w:val="en-GB"/>
        </w:rPr>
        <w:t>)</w:t>
      </w:r>
      <w:r w:rsidR="00C206FA">
        <w:rPr>
          <w:lang w:val="en-GB"/>
        </w:rPr>
        <w:t>.</w:t>
      </w:r>
      <w:r w:rsidR="00134198">
        <w:rPr>
          <w:lang w:val="en-GB"/>
        </w:rPr>
        <w:t xml:space="preserve"> </w:t>
      </w:r>
      <w:bookmarkEnd w:id="0"/>
      <w:r>
        <w:rPr>
          <w:lang w:val="en-GB"/>
        </w:rPr>
        <w:t xml:space="preserve">The trial included </w:t>
      </w:r>
      <w:r w:rsidRPr="00CC4DBE">
        <w:t xml:space="preserve">71 study sites in 7 countries (China, Hong </w:t>
      </w:r>
      <w:r w:rsidRPr="00CC4DBE">
        <w:lastRenderedPageBreak/>
        <w:t xml:space="preserve">Kong, Japan, Republic of Korea, Italy, Poland and Spain). The primary outcome was progression-free survival, determined by blinded independent review committee. Secondary outcomes </w:t>
      </w:r>
      <w:r>
        <w:rPr>
          <w:lang w:val="en-GB"/>
        </w:rPr>
        <w:t xml:space="preserve">included </w:t>
      </w:r>
      <w:r w:rsidRPr="00CC4DBE">
        <w:t xml:space="preserve">overall survival, objective response rate, </w:t>
      </w:r>
      <w:r w:rsidR="00306299">
        <w:rPr>
          <w:lang w:val="en-US"/>
        </w:rPr>
        <w:t>length</w:t>
      </w:r>
      <w:r w:rsidR="00306299" w:rsidRPr="00CC4DBE">
        <w:t xml:space="preserve"> </w:t>
      </w:r>
      <w:r w:rsidRPr="00CC4DBE">
        <w:t xml:space="preserve">of response, adverse events, time to treatment failure and health-related quality of life. </w:t>
      </w:r>
      <w:r w:rsidR="00306299">
        <w:rPr>
          <w:lang w:val="en-US"/>
        </w:rPr>
        <w:t>After</w:t>
      </w:r>
      <w:r w:rsidR="005D260D" w:rsidRPr="005D260D">
        <w:t xml:space="preserve"> disease progression, p</w:t>
      </w:r>
      <w:r w:rsidR="00306299">
        <w:rPr>
          <w:lang w:val="en-US"/>
        </w:rPr>
        <w:t>atients</w:t>
      </w:r>
      <w:r w:rsidR="005D260D" w:rsidRPr="005D260D">
        <w:t xml:space="preserve"> could have subsequent treatment with a different drug</w:t>
      </w:r>
      <w:r w:rsidR="005D260D">
        <w:rPr>
          <w:lang w:val="en-GB"/>
        </w:rPr>
        <w:t xml:space="preserve"> (see section </w:t>
      </w:r>
      <w:r w:rsidR="0097459D">
        <w:rPr>
          <w:lang w:val="en-GB"/>
        </w:rPr>
        <w:t>3.</w:t>
      </w:r>
      <w:r w:rsidR="00CA7110">
        <w:rPr>
          <w:lang w:val="en-GB"/>
        </w:rPr>
        <w:t>6</w:t>
      </w:r>
      <w:r w:rsidR="005D260D">
        <w:rPr>
          <w:lang w:val="en-GB"/>
        </w:rPr>
        <w:t xml:space="preserve">). </w:t>
      </w:r>
      <w:r w:rsidRPr="00CC4DBE">
        <w:t xml:space="preserve">The committee </w:t>
      </w:r>
      <w:r w:rsidR="00B847B5">
        <w:rPr>
          <w:lang w:val="en-GB"/>
        </w:rPr>
        <w:t xml:space="preserve">noted that </w:t>
      </w:r>
      <w:r w:rsidR="00306299">
        <w:rPr>
          <w:lang w:val="en-GB"/>
        </w:rPr>
        <w:t xml:space="preserve">in </w:t>
      </w:r>
      <w:r w:rsidR="00B847B5">
        <w:rPr>
          <w:lang w:val="en-GB"/>
        </w:rPr>
        <w:t xml:space="preserve">the trials </w:t>
      </w:r>
      <w:r w:rsidR="004A324E">
        <w:rPr>
          <w:lang w:val="en-GB"/>
        </w:rPr>
        <w:t xml:space="preserve">used </w:t>
      </w:r>
      <w:r w:rsidR="00306299">
        <w:rPr>
          <w:lang w:val="en-GB"/>
        </w:rPr>
        <w:t xml:space="preserve">to inform </w:t>
      </w:r>
      <w:r w:rsidR="005066D9">
        <w:rPr>
          <w:lang w:val="en-GB"/>
        </w:rPr>
        <w:t xml:space="preserve">NICE </w:t>
      </w:r>
      <w:r w:rsidR="00306299">
        <w:rPr>
          <w:lang w:val="en-GB"/>
        </w:rPr>
        <w:t xml:space="preserve">technology appraisal guidance on </w:t>
      </w:r>
      <w:hyperlink r:id="rId14" w:history="1">
        <w:r w:rsidR="003B52BA" w:rsidRPr="0071343D">
          <w:rPr>
            <w:rStyle w:val="Hyperlink"/>
            <w:lang w:val="en-GB"/>
          </w:rPr>
          <w:t>erlotinib</w:t>
        </w:r>
      </w:hyperlink>
      <w:r w:rsidR="003B52BA" w:rsidRPr="00737D3E">
        <w:rPr>
          <w:lang w:val="en-GB"/>
        </w:rPr>
        <w:t xml:space="preserve">, </w:t>
      </w:r>
      <w:hyperlink r:id="rId15" w:history="1">
        <w:r w:rsidR="003B52BA" w:rsidRPr="0071343D">
          <w:rPr>
            <w:rStyle w:val="Hyperlink"/>
            <w:lang w:val="en-US"/>
          </w:rPr>
          <w:t>gefitinib</w:t>
        </w:r>
      </w:hyperlink>
      <w:r w:rsidR="003B52BA">
        <w:rPr>
          <w:lang w:val="en-US"/>
        </w:rPr>
        <w:t xml:space="preserve"> and </w:t>
      </w:r>
      <w:hyperlink r:id="rId16" w:history="1">
        <w:r w:rsidR="003B52BA" w:rsidRPr="0071343D">
          <w:rPr>
            <w:rStyle w:val="Hyperlink"/>
            <w:lang w:val="en-US"/>
          </w:rPr>
          <w:t>afatinib</w:t>
        </w:r>
      </w:hyperlink>
      <w:r w:rsidR="00306299">
        <w:rPr>
          <w:lang w:val="en-GB"/>
        </w:rPr>
        <w:t xml:space="preserve">, the comparator was </w:t>
      </w:r>
      <w:r w:rsidR="005D260D">
        <w:rPr>
          <w:lang w:val="en-GB"/>
        </w:rPr>
        <w:t>chemotherapy</w:t>
      </w:r>
      <w:r w:rsidR="00306299">
        <w:rPr>
          <w:lang w:val="en-GB"/>
        </w:rPr>
        <w:t xml:space="preserve">, whereas in </w:t>
      </w:r>
      <w:r w:rsidR="005D260D">
        <w:rPr>
          <w:lang w:val="en-GB"/>
        </w:rPr>
        <w:t>ARCHER 1050</w:t>
      </w:r>
      <w:r w:rsidR="00306299">
        <w:rPr>
          <w:lang w:val="en-GB"/>
        </w:rPr>
        <w:t xml:space="preserve"> the comparator was </w:t>
      </w:r>
      <w:r w:rsidR="005E037E">
        <w:rPr>
          <w:lang w:val="en-GB"/>
        </w:rPr>
        <w:t>gefitinib</w:t>
      </w:r>
      <w:r w:rsidR="00306299">
        <w:rPr>
          <w:lang w:val="en-GB"/>
        </w:rPr>
        <w:t xml:space="preserve"> (that is, </w:t>
      </w:r>
      <w:r w:rsidR="003B52BA">
        <w:rPr>
          <w:lang w:val="en-GB"/>
        </w:rPr>
        <w:t>the trial</w:t>
      </w:r>
      <w:r w:rsidR="00306299">
        <w:rPr>
          <w:lang w:val="en-GB"/>
        </w:rPr>
        <w:t xml:space="preserve"> compared a second-generation tyrosine kinase inhibitor [dacomitinib] with a first-generation</w:t>
      </w:r>
      <w:r w:rsidR="00306299" w:rsidRPr="00306299">
        <w:rPr>
          <w:lang w:val="en-GB"/>
        </w:rPr>
        <w:t xml:space="preserve"> </w:t>
      </w:r>
      <w:r w:rsidR="00306299">
        <w:rPr>
          <w:lang w:val="en-GB"/>
        </w:rPr>
        <w:t xml:space="preserve">tyrosine kinase inhibitor [gefitinib]). </w:t>
      </w:r>
      <w:r w:rsidR="005D260D" w:rsidRPr="005D260D">
        <w:rPr>
          <w:lang w:val="en-GB"/>
        </w:rPr>
        <w:t xml:space="preserve">The committee concluded that </w:t>
      </w:r>
      <w:r w:rsidR="00F9490B">
        <w:rPr>
          <w:lang w:val="en-GB"/>
        </w:rPr>
        <w:t xml:space="preserve">ARCHER 1050 </w:t>
      </w:r>
      <w:r w:rsidR="005D260D" w:rsidRPr="005D260D">
        <w:rPr>
          <w:lang w:val="en-GB"/>
        </w:rPr>
        <w:t>was a well conducted trial</w:t>
      </w:r>
      <w:r w:rsidR="0053000D">
        <w:rPr>
          <w:lang w:val="en-GB"/>
        </w:rPr>
        <w:t xml:space="preserve"> which </w:t>
      </w:r>
      <w:r w:rsidR="005D260D" w:rsidRPr="005D260D">
        <w:rPr>
          <w:lang w:val="en-GB"/>
        </w:rPr>
        <w:t>provided high</w:t>
      </w:r>
      <w:r w:rsidR="003B52BA">
        <w:rPr>
          <w:lang w:val="en-GB"/>
        </w:rPr>
        <w:t>-</w:t>
      </w:r>
      <w:r w:rsidR="005D260D" w:rsidRPr="005D260D">
        <w:rPr>
          <w:lang w:val="en-GB"/>
        </w:rPr>
        <w:t>quality evidence that was relevant to the appraisal.</w:t>
      </w:r>
    </w:p>
    <w:p w14:paraId="3E9CA9A2" w14:textId="23B56CFC" w:rsidR="000C2043" w:rsidRDefault="000C2043" w:rsidP="000C2043">
      <w:pPr>
        <w:pStyle w:val="Heading3"/>
      </w:pPr>
      <w:r w:rsidRPr="000C2043">
        <w:t>The t</w:t>
      </w:r>
      <w:r w:rsidR="009D3C1F">
        <w:t xml:space="preserve">reatment </w:t>
      </w:r>
      <w:r w:rsidRPr="000C2043">
        <w:t xml:space="preserve">arms in ARCHER 1050 </w:t>
      </w:r>
      <w:r>
        <w:t xml:space="preserve">are </w:t>
      </w:r>
      <w:r w:rsidR="009D3C1F">
        <w:t xml:space="preserve">well </w:t>
      </w:r>
      <w:r w:rsidRPr="000C2043">
        <w:t>balanced</w:t>
      </w:r>
    </w:p>
    <w:p w14:paraId="246F8606" w14:textId="149B4BBC" w:rsidR="000C2043" w:rsidRPr="000C2043" w:rsidRDefault="000C2043" w:rsidP="000C2043">
      <w:pPr>
        <w:pStyle w:val="Numberedlevel2text"/>
        <w:rPr>
          <w:lang w:val="en-GB"/>
        </w:rPr>
      </w:pPr>
      <w:r>
        <w:rPr>
          <w:lang w:val="en-GB"/>
        </w:rPr>
        <w:t>The ERG</w:t>
      </w:r>
      <w:r w:rsidR="00990A8F">
        <w:rPr>
          <w:lang w:val="en-GB"/>
        </w:rPr>
        <w:t xml:space="preserve"> noted </w:t>
      </w:r>
      <w:r w:rsidR="00BA5338">
        <w:rPr>
          <w:lang w:val="en-GB"/>
        </w:rPr>
        <w:t xml:space="preserve">that in </w:t>
      </w:r>
      <w:r w:rsidR="00981F46">
        <w:rPr>
          <w:lang w:val="en-GB"/>
        </w:rPr>
        <w:t>the trial</w:t>
      </w:r>
      <w:r w:rsidR="00BA5338">
        <w:rPr>
          <w:lang w:val="en-GB"/>
        </w:rPr>
        <w:t xml:space="preserve">, </w:t>
      </w:r>
      <w:r w:rsidR="0026198D">
        <w:rPr>
          <w:lang w:val="en-GB"/>
        </w:rPr>
        <w:t xml:space="preserve">64.3% </w:t>
      </w:r>
      <w:r w:rsidR="00BA5338">
        <w:rPr>
          <w:lang w:val="en-GB"/>
        </w:rPr>
        <w:t xml:space="preserve">of patients having dacomitinib were women compared with only </w:t>
      </w:r>
      <w:r w:rsidR="0026198D">
        <w:rPr>
          <w:lang w:val="en-GB"/>
        </w:rPr>
        <w:t xml:space="preserve">55.6% </w:t>
      </w:r>
      <w:r w:rsidR="00BA5338">
        <w:rPr>
          <w:lang w:val="en-GB"/>
        </w:rPr>
        <w:t xml:space="preserve">of patients having </w:t>
      </w:r>
      <w:r w:rsidR="0026198D">
        <w:rPr>
          <w:lang w:val="en-GB"/>
        </w:rPr>
        <w:t>gefitinib</w:t>
      </w:r>
      <w:r w:rsidR="00BA5338">
        <w:rPr>
          <w:lang w:val="en-GB"/>
        </w:rPr>
        <w:t xml:space="preserve">. </w:t>
      </w:r>
      <w:r w:rsidR="0026198D">
        <w:rPr>
          <w:lang w:val="en-GB"/>
        </w:rPr>
        <w:t xml:space="preserve">The committee </w:t>
      </w:r>
      <w:r w:rsidR="00DF4A37">
        <w:rPr>
          <w:lang w:val="en-GB"/>
        </w:rPr>
        <w:t xml:space="preserve">was aware </w:t>
      </w:r>
      <w:r w:rsidR="0026198D">
        <w:rPr>
          <w:lang w:val="en-GB"/>
        </w:rPr>
        <w:t xml:space="preserve">that there was </w:t>
      </w:r>
      <w:r w:rsidR="005E037E">
        <w:rPr>
          <w:lang w:val="en-GB"/>
        </w:rPr>
        <w:t xml:space="preserve">some </w:t>
      </w:r>
      <w:r w:rsidR="0026198D">
        <w:rPr>
          <w:lang w:val="en-GB"/>
        </w:rPr>
        <w:t xml:space="preserve">evidence to suggest that </w:t>
      </w:r>
      <w:r w:rsidR="00DF4A37">
        <w:rPr>
          <w:lang w:val="en-GB"/>
        </w:rPr>
        <w:t xml:space="preserve">tyrosine </w:t>
      </w:r>
      <w:r w:rsidR="00DF4A37" w:rsidRPr="00DF4A37">
        <w:rPr>
          <w:lang w:val="en-GB"/>
        </w:rPr>
        <w:t>kinase inhibitor</w:t>
      </w:r>
      <w:r w:rsidR="00DF4A37">
        <w:rPr>
          <w:lang w:val="en-GB"/>
        </w:rPr>
        <w:t xml:space="preserve">s </w:t>
      </w:r>
      <w:r w:rsidR="00E67CA3">
        <w:rPr>
          <w:lang w:val="en-GB"/>
        </w:rPr>
        <w:t>tend to be</w:t>
      </w:r>
      <w:r w:rsidR="00BA5338">
        <w:rPr>
          <w:lang w:val="en-GB"/>
        </w:rPr>
        <w:t xml:space="preserve"> more effective </w:t>
      </w:r>
      <w:r w:rsidR="009D3C1F">
        <w:rPr>
          <w:lang w:val="en-GB"/>
        </w:rPr>
        <w:t>at treating EGFR</w:t>
      </w:r>
      <w:r w:rsidR="007E339B">
        <w:rPr>
          <w:lang w:val="en-GB"/>
        </w:rPr>
        <w:t xml:space="preserve"> mutation</w:t>
      </w:r>
      <w:r w:rsidR="009D3C1F">
        <w:rPr>
          <w:lang w:val="en-GB"/>
        </w:rPr>
        <w:t>-positive NSCLC in</w:t>
      </w:r>
      <w:r w:rsidR="00DF4A37">
        <w:rPr>
          <w:lang w:val="en-GB"/>
        </w:rPr>
        <w:t xml:space="preserve"> </w:t>
      </w:r>
      <w:r w:rsidR="009D3C1F">
        <w:rPr>
          <w:lang w:val="en-GB"/>
        </w:rPr>
        <w:t>wo</w:t>
      </w:r>
      <w:r w:rsidR="00DF4A37">
        <w:rPr>
          <w:lang w:val="en-GB"/>
        </w:rPr>
        <w:t>men</w:t>
      </w:r>
      <w:r w:rsidR="009D3C1F">
        <w:rPr>
          <w:lang w:val="en-GB"/>
        </w:rPr>
        <w:t xml:space="preserve"> than in men</w:t>
      </w:r>
      <w:r w:rsidR="00DF4A37">
        <w:rPr>
          <w:lang w:val="en-GB"/>
        </w:rPr>
        <w:t xml:space="preserve">, and </w:t>
      </w:r>
      <w:r w:rsidR="009D3C1F">
        <w:rPr>
          <w:lang w:val="en-GB"/>
        </w:rPr>
        <w:t xml:space="preserve">so </w:t>
      </w:r>
      <w:r w:rsidR="00DF4A37">
        <w:rPr>
          <w:lang w:val="en-GB"/>
        </w:rPr>
        <w:t xml:space="preserve">the trial could be biased in favour of dacomitinib. </w:t>
      </w:r>
      <w:r w:rsidR="009D3C1F">
        <w:rPr>
          <w:lang w:val="en-GB"/>
        </w:rPr>
        <w:t>But t</w:t>
      </w:r>
      <w:r w:rsidR="00DF4A37">
        <w:rPr>
          <w:lang w:val="en-GB"/>
        </w:rPr>
        <w:t xml:space="preserve">he </w:t>
      </w:r>
      <w:r w:rsidR="009D3C1F">
        <w:rPr>
          <w:lang w:val="en-GB"/>
        </w:rPr>
        <w:t>c</w:t>
      </w:r>
      <w:r w:rsidR="00DF4A37">
        <w:rPr>
          <w:lang w:val="en-GB"/>
        </w:rPr>
        <w:t>linical experts did not consider sex to be a</w:t>
      </w:r>
      <w:r w:rsidR="009D3C1F">
        <w:rPr>
          <w:lang w:val="en-GB"/>
        </w:rPr>
        <w:t xml:space="preserve">n important factor. </w:t>
      </w:r>
      <w:r w:rsidR="00130E7C" w:rsidRPr="00130E7C">
        <w:rPr>
          <w:lang w:val="en-GB"/>
        </w:rPr>
        <w:t xml:space="preserve">The committee </w:t>
      </w:r>
      <w:r w:rsidR="00130E7C">
        <w:rPr>
          <w:lang w:val="en-GB"/>
        </w:rPr>
        <w:t xml:space="preserve">concluded </w:t>
      </w:r>
      <w:r w:rsidR="00130E7C" w:rsidRPr="00130E7C">
        <w:rPr>
          <w:lang w:val="en-GB"/>
        </w:rPr>
        <w:t xml:space="preserve">that the </w:t>
      </w:r>
      <w:r w:rsidR="00130E7C">
        <w:rPr>
          <w:lang w:val="en-GB"/>
        </w:rPr>
        <w:t xml:space="preserve">treatment </w:t>
      </w:r>
      <w:r w:rsidR="00130E7C" w:rsidRPr="00130E7C">
        <w:rPr>
          <w:lang w:val="en-GB"/>
        </w:rPr>
        <w:t xml:space="preserve">arms </w:t>
      </w:r>
      <w:r w:rsidR="002426E4">
        <w:rPr>
          <w:lang w:val="en-GB"/>
        </w:rPr>
        <w:t xml:space="preserve">in </w:t>
      </w:r>
      <w:r w:rsidR="00130E7C" w:rsidRPr="00130E7C">
        <w:rPr>
          <w:lang w:val="en-GB"/>
        </w:rPr>
        <w:t>ARCHER 1050 were generally well balanced.</w:t>
      </w:r>
    </w:p>
    <w:p w14:paraId="38B58CA9" w14:textId="2ACDBF37" w:rsidR="007631F6" w:rsidRDefault="007631F6" w:rsidP="007631F6">
      <w:pPr>
        <w:pStyle w:val="Heading3"/>
      </w:pPr>
      <w:r w:rsidRPr="007631F6">
        <w:t>Dacomitinib improves progression-free</w:t>
      </w:r>
      <w:r w:rsidR="009D3C1F">
        <w:t xml:space="preserve"> and overall</w:t>
      </w:r>
      <w:r w:rsidRPr="007631F6">
        <w:t xml:space="preserve"> survival compared with gefitinib</w:t>
      </w:r>
    </w:p>
    <w:p w14:paraId="582D9D86" w14:textId="11556D8B" w:rsidR="009F5A55" w:rsidRPr="009D3C1F" w:rsidRDefault="009D3C1F" w:rsidP="000B3488">
      <w:pPr>
        <w:pStyle w:val="Numberedlevel2text"/>
        <w:rPr>
          <w:lang w:val="en-GB"/>
        </w:rPr>
      </w:pPr>
      <w:r>
        <w:rPr>
          <w:lang w:val="en-GB"/>
        </w:rPr>
        <w:t xml:space="preserve">The results of </w:t>
      </w:r>
      <w:r w:rsidR="007631F6" w:rsidRPr="007631F6">
        <w:rPr>
          <w:lang w:val="en-GB"/>
        </w:rPr>
        <w:t>ARCHER 1050</w:t>
      </w:r>
      <w:r>
        <w:rPr>
          <w:lang w:val="en-GB"/>
        </w:rPr>
        <w:t xml:space="preserve"> showed that </w:t>
      </w:r>
      <w:r w:rsidR="007631F6" w:rsidRPr="007631F6">
        <w:rPr>
          <w:lang w:val="en-GB"/>
        </w:rPr>
        <w:t>dacomitinib statistically significantly improved progression-free survival compared with gefitinib</w:t>
      </w:r>
      <w:r>
        <w:rPr>
          <w:lang w:val="en-GB"/>
        </w:rPr>
        <w:t xml:space="preserve"> (14</w:t>
      </w:r>
      <w:r w:rsidR="007631F6" w:rsidRPr="007631F6">
        <w:rPr>
          <w:lang w:val="en-GB"/>
        </w:rPr>
        <w:t>.7 months for dacomitinib compared with 9.2 months for gefitinib</w:t>
      </w:r>
      <w:r>
        <w:rPr>
          <w:lang w:val="en-GB"/>
        </w:rPr>
        <w:t xml:space="preserve">; </w:t>
      </w:r>
      <w:r w:rsidR="007631F6" w:rsidRPr="007631F6">
        <w:rPr>
          <w:lang w:val="en-GB"/>
        </w:rPr>
        <w:t>hazard ratio 0.589</w:t>
      </w:r>
      <w:r>
        <w:rPr>
          <w:lang w:val="en-GB"/>
        </w:rPr>
        <w:t xml:space="preserve">, </w:t>
      </w:r>
      <w:r w:rsidR="007631F6" w:rsidRPr="007631F6">
        <w:rPr>
          <w:lang w:val="en-GB"/>
        </w:rPr>
        <w:t xml:space="preserve">95% confidence interval </w:t>
      </w:r>
      <w:r>
        <w:rPr>
          <w:lang w:val="en-GB"/>
        </w:rPr>
        <w:t xml:space="preserve">[CI] </w:t>
      </w:r>
      <w:r w:rsidR="007631F6" w:rsidRPr="007631F6">
        <w:rPr>
          <w:lang w:val="en-GB"/>
        </w:rPr>
        <w:t xml:space="preserve">0.47 to 0.74). </w:t>
      </w:r>
      <w:r>
        <w:rPr>
          <w:lang w:val="en-GB"/>
        </w:rPr>
        <w:t xml:space="preserve">The results also showed that </w:t>
      </w:r>
      <w:r w:rsidR="000C2043" w:rsidRPr="009D3C1F">
        <w:rPr>
          <w:lang w:val="en-GB"/>
        </w:rPr>
        <w:t>dacomitinib statistically significantly improved overall survival compared with gefitinib</w:t>
      </w:r>
      <w:r>
        <w:rPr>
          <w:lang w:val="en-GB"/>
        </w:rPr>
        <w:t xml:space="preserve"> (</w:t>
      </w:r>
      <w:r w:rsidR="000C2043" w:rsidRPr="009D3C1F">
        <w:rPr>
          <w:lang w:val="en-GB"/>
        </w:rPr>
        <w:t xml:space="preserve">34.1 months for dacomitinib compared </w:t>
      </w:r>
      <w:r w:rsidR="000C2043" w:rsidRPr="009D3C1F">
        <w:rPr>
          <w:lang w:val="en-GB"/>
        </w:rPr>
        <w:lastRenderedPageBreak/>
        <w:t>with 26.8 months for gefitinib</w:t>
      </w:r>
      <w:r>
        <w:rPr>
          <w:lang w:val="en-GB"/>
        </w:rPr>
        <w:t xml:space="preserve">; </w:t>
      </w:r>
      <w:r w:rsidR="000C2043" w:rsidRPr="009D3C1F">
        <w:rPr>
          <w:lang w:val="en-GB"/>
        </w:rPr>
        <w:t>hazard ratio 0.760</w:t>
      </w:r>
      <w:r>
        <w:rPr>
          <w:lang w:val="en-GB"/>
        </w:rPr>
        <w:t xml:space="preserve">, </w:t>
      </w:r>
      <w:r w:rsidR="000C2043" w:rsidRPr="009D3C1F">
        <w:rPr>
          <w:lang w:val="en-GB"/>
        </w:rPr>
        <w:t xml:space="preserve">95% CI 0.58 to 0.99). The committee concluded that dacomitinib is associated with </w:t>
      </w:r>
      <w:r w:rsidR="00A662E9" w:rsidRPr="009D3C1F">
        <w:rPr>
          <w:lang w:val="en-GB"/>
        </w:rPr>
        <w:t>improved</w:t>
      </w:r>
      <w:r>
        <w:rPr>
          <w:lang w:val="en-GB"/>
        </w:rPr>
        <w:t xml:space="preserve"> progression-free and</w:t>
      </w:r>
      <w:r w:rsidR="00A662E9" w:rsidRPr="009D3C1F">
        <w:rPr>
          <w:lang w:val="en-GB"/>
        </w:rPr>
        <w:t xml:space="preserve"> </w:t>
      </w:r>
      <w:r w:rsidR="000C2043" w:rsidRPr="009D3C1F">
        <w:rPr>
          <w:lang w:val="en-GB"/>
        </w:rPr>
        <w:t>overall survival compared with gefitinib</w:t>
      </w:r>
      <w:r w:rsidR="00925F46">
        <w:rPr>
          <w:lang w:val="en-GB"/>
        </w:rPr>
        <w:t>.</w:t>
      </w:r>
    </w:p>
    <w:p w14:paraId="3D00588F" w14:textId="72CA4D0C" w:rsidR="00A662E9" w:rsidRDefault="000B3488" w:rsidP="004865A1">
      <w:pPr>
        <w:pStyle w:val="Heading3"/>
      </w:pPr>
      <w:r>
        <w:t xml:space="preserve">It is unclear how subsequent treatments may affect overall survival in </w:t>
      </w:r>
      <w:r w:rsidR="004865A1">
        <w:t>ARCHER 1050</w:t>
      </w:r>
    </w:p>
    <w:p w14:paraId="3A7D0584" w14:textId="21244E83" w:rsidR="004865A1" w:rsidRPr="004865A1" w:rsidRDefault="004865A1" w:rsidP="004865A1">
      <w:pPr>
        <w:pStyle w:val="Numberedlevel2text"/>
      </w:pPr>
      <w:r w:rsidRPr="004865A1">
        <w:t xml:space="preserve">In </w:t>
      </w:r>
      <w:r>
        <w:rPr>
          <w:lang w:val="en-GB"/>
        </w:rPr>
        <w:t xml:space="preserve">ARCHER 1050, </w:t>
      </w:r>
      <w:r w:rsidRPr="004865A1">
        <w:t xml:space="preserve">patients </w:t>
      </w:r>
      <w:r w:rsidR="009B6293">
        <w:rPr>
          <w:lang w:val="en-US"/>
        </w:rPr>
        <w:t xml:space="preserve">who </w:t>
      </w:r>
      <w:r w:rsidRPr="004865A1">
        <w:t xml:space="preserve">stopped </w:t>
      </w:r>
      <w:r w:rsidR="009B6293">
        <w:rPr>
          <w:lang w:val="en-US"/>
        </w:rPr>
        <w:t xml:space="preserve">taking </w:t>
      </w:r>
      <w:r w:rsidRPr="004865A1">
        <w:t>the study drug</w:t>
      </w:r>
      <w:r w:rsidR="009B6293">
        <w:rPr>
          <w:lang w:val="en-US"/>
        </w:rPr>
        <w:t xml:space="preserve"> (dacomitinib or gefitinib) </w:t>
      </w:r>
      <w:r w:rsidRPr="004865A1">
        <w:t xml:space="preserve">could </w:t>
      </w:r>
      <w:r w:rsidR="009B6293">
        <w:rPr>
          <w:lang w:val="en-US"/>
        </w:rPr>
        <w:t xml:space="preserve">then </w:t>
      </w:r>
      <w:r w:rsidRPr="004865A1">
        <w:t>have subsequent treatment with a different drug</w:t>
      </w:r>
      <w:r>
        <w:rPr>
          <w:lang w:val="en-GB"/>
        </w:rPr>
        <w:t xml:space="preserve"> (the company considered the drugs used </w:t>
      </w:r>
      <w:r w:rsidR="009B6293">
        <w:rPr>
          <w:lang w:val="en-GB"/>
        </w:rPr>
        <w:t>as</w:t>
      </w:r>
      <w:r>
        <w:rPr>
          <w:lang w:val="en-GB"/>
        </w:rPr>
        <w:t xml:space="preserve"> subsequent treatment</w:t>
      </w:r>
      <w:r w:rsidR="009B6293">
        <w:rPr>
          <w:lang w:val="en-GB"/>
        </w:rPr>
        <w:t>s</w:t>
      </w:r>
      <w:r>
        <w:rPr>
          <w:lang w:val="en-GB"/>
        </w:rPr>
        <w:t xml:space="preserve"> to </w:t>
      </w:r>
      <w:r w:rsidR="007E4EB0">
        <w:rPr>
          <w:lang w:val="en-GB"/>
        </w:rPr>
        <w:t xml:space="preserve">be </w:t>
      </w:r>
      <w:r>
        <w:rPr>
          <w:lang w:val="en-GB"/>
        </w:rPr>
        <w:t xml:space="preserve">confidential </w:t>
      </w:r>
      <w:r w:rsidR="009B6293">
        <w:rPr>
          <w:lang w:val="en-GB"/>
        </w:rPr>
        <w:t xml:space="preserve">so they cannot </w:t>
      </w:r>
      <w:r>
        <w:rPr>
          <w:lang w:val="en-GB"/>
        </w:rPr>
        <w:t xml:space="preserve">be reported here). </w:t>
      </w:r>
      <w:r w:rsidR="000B3488">
        <w:rPr>
          <w:lang w:val="en-GB"/>
        </w:rPr>
        <w:t>But t</w:t>
      </w:r>
      <w:r>
        <w:rPr>
          <w:lang w:val="en-GB"/>
        </w:rPr>
        <w:t>he committee noted that the</w:t>
      </w:r>
      <w:r w:rsidR="000B3488">
        <w:rPr>
          <w:lang w:val="en-GB"/>
        </w:rPr>
        <w:t xml:space="preserve">se subsequent </w:t>
      </w:r>
      <w:r>
        <w:rPr>
          <w:lang w:val="en-GB"/>
        </w:rPr>
        <w:t xml:space="preserve">treatments </w:t>
      </w:r>
      <w:r w:rsidR="006E6BB9">
        <w:rPr>
          <w:lang w:val="en-GB"/>
        </w:rPr>
        <w:t xml:space="preserve">did not reflect </w:t>
      </w:r>
      <w:r w:rsidR="001D504B" w:rsidRPr="001D504B">
        <w:rPr>
          <w:lang w:val="en-GB"/>
        </w:rPr>
        <w:t xml:space="preserve">the type and proportion of </w:t>
      </w:r>
      <w:r w:rsidR="001D504B">
        <w:rPr>
          <w:lang w:val="en-GB"/>
        </w:rPr>
        <w:t xml:space="preserve">those </w:t>
      </w:r>
      <w:r w:rsidR="006E6BB9">
        <w:rPr>
          <w:lang w:val="en-GB"/>
        </w:rPr>
        <w:t>used in clinical practice in the NHS in England</w:t>
      </w:r>
      <w:r w:rsidR="00B0032A">
        <w:rPr>
          <w:lang w:val="en-GB"/>
        </w:rPr>
        <w:t>.</w:t>
      </w:r>
      <w:r w:rsidR="006E6BB9">
        <w:rPr>
          <w:lang w:val="en-GB"/>
        </w:rPr>
        <w:t xml:space="preserve"> The committee agreed </w:t>
      </w:r>
      <w:r w:rsidR="006E6BB9" w:rsidRPr="006E6BB9">
        <w:rPr>
          <w:lang w:val="en-GB"/>
        </w:rPr>
        <w:t xml:space="preserve">that there was uncertainty about </w:t>
      </w:r>
      <w:r w:rsidR="009F682F">
        <w:rPr>
          <w:lang w:val="en-GB"/>
        </w:rPr>
        <w:t>how</w:t>
      </w:r>
      <w:r w:rsidR="00BE07E9">
        <w:rPr>
          <w:lang w:val="en-GB"/>
        </w:rPr>
        <w:t xml:space="preserve"> </w:t>
      </w:r>
      <w:r w:rsidR="006E6BB9" w:rsidRPr="006E6BB9">
        <w:rPr>
          <w:lang w:val="en-GB"/>
        </w:rPr>
        <w:t xml:space="preserve">subsequent treatments </w:t>
      </w:r>
      <w:r w:rsidR="009F682F">
        <w:rPr>
          <w:lang w:val="en-GB"/>
        </w:rPr>
        <w:t xml:space="preserve">may have affected the </w:t>
      </w:r>
      <w:r w:rsidR="006E6BB9" w:rsidRPr="006E6BB9">
        <w:rPr>
          <w:lang w:val="en-GB"/>
        </w:rPr>
        <w:t xml:space="preserve">overall survival estimates in </w:t>
      </w:r>
      <w:r w:rsidR="00D84E97">
        <w:rPr>
          <w:lang w:val="en-GB"/>
        </w:rPr>
        <w:t xml:space="preserve">ARCHER 1050, </w:t>
      </w:r>
      <w:r w:rsidR="009F682F">
        <w:rPr>
          <w:lang w:val="en-GB"/>
        </w:rPr>
        <w:t xml:space="preserve">and that it would consider this in its </w:t>
      </w:r>
      <w:r w:rsidR="006E6BB9" w:rsidRPr="006E6BB9">
        <w:rPr>
          <w:lang w:val="en-GB"/>
        </w:rPr>
        <w:t>decision</w:t>
      </w:r>
      <w:r w:rsidR="009F682F">
        <w:rPr>
          <w:lang w:val="en-GB"/>
        </w:rPr>
        <w:t xml:space="preserve"> </w:t>
      </w:r>
      <w:r w:rsidR="006E6BB9" w:rsidRPr="006E6BB9">
        <w:rPr>
          <w:lang w:val="en-GB"/>
        </w:rPr>
        <w:t>making</w:t>
      </w:r>
      <w:r w:rsidR="00154C36">
        <w:rPr>
          <w:lang w:val="en-GB"/>
        </w:rPr>
        <w:t>.</w:t>
      </w:r>
    </w:p>
    <w:p w14:paraId="2F883559" w14:textId="4C581F09" w:rsidR="005D260D" w:rsidRPr="005D260D" w:rsidRDefault="005D260D" w:rsidP="005D260D">
      <w:pPr>
        <w:pStyle w:val="Heading3"/>
      </w:pPr>
      <w:r w:rsidRPr="005D260D">
        <w:t xml:space="preserve">The </w:t>
      </w:r>
      <w:r w:rsidR="002426E4">
        <w:t xml:space="preserve">results </w:t>
      </w:r>
      <w:r w:rsidR="007A5931">
        <w:t>of</w:t>
      </w:r>
      <w:r w:rsidR="002426E4">
        <w:t xml:space="preserve"> ARCHER 1050 are generalisable to NHS clinical practice in England </w:t>
      </w:r>
    </w:p>
    <w:p w14:paraId="5DE0507C" w14:textId="7F33413B" w:rsidR="008B2A7D" w:rsidRPr="00D96D31" w:rsidRDefault="005D260D" w:rsidP="008B2A7D">
      <w:pPr>
        <w:pStyle w:val="Numberedlevel2text"/>
      </w:pPr>
      <w:r w:rsidRPr="005D260D">
        <w:t>The</w:t>
      </w:r>
      <w:r w:rsidR="00351F61">
        <w:rPr>
          <w:lang w:val="en-GB"/>
        </w:rPr>
        <w:t xml:space="preserve"> committee considered </w:t>
      </w:r>
      <w:r w:rsidR="002426E4">
        <w:rPr>
          <w:lang w:val="en-GB"/>
        </w:rPr>
        <w:t xml:space="preserve">whether </w:t>
      </w:r>
      <w:r w:rsidR="00351F61">
        <w:rPr>
          <w:lang w:val="en-GB"/>
        </w:rPr>
        <w:t>the baseline characteristics of p</w:t>
      </w:r>
      <w:r w:rsidR="007A5931">
        <w:rPr>
          <w:lang w:val="en-GB"/>
        </w:rPr>
        <w:t xml:space="preserve">atients in </w:t>
      </w:r>
      <w:r w:rsidRPr="005D260D">
        <w:t>ARCHER 1050</w:t>
      </w:r>
      <w:r w:rsidR="002426E4">
        <w:rPr>
          <w:lang w:val="en-GB"/>
        </w:rPr>
        <w:t xml:space="preserve"> reflected those </w:t>
      </w:r>
      <w:r w:rsidR="00925F46">
        <w:rPr>
          <w:lang w:val="en-GB"/>
        </w:rPr>
        <w:t>seen</w:t>
      </w:r>
      <w:r w:rsidR="007A5931">
        <w:rPr>
          <w:lang w:val="en-GB"/>
        </w:rPr>
        <w:t xml:space="preserve"> </w:t>
      </w:r>
      <w:r w:rsidR="002426E4">
        <w:rPr>
          <w:lang w:val="en-GB"/>
        </w:rPr>
        <w:t xml:space="preserve">in </w:t>
      </w:r>
      <w:r w:rsidR="007A5931">
        <w:rPr>
          <w:lang w:val="en-GB"/>
        </w:rPr>
        <w:t xml:space="preserve">NHS </w:t>
      </w:r>
      <w:r w:rsidR="002426E4">
        <w:rPr>
          <w:lang w:val="en-GB"/>
        </w:rPr>
        <w:t>clinical practice in England</w:t>
      </w:r>
      <w:r w:rsidR="00351F61">
        <w:rPr>
          <w:lang w:val="en-GB"/>
        </w:rPr>
        <w:t>.</w:t>
      </w:r>
      <w:r w:rsidR="005377F4">
        <w:rPr>
          <w:lang w:val="en-GB"/>
        </w:rPr>
        <w:t xml:space="preserve"> It noted that the p</w:t>
      </w:r>
      <w:r w:rsidR="007A5931">
        <w:rPr>
          <w:lang w:val="en-GB"/>
        </w:rPr>
        <w:t xml:space="preserve">atients </w:t>
      </w:r>
      <w:r w:rsidR="005377F4">
        <w:rPr>
          <w:lang w:val="en-GB"/>
        </w:rPr>
        <w:t xml:space="preserve">in the trial </w:t>
      </w:r>
      <w:r w:rsidR="007A5931">
        <w:rPr>
          <w:lang w:val="en-GB"/>
        </w:rPr>
        <w:t xml:space="preserve">had </w:t>
      </w:r>
      <w:r w:rsidR="005377F4">
        <w:rPr>
          <w:lang w:val="en-GB"/>
        </w:rPr>
        <w:t xml:space="preserve">only the exon </w:t>
      </w:r>
      <w:r w:rsidR="00A96919">
        <w:rPr>
          <w:lang w:val="en-GB"/>
        </w:rPr>
        <w:t>1</w:t>
      </w:r>
      <w:r w:rsidR="005377F4">
        <w:rPr>
          <w:lang w:val="en-GB"/>
        </w:rPr>
        <w:t xml:space="preserve">9 deletion (del19) or exon 21 </w:t>
      </w:r>
      <w:r w:rsidR="005C75DA">
        <w:rPr>
          <w:lang w:val="en-GB"/>
        </w:rPr>
        <w:t>(</w:t>
      </w:r>
      <w:r w:rsidR="005377F4">
        <w:rPr>
          <w:lang w:val="en-GB"/>
        </w:rPr>
        <w:t>L858R</w:t>
      </w:r>
      <w:r w:rsidR="005C75DA">
        <w:rPr>
          <w:lang w:val="en-GB"/>
        </w:rPr>
        <w:t>)</w:t>
      </w:r>
      <w:r w:rsidR="005377F4">
        <w:rPr>
          <w:lang w:val="en-GB"/>
        </w:rPr>
        <w:t xml:space="preserve"> </w:t>
      </w:r>
      <w:r w:rsidR="005377F4" w:rsidRPr="005377F4">
        <w:rPr>
          <w:lang w:val="en-GB"/>
        </w:rPr>
        <w:t xml:space="preserve">EGFR mutations. </w:t>
      </w:r>
      <w:r w:rsidR="007A5931">
        <w:rPr>
          <w:lang w:val="en-GB"/>
        </w:rPr>
        <w:t>T</w:t>
      </w:r>
      <w:r w:rsidR="00351F61">
        <w:rPr>
          <w:lang w:val="en-GB"/>
        </w:rPr>
        <w:t xml:space="preserve">he clinical experts </w:t>
      </w:r>
      <w:r w:rsidR="007A5931">
        <w:rPr>
          <w:lang w:val="en-GB"/>
        </w:rPr>
        <w:t xml:space="preserve">explained </w:t>
      </w:r>
      <w:r w:rsidR="00351F61">
        <w:rPr>
          <w:lang w:val="en-GB"/>
        </w:rPr>
        <w:t xml:space="preserve">that </w:t>
      </w:r>
      <w:r w:rsidRPr="005D260D">
        <w:t xml:space="preserve">these </w:t>
      </w:r>
      <w:r w:rsidR="00351F61">
        <w:rPr>
          <w:lang w:val="en-GB"/>
        </w:rPr>
        <w:t xml:space="preserve">2 </w:t>
      </w:r>
      <w:r w:rsidRPr="005D260D">
        <w:t xml:space="preserve">mutations </w:t>
      </w:r>
      <w:r w:rsidR="007A5931">
        <w:rPr>
          <w:lang w:val="en-US"/>
        </w:rPr>
        <w:t>account for around</w:t>
      </w:r>
      <w:r w:rsidRPr="005D260D">
        <w:t xml:space="preserve"> 90% of </w:t>
      </w:r>
      <w:r w:rsidR="007A5931">
        <w:rPr>
          <w:lang w:val="en-US"/>
        </w:rPr>
        <w:t xml:space="preserve">all </w:t>
      </w:r>
      <w:r w:rsidRPr="005D260D">
        <w:t>EGFR mutations</w:t>
      </w:r>
      <w:r w:rsidR="007A5931">
        <w:rPr>
          <w:lang w:val="en-US"/>
        </w:rPr>
        <w:t>. Moreover, most trials only include p</w:t>
      </w:r>
      <w:r w:rsidR="007D7E6F">
        <w:rPr>
          <w:lang w:val="en-US"/>
        </w:rPr>
        <w:t>eople</w:t>
      </w:r>
      <w:r w:rsidR="007A5931">
        <w:rPr>
          <w:lang w:val="en-US"/>
        </w:rPr>
        <w:t xml:space="preserve"> with these mutations, and they were</w:t>
      </w:r>
      <w:r w:rsidRPr="005D260D">
        <w:t xml:space="preserve"> the same mutations that were included in clinical trials </w:t>
      </w:r>
      <w:r w:rsidR="007A5931">
        <w:rPr>
          <w:lang w:val="en-US"/>
        </w:rPr>
        <w:t>of</w:t>
      </w:r>
      <w:r w:rsidRPr="005D260D">
        <w:t xml:space="preserve"> other </w:t>
      </w:r>
      <w:r w:rsidR="00351F61">
        <w:rPr>
          <w:lang w:val="en-GB"/>
        </w:rPr>
        <w:t>tyrosine kinase inhibitors</w:t>
      </w:r>
      <w:r w:rsidR="007A5931">
        <w:rPr>
          <w:lang w:val="en-GB"/>
        </w:rPr>
        <w:t xml:space="preserve">. </w:t>
      </w:r>
      <w:r w:rsidRPr="005D260D">
        <w:t xml:space="preserve">The committee </w:t>
      </w:r>
      <w:r w:rsidR="005377F4">
        <w:rPr>
          <w:lang w:val="en-GB"/>
        </w:rPr>
        <w:t xml:space="preserve">acknowledged </w:t>
      </w:r>
      <w:r w:rsidR="007A5931">
        <w:rPr>
          <w:lang w:val="en-GB"/>
        </w:rPr>
        <w:t>that although</w:t>
      </w:r>
      <w:r w:rsidR="005377F4">
        <w:rPr>
          <w:lang w:val="en-GB"/>
        </w:rPr>
        <w:t xml:space="preserve"> </w:t>
      </w:r>
      <w:r w:rsidR="001444EC">
        <w:rPr>
          <w:lang w:val="en-GB"/>
        </w:rPr>
        <w:t xml:space="preserve">other mutations may </w:t>
      </w:r>
      <w:r w:rsidR="007A5931">
        <w:rPr>
          <w:lang w:val="en-GB"/>
        </w:rPr>
        <w:t xml:space="preserve">respond less well </w:t>
      </w:r>
      <w:r w:rsidR="001444EC">
        <w:rPr>
          <w:lang w:val="en-GB"/>
        </w:rPr>
        <w:t>to dacomitinib</w:t>
      </w:r>
      <w:r w:rsidR="005377F4">
        <w:rPr>
          <w:lang w:val="en-GB"/>
        </w:rPr>
        <w:t xml:space="preserve">, </w:t>
      </w:r>
      <w:r w:rsidR="005377F4" w:rsidRPr="005377F4">
        <w:rPr>
          <w:lang w:val="en-GB"/>
        </w:rPr>
        <w:t xml:space="preserve">the </w:t>
      </w:r>
      <w:r w:rsidR="007A5931">
        <w:rPr>
          <w:lang w:val="en-GB"/>
        </w:rPr>
        <w:t>Committee for Medicinal Products for Human Use (</w:t>
      </w:r>
      <w:r w:rsidR="005377F4" w:rsidRPr="005377F4">
        <w:rPr>
          <w:lang w:val="en-GB"/>
        </w:rPr>
        <w:t>CHMP</w:t>
      </w:r>
      <w:r w:rsidR="007A5931">
        <w:rPr>
          <w:lang w:val="en-GB"/>
        </w:rPr>
        <w:t>)</w:t>
      </w:r>
      <w:r w:rsidR="005377F4" w:rsidRPr="005377F4">
        <w:rPr>
          <w:lang w:val="en-GB"/>
        </w:rPr>
        <w:t xml:space="preserve"> </w:t>
      </w:r>
      <w:r w:rsidR="005377F4">
        <w:rPr>
          <w:lang w:val="en-GB"/>
        </w:rPr>
        <w:t xml:space="preserve">did not restrict its </w:t>
      </w:r>
      <w:r w:rsidR="005377F4" w:rsidRPr="005377F4">
        <w:rPr>
          <w:lang w:val="en-GB"/>
        </w:rPr>
        <w:t xml:space="preserve">positive opinion for dacomitinib </w:t>
      </w:r>
      <w:r w:rsidR="005377F4">
        <w:rPr>
          <w:lang w:val="en-GB"/>
        </w:rPr>
        <w:t>to these 2 mutations (s</w:t>
      </w:r>
      <w:r w:rsidR="005377F4" w:rsidRPr="005377F4">
        <w:rPr>
          <w:lang w:val="en-GB"/>
        </w:rPr>
        <w:t>ee table 2</w:t>
      </w:r>
      <w:r w:rsidR="005377F4">
        <w:rPr>
          <w:lang w:val="en-GB"/>
        </w:rPr>
        <w:t>). It therefore agreed that</w:t>
      </w:r>
      <w:r w:rsidR="00C0077F">
        <w:rPr>
          <w:lang w:val="en-GB"/>
        </w:rPr>
        <w:t xml:space="preserve"> the EGFR mutation status of p</w:t>
      </w:r>
      <w:r w:rsidR="00FA0CC0">
        <w:rPr>
          <w:lang w:val="en-GB"/>
        </w:rPr>
        <w:t>atients</w:t>
      </w:r>
      <w:r w:rsidR="00C0077F">
        <w:rPr>
          <w:lang w:val="en-GB"/>
        </w:rPr>
        <w:t xml:space="preserve"> in </w:t>
      </w:r>
      <w:r w:rsidR="00FA0CC0">
        <w:rPr>
          <w:lang w:val="en-GB"/>
        </w:rPr>
        <w:t xml:space="preserve">ARCHER 1050 </w:t>
      </w:r>
      <w:r w:rsidR="00C0077F">
        <w:rPr>
          <w:lang w:val="en-GB"/>
        </w:rPr>
        <w:t xml:space="preserve">generally reflected those seen in NHS clinical practice in England. </w:t>
      </w:r>
      <w:r w:rsidR="007631F6">
        <w:rPr>
          <w:lang w:val="en-GB"/>
        </w:rPr>
        <w:t xml:space="preserve">The committee </w:t>
      </w:r>
      <w:r w:rsidR="00FA0CC0">
        <w:rPr>
          <w:lang w:val="en-GB"/>
        </w:rPr>
        <w:t xml:space="preserve">also </w:t>
      </w:r>
      <w:r w:rsidR="007631F6">
        <w:rPr>
          <w:lang w:val="en-GB"/>
        </w:rPr>
        <w:t>noted that</w:t>
      </w:r>
      <w:r w:rsidR="002426E4">
        <w:rPr>
          <w:lang w:val="en-GB"/>
        </w:rPr>
        <w:t xml:space="preserve"> the</w:t>
      </w:r>
      <w:r w:rsidR="00FA0CC0">
        <w:rPr>
          <w:lang w:val="en-GB"/>
        </w:rPr>
        <w:t xml:space="preserve"> trial included </w:t>
      </w:r>
      <w:r w:rsidR="002426E4">
        <w:rPr>
          <w:lang w:val="en-GB"/>
        </w:rPr>
        <w:t>a large proportion of p</w:t>
      </w:r>
      <w:r w:rsidR="00FA0CC0">
        <w:rPr>
          <w:lang w:val="en-GB"/>
        </w:rPr>
        <w:t>atients of</w:t>
      </w:r>
      <w:r w:rsidR="002426E4">
        <w:rPr>
          <w:lang w:val="en-GB"/>
        </w:rPr>
        <w:t xml:space="preserve"> </w:t>
      </w:r>
      <w:r w:rsidR="002426E4" w:rsidRPr="002426E4">
        <w:rPr>
          <w:lang w:val="en-GB"/>
        </w:rPr>
        <w:t>Asian family origin</w:t>
      </w:r>
      <w:r w:rsidR="00AD3C33">
        <w:rPr>
          <w:lang w:val="en-GB"/>
        </w:rPr>
        <w:t xml:space="preserve"> (74.9% in the dacomitinib </w:t>
      </w:r>
      <w:r w:rsidR="00AF06E5">
        <w:rPr>
          <w:lang w:val="en-GB"/>
        </w:rPr>
        <w:t xml:space="preserve">treatment </w:t>
      </w:r>
      <w:r w:rsidR="00FA0CC0">
        <w:rPr>
          <w:lang w:val="en-GB"/>
        </w:rPr>
        <w:t xml:space="preserve">arm </w:t>
      </w:r>
      <w:r w:rsidR="00AD3C33">
        <w:rPr>
          <w:lang w:val="en-GB"/>
        </w:rPr>
        <w:t xml:space="preserve">and 78.2% </w:t>
      </w:r>
      <w:r w:rsidR="00AD3C33">
        <w:rPr>
          <w:lang w:val="en-GB"/>
        </w:rPr>
        <w:lastRenderedPageBreak/>
        <w:t xml:space="preserve">in the gefitinib </w:t>
      </w:r>
      <w:r w:rsidR="00AF06E5">
        <w:rPr>
          <w:lang w:val="en-GB"/>
        </w:rPr>
        <w:t xml:space="preserve">treatment </w:t>
      </w:r>
      <w:r w:rsidR="00AD3C33">
        <w:rPr>
          <w:lang w:val="en-GB"/>
        </w:rPr>
        <w:t xml:space="preserve">arm) </w:t>
      </w:r>
      <w:r w:rsidR="00AC73B4">
        <w:rPr>
          <w:lang w:val="en-GB"/>
        </w:rPr>
        <w:t>because m</w:t>
      </w:r>
      <w:r w:rsidR="002426E4">
        <w:rPr>
          <w:lang w:val="en-GB"/>
        </w:rPr>
        <w:t xml:space="preserve">any of the trial centres </w:t>
      </w:r>
      <w:r w:rsidR="00AC73B4">
        <w:rPr>
          <w:lang w:val="en-GB"/>
        </w:rPr>
        <w:t xml:space="preserve">were </w:t>
      </w:r>
      <w:r w:rsidR="002426E4">
        <w:rPr>
          <w:lang w:val="en-GB"/>
        </w:rPr>
        <w:t>in East Asia</w:t>
      </w:r>
      <w:r w:rsidR="00AC73B4">
        <w:rPr>
          <w:lang w:val="en-GB"/>
        </w:rPr>
        <w:t>. It recalled that e</w:t>
      </w:r>
      <w:r w:rsidR="00393AC2">
        <w:rPr>
          <w:lang w:val="en-GB"/>
        </w:rPr>
        <w:t>thnicity was a prespecified subgroup in ARCHER</w:t>
      </w:r>
      <w:r w:rsidR="00154C36">
        <w:rPr>
          <w:lang w:val="en-GB"/>
        </w:rPr>
        <w:t xml:space="preserve"> </w:t>
      </w:r>
      <w:r w:rsidR="00393AC2">
        <w:rPr>
          <w:lang w:val="en-GB"/>
        </w:rPr>
        <w:t>1050</w:t>
      </w:r>
      <w:r w:rsidR="00AC73B4">
        <w:rPr>
          <w:lang w:val="en-GB"/>
        </w:rPr>
        <w:t>,</w:t>
      </w:r>
      <w:r w:rsidR="00393AC2">
        <w:rPr>
          <w:lang w:val="en-GB"/>
        </w:rPr>
        <w:t xml:space="preserve"> and that the company had provided analyses in response to clarification</w:t>
      </w:r>
      <w:r w:rsidR="00D511CA">
        <w:rPr>
          <w:lang w:val="en-GB"/>
        </w:rPr>
        <w:t xml:space="preserve"> but the results </w:t>
      </w:r>
      <w:r w:rsidR="00AC73B4">
        <w:rPr>
          <w:lang w:val="en-GB"/>
        </w:rPr>
        <w:t>were</w:t>
      </w:r>
      <w:r w:rsidR="00D511CA">
        <w:rPr>
          <w:lang w:val="en-GB"/>
        </w:rPr>
        <w:t xml:space="preserve"> underpowered</w:t>
      </w:r>
      <w:r w:rsidR="00393AC2">
        <w:rPr>
          <w:lang w:val="en-GB"/>
        </w:rPr>
        <w:t xml:space="preserve"> (the results are considered academic in confidence by the company and </w:t>
      </w:r>
      <w:r w:rsidR="00AC73B4">
        <w:rPr>
          <w:lang w:val="en-GB"/>
        </w:rPr>
        <w:t>so</w:t>
      </w:r>
      <w:r w:rsidR="00393AC2">
        <w:rPr>
          <w:lang w:val="en-GB"/>
        </w:rPr>
        <w:t xml:space="preserve"> cannot be reported here). </w:t>
      </w:r>
      <w:r w:rsidR="001D504B">
        <w:rPr>
          <w:lang w:val="en-GB"/>
        </w:rPr>
        <w:t xml:space="preserve">Given the </w:t>
      </w:r>
      <w:r w:rsidR="00565FE8">
        <w:rPr>
          <w:lang w:val="en-GB"/>
        </w:rPr>
        <w:t xml:space="preserve">subgroup analyses’ </w:t>
      </w:r>
      <w:r w:rsidR="001D504B">
        <w:rPr>
          <w:lang w:val="en-GB"/>
        </w:rPr>
        <w:t>lack of robustness</w:t>
      </w:r>
      <w:r w:rsidR="00565FE8">
        <w:rPr>
          <w:lang w:val="en-GB"/>
        </w:rPr>
        <w:t xml:space="preserve">, </w:t>
      </w:r>
      <w:r w:rsidR="001D504B">
        <w:rPr>
          <w:lang w:val="en-GB"/>
        </w:rPr>
        <w:t>the committee considered that</w:t>
      </w:r>
      <w:r w:rsidR="00393AC2">
        <w:rPr>
          <w:lang w:val="en-GB"/>
        </w:rPr>
        <w:t xml:space="preserve"> the result</w:t>
      </w:r>
      <w:r w:rsidR="009D667A">
        <w:rPr>
          <w:lang w:val="en-GB"/>
        </w:rPr>
        <w:t>s</w:t>
      </w:r>
      <w:r w:rsidR="00393AC2">
        <w:rPr>
          <w:lang w:val="en-GB"/>
        </w:rPr>
        <w:t xml:space="preserve"> from the whole trial population</w:t>
      </w:r>
      <w:r w:rsidR="009D667A">
        <w:rPr>
          <w:lang w:val="en-GB"/>
        </w:rPr>
        <w:t xml:space="preserve"> </w:t>
      </w:r>
      <w:r w:rsidR="00393AC2">
        <w:rPr>
          <w:lang w:val="en-GB"/>
        </w:rPr>
        <w:t xml:space="preserve">would be generalisable to the population seen in clinical practice in England. </w:t>
      </w:r>
      <w:r w:rsidR="00154C36">
        <w:rPr>
          <w:lang w:val="en-GB"/>
        </w:rPr>
        <w:t>The committee noted that ARCHER 1050 excluded p</w:t>
      </w:r>
      <w:r w:rsidR="007D7E6F">
        <w:rPr>
          <w:lang w:val="en-GB"/>
        </w:rPr>
        <w:t>eople</w:t>
      </w:r>
      <w:r w:rsidR="00154C36">
        <w:rPr>
          <w:lang w:val="en-GB"/>
        </w:rPr>
        <w:t xml:space="preserve"> with brain metastases</w:t>
      </w:r>
      <w:r w:rsidR="009D667A">
        <w:rPr>
          <w:lang w:val="en-GB"/>
        </w:rPr>
        <w:t>: these are</w:t>
      </w:r>
      <w:r w:rsidR="003606A3" w:rsidRPr="003606A3">
        <w:rPr>
          <w:lang w:val="en-GB"/>
        </w:rPr>
        <w:t xml:space="preserve"> associated with a </w:t>
      </w:r>
      <w:r w:rsidR="009D667A">
        <w:rPr>
          <w:lang w:val="en-GB"/>
        </w:rPr>
        <w:t>poor</w:t>
      </w:r>
      <w:r w:rsidR="009D667A" w:rsidRPr="003606A3">
        <w:rPr>
          <w:lang w:val="en-GB"/>
        </w:rPr>
        <w:t xml:space="preserve"> </w:t>
      </w:r>
      <w:r w:rsidR="003606A3" w:rsidRPr="003606A3">
        <w:rPr>
          <w:lang w:val="en-GB"/>
        </w:rPr>
        <w:t>prognosis</w:t>
      </w:r>
      <w:r w:rsidR="009D667A">
        <w:rPr>
          <w:lang w:val="en-GB"/>
        </w:rPr>
        <w:t xml:space="preserve"> and often occur in people with EGFR</w:t>
      </w:r>
      <w:r w:rsidR="00CB35CF">
        <w:rPr>
          <w:lang w:val="en-GB"/>
        </w:rPr>
        <w:t xml:space="preserve"> mutation</w:t>
      </w:r>
      <w:r w:rsidR="009D667A">
        <w:rPr>
          <w:lang w:val="en-GB"/>
        </w:rPr>
        <w:t>-positive NSCLC</w:t>
      </w:r>
      <w:r w:rsidR="003606A3" w:rsidRPr="003606A3">
        <w:rPr>
          <w:lang w:val="en-GB"/>
        </w:rPr>
        <w:t>.</w:t>
      </w:r>
      <w:r w:rsidR="003606A3">
        <w:rPr>
          <w:lang w:val="en-GB"/>
        </w:rPr>
        <w:t xml:space="preserve"> </w:t>
      </w:r>
      <w:r w:rsidR="005C75DA">
        <w:rPr>
          <w:lang w:val="en-GB"/>
        </w:rPr>
        <w:t>T</w:t>
      </w:r>
      <w:r w:rsidR="0019395F">
        <w:rPr>
          <w:lang w:val="en-GB"/>
        </w:rPr>
        <w:t>h</w:t>
      </w:r>
      <w:r w:rsidR="009D667A">
        <w:rPr>
          <w:lang w:val="en-GB"/>
        </w:rPr>
        <w:t xml:space="preserve">is </w:t>
      </w:r>
      <w:r w:rsidR="0019395F">
        <w:rPr>
          <w:lang w:val="en-GB"/>
        </w:rPr>
        <w:t xml:space="preserve">was </w:t>
      </w:r>
      <w:r w:rsidR="005C75DA">
        <w:rPr>
          <w:lang w:val="en-GB"/>
        </w:rPr>
        <w:t xml:space="preserve">an important difference </w:t>
      </w:r>
      <w:r w:rsidR="009D667A">
        <w:rPr>
          <w:lang w:val="en-GB"/>
        </w:rPr>
        <w:t xml:space="preserve">between ARCHER 1050 and </w:t>
      </w:r>
      <w:r w:rsidR="0019395F">
        <w:rPr>
          <w:lang w:val="en-GB"/>
        </w:rPr>
        <w:t>the LUX-L</w:t>
      </w:r>
      <w:r w:rsidR="007D7E6F">
        <w:rPr>
          <w:lang w:val="en-GB"/>
        </w:rPr>
        <w:t>ung</w:t>
      </w:r>
      <w:r w:rsidR="0019395F">
        <w:rPr>
          <w:lang w:val="en-GB"/>
        </w:rPr>
        <w:t xml:space="preserve"> 7 trial</w:t>
      </w:r>
      <w:r w:rsidR="001D504B">
        <w:rPr>
          <w:lang w:val="en-GB"/>
        </w:rPr>
        <w:t xml:space="preserve"> (used in the comparison of afatinib</w:t>
      </w:r>
      <w:r w:rsidR="00AC28CF">
        <w:rPr>
          <w:lang w:val="en-GB"/>
        </w:rPr>
        <w:t xml:space="preserve"> with gefitinib</w:t>
      </w:r>
      <w:r w:rsidR="00565FE8">
        <w:rPr>
          <w:lang w:val="en-GB"/>
        </w:rPr>
        <w:t xml:space="preserve">; </w:t>
      </w:r>
      <w:r w:rsidR="001D504B">
        <w:rPr>
          <w:lang w:val="en-GB"/>
        </w:rPr>
        <w:t>see section 3.9)</w:t>
      </w:r>
      <w:r w:rsidR="00E67CA3">
        <w:rPr>
          <w:lang w:val="en-GB"/>
        </w:rPr>
        <w:t>,</w:t>
      </w:r>
      <w:r w:rsidR="009D667A">
        <w:rPr>
          <w:lang w:val="en-GB"/>
        </w:rPr>
        <w:t xml:space="preserve"> </w:t>
      </w:r>
      <w:r w:rsidR="005C75DA">
        <w:rPr>
          <w:lang w:val="en-GB"/>
        </w:rPr>
        <w:t xml:space="preserve">in which </w:t>
      </w:r>
      <w:r w:rsidR="0019395F">
        <w:rPr>
          <w:lang w:val="en-GB"/>
        </w:rPr>
        <w:t>16% of p</w:t>
      </w:r>
      <w:r w:rsidR="009D667A">
        <w:rPr>
          <w:lang w:val="en-GB"/>
        </w:rPr>
        <w:t>atients</w:t>
      </w:r>
      <w:r w:rsidR="0019395F">
        <w:rPr>
          <w:lang w:val="en-GB"/>
        </w:rPr>
        <w:t xml:space="preserve"> </w:t>
      </w:r>
      <w:r w:rsidR="005C75DA">
        <w:rPr>
          <w:lang w:val="en-GB"/>
        </w:rPr>
        <w:t>had</w:t>
      </w:r>
      <w:r w:rsidR="0019395F">
        <w:rPr>
          <w:lang w:val="en-GB"/>
        </w:rPr>
        <w:t xml:space="preserve"> brain metastases. </w:t>
      </w:r>
      <w:r w:rsidR="00393AC2">
        <w:rPr>
          <w:lang w:val="en-GB"/>
        </w:rPr>
        <w:t xml:space="preserve">The committee concluded that </w:t>
      </w:r>
      <w:r w:rsidR="0019395F">
        <w:rPr>
          <w:lang w:val="en-GB"/>
        </w:rPr>
        <w:t xml:space="preserve">overall, </w:t>
      </w:r>
      <w:r w:rsidR="00393AC2">
        <w:rPr>
          <w:lang w:val="en-GB"/>
        </w:rPr>
        <w:t xml:space="preserve">the trial results from ARCHER 10150 were generalisable to NHS clinical practice in England. </w:t>
      </w:r>
    </w:p>
    <w:p w14:paraId="029E29A2" w14:textId="26A7564C" w:rsidR="00D96D31" w:rsidRPr="00D96D31" w:rsidRDefault="00D96D31" w:rsidP="00D96D31">
      <w:pPr>
        <w:pStyle w:val="Heading3"/>
      </w:pPr>
      <w:r w:rsidRPr="00D96D31">
        <w:t xml:space="preserve">Dacomitinib </w:t>
      </w:r>
      <w:r w:rsidR="0053000D">
        <w:t xml:space="preserve">is associated with more </w:t>
      </w:r>
      <w:r w:rsidRPr="00D96D31">
        <w:t>adverse events</w:t>
      </w:r>
      <w:r w:rsidR="002D31BC">
        <w:t xml:space="preserve"> and may need more dose reductions</w:t>
      </w:r>
      <w:r w:rsidRPr="00D96D31">
        <w:t xml:space="preserve"> than gefitinib</w:t>
      </w:r>
    </w:p>
    <w:p w14:paraId="44167415" w14:textId="4C388FAB" w:rsidR="00D96D31" w:rsidRPr="00D96D31" w:rsidRDefault="00D96D31" w:rsidP="00D96D31">
      <w:pPr>
        <w:pStyle w:val="Numberedlevel2text"/>
      </w:pPr>
      <w:r w:rsidRPr="00D96D31">
        <w:t>The committee noted that dacomitinib had a higher incidence of common adverse events than gefitinib,</w:t>
      </w:r>
      <w:r w:rsidR="008A1434" w:rsidRPr="00FC6109">
        <w:rPr>
          <w:lang w:val="en-GB"/>
        </w:rPr>
        <w:t xml:space="preserve"> and </w:t>
      </w:r>
      <w:r w:rsidR="00D569BF" w:rsidRPr="00254D10">
        <w:rPr>
          <w:lang w:val="en-GB"/>
        </w:rPr>
        <w:t>that</w:t>
      </w:r>
      <w:r w:rsidR="00D569BF">
        <w:rPr>
          <w:lang w:val="en-GB"/>
        </w:rPr>
        <w:t xml:space="preserve"> </w:t>
      </w:r>
      <w:r w:rsidR="00D569BF" w:rsidRPr="00D569BF">
        <w:rPr>
          <w:lang w:val="en-GB"/>
        </w:rPr>
        <w:t xml:space="preserve">there were more dose reductions in the dacomitinib </w:t>
      </w:r>
      <w:r w:rsidR="00FE3E32">
        <w:rPr>
          <w:lang w:val="en-GB"/>
        </w:rPr>
        <w:t xml:space="preserve">treatment </w:t>
      </w:r>
      <w:r w:rsidR="00D569BF" w:rsidRPr="00D569BF">
        <w:rPr>
          <w:lang w:val="en-GB"/>
        </w:rPr>
        <w:t xml:space="preserve">arm than </w:t>
      </w:r>
      <w:r w:rsidR="008A1434">
        <w:rPr>
          <w:lang w:val="en-GB"/>
        </w:rPr>
        <w:t xml:space="preserve">in </w:t>
      </w:r>
      <w:r w:rsidR="00D569BF" w:rsidRPr="00D569BF">
        <w:rPr>
          <w:lang w:val="en-GB"/>
        </w:rPr>
        <w:t xml:space="preserve">the gefitinib </w:t>
      </w:r>
      <w:r w:rsidR="00FE3E32">
        <w:rPr>
          <w:lang w:val="en-GB"/>
        </w:rPr>
        <w:t xml:space="preserve">treatment </w:t>
      </w:r>
      <w:r w:rsidR="00D569BF" w:rsidRPr="00D569BF">
        <w:rPr>
          <w:lang w:val="en-GB"/>
        </w:rPr>
        <w:t xml:space="preserve">arm (66.1% and 8.0% respectively). </w:t>
      </w:r>
      <w:r w:rsidR="0063738B">
        <w:rPr>
          <w:lang w:val="en-GB"/>
        </w:rPr>
        <w:t xml:space="preserve">The committee was also aware that </w:t>
      </w:r>
      <w:r w:rsidR="0063738B" w:rsidRPr="0063738B">
        <w:rPr>
          <w:lang w:val="en-GB"/>
        </w:rPr>
        <w:t>second</w:t>
      </w:r>
      <w:r w:rsidR="008A1434">
        <w:rPr>
          <w:lang w:val="en-GB"/>
        </w:rPr>
        <w:t>-</w:t>
      </w:r>
      <w:r w:rsidR="0063738B" w:rsidRPr="0063738B">
        <w:rPr>
          <w:lang w:val="en-GB"/>
        </w:rPr>
        <w:t xml:space="preserve">generation </w:t>
      </w:r>
      <w:r w:rsidR="00A662E9" w:rsidRPr="00A662E9">
        <w:rPr>
          <w:lang w:val="en-GB"/>
        </w:rPr>
        <w:t xml:space="preserve">tyrosine kinase inhibitors </w:t>
      </w:r>
      <w:r w:rsidR="00A662E9">
        <w:rPr>
          <w:lang w:val="en-GB"/>
        </w:rPr>
        <w:t xml:space="preserve">such as afatinib </w:t>
      </w:r>
      <w:r w:rsidR="008A1434">
        <w:rPr>
          <w:lang w:val="en-GB"/>
        </w:rPr>
        <w:t>are associated with more adverse events, whereas</w:t>
      </w:r>
      <w:r w:rsidR="00A662E9">
        <w:rPr>
          <w:lang w:val="en-GB"/>
        </w:rPr>
        <w:t xml:space="preserve"> </w:t>
      </w:r>
      <w:r w:rsidR="0063738B" w:rsidRPr="0063738B">
        <w:rPr>
          <w:lang w:val="en-GB"/>
        </w:rPr>
        <w:t>first</w:t>
      </w:r>
      <w:r w:rsidR="00A662E9">
        <w:rPr>
          <w:lang w:val="en-GB"/>
        </w:rPr>
        <w:t>-</w:t>
      </w:r>
      <w:r w:rsidR="0063738B" w:rsidRPr="0063738B">
        <w:rPr>
          <w:lang w:val="en-GB"/>
        </w:rPr>
        <w:t xml:space="preserve">generation </w:t>
      </w:r>
      <w:r w:rsidR="00A662E9">
        <w:rPr>
          <w:lang w:val="en-GB"/>
        </w:rPr>
        <w:t>tyrosine kinase inhibitors</w:t>
      </w:r>
      <w:r w:rsidR="008A1434">
        <w:rPr>
          <w:lang w:val="en-GB"/>
        </w:rPr>
        <w:t xml:space="preserve"> are</w:t>
      </w:r>
      <w:r w:rsidR="0063738B" w:rsidRPr="0063738B">
        <w:rPr>
          <w:lang w:val="en-GB"/>
        </w:rPr>
        <w:t xml:space="preserve"> </w:t>
      </w:r>
      <w:r w:rsidR="008A1434">
        <w:rPr>
          <w:lang w:val="en-GB"/>
        </w:rPr>
        <w:t xml:space="preserve">generally </w:t>
      </w:r>
      <w:r w:rsidR="0063738B" w:rsidRPr="0063738B">
        <w:rPr>
          <w:lang w:val="en-GB"/>
        </w:rPr>
        <w:t>better tolerated</w:t>
      </w:r>
      <w:r w:rsidR="00A662E9">
        <w:rPr>
          <w:lang w:val="en-GB"/>
        </w:rPr>
        <w:t xml:space="preserve"> (see section 3</w:t>
      </w:r>
      <w:r w:rsidR="00A54D0B">
        <w:rPr>
          <w:lang w:val="en-GB"/>
        </w:rPr>
        <w:t>.</w:t>
      </w:r>
      <w:r w:rsidR="00A662E9">
        <w:rPr>
          <w:lang w:val="en-GB"/>
        </w:rPr>
        <w:t>2)</w:t>
      </w:r>
      <w:r w:rsidR="0063738B" w:rsidRPr="0063738B">
        <w:rPr>
          <w:lang w:val="en-GB"/>
        </w:rPr>
        <w:t>. The clinical experts agreed that the</w:t>
      </w:r>
      <w:r w:rsidR="00A662E9">
        <w:rPr>
          <w:lang w:val="en-GB"/>
        </w:rPr>
        <w:t xml:space="preserve"> differences in the </w:t>
      </w:r>
      <w:r w:rsidR="008A1434">
        <w:rPr>
          <w:lang w:val="en-GB"/>
        </w:rPr>
        <w:t xml:space="preserve">drugs’ </w:t>
      </w:r>
      <w:r w:rsidR="00A662E9">
        <w:rPr>
          <w:lang w:val="en-GB"/>
        </w:rPr>
        <w:t>adverse</w:t>
      </w:r>
      <w:r w:rsidR="008A1434">
        <w:rPr>
          <w:lang w:val="en-GB"/>
        </w:rPr>
        <w:t>-</w:t>
      </w:r>
      <w:r w:rsidR="00A662E9">
        <w:rPr>
          <w:lang w:val="en-GB"/>
        </w:rPr>
        <w:t xml:space="preserve">event profiles </w:t>
      </w:r>
      <w:r w:rsidR="0063738B" w:rsidRPr="0063738B">
        <w:rPr>
          <w:lang w:val="en-GB"/>
        </w:rPr>
        <w:t xml:space="preserve">are well known and </w:t>
      </w:r>
      <w:r w:rsidR="008A1434">
        <w:rPr>
          <w:lang w:val="en-GB"/>
        </w:rPr>
        <w:t xml:space="preserve">this is </w:t>
      </w:r>
      <w:r w:rsidR="0063738B" w:rsidRPr="0063738B">
        <w:rPr>
          <w:lang w:val="en-GB"/>
        </w:rPr>
        <w:t xml:space="preserve">reflected in </w:t>
      </w:r>
      <w:r w:rsidR="008A1434">
        <w:rPr>
          <w:lang w:val="en-GB"/>
        </w:rPr>
        <w:t xml:space="preserve">how they </w:t>
      </w:r>
      <w:r w:rsidR="0063738B" w:rsidRPr="0063738B">
        <w:rPr>
          <w:lang w:val="en-GB"/>
        </w:rPr>
        <w:t>are used in clinical practice</w:t>
      </w:r>
      <w:r w:rsidR="008A1434">
        <w:rPr>
          <w:lang w:val="en-GB"/>
        </w:rPr>
        <w:t xml:space="preserve"> (</w:t>
      </w:r>
      <w:r w:rsidR="00A662E9">
        <w:rPr>
          <w:lang w:val="en-GB"/>
        </w:rPr>
        <w:t>that is</w:t>
      </w:r>
      <w:r w:rsidR="008A1434">
        <w:rPr>
          <w:lang w:val="en-GB"/>
        </w:rPr>
        <w:t>,</w:t>
      </w:r>
      <w:r w:rsidR="00A662E9">
        <w:rPr>
          <w:lang w:val="en-GB"/>
        </w:rPr>
        <w:t xml:space="preserve"> according to a person’s </w:t>
      </w:r>
      <w:r w:rsidR="001D504B" w:rsidRPr="001D504B">
        <w:rPr>
          <w:lang w:val="en-GB"/>
        </w:rPr>
        <w:t>fitness</w:t>
      </w:r>
      <w:r w:rsidR="00565FE8">
        <w:rPr>
          <w:lang w:val="en-GB"/>
        </w:rPr>
        <w:t xml:space="preserve"> for treatment</w:t>
      </w:r>
      <w:r w:rsidR="001D504B" w:rsidRPr="001D504B">
        <w:rPr>
          <w:lang w:val="en-GB"/>
        </w:rPr>
        <w:t xml:space="preserve">, which is typically categorised by </w:t>
      </w:r>
      <w:r w:rsidR="00A662E9">
        <w:rPr>
          <w:lang w:val="en-GB"/>
        </w:rPr>
        <w:t>ECOG performance status</w:t>
      </w:r>
      <w:r w:rsidR="008A1434">
        <w:rPr>
          <w:lang w:val="en-GB"/>
        </w:rPr>
        <w:t>)</w:t>
      </w:r>
      <w:r w:rsidR="00A662E9">
        <w:rPr>
          <w:lang w:val="en-GB"/>
        </w:rPr>
        <w:t xml:space="preserve">. </w:t>
      </w:r>
      <w:r w:rsidR="001C7900">
        <w:rPr>
          <w:lang w:val="en-GB"/>
        </w:rPr>
        <w:t>Although t</w:t>
      </w:r>
      <w:r w:rsidRPr="00D96D31">
        <w:t xml:space="preserve">he clinical experts </w:t>
      </w:r>
      <w:r w:rsidR="00D569BF">
        <w:rPr>
          <w:lang w:val="en-GB"/>
        </w:rPr>
        <w:t xml:space="preserve">acknowledged </w:t>
      </w:r>
      <w:r w:rsidRPr="00D96D31">
        <w:t xml:space="preserve">that </w:t>
      </w:r>
      <w:r w:rsidR="00D569BF">
        <w:rPr>
          <w:lang w:val="en-GB"/>
        </w:rPr>
        <w:t>adverse events</w:t>
      </w:r>
      <w:r w:rsidR="00A662E9">
        <w:rPr>
          <w:lang w:val="en-GB"/>
        </w:rPr>
        <w:t xml:space="preserve"> associated with second</w:t>
      </w:r>
      <w:r w:rsidR="001C7900">
        <w:rPr>
          <w:lang w:val="en-GB"/>
        </w:rPr>
        <w:t>-</w:t>
      </w:r>
      <w:r w:rsidR="00A662E9">
        <w:rPr>
          <w:lang w:val="en-GB"/>
        </w:rPr>
        <w:t xml:space="preserve">generation </w:t>
      </w:r>
      <w:r w:rsidR="00A662E9" w:rsidRPr="00A662E9">
        <w:rPr>
          <w:lang w:val="en-GB"/>
        </w:rPr>
        <w:t xml:space="preserve">tyrosine kinase inhibitors </w:t>
      </w:r>
      <w:r w:rsidRPr="00D96D31">
        <w:t xml:space="preserve">could be </w:t>
      </w:r>
      <w:r w:rsidR="001C7900">
        <w:rPr>
          <w:lang w:val="en-US"/>
        </w:rPr>
        <w:t xml:space="preserve">effectively </w:t>
      </w:r>
      <w:r w:rsidRPr="00D96D31">
        <w:t xml:space="preserve">managed in clinical practice, </w:t>
      </w:r>
      <w:r w:rsidRPr="00D96D31">
        <w:lastRenderedPageBreak/>
        <w:t>the</w:t>
      </w:r>
      <w:r w:rsidR="00D569BF">
        <w:rPr>
          <w:lang w:val="en-GB"/>
        </w:rPr>
        <w:t xml:space="preserve">y highlighted that the adverse events </w:t>
      </w:r>
      <w:r w:rsidR="001C7900">
        <w:rPr>
          <w:lang w:val="en-GB"/>
        </w:rPr>
        <w:t>were detrimental to people’s</w:t>
      </w:r>
      <w:r w:rsidR="00D569BF">
        <w:rPr>
          <w:lang w:val="en-GB"/>
        </w:rPr>
        <w:t xml:space="preserve"> quality of life. The </w:t>
      </w:r>
      <w:r w:rsidR="001C7900">
        <w:rPr>
          <w:lang w:val="en-GB"/>
        </w:rPr>
        <w:t>c</w:t>
      </w:r>
      <w:r w:rsidR="00D569BF">
        <w:rPr>
          <w:lang w:val="en-GB"/>
        </w:rPr>
        <w:t xml:space="preserve">linical </w:t>
      </w:r>
      <w:r w:rsidR="001C7900">
        <w:rPr>
          <w:lang w:val="en-GB"/>
        </w:rPr>
        <w:t>l</w:t>
      </w:r>
      <w:r w:rsidR="00D569BF">
        <w:rPr>
          <w:lang w:val="en-GB"/>
        </w:rPr>
        <w:t xml:space="preserve">ead for the Cancer Drugs Fund </w:t>
      </w:r>
      <w:r w:rsidR="002D31BC">
        <w:rPr>
          <w:lang w:val="en-GB"/>
        </w:rPr>
        <w:t xml:space="preserve">also </w:t>
      </w:r>
      <w:r w:rsidR="00D569BF">
        <w:rPr>
          <w:lang w:val="en-GB"/>
        </w:rPr>
        <w:t xml:space="preserve">highlighted NHS England’s concerns about the toxicity of </w:t>
      </w:r>
      <w:r w:rsidR="0063738B">
        <w:rPr>
          <w:lang w:val="en-GB"/>
        </w:rPr>
        <w:t>dacomitinib and</w:t>
      </w:r>
      <w:r w:rsidR="00D569BF">
        <w:rPr>
          <w:lang w:val="en-GB"/>
        </w:rPr>
        <w:t xml:space="preserve"> the high rates of adverse events </w:t>
      </w:r>
      <w:r w:rsidR="0063738B">
        <w:rPr>
          <w:lang w:val="en-GB"/>
        </w:rPr>
        <w:t xml:space="preserve">that are likely to be seen in </w:t>
      </w:r>
      <w:r w:rsidR="00A662E9">
        <w:rPr>
          <w:lang w:val="en-GB"/>
        </w:rPr>
        <w:t>practice</w:t>
      </w:r>
      <w:r w:rsidR="00397CFD">
        <w:rPr>
          <w:lang w:val="en-GB"/>
        </w:rPr>
        <w:t xml:space="preserve">. </w:t>
      </w:r>
      <w:r w:rsidR="0063738B">
        <w:rPr>
          <w:lang w:val="en-GB"/>
        </w:rPr>
        <w:t xml:space="preserve">The committee agreed that dacomitinib had a </w:t>
      </w:r>
      <w:r w:rsidR="0063738B" w:rsidRPr="0063738B">
        <w:rPr>
          <w:lang w:val="en-GB"/>
        </w:rPr>
        <w:t xml:space="preserve">higher incidence of adverse events and </w:t>
      </w:r>
      <w:r w:rsidR="002D31BC">
        <w:rPr>
          <w:lang w:val="en-GB"/>
        </w:rPr>
        <w:t>needed</w:t>
      </w:r>
      <w:r w:rsidR="0063738B" w:rsidRPr="0063738B">
        <w:rPr>
          <w:lang w:val="en-GB"/>
        </w:rPr>
        <w:t xml:space="preserve"> more dose reductions than gefitinib</w:t>
      </w:r>
      <w:r w:rsidR="002D31BC">
        <w:rPr>
          <w:lang w:val="en-GB"/>
        </w:rPr>
        <w:t xml:space="preserve">. It </w:t>
      </w:r>
      <w:r w:rsidR="0063738B">
        <w:rPr>
          <w:lang w:val="en-GB"/>
        </w:rPr>
        <w:t xml:space="preserve">concluded that </w:t>
      </w:r>
      <w:r w:rsidR="002D31BC">
        <w:rPr>
          <w:lang w:val="en-GB"/>
        </w:rPr>
        <w:t xml:space="preserve">how this affected </w:t>
      </w:r>
      <w:r w:rsidR="0063738B">
        <w:rPr>
          <w:lang w:val="en-GB"/>
        </w:rPr>
        <w:t>health-related quality of life and resource costs for managing adverse events should be fully captured in the cost-effectiveness analysis.</w:t>
      </w:r>
      <w:r w:rsidRPr="00D96D31">
        <w:t xml:space="preserve"> </w:t>
      </w:r>
    </w:p>
    <w:p w14:paraId="1EC6ABA8" w14:textId="6470DC50" w:rsidR="00932E35" w:rsidRPr="00932E35" w:rsidRDefault="00932E35" w:rsidP="00932E35">
      <w:pPr>
        <w:pStyle w:val="Heading3"/>
      </w:pPr>
      <w:r>
        <w:t xml:space="preserve">The </w:t>
      </w:r>
      <w:r w:rsidR="007E4EB0">
        <w:t xml:space="preserve">results from the </w:t>
      </w:r>
      <w:r>
        <w:t xml:space="preserve">company’s fractional polynomial </w:t>
      </w:r>
      <w:r w:rsidR="006E011E">
        <w:t xml:space="preserve">network meta-analysis </w:t>
      </w:r>
      <w:r w:rsidR="007E4EB0">
        <w:t>are uncertain</w:t>
      </w:r>
    </w:p>
    <w:p w14:paraId="32A360F4" w14:textId="419F9B9B" w:rsidR="009056A1" w:rsidRPr="009056A1" w:rsidRDefault="00243F75" w:rsidP="008B2A7D">
      <w:pPr>
        <w:pStyle w:val="Numberedlevel2text"/>
      </w:pPr>
      <w:r w:rsidRPr="00243F75">
        <w:rPr>
          <w:lang w:val="en-GB"/>
        </w:rPr>
        <w:t xml:space="preserve">The company </w:t>
      </w:r>
      <w:r w:rsidR="00E857D3">
        <w:rPr>
          <w:lang w:val="en-GB"/>
        </w:rPr>
        <w:t xml:space="preserve">did </w:t>
      </w:r>
      <w:r w:rsidRPr="00243F75">
        <w:rPr>
          <w:lang w:val="en-GB"/>
        </w:rPr>
        <w:t xml:space="preserve">a network meta-analysis to compare </w:t>
      </w:r>
      <w:r>
        <w:rPr>
          <w:lang w:val="en-GB"/>
        </w:rPr>
        <w:t xml:space="preserve">dacomitinib </w:t>
      </w:r>
      <w:r w:rsidRPr="00243F75">
        <w:rPr>
          <w:lang w:val="en-GB"/>
        </w:rPr>
        <w:t xml:space="preserve">with the </w:t>
      </w:r>
      <w:r>
        <w:rPr>
          <w:lang w:val="en-GB"/>
        </w:rPr>
        <w:t xml:space="preserve">other </w:t>
      </w:r>
      <w:r w:rsidRPr="00243F75">
        <w:rPr>
          <w:lang w:val="en-GB"/>
        </w:rPr>
        <w:t xml:space="preserve">comparators in the scope, </w:t>
      </w:r>
      <w:r>
        <w:rPr>
          <w:lang w:val="en-GB"/>
        </w:rPr>
        <w:t xml:space="preserve">afatinib and erlotinib. It </w:t>
      </w:r>
      <w:r w:rsidR="00E857D3">
        <w:rPr>
          <w:lang w:val="en-GB"/>
        </w:rPr>
        <w:t xml:space="preserve">did </w:t>
      </w:r>
      <w:r w:rsidRPr="00243F75">
        <w:rPr>
          <w:lang w:val="en-GB"/>
        </w:rPr>
        <w:t>a fractional polynomial network meta-analysis</w:t>
      </w:r>
      <w:r>
        <w:rPr>
          <w:lang w:val="en-GB"/>
        </w:rPr>
        <w:t xml:space="preserve"> as described by Janssen et al</w:t>
      </w:r>
      <w:r w:rsidR="00E857D3">
        <w:rPr>
          <w:lang w:val="en-GB"/>
        </w:rPr>
        <w:t>.</w:t>
      </w:r>
      <w:r>
        <w:rPr>
          <w:lang w:val="en-GB"/>
        </w:rPr>
        <w:t xml:space="preserve"> (2011)</w:t>
      </w:r>
      <w:r w:rsidR="00E857D3">
        <w:rPr>
          <w:lang w:val="en-GB"/>
        </w:rPr>
        <w:t>,</w:t>
      </w:r>
      <w:r w:rsidRPr="00243F75">
        <w:rPr>
          <w:lang w:val="en-GB"/>
        </w:rPr>
        <w:t xml:space="preserve"> because it considered that the proportional hazards assumption may have been violated in ARCHER 1050</w:t>
      </w:r>
      <w:r w:rsidR="00C50061">
        <w:rPr>
          <w:lang w:val="en-GB"/>
        </w:rPr>
        <w:t xml:space="preserve"> </w:t>
      </w:r>
      <w:r w:rsidR="001D504B" w:rsidRPr="001D504B">
        <w:rPr>
          <w:lang w:val="en-GB"/>
        </w:rPr>
        <w:t>(that is, the hazard ratios were not constant over time)</w:t>
      </w:r>
      <w:r w:rsidRPr="00243F75">
        <w:rPr>
          <w:lang w:val="en-GB"/>
        </w:rPr>
        <w:t xml:space="preserve">. The committee understood that fractional polynomial network meta-analysis differs from a traditional network meta-analysis in that it fits hazard ratios that can vary over time rather than being constant. </w:t>
      </w:r>
      <w:r w:rsidR="00D84E97">
        <w:rPr>
          <w:lang w:val="en-GB"/>
        </w:rPr>
        <w:t>Based on the e</w:t>
      </w:r>
      <w:r w:rsidR="00D84E97" w:rsidRPr="00D84E97">
        <w:rPr>
          <w:lang w:val="en-GB"/>
        </w:rPr>
        <w:t>vidence from clinical experts, other phase III randomised controlled trials and previous NICE appraisals</w:t>
      </w:r>
      <w:r w:rsidR="00D84E97">
        <w:rPr>
          <w:lang w:val="en-GB"/>
        </w:rPr>
        <w:t xml:space="preserve">, the company assumed </w:t>
      </w:r>
      <w:r w:rsidR="00D84E97" w:rsidRPr="00D84E97">
        <w:rPr>
          <w:lang w:val="en-GB"/>
        </w:rPr>
        <w:t xml:space="preserve">equivalence between gefitinib and erlotinib. </w:t>
      </w:r>
      <w:r w:rsidR="00AF4F18">
        <w:rPr>
          <w:lang w:val="en-GB"/>
        </w:rPr>
        <w:t xml:space="preserve">The committee agreed that this assumption was appropriate. </w:t>
      </w:r>
      <w:r w:rsidR="00D84E97">
        <w:rPr>
          <w:lang w:val="en-GB"/>
        </w:rPr>
        <w:t xml:space="preserve">The company </w:t>
      </w:r>
      <w:r w:rsidR="00FE3E32">
        <w:rPr>
          <w:lang w:val="en-GB"/>
        </w:rPr>
        <w:t xml:space="preserve">obtained </w:t>
      </w:r>
      <w:r w:rsidR="001E1B5F" w:rsidRPr="001E1B5F">
        <w:rPr>
          <w:lang w:val="en-GB"/>
        </w:rPr>
        <w:t>the relative effect estimates of progression-free and overall survival for afatinib and dacomitinib compared with gefitinib</w:t>
      </w:r>
      <w:r w:rsidR="00925F46">
        <w:rPr>
          <w:lang w:val="en-GB"/>
        </w:rPr>
        <w:t xml:space="preserve"> from the </w:t>
      </w:r>
      <w:r w:rsidR="00925F46" w:rsidRPr="00D84E97">
        <w:rPr>
          <w:lang w:val="en-GB"/>
        </w:rPr>
        <w:t xml:space="preserve">LUX-Lung 7 trial </w:t>
      </w:r>
      <w:r w:rsidR="00925F46">
        <w:rPr>
          <w:lang w:val="en-GB"/>
        </w:rPr>
        <w:t>(which compared afatinib with gefitinib)</w:t>
      </w:r>
      <w:r w:rsidR="001E1B5F" w:rsidRPr="001E1B5F">
        <w:rPr>
          <w:lang w:val="en-GB"/>
        </w:rPr>
        <w:t>.</w:t>
      </w:r>
      <w:r>
        <w:rPr>
          <w:lang w:val="en-GB"/>
        </w:rPr>
        <w:t xml:space="preserve"> </w:t>
      </w:r>
      <w:r w:rsidR="00E857D3">
        <w:rPr>
          <w:lang w:val="en-GB"/>
        </w:rPr>
        <w:t>In its submission, t</w:t>
      </w:r>
      <w:r w:rsidR="002D284C" w:rsidRPr="002D284C">
        <w:rPr>
          <w:lang w:val="en-GB"/>
        </w:rPr>
        <w:t xml:space="preserve">he </w:t>
      </w:r>
      <w:r w:rsidR="002D284C">
        <w:rPr>
          <w:lang w:val="en-GB"/>
        </w:rPr>
        <w:t xml:space="preserve">company had presented the </w:t>
      </w:r>
      <w:r w:rsidR="002D284C" w:rsidRPr="002D284C">
        <w:rPr>
          <w:lang w:val="en-GB"/>
        </w:rPr>
        <w:t xml:space="preserve">projected means for </w:t>
      </w:r>
      <w:r w:rsidR="002D284C">
        <w:rPr>
          <w:lang w:val="en-GB"/>
        </w:rPr>
        <w:t xml:space="preserve">progression-free and overall survival </w:t>
      </w:r>
      <w:r w:rsidR="002D284C" w:rsidRPr="002D284C">
        <w:rPr>
          <w:lang w:val="en-GB"/>
        </w:rPr>
        <w:t xml:space="preserve">along with the medians compared </w:t>
      </w:r>
      <w:r w:rsidR="002D284C">
        <w:rPr>
          <w:lang w:val="en-GB"/>
        </w:rPr>
        <w:t xml:space="preserve">with </w:t>
      </w:r>
      <w:r w:rsidR="002D284C" w:rsidRPr="002D284C">
        <w:rPr>
          <w:lang w:val="en-GB"/>
        </w:rPr>
        <w:t xml:space="preserve">the observed data from ARCHER 1050, </w:t>
      </w:r>
      <w:r w:rsidR="002D284C">
        <w:rPr>
          <w:lang w:val="en-GB"/>
        </w:rPr>
        <w:t xml:space="preserve">to provide </w:t>
      </w:r>
      <w:r w:rsidR="002D284C" w:rsidRPr="002D284C">
        <w:rPr>
          <w:lang w:val="en-GB"/>
        </w:rPr>
        <w:t xml:space="preserve">face validity for </w:t>
      </w:r>
      <w:r w:rsidR="002D284C">
        <w:rPr>
          <w:lang w:val="en-GB"/>
        </w:rPr>
        <w:t>m</w:t>
      </w:r>
      <w:r w:rsidR="002D284C" w:rsidRPr="002D284C">
        <w:rPr>
          <w:lang w:val="en-GB"/>
        </w:rPr>
        <w:t>odel</w:t>
      </w:r>
      <w:r w:rsidR="002D284C">
        <w:rPr>
          <w:lang w:val="en-GB"/>
        </w:rPr>
        <w:t xml:space="preserve"> (the company considered the results to be commercial in confidence and </w:t>
      </w:r>
      <w:r w:rsidR="00E857D3">
        <w:rPr>
          <w:lang w:val="en-GB"/>
        </w:rPr>
        <w:t xml:space="preserve">so they </w:t>
      </w:r>
      <w:r w:rsidR="002D284C">
        <w:rPr>
          <w:lang w:val="en-GB"/>
        </w:rPr>
        <w:t>cannot be reported here)</w:t>
      </w:r>
      <w:r w:rsidR="005366C7">
        <w:rPr>
          <w:lang w:val="en-GB"/>
        </w:rPr>
        <w:t>.</w:t>
      </w:r>
      <w:r w:rsidR="00E857D3">
        <w:rPr>
          <w:lang w:val="en-GB"/>
        </w:rPr>
        <w:t xml:space="preserve"> </w:t>
      </w:r>
      <w:r w:rsidR="005366C7">
        <w:rPr>
          <w:lang w:val="en-GB"/>
        </w:rPr>
        <w:t>The</w:t>
      </w:r>
      <w:r w:rsidR="004802A4">
        <w:rPr>
          <w:lang w:val="en-GB"/>
        </w:rPr>
        <w:t xml:space="preserve"> committee </w:t>
      </w:r>
      <w:r w:rsidR="00E857D3">
        <w:rPr>
          <w:lang w:val="en-GB"/>
        </w:rPr>
        <w:t xml:space="preserve">recalled </w:t>
      </w:r>
      <w:r w:rsidR="004802A4">
        <w:rPr>
          <w:lang w:val="en-GB"/>
        </w:rPr>
        <w:t xml:space="preserve">the ERG’s concerns </w:t>
      </w:r>
      <w:r w:rsidR="00E857D3">
        <w:rPr>
          <w:lang w:val="en-GB"/>
        </w:rPr>
        <w:t>about di</w:t>
      </w:r>
      <w:r w:rsidR="00792109">
        <w:rPr>
          <w:lang w:val="en-GB"/>
        </w:rPr>
        <w:t xml:space="preserve">fferences in </w:t>
      </w:r>
      <w:r w:rsidR="00E857D3">
        <w:rPr>
          <w:lang w:val="en-GB"/>
        </w:rPr>
        <w:lastRenderedPageBreak/>
        <w:t xml:space="preserve">patients’ </w:t>
      </w:r>
      <w:r w:rsidR="00792109">
        <w:rPr>
          <w:lang w:val="en-GB"/>
        </w:rPr>
        <w:t>baseline characteristics in ARCHER 1050 and LUX-L</w:t>
      </w:r>
      <w:r w:rsidR="007D7E6F">
        <w:rPr>
          <w:lang w:val="en-GB"/>
        </w:rPr>
        <w:t>ung</w:t>
      </w:r>
      <w:r w:rsidR="00792109">
        <w:rPr>
          <w:lang w:val="en-GB"/>
        </w:rPr>
        <w:t xml:space="preserve"> 7, </w:t>
      </w:r>
      <w:r w:rsidR="00E857D3">
        <w:rPr>
          <w:lang w:val="en-GB"/>
        </w:rPr>
        <w:t xml:space="preserve">specifically the proportion of patients of Asian family origin and </w:t>
      </w:r>
      <w:r w:rsidR="00792109">
        <w:rPr>
          <w:lang w:val="en-GB"/>
        </w:rPr>
        <w:t>the presence of brain metastases</w:t>
      </w:r>
      <w:r w:rsidR="00E857D3">
        <w:rPr>
          <w:lang w:val="en-GB"/>
        </w:rPr>
        <w:t xml:space="preserve"> (see section 3.7)</w:t>
      </w:r>
      <w:r w:rsidR="00B3077D">
        <w:rPr>
          <w:lang w:val="en-GB"/>
        </w:rPr>
        <w:t xml:space="preserve">. </w:t>
      </w:r>
      <w:r w:rsidR="00792109">
        <w:rPr>
          <w:lang w:val="en-GB"/>
        </w:rPr>
        <w:t>The committee agreed that these differences</w:t>
      </w:r>
      <w:r w:rsidR="006A74A4">
        <w:rPr>
          <w:lang w:val="en-GB"/>
        </w:rPr>
        <w:t>, in particular the exclusion of brain metastases from ARCHER 1050,</w:t>
      </w:r>
      <w:r w:rsidR="00792109">
        <w:rPr>
          <w:lang w:val="en-GB"/>
        </w:rPr>
        <w:t xml:space="preserve"> added uncertainty </w:t>
      </w:r>
      <w:r w:rsidR="00B3077D">
        <w:rPr>
          <w:lang w:val="en-GB"/>
        </w:rPr>
        <w:t xml:space="preserve">to </w:t>
      </w:r>
      <w:r w:rsidR="00792109">
        <w:rPr>
          <w:lang w:val="en-GB"/>
        </w:rPr>
        <w:t xml:space="preserve">any estimates from the analysis. </w:t>
      </w:r>
      <w:r w:rsidR="006F5D27">
        <w:rPr>
          <w:lang w:val="en-GB"/>
        </w:rPr>
        <w:t xml:space="preserve">The </w:t>
      </w:r>
      <w:r w:rsidR="004E6D48">
        <w:rPr>
          <w:lang w:val="en-GB"/>
        </w:rPr>
        <w:t>ERG</w:t>
      </w:r>
      <w:r w:rsidR="00B3077D">
        <w:rPr>
          <w:lang w:val="en-GB"/>
        </w:rPr>
        <w:t xml:space="preserve"> also expressed </w:t>
      </w:r>
      <w:r w:rsidR="004E6D48">
        <w:rPr>
          <w:lang w:val="en-GB"/>
        </w:rPr>
        <w:t xml:space="preserve">concerns </w:t>
      </w:r>
      <w:r w:rsidR="00B3077D">
        <w:rPr>
          <w:lang w:val="en-GB"/>
        </w:rPr>
        <w:t xml:space="preserve">about </w:t>
      </w:r>
      <w:r w:rsidR="00E735D6">
        <w:rPr>
          <w:lang w:val="en-GB"/>
        </w:rPr>
        <w:t>extrapolati</w:t>
      </w:r>
      <w:r w:rsidR="00B3077D">
        <w:rPr>
          <w:lang w:val="en-GB"/>
        </w:rPr>
        <w:t>ng</w:t>
      </w:r>
      <w:r w:rsidR="00E735D6">
        <w:rPr>
          <w:lang w:val="en-GB"/>
        </w:rPr>
        <w:t xml:space="preserve"> progression-free and overall survival outcomes</w:t>
      </w:r>
      <w:r w:rsidR="006F5D27">
        <w:rPr>
          <w:lang w:val="en-GB"/>
        </w:rPr>
        <w:t xml:space="preserve"> from fractional polynomial models</w:t>
      </w:r>
      <w:r w:rsidR="00881265">
        <w:rPr>
          <w:lang w:val="en-GB"/>
        </w:rPr>
        <w:t xml:space="preserve">: </w:t>
      </w:r>
      <w:r w:rsidR="006F5D27">
        <w:rPr>
          <w:lang w:val="en-GB"/>
        </w:rPr>
        <w:t xml:space="preserve">they </w:t>
      </w:r>
      <w:r w:rsidR="00881265">
        <w:rPr>
          <w:lang w:val="en-GB"/>
        </w:rPr>
        <w:t>tend to</w:t>
      </w:r>
      <w:r w:rsidR="006F5D27">
        <w:rPr>
          <w:lang w:val="en-GB"/>
        </w:rPr>
        <w:t xml:space="preserve"> over-fit </w:t>
      </w:r>
      <w:r w:rsidR="005C75DA" w:rsidRPr="005C75DA">
        <w:rPr>
          <w:lang w:val="en-GB"/>
        </w:rPr>
        <w:t>to the tail of the data</w:t>
      </w:r>
      <w:r w:rsidR="005C75DA">
        <w:rPr>
          <w:lang w:val="en-GB"/>
        </w:rPr>
        <w:t>,</w:t>
      </w:r>
      <w:r w:rsidR="005C75DA" w:rsidRPr="005C75DA">
        <w:rPr>
          <w:lang w:val="en-GB"/>
        </w:rPr>
        <w:t xml:space="preserve"> often resulting in implausible survival extrapolations</w:t>
      </w:r>
      <w:r w:rsidR="006F5D27">
        <w:rPr>
          <w:lang w:val="en-GB"/>
        </w:rPr>
        <w:t xml:space="preserve">. The committee </w:t>
      </w:r>
      <w:r w:rsidR="00881265">
        <w:rPr>
          <w:lang w:val="en-GB"/>
        </w:rPr>
        <w:t xml:space="preserve">noted </w:t>
      </w:r>
      <w:r w:rsidR="006F5D27">
        <w:rPr>
          <w:lang w:val="en-GB"/>
        </w:rPr>
        <w:t>that the</w:t>
      </w:r>
      <w:r w:rsidR="00881265">
        <w:rPr>
          <w:lang w:val="en-GB"/>
        </w:rPr>
        <w:t xml:space="preserve">se </w:t>
      </w:r>
      <w:r w:rsidR="006F5D27">
        <w:rPr>
          <w:lang w:val="en-GB"/>
        </w:rPr>
        <w:t xml:space="preserve">concerns were supported by the large number of models that the company had to </w:t>
      </w:r>
      <w:r w:rsidR="005C75DA">
        <w:rPr>
          <w:lang w:val="en-GB"/>
        </w:rPr>
        <w:t xml:space="preserve">reject </w:t>
      </w:r>
      <w:r w:rsidR="006F5D27">
        <w:rPr>
          <w:lang w:val="en-GB"/>
        </w:rPr>
        <w:t xml:space="preserve">because of the clinically implausible </w:t>
      </w:r>
      <w:r w:rsidR="00806FF6">
        <w:rPr>
          <w:lang w:val="en-GB"/>
        </w:rPr>
        <w:t>extrapolations of survival outcomes</w:t>
      </w:r>
      <w:r w:rsidR="006F5D27">
        <w:rPr>
          <w:lang w:val="en-GB"/>
        </w:rPr>
        <w:t>.</w:t>
      </w:r>
      <w:r w:rsidR="005366C7">
        <w:rPr>
          <w:lang w:val="en-GB"/>
        </w:rPr>
        <w:t xml:space="preserve"> </w:t>
      </w:r>
      <w:r w:rsidR="009056A1">
        <w:rPr>
          <w:lang w:val="en-GB"/>
        </w:rPr>
        <w:t xml:space="preserve">The committee concluded that the </w:t>
      </w:r>
      <w:r w:rsidR="007E4EB0">
        <w:rPr>
          <w:lang w:val="en-GB"/>
        </w:rPr>
        <w:t xml:space="preserve">results from the </w:t>
      </w:r>
      <w:r w:rsidR="009056A1">
        <w:rPr>
          <w:lang w:val="en-GB"/>
        </w:rPr>
        <w:t xml:space="preserve">company’s fractional polynomial network </w:t>
      </w:r>
      <w:r w:rsidR="00DB282E">
        <w:rPr>
          <w:lang w:val="en-GB"/>
        </w:rPr>
        <w:t>meta-</w:t>
      </w:r>
      <w:r w:rsidR="009056A1">
        <w:rPr>
          <w:lang w:val="en-GB"/>
        </w:rPr>
        <w:t>analysis w</w:t>
      </w:r>
      <w:r w:rsidR="007E4EB0">
        <w:rPr>
          <w:lang w:val="en-GB"/>
        </w:rPr>
        <w:t xml:space="preserve">ere uncertain. </w:t>
      </w:r>
    </w:p>
    <w:p w14:paraId="1F29F233" w14:textId="5742281A" w:rsidR="00932E35" w:rsidRPr="00932E35" w:rsidRDefault="00932E35" w:rsidP="00932E35">
      <w:pPr>
        <w:pStyle w:val="Heading3"/>
      </w:pPr>
      <w:r>
        <w:t>There is no statistically significant difference</w:t>
      </w:r>
      <w:r w:rsidR="00266F61">
        <w:t xml:space="preserve"> between dacomitinib and afatinib in terms of progression-free and overall survival</w:t>
      </w:r>
      <w:r>
        <w:t xml:space="preserve"> </w:t>
      </w:r>
    </w:p>
    <w:p w14:paraId="7493DD49" w14:textId="0C9CBCA2" w:rsidR="00D96D31" w:rsidRPr="0097459D" w:rsidRDefault="00AF4F18" w:rsidP="00486F8B">
      <w:pPr>
        <w:pStyle w:val="Numberedlevel2text"/>
      </w:pPr>
      <w:r w:rsidRPr="00486F8B">
        <w:rPr>
          <w:lang w:val="en-GB"/>
        </w:rPr>
        <w:t xml:space="preserve">The ERG </w:t>
      </w:r>
      <w:r w:rsidR="002A1D69" w:rsidRPr="00486F8B">
        <w:rPr>
          <w:lang w:val="en-GB"/>
        </w:rPr>
        <w:t xml:space="preserve">did its own </w:t>
      </w:r>
      <w:r w:rsidRPr="00486F8B">
        <w:rPr>
          <w:lang w:val="en-GB"/>
        </w:rPr>
        <w:t xml:space="preserve">indirect treatment comparison to address </w:t>
      </w:r>
      <w:r w:rsidR="002A1D69" w:rsidRPr="00486F8B">
        <w:rPr>
          <w:lang w:val="en-GB"/>
        </w:rPr>
        <w:t xml:space="preserve">these uncertainties, and </w:t>
      </w:r>
      <w:r w:rsidRPr="00486F8B">
        <w:rPr>
          <w:lang w:val="en-GB"/>
        </w:rPr>
        <w:t xml:space="preserve">because </w:t>
      </w:r>
      <w:r w:rsidR="002A1D69" w:rsidRPr="00486F8B">
        <w:rPr>
          <w:lang w:val="en-GB"/>
        </w:rPr>
        <w:t xml:space="preserve">the company’s model did not report </w:t>
      </w:r>
      <w:r w:rsidRPr="00486F8B">
        <w:rPr>
          <w:lang w:val="en-GB"/>
        </w:rPr>
        <w:t>hazard ratio</w:t>
      </w:r>
      <w:r w:rsidR="002A1D69" w:rsidRPr="00486F8B">
        <w:rPr>
          <w:lang w:val="en-GB"/>
        </w:rPr>
        <w:t>s</w:t>
      </w:r>
      <w:r w:rsidRPr="00486F8B">
        <w:rPr>
          <w:lang w:val="en-GB"/>
        </w:rPr>
        <w:t xml:space="preserve"> for progression-free or overall survival </w:t>
      </w:r>
      <w:r w:rsidR="002A1D69" w:rsidRPr="00486F8B">
        <w:rPr>
          <w:lang w:val="en-GB"/>
        </w:rPr>
        <w:t>between</w:t>
      </w:r>
      <w:r w:rsidRPr="00486F8B">
        <w:rPr>
          <w:lang w:val="en-GB"/>
        </w:rPr>
        <w:t xml:space="preserve"> dacomitinib </w:t>
      </w:r>
      <w:r w:rsidR="002A1D69" w:rsidRPr="00486F8B">
        <w:rPr>
          <w:lang w:val="en-GB"/>
        </w:rPr>
        <w:t>and</w:t>
      </w:r>
      <w:r w:rsidRPr="00486F8B">
        <w:rPr>
          <w:lang w:val="en-GB"/>
        </w:rPr>
        <w:t xml:space="preserve"> afatinib</w:t>
      </w:r>
      <w:r w:rsidR="002A1D69" w:rsidRPr="00486F8B">
        <w:rPr>
          <w:lang w:val="en-GB"/>
        </w:rPr>
        <w:t xml:space="preserve">. </w:t>
      </w:r>
      <w:r w:rsidR="0071565C" w:rsidRPr="00486F8B">
        <w:rPr>
          <w:lang w:val="en-GB"/>
        </w:rPr>
        <w:t xml:space="preserve">The ERG </w:t>
      </w:r>
      <w:r w:rsidR="002A1D69" w:rsidRPr="00486F8B">
        <w:rPr>
          <w:lang w:val="en-GB"/>
        </w:rPr>
        <w:t>did</w:t>
      </w:r>
      <w:r w:rsidR="0071565C" w:rsidRPr="00486F8B">
        <w:rPr>
          <w:lang w:val="en-GB"/>
        </w:rPr>
        <w:t xml:space="preserve"> a fixed</w:t>
      </w:r>
      <w:r w:rsidR="002A1D69" w:rsidRPr="00486F8B">
        <w:rPr>
          <w:lang w:val="en-GB"/>
        </w:rPr>
        <w:t>-</w:t>
      </w:r>
      <w:r w:rsidR="0071565C" w:rsidRPr="00486F8B">
        <w:rPr>
          <w:lang w:val="en-GB"/>
        </w:rPr>
        <w:t>effect</w:t>
      </w:r>
      <w:r w:rsidR="002A1D69" w:rsidRPr="00486F8B">
        <w:rPr>
          <w:lang w:val="en-GB"/>
        </w:rPr>
        <w:t>s</w:t>
      </w:r>
      <w:r w:rsidR="0071565C" w:rsidRPr="00486F8B">
        <w:rPr>
          <w:lang w:val="en-GB"/>
        </w:rPr>
        <w:t xml:space="preserve"> network meta-analysis using data from ARCHER 1</w:t>
      </w:r>
      <w:r w:rsidR="0071565C" w:rsidRPr="00767324">
        <w:rPr>
          <w:lang w:val="en-GB"/>
        </w:rPr>
        <w:t>050 for dacomitinib and from LUX-L</w:t>
      </w:r>
      <w:r w:rsidR="007D7E6F">
        <w:rPr>
          <w:lang w:val="en-GB"/>
        </w:rPr>
        <w:t>ung</w:t>
      </w:r>
      <w:r w:rsidR="0071565C" w:rsidRPr="00767324">
        <w:rPr>
          <w:lang w:val="en-GB"/>
        </w:rPr>
        <w:t xml:space="preserve"> 7 for afatinib</w:t>
      </w:r>
      <w:r w:rsidR="00547CC0" w:rsidRPr="00E910D0">
        <w:rPr>
          <w:lang w:val="en-GB"/>
        </w:rPr>
        <w:t xml:space="preserve">. </w:t>
      </w:r>
      <w:r w:rsidR="00E9568E" w:rsidRPr="00E910D0">
        <w:rPr>
          <w:lang w:val="en-GB"/>
        </w:rPr>
        <w:t>The company agreed with the ERG’s approach to estimating the hazard ratios</w:t>
      </w:r>
      <w:r w:rsidR="002A1D69" w:rsidRPr="00E910D0">
        <w:rPr>
          <w:lang w:val="en-GB"/>
        </w:rPr>
        <w:t xml:space="preserve">. </w:t>
      </w:r>
      <w:r w:rsidR="0071565C" w:rsidRPr="00E910D0">
        <w:rPr>
          <w:lang w:val="en-GB"/>
        </w:rPr>
        <w:t xml:space="preserve">The results </w:t>
      </w:r>
      <w:r w:rsidR="00486F8B" w:rsidRPr="00E910D0">
        <w:rPr>
          <w:lang w:val="en-GB"/>
        </w:rPr>
        <w:t xml:space="preserve">suggested that </w:t>
      </w:r>
      <w:r w:rsidR="002A1D69">
        <w:t>d</w:t>
      </w:r>
      <w:r w:rsidR="0071565C" w:rsidRPr="00547CC0">
        <w:t xml:space="preserve">acomitinib </w:t>
      </w:r>
      <w:r w:rsidR="00C50061">
        <w:rPr>
          <w:lang w:val="en-US"/>
        </w:rPr>
        <w:t>might</w:t>
      </w:r>
      <w:r w:rsidR="00486F8B">
        <w:rPr>
          <w:lang w:val="en-US"/>
        </w:rPr>
        <w:t xml:space="preserve"> be better than</w:t>
      </w:r>
      <w:r w:rsidR="0071565C" w:rsidRPr="00547CC0">
        <w:t xml:space="preserve"> afatinib</w:t>
      </w:r>
      <w:r w:rsidR="00486F8B">
        <w:rPr>
          <w:lang w:val="en-US"/>
        </w:rPr>
        <w:t xml:space="preserve"> in terms of extending progression-free and overall survival, </w:t>
      </w:r>
      <w:r w:rsidR="0071565C" w:rsidRPr="00547CC0">
        <w:t>but there was no significant difference between the 2 treatments (</w:t>
      </w:r>
      <w:r w:rsidR="00486F8B">
        <w:rPr>
          <w:lang w:val="en-US"/>
        </w:rPr>
        <w:t xml:space="preserve">progression-free survival </w:t>
      </w:r>
      <w:r w:rsidR="0071565C" w:rsidRPr="00547CC0">
        <w:t>hazard ratio 0.8</w:t>
      </w:r>
      <w:r w:rsidR="00925F46">
        <w:rPr>
          <w:lang w:val="en-US"/>
        </w:rPr>
        <w:t>0</w:t>
      </w:r>
      <w:r w:rsidR="0071565C" w:rsidRPr="00547CC0">
        <w:t xml:space="preserve">, 95% </w:t>
      </w:r>
      <w:r w:rsidR="002A1D69">
        <w:t>CI</w:t>
      </w:r>
      <w:r w:rsidR="0071565C" w:rsidRPr="00547CC0">
        <w:t xml:space="preserve"> 0.57</w:t>
      </w:r>
      <w:r w:rsidR="002A1D69">
        <w:t xml:space="preserve"> to </w:t>
      </w:r>
      <w:r w:rsidR="0071565C" w:rsidRPr="00547CC0">
        <w:t>1.12</w:t>
      </w:r>
      <w:r w:rsidR="00486F8B">
        <w:rPr>
          <w:lang w:val="en-US"/>
        </w:rPr>
        <w:t xml:space="preserve">; </w:t>
      </w:r>
      <w:r w:rsidR="00486F8B">
        <w:t>overall survival</w:t>
      </w:r>
      <w:r w:rsidR="00486F8B">
        <w:rPr>
          <w:lang w:val="en-US"/>
        </w:rPr>
        <w:t xml:space="preserve"> </w:t>
      </w:r>
      <w:r w:rsidR="0071565C" w:rsidRPr="00547CC0">
        <w:t xml:space="preserve">hazard ratio 0.88, 95% </w:t>
      </w:r>
      <w:r w:rsidR="00486F8B">
        <w:rPr>
          <w:lang w:val="en-US"/>
        </w:rPr>
        <w:t>CI</w:t>
      </w:r>
      <w:r w:rsidR="00DC126F">
        <w:rPr>
          <w:lang w:val="en-US"/>
        </w:rPr>
        <w:t xml:space="preserve"> </w:t>
      </w:r>
      <w:r w:rsidR="00E550C8" w:rsidRPr="00E550C8">
        <w:rPr>
          <w:lang w:val="en-US"/>
        </w:rPr>
        <w:t>0.61</w:t>
      </w:r>
      <w:r w:rsidR="00DC126F">
        <w:rPr>
          <w:lang w:val="en-US"/>
        </w:rPr>
        <w:t xml:space="preserve"> to </w:t>
      </w:r>
      <w:r w:rsidR="00E550C8" w:rsidRPr="00E550C8">
        <w:rPr>
          <w:lang w:val="en-US"/>
        </w:rPr>
        <w:t>1.29</w:t>
      </w:r>
      <w:r w:rsidR="00486F8B">
        <w:rPr>
          <w:lang w:val="en-US"/>
        </w:rPr>
        <w:t>)</w:t>
      </w:r>
      <w:r w:rsidR="00932E35" w:rsidRPr="00547CC0">
        <w:t>.</w:t>
      </w:r>
      <w:r w:rsidR="0071565C" w:rsidRPr="00547CC0">
        <w:t xml:space="preserve"> </w:t>
      </w:r>
      <w:r w:rsidR="00547CC0" w:rsidRPr="00547CC0">
        <w:t xml:space="preserve">The committee recalled that there was uncertainty around any estimates </w:t>
      </w:r>
      <w:r w:rsidR="00D95E1E">
        <w:rPr>
          <w:lang w:val="en-US"/>
        </w:rPr>
        <w:t>from a</w:t>
      </w:r>
      <w:r w:rsidR="00547CC0" w:rsidRPr="00547CC0">
        <w:t xml:space="preserve"> network meta-analysis that used data from ARCHER</w:t>
      </w:r>
      <w:r w:rsidR="009444D1" w:rsidRPr="00547CC0">
        <w:t xml:space="preserve"> </w:t>
      </w:r>
      <w:r w:rsidR="00547CC0" w:rsidRPr="00547CC0">
        <w:t>1050 and LUX-L</w:t>
      </w:r>
      <w:r w:rsidR="007D7E6F">
        <w:rPr>
          <w:lang w:val="en-US"/>
        </w:rPr>
        <w:t>ung</w:t>
      </w:r>
      <w:r w:rsidR="00547CC0" w:rsidRPr="00547CC0">
        <w:t xml:space="preserve"> 7</w:t>
      </w:r>
      <w:r w:rsidR="00D95E1E">
        <w:rPr>
          <w:lang w:val="en-US"/>
        </w:rPr>
        <w:t>,</w:t>
      </w:r>
      <w:r w:rsidR="00547CC0" w:rsidRPr="00547CC0">
        <w:t xml:space="preserve"> because of the differences between the trials in terms of baseline patient characteristics</w:t>
      </w:r>
      <w:r w:rsidR="005366C7">
        <w:t xml:space="preserve"> </w:t>
      </w:r>
      <w:r w:rsidR="00D95E1E">
        <w:rPr>
          <w:lang w:val="en-US"/>
        </w:rPr>
        <w:t>(</w:t>
      </w:r>
      <w:r w:rsidR="005366C7">
        <w:t xml:space="preserve">and </w:t>
      </w:r>
      <w:r w:rsidR="00D95E1E">
        <w:rPr>
          <w:lang w:val="en-US"/>
        </w:rPr>
        <w:t xml:space="preserve">because </w:t>
      </w:r>
      <w:r w:rsidR="005366C7">
        <w:t xml:space="preserve">the </w:t>
      </w:r>
      <w:r w:rsidR="005366C7" w:rsidRPr="005366C7">
        <w:t>proportional hazards assumption may have been violated in ARCHER 1050</w:t>
      </w:r>
      <w:r w:rsidR="00D95E1E">
        <w:rPr>
          <w:lang w:val="en-US"/>
        </w:rPr>
        <w:t>)</w:t>
      </w:r>
      <w:r w:rsidR="005366C7">
        <w:t>.</w:t>
      </w:r>
      <w:r w:rsidR="00547CC0" w:rsidRPr="00547CC0">
        <w:t xml:space="preserve"> </w:t>
      </w:r>
      <w:r w:rsidR="00D95E1E">
        <w:rPr>
          <w:lang w:val="en-US"/>
        </w:rPr>
        <w:t>It</w:t>
      </w:r>
      <w:r w:rsidR="0097459D" w:rsidRPr="00547CC0">
        <w:t xml:space="preserve"> concluded that </w:t>
      </w:r>
      <w:r w:rsidR="00547CC0">
        <w:t xml:space="preserve">any estimates </w:t>
      </w:r>
      <w:r w:rsidR="00E910D0">
        <w:rPr>
          <w:lang w:val="en-US"/>
        </w:rPr>
        <w:t>were uncertain</w:t>
      </w:r>
      <w:r w:rsidR="00547CC0">
        <w:t xml:space="preserve"> and </w:t>
      </w:r>
      <w:r w:rsidR="00E910D0">
        <w:rPr>
          <w:lang w:val="en-US"/>
        </w:rPr>
        <w:t>based on</w:t>
      </w:r>
      <w:r w:rsidR="00E910D0">
        <w:t xml:space="preserve"> </w:t>
      </w:r>
      <w:r w:rsidR="00547CC0">
        <w:t xml:space="preserve">the </w:t>
      </w:r>
      <w:r w:rsidR="00547CC0">
        <w:lastRenderedPageBreak/>
        <w:t xml:space="preserve">evidence available </w:t>
      </w:r>
      <w:r w:rsidR="00F100AA">
        <w:t>t</w:t>
      </w:r>
      <w:r w:rsidR="0097459D" w:rsidRPr="00547CC0">
        <w:t xml:space="preserve">here </w:t>
      </w:r>
      <w:r w:rsidR="00F100AA" w:rsidRPr="00547CC0">
        <w:t>was</w:t>
      </w:r>
      <w:r w:rsidR="0097459D" w:rsidRPr="00547CC0">
        <w:t xml:space="preserve"> no statistically significant difference between dacomitinib and afatinib in terms of </w:t>
      </w:r>
      <w:r w:rsidR="00E910D0">
        <w:rPr>
          <w:lang w:val="en-US"/>
        </w:rPr>
        <w:t xml:space="preserve">extending </w:t>
      </w:r>
      <w:r w:rsidR="0097459D" w:rsidRPr="00547CC0">
        <w:t>progression-free and overall survival.</w:t>
      </w:r>
    </w:p>
    <w:p w14:paraId="649BE2E7" w14:textId="072EF4D0" w:rsidR="0097459D" w:rsidRDefault="00F62277" w:rsidP="00F62277">
      <w:pPr>
        <w:pStyle w:val="Heading2"/>
      </w:pPr>
      <w:r>
        <w:t xml:space="preserve">The company’s economic model </w:t>
      </w:r>
    </w:p>
    <w:p w14:paraId="4731E964" w14:textId="13D74D63" w:rsidR="002E7152" w:rsidRDefault="002E7152" w:rsidP="002E7152">
      <w:pPr>
        <w:pStyle w:val="Heading3"/>
      </w:pPr>
      <w:r w:rsidRPr="002E7152">
        <w:t>The company’s model is appropriate for decision</w:t>
      </w:r>
      <w:r w:rsidR="00F04E81">
        <w:t xml:space="preserve"> </w:t>
      </w:r>
      <w:r w:rsidRPr="002E7152">
        <w:t>making</w:t>
      </w:r>
    </w:p>
    <w:p w14:paraId="2F727361" w14:textId="7855A0F3" w:rsidR="00F62277" w:rsidRPr="00F9490B" w:rsidRDefault="00F62277" w:rsidP="00F62277">
      <w:pPr>
        <w:pStyle w:val="Numberedlevel2text"/>
      </w:pPr>
      <w:r w:rsidRPr="00F62277">
        <w:t xml:space="preserve">The company used a partitioned-survival economic model that included 3 health states: pre-progression, post-progression and death. The committee concluded that the model was </w:t>
      </w:r>
      <w:r w:rsidR="00806FF6">
        <w:rPr>
          <w:lang w:val="en-US"/>
        </w:rPr>
        <w:t xml:space="preserve">generally </w:t>
      </w:r>
      <w:r w:rsidRPr="00F62277">
        <w:t xml:space="preserve">appropriate and consistent with the </w:t>
      </w:r>
      <w:r w:rsidR="00CB7C96">
        <w:rPr>
          <w:lang w:val="en-US"/>
        </w:rPr>
        <w:t>models used in</w:t>
      </w:r>
      <w:r w:rsidRPr="00F62277">
        <w:t xml:space="preserve"> other appraisals for </w:t>
      </w:r>
      <w:r>
        <w:rPr>
          <w:lang w:val="en-GB"/>
        </w:rPr>
        <w:t xml:space="preserve">NSCLC. The model included either dacomitinib, afatinib, gefitinib or </w:t>
      </w:r>
      <w:r w:rsidR="002E7152">
        <w:rPr>
          <w:lang w:val="en-GB"/>
        </w:rPr>
        <w:t>erlotinib as</w:t>
      </w:r>
      <w:r w:rsidR="00CB7C96">
        <w:rPr>
          <w:lang w:val="en-GB"/>
        </w:rPr>
        <w:t xml:space="preserve"> </w:t>
      </w:r>
      <w:r>
        <w:rPr>
          <w:lang w:val="en-GB"/>
        </w:rPr>
        <w:t>first</w:t>
      </w:r>
      <w:r w:rsidR="00CB7C96">
        <w:rPr>
          <w:lang w:val="en-GB"/>
        </w:rPr>
        <w:t>-</w:t>
      </w:r>
      <w:r w:rsidR="00806FF6">
        <w:rPr>
          <w:lang w:val="en-GB"/>
        </w:rPr>
        <w:t xml:space="preserve">line </w:t>
      </w:r>
      <w:r>
        <w:rPr>
          <w:lang w:val="en-GB"/>
        </w:rPr>
        <w:t xml:space="preserve">treatment, followed by osimertinib </w:t>
      </w:r>
      <w:r w:rsidR="00806FF6">
        <w:rPr>
          <w:lang w:val="en-GB"/>
        </w:rPr>
        <w:t xml:space="preserve">(if T790M mutation positive) </w:t>
      </w:r>
      <w:r>
        <w:rPr>
          <w:lang w:val="en-GB"/>
        </w:rPr>
        <w:t xml:space="preserve">or </w:t>
      </w:r>
      <w:r w:rsidR="00F6379B">
        <w:rPr>
          <w:lang w:val="en-GB"/>
        </w:rPr>
        <w:t>chemotherapy</w:t>
      </w:r>
      <w:r w:rsidR="002E7152">
        <w:rPr>
          <w:lang w:val="en-GB"/>
        </w:rPr>
        <w:t>. The committee was concerned that the model capture</w:t>
      </w:r>
      <w:r w:rsidR="00806FF6">
        <w:rPr>
          <w:lang w:val="en-GB"/>
        </w:rPr>
        <w:t xml:space="preserve">d only the costs </w:t>
      </w:r>
      <w:r w:rsidR="002049D4">
        <w:rPr>
          <w:lang w:val="en-GB"/>
        </w:rPr>
        <w:t>and</w:t>
      </w:r>
      <w:r w:rsidR="00806FF6">
        <w:rPr>
          <w:lang w:val="en-GB"/>
        </w:rPr>
        <w:t xml:space="preserve"> not</w:t>
      </w:r>
      <w:r w:rsidR="002E7152">
        <w:rPr>
          <w:lang w:val="en-GB"/>
        </w:rPr>
        <w:t xml:space="preserve"> the clinical benefits of subsequent treatment</w:t>
      </w:r>
      <w:r w:rsidR="00806FF6">
        <w:rPr>
          <w:lang w:val="en-GB"/>
        </w:rPr>
        <w:t>s</w:t>
      </w:r>
      <w:r w:rsidR="002E7152">
        <w:rPr>
          <w:lang w:val="en-GB"/>
        </w:rPr>
        <w:t xml:space="preserve">. </w:t>
      </w:r>
    </w:p>
    <w:p w14:paraId="36A82128" w14:textId="2322A552" w:rsidR="00F9490B" w:rsidRPr="002E7152" w:rsidRDefault="00F9490B" w:rsidP="00F9490B">
      <w:pPr>
        <w:pStyle w:val="Heading2"/>
      </w:pPr>
      <w:r>
        <w:t>Survival extrapolation</w:t>
      </w:r>
    </w:p>
    <w:p w14:paraId="3D205AE0" w14:textId="5075E393" w:rsidR="00F9490B" w:rsidRDefault="00F9490B" w:rsidP="00F9490B">
      <w:pPr>
        <w:pStyle w:val="Heading3"/>
      </w:pPr>
      <w:r>
        <w:t>The</w:t>
      </w:r>
      <w:r w:rsidR="00E66092">
        <w:t>re are uncertainties in how the company modelled progression-free</w:t>
      </w:r>
      <w:r w:rsidR="00123B98">
        <w:t xml:space="preserve"> </w:t>
      </w:r>
      <w:r w:rsidR="00E66092">
        <w:t>survival</w:t>
      </w:r>
      <w:r>
        <w:t xml:space="preserve"> </w:t>
      </w:r>
    </w:p>
    <w:p w14:paraId="0EFBB5B0" w14:textId="6CF9974C" w:rsidR="004602BA" w:rsidRPr="00FC6109" w:rsidRDefault="00A035E2" w:rsidP="004A0669">
      <w:pPr>
        <w:pStyle w:val="Numberedlevel2text"/>
      </w:pPr>
      <w:r w:rsidRPr="00E66092">
        <w:rPr>
          <w:lang w:val="en-GB"/>
        </w:rPr>
        <w:t xml:space="preserve">In </w:t>
      </w:r>
      <w:r w:rsidR="0022523C" w:rsidRPr="00E66092">
        <w:rPr>
          <w:lang w:val="en-GB"/>
        </w:rPr>
        <w:t xml:space="preserve">its </w:t>
      </w:r>
      <w:r w:rsidR="00297A51" w:rsidRPr="00E66092">
        <w:rPr>
          <w:lang w:val="en-GB"/>
        </w:rPr>
        <w:t>base case,</w:t>
      </w:r>
      <w:r w:rsidR="00636383" w:rsidRPr="00E66092">
        <w:rPr>
          <w:lang w:val="en-GB"/>
        </w:rPr>
        <w:t xml:space="preserve"> </w:t>
      </w:r>
      <w:proofErr w:type="spellStart"/>
      <w:r w:rsidR="00297A51" w:rsidRPr="00E66092">
        <w:rPr>
          <w:lang w:val="en-GB"/>
        </w:rPr>
        <w:t>t</w:t>
      </w:r>
      <w:r w:rsidR="00B55B1C" w:rsidRPr="00B55B1C">
        <w:t>he</w:t>
      </w:r>
      <w:proofErr w:type="spellEnd"/>
      <w:r w:rsidR="00B55B1C" w:rsidRPr="00B55B1C">
        <w:t xml:space="preserve"> company modelled </w:t>
      </w:r>
      <w:r w:rsidR="00B55B1C" w:rsidRPr="00E66092">
        <w:rPr>
          <w:lang w:val="en-GB"/>
        </w:rPr>
        <w:t>progression</w:t>
      </w:r>
      <w:r w:rsidR="008476FB" w:rsidRPr="00E66092">
        <w:rPr>
          <w:lang w:val="en-GB"/>
        </w:rPr>
        <w:t>-</w:t>
      </w:r>
      <w:r w:rsidR="00B55B1C" w:rsidRPr="00E66092">
        <w:rPr>
          <w:lang w:val="en-GB"/>
        </w:rPr>
        <w:t xml:space="preserve">free </w:t>
      </w:r>
      <w:r w:rsidR="008476FB" w:rsidRPr="00E66092">
        <w:rPr>
          <w:lang w:val="en-GB"/>
        </w:rPr>
        <w:t xml:space="preserve">survival </w:t>
      </w:r>
      <w:r w:rsidR="00B55B1C" w:rsidRPr="00B55B1C">
        <w:t xml:space="preserve">for gefitinib using a generalised gamma curve fitted to the gefitinib </w:t>
      </w:r>
      <w:r w:rsidR="008476FB" w:rsidRPr="00E66092">
        <w:rPr>
          <w:lang w:val="en-GB"/>
        </w:rPr>
        <w:t xml:space="preserve">treatment arm </w:t>
      </w:r>
      <w:r w:rsidR="00B55B1C" w:rsidRPr="00B55B1C">
        <w:t xml:space="preserve">of ARCHER 1050. </w:t>
      </w:r>
      <w:r w:rsidR="004602BA">
        <w:rPr>
          <w:lang w:val="en-US"/>
        </w:rPr>
        <w:t>It</w:t>
      </w:r>
      <w:r w:rsidR="00250582" w:rsidRPr="00250582">
        <w:t xml:space="preserve"> modelled </w:t>
      </w:r>
      <w:r w:rsidR="0022523C" w:rsidRPr="00E66092">
        <w:rPr>
          <w:lang w:val="en-GB"/>
        </w:rPr>
        <w:t xml:space="preserve">progression-free survival </w:t>
      </w:r>
      <w:r w:rsidR="00250582" w:rsidRPr="00250582">
        <w:t>for erlotinib by assuming equivalent efficacy with gefitinib</w:t>
      </w:r>
      <w:r w:rsidR="009674B0">
        <w:rPr>
          <w:lang w:val="en-US"/>
        </w:rPr>
        <w:t>. It then used</w:t>
      </w:r>
      <w:r w:rsidR="00FE14BA">
        <w:rPr>
          <w:lang w:val="en-US"/>
        </w:rPr>
        <w:t xml:space="preserve"> </w:t>
      </w:r>
      <w:r w:rsidR="008476FB" w:rsidRPr="00E66092">
        <w:rPr>
          <w:lang w:val="en-GB"/>
        </w:rPr>
        <w:t>the fractional polynomial network meta-analysis</w:t>
      </w:r>
      <w:r w:rsidR="004C5C8B" w:rsidRPr="00E66092">
        <w:rPr>
          <w:lang w:val="en-GB"/>
        </w:rPr>
        <w:t xml:space="preserve"> (model P1=0.5, P2=1</w:t>
      </w:r>
      <w:r w:rsidR="00274BFD" w:rsidRPr="00E66092">
        <w:rPr>
          <w:lang w:val="en-GB"/>
        </w:rPr>
        <w:t>.</w:t>
      </w:r>
      <w:r w:rsidR="004C5C8B" w:rsidRPr="00E66092">
        <w:rPr>
          <w:lang w:val="en-GB"/>
        </w:rPr>
        <w:t xml:space="preserve">5) </w:t>
      </w:r>
      <w:r w:rsidR="008476FB" w:rsidRPr="00E66092">
        <w:rPr>
          <w:lang w:val="en-GB"/>
        </w:rPr>
        <w:t xml:space="preserve">to </w:t>
      </w:r>
      <w:r w:rsidR="00B55B1C" w:rsidRPr="00B55B1C">
        <w:t>obtain time-varying hazard ratios for afatinib and dacomitinib</w:t>
      </w:r>
      <w:r w:rsidR="00806FF6">
        <w:rPr>
          <w:lang w:val="en-US"/>
        </w:rPr>
        <w:t xml:space="preserve"> relative to gefitinib</w:t>
      </w:r>
      <w:r w:rsidR="008476FB" w:rsidRPr="00E66092">
        <w:rPr>
          <w:lang w:val="en-GB"/>
        </w:rPr>
        <w:t xml:space="preserve"> (see section 3.1</w:t>
      </w:r>
      <w:r w:rsidR="00CB35CF">
        <w:rPr>
          <w:lang w:val="en-GB"/>
        </w:rPr>
        <w:t>0</w:t>
      </w:r>
      <w:r w:rsidR="008476FB" w:rsidRPr="00E66092">
        <w:rPr>
          <w:lang w:val="en-GB"/>
        </w:rPr>
        <w:t>)</w:t>
      </w:r>
      <w:r w:rsidR="009674B0" w:rsidRPr="00E66092">
        <w:rPr>
          <w:lang w:val="en-GB"/>
        </w:rPr>
        <w:t xml:space="preserve">, before applying </w:t>
      </w:r>
      <w:r w:rsidR="00B55B1C" w:rsidRPr="00B55B1C">
        <w:t>these to the gefitinib extrapolation</w:t>
      </w:r>
      <w:r w:rsidR="00852CF6" w:rsidRPr="00E66092">
        <w:rPr>
          <w:lang w:val="en-GB"/>
        </w:rPr>
        <w:t>.</w:t>
      </w:r>
      <w:r w:rsidR="00706679" w:rsidRPr="00E66092">
        <w:rPr>
          <w:lang w:val="en-GB"/>
        </w:rPr>
        <w:t xml:space="preserve"> </w:t>
      </w:r>
      <w:r w:rsidR="004C5C8B" w:rsidRPr="00E66092">
        <w:rPr>
          <w:lang w:val="en-GB"/>
        </w:rPr>
        <w:t xml:space="preserve">The committee </w:t>
      </w:r>
      <w:r w:rsidR="00FE14BA" w:rsidRPr="00E66092">
        <w:rPr>
          <w:lang w:val="en-GB"/>
        </w:rPr>
        <w:t xml:space="preserve">had concerns </w:t>
      </w:r>
      <w:r w:rsidR="00305985" w:rsidRPr="00E66092">
        <w:rPr>
          <w:lang w:val="en-GB"/>
        </w:rPr>
        <w:t xml:space="preserve">about the company’s modelling of </w:t>
      </w:r>
      <w:r w:rsidR="004602BA">
        <w:rPr>
          <w:lang w:val="en-GB"/>
        </w:rPr>
        <w:t xml:space="preserve">progression-free </w:t>
      </w:r>
      <w:r w:rsidR="00305985" w:rsidRPr="00E66092">
        <w:rPr>
          <w:lang w:val="en-GB"/>
        </w:rPr>
        <w:t>survival</w:t>
      </w:r>
      <w:r w:rsidR="004602BA">
        <w:rPr>
          <w:lang w:val="en-GB"/>
        </w:rPr>
        <w:t>:</w:t>
      </w:r>
    </w:p>
    <w:p w14:paraId="50184AFF" w14:textId="0F500164" w:rsidR="004602BA" w:rsidRPr="00E27C4C" w:rsidRDefault="00E93927" w:rsidP="004602BA">
      <w:pPr>
        <w:pStyle w:val="Bulletindent1"/>
      </w:pPr>
      <w:r>
        <w:t xml:space="preserve">The </w:t>
      </w:r>
      <w:r w:rsidR="00305985">
        <w:t xml:space="preserve">progression-free survival for gefitinib after 2 years </w:t>
      </w:r>
      <w:r w:rsidR="00E27C4C" w:rsidRPr="00E27C4C">
        <w:t>potentially underestimat</w:t>
      </w:r>
      <w:r w:rsidR="00073DE8">
        <w:t>ed</w:t>
      </w:r>
      <w:r w:rsidR="00E27C4C" w:rsidRPr="00E27C4C">
        <w:t xml:space="preserve"> the </w:t>
      </w:r>
      <w:r w:rsidR="00FE14BA">
        <w:t>quality-adjusted life years (</w:t>
      </w:r>
      <w:r w:rsidR="00E27C4C" w:rsidRPr="00E27C4C">
        <w:t>QALYs</w:t>
      </w:r>
      <w:r w:rsidR="00FE14BA">
        <w:t>)</w:t>
      </w:r>
      <w:r w:rsidR="00E27C4C" w:rsidRPr="00E27C4C">
        <w:t xml:space="preserve"> and costs for </w:t>
      </w:r>
      <w:r w:rsidR="00FE14BA">
        <w:t>the</w:t>
      </w:r>
      <w:r w:rsidR="00FE14BA" w:rsidRPr="00E27C4C">
        <w:t xml:space="preserve"> </w:t>
      </w:r>
      <w:r w:rsidR="00E27C4C" w:rsidRPr="00E27C4C">
        <w:t xml:space="preserve">comparators. </w:t>
      </w:r>
    </w:p>
    <w:p w14:paraId="569C46B3" w14:textId="24BAD599" w:rsidR="008F1EF6" w:rsidRPr="00FC6109" w:rsidRDefault="00FE14BA" w:rsidP="004602BA">
      <w:pPr>
        <w:pStyle w:val="Bulletindent1"/>
        <w:rPr>
          <w:lang w:val="x-none"/>
        </w:rPr>
      </w:pPr>
      <w:r>
        <w:lastRenderedPageBreak/>
        <w:t>Th</w:t>
      </w:r>
      <w:r w:rsidR="00E93927" w:rsidRPr="00E66092">
        <w:t xml:space="preserve">e </w:t>
      </w:r>
      <w:r w:rsidR="00E27C4C" w:rsidRPr="00E66092">
        <w:rPr>
          <w:lang w:val="x-none"/>
        </w:rPr>
        <w:t>extrapolation of dacomitinib and afatinib w</w:t>
      </w:r>
      <w:r>
        <w:t>as</w:t>
      </w:r>
      <w:r w:rsidR="00E93927" w:rsidRPr="00E66092">
        <w:t xml:space="preserve"> </w:t>
      </w:r>
      <w:r w:rsidR="00E27C4C" w:rsidRPr="00E66092">
        <w:rPr>
          <w:lang w:val="x-none"/>
        </w:rPr>
        <w:t xml:space="preserve">reliant on results from the </w:t>
      </w:r>
      <w:r w:rsidR="000C38E9" w:rsidRPr="00E66092">
        <w:t xml:space="preserve">fractional polynomial network meta-analysis, </w:t>
      </w:r>
      <w:r w:rsidRPr="00E66092">
        <w:t xml:space="preserve">which were themselves uncertain </w:t>
      </w:r>
      <w:r w:rsidR="000C38E9" w:rsidRPr="00E66092">
        <w:t>(</w:t>
      </w:r>
      <w:r w:rsidRPr="00E66092">
        <w:t>s</w:t>
      </w:r>
      <w:r w:rsidR="000C38E9" w:rsidRPr="00E66092">
        <w:t>ee section 3.</w:t>
      </w:r>
      <w:r w:rsidRPr="00E66092">
        <w:t>9</w:t>
      </w:r>
      <w:r w:rsidR="000C38E9" w:rsidRPr="00E66092">
        <w:t>).</w:t>
      </w:r>
    </w:p>
    <w:p w14:paraId="23E84BA5" w14:textId="0C658A12" w:rsidR="000E795E" w:rsidRDefault="008F1EF6" w:rsidP="000E795E">
      <w:pPr>
        <w:pStyle w:val="Bulletindent1last"/>
      </w:pPr>
      <w:r w:rsidRPr="00DA7D78">
        <w:t>The progression-free survival curves suggested that dacomitinib had the highest progression-free survival until 38 months, beyond which afatinib had the highest progression-free survival</w:t>
      </w:r>
      <w:r w:rsidR="000E795E">
        <w:t>. The committee agreed that there was no clinical rationale for dacomitinib to be less effective than the comparators in terms of progression-free survival</w:t>
      </w:r>
      <w:r w:rsidR="00925F46">
        <w:t xml:space="preserve"> after 38 months</w:t>
      </w:r>
      <w:r w:rsidR="000E795E">
        <w:t xml:space="preserve">. </w:t>
      </w:r>
    </w:p>
    <w:p w14:paraId="73251369" w14:textId="0CEA3B25" w:rsidR="009B2B0F" w:rsidRPr="009B2B0F" w:rsidRDefault="0096374B" w:rsidP="00B8180D">
      <w:pPr>
        <w:pStyle w:val="Numberedlevel2text"/>
        <w:numPr>
          <w:ilvl w:val="0"/>
          <w:numId w:val="0"/>
        </w:numPr>
        <w:ind w:left="1134"/>
      </w:pPr>
      <w:r>
        <w:rPr>
          <w:lang w:val="en-US"/>
        </w:rPr>
        <w:t>The committee</w:t>
      </w:r>
      <w:r w:rsidRPr="0096374B">
        <w:rPr>
          <w:lang w:val="en-US"/>
        </w:rPr>
        <w:t xml:space="preserve"> agreed that there was uncertainty around the company’s modelling of progression-free survival because of the implausibility of the results and this made the company’s ICERs highly uncertain</w:t>
      </w:r>
      <w:r>
        <w:rPr>
          <w:lang w:val="en-US"/>
        </w:rPr>
        <w:t>.</w:t>
      </w:r>
    </w:p>
    <w:p w14:paraId="360C3ECD" w14:textId="77777777" w:rsidR="000E795E" w:rsidRDefault="000E795E" w:rsidP="00FC6109">
      <w:pPr>
        <w:pStyle w:val="Heading3"/>
      </w:pPr>
      <w:r>
        <w:rPr>
          <w:lang w:val="en-US"/>
        </w:rPr>
        <w:t xml:space="preserve">The </w:t>
      </w:r>
      <w:r>
        <w:t xml:space="preserve">ERG’s modelling of progression-free survival is appropriate </w:t>
      </w:r>
    </w:p>
    <w:p w14:paraId="0ED21DC9" w14:textId="0BDEE39F" w:rsidR="000E795E" w:rsidRDefault="000E795E" w:rsidP="00FC6109">
      <w:pPr>
        <w:pStyle w:val="Numberedlevel2text"/>
      </w:pPr>
      <w:r>
        <w:rPr>
          <w:lang w:val="en-US"/>
        </w:rPr>
        <w:t xml:space="preserve">In its base case, </w:t>
      </w:r>
      <w:r>
        <w:t xml:space="preserve">the ERG used the log-normal parametric curve for gefitinib </w:t>
      </w:r>
      <w:r>
        <w:rPr>
          <w:lang w:val="en-US"/>
        </w:rPr>
        <w:t>and</w:t>
      </w:r>
      <w:r>
        <w:t xml:space="preserve"> the fractional polynomial network meta-analysis for the other comparators (P1=0.5, P2=1)</w:t>
      </w:r>
      <w:r>
        <w:rPr>
          <w:lang w:val="en-US"/>
        </w:rPr>
        <w:t xml:space="preserve">. </w:t>
      </w:r>
      <w:r w:rsidR="00D800CA">
        <w:rPr>
          <w:lang w:val="en-US"/>
        </w:rPr>
        <w:t>T</w:t>
      </w:r>
      <w:r w:rsidR="00D800CA">
        <w:t>he</w:t>
      </w:r>
      <w:r w:rsidR="00D800CA">
        <w:rPr>
          <w:lang w:val="en-US"/>
        </w:rPr>
        <w:t xml:space="preserve"> afatinib extrapolation remained implausible so the ERG</w:t>
      </w:r>
      <w:r>
        <w:t xml:space="preserve"> assumed the progression-free survival of afatinib to be equal to the mean progression-free survival of dacomitinib and gefitinib </w:t>
      </w:r>
      <w:r w:rsidR="00B852F9">
        <w:rPr>
          <w:lang w:val="en-US"/>
        </w:rPr>
        <w:t>after</w:t>
      </w:r>
      <w:r w:rsidR="00B852F9">
        <w:t xml:space="preserve"> </w:t>
      </w:r>
      <w:r>
        <w:t xml:space="preserve">36 months. </w:t>
      </w:r>
      <w:r w:rsidR="008361E9">
        <w:rPr>
          <w:lang w:val="en-US"/>
        </w:rPr>
        <w:t>It</w:t>
      </w:r>
      <w:r>
        <w:t xml:space="preserve"> </w:t>
      </w:r>
      <w:r>
        <w:rPr>
          <w:lang w:val="en-US"/>
        </w:rPr>
        <w:t xml:space="preserve">also did </w:t>
      </w:r>
      <w:r>
        <w:t xml:space="preserve">a scenario analysis in which it </w:t>
      </w:r>
      <w:r w:rsidRPr="00D93C1A">
        <w:t xml:space="preserve">assumed the progression-free survival of afatinib to be equal to the mean progression-free survival of dacomitinib and gefitinib </w:t>
      </w:r>
      <w:r w:rsidR="00B852F9">
        <w:rPr>
          <w:lang w:val="en-US"/>
        </w:rPr>
        <w:t>after</w:t>
      </w:r>
      <w:r w:rsidR="00B852F9" w:rsidRPr="00D93C1A">
        <w:t xml:space="preserve"> </w:t>
      </w:r>
      <w:r>
        <w:t>55</w:t>
      </w:r>
      <w:r w:rsidR="008361E9">
        <w:rPr>
          <w:lang w:val="en-US"/>
        </w:rPr>
        <w:t xml:space="preserve"> months</w:t>
      </w:r>
      <w:r>
        <w:t xml:space="preserve">. </w:t>
      </w:r>
      <w:r>
        <w:rPr>
          <w:lang w:val="en-US"/>
        </w:rPr>
        <w:t xml:space="preserve">Although it </w:t>
      </w:r>
      <w:r w:rsidRPr="002C6F1B">
        <w:t>recognis</w:t>
      </w:r>
      <w:r>
        <w:rPr>
          <w:lang w:val="en-US"/>
        </w:rPr>
        <w:t>ed</w:t>
      </w:r>
      <w:r w:rsidRPr="002C6F1B">
        <w:t xml:space="preserve"> the uncertainties</w:t>
      </w:r>
      <w:r>
        <w:rPr>
          <w:lang w:val="en-US"/>
        </w:rPr>
        <w:t>,</w:t>
      </w:r>
      <w:r w:rsidRPr="002C6F1B">
        <w:t xml:space="preserve"> the committee preferred this approach </w:t>
      </w:r>
      <w:r>
        <w:rPr>
          <w:lang w:val="en-US"/>
        </w:rPr>
        <w:t>because it produced more plausible results than the company’s base case. It</w:t>
      </w:r>
      <w:r>
        <w:t xml:space="preserve"> therefore agreed that the ERG’s </w:t>
      </w:r>
      <w:r>
        <w:rPr>
          <w:lang w:val="en-US"/>
        </w:rPr>
        <w:t xml:space="preserve">modelling of </w:t>
      </w:r>
      <w:r>
        <w:t xml:space="preserve">progression-free survival </w:t>
      </w:r>
      <w:r>
        <w:rPr>
          <w:lang w:val="en-US"/>
        </w:rPr>
        <w:t>was appropriate and</w:t>
      </w:r>
      <w:r>
        <w:t xml:space="preserve"> should form the basis of its decision making. </w:t>
      </w:r>
    </w:p>
    <w:p w14:paraId="61CF9AD8" w14:textId="77777777" w:rsidR="0096374B" w:rsidRDefault="0096374B" w:rsidP="0096374B">
      <w:pPr>
        <w:pStyle w:val="Heading3"/>
      </w:pPr>
      <w:r>
        <w:lastRenderedPageBreak/>
        <w:t>The company’s modelling of overall survival produces some implausible results</w:t>
      </w:r>
    </w:p>
    <w:p w14:paraId="74744DAC" w14:textId="77777777" w:rsidR="0096374B" w:rsidRPr="00F57EF6" w:rsidRDefault="0096374B" w:rsidP="0096374B">
      <w:pPr>
        <w:pStyle w:val="Numberedlevel2text"/>
      </w:pPr>
      <w:r w:rsidRPr="00E66092">
        <w:rPr>
          <w:lang w:val="en-GB"/>
        </w:rPr>
        <w:t xml:space="preserve">In its base case, </w:t>
      </w:r>
      <w:proofErr w:type="spellStart"/>
      <w:r w:rsidRPr="00E66092">
        <w:rPr>
          <w:lang w:val="en-GB"/>
        </w:rPr>
        <w:t>t</w:t>
      </w:r>
      <w:r w:rsidRPr="00B55B1C">
        <w:t>he</w:t>
      </w:r>
      <w:proofErr w:type="spellEnd"/>
      <w:r w:rsidRPr="00B55B1C">
        <w:t xml:space="preserve"> company modelled </w:t>
      </w:r>
      <w:r>
        <w:rPr>
          <w:lang w:val="en-GB"/>
        </w:rPr>
        <w:t>overall</w:t>
      </w:r>
      <w:r w:rsidRPr="00E66092">
        <w:rPr>
          <w:lang w:val="en-GB"/>
        </w:rPr>
        <w:t xml:space="preserve"> survival </w:t>
      </w:r>
      <w:r>
        <w:t xml:space="preserve">in the same way it modelled progression-free survival (see section </w:t>
      </w:r>
      <w:r>
        <w:rPr>
          <w:lang w:val="en-US"/>
        </w:rPr>
        <w:t>3.12</w:t>
      </w:r>
      <w:r>
        <w:t xml:space="preserve">). </w:t>
      </w:r>
      <w:r w:rsidRPr="00E66092">
        <w:rPr>
          <w:lang w:val="en-GB"/>
        </w:rPr>
        <w:t xml:space="preserve">The committee had concerns about the company’s modelling of </w:t>
      </w:r>
      <w:r>
        <w:rPr>
          <w:lang w:val="en-GB"/>
        </w:rPr>
        <w:t xml:space="preserve">overall </w:t>
      </w:r>
      <w:r w:rsidRPr="00E66092">
        <w:rPr>
          <w:lang w:val="en-GB"/>
        </w:rPr>
        <w:t>survival</w:t>
      </w:r>
      <w:r>
        <w:rPr>
          <w:lang w:val="en-GB"/>
        </w:rPr>
        <w:t>:</w:t>
      </w:r>
    </w:p>
    <w:p w14:paraId="4F1111AB" w14:textId="75B53A5B" w:rsidR="00DA7D78" w:rsidRPr="00897A99" w:rsidRDefault="00DA7D78" w:rsidP="000E795E">
      <w:pPr>
        <w:pStyle w:val="Bulletindent1"/>
      </w:pPr>
      <w:r w:rsidRPr="00D03C05">
        <w:t>The generali</w:t>
      </w:r>
      <w:r w:rsidR="00254D10">
        <w:t>sed</w:t>
      </w:r>
      <w:r w:rsidRPr="006F7322">
        <w:t xml:space="preserve"> gamma curve may underestimate </w:t>
      </w:r>
      <w:r w:rsidRPr="00995653">
        <w:t xml:space="preserve">overall survival with </w:t>
      </w:r>
      <w:r w:rsidRPr="00897A99">
        <w:t>gefitinib.</w:t>
      </w:r>
    </w:p>
    <w:p w14:paraId="5CDFAB01" w14:textId="1FA832D3" w:rsidR="00DA7D78" w:rsidRDefault="00DA7D78" w:rsidP="00DA7D78">
      <w:pPr>
        <w:pStyle w:val="Bulletindent1"/>
      </w:pPr>
      <w:r w:rsidRPr="000B2904">
        <w:t xml:space="preserve">The modelling suggested that the efficacy of </w:t>
      </w:r>
      <w:r>
        <w:t>a</w:t>
      </w:r>
      <w:r w:rsidRPr="000B2904">
        <w:t>fatinib relative to gefitinib decreased over time while the efficacy of dacom</w:t>
      </w:r>
      <w:r>
        <w:t>i</w:t>
      </w:r>
      <w:r w:rsidRPr="000B2904">
        <w:t xml:space="preserve">tinib improved </w:t>
      </w:r>
      <w:r>
        <w:t>over time</w:t>
      </w:r>
      <w:r w:rsidR="00D03C05">
        <w:t>; c</w:t>
      </w:r>
      <w:r w:rsidR="00091601" w:rsidRPr="000B2904">
        <w:t xml:space="preserve">linical expert advice to the ERG </w:t>
      </w:r>
      <w:r w:rsidR="00D03C05">
        <w:t xml:space="preserve">questioned the </w:t>
      </w:r>
      <w:r w:rsidR="00091601" w:rsidRPr="000B2904">
        <w:t>plausibility of th</w:t>
      </w:r>
      <w:r w:rsidR="00D03C05">
        <w:t>is. T</w:t>
      </w:r>
      <w:r w:rsidR="00091601">
        <w:t xml:space="preserve">he clinical experts </w:t>
      </w:r>
      <w:r w:rsidR="00BA481A">
        <w:t>acknowledged</w:t>
      </w:r>
      <w:r w:rsidR="00D03C05">
        <w:t xml:space="preserve"> </w:t>
      </w:r>
      <w:r w:rsidR="00BA481A">
        <w:t xml:space="preserve">that effective </w:t>
      </w:r>
      <w:r w:rsidR="00995653">
        <w:t>treatment</w:t>
      </w:r>
      <w:r w:rsidR="00BA481A">
        <w:t>s may provide some benefit for a limited time after stopping treatment, but t</w:t>
      </w:r>
      <w:r w:rsidR="00091601" w:rsidRPr="000B2904">
        <w:t xml:space="preserve">he committee recalled </w:t>
      </w:r>
      <w:r w:rsidR="00BA481A">
        <w:t xml:space="preserve">that </w:t>
      </w:r>
      <w:r w:rsidR="00091601" w:rsidRPr="000B2904">
        <w:t xml:space="preserve">there was no evidence to suggest </w:t>
      </w:r>
      <w:r w:rsidR="00BA481A">
        <w:t xml:space="preserve">that afatinib and dacomitinib provided different benefits after stopping </w:t>
      </w:r>
      <w:r w:rsidR="00091601" w:rsidRPr="000B2904">
        <w:t>treatment.</w:t>
      </w:r>
    </w:p>
    <w:p w14:paraId="0BB0360F" w14:textId="2C08727B" w:rsidR="00DA7D78" w:rsidRDefault="003E7193" w:rsidP="00155DAA">
      <w:pPr>
        <w:pStyle w:val="Bulletindent1last"/>
      </w:pPr>
      <w:r>
        <w:t>D</w:t>
      </w:r>
      <w:r w:rsidR="00DA7D78">
        <w:t xml:space="preserve">acomitinib appears to provide </w:t>
      </w:r>
      <w:r>
        <w:t xml:space="preserve">benefits both before and after disease </w:t>
      </w:r>
      <w:r w:rsidR="00DA7D78">
        <w:t xml:space="preserve">progression. </w:t>
      </w:r>
      <w:r>
        <w:t>T</w:t>
      </w:r>
      <w:r w:rsidR="00DA7D78">
        <w:t>his is unlikely to be plausible</w:t>
      </w:r>
      <w:r>
        <w:t xml:space="preserve">, because </w:t>
      </w:r>
      <w:r w:rsidR="00DA7D78">
        <w:t>it is uncommon for progression-free survival to mirror post</w:t>
      </w:r>
      <w:r>
        <w:t>-</w:t>
      </w:r>
      <w:r w:rsidR="00DA7D78">
        <w:t>progression survival, and</w:t>
      </w:r>
      <w:r>
        <w:t xml:space="preserve"> even</w:t>
      </w:r>
      <w:r w:rsidR="00DA7D78">
        <w:t xml:space="preserve"> less common for progression</w:t>
      </w:r>
      <w:r w:rsidR="009D6E90">
        <w:t>-free</w:t>
      </w:r>
      <w:r w:rsidR="00DA7D78">
        <w:t xml:space="preserve"> survival to be extended in</w:t>
      </w:r>
      <w:r>
        <w:t>to</w:t>
      </w:r>
      <w:r w:rsidR="00DA7D78">
        <w:t xml:space="preserve"> post-progression survival.</w:t>
      </w:r>
      <w:r w:rsidR="00DA7D78" w:rsidRPr="008476FB">
        <w:t xml:space="preserve"> </w:t>
      </w:r>
    </w:p>
    <w:p w14:paraId="5B1CAEB3" w14:textId="03E2F280" w:rsidR="004D796D" w:rsidRDefault="004D796D" w:rsidP="00155DAA">
      <w:pPr>
        <w:pStyle w:val="NICEnormalindented"/>
      </w:pPr>
      <w:r>
        <w:t xml:space="preserve">The committee </w:t>
      </w:r>
      <w:r w:rsidR="004554C8">
        <w:t xml:space="preserve">therefore </w:t>
      </w:r>
      <w:r>
        <w:t>agreed that</w:t>
      </w:r>
      <w:r w:rsidR="004554C8">
        <w:t xml:space="preserve"> t</w:t>
      </w:r>
      <w:r w:rsidR="004554C8" w:rsidRPr="004554C8">
        <w:t>he company’s modelling of overall survival produce</w:t>
      </w:r>
      <w:r w:rsidR="004554C8">
        <w:t>d</w:t>
      </w:r>
      <w:r w:rsidR="004554C8" w:rsidRPr="004554C8">
        <w:t xml:space="preserve"> some implausible results</w:t>
      </w:r>
      <w:r w:rsidR="004554C8">
        <w:t>.</w:t>
      </w:r>
      <w:r>
        <w:t xml:space="preserve"> </w:t>
      </w:r>
    </w:p>
    <w:p w14:paraId="6CC1E616" w14:textId="77777777" w:rsidR="00FB1D06" w:rsidRDefault="00FB1D06" w:rsidP="00FB1D06">
      <w:pPr>
        <w:pStyle w:val="Heading3"/>
      </w:pPr>
      <w:r>
        <w:t>The ERG’s modelling of overall survival is the most appropriate for decision making</w:t>
      </w:r>
    </w:p>
    <w:p w14:paraId="2D033012" w14:textId="35CF0CF3" w:rsidR="002B4E70" w:rsidRPr="003E7C43" w:rsidRDefault="00F17DC9" w:rsidP="00FC6109">
      <w:pPr>
        <w:pStyle w:val="Numberedlevel2text"/>
      </w:pPr>
      <w:r w:rsidRPr="00FC6109">
        <w:t xml:space="preserve">In its base case, </w:t>
      </w:r>
      <w:r w:rsidR="002B4E70" w:rsidRPr="003E7C43">
        <w:t xml:space="preserve">the ERG </w:t>
      </w:r>
      <w:r w:rsidR="002B4E70" w:rsidRPr="009E3CED">
        <w:t>used the log-</w:t>
      </w:r>
      <w:r w:rsidR="009C5EDF" w:rsidRPr="009E3CED">
        <w:t xml:space="preserve">logistic curve </w:t>
      </w:r>
      <w:r w:rsidRPr="00FC6109">
        <w:t>for gefitinib and</w:t>
      </w:r>
      <w:r w:rsidR="002B4E70" w:rsidRPr="003E7C43">
        <w:t xml:space="preserve"> the </w:t>
      </w:r>
      <w:r w:rsidR="002B4E70" w:rsidRPr="009E3CED">
        <w:t>fractional polynomial net</w:t>
      </w:r>
      <w:r w:rsidR="002B4E70" w:rsidRPr="00BC1FE4">
        <w:t>work meta-analysis for the other comparators (P1=0.</w:t>
      </w:r>
      <w:r w:rsidR="009C5EDF" w:rsidRPr="00326398">
        <w:t>5</w:t>
      </w:r>
      <w:r w:rsidR="002B4E70" w:rsidRPr="00E74EFF">
        <w:t>, P2=1</w:t>
      </w:r>
      <w:r w:rsidR="002B4E70" w:rsidRPr="003E7C43">
        <w:t>)</w:t>
      </w:r>
      <w:r w:rsidRPr="00FC6109">
        <w:t xml:space="preserve">. It </w:t>
      </w:r>
      <w:r w:rsidR="002B4E70" w:rsidRPr="003E7C43">
        <w:t xml:space="preserve">assumed </w:t>
      </w:r>
      <w:r w:rsidR="009C5EDF" w:rsidRPr="003E7C43">
        <w:t>equal efficacy</w:t>
      </w:r>
      <w:r w:rsidR="00FB79C6" w:rsidRPr="009E3CED">
        <w:t xml:space="preserve"> for overall survival </w:t>
      </w:r>
      <w:r w:rsidR="00506BED" w:rsidRPr="00FC6109">
        <w:t>between</w:t>
      </w:r>
      <w:r w:rsidR="00FB79C6" w:rsidRPr="003E7C43">
        <w:t xml:space="preserve"> </w:t>
      </w:r>
      <w:r w:rsidR="00D3317D" w:rsidRPr="00FC6109">
        <w:t xml:space="preserve">all treatments after </w:t>
      </w:r>
      <w:r w:rsidR="009C5EDF" w:rsidRPr="003E7C43">
        <w:t>36</w:t>
      </w:r>
      <w:r w:rsidR="00465633" w:rsidRPr="009E3CED">
        <w:t> </w:t>
      </w:r>
      <w:r w:rsidR="009C5EDF" w:rsidRPr="009E3CED">
        <w:t>months</w:t>
      </w:r>
      <w:r w:rsidR="00465633" w:rsidRPr="009E3CED">
        <w:t>.</w:t>
      </w:r>
      <w:r w:rsidR="00333A54" w:rsidRPr="009E3CED">
        <w:t xml:space="preserve"> Th</w:t>
      </w:r>
      <w:r w:rsidR="00333A54" w:rsidRPr="00BC1FE4">
        <w:t>e ERG acknowledged that</w:t>
      </w:r>
      <w:r w:rsidR="00FB79C6" w:rsidRPr="00326398">
        <w:t xml:space="preserve"> </w:t>
      </w:r>
      <w:r w:rsidR="00F07D23" w:rsidRPr="00FC6109">
        <w:t xml:space="preserve">assuming equal efficacy </w:t>
      </w:r>
      <w:r w:rsidR="00FB79C6" w:rsidRPr="003E7C43">
        <w:t>from 48 </w:t>
      </w:r>
      <w:r w:rsidR="00F07D23" w:rsidRPr="00FC6109">
        <w:t xml:space="preserve">or </w:t>
      </w:r>
      <w:r w:rsidR="00FB79C6" w:rsidRPr="003E7C43">
        <w:t xml:space="preserve">60 months could </w:t>
      </w:r>
      <w:r w:rsidR="00F07D23" w:rsidRPr="00FC6109">
        <w:t xml:space="preserve">also </w:t>
      </w:r>
      <w:r w:rsidR="00FB79C6" w:rsidRPr="003E7C43">
        <w:t xml:space="preserve">be considered plausible and explored these in scenario analyses. The ERG also </w:t>
      </w:r>
      <w:r w:rsidR="008B4EF9" w:rsidRPr="00FC6109">
        <w:t>did</w:t>
      </w:r>
      <w:r w:rsidR="008B4EF9" w:rsidRPr="003E7C43">
        <w:t xml:space="preserve"> </w:t>
      </w:r>
      <w:r w:rsidR="00FB79C6" w:rsidRPr="003E7C43">
        <w:t xml:space="preserve">a scenario analysis in which </w:t>
      </w:r>
      <w:r w:rsidR="008B4EF9" w:rsidRPr="00FC6109">
        <w:t xml:space="preserve">it assumed </w:t>
      </w:r>
      <w:r w:rsidR="00FB79C6" w:rsidRPr="003E7C43">
        <w:t>equivalent post-progression</w:t>
      </w:r>
      <w:r w:rsidR="008B4EF9" w:rsidRPr="00FC6109">
        <w:t xml:space="preserve"> survival for </w:t>
      </w:r>
      <w:r w:rsidR="00FB79C6" w:rsidRPr="003E7C43">
        <w:t xml:space="preserve">all </w:t>
      </w:r>
      <w:r w:rsidR="009E3CED">
        <w:rPr>
          <w:lang w:val="en-US"/>
        </w:rPr>
        <w:lastRenderedPageBreak/>
        <w:t>treatments</w:t>
      </w:r>
      <w:r w:rsidR="008B4EF9" w:rsidRPr="00FC6109">
        <w:t xml:space="preserve">. </w:t>
      </w:r>
      <w:r w:rsidR="004E480A" w:rsidRPr="009E3CED">
        <w:t>It agreed that there was uncertainty around the company’s modelling of overall survival because of the implausibility of the results</w:t>
      </w:r>
      <w:r w:rsidR="00794879" w:rsidRPr="00FC6109">
        <w:t xml:space="preserve">. The committee </w:t>
      </w:r>
      <w:r w:rsidR="00794879" w:rsidRPr="003E7C43">
        <w:t xml:space="preserve">therefore agreed that the ERG’s </w:t>
      </w:r>
      <w:r w:rsidR="00794879" w:rsidRPr="00FC6109">
        <w:t>modelling of overall</w:t>
      </w:r>
      <w:r w:rsidR="00794879" w:rsidRPr="003E7C43">
        <w:t xml:space="preserve"> survival should form the basis of its </w:t>
      </w:r>
      <w:r w:rsidR="00794879" w:rsidRPr="009E3CED">
        <w:t>decision making</w:t>
      </w:r>
      <w:r w:rsidR="00794879" w:rsidRPr="00FC6109">
        <w:t>.</w:t>
      </w:r>
    </w:p>
    <w:p w14:paraId="1B8B5650" w14:textId="6330A775" w:rsidR="002E7152" w:rsidRDefault="00071746" w:rsidP="00071746">
      <w:pPr>
        <w:pStyle w:val="Heading2"/>
      </w:pPr>
      <w:r>
        <w:t>Health</w:t>
      </w:r>
      <w:r w:rsidR="001968F7">
        <w:t>-</w:t>
      </w:r>
      <w:r>
        <w:t>related quality of life</w:t>
      </w:r>
    </w:p>
    <w:p w14:paraId="32D4E273" w14:textId="1756C455" w:rsidR="00071746" w:rsidRDefault="00925F46" w:rsidP="00071746">
      <w:pPr>
        <w:pStyle w:val="Heading3"/>
        <w:rPr>
          <w:lang w:val="en-US"/>
        </w:rPr>
      </w:pPr>
      <w:r>
        <w:rPr>
          <w:lang w:val="en-US"/>
        </w:rPr>
        <w:t>The model should include a</w:t>
      </w:r>
      <w:r w:rsidR="00066DBC">
        <w:rPr>
          <w:lang w:val="en-US"/>
        </w:rPr>
        <w:t>ge-related disutilit</w:t>
      </w:r>
      <w:r w:rsidR="001968F7">
        <w:rPr>
          <w:lang w:val="en-US"/>
        </w:rPr>
        <w:t>ies</w:t>
      </w:r>
    </w:p>
    <w:p w14:paraId="2B007959" w14:textId="1795FCEC" w:rsidR="003E05D6" w:rsidRPr="003E05D6" w:rsidRDefault="00997D94" w:rsidP="00071746">
      <w:pPr>
        <w:pStyle w:val="Numberedlevel2text"/>
      </w:pPr>
      <w:r>
        <w:rPr>
          <w:lang w:val="en-GB"/>
        </w:rPr>
        <w:t xml:space="preserve">For progression-free </w:t>
      </w:r>
      <w:r w:rsidR="002903D9">
        <w:rPr>
          <w:lang w:val="en-GB"/>
        </w:rPr>
        <w:t>disease</w:t>
      </w:r>
      <w:r>
        <w:rPr>
          <w:lang w:val="en-GB"/>
        </w:rPr>
        <w:t xml:space="preserve">, the </w:t>
      </w:r>
      <w:r w:rsidR="00071746" w:rsidRPr="00071746">
        <w:t xml:space="preserve">company used utility values from ARCHER 1050 </w:t>
      </w:r>
      <w:r w:rsidR="003F0264">
        <w:rPr>
          <w:lang w:val="en-GB"/>
        </w:rPr>
        <w:t>for dacomitinib and gefitinib (the company considers the value</w:t>
      </w:r>
      <w:r w:rsidR="00640D23">
        <w:rPr>
          <w:lang w:val="en-GB"/>
        </w:rPr>
        <w:t>s</w:t>
      </w:r>
      <w:r w:rsidR="003F0264">
        <w:rPr>
          <w:lang w:val="en-GB"/>
        </w:rPr>
        <w:t xml:space="preserve"> to be academic in confidence and therefore cannot be reported here). The company assumed that </w:t>
      </w:r>
      <w:r w:rsidR="006D19D8">
        <w:rPr>
          <w:lang w:val="en-GB"/>
        </w:rPr>
        <w:t xml:space="preserve">the </w:t>
      </w:r>
      <w:r w:rsidR="003F0264">
        <w:rPr>
          <w:lang w:val="en-GB"/>
        </w:rPr>
        <w:t xml:space="preserve">utility value for afatinib would be equivalent to </w:t>
      </w:r>
      <w:r w:rsidR="006D19D8">
        <w:rPr>
          <w:lang w:val="en-GB"/>
        </w:rPr>
        <w:t xml:space="preserve">that of </w:t>
      </w:r>
      <w:r w:rsidR="003F0264">
        <w:rPr>
          <w:lang w:val="en-GB"/>
        </w:rPr>
        <w:t>dacomitinib</w:t>
      </w:r>
      <w:r w:rsidR="006D19D8">
        <w:rPr>
          <w:lang w:val="en-GB"/>
        </w:rPr>
        <w:t xml:space="preserve">, and that the value for erlotinib would be equivalent to that of gefitinib, based on </w:t>
      </w:r>
      <w:r w:rsidR="003F0264">
        <w:rPr>
          <w:lang w:val="en-GB"/>
        </w:rPr>
        <w:t>the similarity of their respective adverse</w:t>
      </w:r>
      <w:r w:rsidR="006D19D8">
        <w:rPr>
          <w:lang w:val="en-GB"/>
        </w:rPr>
        <w:t>-</w:t>
      </w:r>
      <w:r w:rsidR="003F0264">
        <w:rPr>
          <w:lang w:val="en-GB"/>
        </w:rPr>
        <w:t xml:space="preserve">event profiles. </w:t>
      </w:r>
      <w:r w:rsidR="009444D1">
        <w:rPr>
          <w:lang w:val="en-GB"/>
        </w:rPr>
        <w:t xml:space="preserve">The committee </w:t>
      </w:r>
      <w:r w:rsidR="00AF1DAD">
        <w:rPr>
          <w:lang w:val="en-GB"/>
        </w:rPr>
        <w:t>considered</w:t>
      </w:r>
      <w:r w:rsidR="009444D1">
        <w:rPr>
          <w:lang w:val="en-GB"/>
        </w:rPr>
        <w:t xml:space="preserve"> that </w:t>
      </w:r>
      <w:r w:rsidR="003E05D6">
        <w:rPr>
          <w:lang w:val="en-GB"/>
        </w:rPr>
        <w:t>it was appropriate for the company to assume equivalent utility values</w:t>
      </w:r>
      <w:r w:rsidR="00BE3729">
        <w:rPr>
          <w:lang w:val="en-GB"/>
        </w:rPr>
        <w:t xml:space="preserve"> in this way. </w:t>
      </w:r>
      <w:r w:rsidR="0057600B">
        <w:rPr>
          <w:lang w:val="en-GB"/>
        </w:rPr>
        <w:t>However, t</w:t>
      </w:r>
      <w:r w:rsidR="003E05D6">
        <w:rPr>
          <w:lang w:val="en-GB"/>
        </w:rPr>
        <w:t>he company did not include any age-related disutilit</w:t>
      </w:r>
      <w:r w:rsidR="0057600B">
        <w:rPr>
          <w:lang w:val="en-GB"/>
        </w:rPr>
        <w:t xml:space="preserve">ies. The committee </w:t>
      </w:r>
      <w:r w:rsidR="00CE7268">
        <w:rPr>
          <w:lang w:val="en-GB"/>
        </w:rPr>
        <w:t>accepted</w:t>
      </w:r>
      <w:r w:rsidR="00066DBC">
        <w:rPr>
          <w:lang w:val="en-GB"/>
        </w:rPr>
        <w:t xml:space="preserve"> </w:t>
      </w:r>
      <w:r w:rsidR="003E05D6">
        <w:rPr>
          <w:lang w:val="en-GB"/>
        </w:rPr>
        <w:t xml:space="preserve">that </w:t>
      </w:r>
      <w:r w:rsidR="0057600B">
        <w:rPr>
          <w:lang w:val="en-GB"/>
        </w:rPr>
        <w:t>these</w:t>
      </w:r>
      <w:r w:rsidR="003E05D6">
        <w:rPr>
          <w:lang w:val="en-GB"/>
        </w:rPr>
        <w:t xml:space="preserve"> should have been included </w:t>
      </w:r>
      <w:r w:rsidR="00066DBC">
        <w:rPr>
          <w:lang w:val="en-GB"/>
        </w:rPr>
        <w:t>in the model gi</w:t>
      </w:r>
      <w:r w:rsidR="003E05D6" w:rsidRPr="003E05D6">
        <w:rPr>
          <w:lang w:val="en-GB"/>
        </w:rPr>
        <w:t xml:space="preserve">ven both the starting age </w:t>
      </w:r>
      <w:r w:rsidR="00066DBC">
        <w:rPr>
          <w:lang w:val="en-GB"/>
        </w:rPr>
        <w:t xml:space="preserve">of the population modelled </w:t>
      </w:r>
      <w:r w:rsidR="003E05D6" w:rsidRPr="003E05D6">
        <w:rPr>
          <w:lang w:val="en-GB"/>
        </w:rPr>
        <w:t xml:space="preserve">and </w:t>
      </w:r>
      <w:r w:rsidR="00066DBC">
        <w:rPr>
          <w:lang w:val="en-GB"/>
        </w:rPr>
        <w:t xml:space="preserve">the </w:t>
      </w:r>
      <w:r w:rsidR="003E05D6" w:rsidRPr="003E05D6">
        <w:rPr>
          <w:lang w:val="en-GB"/>
        </w:rPr>
        <w:t xml:space="preserve">length of </w:t>
      </w:r>
      <w:r w:rsidR="0087631D">
        <w:rPr>
          <w:lang w:val="en-GB"/>
        </w:rPr>
        <w:t xml:space="preserve">the </w:t>
      </w:r>
      <w:r w:rsidR="003E05D6" w:rsidRPr="003E05D6">
        <w:rPr>
          <w:lang w:val="en-GB"/>
        </w:rPr>
        <w:t>time horizon</w:t>
      </w:r>
      <w:r w:rsidR="00066DBC">
        <w:rPr>
          <w:lang w:val="en-GB"/>
        </w:rPr>
        <w:t xml:space="preserve">. </w:t>
      </w:r>
    </w:p>
    <w:p w14:paraId="133049EE" w14:textId="12431CF5" w:rsidR="003E05D6" w:rsidRPr="003E05D6" w:rsidRDefault="00CB248E" w:rsidP="003E05D6">
      <w:pPr>
        <w:pStyle w:val="Heading3"/>
      </w:pPr>
      <w:r>
        <w:t>Using</w:t>
      </w:r>
      <w:r w:rsidR="003E05D6" w:rsidRPr="003E05D6">
        <w:t xml:space="preserve"> utility values </w:t>
      </w:r>
      <w:r>
        <w:t xml:space="preserve">for progressed disease </w:t>
      </w:r>
      <w:r w:rsidR="003E05D6" w:rsidRPr="003E05D6">
        <w:t xml:space="preserve">from ARCHER 1050 </w:t>
      </w:r>
      <w:r w:rsidR="000404EF">
        <w:t>is</w:t>
      </w:r>
      <w:r w:rsidR="005B690D">
        <w:t xml:space="preserve"> more</w:t>
      </w:r>
      <w:r w:rsidR="003E05D6" w:rsidRPr="003E05D6">
        <w:t xml:space="preserve"> appropriate</w:t>
      </w:r>
    </w:p>
    <w:p w14:paraId="46B39D3B" w14:textId="109BA0E6" w:rsidR="00071746" w:rsidRPr="001F430F" w:rsidRDefault="003F0264" w:rsidP="00071746">
      <w:pPr>
        <w:pStyle w:val="Numberedlevel2text"/>
      </w:pPr>
      <w:r>
        <w:rPr>
          <w:lang w:val="en-GB"/>
        </w:rPr>
        <w:t xml:space="preserve">For progressed disease, the company used a utility value of </w:t>
      </w:r>
      <w:r w:rsidR="009444D1">
        <w:rPr>
          <w:lang w:val="en-GB"/>
        </w:rPr>
        <w:t>0.64</w:t>
      </w:r>
      <w:r>
        <w:rPr>
          <w:lang w:val="en-GB"/>
        </w:rPr>
        <w:t xml:space="preserve"> from Labbe </w:t>
      </w:r>
      <w:r w:rsidR="00025F02">
        <w:rPr>
          <w:lang w:val="en-GB"/>
        </w:rPr>
        <w:t>(</w:t>
      </w:r>
      <w:r>
        <w:rPr>
          <w:lang w:val="en-GB"/>
        </w:rPr>
        <w:t>2017)</w:t>
      </w:r>
      <w:r w:rsidR="009444D1">
        <w:rPr>
          <w:lang w:val="en-GB"/>
        </w:rPr>
        <w:t>. The ERG considered</w:t>
      </w:r>
      <w:r w:rsidR="00997D94">
        <w:rPr>
          <w:lang w:val="en-GB"/>
        </w:rPr>
        <w:t xml:space="preserve"> it more appropriate to use utility values from ARCHER 1050 for progressed disease</w:t>
      </w:r>
      <w:r w:rsidR="00025F02">
        <w:rPr>
          <w:lang w:val="en-GB"/>
        </w:rPr>
        <w:t>, because</w:t>
      </w:r>
      <w:r w:rsidR="00997D94">
        <w:rPr>
          <w:lang w:val="en-GB"/>
        </w:rPr>
        <w:t xml:space="preserve"> there were limitations with the data from Labbe</w:t>
      </w:r>
      <w:r w:rsidR="00025F02">
        <w:rPr>
          <w:lang w:val="en-GB"/>
        </w:rPr>
        <w:t xml:space="preserve"> (including </w:t>
      </w:r>
      <w:r w:rsidR="00997D94">
        <w:rPr>
          <w:lang w:val="en-GB"/>
        </w:rPr>
        <w:t>difference</w:t>
      </w:r>
      <w:r w:rsidR="00025F02">
        <w:rPr>
          <w:lang w:val="en-GB"/>
        </w:rPr>
        <w:t>s</w:t>
      </w:r>
      <w:r w:rsidR="00997D94">
        <w:rPr>
          <w:lang w:val="en-GB"/>
        </w:rPr>
        <w:t xml:space="preserve"> in patient baseline characteristics</w:t>
      </w:r>
      <w:r w:rsidR="001F430F">
        <w:rPr>
          <w:lang w:val="en-GB"/>
        </w:rPr>
        <w:t xml:space="preserve"> between ARCHER 1050 and Labbe, </w:t>
      </w:r>
      <w:r w:rsidR="00997D94">
        <w:rPr>
          <w:lang w:val="en-GB"/>
        </w:rPr>
        <w:t>in particular the exclusion of p</w:t>
      </w:r>
      <w:r w:rsidR="007D7E6F">
        <w:rPr>
          <w:lang w:val="en-GB"/>
        </w:rPr>
        <w:t>eople</w:t>
      </w:r>
      <w:r w:rsidR="00997D94">
        <w:rPr>
          <w:lang w:val="en-GB"/>
        </w:rPr>
        <w:t xml:space="preserve"> </w:t>
      </w:r>
      <w:r w:rsidR="001F430F">
        <w:rPr>
          <w:lang w:val="en-GB"/>
        </w:rPr>
        <w:t xml:space="preserve">with </w:t>
      </w:r>
      <w:r w:rsidR="00997D94">
        <w:rPr>
          <w:lang w:val="en-GB"/>
        </w:rPr>
        <w:t>brain</w:t>
      </w:r>
      <w:r w:rsidR="001F430F">
        <w:rPr>
          <w:lang w:val="en-GB"/>
        </w:rPr>
        <w:t xml:space="preserve"> metastases from ARCHER 1050</w:t>
      </w:r>
      <w:r w:rsidR="00025F02">
        <w:rPr>
          <w:lang w:val="en-GB"/>
        </w:rPr>
        <w:t>)</w:t>
      </w:r>
      <w:r w:rsidR="001F430F">
        <w:rPr>
          <w:lang w:val="en-GB"/>
        </w:rPr>
        <w:t xml:space="preserve">. </w:t>
      </w:r>
      <w:r w:rsidR="00B33FA5">
        <w:rPr>
          <w:lang w:val="en-GB"/>
        </w:rPr>
        <w:t xml:space="preserve">However, </w:t>
      </w:r>
      <w:proofErr w:type="spellStart"/>
      <w:r w:rsidR="00B33FA5">
        <w:rPr>
          <w:lang w:val="en-GB"/>
        </w:rPr>
        <w:t>t</w:t>
      </w:r>
      <w:r w:rsidR="00071746" w:rsidRPr="00071746">
        <w:t>he</w:t>
      </w:r>
      <w:proofErr w:type="spellEnd"/>
      <w:r w:rsidR="00071746" w:rsidRPr="00071746">
        <w:t xml:space="preserve"> clinical experts commented that the difference between the</w:t>
      </w:r>
      <w:r w:rsidR="00B33FA5">
        <w:rPr>
          <w:lang w:val="en-US"/>
        </w:rPr>
        <w:t>se</w:t>
      </w:r>
      <w:r w:rsidR="00071746" w:rsidRPr="00071746">
        <w:t xml:space="preserve"> utility values </w:t>
      </w:r>
      <w:r w:rsidR="00B33FA5">
        <w:rPr>
          <w:lang w:val="en-US"/>
        </w:rPr>
        <w:t xml:space="preserve">(that is, from ARCHER 1050 and Labbe) would be unlikely to translate into a </w:t>
      </w:r>
      <w:r w:rsidR="00071746" w:rsidRPr="00071746">
        <w:t>clinically meaningful</w:t>
      </w:r>
      <w:r w:rsidR="00B33FA5">
        <w:rPr>
          <w:lang w:val="en-US"/>
        </w:rPr>
        <w:t xml:space="preserve"> difference</w:t>
      </w:r>
      <w:r w:rsidR="00071746" w:rsidRPr="00071746">
        <w:t xml:space="preserve">. The committee acknowledged that </w:t>
      </w:r>
      <w:r w:rsidR="001F430F">
        <w:rPr>
          <w:lang w:val="en-GB"/>
        </w:rPr>
        <w:t xml:space="preserve">the utility value for progressed disease was not a </w:t>
      </w:r>
      <w:r w:rsidR="002A0DF5">
        <w:rPr>
          <w:lang w:val="en-GB"/>
        </w:rPr>
        <w:lastRenderedPageBreak/>
        <w:t>significant factor</w:t>
      </w:r>
      <w:r w:rsidR="001F430F">
        <w:rPr>
          <w:lang w:val="en-GB"/>
        </w:rPr>
        <w:t xml:space="preserve"> </w:t>
      </w:r>
      <w:r w:rsidR="002A0DF5">
        <w:rPr>
          <w:lang w:val="en-GB"/>
        </w:rPr>
        <w:t xml:space="preserve">in the </w:t>
      </w:r>
      <w:r w:rsidR="001F430F">
        <w:rPr>
          <w:lang w:val="en-GB"/>
        </w:rPr>
        <w:t>cost</w:t>
      </w:r>
      <w:r w:rsidR="002A0DF5">
        <w:rPr>
          <w:lang w:val="en-GB"/>
        </w:rPr>
        <w:t>-</w:t>
      </w:r>
      <w:r w:rsidR="001F430F">
        <w:rPr>
          <w:lang w:val="en-GB"/>
        </w:rPr>
        <w:t>effectiveness</w:t>
      </w:r>
      <w:r w:rsidR="002A0DF5">
        <w:rPr>
          <w:lang w:val="en-GB"/>
        </w:rPr>
        <w:t xml:space="preserve"> analysis. However, </w:t>
      </w:r>
      <w:r w:rsidR="001F430F">
        <w:rPr>
          <w:lang w:val="en-GB"/>
        </w:rPr>
        <w:t>from a methodical perspective</w:t>
      </w:r>
      <w:r w:rsidR="00DC6482">
        <w:rPr>
          <w:lang w:val="en-GB"/>
        </w:rPr>
        <w:t>,</w:t>
      </w:r>
      <w:r w:rsidR="001F430F">
        <w:rPr>
          <w:lang w:val="en-GB"/>
        </w:rPr>
        <w:t xml:space="preserve"> it </w:t>
      </w:r>
      <w:r w:rsidR="00720BC7">
        <w:rPr>
          <w:lang w:val="en-GB"/>
        </w:rPr>
        <w:t xml:space="preserve">may be </w:t>
      </w:r>
      <w:r w:rsidR="001F430F">
        <w:rPr>
          <w:lang w:val="en-GB"/>
        </w:rPr>
        <w:t xml:space="preserve">more appropriate to use utility values from trials when </w:t>
      </w:r>
      <w:r w:rsidR="00DC6482">
        <w:rPr>
          <w:lang w:val="en-GB"/>
        </w:rPr>
        <w:t xml:space="preserve">they are </w:t>
      </w:r>
      <w:r w:rsidR="001F430F">
        <w:rPr>
          <w:lang w:val="en-GB"/>
        </w:rPr>
        <w:t>available</w:t>
      </w:r>
      <w:r w:rsidR="00DC6482">
        <w:rPr>
          <w:lang w:val="en-GB"/>
        </w:rPr>
        <w:t>. So</w:t>
      </w:r>
      <w:r w:rsidR="00EC0C4B">
        <w:rPr>
          <w:lang w:val="en-GB"/>
        </w:rPr>
        <w:t>,</w:t>
      </w:r>
      <w:r w:rsidR="00DC6482">
        <w:rPr>
          <w:lang w:val="en-GB"/>
        </w:rPr>
        <w:t xml:space="preserve"> the committee considered </w:t>
      </w:r>
      <w:r w:rsidR="00071746" w:rsidRPr="00071746">
        <w:t xml:space="preserve">it appropriate to </w:t>
      </w:r>
      <w:r w:rsidR="00DC6482">
        <w:rPr>
          <w:lang w:val="en-US"/>
        </w:rPr>
        <w:t>use u</w:t>
      </w:r>
      <w:r w:rsidR="00071746" w:rsidRPr="00071746">
        <w:t>tility value</w:t>
      </w:r>
      <w:r w:rsidR="00DC6482">
        <w:rPr>
          <w:lang w:val="en-US"/>
        </w:rPr>
        <w:t>s</w:t>
      </w:r>
      <w:r w:rsidR="00071746" w:rsidRPr="00071746">
        <w:t xml:space="preserve"> from ARCHER 1050 for progressed disease</w:t>
      </w:r>
      <w:r w:rsidR="001F430F">
        <w:rPr>
          <w:lang w:val="en-GB"/>
        </w:rPr>
        <w:t>.</w:t>
      </w:r>
    </w:p>
    <w:p w14:paraId="4021A116" w14:textId="09C37BA9" w:rsidR="001F430F" w:rsidRDefault="000404EF" w:rsidP="001F430F">
      <w:pPr>
        <w:pStyle w:val="Heading3"/>
      </w:pPr>
      <w:r>
        <w:t>The analyses should include d</w:t>
      </w:r>
      <w:r w:rsidR="002361FE">
        <w:t>isutilities associated with adverse events</w:t>
      </w:r>
    </w:p>
    <w:p w14:paraId="652D9B09" w14:textId="59A30CBF" w:rsidR="001F430F" w:rsidRDefault="006B798D" w:rsidP="001F430F">
      <w:pPr>
        <w:pStyle w:val="Numberedlevel2text"/>
      </w:pPr>
      <w:r>
        <w:rPr>
          <w:lang w:val="en-US"/>
        </w:rPr>
        <w:t>In its base case t</w:t>
      </w:r>
      <w:r w:rsidR="001F430F">
        <w:t>he company did not include any disutilities</w:t>
      </w:r>
      <w:r w:rsidR="002361FE">
        <w:rPr>
          <w:lang w:val="en-GB"/>
        </w:rPr>
        <w:t xml:space="preserve"> </w:t>
      </w:r>
      <w:r>
        <w:rPr>
          <w:lang w:val="en-GB"/>
        </w:rPr>
        <w:t>for</w:t>
      </w:r>
      <w:r w:rsidR="002361FE">
        <w:rPr>
          <w:lang w:val="en-GB"/>
        </w:rPr>
        <w:t xml:space="preserve"> adverse </w:t>
      </w:r>
      <w:proofErr w:type="gramStart"/>
      <w:r w:rsidR="002361FE">
        <w:rPr>
          <w:lang w:val="en-GB"/>
        </w:rPr>
        <w:t>events</w:t>
      </w:r>
      <w:r>
        <w:rPr>
          <w:lang w:val="en-GB"/>
        </w:rPr>
        <w:t xml:space="preserve">, </w:t>
      </w:r>
      <w:r w:rsidR="001F430F">
        <w:t>but</w:t>
      </w:r>
      <w:proofErr w:type="gramEnd"/>
      <w:r w:rsidR="001F430F">
        <w:t xml:space="preserve"> incorporated a one-off treatment-specific </w:t>
      </w:r>
      <w:r w:rsidR="006D1A38">
        <w:rPr>
          <w:lang w:val="en-US"/>
        </w:rPr>
        <w:t>dis</w:t>
      </w:r>
      <w:r w:rsidR="001F430F">
        <w:t xml:space="preserve">utility in </w:t>
      </w:r>
      <w:r w:rsidR="001F430F">
        <w:rPr>
          <w:lang w:val="en-GB"/>
        </w:rPr>
        <w:t xml:space="preserve">a </w:t>
      </w:r>
      <w:r w:rsidR="001F430F">
        <w:t xml:space="preserve">scenario analysis. The </w:t>
      </w:r>
      <w:r w:rsidR="001F430F">
        <w:rPr>
          <w:lang w:val="en-GB"/>
        </w:rPr>
        <w:t xml:space="preserve">company’s rationale </w:t>
      </w:r>
      <w:r w:rsidR="001F430F">
        <w:t xml:space="preserve">for not including </w:t>
      </w:r>
      <w:r>
        <w:rPr>
          <w:lang w:val="en-US"/>
        </w:rPr>
        <w:t xml:space="preserve">these </w:t>
      </w:r>
      <w:r w:rsidR="001F430F">
        <w:rPr>
          <w:lang w:val="en-GB"/>
        </w:rPr>
        <w:t xml:space="preserve">disutilities was that </w:t>
      </w:r>
      <w:r w:rsidR="006D076E">
        <w:rPr>
          <w:lang w:val="en-GB"/>
        </w:rPr>
        <w:t xml:space="preserve">the utility values from </w:t>
      </w:r>
      <w:r w:rsidR="001F430F">
        <w:t xml:space="preserve">ARCHER 1050 would already incorporate </w:t>
      </w:r>
      <w:r>
        <w:rPr>
          <w:lang w:val="en-US"/>
        </w:rPr>
        <w:t xml:space="preserve">the effect of </w:t>
      </w:r>
      <w:r w:rsidR="001F430F">
        <w:t xml:space="preserve">adverse events </w:t>
      </w:r>
      <w:r>
        <w:rPr>
          <w:lang w:val="en-US"/>
        </w:rPr>
        <w:t xml:space="preserve">through </w:t>
      </w:r>
      <w:r w:rsidR="006D076E">
        <w:rPr>
          <w:lang w:val="en-GB"/>
        </w:rPr>
        <w:t xml:space="preserve">EQ-5D-3L </w:t>
      </w:r>
      <w:r>
        <w:rPr>
          <w:lang w:val="en-GB"/>
        </w:rPr>
        <w:t xml:space="preserve">data </w:t>
      </w:r>
      <w:r w:rsidR="006D076E">
        <w:rPr>
          <w:lang w:val="en-GB"/>
        </w:rPr>
        <w:t xml:space="preserve">collected during the trial. To </w:t>
      </w:r>
      <w:r w:rsidR="001F430F">
        <w:t xml:space="preserve">include treatment-specific utility decrements for </w:t>
      </w:r>
      <w:r w:rsidR="006D076E">
        <w:rPr>
          <w:lang w:val="en-GB"/>
        </w:rPr>
        <w:t xml:space="preserve">adverse events </w:t>
      </w:r>
      <w:r w:rsidR="001F430F">
        <w:t xml:space="preserve">would effectively double count the </w:t>
      </w:r>
      <w:r w:rsidR="006D1A38">
        <w:rPr>
          <w:lang w:val="en-US"/>
        </w:rPr>
        <w:t xml:space="preserve">effect </w:t>
      </w:r>
      <w:r w:rsidR="001F430F">
        <w:t xml:space="preserve">of </w:t>
      </w:r>
      <w:r w:rsidR="006D076E">
        <w:rPr>
          <w:lang w:val="en-GB"/>
        </w:rPr>
        <w:t xml:space="preserve">adverse events </w:t>
      </w:r>
      <w:r w:rsidR="001F430F">
        <w:t xml:space="preserve">on the utility values. </w:t>
      </w:r>
      <w:r w:rsidR="006D1A38">
        <w:rPr>
          <w:lang w:val="en-US"/>
        </w:rPr>
        <w:t xml:space="preserve">However, </w:t>
      </w:r>
      <w:r w:rsidR="006D076E">
        <w:rPr>
          <w:lang w:val="en-GB"/>
        </w:rPr>
        <w:t xml:space="preserve">the ERG considered that </w:t>
      </w:r>
      <w:r w:rsidR="006D1A38">
        <w:rPr>
          <w:lang w:val="en-GB"/>
        </w:rPr>
        <w:t xml:space="preserve">the base-case analysis should include </w:t>
      </w:r>
      <w:r w:rsidR="001F430F">
        <w:t xml:space="preserve">treatment-specific </w:t>
      </w:r>
      <w:r w:rsidR="006D1A38">
        <w:rPr>
          <w:lang w:val="en-US"/>
        </w:rPr>
        <w:t>dis</w:t>
      </w:r>
      <w:r w:rsidR="001F430F">
        <w:t>utilit</w:t>
      </w:r>
      <w:r w:rsidR="006D1A38">
        <w:rPr>
          <w:lang w:val="en-US"/>
        </w:rPr>
        <w:t>ies</w:t>
      </w:r>
      <w:r w:rsidR="009074E3">
        <w:rPr>
          <w:lang w:val="en-US"/>
        </w:rPr>
        <w:t xml:space="preserve"> for adverse events</w:t>
      </w:r>
      <w:r w:rsidR="00720BC7">
        <w:rPr>
          <w:lang w:val="en-GB"/>
        </w:rPr>
        <w:t>.</w:t>
      </w:r>
      <w:r w:rsidR="00636383">
        <w:rPr>
          <w:lang w:val="en-GB"/>
        </w:rPr>
        <w:t xml:space="preserve"> </w:t>
      </w:r>
      <w:r w:rsidR="001072B0">
        <w:rPr>
          <w:lang w:val="en-GB"/>
        </w:rPr>
        <w:t>M</w:t>
      </w:r>
      <w:r w:rsidR="001F430F">
        <w:t>any of the</w:t>
      </w:r>
      <w:r w:rsidR="002D0B0A">
        <w:rPr>
          <w:lang w:val="en-US"/>
        </w:rPr>
        <w:t xml:space="preserve"> most</w:t>
      </w:r>
      <w:r w:rsidR="001F430F">
        <w:t xml:space="preserve"> common adverse events </w:t>
      </w:r>
      <w:r w:rsidR="00720BC7">
        <w:rPr>
          <w:lang w:val="en-US"/>
        </w:rPr>
        <w:t>a</w:t>
      </w:r>
      <w:r w:rsidR="001F430F">
        <w:t xml:space="preserve">re limited in duration, and </w:t>
      </w:r>
      <w:r w:rsidR="001072B0">
        <w:rPr>
          <w:lang w:val="en-US"/>
        </w:rPr>
        <w:t>the EQ-5D-3L only captures how p</w:t>
      </w:r>
      <w:r w:rsidR="007D7E6F">
        <w:rPr>
          <w:lang w:val="en-US"/>
        </w:rPr>
        <w:t>eople</w:t>
      </w:r>
      <w:r w:rsidR="001072B0">
        <w:rPr>
          <w:lang w:val="en-US"/>
        </w:rPr>
        <w:t xml:space="preserve"> feel on the day that they complete it</w:t>
      </w:r>
      <w:r w:rsidR="002D0B0A">
        <w:rPr>
          <w:lang w:val="en-US"/>
        </w:rPr>
        <w:t>. T</w:t>
      </w:r>
      <w:r w:rsidR="002361FE">
        <w:rPr>
          <w:lang w:val="en-GB"/>
        </w:rPr>
        <w:t xml:space="preserve">he clinical experts </w:t>
      </w:r>
      <w:r w:rsidR="002D0B0A">
        <w:rPr>
          <w:lang w:val="en-GB"/>
        </w:rPr>
        <w:t xml:space="preserve">also explained how </w:t>
      </w:r>
      <w:r w:rsidR="002361FE">
        <w:rPr>
          <w:lang w:val="en-GB"/>
        </w:rPr>
        <w:t>the EQ-5D-3</w:t>
      </w:r>
      <w:r w:rsidR="00AF1DAD">
        <w:rPr>
          <w:lang w:val="en-GB"/>
        </w:rPr>
        <w:t>L</w:t>
      </w:r>
      <w:r w:rsidR="002361FE">
        <w:rPr>
          <w:lang w:val="en-GB"/>
        </w:rPr>
        <w:t xml:space="preserve"> do</w:t>
      </w:r>
      <w:r w:rsidR="002D0B0A">
        <w:rPr>
          <w:lang w:val="en-GB"/>
        </w:rPr>
        <w:t>es</w:t>
      </w:r>
      <w:r w:rsidR="002361FE">
        <w:rPr>
          <w:lang w:val="en-GB"/>
        </w:rPr>
        <w:t xml:space="preserve"> not capture the full impact of </w:t>
      </w:r>
      <w:r w:rsidR="002D0B0A">
        <w:rPr>
          <w:lang w:val="en-GB"/>
        </w:rPr>
        <w:t xml:space="preserve">certain </w:t>
      </w:r>
      <w:r w:rsidR="002361FE">
        <w:rPr>
          <w:lang w:val="en-GB"/>
        </w:rPr>
        <w:t>adverse events</w:t>
      </w:r>
      <w:r w:rsidR="002D0B0A">
        <w:rPr>
          <w:lang w:val="en-GB"/>
        </w:rPr>
        <w:t>,</w:t>
      </w:r>
      <w:r w:rsidR="002361FE">
        <w:rPr>
          <w:lang w:val="en-GB"/>
        </w:rPr>
        <w:t xml:space="preserve"> such as diarrhoea, on health</w:t>
      </w:r>
      <w:r w:rsidR="002D0B0A">
        <w:rPr>
          <w:lang w:val="en-GB"/>
        </w:rPr>
        <w:t>-</w:t>
      </w:r>
      <w:r w:rsidR="002361FE">
        <w:rPr>
          <w:lang w:val="en-GB"/>
        </w:rPr>
        <w:t xml:space="preserve">related quality of life. The committee concluded that it was </w:t>
      </w:r>
      <w:r w:rsidR="003B599B">
        <w:rPr>
          <w:lang w:val="en-GB"/>
        </w:rPr>
        <w:t xml:space="preserve">more </w:t>
      </w:r>
      <w:r w:rsidR="002361FE">
        <w:rPr>
          <w:lang w:val="en-GB"/>
        </w:rPr>
        <w:t>appropriate to include disutilities associated with adverse events in the base</w:t>
      </w:r>
      <w:r w:rsidR="003B599B">
        <w:rPr>
          <w:lang w:val="en-GB"/>
        </w:rPr>
        <w:t>-</w:t>
      </w:r>
      <w:r w:rsidR="002361FE">
        <w:rPr>
          <w:lang w:val="en-GB"/>
        </w:rPr>
        <w:t>case analyses.</w:t>
      </w:r>
      <w:r w:rsidR="001F430F">
        <w:t xml:space="preserve"> </w:t>
      </w:r>
    </w:p>
    <w:p w14:paraId="2252AE28" w14:textId="5F95E7A0" w:rsidR="001F430F" w:rsidRDefault="002361FE" w:rsidP="002361FE">
      <w:pPr>
        <w:pStyle w:val="Heading2"/>
      </w:pPr>
      <w:r w:rsidRPr="002361FE">
        <w:t>Resource use and costs</w:t>
      </w:r>
    </w:p>
    <w:p w14:paraId="14E3CBB4" w14:textId="5B1D9FA1" w:rsidR="002361FE" w:rsidRDefault="00567998" w:rsidP="002361FE">
      <w:pPr>
        <w:pStyle w:val="Heading3"/>
        <w:rPr>
          <w:lang w:val="en-US"/>
        </w:rPr>
      </w:pPr>
      <w:r w:rsidRPr="00567998">
        <w:rPr>
          <w:lang w:val="en-US"/>
        </w:rPr>
        <w:t xml:space="preserve">The </w:t>
      </w:r>
      <w:r w:rsidR="00F221D9">
        <w:rPr>
          <w:lang w:val="en-US"/>
        </w:rPr>
        <w:t xml:space="preserve">company’s assumptions about </w:t>
      </w:r>
      <w:r w:rsidRPr="00567998">
        <w:rPr>
          <w:lang w:val="en-US"/>
        </w:rPr>
        <w:t xml:space="preserve">health benefits and costs of subsequent therapies </w:t>
      </w:r>
      <w:r w:rsidR="00F221D9">
        <w:rPr>
          <w:lang w:val="en-US"/>
        </w:rPr>
        <w:t>are implausible</w:t>
      </w:r>
    </w:p>
    <w:p w14:paraId="0BE6CCF5" w14:textId="5EAEF0B8" w:rsidR="00567998" w:rsidRPr="00567998" w:rsidRDefault="00007228" w:rsidP="00567998">
      <w:pPr>
        <w:pStyle w:val="Numberedlevel2text"/>
        <w:rPr>
          <w:lang w:val="en-GB"/>
        </w:rPr>
      </w:pPr>
      <w:r>
        <w:rPr>
          <w:lang w:val="en-US"/>
        </w:rPr>
        <w:t>In its base case, t</w:t>
      </w:r>
      <w:r w:rsidR="000861AF">
        <w:t>he company</w:t>
      </w:r>
      <w:r>
        <w:rPr>
          <w:lang w:val="en-US"/>
        </w:rPr>
        <w:t xml:space="preserve"> </w:t>
      </w:r>
      <w:r w:rsidR="000861AF">
        <w:t xml:space="preserve">assumed that 71% of people </w:t>
      </w:r>
      <w:r>
        <w:rPr>
          <w:lang w:val="en-US"/>
        </w:rPr>
        <w:t xml:space="preserve">having </w:t>
      </w:r>
      <w:r w:rsidR="000861AF">
        <w:t>tyrosine</w:t>
      </w:r>
      <w:r>
        <w:rPr>
          <w:lang w:val="en-US"/>
        </w:rPr>
        <w:t xml:space="preserve"> </w:t>
      </w:r>
      <w:r w:rsidR="000861AF">
        <w:t xml:space="preserve">kinase inhibitors would </w:t>
      </w:r>
      <w:r w:rsidR="007D7E6F">
        <w:rPr>
          <w:lang w:val="en-US"/>
        </w:rPr>
        <w:t xml:space="preserve">also </w:t>
      </w:r>
      <w:r w:rsidR="000861AF">
        <w:t>have disease progression</w:t>
      </w:r>
      <w:r w:rsidR="00315F27">
        <w:rPr>
          <w:lang w:val="en-US"/>
        </w:rPr>
        <w:t xml:space="preserve"> and second-line treatment</w:t>
      </w:r>
      <w:r w:rsidR="000861AF">
        <w:t>. Of th</w:t>
      </w:r>
      <w:r w:rsidR="00B036A0">
        <w:rPr>
          <w:lang w:val="en-US"/>
        </w:rPr>
        <w:t xml:space="preserve">ese, </w:t>
      </w:r>
      <w:r w:rsidR="000861AF">
        <w:t xml:space="preserve">56% would develop the T790M mutation and </w:t>
      </w:r>
      <w:r w:rsidR="00B036A0">
        <w:rPr>
          <w:lang w:val="en-US"/>
        </w:rPr>
        <w:t>have</w:t>
      </w:r>
      <w:r w:rsidR="00B036A0">
        <w:t xml:space="preserve"> </w:t>
      </w:r>
      <w:r w:rsidR="000861AF">
        <w:t xml:space="preserve">osimertinib </w:t>
      </w:r>
      <w:r w:rsidR="00B036A0">
        <w:rPr>
          <w:lang w:val="en-US"/>
        </w:rPr>
        <w:t xml:space="preserve">and the other </w:t>
      </w:r>
      <w:r w:rsidR="000861AF">
        <w:t>44% would have chemotherapy. The model also assumed that 48% of the original cohort</w:t>
      </w:r>
      <w:r w:rsidR="00DE75E2">
        <w:t xml:space="preserve"> </w:t>
      </w:r>
      <w:r w:rsidR="006B5903">
        <w:rPr>
          <w:lang w:val="en-US"/>
        </w:rPr>
        <w:t>would have</w:t>
      </w:r>
      <w:r w:rsidR="00DE75E2">
        <w:t xml:space="preserve"> third-line </w:t>
      </w:r>
      <w:r w:rsidR="00DE75E2">
        <w:lastRenderedPageBreak/>
        <w:t>treatment</w:t>
      </w:r>
      <w:r w:rsidR="006B5903">
        <w:rPr>
          <w:lang w:val="en-US"/>
        </w:rPr>
        <w:t xml:space="preserve">; of these, </w:t>
      </w:r>
      <w:r w:rsidR="00DE75E2">
        <w:t>56%</w:t>
      </w:r>
      <w:r w:rsidR="006B5903">
        <w:rPr>
          <w:lang w:val="en-US"/>
        </w:rPr>
        <w:t xml:space="preserve"> would have chemotherapy (the same people who had second-line </w:t>
      </w:r>
      <w:r w:rsidR="00DE75E2">
        <w:t>osimertinib</w:t>
      </w:r>
      <w:r w:rsidR="006B5903">
        <w:rPr>
          <w:lang w:val="en-US"/>
        </w:rPr>
        <w:t xml:space="preserve">) and </w:t>
      </w:r>
      <w:r w:rsidR="00DE75E2">
        <w:t xml:space="preserve">44% </w:t>
      </w:r>
      <w:r w:rsidR="006B5903">
        <w:rPr>
          <w:lang w:val="en-US"/>
        </w:rPr>
        <w:t xml:space="preserve">would have </w:t>
      </w:r>
      <w:r w:rsidR="00DE75E2">
        <w:t>docetaxel</w:t>
      </w:r>
      <w:r w:rsidR="006B5903">
        <w:rPr>
          <w:lang w:val="en-US"/>
        </w:rPr>
        <w:t xml:space="preserve"> (the same people who had second-line </w:t>
      </w:r>
      <w:r w:rsidR="00DE75E2">
        <w:t>chemotherapy</w:t>
      </w:r>
      <w:r w:rsidR="006B5903">
        <w:rPr>
          <w:lang w:val="en-US"/>
        </w:rPr>
        <w:t xml:space="preserve">). </w:t>
      </w:r>
      <w:r w:rsidR="00655988">
        <w:rPr>
          <w:lang w:val="en-GB"/>
        </w:rPr>
        <w:t xml:space="preserve">The committee was aware of NICE’s </w:t>
      </w:r>
      <w:r w:rsidR="007C2BA6">
        <w:rPr>
          <w:lang w:val="en-GB"/>
        </w:rPr>
        <w:t xml:space="preserve">statement on </w:t>
      </w:r>
      <w:hyperlink r:id="rId17" w:history="1">
        <w:r w:rsidR="007C2BA6" w:rsidRPr="007C2BA6">
          <w:rPr>
            <w:rStyle w:val="Hyperlink"/>
            <w:lang w:val="en-GB"/>
          </w:rPr>
          <w:t>handling comparators and treatment sequences on the Cancer Drugs Fund</w:t>
        </w:r>
      </w:hyperlink>
      <w:r w:rsidR="007C2BA6">
        <w:rPr>
          <w:lang w:val="en-GB"/>
        </w:rPr>
        <w:t xml:space="preserve">, specifically that </w:t>
      </w:r>
      <w:r w:rsidR="00565FE8">
        <w:rPr>
          <w:lang w:val="en-GB"/>
        </w:rPr>
        <w:t>‘</w:t>
      </w:r>
      <w:r w:rsidR="00655988">
        <w:rPr>
          <w:lang w:val="en-GB"/>
        </w:rPr>
        <w:t>p</w:t>
      </w:r>
      <w:r w:rsidR="00655988" w:rsidRPr="00655988">
        <w:rPr>
          <w:lang w:val="en-GB"/>
        </w:rPr>
        <w:t>roducts recommended for use in the Cancer Drugs Fund after 1 April 2016 should not be considered as comparators, or appropriately included in a treatment sequence, in subsequent relevant appraisals</w:t>
      </w:r>
      <w:r w:rsidR="007C3D8B">
        <w:rPr>
          <w:lang w:val="en-GB"/>
        </w:rPr>
        <w:t>’</w:t>
      </w:r>
      <w:r w:rsidR="00C50061">
        <w:rPr>
          <w:lang w:val="en-US"/>
        </w:rPr>
        <w:t xml:space="preserve">. </w:t>
      </w:r>
      <w:r w:rsidR="004D796D">
        <w:rPr>
          <w:lang w:val="en-US"/>
        </w:rPr>
        <w:t xml:space="preserve">The committee accepted that it was appropriate for osimertinib to be included </w:t>
      </w:r>
      <w:r w:rsidR="00155DAA">
        <w:rPr>
          <w:lang w:val="en-US"/>
        </w:rPr>
        <w:t xml:space="preserve">in the treatment sequence </w:t>
      </w:r>
      <w:r w:rsidR="004D796D">
        <w:rPr>
          <w:lang w:val="en-US"/>
        </w:rPr>
        <w:t>in the model</w:t>
      </w:r>
      <w:r w:rsidR="00CB35CF">
        <w:rPr>
          <w:lang w:val="en-US"/>
        </w:rPr>
        <w:t xml:space="preserve"> for dacomitinib</w:t>
      </w:r>
      <w:r w:rsidR="00134198">
        <w:rPr>
          <w:lang w:val="en-US"/>
        </w:rPr>
        <w:t xml:space="preserve">, </w:t>
      </w:r>
      <w:r w:rsidR="008953E3">
        <w:rPr>
          <w:lang w:val="en-US"/>
        </w:rPr>
        <w:t>because</w:t>
      </w:r>
      <w:r w:rsidR="004D796D">
        <w:rPr>
          <w:lang w:val="en-US"/>
        </w:rPr>
        <w:t xml:space="preserve"> th</w:t>
      </w:r>
      <w:r w:rsidR="008953E3">
        <w:rPr>
          <w:lang w:val="en-US"/>
        </w:rPr>
        <w:t>is</w:t>
      </w:r>
      <w:r w:rsidR="004D796D">
        <w:rPr>
          <w:lang w:val="en-US"/>
        </w:rPr>
        <w:t xml:space="preserve"> appraisal started before the position statement </w:t>
      </w:r>
      <w:r w:rsidR="008953E3">
        <w:rPr>
          <w:lang w:val="en-US"/>
        </w:rPr>
        <w:t>came</w:t>
      </w:r>
      <w:r w:rsidR="004D796D">
        <w:rPr>
          <w:lang w:val="en-US"/>
        </w:rPr>
        <w:t xml:space="preserve"> into effect. </w:t>
      </w:r>
      <w:r w:rsidR="004554C8" w:rsidRPr="004554C8">
        <w:rPr>
          <w:lang w:val="en-US"/>
        </w:rPr>
        <w:t xml:space="preserve">The committee noted that the proportions and subsequent treatments used in the model did not reflect those used in ARCHER 1050 (see section 3.6). </w:t>
      </w:r>
      <w:r w:rsidR="00BE07E9">
        <w:t xml:space="preserve">The </w:t>
      </w:r>
      <w:r w:rsidR="008A2B66">
        <w:rPr>
          <w:lang w:val="en-US"/>
        </w:rPr>
        <w:t>c</w:t>
      </w:r>
      <w:proofErr w:type="spellStart"/>
      <w:r w:rsidR="00BE07E9">
        <w:t>linical</w:t>
      </w:r>
      <w:proofErr w:type="spellEnd"/>
      <w:r w:rsidR="00BE07E9">
        <w:t xml:space="preserve"> </w:t>
      </w:r>
      <w:r w:rsidR="008A2B66">
        <w:rPr>
          <w:lang w:val="en-US"/>
        </w:rPr>
        <w:t>l</w:t>
      </w:r>
      <w:proofErr w:type="spellStart"/>
      <w:r w:rsidR="00BE07E9">
        <w:t>ead</w:t>
      </w:r>
      <w:proofErr w:type="spellEnd"/>
      <w:r w:rsidR="00BE07E9">
        <w:t xml:space="preserve"> for the Cancer Drugs Fund </w:t>
      </w:r>
      <w:r w:rsidR="00BF307A">
        <w:rPr>
          <w:lang w:val="en-US"/>
        </w:rPr>
        <w:t xml:space="preserve">explained </w:t>
      </w:r>
      <w:r w:rsidR="00BE07E9">
        <w:t xml:space="preserve">that </w:t>
      </w:r>
      <w:r w:rsidR="00D3354B">
        <w:t>the proportion</w:t>
      </w:r>
      <w:r w:rsidR="00BF307A">
        <w:rPr>
          <w:lang w:val="en-US"/>
        </w:rPr>
        <w:t>s</w:t>
      </w:r>
      <w:r w:rsidR="00D3354B">
        <w:t xml:space="preserve"> of people </w:t>
      </w:r>
      <w:r w:rsidR="00BF307A">
        <w:rPr>
          <w:lang w:val="en-US"/>
        </w:rPr>
        <w:t>having</w:t>
      </w:r>
      <w:r w:rsidR="00D3354B">
        <w:t xml:space="preserve"> second</w:t>
      </w:r>
      <w:r w:rsidR="00BF307A">
        <w:rPr>
          <w:lang w:val="en-US"/>
        </w:rPr>
        <w:t>-</w:t>
      </w:r>
      <w:r w:rsidR="00D3354B">
        <w:t xml:space="preserve"> and third-line treatments </w:t>
      </w:r>
      <w:r w:rsidR="00925F46">
        <w:rPr>
          <w:lang w:val="en-US"/>
        </w:rPr>
        <w:t xml:space="preserve">were </w:t>
      </w:r>
      <w:r w:rsidR="00D3354B">
        <w:t>high</w:t>
      </w:r>
      <w:r w:rsidR="00BF307A">
        <w:rPr>
          <w:lang w:val="en-US"/>
        </w:rPr>
        <w:t>er</w:t>
      </w:r>
      <w:r w:rsidR="00D3354B">
        <w:t xml:space="preserve"> </w:t>
      </w:r>
      <w:r w:rsidR="00BF307A">
        <w:rPr>
          <w:lang w:val="en-US"/>
        </w:rPr>
        <w:t xml:space="preserve">than </w:t>
      </w:r>
      <w:r w:rsidR="00D3354B">
        <w:t>th</w:t>
      </w:r>
      <w:r w:rsidR="00BF307A">
        <w:rPr>
          <w:lang w:val="en-US"/>
        </w:rPr>
        <w:t>ose seen</w:t>
      </w:r>
      <w:r w:rsidR="00D3354B">
        <w:t xml:space="preserve"> in NHS clinical practice </w:t>
      </w:r>
      <w:r w:rsidR="00BF307A">
        <w:rPr>
          <w:lang w:val="en-US"/>
        </w:rPr>
        <w:t>(</w:t>
      </w:r>
      <w:r w:rsidR="00D3354B">
        <w:t>50</w:t>
      </w:r>
      <w:r w:rsidR="00BF307A">
        <w:rPr>
          <w:lang w:val="en-US"/>
        </w:rPr>
        <w:t xml:space="preserve">% to </w:t>
      </w:r>
      <w:r w:rsidR="00D3354B">
        <w:t xml:space="preserve">60% </w:t>
      </w:r>
      <w:r w:rsidR="00BF307A">
        <w:rPr>
          <w:lang w:val="en-US"/>
        </w:rPr>
        <w:t xml:space="preserve">for second line </w:t>
      </w:r>
      <w:r w:rsidR="00D3354B">
        <w:t>and 25</w:t>
      </w:r>
      <w:r w:rsidR="00BF307A">
        <w:rPr>
          <w:lang w:val="en-US"/>
        </w:rPr>
        <w:t xml:space="preserve">% to </w:t>
      </w:r>
      <w:r w:rsidR="00D3354B">
        <w:t xml:space="preserve">30% </w:t>
      </w:r>
      <w:r w:rsidR="00BF307A">
        <w:rPr>
          <w:lang w:val="en-US"/>
        </w:rPr>
        <w:t xml:space="preserve">for third line). </w:t>
      </w:r>
      <w:r w:rsidR="00DA0A0B">
        <w:rPr>
          <w:lang w:val="en-US"/>
        </w:rPr>
        <w:t>Also</w:t>
      </w:r>
      <w:r w:rsidR="004E250E">
        <w:t xml:space="preserve">, </w:t>
      </w:r>
      <w:r w:rsidR="00D3354B">
        <w:t>o</w:t>
      </w:r>
      <w:r w:rsidR="00D3354B" w:rsidRPr="00D3354B">
        <w:t>simertinib has been used less than would be expected in</w:t>
      </w:r>
      <w:r w:rsidR="00006424">
        <w:rPr>
          <w:lang w:val="en-US"/>
        </w:rPr>
        <w:t xml:space="preserve"> NHS clinical practice in</w:t>
      </w:r>
      <w:r w:rsidR="00D3354B" w:rsidRPr="00D3354B">
        <w:t xml:space="preserve"> England (8</w:t>
      </w:r>
      <w:r w:rsidR="00006424">
        <w:rPr>
          <w:lang w:val="en-US"/>
        </w:rPr>
        <w:t xml:space="preserve">% to </w:t>
      </w:r>
      <w:r w:rsidR="00D3354B" w:rsidRPr="00D3354B">
        <w:t>13%)</w:t>
      </w:r>
      <w:r w:rsidR="00DA0A0B">
        <w:rPr>
          <w:lang w:val="en-US"/>
        </w:rPr>
        <w:t xml:space="preserve">, so the model overestimates its use. </w:t>
      </w:r>
      <w:r w:rsidR="00D3354B">
        <w:t xml:space="preserve">The clinical experts </w:t>
      </w:r>
      <w:r w:rsidR="00DA0A0B">
        <w:rPr>
          <w:lang w:val="en-US"/>
        </w:rPr>
        <w:t xml:space="preserve">agreed </w:t>
      </w:r>
      <w:r w:rsidR="00D3354B">
        <w:t xml:space="preserve">that the proportions </w:t>
      </w:r>
      <w:r w:rsidR="00DA0A0B">
        <w:rPr>
          <w:lang w:val="en-US"/>
        </w:rPr>
        <w:t>of people having</w:t>
      </w:r>
      <w:r w:rsidR="00D3354B">
        <w:t xml:space="preserve"> subsequent treatments</w:t>
      </w:r>
      <w:r w:rsidR="00DA0A0B">
        <w:rPr>
          <w:lang w:val="en-US"/>
        </w:rPr>
        <w:t xml:space="preserve"> in the model</w:t>
      </w:r>
      <w:r w:rsidR="00D3354B">
        <w:t xml:space="preserve"> were too high. The committee understood that the company had used the same proportions for second</w:t>
      </w:r>
      <w:r w:rsidR="00322A22">
        <w:rPr>
          <w:lang w:val="en-US"/>
        </w:rPr>
        <w:t>-</w:t>
      </w:r>
      <w:r w:rsidR="00D3354B">
        <w:t xml:space="preserve"> and third-line treatments </w:t>
      </w:r>
      <w:r w:rsidR="004E250E">
        <w:t>for all 4 tyrosine kinase inhibitors</w:t>
      </w:r>
      <w:r w:rsidR="00C26C7C">
        <w:rPr>
          <w:lang w:val="en-US"/>
        </w:rPr>
        <w:t xml:space="preserve">; so, although the exact </w:t>
      </w:r>
      <w:r w:rsidR="004E250E">
        <w:t>proportions were in</w:t>
      </w:r>
      <w:r w:rsidR="00C26C7C">
        <w:rPr>
          <w:lang w:val="en-US"/>
        </w:rPr>
        <w:t>accurate</w:t>
      </w:r>
      <w:r w:rsidR="004E250E">
        <w:t xml:space="preserve">, </w:t>
      </w:r>
      <w:r w:rsidR="00397CFD">
        <w:t>the costs ap</w:t>
      </w:r>
      <w:r w:rsidR="004E250E">
        <w:t xml:space="preserve">plied to the dacomitinib and comparator treatment arms </w:t>
      </w:r>
      <w:r w:rsidR="00397CFD">
        <w:t xml:space="preserve">were the same. </w:t>
      </w:r>
      <w:r w:rsidR="00A4737F">
        <w:rPr>
          <w:lang w:val="en-US"/>
        </w:rPr>
        <w:t>But t</w:t>
      </w:r>
      <w:r w:rsidR="004E250E">
        <w:t>he committee</w:t>
      </w:r>
      <w:r w:rsidR="00397CFD">
        <w:t xml:space="preserve"> recalled that</w:t>
      </w:r>
      <w:r w:rsidR="00567998">
        <w:t xml:space="preserve"> the model</w:t>
      </w:r>
      <w:r w:rsidR="00567998">
        <w:rPr>
          <w:lang w:val="en-GB"/>
        </w:rPr>
        <w:t xml:space="preserve"> did not </w:t>
      </w:r>
      <w:r w:rsidR="00567998" w:rsidRPr="00567998">
        <w:rPr>
          <w:lang w:val="en-GB"/>
        </w:rPr>
        <w:t xml:space="preserve">capture the clinical benefits of subsequent treatment. </w:t>
      </w:r>
      <w:r w:rsidR="00A4737F">
        <w:rPr>
          <w:lang w:val="en-GB"/>
        </w:rPr>
        <w:t>It</w:t>
      </w:r>
      <w:r w:rsidR="00567998">
        <w:rPr>
          <w:lang w:val="en-GB"/>
        </w:rPr>
        <w:t xml:space="preserve"> concluded that</w:t>
      </w:r>
      <w:r w:rsidR="001A5F01" w:rsidRPr="001A5F01">
        <w:t xml:space="preserve"> </w:t>
      </w:r>
      <w:r w:rsidR="001A5F01">
        <w:rPr>
          <w:lang w:val="en-US"/>
        </w:rPr>
        <w:t xml:space="preserve">the </w:t>
      </w:r>
      <w:r w:rsidR="00A4737F">
        <w:rPr>
          <w:lang w:val="en-US"/>
        </w:rPr>
        <w:t xml:space="preserve">company’s assumptions about </w:t>
      </w:r>
      <w:r w:rsidR="001A5F01" w:rsidRPr="001A5F01">
        <w:rPr>
          <w:lang w:val="en-GB"/>
        </w:rPr>
        <w:t xml:space="preserve">treatment costs </w:t>
      </w:r>
      <w:r w:rsidR="00A4737F">
        <w:rPr>
          <w:lang w:val="en-GB"/>
        </w:rPr>
        <w:t xml:space="preserve">and benefits </w:t>
      </w:r>
      <w:r w:rsidR="001A5F01" w:rsidRPr="001A5F01">
        <w:rPr>
          <w:lang w:val="en-GB"/>
        </w:rPr>
        <w:t xml:space="preserve">in the model </w:t>
      </w:r>
      <w:r w:rsidR="00855B4A">
        <w:rPr>
          <w:lang w:val="en-GB"/>
        </w:rPr>
        <w:t xml:space="preserve">did not reflect the type and proportion of </w:t>
      </w:r>
      <w:r w:rsidR="006D3903">
        <w:rPr>
          <w:lang w:val="en-GB"/>
        </w:rPr>
        <w:t>subsequent treatments received by patients in the trial</w:t>
      </w:r>
      <w:r w:rsidR="001A5F01" w:rsidRPr="001A5F01">
        <w:rPr>
          <w:lang w:val="en-GB"/>
        </w:rPr>
        <w:t>.</w:t>
      </w:r>
      <w:r w:rsidR="00567998">
        <w:rPr>
          <w:lang w:val="en-GB"/>
        </w:rPr>
        <w:t xml:space="preserve"> </w:t>
      </w:r>
    </w:p>
    <w:p w14:paraId="2C4757C3" w14:textId="77777777" w:rsidR="002F7BCF" w:rsidRDefault="002F7BCF" w:rsidP="002F7BCF">
      <w:pPr>
        <w:pStyle w:val="Heading2"/>
      </w:pPr>
      <w:r w:rsidRPr="002F7BCF">
        <w:lastRenderedPageBreak/>
        <w:t>Results of the cost-effectiveness analyses</w:t>
      </w:r>
    </w:p>
    <w:p w14:paraId="2C5FB6FD" w14:textId="48F02C88" w:rsidR="002F7BCF" w:rsidRDefault="002F7BCF" w:rsidP="002F7BCF">
      <w:pPr>
        <w:pStyle w:val="Heading3"/>
      </w:pPr>
      <w:r w:rsidRPr="002F7BCF">
        <w:t xml:space="preserve">The </w:t>
      </w:r>
      <w:r w:rsidR="0036063A">
        <w:t xml:space="preserve">assumptions in the </w:t>
      </w:r>
      <w:r w:rsidRPr="002F7BCF">
        <w:t xml:space="preserve">ERG’s base case </w:t>
      </w:r>
      <w:r w:rsidR="0036063A">
        <w:t>are</w:t>
      </w:r>
      <w:r w:rsidR="0036063A" w:rsidRPr="002F7BCF">
        <w:t xml:space="preserve"> </w:t>
      </w:r>
      <w:r w:rsidRPr="002F7BCF">
        <w:t xml:space="preserve">more appropriate </w:t>
      </w:r>
      <w:r w:rsidR="0036063A">
        <w:t>for decision making</w:t>
      </w:r>
    </w:p>
    <w:p w14:paraId="6D737C63" w14:textId="4FB3E9A4" w:rsidR="002F7BCF" w:rsidRPr="002F7BCF" w:rsidRDefault="002F7BCF" w:rsidP="002F7BCF">
      <w:pPr>
        <w:pStyle w:val="Numberedlevel2text"/>
      </w:pPr>
      <w:r w:rsidRPr="002F7BCF">
        <w:t xml:space="preserve">The ERG's base-case model incorporated </w:t>
      </w:r>
      <w:r w:rsidR="0011188D">
        <w:rPr>
          <w:lang w:val="en-US"/>
        </w:rPr>
        <w:t>the committee’s</w:t>
      </w:r>
      <w:r w:rsidRPr="002F7BCF">
        <w:t xml:space="preserve"> preferred assumptions:</w:t>
      </w:r>
    </w:p>
    <w:p w14:paraId="43DE2407" w14:textId="44172380" w:rsidR="0092310A" w:rsidRDefault="007F3CD0" w:rsidP="002F7BCF">
      <w:pPr>
        <w:pStyle w:val="Bulletindent1"/>
      </w:pPr>
      <w:r>
        <w:t>For progression-free survival</w:t>
      </w:r>
      <w:r w:rsidR="0092310A">
        <w:t>:</w:t>
      </w:r>
    </w:p>
    <w:p w14:paraId="055D3217" w14:textId="40FF7765" w:rsidR="0092310A" w:rsidRDefault="0092310A" w:rsidP="0092310A">
      <w:pPr>
        <w:pStyle w:val="Bulletindent2"/>
      </w:pPr>
      <w:r>
        <w:t xml:space="preserve">using </w:t>
      </w:r>
      <w:r w:rsidR="007F3CD0">
        <w:t xml:space="preserve">the log-normal parametric curve for gefitinib </w:t>
      </w:r>
      <w:r>
        <w:t xml:space="preserve">and </w:t>
      </w:r>
      <w:r w:rsidR="007F3CD0">
        <w:t xml:space="preserve">the fractional polynomial network </w:t>
      </w:r>
      <w:r w:rsidR="002E5353">
        <w:t>meta-analysis (P</w:t>
      </w:r>
      <w:r w:rsidR="00A14BB8">
        <w:t>1</w:t>
      </w:r>
      <w:r w:rsidR="002E5353">
        <w:t>=0.5, P2=1)</w:t>
      </w:r>
      <w:r>
        <w:t xml:space="preserve"> </w:t>
      </w:r>
      <w:r w:rsidR="007F3CD0">
        <w:t xml:space="preserve">for </w:t>
      </w:r>
      <w:r w:rsidR="00A14BB8">
        <w:t>the other comparators</w:t>
      </w:r>
      <w:r w:rsidR="007F3CD0">
        <w:t xml:space="preserve"> </w:t>
      </w:r>
    </w:p>
    <w:p w14:paraId="304AC397" w14:textId="3EF2F18B" w:rsidR="007F3CD0" w:rsidRDefault="0092310A" w:rsidP="00FC6109">
      <w:pPr>
        <w:pStyle w:val="Bulletindent2"/>
      </w:pPr>
      <w:r>
        <w:t>a</w:t>
      </w:r>
      <w:r w:rsidR="007F3CD0">
        <w:t>ssum</w:t>
      </w:r>
      <w:r>
        <w:t>ing</w:t>
      </w:r>
      <w:r w:rsidR="007F3CD0">
        <w:t xml:space="preserve"> progression-free survival</w:t>
      </w:r>
      <w:r w:rsidR="006E41DE">
        <w:t xml:space="preserve"> with afatinib</w:t>
      </w:r>
      <w:r w:rsidR="007F3CD0">
        <w:t xml:space="preserve"> to be equal to the mean progression-free survival of dacomitinib and gefitinib</w:t>
      </w:r>
      <w:r w:rsidR="00E90BD5">
        <w:t xml:space="preserve"> </w:t>
      </w:r>
      <w:r w:rsidR="00597A45">
        <w:t>after 36</w:t>
      </w:r>
      <w:r w:rsidR="007F3CD0">
        <w:t> months</w:t>
      </w:r>
      <w:r w:rsidR="003E7C43">
        <w:t xml:space="preserve"> (see section 3.13)</w:t>
      </w:r>
      <w:r>
        <w:t>.</w:t>
      </w:r>
    </w:p>
    <w:p w14:paraId="56269B1A" w14:textId="77777777" w:rsidR="0092310A" w:rsidRDefault="007F3CD0" w:rsidP="002F7BCF">
      <w:pPr>
        <w:pStyle w:val="Bulletindent1"/>
      </w:pPr>
      <w:r>
        <w:t>For overall survival</w:t>
      </w:r>
      <w:r w:rsidR="0092310A">
        <w:t>:</w:t>
      </w:r>
    </w:p>
    <w:p w14:paraId="5223633B" w14:textId="63443930" w:rsidR="00A14BB8" w:rsidRDefault="0092310A" w:rsidP="0092310A">
      <w:pPr>
        <w:pStyle w:val="Bulletindent2"/>
      </w:pPr>
      <w:r>
        <w:t xml:space="preserve">using </w:t>
      </w:r>
      <w:r w:rsidR="007F3CD0">
        <w:t xml:space="preserve">the log-logistic parametric curve for </w:t>
      </w:r>
      <w:r w:rsidR="002E5353">
        <w:t xml:space="preserve">gefitinib </w:t>
      </w:r>
      <w:r w:rsidR="00B964FB">
        <w:t>and</w:t>
      </w:r>
      <w:r w:rsidR="002E5353">
        <w:t xml:space="preserve"> the results from the fractional polynomial network meta-analysis (</w:t>
      </w:r>
      <w:r w:rsidR="002E5353" w:rsidRPr="002E5353">
        <w:t>P1=0.5</w:t>
      </w:r>
      <w:r w:rsidR="00A14BB8">
        <w:t>, P2=1</w:t>
      </w:r>
      <w:r w:rsidR="002E5353" w:rsidRPr="002E5353">
        <w:t>)</w:t>
      </w:r>
      <w:r w:rsidR="00A14BB8">
        <w:t xml:space="preserve"> for the other comparators</w:t>
      </w:r>
    </w:p>
    <w:p w14:paraId="20E809A5" w14:textId="67CEE737" w:rsidR="007F3CD0" w:rsidRDefault="002E5353" w:rsidP="00FC6109">
      <w:pPr>
        <w:pStyle w:val="Bulletindent2"/>
      </w:pPr>
      <w:r>
        <w:t>assum</w:t>
      </w:r>
      <w:r w:rsidR="008651DA">
        <w:t>ing</w:t>
      </w:r>
      <w:r>
        <w:t xml:space="preserve"> equal efficacy </w:t>
      </w:r>
      <w:r w:rsidR="00664768">
        <w:t xml:space="preserve">for all treatments after </w:t>
      </w:r>
      <w:r>
        <w:t>36 months</w:t>
      </w:r>
      <w:r w:rsidR="003E7C43">
        <w:t xml:space="preserve"> (see section 3.15)</w:t>
      </w:r>
      <w:r>
        <w:t>.</w:t>
      </w:r>
    </w:p>
    <w:p w14:paraId="09877806" w14:textId="31D2FAB5" w:rsidR="00066DBC" w:rsidRDefault="004A0669" w:rsidP="002F7BCF">
      <w:pPr>
        <w:pStyle w:val="Bulletindent1"/>
      </w:pPr>
      <w:r>
        <w:t>Including</w:t>
      </w:r>
      <w:r w:rsidR="00066DBC">
        <w:t xml:space="preserve"> age-related disutilities</w:t>
      </w:r>
      <w:r w:rsidR="003E7C43">
        <w:t xml:space="preserve"> (see section 3.16)</w:t>
      </w:r>
      <w:r>
        <w:t>.</w:t>
      </w:r>
    </w:p>
    <w:p w14:paraId="5888ED31" w14:textId="05E8C0E2" w:rsidR="002F7BCF" w:rsidRDefault="00501E53" w:rsidP="002F7BCF">
      <w:pPr>
        <w:pStyle w:val="Bulletindent1"/>
      </w:pPr>
      <w:r>
        <w:t xml:space="preserve">Using </w:t>
      </w:r>
      <w:r w:rsidR="002F7BCF">
        <w:t xml:space="preserve">utility values </w:t>
      </w:r>
      <w:r>
        <w:t xml:space="preserve">for progressed disease </w:t>
      </w:r>
      <w:r w:rsidR="002F7BCF">
        <w:t>from ARCHER</w:t>
      </w:r>
      <w:r>
        <w:t xml:space="preserve"> </w:t>
      </w:r>
      <w:r w:rsidR="002F7BCF">
        <w:t>1050</w:t>
      </w:r>
      <w:r>
        <w:t xml:space="preserve"> (see section 3.17).</w:t>
      </w:r>
    </w:p>
    <w:p w14:paraId="511AD7F9" w14:textId="4D3C4A62" w:rsidR="002F7BCF" w:rsidRDefault="003632F3" w:rsidP="00FC6109">
      <w:pPr>
        <w:pStyle w:val="Bulletindent1last"/>
      </w:pPr>
      <w:r>
        <w:t>Including</w:t>
      </w:r>
      <w:r w:rsidR="002F7BCF">
        <w:t xml:space="preserve"> </w:t>
      </w:r>
      <w:r w:rsidR="00F100AA">
        <w:t>disutilities</w:t>
      </w:r>
      <w:r w:rsidR="002F7BCF">
        <w:t xml:space="preserve"> associated with adverse events</w:t>
      </w:r>
      <w:r>
        <w:t xml:space="preserve"> (see section 3.18).</w:t>
      </w:r>
    </w:p>
    <w:p w14:paraId="744EEB20" w14:textId="631B30DE" w:rsidR="004E428B" w:rsidRDefault="004E428B" w:rsidP="004E428B">
      <w:pPr>
        <w:pStyle w:val="Bulletindent1"/>
        <w:numPr>
          <w:ilvl w:val="0"/>
          <w:numId w:val="0"/>
        </w:numPr>
        <w:ind w:left="1134"/>
      </w:pPr>
      <w:r w:rsidRPr="004E428B">
        <w:t xml:space="preserve">The committee concluded that the ERG’s base case was more appropriate than the company’s </w:t>
      </w:r>
      <w:r w:rsidR="003C2F2A">
        <w:t>for decision making</w:t>
      </w:r>
      <w:r w:rsidRPr="004E428B">
        <w:t>.</w:t>
      </w:r>
      <w:r w:rsidR="007F3CD0" w:rsidRPr="007F3CD0">
        <w:t xml:space="preserve"> </w:t>
      </w:r>
      <w:r w:rsidR="00307C17">
        <w:t xml:space="preserve">However, it noted that </w:t>
      </w:r>
      <w:r w:rsidR="00694F71">
        <w:t xml:space="preserve">neither the ERG’s nor the company’s base case included accurate health benefits and costs of </w:t>
      </w:r>
      <w:r w:rsidR="00307C17" w:rsidRPr="00307C17">
        <w:t>subsequent therapies</w:t>
      </w:r>
      <w:r w:rsidR="00307C17">
        <w:t xml:space="preserve">. </w:t>
      </w:r>
    </w:p>
    <w:p w14:paraId="1EF2A712" w14:textId="3BF8DB49" w:rsidR="002E5353" w:rsidRDefault="002E5353" w:rsidP="002E5353">
      <w:pPr>
        <w:pStyle w:val="Heading3"/>
      </w:pPr>
      <w:r>
        <w:lastRenderedPageBreak/>
        <w:t>The</w:t>
      </w:r>
      <w:r w:rsidR="009444D7">
        <w:t xml:space="preserve"> most plausible</w:t>
      </w:r>
      <w:r>
        <w:t xml:space="preserve"> cost</w:t>
      </w:r>
      <w:r w:rsidR="009444D7">
        <w:t>-</w:t>
      </w:r>
      <w:r>
        <w:t xml:space="preserve">effectiveness </w:t>
      </w:r>
      <w:r w:rsidR="009444D7">
        <w:t xml:space="preserve">estimates for dacomitinib </w:t>
      </w:r>
      <w:r>
        <w:t xml:space="preserve">are </w:t>
      </w:r>
      <w:r w:rsidR="00E8101B">
        <w:t xml:space="preserve">over </w:t>
      </w:r>
      <w:r>
        <w:t xml:space="preserve">£30,000 per </w:t>
      </w:r>
      <w:r w:rsidR="00225927">
        <w:t>quality-adjusted life year</w:t>
      </w:r>
      <w:r>
        <w:t xml:space="preserve"> gained</w:t>
      </w:r>
    </w:p>
    <w:p w14:paraId="3C5ED658" w14:textId="40A49D69" w:rsidR="002E5353" w:rsidRPr="00704598" w:rsidRDefault="002E5353" w:rsidP="00D832E9">
      <w:pPr>
        <w:pStyle w:val="Numberedlevel2text"/>
      </w:pPr>
      <w:r w:rsidRPr="00704598">
        <w:rPr>
          <w:bCs w:val="0"/>
          <w:iCs w:val="0"/>
          <w:lang w:val="en-GB"/>
        </w:rPr>
        <w:t xml:space="preserve">Because dacomitinib and the comparators have </w:t>
      </w:r>
      <w:r w:rsidR="00587923">
        <w:rPr>
          <w:bCs w:val="0"/>
          <w:iCs w:val="0"/>
          <w:lang w:val="en-GB"/>
        </w:rPr>
        <w:t>commercial arrangements</w:t>
      </w:r>
      <w:r w:rsidRPr="00704598">
        <w:rPr>
          <w:bCs w:val="0"/>
          <w:iCs w:val="0"/>
          <w:lang w:val="en-GB"/>
        </w:rPr>
        <w:t xml:space="preserve">, the </w:t>
      </w:r>
      <w:r w:rsidR="00600537">
        <w:rPr>
          <w:bCs w:val="0"/>
          <w:iCs w:val="0"/>
          <w:lang w:val="en-GB"/>
        </w:rPr>
        <w:t xml:space="preserve">exact incremental cost-effectiveness ratios (ICERs) </w:t>
      </w:r>
      <w:r w:rsidRPr="00704598">
        <w:rPr>
          <w:bCs w:val="0"/>
          <w:iCs w:val="0"/>
          <w:lang w:val="en-GB"/>
        </w:rPr>
        <w:t xml:space="preserve">are confidential and cannot be reported here. </w:t>
      </w:r>
      <w:r w:rsidRPr="00704598">
        <w:rPr>
          <w:lang w:val="en-US"/>
        </w:rPr>
        <w:t xml:space="preserve">The committee noted that the ERG’s base case </w:t>
      </w:r>
      <w:r w:rsidR="00E91233">
        <w:rPr>
          <w:lang w:val="en-US"/>
        </w:rPr>
        <w:t xml:space="preserve">produced a deterministic </w:t>
      </w:r>
      <w:r w:rsidRPr="00704598">
        <w:rPr>
          <w:lang w:val="en-US"/>
        </w:rPr>
        <w:t xml:space="preserve">ICER </w:t>
      </w:r>
      <w:r w:rsidR="00E91233">
        <w:rPr>
          <w:lang w:val="en-US"/>
        </w:rPr>
        <w:t xml:space="preserve">for dacomitinib </w:t>
      </w:r>
      <w:r w:rsidR="00E8101B">
        <w:rPr>
          <w:lang w:val="en-US"/>
        </w:rPr>
        <w:t xml:space="preserve">of </w:t>
      </w:r>
      <w:r w:rsidR="00B51BF6" w:rsidRPr="00704598">
        <w:rPr>
          <w:lang w:val="en-US"/>
        </w:rPr>
        <w:t xml:space="preserve">over £30,000 per QALY gained. The committee </w:t>
      </w:r>
      <w:r w:rsidR="003B1F4A">
        <w:rPr>
          <w:lang w:val="en-US"/>
        </w:rPr>
        <w:t>noted</w:t>
      </w:r>
      <w:r w:rsidR="00B51BF6" w:rsidRPr="00704598">
        <w:rPr>
          <w:lang w:val="en-US"/>
        </w:rPr>
        <w:t xml:space="preserve"> that </w:t>
      </w:r>
      <w:r w:rsidR="00BC1FE4">
        <w:rPr>
          <w:lang w:val="en-US"/>
        </w:rPr>
        <w:t xml:space="preserve">a number of </w:t>
      </w:r>
      <w:r w:rsidR="00B51BF6" w:rsidRPr="00704598">
        <w:rPr>
          <w:lang w:val="en-US"/>
        </w:rPr>
        <w:t>the ERG’s scenario analys</w:t>
      </w:r>
      <w:r w:rsidR="00BC1FE4">
        <w:rPr>
          <w:lang w:val="en-US"/>
        </w:rPr>
        <w:t>e</w:t>
      </w:r>
      <w:r w:rsidR="00B51BF6" w:rsidRPr="00704598">
        <w:rPr>
          <w:lang w:val="en-US"/>
        </w:rPr>
        <w:t xml:space="preserve">s </w:t>
      </w:r>
      <w:r w:rsidR="00BC1FE4">
        <w:rPr>
          <w:lang w:val="en-US"/>
        </w:rPr>
        <w:t>produced ICERs that were lower than the base-case estimate (specifically,</w:t>
      </w:r>
      <w:r w:rsidR="00E90BD5">
        <w:rPr>
          <w:lang w:val="en-US"/>
        </w:rPr>
        <w:t xml:space="preserve"> assuming</w:t>
      </w:r>
      <w:r w:rsidR="00BC1FE4">
        <w:rPr>
          <w:lang w:val="en-US"/>
        </w:rPr>
        <w:t xml:space="preserve"> </w:t>
      </w:r>
      <w:r w:rsidR="00B51BF6" w:rsidRPr="00704598">
        <w:rPr>
          <w:lang w:val="en-US"/>
        </w:rPr>
        <w:t xml:space="preserve">the progression-free survival of afatinib to be equal to the mean progression-free survival of dacomitinib and gefitinib </w:t>
      </w:r>
      <w:r w:rsidR="003B606C">
        <w:rPr>
          <w:lang w:val="en-US"/>
        </w:rPr>
        <w:t>after 55 months</w:t>
      </w:r>
      <w:r w:rsidR="00BC1FE4">
        <w:rPr>
          <w:lang w:val="en-US"/>
        </w:rPr>
        <w:t xml:space="preserve">, assuming equal overall survival </w:t>
      </w:r>
      <w:r w:rsidR="003B606C">
        <w:rPr>
          <w:lang w:val="en-US"/>
        </w:rPr>
        <w:t>after</w:t>
      </w:r>
      <w:r w:rsidR="00B51BF6" w:rsidRPr="00704598">
        <w:rPr>
          <w:lang w:val="en-US"/>
        </w:rPr>
        <w:t xml:space="preserve"> 48 </w:t>
      </w:r>
      <w:r w:rsidR="003B606C">
        <w:rPr>
          <w:lang w:val="en-US"/>
        </w:rPr>
        <w:t xml:space="preserve">and 60 </w:t>
      </w:r>
      <w:r w:rsidR="00B51BF6" w:rsidRPr="00704598">
        <w:rPr>
          <w:lang w:val="en-US"/>
        </w:rPr>
        <w:t>months</w:t>
      </w:r>
      <w:r w:rsidR="00BC1FE4">
        <w:rPr>
          <w:lang w:val="en-US"/>
        </w:rPr>
        <w:t>,</w:t>
      </w:r>
      <w:r w:rsidR="00B51BF6" w:rsidRPr="00704598">
        <w:rPr>
          <w:lang w:val="en-US"/>
        </w:rPr>
        <w:t xml:space="preserve"> and</w:t>
      </w:r>
      <w:r w:rsidR="00BC1FE4">
        <w:rPr>
          <w:lang w:val="en-US"/>
        </w:rPr>
        <w:t xml:space="preserve"> assuming</w:t>
      </w:r>
      <w:r w:rsidR="00B51BF6" w:rsidRPr="00704598">
        <w:rPr>
          <w:lang w:val="en-US"/>
        </w:rPr>
        <w:t xml:space="preserve"> equivalent post-progression </w:t>
      </w:r>
      <w:r w:rsidR="00BC1FE4">
        <w:rPr>
          <w:lang w:val="en-US"/>
        </w:rPr>
        <w:t>for all treatments</w:t>
      </w:r>
      <w:r w:rsidR="00DA6848">
        <w:rPr>
          <w:lang w:val="en-US"/>
        </w:rPr>
        <w:t xml:space="preserve">). But the committee noted that in all these scenario analyses, the ICER for dacomitinib was still over </w:t>
      </w:r>
      <w:r w:rsidR="00704598" w:rsidRPr="00704598">
        <w:rPr>
          <w:lang w:val="en-US"/>
        </w:rPr>
        <w:t>£30,000 per QALY gained.</w:t>
      </w:r>
    </w:p>
    <w:p w14:paraId="0AE35119" w14:textId="06378FA1" w:rsidR="00882274" w:rsidRDefault="00882274" w:rsidP="00215D2C">
      <w:pPr>
        <w:pStyle w:val="Heading2"/>
      </w:pPr>
      <w:r>
        <w:t xml:space="preserve">End of </w:t>
      </w:r>
      <w:r w:rsidR="008C4CE3">
        <w:t>l</w:t>
      </w:r>
      <w:r>
        <w:t>ife</w:t>
      </w:r>
    </w:p>
    <w:p w14:paraId="78B5C103" w14:textId="3FEF1EE1" w:rsidR="00E74EFF" w:rsidRPr="0033001F" w:rsidRDefault="00E74EFF" w:rsidP="00FC6109">
      <w:pPr>
        <w:pStyle w:val="Heading3"/>
      </w:pPr>
      <w:r>
        <w:rPr>
          <w:lang w:val="en-US"/>
        </w:rPr>
        <w:t>Dacomitinib does not meet the end-of-life criteria</w:t>
      </w:r>
    </w:p>
    <w:p w14:paraId="72D0A717" w14:textId="2398C773" w:rsidR="00882274" w:rsidRPr="00882274" w:rsidRDefault="00307C17" w:rsidP="00882274">
      <w:pPr>
        <w:pStyle w:val="Numberedlevel2text"/>
      </w:pPr>
      <w:r w:rsidRPr="00872F2F">
        <w:t>The committee</w:t>
      </w:r>
      <w:r>
        <w:t xml:space="preserve"> considered the </w:t>
      </w:r>
      <w:r w:rsidRPr="00611D94">
        <w:t>advice</w:t>
      </w:r>
      <w:r>
        <w:t xml:space="preserve"> about life-extending treatments for people with a short life expectancy in NICE’s </w:t>
      </w:r>
      <w:hyperlink r:id="rId18" w:history="1">
        <w:r>
          <w:rPr>
            <w:rStyle w:val="Hyperlink"/>
          </w:rPr>
          <w:t>Cancer Drugs Fund technology appraisal process and methods</w:t>
        </w:r>
      </w:hyperlink>
      <w:r>
        <w:t xml:space="preserve">. </w:t>
      </w:r>
      <w:r>
        <w:rPr>
          <w:lang w:val="en-GB"/>
        </w:rPr>
        <w:t xml:space="preserve">The company submission stated that dacomitinib does not meet the end-of-life criteria. </w:t>
      </w:r>
      <w:r>
        <w:t xml:space="preserve">The committee </w:t>
      </w:r>
      <w:r>
        <w:rPr>
          <w:lang w:val="en-GB"/>
        </w:rPr>
        <w:t xml:space="preserve">considered the clinical evidence and agreed that </w:t>
      </w:r>
      <w:r>
        <w:t>life expectanc</w:t>
      </w:r>
      <w:r>
        <w:rPr>
          <w:lang w:val="en-GB"/>
        </w:rPr>
        <w:t>y for people with</w:t>
      </w:r>
      <w:r w:rsidR="00304A5C">
        <w:rPr>
          <w:lang w:val="en-GB"/>
        </w:rPr>
        <w:t xml:space="preserve"> untreated </w:t>
      </w:r>
      <w:r w:rsidR="00A57C2C" w:rsidRPr="00A57C2C">
        <w:rPr>
          <w:lang w:val="en-GB"/>
        </w:rPr>
        <w:t xml:space="preserve">locally advanced or metastatic </w:t>
      </w:r>
      <w:r w:rsidR="006E41DE">
        <w:rPr>
          <w:lang w:val="en-GB"/>
        </w:rPr>
        <w:t>EGFR</w:t>
      </w:r>
      <w:r w:rsidR="007E339B">
        <w:rPr>
          <w:lang w:val="en-GB"/>
        </w:rPr>
        <w:t xml:space="preserve"> </w:t>
      </w:r>
      <w:r w:rsidR="009410D0">
        <w:rPr>
          <w:lang w:val="en-GB"/>
        </w:rPr>
        <w:t>mutation</w:t>
      </w:r>
      <w:r w:rsidR="006E41DE">
        <w:rPr>
          <w:lang w:val="en-GB"/>
        </w:rPr>
        <w:t xml:space="preserve">-positive </w:t>
      </w:r>
      <w:r w:rsidR="00A57C2C" w:rsidRPr="00A57C2C">
        <w:rPr>
          <w:lang w:val="en-GB"/>
        </w:rPr>
        <w:t xml:space="preserve">NSCLC </w:t>
      </w:r>
      <w:r>
        <w:rPr>
          <w:lang w:val="en-GB"/>
        </w:rPr>
        <w:t>having standard care</w:t>
      </w:r>
      <w:r>
        <w:t xml:space="preserve"> </w:t>
      </w:r>
      <w:r>
        <w:rPr>
          <w:lang w:val="en-GB"/>
        </w:rPr>
        <w:t>is more than</w:t>
      </w:r>
      <w:r>
        <w:t xml:space="preserve"> 2</w:t>
      </w:r>
      <w:r>
        <w:rPr>
          <w:lang w:val="en-GB"/>
        </w:rPr>
        <w:t> </w:t>
      </w:r>
      <w:r>
        <w:t>years</w:t>
      </w:r>
      <w:r w:rsidR="001D5BAB">
        <w:rPr>
          <w:lang w:val="en-US"/>
        </w:rPr>
        <w:t>: i</w:t>
      </w:r>
      <w:r w:rsidR="001D5BAB" w:rsidRPr="001D5BAB">
        <w:rPr>
          <w:lang w:val="en-GB"/>
        </w:rPr>
        <w:t xml:space="preserve">n ARCHER 1050, the median </w:t>
      </w:r>
      <w:r w:rsidR="00E1039B">
        <w:rPr>
          <w:lang w:val="en-GB"/>
        </w:rPr>
        <w:t>overall survival</w:t>
      </w:r>
      <w:r w:rsidR="00E1039B" w:rsidRPr="001D5BAB">
        <w:rPr>
          <w:lang w:val="en-GB"/>
        </w:rPr>
        <w:t xml:space="preserve"> </w:t>
      </w:r>
      <w:r w:rsidR="003A1CEF">
        <w:rPr>
          <w:lang w:val="en-GB"/>
        </w:rPr>
        <w:t>with</w:t>
      </w:r>
      <w:r w:rsidR="003A1CEF" w:rsidRPr="001D5BAB">
        <w:rPr>
          <w:lang w:val="en-GB"/>
        </w:rPr>
        <w:t xml:space="preserve"> </w:t>
      </w:r>
      <w:r w:rsidR="001D5BAB" w:rsidRPr="001D5BAB">
        <w:rPr>
          <w:lang w:val="en-GB"/>
        </w:rPr>
        <w:t>gefitinib w</w:t>
      </w:r>
      <w:r w:rsidR="003A1CEF">
        <w:rPr>
          <w:lang w:val="en-GB"/>
        </w:rPr>
        <w:t>as</w:t>
      </w:r>
      <w:r w:rsidR="001D5BAB" w:rsidRPr="001D5BAB">
        <w:rPr>
          <w:lang w:val="en-GB"/>
        </w:rPr>
        <w:t xml:space="preserve"> 26.8 months (95% CI 23.7</w:t>
      </w:r>
      <w:r w:rsidR="00762D4E">
        <w:rPr>
          <w:lang w:val="en-GB"/>
        </w:rPr>
        <w:t xml:space="preserve"> to </w:t>
      </w:r>
      <w:r w:rsidR="001D5BAB" w:rsidRPr="001D5BAB">
        <w:rPr>
          <w:lang w:val="en-GB"/>
        </w:rPr>
        <w:t>32.1).</w:t>
      </w:r>
      <w:r w:rsidR="001D5BAB">
        <w:rPr>
          <w:lang w:val="en-GB"/>
        </w:rPr>
        <w:t xml:space="preserve"> </w:t>
      </w:r>
      <w:r>
        <w:t xml:space="preserve">The committee </w:t>
      </w:r>
      <w:r>
        <w:rPr>
          <w:lang w:val="en-GB"/>
        </w:rPr>
        <w:t xml:space="preserve">therefore </w:t>
      </w:r>
      <w:r>
        <w:t xml:space="preserve">concluded that </w:t>
      </w:r>
      <w:r>
        <w:rPr>
          <w:lang w:val="en-GB"/>
        </w:rPr>
        <w:t>dacomitinib</w:t>
      </w:r>
      <w:r>
        <w:t xml:space="preserve"> did not meet </w:t>
      </w:r>
      <w:r>
        <w:rPr>
          <w:lang w:val="en-GB"/>
        </w:rPr>
        <w:t xml:space="preserve">the </w:t>
      </w:r>
      <w:r>
        <w:t>end-of-life criteria</w:t>
      </w:r>
      <w:r w:rsidR="0033001F">
        <w:rPr>
          <w:lang w:val="en-US"/>
        </w:rPr>
        <w:t xml:space="preserve"> in this indication</w:t>
      </w:r>
      <w:r>
        <w:rPr>
          <w:lang w:val="en-GB"/>
        </w:rPr>
        <w:t>.</w:t>
      </w:r>
    </w:p>
    <w:p w14:paraId="368A419F" w14:textId="24A85DF7" w:rsidR="00215D2C" w:rsidRDefault="00215D2C" w:rsidP="00215D2C">
      <w:pPr>
        <w:pStyle w:val="Heading2"/>
      </w:pPr>
      <w:r w:rsidRPr="00215D2C">
        <w:lastRenderedPageBreak/>
        <w:t>Innovation</w:t>
      </w:r>
    </w:p>
    <w:p w14:paraId="59197031" w14:textId="0716AC5B" w:rsidR="00215D2C" w:rsidRDefault="00215D2C" w:rsidP="00215D2C">
      <w:pPr>
        <w:pStyle w:val="Heading3"/>
        <w:rPr>
          <w:lang w:val="en-US"/>
        </w:rPr>
      </w:pPr>
      <w:r w:rsidRPr="00215D2C">
        <w:rPr>
          <w:lang w:val="en-US"/>
        </w:rPr>
        <w:t xml:space="preserve">The </w:t>
      </w:r>
      <w:r w:rsidR="00BC015B">
        <w:rPr>
          <w:lang w:val="en-US"/>
        </w:rPr>
        <w:t xml:space="preserve">model adequately captures the </w:t>
      </w:r>
      <w:r w:rsidRPr="00215D2C">
        <w:rPr>
          <w:lang w:val="en-US"/>
        </w:rPr>
        <w:t xml:space="preserve">benefits of </w:t>
      </w:r>
      <w:r>
        <w:rPr>
          <w:lang w:val="en-US"/>
        </w:rPr>
        <w:t>dacomitinib</w:t>
      </w:r>
    </w:p>
    <w:p w14:paraId="492E022C" w14:textId="4299FC8E" w:rsidR="00215D2C" w:rsidRPr="00307C17" w:rsidRDefault="00215D2C" w:rsidP="00215D2C">
      <w:pPr>
        <w:pStyle w:val="Numberedlevel2text"/>
      </w:pPr>
      <w:r w:rsidRPr="00215D2C">
        <w:t xml:space="preserve">The company considered </w:t>
      </w:r>
      <w:r w:rsidR="006D7BC6">
        <w:rPr>
          <w:lang w:val="en-GB"/>
        </w:rPr>
        <w:t xml:space="preserve">dacomitinib </w:t>
      </w:r>
      <w:r w:rsidRPr="00215D2C">
        <w:t>to be innovative</w:t>
      </w:r>
      <w:r w:rsidR="006E71E6">
        <w:rPr>
          <w:lang w:val="en-US"/>
        </w:rPr>
        <w:t xml:space="preserve">, highlighting </w:t>
      </w:r>
      <w:r w:rsidR="006D7BC6">
        <w:rPr>
          <w:lang w:val="en-GB"/>
        </w:rPr>
        <w:t xml:space="preserve">that it improves survival compared with gefitinib erlotinib and afatinib. </w:t>
      </w:r>
      <w:r w:rsidR="006D7BC6" w:rsidRPr="006D7BC6">
        <w:rPr>
          <w:lang w:val="en-GB"/>
        </w:rPr>
        <w:t xml:space="preserve">The </w:t>
      </w:r>
      <w:r w:rsidR="006D7BC6">
        <w:rPr>
          <w:lang w:val="en-GB"/>
        </w:rPr>
        <w:t xml:space="preserve">clinical experts </w:t>
      </w:r>
      <w:r w:rsidR="006D7BC6" w:rsidRPr="006D7BC6">
        <w:rPr>
          <w:lang w:val="en-GB"/>
        </w:rPr>
        <w:t xml:space="preserve">agreed that dacomitinib is an effective second-generation </w:t>
      </w:r>
      <w:r w:rsidR="006D7BC6">
        <w:rPr>
          <w:lang w:val="en-GB"/>
        </w:rPr>
        <w:t xml:space="preserve">tyrosine kinase inhibitor and that </w:t>
      </w:r>
      <w:r w:rsidR="006E71E6">
        <w:rPr>
          <w:lang w:val="en-GB"/>
        </w:rPr>
        <w:t>people</w:t>
      </w:r>
      <w:r w:rsidR="006D7BC6">
        <w:rPr>
          <w:lang w:val="en-GB"/>
        </w:rPr>
        <w:t xml:space="preserve"> would welcome additional treatment options</w:t>
      </w:r>
      <w:r w:rsidR="006E71E6">
        <w:rPr>
          <w:lang w:val="en-GB"/>
        </w:rPr>
        <w:t xml:space="preserve">. </w:t>
      </w:r>
      <w:r w:rsidRPr="00215D2C">
        <w:t>However, the</w:t>
      </w:r>
      <w:r w:rsidR="006E71E6">
        <w:rPr>
          <w:lang w:val="en-US"/>
        </w:rPr>
        <w:t xml:space="preserve">y </w:t>
      </w:r>
      <w:r w:rsidR="006D7BC6">
        <w:rPr>
          <w:lang w:val="en-GB"/>
        </w:rPr>
        <w:t xml:space="preserve">also highlighted that there is no evidence to support dacomitinib’s use </w:t>
      </w:r>
      <w:r w:rsidR="006E71E6">
        <w:rPr>
          <w:lang w:val="en-GB"/>
        </w:rPr>
        <w:t>in</w:t>
      </w:r>
      <w:r w:rsidR="006D7BC6">
        <w:rPr>
          <w:lang w:val="en-GB"/>
        </w:rPr>
        <w:t xml:space="preserve"> patients with brain metastases </w:t>
      </w:r>
      <w:r w:rsidR="006E71E6">
        <w:rPr>
          <w:lang w:val="en-GB"/>
        </w:rPr>
        <w:t xml:space="preserve">because </w:t>
      </w:r>
      <w:r w:rsidR="006D7BC6">
        <w:rPr>
          <w:lang w:val="en-GB"/>
        </w:rPr>
        <w:t xml:space="preserve">they were excluded from ARCHER 1050. </w:t>
      </w:r>
      <w:r w:rsidR="00212961" w:rsidRPr="00212961">
        <w:rPr>
          <w:lang w:val="en-GB"/>
        </w:rPr>
        <w:t>The committee concluded that it had not been presented with any additional evidence of benefits that were not captured in the measurement of the QALYs and the resulting cost-effectiveness estimates</w:t>
      </w:r>
      <w:r w:rsidR="00212961">
        <w:rPr>
          <w:lang w:val="en-GB"/>
        </w:rPr>
        <w:t>.</w:t>
      </w:r>
    </w:p>
    <w:p w14:paraId="49163291" w14:textId="764284AA" w:rsidR="00307C17" w:rsidRPr="00307C17" w:rsidRDefault="00307C17" w:rsidP="00307C17">
      <w:pPr>
        <w:pStyle w:val="Heading2"/>
      </w:pPr>
      <w:r w:rsidRPr="00307C17">
        <w:t>Routine NHS use</w:t>
      </w:r>
    </w:p>
    <w:p w14:paraId="70E86411" w14:textId="796D676A" w:rsidR="00307C17" w:rsidRDefault="00307C17" w:rsidP="00307C17">
      <w:pPr>
        <w:pStyle w:val="Heading3"/>
      </w:pPr>
      <w:r>
        <w:t xml:space="preserve">Dacomitinib </w:t>
      </w:r>
      <w:r w:rsidRPr="00307C17">
        <w:t xml:space="preserve">is not recommended for </w:t>
      </w:r>
      <w:r w:rsidR="009D6E90">
        <w:t xml:space="preserve">routine use in the NHS for </w:t>
      </w:r>
      <w:r w:rsidR="00304A5C">
        <w:t xml:space="preserve">untreated </w:t>
      </w:r>
      <w:r w:rsidR="009410D0" w:rsidRPr="009410D0">
        <w:t xml:space="preserve">locally advanced or metastatic </w:t>
      </w:r>
      <w:r w:rsidR="00C206FA">
        <w:t>E</w:t>
      </w:r>
      <w:r w:rsidR="00C206FA" w:rsidRPr="009410D0">
        <w:t xml:space="preserve">GFR mutation-positive </w:t>
      </w:r>
      <w:r w:rsidR="009410D0" w:rsidRPr="009410D0">
        <w:t>NSCLC</w:t>
      </w:r>
      <w:r w:rsidR="009410D0">
        <w:t xml:space="preserve"> in a</w:t>
      </w:r>
      <w:r w:rsidR="009410D0" w:rsidRPr="009410D0">
        <w:t xml:space="preserve">dults </w:t>
      </w:r>
    </w:p>
    <w:p w14:paraId="687929BC" w14:textId="3E2E2D81" w:rsidR="00307C17" w:rsidRPr="00307C17" w:rsidRDefault="009D6E90" w:rsidP="00D832E9">
      <w:pPr>
        <w:pStyle w:val="Numberedlevel2text"/>
      </w:pPr>
      <w:r>
        <w:rPr>
          <w:lang w:val="en-US"/>
        </w:rPr>
        <w:t>Having</w:t>
      </w:r>
      <w:r w:rsidR="00307C17" w:rsidRPr="00307C17">
        <w:t xml:space="preserve"> considered all the available evidence for </w:t>
      </w:r>
      <w:r w:rsidR="00307C17" w:rsidRPr="00307C17">
        <w:rPr>
          <w:lang w:val="en-GB"/>
        </w:rPr>
        <w:t>dacomitinib</w:t>
      </w:r>
      <w:r>
        <w:rPr>
          <w:lang w:val="en-GB"/>
        </w:rPr>
        <w:t>, the committee</w:t>
      </w:r>
      <w:r w:rsidR="00307C17" w:rsidRPr="00307C17">
        <w:t xml:space="preserve"> concluded that </w:t>
      </w:r>
      <w:r w:rsidR="00307C17" w:rsidRPr="00307C17">
        <w:rPr>
          <w:lang w:val="en-GB"/>
        </w:rPr>
        <w:t xml:space="preserve">dacomitinib </w:t>
      </w:r>
      <w:r w:rsidR="00307C17" w:rsidRPr="00307C17">
        <w:t>was not a cost-effective use of NHS resources</w:t>
      </w:r>
      <w:r w:rsidR="008029E3" w:rsidRPr="008029E3">
        <w:t xml:space="preserve"> for untreated </w:t>
      </w:r>
      <w:r w:rsidR="008B562E" w:rsidRPr="0025214E">
        <w:t>locally advanced or metastatic</w:t>
      </w:r>
      <w:r w:rsidR="008B562E">
        <w:rPr>
          <w:lang w:val="en-GB"/>
        </w:rPr>
        <w:t xml:space="preserve"> </w:t>
      </w:r>
      <w:r w:rsidR="009410D0">
        <w:rPr>
          <w:lang w:val="en-GB"/>
        </w:rPr>
        <w:t xml:space="preserve">EGFR </w:t>
      </w:r>
      <w:r w:rsidR="00E01EFC">
        <w:rPr>
          <w:lang w:val="en-GB"/>
        </w:rPr>
        <w:t xml:space="preserve">mutation-positive </w:t>
      </w:r>
      <w:r w:rsidR="006E71E6">
        <w:rPr>
          <w:lang w:val="en-US"/>
        </w:rPr>
        <w:t>NSCLC</w:t>
      </w:r>
      <w:r w:rsidR="00134198">
        <w:rPr>
          <w:lang w:val="en-US"/>
        </w:rPr>
        <w:t xml:space="preserve">. </w:t>
      </w:r>
    </w:p>
    <w:p w14:paraId="3BCE896F" w14:textId="155EAAD2" w:rsidR="004E428B" w:rsidRDefault="004E428B" w:rsidP="004E428B">
      <w:pPr>
        <w:pStyle w:val="Heading2"/>
      </w:pPr>
      <w:r>
        <w:t>Cancer Drugs Fund</w:t>
      </w:r>
    </w:p>
    <w:p w14:paraId="6BCBEFDC" w14:textId="24DD7DE8" w:rsidR="00863CE0" w:rsidRPr="00863CE0" w:rsidRDefault="00863CE0" w:rsidP="00863CE0">
      <w:pPr>
        <w:pStyle w:val="Heading3"/>
        <w:rPr>
          <w:lang w:val="en-US"/>
        </w:rPr>
      </w:pPr>
      <w:r w:rsidRPr="00863CE0">
        <w:rPr>
          <w:lang w:val="en-US"/>
        </w:rPr>
        <w:t>Dacomitinib is not recommended for use in the Cancer Drugs Fund</w:t>
      </w:r>
    </w:p>
    <w:p w14:paraId="1781E70F" w14:textId="0D5C919D" w:rsidR="004E428B" w:rsidRPr="00215D2C" w:rsidRDefault="004E428B" w:rsidP="004E428B">
      <w:pPr>
        <w:pStyle w:val="Numberedlevel2text"/>
      </w:pPr>
      <w:r w:rsidRPr="004E428B">
        <w:t xml:space="preserve">Having concluded that dacomitinib is not recommended for routine use, the committee then considered if it could be recommended for </w:t>
      </w:r>
      <w:r w:rsidR="009D6E90">
        <w:rPr>
          <w:lang w:val="en-US"/>
        </w:rPr>
        <w:t xml:space="preserve">use </w:t>
      </w:r>
      <w:r w:rsidRPr="004E428B">
        <w:t xml:space="preserve">within the Cancer Drugs Fund. The company did not express an interest in dacomitinib being considered for funding through the Cancer Drugs Fund. The committee recognised that the clinical data from ARCHER 1050 was relatively mature so there was little uncertainty that would be resolved through further data collection. The committee also noted that </w:t>
      </w:r>
      <w:r>
        <w:rPr>
          <w:lang w:val="en-GB"/>
        </w:rPr>
        <w:t xml:space="preserve">when </w:t>
      </w:r>
      <w:r w:rsidR="009D6E90">
        <w:rPr>
          <w:lang w:val="en-GB"/>
        </w:rPr>
        <w:t xml:space="preserve">taking </w:t>
      </w:r>
      <w:r w:rsidR="009D6E90">
        <w:rPr>
          <w:lang w:val="en-GB"/>
        </w:rPr>
        <w:lastRenderedPageBreak/>
        <w:t xml:space="preserve">into account </w:t>
      </w:r>
      <w:r>
        <w:rPr>
          <w:lang w:val="en-GB"/>
        </w:rPr>
        <w:t>the commercial arrangements for dacomitinib and the comparators</w:t>
      </w:r>
      <w:r w:rsidR="009D6E90">
        <w:rPr>
          <w:lang w:val="en-GB"/>
        </w:rPr>
        <w:t>, all the most plausible ICERs were</w:t>
      </w:r>
      <w:r>
        <w:rPr>
          <w:lang w:val="en-GB"/>
        </w:rPr>
        <w:t xml:space="preserve"> </w:t>
      </w:r>
      <w:r w:rsidR="009D6E90">
        <w:rPr>
          <w:lang w:val="en-GB"/>
        </w:rPr>
        <w:t>over</w:t>
      </w:r>
      <w:r w:rsidRPr="004E428B">
        <w:t xml:space="preserve"> £30,000 per QALY gained. Given that dacomitinib does not meet the end-of-life criteria, the committee concluded that dacomitinib does not have plausible potential to be cost</w:t>
      </w:r>
      <w:r w:rsidR="009D6E90">
        <w:rPr>
          <w:lang w:val="en-US"/>
        </w:rPr>
        <w:t xml:space="preserve"> </w:t>
      </w:r>
      <w:r w:rsidRPr="004E428B">
        <w:t xml:space="preserve">effective at </w:t>
      </w:r>
      <w:r w:rsidR="009D6E90">
        <w:rPr>
          <w:lang w:val="en-US"/>
        </w:rPr>
        <w:t>its current</w:t>
      </w:r>
      <w:r w:rsidRPr="004E428B">
        <w:t xml:space="preserve"> price, and so could not be recommended for use within the Cancer Drugs Fund</w:t>
      </w:r>
      <w:r>
        <w:rPr>
          <w:lang w:val="en-GB"/>
        </w:rPr>
        <w:t>.</w:t>
      </w:r>
    </w:p>
    <w:p w14:paraId="011957AC" w14:textId="334AD933" w:rsidR="00215D2C" w:rsidRDefault="00215D2C" w:rsidP="00215D2C">
      <w:pPr>
        <w:pStyle w:val="Heading2"/>
      </w:pPr>
      <w:r w:rsidRPr="00215D2C">
        <w:t xml:space="preserve">Other </w:t>
      </w:r>
      <w:r w:rsidR="00636B18">
        <w:t>factors</w:t>
      </w:r>
    </w:p>
    <w:p w14:paraId="278C141B" w14:textId="514B8738" w:rsidR="00636B18" w:rsidRPr="00215D2C" w:rsidRDefault="00215D2C" w:rsidP="00215D2C">
      <w:pPr>
        <w:pStyle w:val="Numberedlevel2text"/>
      </w:pPr>
      <w:r w:rsidRPr="00215D2C">
        <w:t>No equality or social value judgement issues were identified</w:t>
      </w:r>
    </w:p>
    <w:p w14:paraId="6FFA73EB" w14:textId="77777777" w:rsidR="000F2D8A" w:rsidRPr="000F2D8A" w:rsidRDefault="000F2D8A" w:rsidP="00887068">
      <w:pPr>
        <w:pStyle w:val="Numberedheading1"/>
      </w:pPr>
      <w:r w:rsidRPr="000F2D8A">
        <w:rPr>
          <w:noProof/>
        </w:rPr>
        <w:t>Proposed date</w:t>
      </w:r>
      <w:r w:rsidRPr="000F2D8A">
        <w:t xml:space="preserve"> for review of guidance</w:t>
      </w:r>
    </w:p>
    <w:p w14:paraId="763DEAB7" w14:textId="6524E5E2" w:rsidR="00C67912" w:rsidRDefault="0017090E" w:rsidP="00887068">
      <w:pPr>
        <w:pStyle w:val="Numberedlevel2text"/>
      </w:pPr>
      <w:r>
        <w:t xml:space="preserve">NICE proposes that the guidance on this technology </w:t>
      </w:r>
      <w:r w:rsidRPr="000F2D8A">
        <w:t xml:space="preserve">is considered for review </w:t>
      </w:r>
      <w:r w:rsidR="006B6B5F">
        <w:t xml:space="preserve">by the </w:t>
      </w:r>
      <w:r w:rsidR="000A2EAA">
        <w:rPr>
          <w:lang w:val="en-GB"/>
        </w:rPr>
        <w:t>g</w:t>
      </w:r>
      <w:r w:rsidR="006B6B5F">
        <w:t xml:space="preserve">uidance </w:t>
      </w:r>
      <w:r w:rsidR="000A2EAA">
        <w:rPr>
          <w:lang w:val="en-GB"/>
        </w:rPr>
        <w:t>e</w:t>
      </w:r>
      <w:r w:rsidR="006B6B5F">
        <w:t>xec</w:t>
      </w:r>
      <w:r w:rsidR="006B6B5F" w:rsidRPr="00D979FC">
        <w:t>uti</w:t>
      </w:r>
      <w:r w:rsidR="006B6B5F">
        <w:t>ve</w:t>
      </w:r>
      <w:r w:rsidR="0049573F">
        <w:rPr>
          <w:lang w:val="en-GB"/>
        </w:rPr>
        <w:t xml:space="preserve"> 3</w:t>
      </w:r>
      <w:r w:rsidR="00102F67">
        <w:rPr>
          <w:lang w:val="en-GB"/>
        </w:rPr>
        <w:t> </w:t>
      </w:r>
      <w:r w:rsidR="0049573F">
        <w:rPr>
          <w:lang w:val="en-GB"/>
        </w:rPr>
        <w:t>years after publication of the guidance</w:t>
      </w:r>
      <w:r w:rsidRPr="000F2D8A">
        <w:t>.</w:t>
      </w:r>
      <w:r w:rsidR="00215D2C">
        <w:rPr>
          <w:lang w:val="en-GB"/>
        </w:rPr>
        <w:t xml:space="preserve"> </w:t>
      </w:r>
      <w:r>
        <w:t>NICE</w:t>
      </w:r>
      <w:r w:rsidRPr="000F2D8A">
        <w:t xml:space="preserve"> welcome</w:t>
      </w:r>
      <w:r w:rsidR="00F871F6">
        <w:t>s</w:t>
      </w:r>
      <w:r w:rsidRPr="000F2D8A">
        <w:t xml:space="preserve"> comment on this proposed date. </w:t>
      </w:r>
      <w:r w:rsidR="000F2D8A" w:rsidRPr="000F2D8A">
        <w:t xml:space="preserve">The </w:t>
      </w:r>
      <w:r w:rsidR="000A2EAA">
        <w:rPr>
          <w:lang w:val="en-GB"/>
        </w:rPr>
        <w:t>g</w:t>
      </w:r>
      <w:r w:rsidR="000F2D8A" w:rsidRPr="000F2D8A">
        <w:t xml:space="preserve">uidance </w:t>
      </w:r>
      <w:r w:rsidR="000A2EAA">
        <w:rPr>
          <w:lang w:val="en-GB"/>
        </w:rPr>
        <w:t>e</w:t>
      </w:r>
      <w:r w:rsidR="000F2D8A" w:rsidRPr="000F2D8A">
        <w:t xml:space="preserve">xecutive will </w:t>
      </w:r>
      <w:r w:rsidR="006128B7">
        <w:t xml:space="preserve">decide </w:t>
      </w:r>
      <w:r w:rsidR="000F2D8A" w:rsidRPr="000F2D8A">
        <w:t>whether the technology should be reviewed</w:t>
      </w:r>
      <w:r w:rsidR="006128B7">
        <w:t xml:space="preserve"> based on </w:t>
      </w:r>
      <w:r w:rsidR="000F2D8A" w:rsidRPr="000F2D8A">
        <w:t xml:space="preserve">information gathered by </w:t>
      </w:r>
      <w:r w:rsidR="00B56EFF">
        <w:t>NICE</w:t>
      </w:r>
      <w:r w:rsidR="000F2D8A" w:rsidRPr="000F2D8A">
        <w:t xml:space="preserve">, and in consultation with consultees and commentators. </w:t>
      </w:r>
    </w:p>
    <w:p w14:paraId="555153D4" w14:textId="0CB6B0DA" w:rsidR="000F2D8A" w:rsidRPr="000F2D8A" w:rsidRDefault="00215D2C" w:rsidP="00255BB2">
      <w:pPr>
        <w:pStyle w:val="NICEnormal"/>
      </w:pPr>
      <w:r>
        <w:t>Professor</w:t>
      </w:r>
      <w:r w:rsidRPr="00215D2C">
        <w:t xml:space="preserve"> Gary McVeigh </w:t>
      </w:r>
      <w:r w:rsidR="00887068">
        <w:br/>
      </w:r>
      <w:r w:rsidR="000F2D8A" w:rsidRPr="000F2D8A">
        <w:t xml:space="preserve">Chair, </w:t>
      </w:r>
      <w:r w:rsidR="001032BC">
        <w:t>a</w:t>
      </w:r>
      <w:r w:rsidR="000F2D8A" w:rsidRPr="000F2D8A">
        <w:t xml:space="preserve">ppraisal </w:t>
      </w:r>
      <w:r w:rsidR="001032BC">
        <w:t>c</w:t>
      </w:r>
      <w:r w:rsidR="000F2D8A" w:rsidRPr="000F2D8A">
        <w:t>ommittee</w:t>
      </w:r>
      <w:r w:rsidR="00887068">
        <w:br/>
      </w:r>
      <w:r w:rsidR="00A43856">
        <w:t xml:space="preserve">April </w:t>
      </w:r>
      <w:r>
        <w:t>2019</w:t>
      </w:r>
    </w:p>
    <w:p w14:paraId="2C09C8DA" w14:textId="77777777" w:rsidR="001F01E5" w:rsidRPr="007D7F83" w:rsidRDefault="001F01E5" w:rsidP="001F01E5">
      <w:pPr>
        <w:pStyle w:val="Numberedheading1"/>
      </w:pPr>
      <w:r w:rsidRPr="007D7F83">
        <w:t xml:space="preserve">Appraisal </w:t>
      </w:r>
      <w:r>
        <w:t>c</w:t>
      </w:r>
      <w:r w:rsidRPr="007D7F83">
        <w:t>ommittee members and NICE project team</w:t>
      </w:r>
    </w:p>
    <w:p w14:paraId="0E6B2F10" w14:textId="77777777" w:rsidR="001F01E5" w:rsidRPr="007D7F83" w:rsidRDefault="001F01E5" w:rsidP="001F01E5">
      <w:pPr>
        <w:pStyle w:val="Heading2"/>
      </w:pPr>
      <w:r w:rsidRPr="007D7F83">
        <w:t xml:space="preserve">Appraisal </w:t>
      </w:r>
      <w:r>
        <w:t>c</w:t>
      </w:r>
      <w:r w:rsidRPr="007D7F83">
        <w:t>ommittee members</w:t>
      </w:r>
    </w:p>
    <w:p w14:paraId="40F92073" w14:textId="68B745C8" w:rsidR="00742089" w:rsidRPr="00742089" w:rsidRDefault="00742089" w:rsidP="00742089">
      <w:pPr>
        <w:pStyle w:val="NICEnormal"/>
        <w:rPr>
          <w:rFonts w:eastAsia="Calibri"/>
        </w:rPr>
      </w:pPr>
      <w:r>
        <w:t xml:space="preserve">The 4 technology appraisal committees are standing advisory committees of NICE. This topic was considered by </w:t>
      </w:r>
      <w:hyperlink r:id="rId19" w:history="1">
        <w:r>
          <w:rPr>
            <w:rStyle w:val="Hyperlink"/>
            <w:rFonts w:eastAsia="Calibri"/>
          </w:rPr>
          <w:t xml:space="preserve">committee </w:t>
        </w:r>
        <w:r w:rsidR="009D6E90">
          <w:rPr>
            <w:rStyle w:val="Hyperlink"/>
            <w:rFonts w:eastAsia="Calibri"/>
          </w:rPr>
          <w:t>D</w:t>
        </w:r>
      </w:hyperlink>
      <w:r>
        <w:t>.</w:t>
      </w:r>
    </w:p>
    <w:p w14:paraId="305EB8FD" w14:textId="77777777" w:rsidR="00742089" w:rsidRDefault="00742089" w:rsidP="00742089">
      <w:pPr>
        <w:pStyle w:val="NICEnormal"/>
      </w:pPr>
      <w:r>
        <w:t xml:space="preserve">Committee members are asked to declare any interests in the technology to be appraised. If it is considered there is a conflict of interest, the member is excluded from participating further in that appraisal. </w:t>
      </w:r>
    </w:p>
    <w:p w14:paraId="3CEB9A40" w14:textId="77777777" w:rsidR="001F01E5" w:rsidRDefault="00742089" w:rsidP="001F01E5">
      <w:pPr>
        <w:pStyle w:val="NICEnormal"/>
      </w:pPr>
      <w:r>
        <w:lastRenderedPageBreak/>
        <w:t xml:space="preserve">The </w:t>
      </w:r>
      <w:hyperlink r:id="rId20" w:history="1">
        <w:r w:rsidRPr="00742089">
          <w:rPr>
            <w:rStyle w:val="Hyperlink"/>
            <w:rFonts w:eastAsia="Calibri"/>
          </w:rPr>
          <w:t>minutes</w:t>
        </w:r>
      </w:hyperlink>
      <w:r>
        <w:t xml:space="preserve"> of each appraisal committee meeting, which include the names of the members who attended and their declarations of interests, are posted on the NICE website.</w:t>
      </w:r>
    </w:p>
    <w:p w14:paraId="7BC7E311" w14:textId="77777777" w:rsidR="001F01E5" w:rsidRPr="007D7F83" w:rsidRDefault="001F01E5" w:rsidP="001F01E5">
      <w:pPr>
        <w:pStyle w:val="Heading2"/>
      </w:pPr>
      <w:r w:rsidRPr="007D7F83">
        <w:t>NICE project team</w:t>
      </w:r>
    </w:p>
    <w:p w14:paraId="3E5EEBA0" w14:textId="380D250E" w:rsidR="001F01E5" w:rsidRPr="000F2D8A" w:rsidRDefault="001F01E5" w:rsidP="001F01E5">
      <w:pPr>
        <w:pStyle w:val="NICEnormal"/>
      </w:pPr>
      <w:r w:rsidRPr="0058413D">
        <w:t xml:space="preserve">Each technology appraisal is assigned to a team consisting of </w:t>
      </w:r>
      <w:r>
        <w:t>1</w:t>
      </w:r>
      <w:r w:rsidRPr="0058413D">
        <w:t xml:space="preserve"> or more health technology analysts (who act as technical leads for the appraisal), a technical adviser and a project manager. </w:t>
      </w:r>
    </w:p>
    <w:p w14:paraId="5A823B0E" w14:textId="57AB4454" w:rsidR="001F01E5" w:rsidRPr="000F2D8A" w:rsidRDefault="009D6E90" w:rsidP="001F01E5">
      <w:pPr>
        <w:pStyle w:val="NICEnormal"/>
      </w:pPr>
      <w:bookmarkStart w:id="2" w:name="Text45"/>
      <w:r>
        <w:rPr>
          <w:b/>
        </w:rPr>
        <w:t>Luke Cowie</w:t>
      </w:r>
      <w:r w:rsidR="001F01E5">
        <w:br/>
      </w:r>
      <w:r w:rsidR="001F01E5" w:rsidRPr="000F2D8A">
        <w:t xml:space="preserve">Technical </w:t>
      </w:r>
      <w:r w:rsidR="00A43856">
        <w:t>L</w:t>
      </w:r>
      <w:r w:rsidR="001F01E5" w:rsidRPr="000F2D8A">
        <w:t>ead</w:t>
      </w:r>
    </w:p>
    <w:p w14:paraId="5120716F" w14:textId="60694000" w:rsidR="001F01E5" w:rsidRPr="000F2D8A" w:rsidRDefault="009D6E90" w:rsidP="001F01E5">
      <w:pPr>
        <w:pStyle w:val="NICEnormal"/>
      </w:pPr>
      <w:r>
        <w:rPr>
          <w:b/>
        </w:rPr>
        <w:t>Nicola Hay</w:t>
      </w:r>
      <w:r w:rsidR="001F01E5">
        <w:br/>
      </w:r>
      <w:r w:rsidR="001F01E5" w:rsidRPr="00AF59A2">
        <w:t xml:space="preserve">Technical </w:t>
      </w:r>
      <w:r w:rsidR="00A43856">
        <w:t>A</w:t>
      </w:r>
      <w:r w:rsidR="001F01E5" w:rsidRPr="00AF59A2">
        <w:t>dviser</w:t>
      </w:r>
    </w:p>
    <w:p w14:paraId="64AC97FF" w14:textId="40C93902" w:rsidR="001F01E5" w:rsidRDefault="009D6E90" w:rsidP="001F01E5">
      <w:pPr>
        <w:pStyle w:val="NICEnormal"/>
      </w:pPr>
      <w:r>
        <w:rPr>
          <w:b/>
        </w:rPr>
        <w:t>Joanne Ekeledo</w:t>
      </w:r>
      <w:r w:rsidR="001F01E5">
        <w:br/>
      </w:r>
      <w:r w:rsidR="001F01E5" w:rsidRPr="000F2D8A">
        <w:t xml:space="preserve">Project </w:t>
      </w:r>
      <w:r w:rsidR="00A43856">
        <w:t>M</w:t>
      </w:r>
      <w:r w:rsidR="001F01E5" w:rsidRPr="000F2D8A">
        <w:t>anager</w:t>
      </w:r>
    </w:p>
    <w:bookmarkEnd w:id="2"/>
    <w:p w14:paraId="4C500853" w14:textId="77777777" w:rsidR="001F01E5" w:rsidRPr="000F2D8A" w:rsidRDefault="001F01E5" w:rsidP="002646AF">
      <w:pPr>
        <w:pStyle w:val="NICEnormal"/>
      </w:pPr>
      <w:r>
        <w:t xml:space="preserve">ISBN: </w:t>
      </w:r>
      <w:r w:rsidRPr="004D7C92">
        <w:rPr>
          <w:highlight w:val="green"/>
        </w:rPr>
        <w:t>[to be added at publication]</w:t>
      </w:r>
    </w:p>
    <w:sectPr w:rsidR="001F01E5" w:rsidRPr="000F2D8A" w:rsidSect="00682578">
      <w:headerReference w:type="default" r:id="rId21"/>
      <w:footerReference w:type="default" r:id="rId22"/>
      <w:pgSz w:w="11907" w:h="16840" w:code="9"/>
      <w:pgMar w:top="1440" w:right="1440" w:bottom="1440" w:left="1440" w:header="709" w:footer="709" w:gutter="0"/>
      <w:pgNumType w:start="1" w:chapStyle="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C57DF" w14:textId="77777777" w:rsidR="004A0669" w:rsidRDefault="004A0669">
      <w:r>
        <w:separator/>
      </w:r>
    </w:p>
  </w:endnote>
  <w:endnote w:type="continuationSeparator" w:id="0">
    <w:p w14:paraId="6D2C1750" w14:textId="77777777" w:rsidR="004A0669" w:rsidRDefault="004A0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8FA97" w14:textId="3902C80C" w:rsidR="004A0669" w:rsidRPr="00FC6109" w:rsidRDefault="004A0669" w:rsidP="005A29CB">
    <w:pPr>
      <w:pStyle w:val="NICEnormalsinglespacing"/>
      <w:spacing w:after="120"/>
      <w:rPr>
        <w:bCs/>
        <w:sz w:val="18"/>
        <w:szCs w:val="18"/>
      </w:rPr>
    </w:pPr>
    <w:r w:rsidRPr="003D33FB">
      <w:rPr>
        <w:sz w:val="18"/>
        <w:szCs w:val="18"/>
      </w:rPr>
      <w:t xml:space="preserve">Appraisal consultation document – </w:t>
    </w:r>
    <w:r w:rsidRPr="00FC6109">
      <w:rPr>
        <w:bCs/>
        <w:sz w:val="18"/>
        <w:szCs w:val="18"/>
      </w:rPr>
      <w:t>Dacomitinib for untreated EGFR</w:t>
    </w:r>
    <w:r w:rsidR="00A26995">
      <w:rPr>
        <w:bCs/>
        <w:sz w:val="18"/>
        <w:szCs w:val="18"/>
      </w:rPr>
      <w:t xml:space="preserve"> mutation</w:t>
    </w:r>
    <w:r w:rsidRPr="00FC6109">
      <w:rPr>
        <w:bCs/>
        <w:sz w:val="18"/>
        <w:szCs w:val="18"/>
      </w:rPr>
      <w:t xml:space="preserve">-positive non-small-cell lung cancer </w:t>
    </w:r>
  </w:p>
  <w:p w14:paraId="1A8252F4" w14:textId="0E6B9A5D" w:rsidR="004A0669" w:rsidRPr="003D33FB" w:rsidRDefault="004A0669" w:rsidP="005A29CB">
    <w:pPr>
      <w:pStyle w:val="NICEnormalsinglespacing"/>
      <w:spacing w:after="120"/>
      <w:rPr>
        <w:sz w:val="18"/>
        <w:szCs w:val="18"/>
      </w:rPr>
    </w:pPr>
    <w:r w:rsidRPr="005A29CB">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14B51F94" w14:textId="77777777" w:rsidR="004A0669" w:rsidRDefault="004A0669" w:rsidP="00541499">
    <w:pPr>
      <w:pStyle w:val="NICEnormalsinglespacing"/>
      <w:spacing w:after="120"/>
      <w:rPr>
        <w:sz w:val="18"/>
        <w:szCs w:val="18"/>
      </w:rPr>
    </w:pPr>
    <w:r w:rsidRPr="003D33FB">
      <w:rPr>
        <w:sz w:val="18"/>
        <w:szCs w:val="18"/>
      </w:rPr>
      <w:t xml:space="preserve">Issue date: </w:t>
    </w:r>
    <w:r>
      <w:rPr>
        <w:sz w:val="18"/>
        <w:szCs w:val="18"/>
      </w:rPr>
      <w:t>April 2019</w:t>
    </w:r>
  </w:p>
  <w:p w14:paraId="03892871" w14:textId="77777777" w:rsidR="004A0669" w:rsidRPr="003D33FB" w:rsidRDefault="004A0669" w:rsidP="00541499">
    <w:pPr>
      <w:pStyle w:val="NICEnormalsinglespacing"/>
      <w:spacing w:after="120"/>
      <w:rPr>
        <w:sz w:val="18"/>
        <w:szCs w:val="18"/>
      </w:rPr>
    </w:pPr>
    <w:r>
      <w:rPr>
        <w:sz w:val="18"/>
        <w:szCs w:val="18"/>
      </w:rPr>
      <w:t xml:space="preserve">© NICE 2019. All rights reserved. Subject to </w:t>
    </w:r>
    <w:hyperlink r:id="rId1" w:history="1">
      <w:r>
        <w:rPr>
          <w:rStyle w:val="Hyperlink"/>
          <w:sz w:val="18"/>
          <w:szCs w:val="18"/>
        </w:rPr>
        <w:t>Notice of rights</w:t>
      </w:r>
    </w:hyperlink>
    <w:r w:rsidRPr="00AB1BB0">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E82B8" w14:textId="77777777" w:rsidR="004A0669" w:rsidRDefault="004A0669">
      <w:r>
        <w:separator/>
      </w:r>
    </w:p>
  </w:footnote>
  <w:footnote w:type="continuationSeparator" w:id="0">
    <w:p w14:paraId="19B7AD39" w14:textId="77777777" w:rsidR="004A0669" w:rsidRDefault="004A0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087C2" w14:textId="77777777" w:rsidR="004A0669" w:rsidRPr="0066179F" w:rsidRDefault="004A0669" w:rsidP="0066179F">
    <w:pPr>
      <w:pStyle w:val="Header"/>
      <w:jc w:val="right"/>
      <w:rPr>
        <w:b/>
      </w:rPr>
    </w:pPr>
    <w:r w:rsidRPr="0066179F">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4E75FB"/>
    <w:multiLevelType w:val="multilevel"/>
    <w:tmpl w:val="EBAE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F2A5F86"/>
    <w:multiLevelType w:val="multilevel"/>
    <w:tmpl w:val="299E02FE"/>
    <w:lvl w:ilvl="0">
      <w:start w:val="1"/>
      <w:numFmt w:val="decimal"/>
      <w:lvlText w:val="%1"/>
      <w:lvlJc w:val="left"/>
      <w:pPr>
        <w:tabs>
          <w:tab w:val="num" w:pos="432"/>
        </w:tabs>
        <w:ind w:left="432" w:hanging="432"/>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47AFE"/>
    <w:multiLevelType w:val="hybridMultilevel"/>
    <w:tmpl w:val="600ACA82"/>
    <w:lvl w:ilvl="0" w:tplc="08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7F707D"/>
    <w:multiLevelType w:val="hybridMultilevel"/>
    <w:tmpl w:val="87D6AE54"/>
    <w:lvl w:ilvl="0" w:tplc="79D41878">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9CC3584"/>
    <w:multiLevelType w:val="multilevel"/>
    <w:tmpl w:val="095085CA"/>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2AC86DD0"/>
    <w:multiLevelType w:val="multilevel"/>
    <w:tmpl w:val="36B66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4C810A0"/>
    <w:multiLevelType w:val="hybridMultilevel"/>
    <w:tmpl w:val="A34C4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BD105E"/>
    <w:multiLevelType w:val="hybridMultilevel"/>
    <w:tmpl w:val="47001F08"/>
    <w:lvl w:ilvl="0" w:tplc="50AA0F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8" w15:restartNumberingAfterBreak="0">
    <w:nsid w:val="463C2ADC"/>
    <w:multiLevelType w:val="multilevel"/>
    <w:tmpl w:val="0FE6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0" w15:restartNumberingAfterBreak="0">
    <w:nsid w:val="4ABD783C"/>
    <w:multiLevelType w:val="hybridMultilevel"/>
    <w:tmpl w:val="23A0264C"/>
    <w:lvl w:ilvl="0" w:tplc="DE0CF6EA">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15A3F96"/>
    <w:multiLevelType w:val="hybridMultilevel"/>
    <w:tmpl w:val="44A27922"/>
    <w:lvl w:ilvl="0" w:tplc="D87233D4">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C93D14"/>
    <w:multiLevelType w:val="hybridMultilevel"/>
    <w:tmpl w:val="4A20F9FA"/>
    <w:lvl w:ilvl="0" w:tplc="AA9A8AE4">
      <w:start w:val="1"/>
      <w:numFmt w:val="decimal"/>
      <w:lvlText w:val="%1."/>
      <w:lvlJc w:val="left"/>
      <w:pPr>
        <w:ind w:left="851" w:hanging="851"/>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EB16514"/>
    <w:multiLevelType w:val="hybridMultilevel"/>
    <w:tmpl w:val="0D1C6444"/>
    <w:lvl w:ilvl="0" w:tplc="25CE9C96">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685676D3"/>
    <w:multiLevelType w:val="hybridMultilevel"/>
    <w:tmpl w:val="AA982508"/>
    <w:lvl w:ilvl="0" w:tplc="05BECA9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5F6245"/>
    <w:multiLevelType w:val="hybridMultilevel"/>
    <w:tmpl w:val="8226756E"/>
    <w:lvl w:ilvl="0" w:tplc="EE7C94EE">
      <w:start w:val="1"/>
      <w:numFmt w:val="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6"/>
  </w:num>
  <w:num w:numId="3">
    <w:abstractNumId w:val="17"/>
  </w:num>
  <w:num w:numId="4">
    <w:abstractNumId w:val="19"/>
  </w:num>
  <w:num w:numId="5">
    <w:abstractNumId w:val="0"/>
  </w:num>
  <w:num w:numId="6">
    <w:abstractNumId w:val="4"/>
  </w:num>
  <w:num w:numId="7">
    <w:abstractNumId w:val="6"/>
  </w:num>
  <w:num w:numId="8">
    <w:abstractNumId w:val="9"/>
  </w:num>
  <w:num w:numId="9">
    <w:abstractNumId w:val="14"/>
  </w:num>
  <w:num w:numId="10">
    <w:abstractNumId w:val="13"/>
  </w:num>
  <w:num w:numId="11">
    <w:abstractNumId w:val="16"/>
  </w:num>
  <w:num w:numId="12">
    <w:abstractNumId w:val="21"/>
  </w:num>
  <w:num w:numId="13">
    <w:abstractNumId w:val="5"/>
  </w:num>
  <w:num w:numId="14">
    <w:abstractNumId w:val="25"/>
  </w:num>
  <w:num w:numId="15">
    <w:abstractNumId w:val="10"/>
  </w:num>
  <w:num w:numId="16">
    <w:abstractNumId w:val="20"/>
  </w:num>
  <w:num w:numId="17">
    <w:abstractNumId w:val="23"/>
  </w:num>
  <w:num w:numId="18">
    <w:abstractNumId w:val="8"/>
  </w:num>
  <w:num w:numId="19">
    <w:abstractNumId w:val="28"/>
  </w:num>
  <w:num w:numId="20">
    <w:abstractNumId w:val="11"/>
  </w:num>
  <w:num w:numId="21">
    <w:abstractNumId w:val="3"/>
  </w:num>
  <w:num w:numId="22">
    <w:abstractNumId w:val="27"/>
  </w:num>
  <w:num w:numId="23">
    <w:abstractNumId w:val="7"/>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1"/>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
  </w:num>
  <w:num w:numId="31">
    <w:abstractNumId w:val="12"/>
  </w:num>
  <w:num w:numId="32">
    <w:abstractNumId w:val="18"/>
  </w:num>
  <w:num w:numId="33">
    <w:abstractNumId w:val="11"/>
  </w:num>
  <w:num w:numId="34">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152"/>
    <w:rsid w:val="000005B9"/>
    <w:rsid w:val="00000973"/>
    <w:rsid w:val="0000303A"/>
    <w:rsid w:val="00005B83"/>
    <w:rsid w:val="00006424"/>
    <w:rsid w:val="00007228"/>
    <w:rsid w:val="00010822"/>
    <w:rsid w:val="000119FB"/>
    <w:rsid w:val="000140B6"/>
    <w:rsid w:val="00014FFB"/>
    <w:rsid w:val="00020D2F"/>
    <w:rsid w:val="00021681"/>
    <w:rsid w:val="0002380D"/>
    <w:rsid w:val="000246BB"/>
    <w:rsid w:val="00025E90"/>
    <w:rsid w:val="00025F02"/>
    <w:rsid w:val="00026416"/>
    <w:rsid w:val="000278F5"/>
    <w:rsid w:val="00027909"/>
    <w:rsid w:val="000323CF"/>
    <w:rsid w:val="00036C56"/>
    <w:rsid w:val="000404EF"/>
    <w:rsid w:val="00040868"/>
    <w:rsid w:val="00040A51"/>
    <w:rsid w:val="00042B82"/>
    <w:rsid w:val="00043302"/>
    <w:rsid w:val="00043F89"/>
    <w:rsid w:val="00045BA3"/>
    <w:rsid w:val="000467EC"/>
    <w:rsid w:val="00046989"/>
    <w:rsid w:val="0004792B"/>
    <w:rsid w:val="00051774"/>
    <w:rsid w:val="00051EA1"/>
    <w:rsid w:val="00052BA8"/>
    <w:rsid w:val="00052BB0"/>
    <w:rsid w:val="00057594"/>
    <w:rsid w:val="000614BD"/>
    <w:rsid w:val="00062B0E"/>
    <w:rsid w:val="00062D82"/>
    <w:rsid w:val="000641D1"/>
    <w:rsid w:val="00064226"/>
    <w:rsid w:val="00065FA9"/>
    <w:rsid w:val="00066DBC"/>
    <w:rsid w:val="00067680"/>
    <w:rsid w:val="000709FE"/>
    <w:rsid w:val="00071746"/>
    <w:rsid w:val="00073512"/>
    <w:rsid w:val="00073DE8"/>
    <w:rsid w:val="000746AA"/>
    <w:rsid w:val="00075CFF"/>
    <w:rsid w:val="00075E8B"/>
    <w:rsid w:val="00077811"/>
    <w:rsid w:val="00077AB0"/>
    <w:rsid w:val="00081D27"/>
    <w:rsid w:val="00084663"/>
    <w:rsid w:val="00085620"/>
    <w:rsid w:val="000861AF"/>
    <w:rsid w:val="00091601"/>
    <w:rsid w:val="00091782"/>
    <w:rsid w:val="000918B0"/>
    <w:rsid w:val="00092046"/>
    <w:rsid w:val="000967BC"/>
    <w:rsid w:val="00096CDA"/>
    <w:rsid w:val="000A2EAA"/>
    <w:rsid w:val="000A7DF9"/>
    <w:rsid w:val="000B058E"/>
    <w:rsid w:val="000B0E38"/>
    <w:rsid w:val="000B2904"/>
    <w:rsid w:val="000B3488"/>
    <w:rsid w:val="000B3DCF"/>
    <w:rsid w:val="000B42C6"/>
    <w:rsid w:val="000B5A5C"/>
    <w:rsid w:val="000B5DDD"/>
    <w:rsid w:val="000C1459"/>
    <w:rsid w:val="000C1E2C"/>
    <w:rsid w:val="000C1EC3"/>
    <w:rsid w:val="000C2043"/>
    <w:rsid w:val="000C38E9"/>
    <w:rsid w:val="000C4E7C"/>
    <w:rsid w:val="000D24AA"/>
    <w:rsid w:val="000D34D0"/>
    <w:rsid w:val="000D605D"/>
    <w:rsid w:val="000E13BE"/>
    <w:rsid w:val="000E15AB"/>
    <w:rsid w:val="000E4733"/>
    <w:rsid w:val="000E7525"/>
    <w:rsid w:val="000E795E"/>
    <w:rsid w:val="000F2D8A"/>
    <w:rsid w:val="000F3504"/>
    <w:rsid w:val="000F4CC3"/>
    <w:rsid w:val="000F5744"/>
    <w:rsid w:val="000F6EC9"/>
    <w:rsid w:val="00100915"/>
    <w:rsid w:val="001009E7"/>
    <w:rsid w:val="00101F34"/>
    <w:rsid w:val="00102F67"/>
    <w:rsid w:val="001032BC"/>
    <w:rsid w:val="00103D34"/>
    <w:rsid w:val="001072B0"/>
    <w:rsid w:val="0010762C"/>
    <w:rsid w:val="00110EF9"/>
    <w:rsid w:val="0011159F"/>
    <w:rsid w:val="0011188D"/>
    <w:rsid w:val="00114C2C"/>
    <w:rsid w:val="00115A26"/>
    <w:rsid w:val="00121C68"/>
    <w:rsid w:val="00123B98"/>
    <w:rsid w:val="001240DF"/>
    <w:rsid w:val="00127FDF"/>
    <w:rsid w:val="00130E7C"/>
    <w:rsid w:val="00131D12"/>
    <w:rsid w:val="00132522"/>
    <w:rsid w:val="00133011"/>
    <w:rsid w:val="001335D1"/>
    <w:rsid w:val="00133741"/>
    <w:rsid w:val="00133F5A"/>
    <w:rsid w:val="00134198"/>
    <w:rsid w:val="00136D00"/>
    <w:rsid w:val="00141829"/>
    <w:rsid w:val="001444EC"/>
    <w:rsid w:val="001448A4"/>
    <w:rsid w:val="00145451"/>
    <w:rsid w:val="001467A9"/>
    <w:rsid w:val="0015353C"/>
    <w:rsid w:val="00154C36"/>
    <w:rsid w:val="00154F35"/>
    <w:rsid w:val="0015534A"/>
    <w:rsid w:val="00155DAA"/>
    <w:rsid w:val="001569C3"/>
    <w:rsid w:val="00160462"/>
    <w:rsid w:val="001608B7"/>
    <w:rsid w:val="00161AA0"/>
    <w:rsid w:val="00162C59"/>
    <w:rsid w:val="0016393D"/>
    <w:rsid w:val="00166B52"/>
    <w:rsid w:val="0016710D"/>
    <w:rsid w:val="0017090E"/>
    <w:rsid w:val="00174C82"/>
    <w:rsid w:val="001753D7"/>
    <w:rsid w:val="00177398"/>
    <w:rsid w:val="00181D1B"/>
    <w:rsid w:val="00182049"/>
    <w:rsid w:val="00186173"/>
    <w:rsid w:val="00187A15"/>
    <w:rsid w:val="001906C2"/>
    <w:rsid w:val="00192321"/>
    <w:rsid w:val="0019384E"/>
    <w:rsid w:val="0019395F"/>
    <w:rsid w:val="00193D51"/>
    <w:rsid w:val="001956FC"/>
    <w:rsid w:val="001968F7"/>
    <w:rsid w:val="00197E7B"/>
    <w:rsid w:val="001A0F29"/>
    <w:rsid w:val="001A166C"/>
    <w:rsid w:val="001A175E"/>
    <w:rsid w:val="001A2A4A"/>
    <w:rsid w:val="001A3F6D"/>
    <w:rsid w:val="001A4A92"/>
    <w:rsid w:val="001A4E81"/>
    <w:rsid w:val="001A5E81"/>
    <w:rsid w:val="001A5F01"/>
    <w:rsid w:val="001B2E51"/>
    <w:rsid w:val="001B33D5"/>
    <w:rsid w:val="001B461D"/>
    <w:rsid w:val="001B5564"/>
    <w:rsid w:val="001C127D"/>
    <w:rsid w:val="001C2013"/>
    <w:rsid w:val="001C39EB"/>
    <w:rsid w:val="001C5B4D"/>
    <w:rsid w:val="001C725B"/>
    <w:rsid w:val="001C73A6"/>
    <w:rsid w:val="001C7900"/>
    <w:rsid w:val="001C7C31"/>
    <w:rsid w:val="001D149C"/>
    <w:rsid w:val="001D21A0"/>
    <w:rsid w:val="001D21D4"/>
    <w:rsid w:val="001D504B"/>
    <w:rsid w:val="001D5BAB"/>
    <w:rsid w:val="001D6B7D"/>
    <w:rsid w:val="001D71DD"/>
    <w:rsid w:val="001E1693"/>
    <w:rsid w:val="001E1B5F"/>
    <w:rsid w:val="001E2038"/>
    <w:rsid w:val="001E24FB"/>
    <w:rsid w:val="001E287A"/>
    <w:rsid w:val="001E388C"/>
    <w:rsid w:val="001E392F"/>
    <w:rsid w:val="001E3FE4"/>
    <w:rsid w:val="001E434F"/>
    <w:rsid w:val="001E580C"/>
    <w:rsid w:val="001F01E5"/>
    <w:rsid w:val="001F1695"/>
    <w:rsid w:val="001F41E7"/>
    <w:rsid w:val="001F430F"/>
    <w:rsid w:val="001F60E0"/>
    <w:rsid w:val="0020150B"/>
    <w:rsid w:val="00203A2D"/>
    <w:rsid w:val="002043CB"/>
    <w:rsid w:val="002049D4"/>
    <w:rsid w:val="00205B95"/>
    <w:rsid w:val="00206BC2"/>
    <w:rsid w:val="00207CF1"/>
    <w:rsid w:val="00210F1F"/>
    <w:rsid w:val="0021100E"/>
    <w:rsid w:val="00211D91"/>
    <w:rsid w:val="00212961"/>
    <w:rsid w:val="00215D2C"/>
    <w:rsid w:val="00216084"/>
    <w:rsid w:val="00220000"/>
    <w:rsid w:val="0022351F"/>
    <w:rsid w:val="0022523C"/>
    <w:rsid w:val="00225927"/>
    <w:rsid w:val="002316F1"/>
    <w:rsid w:val="002322F9"/>
    <w:rsid w:val="00235CAB"/>
    <w:rsid w:val="002361FE"/>
    <w:rsid w:val="00236409"/>
    <w:rsid w:val="0023641F"/>
    <w:rsid w:val="002426E4"/>
    <w:rsid w:val="00243F75"/>
    <w:rsid w:val="00244E0C"/>
    <w:rsid w:val="00247B92"/>
    <w:rsid w:val="00247E37"/>
    <w:rsid w:val="00250582"/>
    <w:rsid w:val="0025214E"/>
    <w:rsid w:val="00254D10"/>
    <w:rsid w:val="00254FB6"/>
    <w:rsid w:val="00255BB2"/>
    <w:rsid w:val="0026198D"/>
    <w:rsid w:val="00263745"/>
    <w:rsid w:val="002646AF"/>
    <w:rsid w:val="002656A7"/>
    <w:rsid w:val="00265D15"/>
    <w:rsid w:val="00266F61"/>
    <w:rsid w:val="00267910"/>
    <w:rsid w:val="00270265"/>
    <w:rsid w:val="00270ABE"/>
    <w:rsid w:val="002718EA"/>
    <w:rsid w:val="00274BFD"/>
    <w:rsid w:val="0027560D"/>
    <w:rsid w:val="002760B9"/>
    <w:rsid w:val="00276C00"/>
    <w:rsid w:val="00282D7E"/>
    <w:rsid w:val="00283CB6"/>
    <w:rsid w:val="00283FE5"/>
    <w:rsid w:val="002845D1"/>
    <w:rsid w:val="002903D9"/>
    <w:rsid w:val="002911FD"/>
    <w:rsid w:val="00291318"/>
    <w:rsid w:val="00291512"/>
    <w:rsid w:val="00292BBD"/>
    <w:rsid w:val="002964A4"/>
    <w:rsid w:val="00297A51"/>
    <w:rsid w:val="002A0DF5"/>
    <w:rsid w:val="002A1D69"/>
    <w:rsid w:val="002A31A5"/>
    <w:rsid w:val="002A49A7"/>
    <w:rsid w:val="002A4C83"/>
    <w:rsid w:val="002A6125"/>
    <w:rsid w:val="002A6F25"/>
    <w:rsid w:val="002B4E70"/>
    <w:rsid w:val="002B7667"/>
    <w:rsid w:val="002C1619"/>
    <w:rsid w:val="002C32B4"/>
    <w:rsid w:val="002C65E4"/>
    <w:rsid w:val="002C6F15"/>
    <w:rsid w:val="002C6F1B"/>
    <w:rsid w:val="002D0B0A"/>
    <w:rsid w:val="002D284C"/>
    <w:rsid w:val="002D31BC"/>
    <w:rsid w:val="002D40D9"/>
    <w:rsid w:val="002D6CB0"/>
    <w:rsid w:val="002D7665"/>
    <w:rsid w:val="002D7718"/>
    <w:rsid w:val="002D7AB1"/>
    <w:rsid w:val="002E2333"/>
    <w:rsid w:val="002E34B3"/>
    <w:rsid w:val="002E5353"/>
    <w:rsid w:val="002E5ECB"/>
    <w:rsid w:val="002E66FD"/>
    <w:rsid w:val="002E7152"/>
    <w:rsid w:val="002E7D59"/>
    <w:rsid w:val="002F0CF7"/>
    <w:rsid w:val="002F0DAB"/>
    <w:rsid w:val="002F217A"/>
    <w:rsid w:val="002F4C51"/>
    <w:rsid w:val="002F66E5"/>
    <w:rsid w:val="002F6861"/>
    <w:rsid w:val="002F7BCF"/>
    <w:rsid w:val="00301919"/>
    <w:rsid w:val="003028A8"/>
    <w:rsid w:val="00302FD9"/>
    <w:rsid w:val="00304085"/>
    <w:rsid w:val="00304A5C"/>
    <w:rsid w:val="00305985"/>
    <w:rsid w:val="00305AC6"/>
    <w:rsid w:val="00306299"/>
    <w:rsid w:val="00306D78"/>
    <w:rsid w:val="003074B2"/>
    <w:rsid w:val="00307C17"/>
    <w:rsid w:val="00311B95"/>
    <w:rsid w:val="003134AD"/>
    <w:rsid w:val="003152B1"/>
    <w:rsid w:val="00315F27"/>
    <w:rsid w:val="0031664C"/>
    <w:rsid w:val="00320FA0"/>
    <w:rsid w:val="00322A22"/>
    <w:rsid w:val="003253AC"/>
    <w:rsid w:val="00326398"/>
    <w:rsid w:val="0032656E"/>
    <w:rsid w:val="0033001F"/>
    <w:rsid w:val="003330E6"/>
    <w:rsid w:val="00333A54"/>
    <w:rsid w:val="00333E24"/>
    <w:rsid w:val="00335807"/>
    <w:rsid w:val="00335FF9"/>
    <w:rsid w:val="00336E51"/>
    <w:rsid w:val="00341216"/>
    <w:rsid w:val="00341FD4"/>
    <w:rsid w:val="0034207F"/>
    <w:rsid w:val="00342D92"/>
    <w:rsid w:val="00343C29"/>
    <w:rsid w:val="003442B7"/>
    <w:rsid w:val="00344774"/>
    <w:rsid w:val="00344FF3"/>
    <w:rsid w:val="00346492"/>
    <w:rsid w:val="00351F61"/>
    <w:rsid w:val="00354D43"/>
    <w:rsid w:val="003579DD"/>
    <w:rsid w:val="0036063A"/>
    <w:rsid w:val="003606A3"/>
    <w:rsid w:val="00360B5F"/>
    <w:rsid w:val="003632F3"/>
    <w:rsid w:val="00363FC6"/>
    <w:rsid w:val="0036482D"/>
    <w:rsid w:val="00365BD5"/>
    <w:rsid w:val="00366ABE"/>
    <w:rsid w:val="00367BF2"/>
    <w:rsid w:val="00374AA1"/>
    <w:rsid w:val="00376F7D"/>
    <w:rsid w:val="00377C11"/>
    <w:rsid w:val="00382E4B"/>
    <w:rsid w:val="00383079"/>
    <w:rsid w:val="00386A4E"/>
    <w:rsid w:val="0039306F"/>
    <w:rsid w:val="00393AC2"/>
    <w:rsid w:val="00397CFD"/>
    <w:rsid w:val="003A1CEF"/>
    <w:rsid w:val="003A3974"/>
    <w:rsid w:val="003A3BD8"/>
    <w:rsid w:val="003A4D65"/>
    <w:rsid w:val="003A6681"/>
    <w:rsid w:val="003A7701"/>
    <w:rsid w:val="003B011A"/>
    <w:rsid w:val="003B1F4A"/>
    <w:rsid w:val="003B257B"/>
    <w:rsid w:val="003B2745"/>
    <w:rsid w:val="003B4445"/>
    <w:rsid w:val="003B4625"/>
    <w:rsid w:val="003B46F6"/>
    <w:rsid w:val="003B52BA"/>
    <w:rsid w:val="003B599B"/>
    <w:rsid w:val="003B606C"/>
    <w:rsid w:val="003B60EC"/>
    <w:rsid w:val="003B7F9C"/>
    <w:rsid w:val="003C0F49"/>
    <w:rsid w:val="003C1E8F"/>
    <w:rsid w:val="003C2F2A"/>
    <w:rsid w:val="003C36AC"/>
    <w:rsid w:val="003C3E47"/>
    <w:rsid w:val="003C4515"/>
    <w:rsid w:val="003D135F"/>
    <w:rsid w:val="003D16A7"/>
    <w:rsid w:val="003D1C36"/>
    <w:rsid w:val="003D33FB"/>
    <w:rsid w:val="003D51A9"/>
    <w:rsid w:val="003E05D6"/>
    <w:rsid w:val="003E1AD6"/>
    <w:rsid w:val="003E3313"/>
    <w:rsid w:val="003E7193"/>
    <w:rsid w:val="003E7C43"/>
    <w:rsid w:val="003F0264"/>
    <w:rsid w:val="003F3FDC"/>
    <w:rsid w:val="003F60D5"/>
    <w:rsid w:val="003F7C16"/>
    <w:rsid w:val="00401432"/>
    <w:rsid w:val="00402891"/>
    <w:rsid w:val="004045D8"/>
    <w:rsid w:val="0040523D"/>
    <w:rsid w:val="00405A5F"/>
    <w:rsid w:val="00407076"/>
    <w:rsid w:val="00407810"/>
    <w:rsid w:val="004105C3"/>
    <w:rsid w:val="00412C6E"/>
    <w:rsid w:val="00413630"/>
    <w:rsid w:val="0041505D"/>
    <w:rsid w:val="00416188"/>
    <w:rsid w:val="00417105"/>
    <w:rsid w:val="00417C70"/>
    <w:rsid w:val="0042012D"/>
    <w:rsid w:val="004234B2"/>
    <w:rsid w:val="0042602A"/>
    <w:rsid w:val="004309FE"/>
    <w:rsid w:val="00432C98"/>
    <w:rsid w:val="00434677"/>
    <w:rsid w:val="00442951"/>
    <w:rsid w:val="00443146"/>
    <w:rsid w:val="00447C6C"/>
    <w:rsid w:val="004502D2"/>
    <w:rsid w:val="004515E4"/>
    <w:rsid w:val="00452B8C"/>
    <w:rsid w:val="00453522"/>
    <w:rsid w:val="004554C8"/>
    <w:rsid w:val="00455CE4"/>
    <w:rsid w:val="004573BE"/>
    <w:rsid w:val="004602BA"/>
    <w:rsid w:val="004607A7"/>
    <w:rsid w:val="004617E5"/>
    <w:rsid w:val="00462652"/>
    <w:rsid w:val="00465633"/>
    <w:rsid w:val="004667EE"/>
    <w:rsid w:val="004669B5"/>
    <w:rsid w:val="00467D12"/>
    <w:rsid w:val="004734CF"/>
    <w:rsid w:val="00473734"/>
    <w:rsid w:val="004741F9"/>
    <w:rsid w:val="004746F4"/>
    <w:rsid w:val="004802A4"/>
    <w:rsid w:val="004820E9"/>
    <w:rsid w:val="0048361F"/>
    <w:rsid w:val="004865A1"/>
    <w:rsid w:val="00486F8B"/>
    <w:rsid w:val="00490B48"/>
    <w:rsid w:val="00491C18"/>
    <w:rsid w:val="004937F3"/>
    <w:rsid w:val="004941B0"/>
    <w:rsid w:val="0049573F"/>
    <w:rsid w:val="004A0669"/>
    <w:rsid w:val="004A0844"/>
    <w:rsid w:val="004A324E"/>
    <w:rsid w:val="004A3B51"/>
    <w:rsid w:val="004A6B96"/>
    <w:rsid w:val="004A6F28"/>
    <w:rsid w:val="004B00E7"/>
    <w:rsid w:val="004B095A"/>
    <w:rsid w:val="004B0C8A"/>
    <w:rsid w:val="004B12DD"/>
    <w:rsid w:val="004B2733"/>
    <w:rsid w:val="004B2C8F"/>
    <w:rsid w:val="004B514C"/>
    <w:rsid w:val="004B6779"/>
    <w:rsid w:val="004C064F"/>
    <w:rsid w:val="004C37C2"/>
    <w:rsid w:val="004C450A"/>
    <w:rsid w:val="004C5C8B"/>
    <w:rsid w:val="004C778F"/>
    <w:rsid w:val="004D1A9F"/>
    <w:rsid w:val="004D796D"/>
    <w:rsid w:val="004D7C92"/>
    <w:rsid w:val="004E0B59"/>
    <w:rsid w:val="004E250E"/>
    <w:rsid w:val="004E428B"/>
    <w:rsid w:val="004E479D"/>
    <w:rsid w:val="004E480A"/>
    <w:rsid w:val="004E5C60"/>
    <w:rsid w:val="004E65EF"/>
    <w:rsid w:val="004E6D48"/>
    <w:rsid w:val="004E7FFB"/>
    <w:rsid w:val="004F0DAC"/>
    <w:rsid w:val="004F0E41"/>
    <w:rsid w:val="004F1DD2"/>
    <w:rsid w:val="004F45B7"/>
    <w:rsid w:val="004F752B"/>
    <w:rsid w:val="00500C65"/>
    <w:rsid w:val="00501960"/>
    <w:rsid w:val="00501E53"/>
    <w:rsid w:val="0050276F"/>
    <w:rsid w:val="005066D9"/>
    <w:rsid w:val="00506BED"/>
    <w:rsid w:val="00507549"/>
    <w:rsid w:val="00507EDD"/>
    <w:rsid w:val="0052027F"/>
    <w:rsid w:val="00523C12"/>
    <w:rsid w:val="0052507B"/>
    <w:rsid w:val="00526BDE"/>
    <w:rsid w:val="00526C07"/>
    <w:rsid w:val="0053000D"/>
    <w:rsid w:val="00530440"/>
    <w:rsid w:val="00531624"/>
    <w:rsid w:val="00531BA7"/>
    <w:rsid w:val="00533411"/>
    <w:rsid w:val="0053387C"/>
    <w:rsid w:val="005345BF"/>
    <w:rsid w:val="00535ABA"/>
    <w:rsid w:val="00535B0C"/>
    <w:rsid w:val="00535D8B"/>
    <w:rsid w:val="005366C7"/>
    <w:rsid w:val="00536BF2"/>
    <w:rsid w:val="005373A5"/>
    <w:rsid w:val="00537774"/>
    <w:rsid w:val="005377F4"/>
    <w:rsid w:val="00541499"/>
    <w:rsid w:val="0054154C"/>
    <w:rsid w:val="005415D6"/>
    <w:rsid w:val="005426A7"/>
    <w:rsid w:val="005432CF"/>
    <w:rsid w:val="005443C9"/>
    <w:rsid w:val="005447A3"/>
    <w:rsid w:val="00544ABD"/>
    <w:rsid w:val="005456B1"/>
    <w:rsid w:val="0054719F"/>
    <w:rsid w:val="00547CC0"/>
    <w:rsid w:val="00551D6E"/>
    <w:rsid w:val="005548F6"/>
    <w:rsid w:val="005556BD"/>
    <w:rsid w:val="005565FE"/>
    <w:rsid w:val="005567AF"/>
    <w:rsid w:val="00556D13"/>
    <w:rsid w:val="00560393"/>
    <w:rsid w:val="00561164"/>
    <w:rsid w:val="005620B3"/>
    <w:rsid w:val="00562D61"/>
    <w:rsid w:val="0056452D"/>
    <w:rsid w:val="005648EE"/>
    <w:rsid w:val="00565FE8"/>
    <w:rsid w:val="00566183"/>
    <w:rsid w:val="00567998"/>
    <w:rsid w:val="005718EA"/>
    <w:rsid w:val="00574ACA"/>
    <w:rsid w:val="00575FB6"/>
    <w:rsid w:val="0057600B"/>
    <w:rsid w:val="00580146"/>
    <w:rsid w:val="005803CE"/>
    <w:rsid w:val="005826BE"/>
    <w:rsid w:val="00584049"/>
    <w:rsid w:val="0058413D"/>
    <w:rsid w:val="00587923"/>
    <w:rsid w:val="005879DE"/>
    <w:rsid w:val="00587E26"/>
    <w:rsid w:val="00591708"/>
    <w:rsid w:val="00594B95"/>
    <w:rsid w:val="00595120"/>
    <w:rsid w:val="00597A45"/>
    <w:rsid w:val="005A09AA"/>
    <w:rsid w:val="005A250C"/>
    <w:rsid w:val="005A29CB"/>
    <w:rsid w:val="005A5D58"/>
    <w:rsid w:val="005A69E0"/>
    <w:rsid w:val="005A6BC7"/>
    <w:rsid w:val="005A7602"/>
    <w:rsid w:val="005B12F2"/>
    <w:rsid w:val="005B14B1"/>
    <w:rsid w:val="005B2546"/>
    <w:rsid w:val="005B26C1"/>
    <w:rsid w:val="005B4CE5"/>
    <w:rsid w:val="005B690D"/>
    <w:rsid w:val="005B6B96"/>
    <w:rsid w:val="005B7760"/>
    <w:rsid w:val="005B77BE"/>
    <w:rsid w:val="005C03DD"/>
    <w:rsid w:val="005C051F"/>
    <w:rsid w:val="005C2153"/>
    <w:rsid w:val="005C22B1"/>
    <w:rsid w:val="005C272C"/>
    <w:rsid w:val="005C6084"/>
    <w:rsid w:val="005C642C"/>
    <w:rsid w:val="005C734C"/>
    <w:rsid w:val="005C75DA"/>
    <w:rsid w:val="005C762E"/>
    <w:rsid w:val="005D098C"/>
    <w:rsid w:val="005D260D"/>
    <w:rsid w:val="005D31D4"/>
    <w:rsid w:val="005D3C87"/>
    <w:rsid w:val="005D4E03"/>
    <w:rsid w:val="005D7A80"/>
    <w:rsid w:val="005E037E"/>
    <w:rsid w:val="005E169E"/>
    <w:rsid w:val="005E4070"/>
    <w:rsid w:val="005E4BEB"/>
    <w:rsid w:val="005E546D"/>
    <w:rsid w:val="005E777E"/>
    <w:rsid w:val="005E77C1"/>
    <w:rsid w:val="005F15B2"/>
    <w:rsid w:val="005F7B77"/>
    <w:rsid w:val="00600537"/>
    <w:rsid w:val="006007BA"/>
    <w:rsid w:val="00600ECC"/>
    <w:rsid w:val="00603C94"/>
    <w:rsid w:val="00603E31"/>
    <w:rsid w:val="00605F1D"/>
    <w:rsid w:val="0060662A"/>
    <w:rsid w:val="006079F0"/>
    <w:rsid w:val="00611591"/>
    <w:rsid w:val="00611FC7"/>
    <w:rsid w:val="00612789"/>
    <w:rsid w:val="006128B7"/>
    <w:rsid w:val="00614BDA"/>
    <w:rsid w:val="00615E48"/>
    <w:rsid w:val="00617C09"/>
    <w:rsid w:val="00620FDD"/>
    <w:rsid w:val="00621B58"/>
    <w:rsid w:val="006220B9"/>
    <w:rsid w:val="00623F6F"/>
    <w:rsid w:val="00625F50"/>
    <w:rsid w:val="006331B4"/>
    <w:rsid w:val="00633618"/>
    <w:rsid w:val="006343F3"/>
    <w:rsid w:val="006344A4"/>
    <w:rsid w:val="00636383"/>
    <w:rsid w:val="00636B18"/>
    <w:rsid w:val="0063738B"/>
    <w:rsid w:val="00640D23"/>
    <w:rsid w:val="00642902"/>
    <w:rsid w:val="00642906"/>
    <w:rsid w:val="00642BBF"/>
    <w:rsid w:val="006432A5"/>
    <w:rsid w:val="006434F0"/>
    <w:rsid w:val="00643B03"/>
    <w:rsid w:val="00643DB2"/>
    <w:rsid w:val="006457EF"/>
    <w:rsid w:val="00646852"/>
    <w:rsid w:val="00646F42"/>
    <w:rsid w:val="0064772D"/>
    <w:rsid w:val="006504F8"/>
    <w:rsid w:val="006513FE"/>
    <w:rsid w:val="00651535"/>
    <w:rsid w:val="00651614"/>
    <w:rsid w:val="006525B5"/>
    <w:rsid w:val="00652D74"/>
    <w:rsid w:val="00652DB1"/>
    <w:rsid w:val="00655988"/>
    <w:rsid w:val="00656350"/>
    <w:rsid w:val="00656EA7"/>
    <w:rsid w:val="006570A7"/>
    <w:rsid w:val="00657509"/>
    <w:rsid w:val="0066179F"/>
    <w:rsid w:val="0066238A"/>
    <w:rsid w:val="006642D3"/>
    <w:rsid w:val="00664768"/>
    <w:rsid w:val="00664D65"/>
    <w:rsid w:val="006656E7"/>
    <w:rsid w:val="00667122"/>
    <w:rsid w:val="0067039F"/>
    <w:rsid w:val="00670A8C"/>
    <w:rsid w:val="00672EFB"/>
    <w:rsid w:val="006759F6"/>
    <w:rsid w:val="00680C7B"/>
    <w:rsid w:val="00681321"/>
    <w:rsid w:val="00682578"/>
    <w:rsid w:val="00685750"/>
    <w:rsid w:val="00686E17"/>
    <w:rsid w:val="0069257D"/>
    <w:rsid w:val="00692ED8"/>
    <w:rsid w:val="00693903"/>
    <w:rsid w:val="00694535"/>
    <w:rsid w:val="00694F71"/>
    <w:rsid w:val="006964C5"/>
    <w:rsid w:val="00697201"/>
    <w:rsid w:val="006A2D99"/>
    <w:rsid w:val="006A368C"/>
    <w:rsid w:val="006A47B1"/>
    <w:rsid w:val="006A6751"/>
    <w:rsid w:val="006A721F"/>
    <w:rsid w:val="006A74A4"/>
    <w:rsid w:val="006B29B6"/>
    <w:rsid w:val="006B4833"/>
    <w:rsid w:val="006B5903"/>
    <w:rsid w:val="006B6132"/>
    <w:rsid w:val="006B678A"/>
    <w:rsid w:val="006B6B5F"/>
    <w:rsid w:val="006B71F3"/>
    <w:rsid w:val="006B798D"/>
    <w:rsid w:val="006B7CC6"/>
    <w:rsid w:val="006C0934"/>
    <w:rsid w:val="006C0DD3"/>
    <w:rsid w:val="006C2DBF"/>
    <w:rsid w:val="006C3205"/>
    <w:rsid w:val="006C4915"/>
    <w:rsid w:val="006C5FE7"/>
    <w:rsid w:val="006C626E"/>
    <w:rsid w:val="006C6296"/>
    <w:rsid w:val="006C6561"/>
    <w:rsid w:val="006C72E1"/>
    <w:rsid w:val="006C791B"/>
    <w:rsid w:val="006C7C86"/>
    <w:rsid w:val="006D076E"/>
    <w:rsid w:val="006D19D8"/>
    <w:rsid w:val="006D1A38"/>
    <w:rsid w:val="006D3903"/>
    <w:rsid w:val="006D4C6B"/>
    <w:rsid w:val="006D629C"/>
    <w:rsid w:val="006D73F1"/>
    <w:rsid w:val="006D7BC6"/>
    <w:rsid w:val="006E011E"/>
    <w:rsid w:val="006E09FE"/>
    <w:rsid w:val="006E146E"/>
    <w:rsid w:val="006E1B4A"/>
    <w:rsid w:val="006E2A4A"/>
    <w:rsid w:val="006E2C34"/>
    <w:rsid w:val="006E40EC"/>
    <w:rsid w:val="006E41DE"/>
    <w:rsid w:val="006E58D9"/>
    <w:rsid w:val="006E68CD"/>
    <w:rsid w:val="006E6BB9"/>
    <w:rsid w:val="006E71E6"/>
    <w:rsid w:val="006F1A64"/>
    <w:rsid w:val="006F4071"/>
    <w:rsid w:val="006F5D27"/>
    <w:rsid w:val="006F6348"/>
    <w:rsid w:val="006F7322"/>
    <w:rsid w:val="00703D5F"/>
    <w:rsid w:val="007041E2"/>
    <w:rsid w:val="00704598"/>
    <w:rsid w:val="00706679"/>
    <w:rsid w:val="00706D45"/>
    <w:rsid w:val="00711205"/>
    <w:rsid w:val="0071173A"/>
    <w:rsid w:val="0071343D"/>
    <w:rsid w:val="00714136"/>
    <w:rsid w:val="00714611"/>
    <w:rsid w:val="00714683"/>
    <w:rsid w:val="0071547A"/>
    <w:rsid w:val="0071565C"/>
    <w:rsid w:val="00715BC7"/>
    <w:rsid w:val="00720BC7"/>
    <w:rsid w:val="007213A1"/>
    <w:rsid w:val="00723154"/>
    <w:rsid w:val="00731B05"/>
    <w:rsid w:val="00732519"/>
    <w:rsid w:val="00737FD4"/>
    <w:rsid w:val="00740CEE"/>
    <w:rsid w:val="00742089"/>
    <w:rsid w:val="00745ED4"/>
    <w:rsid w:val="00750FDB"/>
    <w:rsid w:val="0075402C"/>
    <w:rsid w:val="0075706D"/>
    <w:rsid w:val="00757B24"/>
    <w:rsid w:val="007610CE"/>
    <w:rsid w:val="00761449"/>
    <w:rsid w:val="00762A78"/>
    <w:rsid w:val="00762D4E"/>
    <w:rsid w:val="007631F6"/>
    <w:rsid w:val="007636AC"/>
    <w:rsid w:val="00764256"/>
    <w:rsid w:val="00766FA8"/>
    <w:rsid w:val="00767324"/>
    <w:rsid w:val="0077555F"/>
    <w:rsid w:val="00781423"/>
    <w:rsid w:val="00792109"/>
    <w:rsid w:val="007939FC"/>
    <w:rsid w:val="00794879"/>
    <w:rsid w:val="00797158"/>
    <w:rsid w:val="007A1B41"/>
    <w:rsid w:val="007A4EEE"/>
    <w:rsid w:val="007A5931"/>
    <w:rsid w:val="007A63DC"/>
    <w:rsid w:val="007B0432"/>
    <w:rsid w:val="007B4159"/>
    <w:rsid w:val="007B4A58"/>
    <w:rsid w:val="007C0BAA"/>
    <w:rsid w:val="007C0DEC"/>
    <w:rsid w:val="007C2BA6"/>
    <w:rsid w:val="007C3D8B"/>
    <w:rsid w:val="007C43DD"/>
    <w:rsid w:val="007C68B0"/>
    <w:rsid w:val="007D034D"/>
    <w:rsid w:val="007D097C"/>
    <w:rsid w:val="007D1F2D"/>
    <w:rsid w:val="007D7E6F"/>
    <w:rsid w:val="007E0E8D"/>
    <w:rsid w:val="007E339B"/>
    <w:rsid w:val="007E3C5F"/>
    <w:rsid w:val="007E4953"/>
    <w:rsid w:val="007E4EB0"/>
    <w:rsid w:val="007E64B3"/>
    <w:rsid w:val="007E7689"/>
    <w:rsid w:val="007E7880"/>
    <w:rsid w:val="007F3CD0"/>
    <w:rsid w:val="007F44F6"/>
    <w:rsid w:val="007F6B30"/>
    <w:rsid w:val="00800667"/>
    <w:rsid w:val="00801121"/>
    <w:rsid w:val="008028ED"/>
    <w:rsid w:val="008029E3"/>
    <w:rsid w:val="00802FAA"/>
    <w:rsid w:val="00803582"/>
    <w:rsid w:val="008048B0"/>
    <w:rsid w:val="008056BA"/>
    <w:rsid w:val="008056E7"/>
    <w:rsid w:val="00805B96"/>
    <w:rsid w:val="008065BE"/>
    <w:rsid w:val="008067DD"/>
    <w:rsid w:val="00806FF6"/>
    <w:rsid w:val="00807BC3"/>
    <w:rsid w:val="00811B6B"/>
    <w:rsid w:val="00814937"/>
    <w:rsid w:val="00814DEF"/>
    <w:rsid w:val="008205F9"/>
    <w:rsid w:val="0082287D"/>
    <w:rsid w:val="00824C92"/>
    <w:rsid w:val="00832511"/>
    <w:rsid w:val="00832C5F"/>
    <w:rsid w:val="0083423D"/>
    <w:rsid w:val="0083566D"/>
    <w:rsid w:val="008357DE"/>
    <w:rsid w:val="008361E9"/>
    <w:rsid w:val="00836EAC"/>
    <w:rsid w:val="00841A9A"/>
    <w:rsid w:val="00844641"/>
    <w:rsid w:val="00846A13"/>
    <w:rsid w:val="00846BCB"/>
    <w:rsid w:val="008476FB"/>
    <w:rsid w:val="00847B70"/>
    <w:rsid w:val="008505C3"/>
    <w:rsid w:val="00850C11"/>
    <w:rsid w:val="00852913"/>
    <w:rsid w:val="00852CF6"/>
    <w:rsid w:val="00855B4A"/>
    <w:rsid w:val="00856887"/>
    <w:rsid w:val="00857456"/>
    <w:rsid w:val="00857B99"/>
    <w:rsid w:val="00863CE0"/>
    <w:rsid w:val="0086472B"/>
    <w:rsid w:val="008649F8"/>
    <w:rsid w:val="008651DA"/>
    <w:rsid w:val="00867FDE"/>
    <w:rsid w:val="00870FE9"/>
    <w:rsid w:val="0087328A"/>
    <w:rsid w:val="0087631D"/>
    <w:rsid w:val="00876665"/>
    <w:rsid w:val="00876779"/>
    <w:rsid w:val="0087734B"/>
    <w:rsid w:val="0088008C"/>
    <w:rsid w:val="008804C5"/>
    <w:rsid w:val="0088099B"/>
    <w:rsid w:val="00880C0F"/>
    <w:rsid w:val="00880F8C"/>
    <w:rsid w:val="00881265"/>
    <w:rsid w:val="00882274"/>
    <w:rsid w:val="00882F9A"/>
    <w:rsid w:val="00884258"/>
    <w:rsid w:val="00885566"/>
    <w:rsid w:val="0088700E"/>
    <w:rsid w:val="00887068"/>
    <w:rsid w:val="0089074C"/>
    <w:rsid w:val="0089166E"/>
    <w:rsid w:val="008953E3"/>
    <w:rsid w:val="00897A99"/>
    <w:rsid w:val="008A1434"/>
    <w:rsid w:val="008A26ED"/>
    <w:rsid w:val="008A2B66"/>
    <w:rsid w:val="008A3427"/>
    <w:rsid w:val="008A34B5"/>
    <w:rsid w:val="008A5026"/>
    <w:rsid w:val="008A7A3A"/>
    <w:rsid w:val="008A7DA7"/>
    <w:rsid w:val="008A7F55"/>
    <w:rsid w:val="008B2A7D"/>
    <w:rsid w:val="008B2FFB"/>
    <w:rsid w:val="008B4EF9"/>
    <w:rsid w:val="008B526D"/>
    <w:rsid w:val="008B562E"/>
    <w:rsid w:val="008B5A22"/>
    <w:rsid w:val="008B6491"/>
    <w:rsid w:val="008C14E2"/>
    <w:rsid w:val="008C1B72"/>
    <w:rsid w:val="008C4CE3"/>
    <w:rsid w:val="008C507B"/>
    <w:rsid w:val="008C6478"/>
    <w:rsid w:val="008C7E44"/>
    <w:rsid w:val="008D0542"/>
    <w:rsid w:val="008D150E"/>
    <w:rsid w:val="008D1C5E"/>
    <w:rsid w:val="008D1D1B"/>
    <w:rsid w:val="008D22AE"/>
    <w:rsid w:val="008D62D8"/>
    <w:rsid w:val="008D6C7A"/>
    <w:rsid w:val="008E2A01"/>
    <w:rsid w:val="008E34FE"/>
    <w:rsid w:val="008E3C52"/>
    <w:rsid w:val="008E4C37"/>
    <w:rsid w:val="008E6413"/>
    <w:rsid w:val="008E65C3"/>
    <w:rsid w:val="008E7585"/>
    <w:rsid w:val="008F1EF6"/>
    <w:rsid w:val="008F60A8"/>
    <w:rsid w:val="00900782"/>
    <w:rsid w:val="00901786"/>
    <w:rsid w:val="009029B4"/>
    <w:rsid w:val="00902BAE"/>
    <w:rsid w:val="00902E6C"/>
    <w:rsid w:val="00903F5D"/>
    <w:rsid w:val="00904823"/>
    <w:rsid w:val="009056A1"/>
    <w:rsid w:val="009074E3"/>
    <w:rsid w:val="00910D22"/>
    <w:rsid w:val="00911F5B"/>
    <w:rsid w:val="00916C4E"/>
    <w:rsid w:val="00917344"/>
    <w:rsid w:val="00917A30"/>
    <w:rsid w:val="009212D5"/>
    <w:rsid w:val="00921B24"/>
    <w:rsid w:val="00921D99"/>
    <w:rsid w:val="0092310A"/>
    <w:rsid w:val="00923174"/>
    <w:rsid w:val="00924568"/>
    <w:rsid w:val="00924CAB"/>
    <w:rsid w:val="00925F46"/>
    <w:rsid w:val="009263BF"/>
    <w:rsid w:val="009264EA"/>
    <w:rsid w:val="0092657D"/>
    <w:rsid w:val="009279F6"/>
    <w:rsid w:val="00932E35"/>
    <w:rsid w:val="00935D4D"/>
    <w:rsid w:val="0093655E"/>
    <w:rsid w:val="00936DBF"/>
    <w:rsid w:val="00940EFE"/>
    <w:rsid w:val="009410D0"/>
    <w:rsid w:val="0094366C"/>
    <w:rsid w:val="009437E8"/>
    <w:rsid w:val="009444D1"/>
    <w:rsid w:val="009444D7"/>
    <w:rsid w:val="0094534D"/>
    <w:rsid w:val="009468C7"/>
    <w:rsid w:val="00953ADF"/>
    <w:rsid w:val="0095434A"/>
    <w:rsid w:val="00956A0C"/>
    <w:rsid w:val="0096374B"/>
    <w:rsid w:val="00963978"/>
    <w:rsid w:val="0096542D"/>
    <w:rsid w:val="00965476"/>
    <w:rsid w:val="00965CB5"/>
    <w:rsid w:val="009674B0"/>
    <w:rsid w:val="0097459D"/>
    <w:rsid w:val="00975DD7"/>
    <w:rsid w:val="00981F46"/>
    <w:rsid w:val="00982AE4"/>
    <w:rsid w:val="00986AD4"/>
    <w:rsid w:val="00986DC8"/>
    <w:rsid w:val="009875B7"/>
    <w:rsid w:val="00990A8F"/>
    <w:rsid w:val="00993555"/>
    <w:rsid w:val="009946F8"/>
    <w:rsid w:val="0099532C"/>
    <w:rsid w:val="00995653"/>
    <w:rsid w:val="00996ECF"/>
    <w:rsid w:val="00997D94"/>
    <w:rsid w:val="009A0DE7"/>
    <w:rsid w:val="009A1881"/>
    <w:rsid w:val="009A70FF"/>
    <w:rsid w:val="009A7EF6"/>
    <w:rsid w:val="009B0D61"/>
    <w:rsid w:val="009B2B0F"/>
    <w:rsid w:val="009B4FFB"/>
    <w:rsid w:val="009B5F75"/>
    <w:rsid w:val="009B621A"/>
    <w:rsid w:val="009B6293"/>
    <w:rsid w:val="009B710F"/>
    <w:rsid w:val="009B7275"/>
    <w:rsid w:val="009C073A"/>
    <w:rsid w:val="009C20EF"/>
    <w:rsid w:val="009C45D9"/>
    <w:rsid w:val="009C48CE"/>
    <w:rsid w:val="009C5EDF"/>
    <w:rsid w:val="009C6F32"/>
    <w:rsid w:val="009C74A3"/>
    <w:rsid w:val="009D1DCB"/>
    <w:rsid w:val="009D240C"/>
    <w:rsid w:val="009D2B9B"/>
    <w:rsid w:val="009D3C1F"/>
    <w:rsid w:val="009D667A"/>
    <w:rsid w:val="009D6E90"/>
    <w:rsid w:val="009D76C9"/>
    <w:rsid w:val="009E3187"/>
    <w:rsid w:val="009E3CED"/>
    <w:rsid w:val="009F2748"/>
    <w:rsid w:val="009F5A55"/>
    <w:rsid w:val="009F682F"/>
    <w:rsid w:val="00A005EB"/>
    <w:rsid w:val="00A020B2"/>
    <w:rsid w:val="00A02114"/>
    <w:rsid w:val="00A02477"/>
    <w:rsid w:val="00A035E2"/>
    <w:rsid w:val="00A04252"/>
    <w:rsid w:val="00A057F2"/>
    <w:rsid w:val="00A06657"/>
    <w:rsid w:val="00A11F71"/>
    <w:rsid w:val="00A12B67"/>
    <w:rsid w:val="00A13439"/>
    <w:rsid w:val="00A13F87"/>
    <w:rsid w:val="00A14BB8"/>
    <w:rsid w:val="00A173D6"/>
    <w:rsid w:val="00A202DE"/>
    <w:rsid w:val="00A2157E"/>
    <w:rsid w:val="00A21F19"/>
    <w:rsid w:val="00A22F1F"/>
    <w:rsid w:val="00A239BD"/>
    <w:rsid w:val="00A24025"/>
    <w:rsid w:val="00A26995"/>
    <w:rsid w:val="00A278A5"/>
    <w:rsid w:val="00A30D5F"/>
    <w:rsid w:val="00A30EDD"/>
    <w:rsid w:val="00A31713"/>
    <w:rsid w:val="00A31CD7"/>
    <w:rsid w:val="00A342AC"/>
    <w:rsid w:val="00A4151E"/>
    <w:rsid w:val="00A41CB8"/>
    <w:rsid w:val="00A42059"/>
    <w:rsid w:val="00A43856"/>
    <w:rsid w:val="00A44681"/>
    <w:rsid w:val="00A4737F"/>
    <w:rsid w:val="00A4765F"/>
    <w:rsid w:val="00A537E4"/>
    <w:rsid w:val="00A53999"/>
    <w:rsid w:val="00A53A17"/>
    <w:rsid w:val="00A53D91"/>
    <w:rsid w:val="00A54C61"/>
    <w:rsid w:val="00A54D0B"/>
    <w:rsid w:val="00A57C04"/>
    <w:rsid w:val="00A57C2C"/>
    <w:rsid w:val="00A6159B"/>
    <w:rsid w:val="00A62C30"/>
    <w:rsid w:val="00A63C51"/>
    <w:rsid w:val="00A64AE3"/>
    <w:rsid w:val="00A65EF3"/>
    <w:rsid w:val="00A66142"/>
    <w:rsid w:val="00A662E9"/>
    <w:rsid w:val="00A66402"/>
    <w:rsid w:val="00A66585"/>
    <w:rsid w:val="00A67D76"/>
    <w:rsid w:val="00A722CC"/>
    <w:rsid w:val="00A72585"/>
    <w:rsid w:val="00A7343D"/>
    <w:rsid w:val="00A75434"/>
    <w:rsid w:val="00A76017"/>
    <w:rsid w:val="00A76457"/>
    <w:rsid w:val="00A77792"/>
    <w:rsid w:val="00A81525"/>
    <w:rsid w:val="00A8648E"/>
    <w:rsid w:val="00A86D3D"/>
    <w:rsid w:val="00A8746D"/>
    <w:rsid w:val="00A87DE1"/>
    <w:rsid w:val="00A90EA0"/>
    <w:rsid w:val="00A93367"/>
    <w:rsid w:val="00A95B5D"/>
    <w:rsid w:val="00A968F6"/>
    <w:rsid w:val="00A96919"/>
    <w:rsid w:val="00A9796E"/>
    <w:rsid w:val="00AA0D56"/>
    <w:rsid w:val="00AA4F0F"/>
    <w:rsid w:val="00AA4F80"/>
    <w:rsid w:val="00AA574F"/>
    <w:rsid w:val="00AA5E9B"/>
    <w:rsid w:val="00AA7004"/>
    <w:rsid w:val="00AA7636"/>
    <w:rsid w:val="00AA76DA"/>
    <w:rsid w:val="00AB173B"/>
    <w:rsid w:val="00AB1BB0"/>
    <w:rsid w:val="00AB209E"/>
    <w:rsid w:val="00AB2169"/>
    <w:rsid w:val="00AB2948"/>
    <w:rsid w:val="00AB39FA"/>
    <w:rsid w:val="00AB46EA"/>
    <w:rsid w:val="00AB5E42"/>
    <w:rsid w:val="00AC28CF"/>
    <w:rsid w:val="00AC42A4"/>
    <w:rsid w:val="00AC574D"/>
    <w:rsid w:val="00AC6C62"/>
    <w:rsid w:val="00AC73B4"/>
    <w:rsid w:val="00AC7677"/>
    <w:rsid w:val="00AC7A93"/>
    <w:rsid w:val="00AD2043"/>
    <w:rsid w:val="00AD3919"/>
    <w:rsid w:val="00AD3C33"/>
    <w:rsid w:val="00AD443D"/>
    <w:rsid w:val="00AD5718"/>
    <w:rsid w:val="00AD6933"/>
    <w:rsid w:val="00AD6B7B"/>
    <w:rsid w:val="00AD7BE5"/>
    <w:rsid w:val="00AE2E09"/>
    <w:rsid w:val="00AE3A36"/>
    <w:rsid w:val="00AE58C2"/>
    <w:rsid w:val="00AE6276"/>
    <w:rsid w:val="00AE7003"/>
    <w:rsid w:val="00AF06E5"/>
    <w:rsid w:val="00AF1DAD"/>
    <w:rsid w:val="00AF35EA"/>
    <w:rsid w:val="00AF3FBB"/>
    <w:rsid w:val="00AF4F18"/>
    <w:rsid w:val="00AF4F54"/>
    <w:rsid w:val="00AF59A2"/>
    <w:rsid w:val="00AF6F4B"/>
    <w:rsid w:val="00B0032A"/>
    <w:rsid w:val="00B01758"/>
    <w:rsid w:val="00B01F01"/>
    <w:rsid w:val="00B021C6"/>
    <w:rsid w:val="00B02702"/>
    <w:rsid w:val="00B03328"/>
    <w:rsid w:val="00B036A0"/>
    <w:rsid w:val="00B06CBB"/>
    <w:rsid w:val="00B0703D"/>
    <w:rsid w:val="00B10A67"/>
    <w:rsid w:val="00B11BDD"/>
    <w:rsid w:val="00B13378"/>
    <w:rsid w:val="00B16EA8"/>
    <w:rsid w:val="00B177C1"/>
    <w:rsid w:val="00B22A49"/>
    <w:rsid w:val="00B3077D"/>
    <w:rsid w:val="00B33F8E"/>
    <w:rsid w:val="00B33FA5"/>
    <w:rsid w:val="00B407D1"/>
    <w:rsid w:val="00B40D0B"/>
    <w:rsid w:val="00B41978"/>
    <w:rsid w:val="00B44BC9"/>
    <w:rsid w:val="00B44FBD"/>
    <w:rsid w:val="00B464CC"/>
    <w:rsid w:val="00B47EFB"/>
    <w:rsid w:val="00B503F7"/>
    <w:rsid w:val="00B51BF6"/>
    <w:rsid w:val="00B528B3"/>
    <w:rsid w:val="00B5304F"/>
    <w:rsid w:val="00B55B1C"/>
    <w:rsid w:val="00B55CC6"/>
    <w:rsid w:val="00B56EFF"/>
    <w:rsid w:val="00B6033C"/>
    <w:rsid w:val="00B61A4D"/>
    <w:rsid w:val="00B65CB3"/>
    <w:rsid w:val="00B6782B"/>
    <w:rsid w:val="00B6796B"/>
    <w:rsid w:val="00B7103A"/>
    <w:rsid w:val="00B743C2"/>
    <w:rsid w:val="00B76533"/>
    <w:rsid w:val="00B76ABD"/>
    <w:rsid w:val="00B771C2"/>
    <w:rsid w:val="00B774DB"/>
    <w:rsid w:val="00B77E77"/>
    <w:rsid w:val="00B8180D"/>
    <w:rsid w:val="00B81C78"/>
    <w:rsid w:val="00B8229E"/>
    <w:rsid w:val="00B840FD"/>
    <w:rsid w:val="00B847B5"/>
    <w:rsid w:val="00B852F9"/>
    <w:rsid w:val="00B86859"/>
    <w:rsid w:val="00B90BA1"/>
    <w:rsid w:val="00B91357"/>
    <w:rsid w:val="00B964FB"/>
    <w:rsid w:val="00B97028"/>
    <w:rsid w:val="00BA005C"/>
    <w:rsid w:val="00BA0E6C"/>
    <w:rsid w:val="00BA1D1B"/>
    <w:rsid w:val="00BA3921"/>
    <w:rsid w:val="00BA481A"/>
    <w:rsid w:val="00BA5338"/>
    <w:rsid w:val="00BA564B"/>
    <w:rsid w:val="00BA62B8"/>
    <w:rsid w:val="00BB004C"/>
    <w:rsid w:val="00BB047B"/>
    <w:rsid w:val="00BB0F00"/>
    <w:rsid w:val="00BB2698"/>
    <w:rsid w:val="00BB3FEE"/>
    <w:rsid w:val="00BB41EB"/>
    <w:rsid w:val="00BB6398"/>
    <w:rsid w:val="00BB6AE1"/>
    <w:rsid w:val="00BB781C"/>
    <w:rsid w:val="00BB7C09"/>
    <w:rsid w:val="00BB7DBF"/>
    <w:rsid w:val="00BC006D"/>
    <w:rsid w:val="00BC015B"/>
    <w:rsid w:val="00BC0267"/>
    <w:rsid w:val="00BC100E"/>
    <w:rsid w:val="00BC18D2"/>
    <w:rsid w:val="00BC1FE4"/>
    <w:rsid w:val="00BC2550"/>
    <w:rsid w:val="00BC2816"/>
    <w:rsid w:val="00BC2C23"/>
    <w:rsid w:val="00BC517F"/>
    <w:rsid w:val="00BC6D48"/>
    <w:rsid w:val="00BD0359"/>
    <w:rsid w:val="00BD0372"/>
    <w:rsid w:val="00BD3811"/>
    <w:rsid w:val="00BD44D2"/>
    <w:rsid w:val="00BD4C1E"/>
    <w:rsid w:val="00BD4C6D"/>
    <w:rsid w:val="00BE07E9"/>
    <w:rsid w:val="00BE0FF7"/>
    <w:rsid w:val="00BE1970"/>
    <w:rsid w:val="00BE3729"/>
    <w:rsid w:val="00BE37BA"/>
    <w:rsid w:val="00BE4A56"/>
    <w:rsid w:val="00BE4DC3"/>
    <w:rsid w:val="00BF06E7"/>
    <w:rsid w:val="00BF307A"/>
    <w:rsid w:val="00BF5A31"/>
    <w:rsid w:val="00BF77A3"/>
    <w:rsid w:val="00C0077F"/>
    <w:rsid w:val="00C016A5"/>
    <w:rsid w:val="00C022B8"/>
    <w:rsid w:val="00C061F3"/>
    <w:rsid w:val="00C062C6"/>
    <w:rsid w:val="00C06827"/>
    <w:rsid w:val="00C0734B"/>
    <w:rsid w:val="00C11E5A"/>
    <w:rsid w:val="00C12263"/>
    <w:rsid w:val="00C139CA"/>
    <w:rsid w:val="00C13ACD"/>
    <w:rsid w:val="00C1762A"/>
    <w:rsid w:val="00C1793E"/>
    <w:rsid w:val="00C17FD0"/>
    <w:rsid w:val="00C206E2"/>
    <w:rsid w:val="00C206FA"/>
    <w:rsid w:val="00C23323"/>
    <w:rsid w:val="00C26C7C"/>
    <w:rsid w:val="00C3168D"/>
    <w:rsid w:val="00C33108"/>
    <w:rsid w:val="00C33791"/>
    <w:rsid w:val="00C33E9B"/>
    <w:rsid w:val="00C34331"/>
    <w:rsid w:val="00C35F5F"/>
    <w:rsid w:val="00C36339"/>
    <w:rsid w:val="00C37225"/>
    <w:rsid w:val="00C3797A"/>
    <w:rsid w:val="00C40D08"/>
    <w:rsid w:val="00C43928"/>
    <w:rsid w:val="00C44AC8"/>
    <w:rsid w:val="00C44BA0"/>
    <w:rsid w:val="00C45003"/>
    <w:rsid w:val="00C460E7"/>
    <w:rsid w:val="00C468FA"/>
    <w:rsid w:val="00C50061"/>
    <w:rsid w:val="00C51429"/>
    <w:rsid w:val="00C52F4F"/>
    <w:rsid w:val="00C54F90"/>
    <w:rsid w:val="00C60656"/>
    <w:rsid w:val="00C63CE5"/>
    <w:rsid w:val="00C65204"/>
    <w:rsid w:val="00C67912"/>
    <w:rsid w:val="00C715E3"/>
    <w:rsid w:val="00C744AF"/>
    <w:rsid w:val="00C7581A"/>
    <w:rsid w:val="00C75CD7"/>
    <w:rsid w:val="00C83188"/>
    <w:rsid w:val="00C83FD7"/>
    <w:rsid w:val="00C85C5B"/>
    <w:rsid w:val="00C909CB"/>
    <w:rsid w:val="00C90E41"/>
    <w:rsid w:val="00C93DA9"/>
    <w:rsid w:val="00C94CF5"/>
    <w:rsid w:val="00C94F0A"/>
    <w:rsid w:val="00C9513E"/>
    <w:rsid w:val="00CA0299"/>
    <w:rsid w:val="00CA1186"/>
    <w:rsid w:val="00CA2C26"/>
    <w:rsid w:val="00CA5438"/>
    <w:rsid w:val="00CA6802"/>
    <w:rsid w:val="00CA7110"/>
    <w:rsid w:val="00CA7115"/>
    <w:rsid w:val="00CA78F6"/>
    <w:rsid w:val="00CB09AA"/>
    <w:rsid w:val="00CB248E"/>
    <w:rsid w:val="00CB35CF"/>
    <w:rsid w:val="00CB7C96"/>
    <w:rsid w:val="00CC3FCA"/>
    <w:rsid w:val="00CC4097"/>
    <w:rsid w:val="00CC4AF5"/>
    <w:rsid w:val="00CC4DBE"/>
    <w:rsid w:val="00CC5867"/>
    <w:rsid w:val="00CC6327"/>
    <w:rsid w:val="00CD0944"/>
    <w:rsid w:val="00CD1128"/>
    <w:rsid w:val="00CD1DD7"/>
    <w:rsid w:val="00CD2D91"/>
    <w:rsid w:val="00CD51E5"/>
    <w:rsid w:val="00CD7225"/>
    <w:rsid w:val="00CD77E8"/>
    <w:rsid w:val="00CE0399"/>
    <w:rsid w:val="00CE7268"/>
    <w:rsid w:val="00CE7AA8"/>
    <w:rsid w:val="00CE7AE7"/>
    <w:rsid w:val="00CF00BF"/>
    <w:rsid w:val="00CF7A03"/>
    <w:rsid w:val="00D0162D"/>
    <w:rsid w:val="00D01D6E"/>
    <w:rsid w:val="00D03C05"/>
    <w:rsid w:val="00D04800"/>
    <w:rsid w:val="00D05460"/>
    <w:rsid w:val="00D06C38"/>
    <w:rsid w:val="00D06DE9"/>
    <w:rsid w:val="00D07B96"/>
    <w:rsid w:val="00D104EA"/>
    <w:rsid w:val="00D116A2"/>
    <w:rsid w:val="00D1406E"/>
    <w:rsid w:val="00D1422A"/>
    <w:rsid w:val="00D1494B"/>
    <w:rsid w:val="00D16BB1"/>
    <w:rsid w:val="00D20BD7"/>
    <w:rsid w:val="00D2452A"/>
    <w:rsid w:val="00D2550C"/>
    <w:rsid w:val="00D26035"/>
    <w:rsid w:val="00D26910"/>
    <w:rsid w:val="00D30385"/>
    <w:rsid w:val="00D31347"/>
    <w:rsid w:val="00D3135E"/>
    <w:rsid w:val="00D32009"/>
    <w:rsid w:val="00D3317D"/>
    <w:rsid w:val="00D3354B"/>
    <w:rsid w:val="00D3612A"/>
    <w:rsid w:val="00D37703"/>
    <w:rsid w:val="00D37F25"/>
    <w:rsid w:val="00D430B1"/>
    <w:rsid w:val="00D44A49"/>
    <w:rsid w:val="00D452F1"/>
    <w:rsid w:val="00D46110"/>
    <w:rsid w:val="00D50571"/>
    <w:rsid w:val="00D511CA"/>
    <w:rsid w:val="00D52099"/>
    <w:rsid w:val="00D53391"/>
    <w:rsid w:val="00D539F7"/>
    <w:rsid w:val="00D546E7"/>
    <w:rsid w:val="00D569BF"/>
    <w:rsid w:val="00D56C3A"/>
    <w:rsid w:val="00D6338D"/>
    <w:rsid w:val="00D6502E"/>
    <w:rsid w:val="00D65B52"/>
    <w:rsid w:val="00D70AFE"/>
    <w:rsid w:val="00D70D08"/>
    <w:rsid w:val="00D73161"/>
    <w:rsid w:val="00D737BC"/>
    <w:rsid w:val="00D742C9"/>
    <w:rsid w:val="00D7603E"/>
    <w:rsid w:val="00D76211"/>
    <w:rsid w:val="00D800CA"/>
    <w:rsid w:val="00D80527"/>
    <w:rsid w:val="00D81AD5"/>
    <w:rsid w:val="00D832E9"/>
    <w:rsid w:val="00D83810"/>
    <w:rsid w:val="00D83E54"/>
    <w:rsid w:val="00D84E97"/>
    <w:rsid w:val="00D856CE"/>
    <w:rsid w:val="00D903C9"/>
    <w:rsid w:val="00D91771"/>
    <w:rsid w:val="00D91ECC"/>
    <w:rsid w:val="00D9207E"/>
    <w:rsid w:val="00D93C1A"/>
    <w:rsid w:val="00D949FC"/>
    <w:rsid w:val="00D955E2"/>
    <w:rsid w:val="00D95E1E"/>
    <w:rsid w:val="00D96D31"/>
    <w:rsid w:val="00D979FC"/>
    <w:rsid w:val="00D97C30"/>
    <w:rsid w:val="00DA0A0B"/>
    <w:rsid w:val="00DA4CCB"/>
    <w:rsid w:val="00DA622B"/>
    <w:rsid w:val="00DA635F"/>
    <w:rsid w:val="00DA6848"/>
    <w:rsid w:val="00DA7A6A"/>
    <w:rsid w:val="00DA7D78"/>
    <w:rsid w:val="00DB1034"/>
    <w:rsid w:val="00DB158B"/>
    <w:rsid w:val="00DB282E"/>
    <w:rsid w:val="00DB40F0"/>
    <w:rsid w:val="00DB5574"/>
    <w:rsid w:val="00DB73C9"/>
    <w:rsid w:val="00DC126F"/>
    <w:rsid w:val="00DC280A"/>
    <w:rsid w:val="00DC4A55"/>
    <w:rsid w:val="00DC56FD"/>
    <w:rsid w:val="00DC5B4B"/>
    <w:rsid w:val="00DC6282"/>
    <w:rsid w:val="00DC6482"/>
    <w:rsid w:val="00DC7AEB"/>
    <w:rsid w:val="00DD0F85"/>
    <w:rsid w:val="00DD17E8"/>
    <w:rsid w:val="00DD2A02"/>
    <w:rsid w:val="00DD526C"/>
    <w:rsid w:val="00DD5C70"/>
    <w:rsid w:val="00DD5FE7"/>
    <w:rsid w:val="00DE4667"/>
    <w:rsid w:val="00DE643F"/>
    <w:rsid w:val="00DE644A"/>
    <w:rsid w:val="00DE65DB"/>
    <w:rsid w:val="00DE75E2"/>
    <w:rsid w:val="00DE7BCC"/>
    <w:rsid w:val="00DE7FAB"/>
    <w:rsid w:val="00DF05EF"/>
    <w:rsid w:val="00DF2EBE"/>
    <w:rsid w:val="00DF4A37"/>
    <w:rsid w:val="00DF66DC"/>
    <w:rsid w:val="00E00566"/>
    <w:rsid w:val="00E01EFC"/>
    <w:rsid w:val="00E03C31"/>
    <w:rsid w:val="00E06FDE"/>
    <w:rsid w:val="00E0748A"/>
    <w:rsid w:val="00E07F60"/>
    <w:rsid w:val="00E1039B"/>
    <w:rsid w:val="00E125F1"/>
    <w:rsid w:val="00E157A4"/>
    <w:rsid w:val="00E17498"/>
    <w:rsid w:val="00E21A17"/>
    <w:rsid w:val="00E27C4C"/>
    <w:rsid w:val="00E3013A"/>
    <w:rsid w:val="00E306E7"/>
    <w:rsid w:val="00E35632"/>
    <w:rsid w:val="00E37127"/>
    <w:rsid w:val="00E3726C"/>
    <w:rsid w:val="00E4159A"/>
    <w:rsid w:val="00E42B11"/>
    <w:rsid w:val="00E456E4"/>
    <w:rsid w:val="00E4622C"/>
    <w:rsid w:val="00E4658C"/>
    <w:rsid w:val="00E507B7"/>
    <w:rsid w:val="00E51FFB"/>
    <w:rsid w:val="00E536E0"/>
    <w:rsid w:val="00E54A95"/>
    <w:rsid w:val="00E550C8"/>
    <w:rsid w:val="00E56D5B"/>
    <w:rsid w:val="00E625EB"/>
    <w:rsid w:val="00E6396F"/>
    <w:rsid w:val="00E64DB7"/>
    <w:rsid w:val="00E6513B"/>
    <w:rsid w:val="00E66092"/>
    <w:rsid w:val="00E66596"/>
    <w:rsid w:val="00E67CA3"/>
    <w:rsid w:val="00E735D6"/>
    <w:rsid w:val="00E74EFF"/>
    <w:rsid w:val="00E77173"/>
    <w:rsid w:val="00E8101B"/>
    <w:rsid w:val="00E857D3"/>
    <w:rsid w:val="00E85BD6"/>
    <w:rsid w:val="00E8732E"/>
    <w:rsid w:val="00E877D5"/>
    <w:rsid w:val="00E9029F"/>
    <w:rsid w:val="00E907B4"/>
    <w:rsid w:val="00E90BD5"/>
    <w:rsid w:val="00E910D0"/>
    <w:rsid w:val="00E91233"/>
    <w:rsid w:val="00E93927"/>
    <w:rsid w:val="00E9568E"/>
    <w:rsid w:val="00E95DDD"/>
    <w:rsid w:val="00EA616F"/>
    <w:rsid w:val="00EA6EF3"/>
    <w:rsid w:val="00EB02C5"/>
    <w:rsid w:val="00EB1EFE"/>
    <w:rsid w:val="00EB2762"/>
    <w:rsid w:val="00EB3C59"/>
    <w:rsid w:val="00EB50FE"/>
    <w:rsid w:val="00EC0C4B"/>
    <w:rsid w:val="00EC54D9"/>
    <w:rsid w:val="00ED1152"/>
    <w:rsid w:val="00ED5C02"/>
    <w:rsid w:val="00ED684F"/>
    <w:rsid w:val="00ED743E"/>
    <w:rsid w:val="00ED797F"/>
    <w:rsid w:val="00EE0576"/>
    <w:rsid w:val="00EE058F"/>
    <w:rsid w:val="00EE0607"/>
    <w:rsid w:val="00EE1453"/>
    <w:rsid w:val="00EE2914"/>
    <w:rsid w:val="00EE2E9F"/>
    <w:rsid w:val="00EE45B3"/>
    <w:rsid w:val="00EE58D9"/>
    <w:rsid w:val="00EF5718"/>
    <w:rsid w:val="00F01A57"/>
    <w:rsid w:val="00F04E81"/>
    <w:rsid w:val="00F05A87"/>
    <w:rsid w:val="00F05B39"/>
    <w:rsid w:val="00F0757D"/>
    <w:rsid w:val="00F07D23"/>
    <w:rsid w:val="00F100AA"/>
    <w:rsid w:val="00F12A8F"/>
    <w:rsid w:val="00F179E3"/>
    <w:rsid w:val="00F17DC9"/>
    <w:rsid w:val="00F215BF"/>
    <w:rsid w:val="00F21BBA"/>
    <w:rsid w:val="00F221D9"/>
    <w:rsid w:val="00F26A9F"/>
    <w:rsid w:val="00F31CA6"/>
    <w:rsid w:val="00F329FB"/>
    <w:rsid w:val="00F33FA9"/>
    <w:rsid w:val="00F3412B"/>
    <w:rsid w:val="00F36F10"/>
    <w:rsid w:val="00F409A9"/>
    <w:rsid w:val="00F40C38"/>
    <w:rsid w:val="00F4489C"/>
    <w:rsid w:val="00F461B9"/>
    <w:rsid w:val="00F467F9"/>
    <w:rsid w:val="00F5355B"/>
    <w:rsid w:val="00F5789E"/>
    <w:rsid w:val="00F61D44"/>
    <w:rsid w:val="00F62277"/>
    <w:rsid w:val="00F62396"/>
    <w:rsid w:val="00F6379B"/>
    <w:rsid w:val="00F648C7"/>
    <w:rsid w:val="00F64DC1"/>
    <w:rsid w:val="00F6672F"/>
    <w:rsid w:val="00F667E5"/>
    <w:rsid w:val="00F66E3A"/>
    <w:rsid w:val="00F67213"/>
    <w:rsid w:val="00F673BB"/>
    <w:rsid w:val="00F676DD"/>
    <w:rsid w:val="00F67D94"/>
    <w:rsid w:val="00F7026F"/>
    <w:rsid w:val="00F7175D"/>
    <w:rsid w:val="00F7205A"/>
    <w:rsid w:val="00F75F90"/>
    <w:rsid w:val="00F765C7"/>
    <w:rsid w:val="00F76E78"/>
    <w:rsid w:val="00F8101D"/>
    <w:rsid w:val="00F826B0"/>
    <w:rsid w:val="00F835C5"/>
    <w:rsid w:val="00F845F1"/>
    <w:rsid w:val="00F852E6"/>
    <w:rsid w:val="00F86FAC"/>
    <w:rsid w:val="00F87133"/>
    <w:rsid w:val="00F871F6"/>
    <w:rsid w:val="00F92A9F"/>
    <w:rsid w:val="00F940DE"/>
    <w:rsid w:val="00F9490B"/>
    <w:rsid w:val="00F952D1"/>
    <w:rsid w:val="00FA0842"/>
    <w:rsid w:val="00FA0CC0"/>
    <w:rsid w:val="00FA21A0"/>
    <w:rsid w:val="00FA23AE"/>
    <w:rsid w:val="00FA5F08"/>
    <w:rsid w:val="00FA6D42"/>
    <w:rsid w:val="00FA714E"/>
    <w:rsid w:val="00FB17F6"/>
    <w:rsid w:val="00FB1D06"/>
    <w:rsid w:val="00FB3C1B"/>
    <w:rsid w:val="00FB4EFE"/>
    <w:rsid w:val="00FB79C6"/>
    <w:rsid w:val="00FC09CF"/>
    <w:rsid w:val="00FC26FF"/>
    <w:rsid w:val="00FC3F99"/>
    <w:rsid w:val="00FC406D"/>
    <w:rsid w:val="00FC6109"/>
    <w:rsid w:val="00FC7762"/>
    <w:rsid w:val="00FD4C0B"/>
    <w:rsid w:val="00FD523F"/>
    <w:rsid w:val="00FD6CB6"/>
    <w:rsid w:val="00FD7489"/>
    <w:rsid w:val="00FE14BA"/>
    <w:rsid w:val="00FE3E32"/>
    <w:rsid w:val="00FF3446"/>
    <w:rsid w:val="00FF38E3"/>
    <w:rsid w:val="00FF52F3"/>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EF3FB"/>
  <w15:chartTrackingRefBased/>
  <w15:docId w15:val="{1C6F0C3C-3D6C-47C6-8D0B-588AF047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lang w:val="en-US"/>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rsid w:val="00174C82"/>
    <w:pPr>
      <w:spacing w:after="240" w:line="360" w:lineRule="auto"/>
    </w:pPr>
    <w:rPr>
      <w:rFonts w:ascii="Arial" w:hAnsi="Arial"/>
      <w:sz w:val="24"/>
      <w:szCs w:val="24"/>
      <w:lang w:eastAsia="en-US"/>
    </w:rPr>
  </w:style>
  <w:style w:type="character" w:customStyle="1" w:styleId="NICEnormalChar">
    <w:name w:val="NICE normal Char"/>
    <w:link w:val="NICEnormal"/>
    <w:rsid w:val="00174C82"/>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F765C7"/>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282D7E"/>
    <w:pPr>
      <w:numPr>
        <w:numId w:val="20"/>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val="en-GB" w:eastAsia="en-US" w:bidi="ar-SA"/>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5"/>
      </w:numPr>
      <w:spacing w:after="0"/>
    </w:pPr>
    <w:rPr>
      <w:lang w:val="en-US"/>
    </w:rPr>
  </w:style>
  <w:style w:type="character" w:customStyle="1" w:styleId="Bulletindent1Char">
    <w:name w:val="Bullet indent 1 Char"/>
    <w:link w:val="Bulletindent1"/>
    <w:rsid w:val="00F86FAC"/>
    <w:rPr>
      <w:rFonts w:ascii="Arial" w:hAnsi="Arial"/>
      <w:sz w:val="24"/>
      <w:szCs w:val="24"/>
      <w:lang w:val="en-US" w:eastAsia="en-US" w:bidi="ar-SA"/>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ormal"/>
    <w:link w:val="Numberedlevel2textChar"/>
    <w:qFormat/>
    <w:rsid w:val="00F765C7"/>
    <w:pPr>
      <w:numPr>
        <w:ilvl w:val="1"/>
        <w:numId w:val="20"/>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EE2914"/>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7"/>
      </w:numPr>
    </w:pPr>
    <w:rPr>
      <w:rFonts w:cs="Arial"/>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BD0372"/>
    <w:pPr>
      <w:keepNext/>
      <w:spacing w:after="60"/>
    </w:pPr>
    <w:rPr>
      <w:sz w:val="22"/>
    </w:rPr>
  </w:style>
  <w:style w:type="table" w:styleId="TableGrid">
    <w:name w:val="Table Grid"/>
    <w:basedOn w:val="TableNormal"/>
    <w:rsid w:val="00BB0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1DD7"/>
    <w:rPr>
      <w:color w:val="0000FF"/>
      <w:u w:val="single"/>
    </w:rPr>
  </w:style>
  <w:style w:type="paragraph" w:styleId="BalloonText">
    <w:name w:val="Balloon Text"/>
    <w:basedOn w:val="Normal"/>
    <w:semiHidden/>
    <w:rsid w:val="003253AC"/>
    <w:rPr>
      <w:rFonts w:ascii="Tahoma" w:hAnsi="Tahoma" w:cs="Tahoma"/>
      <w:sz w:val="16"/>
      <w:szCs w:val="16"/>
    </w:rPr>
  </w:style>
  <w:style w:type="character" w:styleId="CommentReference">
    <w:name w:val="annotation reference"/>
    <w:rsid w:val="00283FE5"/>
    <w:rPr>
      <w:sz w:val="16"/>
      <w:szCs w:val="16"/>
    </w:rPr>
  </w:style>
  <w:style w:type="paragraph" w:styleId="CommentText">
    <w:name w:val="annotation text"/>
    <w:basedOn w:val="Normal"/>
    <w:link w:val="CommentTextChar"/>
    <w:rsid w:val="00283FE5"/>
    <w:rPr>
      <w:sz w:val="20"/>
      <w:szCs w:val="20"/>
    </w:rPr>
  </w:style>
  <w:style w:type="paragraph" w:styleId="CommentSubject">
    <w:name w:val="annotation subject"/>
    <w:basedOn w:val="CommentText"/>
    <w:next w:val="CommentText"/>
    <w:semiHidden/>
    <w:rsid w:val="00283FE5"/>
    <w:rPr>
      <w:b/>
      <w:bCs/>
    </w:rPr>
  </w:style>
  <w:style w:type="paragraph" w:customStyle="1" w:styleId="Title1">
    <w:name w:val="Title 1"/>
    <w:basedOn w:val="Normal"/>
    <w:qFormat/>
    <w:rsid w:val="00F765C7"/>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132522"/>
    <w:rPr>
      <w:lang w:val="en-US"/>
    </w:rPr>
  </w:style>
  <w:style w:type="paragraph" w:customStyle="1" w:styleId="Documentissuedate">
    <w:name w:val="Document issue date"/>
    <w:basedOn w:val="NICEnormal"/>
    <w:qFormat/>
    <w:rsid w:val="00132522"/>
    <w:rPr>
      <w:lang w:val="en-US"/>
    </w:rPr>
  </w:style>
  <w:style w:type="character" w:styleId="FollowedHyperlink">
    <w:name w:val="FollowedHyperlink"/>
    <w:rsid w:val="00CD51E5"/>
    <w:rPr>
      <w:color w:val="800080"/>
      <w:u w:val="single"/>
    </w:rPr>
  </w:style>
  <w:style w:type="character" w:customStyle="1" w:styleId="CommentTextChar">
    <w:name w:val="Comment Text Char"/>
    <w:link w:val="CommentText"/>
    <w:rsid w:val="00DE65DB"/>
    <w:rPr>
      <w:lang w:eastAsia="en-US"/>
    </w:rPr>
  </w:style>
  <w:style w:type="character" w:styleId="Strong">
    <w:name w:val="Strong"/>
    <w:uiPriority w:val="22"/>
    <w:qFormat/>
    <w:rsid w:val="00B464CC"/>
    <w:rPr>
      <w:b/>
      <w:bCs/>
    </w:rPr>
  </w:style>
  <w:style w:type="paragraph" w:styleId="NormalWeb">
    <w:name w:val="Normal (Web)"/>
    <w:basedOn w:val="Normal"/>
    <w:uiPriority w:val="99"/>
    <w:unhideWhenUsed/>
    <w:rsid w:val="00B464CC"/>
    <w:pPr>
      <w:spacing w:after="180"/>
    </w:pPr>
    <w:rPr>
      <w:lang w:eastAsia="en-GB"/>
    </w:rPr>
  </w:style>
  <w:style w:type="character" w:customStyle="1" w:styleId="Bulletleft1lastChar">
    <w:name w:val="Bullet left 1 last Char"/>
    <w:link w:val="Bulletleft1last"/>
    <w:rsid w:val="001F01E5"/>
    <w:rPr>
      <w:rFonts w:ascii="Arial" w:hAnsi="Arial" w:cs="Arial"/>
      <w:sz w:val="24"/>
      <w:szCs w:val="24"/>
      <w:lang w:eastAsia="en-US"/>
    </w:rPr>
  </w:style>
  <w:style w:type="paragraph" w:styleId="FootnoteText">
    <w:name w:val="footnote text"/>
    <w:basedOn w:val="Normal"/>
    <w:link w:val="FootnoteTextChar"/>
    <w:rsid w:val="001E1693"/>
    <w:rPr>
      <w:sz w:val="20"/>
      <w:szCs w:val="20"/>
    </w:rPr>
  </w:style>
  <w:style w:type="character" w:customStyle="1" w:styleId="FootnoteTextChar">
    <w:name w:val="Footnote Text Char"/>
    <w:link w:val="FootnoteText"/>
    <w:rsid w:val="001E1693"/>
    <w:rPr>
      <w:lang w:eastAsia="en-US"/>
    </w:rPr>
  </w:style>
  <w:style w:type="character" w:styleId="FootnoteReference">
    <w:name w:val="footnote reference"/>
    <w:rsid w:val="001E1693"/>
    <w:rPr>
      <w:vertAlign w:val="superscript"/>
    </w:rPr>
  </w:style>
  <w:style w:type="paragraph" w:styleId="Revision">
    <w:name w:val="Revision"/>
    <w:hidden/>
    <w:uiPriority w:val="99"/>
    <w:semiHidden/>
    <w:rsid w:val="00B6033C"/>
    <w:rPr>
      <w:sz w:val="24"/>
      <w:szCs w:val="24"/>
      <w:lang w:eastAsia="en-US"/>
    </w:rPr>
  </w:style>
  <w:style w:type="character" w:customStyle="1" w:styleId="UnresolvedMention1">
    <w:name w:val="Unresolved Mention1"/>
    <w:basedOn w:val="DefaultParagraphFont"/>
    <w:uiPriority w:val="99"/>
    <w:semiHidden/>
    <w:unhideWhenUsed/>
    <w:rsid w:val="007E64B3"/>
    <w:rPr>
      <w:color w:val="605E5C"/>
      <w:shd w:val="clear" w:color="auto" w:fill="E1DFDD"/>
    </w:rPr>
  </w:style>
  <w:style w:type="character" w:styleId="UnresolvedMention">
    <w:name w:val="Unresolved Mention"/>
    <w:basedOn w:val="DefaultParagraphFont"/>
    <w:uiPriority w:val="99"/>
    <w:semiHidden/>
    <w:unhideWhenUsed/>
    <w:rsid w:val="0071343D"/>
    <w:rPr>
      <w:color w:val="605E5C"/>
      <w:shd w:val="clear" w:color="auto" w:fill="E1DFDD"/>
    </w:rPr>
  </w:style>
  <w:style w:type="character" w:customStyle="1" w:styleId="Heading3Char">
    <w:name w:val="Heading 3 Char"/>
    <w:basedOn w:val="DefaultParagraphFont"/>
    <w:link w:val="Heading3"/>
    <w:rsid w:val="0096374B"/>
    <w:rPr>
      <w:rFonts w:ascii="Arial" w:hAnsi="Arial" w:cs="Arial"/>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5140">
      <w:bodyDiv w:val="1"/>
      <w:marLeft w:val="0"/>
      <w:marRight w:val="0"/>
      <w:marTop w:val="0"/>
      <w:marBottom w:val="0"/>
      <w:divBdr>
        <w:top w:val="none" w:sz="0" w:space="0" w:color="auto"/>
        <w:left w:val="none" w:sz="0" w:space="0" w:color="auto"/>
        <w:bottom w:val="none" w:sz="0" w:space="0" w:color="auto"/>
        <w:right w:val="none" w:sz="0" w:space="0" w:color="auto"/>
      </w:divBdr>
    </w:div>
    <w:div w:id="135880288">
      <w:bodyDiv w:val="1"/>
      <w:marLeft w:val="0"/>
      <w:marRight w:val="0"/>
      <w:marTop w:val="0"/>
      <w:marBottom w:val="0"/>
      <w:divBdr>
        <w:top w:val="none" w:sz="0" w:space="0" w:color="auto"/>
        <w:left w:val="none" w:sz="0" w:space="0" w:color="auto"/>
        <w:bottom w:val="none" w:sz="0" w:space="0" w:color="auto"/>
        <w:right w:val="none" w:sz="0" w:space="0" w:color="auto"/>
      </w:divBdr>
    </w:div>
    <w:div w:id="175269990">
      <w:bodyDiv w:val="1"/>
      <w:marLeft w:val="0"/>
      <w:marRight w:val="0"/>
      <w:marTop w:val="0"/>
      <w:marBottom w:val="0"/>
      <w:divBdr>
        <w:top w:val="none" w:sz="0" w:space="0" w:color="auto"/>
        <w:left w:val="none" w:sz="0" w:space="0" w:color="auto"/>
        <w:bottom w:val="none" w:sz="0" w:space="0" w:color="auto"/>
        <w:right w:val="none" w:sz="0" w:space="0" w:color="auto"/>
      </w:divBdr>
      <w:divsChild>
        <w:div w:id="1426417655">
          <w:marLeft w:val="0"/>
          <w:marRight w:val="0"/>
          <w:marTop w:val="0"/>
          <w:marBottom w:val="0"/>
          <w:divBdr>
            <w:top w:val="none" w:sz="0" w:space="0" w:color="auto"/>
            <w:left w:val="none" w:sz="0" w:space="0" w:color="auto"/>
            <w:bottom w:val="none" w:sz="0" w:space="0" w:color="auto"/>
            <w:right w:val="none" w:sz="0" w:space="0" w:color="auto"/>
          </w:divBdr>
          <w:divsChild>
            <w:div w:id="1076440122">
              <w:marLeft w:val="0"/>
              <w:marRight w:val="0"/>
              <w:marTop w:val="0"/>
              <w:marBottom w:val="0"/>
              <w:divBdr>
                <w:top w:val="none" w:sz="0" w:space="0" w:color="auto"/>
                <w:left w:val="none" w:sz="0" w:space="0" w:color="auto"/>
                <w:bottom w:val="none" w:sz="0" w:space="0" w:color="auto"/>
                <w:right w:val="none" w:sz="0" w:space="0" w:color="auto"/>
              </w:divBdr>
              <w:divsChild>
                <w:div w:id="2120904533">
                  <w:marLeft w:val="0"/>
                  <w:marRight w:val="0"/>
                  <w:marTop w:val="0"/>
                  <w:marBottom w:val="0"/>
                  <w:divBdr>
                    <w:top w:val="none" w:sz="0" w:space="0" w:color="auto"/>
                    <w:left w:val="none" w:sz="0" w:space="0" w:color="auto"/>
                    <w:bottom w:val="none" w:sz="0" w:space="0" w:color="auto"/>
                    <w:right w:val="none" w:sz="0" w:space="0" w:color="auto"/>
                  </w:divBdr>
                  <w:divsChild>
                    <w:div w:id="1078408629">
                      <w:marLeft w:val="0"/>
                      <w:marRight w:val="0"/>
                      <w:marTop w:val="0"/>
                      <w:marBottom w:val="0"/>
                      <w:divBdr>
                        <w:top w:val="none" w:sz="0" w:space="0" w:color="auto"/>
                        <w:left w:val="none" w:sz="0" w:space="0" w:color="auto"/>
                        <w:bottom w:val="none" w:sz="0" w:space="0" w:color="auto"/>
                        <w:right w:val="none" w:sz="0" w:space="0" w:color="auto"/>
                      </w:divBdr>
                      <w:divsChild>
                        <w:div w:id="216204613">
                          <w:marLeft w:val="0"/>
                          <w:marRight w:val="0"/>
                          <w:marTop w:val="0"/>
                          <w:marBottom w:val="0"/>
                          <w:divBdr>
                            <w:top w:val="none" w:sz="0" w:space="0" w:color="auto"/>
                            <w:left w:val="none" w:sz="0" w:space="0" w:color="auto"/>
                            <w:bottom w:val="none" w:sz="0" w:space="0" w:color="auto"/>
                            <w:right w:val="none" w:sz="0" w:space="0" w:color="auto"/>
                          </w:divBdr>
                          <w:divsChild>
                            <w:div w:id="1529488884">
                              <w:marLeft w:val="360"/>
                              <w:marRight w:val="360"/>
                              <w:marTop w:val="0"/>
                              <w:marBottom w:val="0"/>
                              <w:divBdr>
                                <w:top w:val="none" w:sz="0" w:space="0" w:color="auto"/>
                                <w:left w:val="none" w:sz="0" w:space="0" w:color="auto"/>
                                <w:bottom w:val="none" w:sz="0" w:space="0" w:color="auto"/>
                                <w:right w:val="none" w:sz="0" w:space="0" w:color="auto"/>
                              </w:divBdr>
                              <w:divsChild>
                                <w:div w:id="808520690">
                                  <w:marLeft w:val="0"/>
                                  <w:marRight w:val="0"/>
                                  <w:marTop w:val="0"/>
                                  <w:marBottom w:val="0"/>
                                  <w:divBdr>
                                    <w:top w:val="none" w:sz="0" w:space="0" w:color="auto"/>
                                    <w:left w:val="none" w:sz="0" w:space="0" w:color="auto"/>
                                    <w:bottom w:val="none" w:sz="0" w:space="0" w:color="auto"/>
                                    <w:right w:val="none" w:sz="0" w:space="0" w:color="auto"/>
                                  </w:divBdr>
                                  <w:divsChild>
                                    <w:div w:id="1698265258">
                                      <w:marLeft w:val="0"/>
                                      <w:marRight w:val="0"/>
                                      <w:marTop w:val="0"/>
                                      <w:marBottom w:val="300"/>
                                      <w:divBdr>
                                        <w:top w:val="none" w:sz="0" w:space="0" w:color="auto"/>
                                        <w:left w:val="none" w:sz="0" w:space="0" w:color="auto"/>
                                        <w:bottom w:val="none" w:sz="0" w:space="0" w:color="auto"/>
                                        <w:right w:val="none" w:sz="0" w:space="0" w:color="auto"/>
                                      </w:divBdr>
                                      <w:divsChild>
                                        <w:div w:id="632752271">
                                          <w:marLeft w:val="0"/>
                                          <w:marRight w:val="0"/>
                                          <w:marTop w:val="0"/>
                                          <w:marBottom w:val="0"/>
                                          <w:divBdr>
                                            <w:top w:val="none" w:sz="0" w:space="0" w:color="auto"/>
                                            <w:left w:val="none" w:sz="0" w:space="0" w:color="auto"/>
                                            <w:bottom w:val="none" w:sz="0" w:space="0" w:color="auto"/>
                                            <w:right w:val="none" w:sz="0" w:space="0" w:color="auto"/>
                                          </w:divBdr>
                                          <w:divsChild>
                                            <w:div w:id="852763074">
                                              <w:marLeft w:val="0"/>
                                              <w:marRight w:val="0"/>
                                              <w:marTop w:val="0"/>
                                              <w:marBottom w:val="0"/>
                                              <w:divBdr>
                                                <w:top w:val="none" w:sz="0" w:space="0" w:color="auto"/>
                                                <w:left w:val="none" w:sz="0" w:space="0" w:color="auto"/>
                                                <w:bottom w:val="none" w:sz="0" w:space="0" w:color="auto"/>
                                                <w:right w:val="none" w:sz="0" w:space="0" w:color="auto"/>
                                              </w:divBdr>
                                              <w:divsChild>
                                                <w:div w:id="1727608230">
                                                  <w:marLeft w:val="0"/>
                                                  <w:marRight w:val="0"/>
                                                  <w:marTop w:val="0"/>
                                                  <w:marBottom w:val="0"/>
                                                  <w:divBdr>
                                                    <w:top w:val="none" w:sz="0" w:space="0" w:color="auto"/>
                                                    <w:left w:val="none" w:sz="0" w:space="0" w:color="auto"/>
                                                    <w:bottom w:val="none" w:sz="0" w:space="0" w:color="auto"/>
                                                    <w:right w:val="none" w:sz="0" w:space="0" w:color="auto"/>
                                                  </w:divBdr>
                                                  <w:divsChild>
                                                    <w:div w:id="1760252793">
                                                      <w:marLeft w:val="0"/>
                                                      <w:marRight w:val="0"/>
                                                      <w:marTop w:val="0"/>
                                                      <w:marBottom w:val="0"/>
                                                      <w:divBdr>
                                                        <w:top w:val="none" w:sz="0" w:space="0" w:color="auto"/>
                                                        <w:left w:val="none" w:sz="0" w:space="0" w:color="auto"/>
                                                        <w:bottom w:val="none" w:sz="0" w:space="0" w:color="auto"/>
                                                        <w:right w:val="none" w:sz="0" w:space="0" w:color="auto"/>
                                                      </w:divBdr>
                                                      <w:divsChild>
                                                        <w:div w:id="16810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3897258">
      <w:bodyDiv w:val="1"/>
      <w:marLeft w:val="0"/>
      <w:marRight w:val="0"/>
      <w:marTop w:val="0"/>
      <w:marBottom w:val="0"/>
      <w:divBdr>
        <w:top w:val="none" w:sz="0" w:space="0" w:color="auto"/>
        <w:left w:val="none" w:sz="0" w:space="0" w:color="auto"/>
        <w:bottom w:val="none" w:sz="0" w:space="0" w:color="auto"/>
        <w:right w:val="none" w:sz="0" w:space="0" w:color="auto"/>
      </w:divBdr>
    </w:div>
    <w:div w:id="443698219">
      <w:bodyDiv w:val="1"/>
      <w:marLeft w:val="0"/>
      <w:marRight w:val="0"/>
      <w:marTop w:val="0"/>
      <w:marBottom w:val="0"/>
      <w:divBdr>
        <w:top w:val="none" w:sz="0" w:space="0" w:color="auto"/>
        <w:left w:val="none" w:sz="0" w:space="0" w:color="auto"/>
        <w:bottom w:val="none" w:sz="0" w:space="0" w:color="auto"/>
        <w:right w:val="none" w:sz="0" w:space="0" w:color="auto"/>
      </w:divBdr>
    </w:div>
    <w:div w:id="631521057">
      <w:bodyDiv w:val="1"/>
      <w:marLeft w:val="0"/>
      <w:marRight w:val="0"/>
      <w:marTop w:val="0"/>
      <w:marBottom w:val="0"/>
      <w:divBdr>
        <w:top w:val="none" w:sz="0" w:space="0" w:color="auto"/>
        <w:left w:val="none" w:sz="0" w:space="0" w:color="auto"/>
        <w:bottom w:val="none" w:sz="0" w:space="0" w:color="auto"/>
        <w:right w:val="none" w:sz="0" w:space="0" w:color="auto"/>
      </w:divBdr>
    </w:div>
    <w:div w:id="792678886">
      <w:bodyDiv w:val="1"/>
      <w:marLeft w:val="0"/>
      <w:marRight w:val="0"/>
      <w:marTop w:val="0"/>
      <w:marBottom w:val="0"/>
      <w:divBdr>
        <w:top w:val="none" w:sz="0" w:space="0" w:color="auto"/>
        <w:left w:val="none" w:sz="0" w:space="0" w:color="auto"/>
        <w:bottom w:val="none" w:sz="0" w:space="0" w:color="auto"/>
        <w:right w:val="none" w:sz="0" w:space="0" w:color="auto"/>
      </w:divBdr>
    </w:div>
    <w:div w:id="1050227135">
      <w:bodyDiv w:val="1"/>
      <w:marLeft w:val="0"/>
      <w:marRight w:val="0"/>
      <w:marTop w:val="0"/>
      <w:marBottom w:val="0"/>
      <w:divBdr>
        <w:top w:val="none" w:sz="0" w:space="0" w:color="auto"/>
        <w:left w:val="none" w:sz="0" w:space="0" w:color="auto"/>
        <w:bottom w:val="none" w:sz="0" w:space="0" w:color="auto"/>
        <w:right w:val="none" w:sz="0" w:space="0" w:color="auto"/>
      </w:divBdr>
    </w:div>
    <w:div w:id="1266424895">
      <w:bodyDiv w:val="1"/>
      <w:marLeft w:val="0"/>
      <w:marRight w:val="0"/>
      <w:marTop w:val="0"/>
      <w:marBottom w:val="0"/>
      <w:divBdr>
        <w:top w:val="none" w:sz="0" w:space="0" w:color="auto"/>
        <w:left w:val="none" w:sz="0" w:space="0" w:color="auto"/>
        <w:bottom w:val="none" w:sz="0" w:space="0" w:color="auto"/>
        <w:right w:val="none" w:sz="0" w:space="0" w:color="auto"/>
      </w:divBdr>
    </w:div>
    <w:div w:id="1358893988">
      <w:bodyDiv w:val="1"/>
      <w:marLeft w:val="0"/>
      <w:marRight w:val="0"/>
      <w:marTop w:val="0"/>
      <w:marBottom w:val="0"/>
      <w:divBdr>
        <w:top w:val="none" w:sz="0" w:space="0" w:color="auto"/>
        <w:left w:val="none" w:sz="0" w:space="0" w:color="auto"/>
        <w:bottom w:val="none" w:sz="0" w:space="0" w:color="auto"/>
        <w:right w:val="none" w:sz="0" w:space="0" w:color="auto"/>
      </w:divBdr>
      <w:divsChild>
        <w:div w:id="1392197802">
          <w:marLeft w:val="0"/>
          <w:marRight w:val="0"/>
          <w:marTop w:val="0"/>
          <w:marBottom w:val="0"/>
          <w:divBdr>
            <w:top w:val="none" w:sz="0" w:space="0" w:color="auto"/>
            <w:left w:val="none" w:sz="0" w:space="0" w:color="auto"/>
            <w:bottom w:val="none" w:sz="0" w:space="0" w:color="auto"/>
            <w:right w:val="none" w:sz="0" w:space="0" w:color="auto"/>
          </w:divBdr>
          <w:divsChild>
            <w:div w:id="568923039">
              <w:marLeft w:val="0"/>
              <w:marRight w:val="0"/>
              <w:marTop w:val="0"/>
              <w:marBottom w:val="0"/>
              <w:divBdr>
                <w:top w:val="none" w:sz="0" w:space="0" w:color="auto"/>
                <w:left w:val="none" w:sz="0" w:space="0" w:color="auto"/>
                <w:bottom w:val="none" w:sz="0" w:space="0" w:color="auto"/>
                <w:right w:val="none" w:sz="0" w:space="0" w:color="auto"/>
              </w:divBdr>
              <w:divsChild>
                <w:div w:id="1811944907">
                  <w:marLeft w:val="0"/>
                  <w:marRight w:val="0"/>
                  <w:marTop w:val="0"/>
                  <w:marBottom w:val="0"/>
                  <w:divBdr>
                    <w:top w:val="none" w:sz="0" w:space="0" w:color="auto"/>
                    <w:left w:val="none" w:sz="0" w:space="0" w:color="auto"/>
                    <w:bottom w:val="none" w:sz="0" w:space="0" w:color="auto"/>
                    <w:right w:val="none" w:sz="0" w:space="0" w:color="auto"/>
                  </w:divBdr>
                  <w:divsChild>
                    <w:div w:id="610363682">
                      <w:marLeft w:val="0"/>
                      <w:marRight w:val="0"/>
                      <w:marTop w:val="0"/>
                      <w:marBottom w:val="0"/>
                      <w:divBdr>
                        <w:top w:val="none" w:sz="0" w:space="0" w:color="auto"/>
                        <w:left w:val="none" w:sz="0" w:space="0" w:color="auto"/>
                        <w:bottom w:val="none" w:sz="0" w:space="0" w:color="auto"/>
                        <w:right w:val="none" w:sz="0" w:space="0" w:color="auto"/>
                      </w:divBdr>
                      <w:divsChild>
                        <w:div w:id="973408381">
                          <w:marLeft w:val="0"/>
                          <w:marRight w:val="0"/>
                          <w:marTop w:val="0"/>
                          <w:marBottom w:val="0"/>
                          <w:divBdr>
                            <w:top w:val="none" w:sz="0" w:space="0" w:color="auto"/>
                            <w:left w:val="none" w:sz="0" w:space="0" w:color="auto"/>
                            <w:bottom w:val="none" w:sz="0" w:space="0" w:color="auto"/>
                            <w:right w:val="none" w:sz="0" w:space="0" w:color="auto"/>
                          </w:divBdr>
                          <w:divsChild>
                            <w:div w:id="1253664073">
                              <w:marLeft w:val="360"/>
                              <w:marRight w:val="360"/>
                              <w:marTop w:val="0"/>
                              <w:marBottom w:val="0"/>
                              <w:divBdr>
                                <w:top w:val="none" w:sz="0" w:space="0" w:color="auto"/>
                                <w:left w:val="none" w:sz="0" w:space="0" w:color="auto"/>
                                <w:bottom w:val="none" w:sz="0" w:space="0" w:color="auto"/>
                                <w:right w:val="none" w:sz="0" w:space="0" w:color="auto"/>
                              </w:divBdr>
                              <w:divsChild>
                                <w:div w:id="1101023102">
                                  <w:marLeft w:val="0"/>
                                  <w:marRight w:val="0"/>
                                  <w:marTop w:val="0"/>
                                  <w:marBottom w:val="0"/>
                                  <w:divBdr>
                                    <w:top w:val="none" w:sz="0" w:space="0" w:color="auto"/>
                                    <w:left w:val="none" w:sz="0" w:space="0" w:color="auto"/>
                                    <w:bottom w:val="none" w:sz="0" w:space="0" w:color="auto"/>
                                    <w:right w:val="none" w:sz="0" w:space="0" w:color="auto"/>
                                  </w:divBdr>
                                  <w:divsChild>
                                    <w:div w:id="746457374">
                                      <w:marLeft w:val="0"/>
                                      <w:marRight w:val="0"/>
                                      <w:marTop w:val="0"/>
                                      <w:marBottom w:val="300"/>
                                      <w:divBdr>
                                        <w:top w:val="none" w:sz="0" w:space="0" w:color="auto"/>
                                        <w:left w:val="none" w:sz="0" w:space="0" w:color="auto"/>
                                        <w:bottom w:val="none" w:sz="0" w:space="0" w:color="auto"/>
                                        <w:right w:val="none" w:sz="0" w:space="0" w:color="auto"/>
                                      </w:divBdr>
                                      <w:divsChild>
                                        <w:div w:id="2063433481">
                                          <w:marLeft w:val="0"/>
                                          <w:marRight w:val="0"/>
                                          <w:marTop w:val="0"/>
                                          <w:marBottom w:val="0"/>
                                          <w:divBdr>
                                            <w:top w:val="none" w:sz="0" w:space="0" w:color="auto"/>
                                            <w:left w:val="none" w:sz="0" w:space="0" w:color="auto"/>
                                            <w:bottom w:val="none" w:sz="0" w:space="0" w:color="auto"/>
                                            <w:right w:val="none" w:sz="0" w:space="0" w:color="auto"/>
                                          </w:divBdr>
                                          <w:divsChild>
                                            <w:div w:id="657465022">
                                              <w:marLeft w:val="0"/>
                                              <w:marRight w:val="0"/>
                                              <w:marTop w:val="0"/>
                                              <w:marBottom w:val="0"/>
                                              <w:divBdr>
                                                <w:top w:val="none" w:sz="0" w:space="0" w:color="auto"/>
                                                <w:left w:val="none" w:sz="0" w:space="0" w:color="auto"/>
                                                <w:bottom w:val="none" w:sz="0" w:space="0" w:color="auto"/>
                                                <w:right w:val="none" w:sz="0" w:space="0" w:color="auto"/>
                                              </w:divBdr>
                                              <w:divsChild>
                                                <w:div w:id="1257859858">
                                                  <w:marLeft w:val="0"/>
                                                  <w:marRight w:val="0"/>
                                                  <w:marTop w:val="0"/>
                                                  <w:marBottom w:val="0"/>
                                                  <w:divBdr>
                                                    <w:top w:val="none" w:sz="0" w:space="0" w:color="auto"/>
                                                    <w:left w:val="none" w:sz="0" w:space="0" w:color="auto"/>
                                                    <w:bottom w:val="none" w:sz="0" w:space="0" w:color="auto"/>
                                                    <w:right w:val="none" w:sz="0" w:space="0" w:color="auto"/>
                                                  </w:divBdr>
                                                  <w:divsChild>
                                                    <w:div w:id="648706612">
                                                      <w:marLeft w:val="0"/>
                                                      <w:marRight w:val="0"/>
                                                      <w:marTop w:val="0"/>
                                                      <w:marBottom w:val="0"/>
                                                      <w:divBdr>
                                                        <w:top w:val="none" w:sz="0" w:space="0" w:color="auto"/>
                                                        <w:left w:val="none" w:sz="0" w:space="0" w:color="auto"/>
                                                        <w:bottom w:val="none" w:sz="0" w:space="0" w:color="auto"/>
                                                        <w:right w:val="none" w:sz="0" w:space="0" w:color="auto"/>
                                                      </w:divBdr>
                                                      <w:divsChild>
                                                        <w:div w:id="1470853632">
                                                          <w:marLeft w:val="0"/>
                                                          <w:marRight w:val="0"/>
                                                          <w:marTop w:val="0"/>
                                                          <w:marBottom w:val="0"/>
                                                          <w:divBdr>
                                                            <w:top w:val="none" w:sz="0" w:space="0" w:color="auto"/>
                                                            <w:left w:val="none" w:sz="0" w:space="0" w:color="auto"/>
                                                            <w:bottom w:val="none" w:sz="0" w:space="0" w:color="auto"/>
                                                            <w:right w:val="none" w:sz="0" w:space="0" w:color="auto"/>
                                                          </w:divBdr>
                                                        </w:div>
                                                        <w:div w:id="16232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7909748">
      <w:bodyDiv w:val="1"/>
      <w:marLeft w:val="0"/>
      <w:marRight w:val="0"/>
      <w:marTop w:val="0"/>
      <w:marBottom w:val="0"/>
      <w:divBdr>
        <w:top w:val="none" w:sz="0" w:space="0" w:color="auto"/>
        <w:left w:val="none" w:sz="0" w:space="0" w:color="auto"/>
        <w:bottom w:val="none" w:sz="0" w:space="0" w:color="auto"/>
        <w:right w:val="none" w:sz="0" w:space="0" w:color="auto"/>
      </w:divBdr>
    </w:div>
    <w:div w:id="1591084074">
      <w:bodyDiv w:val="1"/>
      <w:marLeft w:val="0"/>
      <w:marRight w:val="0"/>
      <w:marTop w:val="0"/>
      <w:marBottom w:val="0"/>
      <w:divBdr>
        <w:top w:val="none" w:sz="0" w:space="0" w:color="auto"/>
        <w:left w:val="none" w:sz="0" w:space="0" w:color="auto"/>
        <w:bottom w:val="none" w:sz="0" w:space="0" w:color="auto"/>
        <w:right w:val="none" w:sz="0" w:space="0" w:color="auto"/>
      </w:divBdr>
    </w:div>
    <w:div w:id="1726100668">
      <w:bodyDiv w:val="1"/>
      <w:marLeft w:val="0"/>
      <w:marRight w:val="0"/>
      <w:marTop w:val="0"/>
      <w:marBottom w:val="0"/>
      <w:divBdr>
        <w:top w:val="none" w:sz="0" w:space="0" w:color="auto"/>
        <w:left w:val="none" w:sz="0" w:space="0" w:color="auto"/>
        <w:bottom w:val="none" w:sz="0" w:space="0" w:color="auto"/>
        <w:right w:val="none" w:sz="0" w:space="0" w:color="auto"/>
      </w:divBdr>
    </w:div>
    <w:div w:id="1819305582">
      <w:bodyDiv w:val="1"/>
      <w:marLeft w:val="0"/>
      <w:marRight w:val="0"/>
      <w:marTop w:val="0"/>
      <w:marBottom w:val="0"/>
      <w:divBdr>
        <w:top w:val="none" w:sz="0" w:space="0" w:color="auto"/>
        <w:left w:val="none" w:sz="0" w:space="0" w:color="auto"/>
        <w:bottom w:val="none" w:sz="0" w:space="0" w:color="auto"/>
        <w:right w:val="none" w:sz="0" w:space="0" w:color="auto"/>
      </w:divBdr>
    </w:div>
    <w:div w:id="1822429979">
      <w:bodyDiv w:val="1"/>
      <w:marLeft w:val="0"/>
      <w:marRight w:val="0"/>
      <w:marTop w:val="0"/>
      <w:marBottom w:val="0"/>
      <w:divBdr>
        <w:top w:val="none" w:sz="0" w:space="0" w:color="auto"/>
        <w:left w:val="none" w:sz="0" w:space="0" w:color="auto"/>
        <w:bottom w:val="none" w:sz="0" w:space="0" w:color="auto"/>
        <w:right w:val="none" w:sz="0" w:space="0" w:color="auto"/>
      </w:divBdr>
    </w:div>
    <w:div w:id="1878008704">
      <w:bodyDiv w:val="1"/>
      <w:marLeft w:val="0"/>
      <w:marRight w:val="0"/>
      <w:marTop w:val="0"/>
      <w:marBottom w:val="0"/>
      <w:divBdr>
        <w:top w:val="none" w:sz="0" w:space="0" w:color="auto"/>
        <w:left w:val="none" w:sz="0" w:space="0" w:color="auto"/>
        <w:bottom w:val="none" w:sz="0" w:space="0" w:color="auto"/>
        <w:right w:val="none" w:sz="0" w:space="0" w:color="auto"/>
      </w:divBdr>
    </w:div>
    <w:div w:id="1917668346">
      <w:bodyDiv w:val="1"/>
      <w:marLeft w:val="0"/>
      <w:marRight w:val="0"/>
      <w:marTop w:val="0"/>
      <w:marBottom w:val="0"/>
      <w:divBdr>
        <w:top w:val="none" w:sz="0" w:space="0" w:color="auto"/>
        <w:left w:val="none" w:sz="0" w:space="0" w:color="auto"/>
        <w:bottom w:val="none" w:sz="0" w:space="0" w:color="auto"/>
        <w:right w:val="none" w:sz="0" w:space="0" w:color="auto"/>
      </w:divBdr>
    </w:div>
    <w:div w:id="1968312439">
      <w:bodyDiv w:val="1"/>
      <w:marLeft w:val="0"/>
      <w:marRight w:val="0"/>
      <w:marTop w:val="0"/>
      <w:marBottom w:val="0"/>
      <w:divBdr>
        <w:top w:val="none" w:sz="0" w:space="0" w:color="auto"/>
        <w:left w:val="none" w:sz="0" w:space="0" w:color="auto"/>
        <w:bottom w:val="none" w:sz="0" w:space="0" w:color="auto"/>
        <w:right w:val="none" w:sz="0" w:space="0" w:color="auto"/>
      </w:divBdr>
    </w:div>
    <w:div w:id="21337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350/documents" TargetMode="External"/><Relationship Id="rId13" Type="http://schemas.openxmlformats.org/officeDocument/2006/relationships/hyperlink" Target="https://www.nice.org.uk/guidance/ta310" TargetMode="External"/><Relationship Id="rId18" Type="http://schemas.openxmlformats.org/officeDocument/2006/relationships/hyperlink" Target="https://www.nice.org.uk/about/what-we-do/our-programmes/nice-guidance/nice-technology-appraisal-guidance/cancer-drugs-fun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nice.org.uk/guidance/ta192" TargetMode="External"/><Relationship Id="rId17" Type="http://schemas.openxmlformats.org/officeDocument/2006/relationships/hyperlink" Target="https://www.nice.org.uk/about/what-we-do/our-programmes/nice-guidance/nice-technology-appraisal-guidance/cancer-drugs-fund" TargetMode="External"/><Relationship Id="rId2" Type="http://schemas.openxmlformats.org/officeDocument/2006/relationships/numbering" Target="numbering.xml"/><Relationship Id="rId16" Type="http://schemas.openxmlformats.org/officeDocument/2006/relationships/hyperlink" Target="https://www.nice.org.uk/guidance/ta310" TargetMode="External"/><Relationship Id="rId20" Type="http://schemas.openxmlformats.org/officeDocument/2006/relationships/hyperlink" Target="https://www.nice.org.uk/get-involved/meetings-in-public/technology-appraisal-committe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ta258"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ce.org.uk/guidance/ta192" TargetMode="External"/><Relationship Id="rId23" Type="http://schemas.openxmlformats.org/officeDocument/2006/relationships/fontTable" Target="fontTable.xml"/><Relationship Id="rId10" Type="http://schemas.openxmlformats.org/officeDocument/2006/relationships/hyperlink" Target="https://www.nice.org.uk/guidance/indevelopment/gid-ta10350/documents" TargetMode="External"/><Relationship Id="rId19" Type="http://schemas.openxmlformats.org/officeDocument/2006/relationships/hyperlink" Target="https://www.nice.org.uk/get-involved/meetings-in-public/technology-appraisal-committee/committee-d-members" TargetMode="External"/><Relationship Id="rId4" Type="http://schemas.openxmlformats.org/officeDocument/2006/relationships/settings" Target="settings.xml"/><Relationship Id="rId9" Type="http://schemas.openxmlformats.org/officeDocument/2006/relationships/hyperlink" Target="http://www.nice.org.uk/article/pmg19/chapter/Foreword" TargetMode="External"/><Relationship Id="rId14" Type="http://schemas.openxmlformats.org/officeDocument/2006/relationships/hyperlink" Target="https://www.nice.org.uk/guidance/ta258"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NICE\NICE%20Templates\Tech%20App\MTA%20ACD%20template%20from%20April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8EA88-0387-4811-94EC-EB2931B42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MTA ACD template from April17</Template>
  <TotalTime>4</TotalTime>
  <Pages>21</Pages>
  <Words>5219</Words>
  <Characters>31319</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36466</CharactersWithSpaces>
  <SharedDoc>false</SharedDoc>
  <HLinks>
    <vt:vector size="102" baseType="variant">
      <vt:variant>
        <vt:i4>3211303</vt:i4>
      </vt:variant>
      <vt:variant>
        <vt:i4>396</vt:i4>
      </vt:variant>
      <vt:variant>
        <vt:i4>0</vt:i4>
      </vt:variant>
      <vt:variant>
        <vt:i4>5</vt:i4>
      </vt:variant>
      <vt:variant>
        <vt:lpwstr>https://www.nice.org.uk/get-involved/meetings-in-public/technology-appraisal-committee</vt:lpwstr>
      </vt:variant>
      <vt:variant>
        <vt:lpwstr/>
      </vt:variant>
      <vt:variant>
        <vt:i4>3211303</vt:i4>
      </vt:variant>
      <vt:variant>
        <vt:i4>393</vt:i4>
      </vt:variant>
      <vt:variant>
        <vt:i4>0</vt:i4>
      </vt:variant>
      <vt:variant>
        <vt:i4>5</vt:i4>
      </vt:variant>
      <vt:variant>
        <vt:lpwstr>https://www.nice.org.uk/get-involved/meetings-in-public/technology-appraisal-committee</vt:lpwstr>
      </vt:variant>
      <vt:variant>
        <vt:lpwstr/>
      </vt:variant>
      <vt:variant>
        <vt:i4>2687086</vt:i4>
      </vt:variant>
      <vt:variant>
        <vt:i4>390</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381</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354</vt:i4>
      </vt:variant>
      <vt:variant>
        <vt:i4>0</vt:i4>
      </vt:variant>
      <vt:variant>
        <vt:i4>5</vt:i4>
      </vt:variant>
      <vt:variant>
        <vt:lpwstr>https://www.england.nhs.uk/cancer/cdf/</vt:lpwstr>
      </vt:variant>
      <vt:variant>
        <vt:lpwstr/>
      </vt:variant>
      <vt:variant>
        <vt:i4>4522076</vt:i4>
      </vt:variant>
      <vt:variant>
        <vt:i4>333</vt:i4>
      </vt:variant>
      <vt:variant>
        <vt:i4>0</vt:i4>
      </vt:variant>
      <vt:variant>
        <vt:i4>5</vt:i4>
      </vt:variant>
      <vt:variant>
        <vt:lpwstr>http://www.legislation.gov.uk/uksi/2013/259/contents/made</vt:lpwstr>
      </vt:variant>
      <vt:variant>
        <vt:lpwstr/>
      </vt:variant>
      <vt:variant>
        <vt:i4>852042</vt:i4>
      </vt:variant>
      <vt:variant>
        <vt:i4>330</vt:i4>
      </vt:variant>
      <vt:variant>
        <vt:i4>0</vt:i4>
      </vt:variant>
      <vt:variant>
        <vt:i4>5</vt:i4>
      </vt:variant>
      <vt:variant>
        <vt:lpwstr>https://www.gov.uk/government/publications/early-access-to-medicines-scheme-eams-how-the-scheme-works</vt:lpwstr>
      </vt:variant>
      <vt:variant>
        <vt:lpwstr/>
      </vt:variant>
      <vt:variant>
        <vt:i4>1572937</vt:i4>
      </vt:variant>
      <vt:variant>
        <vt:i4>324</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318</vt:i4>
      </vt:variant>
      <vt:variant>
        <vt:i4>0</vt:i4>
      </vt:variant>
      <vt:variant>
        <vt:i4>5</vt:i4>
      </vt:variant>
      <vt:variant>
        <vt:lpwstr>http://www.legislation.gov.uk/uksi/2013/259/contents/made</vt:lpwstr>
      </vt:variant>
      <vt:variant>
        <vt:lpwstr/>
      </vt:variant>
      <vt:variant>
        <vt:i4>7274531</vt:i4>
      </vt:variant>
      <vt:variant>
        <vt:i4>276</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273</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258</vt:i4>
      </vt:variant>
      <vt:variant>
        <vt:i4>0</vt:i4>
      </vt:variant>
      <vt:variant>
        <vt:i4>5</vt:i4>
      </vt:variant>
      <vt:variant>
        <vt:lpwstr>https://www.nice.org.uk/process/pmg9/chapter/the-appraisal-of-the-evidence-and-structured-decision-making</vt:lpwstr>
      </vt:variant>
      <vt:variant>
        <vt:lpwstr/>
      </vt:variant>
      <vt:variant>
        <vt:i4>5701707</vt:i4>
      </vt:variant>
      <vt:variant>
        <vt:i4>162</vt:i4>
      </vt:variant>
      <vt:variant>
        <vt:i4>0</vt:i4>
      </vt:variant>
      <vt:variant>
        <vt:i4>5</vt:i4>
      </vt:variant>
      <vt:variant>
        <vt:lpwstr>http://www.nice.org.uk/Guidance/GID-xxxxxx/Documents</vt:lpwstr>
      </vt:variant>
      <vt:variant>
        <vt:lpwstr/>
      </vt:variant>
      <vt:variant>
        <vt:i4>2162708</vt:i4>
      </vt:variant>
      <vt:variant>
        <vt:i4>108</vt:i4>
      </vt:variant>
      <vt:variant>
        <vt:i4>0</vt:i4>
      </vt:variant>
      <vt:variant>
        <vt:i4>5</vt:i4>
      </vt:variant>
      <vt:variant>
        <vt:lpwstr>\\nice.nhs.uk\Data\Global\NICE\NICE Templates\Tech App</vt:lpwstr>
      </vt:variant>
      <vt:variant>
        <vt:lpwstr/>
      </vt:variant>
      <vt:variant>
        <vt:i4>1507346</vt:i4>
      </vt:variant>
      <vt:variant>
        <vt:i4>18</vt:i4>
      </vt:variant>
      <vt:variant>
        <vt:i4>0</vt:i4>
      </vt:variant>
      <vt:variant>
        <vt:i4>5</vt:i4>
      </vt:variant>
      <vt:variant>
        <vt:lpwstr>http://www.nice.org.uk/article/pmg19/chapter/Foreword</vt:lpwstr>
      </vt:variant>
      <vt:variant>
        <vt:lpwstr/>
      </vt:variant>
      <vt:variant>
        <vt:i4>6488110</vt:i4>
      </vt:variant>
      <vt:variant>
        <vt:i4>9</vt:i4>
      </vt:variant>
      <vt:variant>
        <vt:i4>0</vt:i4>
      </vt:variant>
      <vt:variant>
        <vt:i4>5</vt:i4>
      </vt:variant>
      <vt:variant>
        <vt:lpwstr>http://www.nice.org.uk/guidance/indevelopment/gid-tagXXX/documents</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Nicola Hay</dc:creator>
  <cp:keywords/>
  <dc:description/>
  <cp:lastModifiedBy>Luke Cowie</cp:lastModifiedBy>
  <cp:revision>5</cp:revision>
  <cp:lastPrinted>2012-11-14T14:34:00Z</cp:lastPrinted>
  <dcterms:created xsi:type="dcterms:W3CDTF">2019-04-03T12:35:00Z</dcterms:created>
  <dcterms:modified xsi:type="dcterms:W3CDTF">2019-04-03T12:38:00Z</dcterms:modified>
</cp:coreProperties>
</file>